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8223931" w:displacedByCustomXml="next"/>
    <w:bookmarkStart w:id="1" w:name="_Toc413078488" w:displacedByCustomXml="next"/>
    <w:sdt>
      <w:sdtPr>
        <w:id w:val="-804622310"/>
        <w:docPartObj>
          <w:docPartGallery w:val="Cover Pages"/>
          <w:docPartUnique/>
        </w:docPartObj>
      </w:sdtPr>
      <w:sdtEndPr>
        <w:rPr>
          <w:rFonts w:asciiTheme="majorHAnsi" w:hAnsiTheme="majorHAnsi" w:cstheme="majorHAnsi"/>
          <w:sz w:val="32"/>
          <w:szCs w:val="32"/>
        </w:rPr>
      </w:sdtEndPr>
      <w:sdtContent>
        <w:p w14:paraId="028B1117" w14:textId="7E8A7398" w:rsidR="00A232C9" w:rsidRPr="008F3FD1" w:rsidRDefault="008F3FD1" w:rsidP="00DF681E">
          <w:pPr>
            <w:spacing w:before="720"/>
            <w:jc w:val="center"/>
            <w:rPr>
              <w:b/>
              <w:bCs/>
              <w:sz w:val="52"/>
              <w:szCs w:val="52"/>
            </w:rPr>
          </w:pPr>
          <w:r w:rsidRPr="008F3FD1">
            <w:rPr>
              <w:b/>
              <w:bCs/>
              <w:sz w:val="52"/>
              <w:szCs w:val="52"/>
            </w:rPr>
            <w:t xml:space="preserve">Indonesia Democratic Participation </w:t>
          </w:r>
          <w:r w:rsidR="00FE0D26">
            <w:rPr>
              <w:b/>
              <w:bCs/>
              <w:sz w:val="52"/>
              <w:szCs w:val="52"/>
            </w:rPr>
            <w:t>P</w:t>
          </w:r>
          <w:r w:rsidRPr="008F3FD1">
            <w:rPr>
              <w:b/>
              <w:bCs/>
              <w:sz w:val="52"/>
              <w:szCs w:val="52"/>
            </w:rPr>
            <w:t>rogram</w:t>
          </w:r>
          <w:r w:rsidR="00A232C9">
            <w:rPr>
              <w:b/>
              <w:bCs/>
              <w:sz w:val="52"/>
              <w:szCs w:val="52"/>
            </w:rPr>
            <w:t xml:space="preserve">: </w:t>
          </w:r>
          <w:proofErr w:type="spellStart"/>
          <w:r w:rsidR="00A232C9">
            <w:rPr>
              <w:b/>
              <w:bCs/>
              <w:sz w:val="52"/>
              <w:szCs w:val="52"/>
            </w:rPr>
            <w:t>Partisipasi</w:t>
          </w:r>
          <w:proofErr w:type="spellEnd"/>
        </w:p>
        <w:p w14:paraId="7435D2D8" w14:textId="7357F117" w:rsidR="00FD7E7D" w:rsidRPr="00FD7E7D" w:rsidRDefault="008F3FD1" w:rsidP="00FD7E7D">
          <w:pPr>
            <w:spacing w:before="0" w:after="1920"/>
            <w:contextualSpacing/>
            <w:jc w:val="center"/>
            <w:rPr>
              <w:b/>
              <w:bCs/>
              <w:sz w:val="52"/>
              <w:szCs w:val="52"/>
            </w:rPr>
          </w:pPr>
          <w:r w:rsidRPr="008F3FD1">
            <w:rPr>
              <w:b/>
              <w:bCs/>
              <w:sz w:val="52"/>
              <w:szCs w:val="52"/>
            </w:rPr>
            <w:t>2026-2030</w:t>
          </w:r>
        </w:p>
        <w:p w14:paraId="290F92E7" w14:textId="7FC64444" w:rsidR="00FE31A1" w:rsidRPr="00080D06" w:rsidRDefault="00A53A4D" w:rsidP="00FD7E7D">
          <w:pPr>
            <w:spacing w:before="3480" w:after="1920"/>
            <w:jc w:val="center"/>
            <w:sectPr w:rsidR="00FE31A1" w:rsidRPr="00080D06" w:rsidSect="00A51D6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701" w:right="1134" w:bottom="1418" w:left="1134" w:header="425" w:footer="493" w:gutter="0"/>
              <w:pgNumType w:start="0"/>
              <w:cols w:space="397"/>
              <w:vAlign w:val="center"/>
              <w:titlePg/>
              <w:docGrid w:linePitch="360"/>
            </w:sectPr>
          </w:pPr>
          <w:r w:rsidRPr="00080D06">
            <w:rPr>
              <w:rFonts w:asciiTheme="majorHAnsi" w:hAnsiTheme="majorHAnsi" w:cstheme="majorHAnsi"/>
              <w:sz w:val="72"/>
              <w:szCs w:val="72"/>
            </w:rPr>
            <w:t>Investment Design Document</w:t>
          </w:r>
        </w:p>
        <w:p w14:paraId="7DDD8DD3" w14:textId="35E52561" w:rsidR="00CC6062" w:rsidRPr="00080D06" w:rsidRDefault="008048DB" w:rsidP="00015088">
          <w:pPr>
            <w:spacing w:before="0" w:after="0"/>
            <w:contextualSpacing/>
            <w:jc w:val="center"/>
            <w:rPr>
              <w:rFonts w:asciiTheme="majorHAnsi" w:hAnsiTheme="majorHAnsi" w:cstheme="majorHAnsi"/>
              <w:sz w:val="32"/>
              <w:szCs w:val="32"/>
            </w:rPr>
          </w:pPr>
          <w:r w:rsidRPr="00080D06">
            <w:rPr>
              <w:rFonts w:asciiTheme="majorHAnsi" w:hAnsiTheme="majorHAnsi" w:cstheme="majorHAnsi"/>
              <w:b/>
              <w:bCs/>
              <w:sz w:val="32"/>
              <w:szCs w:val="32"/>
            </w:rPr>
            <w:t>December 202</w:t>
          </w:r>
          <w:r w:rsidR="00313CF1" w:rsidRPr="00080D06">
            <w:rPr>
              <w:rFonts w:asciiTheme="majorHAnsi" w:hAnsiTheme="majorHAnsi" w:cstheme="majorHAnsi"/>
              <w:b/>
              <w:bCs/>
              <w:sz w:val="32"/>
              <w:szCs w:val="32"/>
            </w:rPr>
            <w:t>5</w:t>
          </w:r>
        </w:p>
      </w:sdtContent>
    </w:sdt>
    <w:p w14:paraId="1101BED9" w14:textId="2F5D90F0" w:rsidR="00E378CE" w:rsidRPr="00E6521F" w:rsidRDefault="00A51D63" w:rsidP="00015088">
      <w:pPr>
        <w:suppressAutoHyphens w:val="0"/>
        <w:spacing w:before="0" w:after="120" w:line="440" w:lineRule="atLeast"/>
        <w:jc w:val="center"/>
      </w:pPr>
      <w:r w:rsidRPr="00E6521F">
        <w:br w:type="page"/>
      </w:r>
    </w:p>
    <w:p w14:paraId="0C301DD4" w14:textId="5DFF9B60" w:rsidR="00925E9C" w:rsidRPr="00B62510" w:rsidRDefault="00925E9C" w:rsidP="00925E9C">
      <w:pPr>
        <w:spacing w:before="0" w:after="120"/>
        <w:jc w:val="both"/>
        <w:rPr>
          <w:b/>
        </w:rPr>
      </w:pPr>
      <w:r w:rsidRPr="0008003A">
        <w:rPr>
          <w:b/>
          <w:bCs/>
        </w:rPr>
        <w:lastRenderedPageBreak/>
        <w:t>Investment Design Title</w:t>
      </w:r>
      <w:r>
        <w:t>: Indonesia Democratic Participation Program (</w:t>
      </w:r>
      <w:proofErr w:type="spellStart"/>
      <w:r>
        <w:t>Partisipasi</w:t>
      </w:r>
      <w:proofErr w:type="spellEnd"/>
      <w:r>
        <w:t>)</w:t>
      </w:r>
    </w:p>
    <w:p w14:paraId="2CF502D7" w14:textId="77777777" w:rsidR="00925E9C" w:rsidRDefault="00925E9C" w:rsidP="00925E9C">
      <w:pPr>
        <w:suppressAutoHyphens w:val="0"/>
        <w:spacing w:before="0" w:after="120" w:line="276" w:lineRule="auto"/>
        <w:jc w:val="both"/>
      </w:pPr>
      <w:r w:rsidRPr="0008003A">
        <w:rPr>
          <w:b/>
          <w:bCs/>
        </w:rPr>
        <w:t>Start date</w:t>
      </w:r>
      <w:r>
        <w:t>: January 2026</w:t>
      </w:r>
      <w:r>
        <w:tab/>
      </w:r>
    </w:p>
    <w:p w14:paraId="4E7ACE1E" w14:textId="77777777" w:rsidR="00925E9C" w:rsidRDefault="00925E9C" w:rsidP="00925E9C">
      <w:pPr>
        <w:suppressAutoHyphens w:val="0"/>
        <w:spacing w:before="0" w:after="120" w:line="276" w:lineRule="auto"/>
        <w:jc w:val="both"/>
      </w:pPr>
      <w:r w:rsidRPr="0008003A">
        <w:rPr>
          <w:b/>
          <w:bCs/>
        </w:rPr>
        <w:t>End date</w:t>
      </w:r>
      <w:r>
        <w:t>: June 2030</w:t>
      </w:r>
    </w:p>
    <w:p w14:paraId="584230D6" w14:textId="77777777" w:rsidR="00925E9C" w:rsidRDefault="00925E9C" w:rsidP="00925E9C">
      <w:pPr>
        <w:suppressAutoHyphens w:val="0"/>
        <w:spacing w:before="0" w:after="120" w:line="276" w:lineRule="auto"/>
        <w:jc w:val="both"/>
      </w:pPr>
      <w:r w:rsidRPr="0008003A">
        <w:rPr>
          <w:b/>
          <w:bCs/>
        </w:rPr>
        <w:t>Total proposed DFAT funding</w:t>
      </w:r>
      <w:r>
        <w:t>: up to AUD30 million</w:t>
      </w:r>
    </w:p>
    <w:p w14:paraId="7E5856B5" w14:textId="77777777" w:rsidR="00925E9C" w:rsidRDefault="00925E9C" w:rsidP="00925E9C">
      <w:pPr>
        <w:suppressAutoHyphens w:val="0"/>
        <w:spacing w:before="0" w:after="120" w:line="276" w:lineRule="auto"/>
        <w:jc w:val="both"/>
      </w:pPr>
      <w:r w:rsidRPr="0008003A">
        <w:rPr>
          <w:b/>
          <w:bCs/>
        </w:rPr>
        <w:t xml:space="preserve">Total proposed funding from all </w:t>
      </w:r>
      <w:proofErr w:type="gramStart"/>
      <w:r w:rsidRPr="0008003A">
        <w:rPr>
          <w:b/>
          <w:bCs/>
        </w:rPr>
        <w:t>donor</w:t>
      </w:r>
      <w:proofErr w:type="gramEnd"/>
      <w:r w:rsidRPr="0008003A">
        <w:rPr>
          <w:b/>
          <w:bCs/>
        </w:rPr>
        <w:t>(s)</w:t>
      </w:r>
      <w:r w:rsidRPr="0008003A">
        <w:rPr>
          <w:b/>
          <w:bCs/>
        </w:rPr>
        <w:tab/>
      </w:r>
      <w:r>
        <w:t>: up to AUD30 million</w:t>
      </w:r>
    </w:p>
    <w:p w14:paraId="1E035D36" w14:textId="77777777" w:rsidR="00925E9C" w:rsidRDefault="00925E9C" w:rsidP="00925E9C">
      <w:pPr>
        <w:suppressAutoHyphens w:val="0"/>
        <w:spacing w:before="0" w:after="120" w:line="276" w:lineRule="auto"/>
        <w:jc w:val="both"/>
      </w:pPr>
      <w:proofErr w:type="spellStart"/>
      <w:r w:rsidRPr="0008003A">
        <w:rPr>
          <w:b/>
          <w:bCs/>
        </w:rPr>
        <w:t>AidWorks</w:t>
      </w:r>
      <w:proofErr w:type="spellEnd"/>
      <w:r w:rsidRPr="0008003A">
        <w:rPr>
          <w:b/>
          <w:bCs/>
        </w:rPr>
        <w:t xml:space="preserve"> investment number</w:t>
      </w:r>
      <w:r>
        <w:t>: INO463</w:t>
      </w:r>
    </w:p>
    <w:p w14:paraId="021B930C" w14:textId="77777777" w:rsidR="00925E9C" w:rsidRDefault="00925E9C" w:rsidP="00925E9C">
      <w:pPr>
        <w:suppressAutoHyphens w:val="0"/>
        <w:spacing w:before="0" w:after="120" w:line="276" w:lineRule="auto"/>
        <w:jc w:val="both"/>
      </w:pPr>
      <w:r w:rsidRPr="0008003A">
        <w:rPr>
          <w:b/>
          <w:bCs/>
        </w:rPr>
        <w:t>Risk</w:t>
      </w:r>
      <w:r>
        <w:t>: Medium</w:t>
      </w:r>
    </w:p>
    <w:p w14:paraId="76E4F033" w14:textId="77777777" w:rsidR="00925E9C" w:rsidRDefault="00925E9C" w:rsidP="00925E9C">
      <w:pPr>
        <w:suppressAutoHyphens w:val="0"/>
        <w:spacing w:before="0" w:after="120" w:line="276" w:lineRule="auto"/>
        <w:jc w:val="both"/>
      </w:pPr>
      <w:r w:rsidRPr="0008003A">
        <w:rPr>
          <w:b/>
          <w:bCs/>
        </w:rPr>
        <w:t>Value</w:t>
      </w:r>
      <w:r>
        <w:t>: Medium</w:t>
      </w:r>
    </w:p>
    <w:p w14:paraId="47DFC140" w14:textId="77777777" w:rsidR="00925E9C" w:rsidRDefault="00925E9C" w:rsidP="00925E9C">
      <w:pPr>
        <w:suppressAutoHyphens w:val="0"/>
        <w:spacing w:before="840" w:after="120" w:line="276" w:lineRule="auto"/>
        <w:jc w:val="both"/>
      </w:pPr>
      <w:r w:rsidRPr="00E378CE">
        <w:t>Note: This Investment Design Document was produced by a design team following analysis and extensive consultations conducted in Indonesia and Australia from July to October 2025.</w:t>
      </w:r>
    </w:p>
    <w:p w14:paraId="63272701" w14:textId="05310624" w:rsidR="00FF320D" w:rsidRDefault="00FF320D" w:rsidP="00575710">
      <w:pPr>
        <w:suppressAutoHyphens w:val="0"/>
        <w:spacing w:before="840" w:after="120" w:line="276" w:lineRule="auto"/>
        <w:sectPr w:rsidR="00FF320D" w:rsidSect="00A51D63">
          <w:headerReference w:type="first" r:id="rId18"/>
          <w:type w:val="continuous"/>
          <w:pgSz w:w="11906" w:h="16838" w:code="9"/>
          <w:pgMar w:top="1701" w:right="1134" w:bottom="1418" w:left="1134" w:header="425" w:footer="493" w:gutter="0"/>
          <w:pgNumType w:start="0"/>
          <w:cols w:space="397"/>
          <w:titlePg/>
          <w:docGrid w:linePitch="360"/>
        </w:sectPr>
      </w:pPr>
    </w:p>
    <w:sdt>
      <w:sdtPr>
        <w:rPr>
          <w:rFonts w:eastAsiaTheme="minorEastAsia"/>
          <w:b w:val="0"/>
          <w:caps w:val="0"/>
          <w:noProof w:val="0"/>
          <w:color w:val="242C32" w:themeColor="text2" w:themeShade="80"/>
          <w:sz w:val="22"/>
        </w:rPr>
        <w:id w:val="1481571347"/>
        <w:docPartObj>
          <w:docPartGallery w:val="Table of Contents"/>
          <w:docPartUnique/>
        </w:docPartObj>
      </w:sdtPr>
      <w:sdtContent>
        <w:p w14:paraId="62697362" w14:textId="0DECDCE3" w:rsidR="00E91BC2" w:rsidRDefault="00902F90" w:rsidP="007D429B">
          <w:pPr>
            <w:pStyle w:val="TOC1"/>
            <w:rPr>
              <w:rFonts w:eastAsiaTheme="minorEastAsia"/>
              <w:color w:val="000000"/>
              <w:kern w:val="2"/>
              <w:szCs w:val="24"/>
              <w:lang w:val="en-US"/>
              <w14:textFill>
                <w14:solidFill>
                  <w14:srgbClr w14:val="000000">
                    <w14:lumMod w14:val="50000"/>
                  </w14:srgbClr>
                </w14:solidFill>
              </w14:textFill>
              <w14:ligatures w14:val="standardContextual"/>
            </w:rPr>
          </w:pPr>
          <w:r w:rsidRPr="00B57CB6">
            <w:rPr>
              <w:rFonts w:asciiTheme="majorHAnsi" w:eastAsiaTheme="majorEastAsia" w:hAnsiTheme="majorHAnsi" w:cstheme="minorHAnsi"/>
              <w:bCs/>
              <w:color w:val="C2E8E1"/>
              <w:sz w:val="16"/>
              <w:szCs w:val="16"/>
              <w14:textFill>
                <w14:solidFill>
                  <w14:srgbClr w14:val="C2E8E1">
                    <w14:lumMod w14:val="50000"/>
                  </w14:srgbClr>
                </w14:solidFill>
              </w14:textFill>
            </w:rPr>
            <w:fldChar w:fldCharType="begin"/>
          </w:r>
          <w:r w:rsidRPr="00B57CB6">
            <w:rPr>
              <w:rFonts w:cstheme="minorHAnsi"/>
              <w:sz w:val="16"/>
              <w:szCs w:val="16"/>
            </w:rPr>
            <w:instrText xml:space="preserve"> TOC \o "1-2" \h \z \u </w:instrText>
          </w:r>
          <w:r w:rsidRPr="00B57CB6">
            <w:rPr>
              <w:rFonts w:asciiTheme="majorHAnsi" w:eastAsiaTheme="majorEastAsia" w:hAnsiTheme="majorHAnsi" w:cstheme="minorHAnsi"/>
              <w:bCs/>
              <w:color w:val="C2E8E1"/>
              <w:sz w:val="16"/>
              <w:szCs w:val="16"/>
              <w14:textFill>
                <w14:solidFill>
                  <w14:srgbClr w14:val="C2E8E1">
                    <w14:lumMod w14:val="50000"/>
                  </w14:srgbClr>
                </w14:solidFill>
              </w14:textFill>
            </w:rPr>
            <w:fldChar w:fldCharType="separate"/>
          </w:r>
          <w:hyperlink w:anchor="_Toc232524256" w:history="1">
            <w:r w:rsidR="00E91BC2" w:rsidRPr="007D429B">
              <w:rPr>
                <w:rStyle w:val="Hyperlink"/>
                <w:color w:val="296C60" w:themeColor="accent1" w:themeShade="80"/>
              </w:rPr>
              <w:t>Executive Summary</w:t>
            </w:r>
            <w:r w:rsidR="00E91BC2">
              <w:rPr>
                <w:webHidden/>
              </w:rPr>
              <w:tab/>
            </w:r>
            <w:r w:rsidR="00E91BC2">
              <w:rPr>
                <w:webHidden/>
              </w:rPr>
              <w:fldChar w:fldCharType="begin"/>
            </w:r>
            <w:r w:rsidR="00E91BC2">
              <w:rPr>
                <w:webHidden/>
              </w:rPr>
              <w:instrText xml:space="preserve"> PAGEREF _Toc232524256 \h </w:instrText>
            </w:r>
            <w:r w:rsidR="00E91BC2">
              <w:rPr>
                <w:webHidden/>
              </w:rPr>
            </w:r>
            <w:r w:rsidR="00E91BC2">
              <w:rPr>
                <w:webHidden/>
              </w:rPr>
              <w:fldChar w:fldCharType="separate"/>
            </w:r>
            <w:r w:rsidR="00E91BC2">
              <w:rPr>
                <w:webHidden/>
              </w:rPr>
              <w:t>i</w:t>
            </w:r>
            <w:r w:rsidR="00E91BC2">
              <w:rPr>
                <w:webHidden/>
              </w:rPr>
              <w:fldChar w:fldCharType="end"/>
            </w:r>
          </w:hyperlink>
        </w:p>
        <w:p w14:paraId="4E924ECD" w14:textId="0F07F43A" w:rsidR="00E91BC2" w:rsidRPr="007D429B" w:rsidRDefault="00E91BC2" w:rsidP="007D429B">
          <w:pPr>
            <w:pStyle w:val="TOC1"/>
            <w:rPr>
              <w:rFonts w:eastAsiaTheme="minorEastAsia"/>
              <w:kern w:val="2"/>
              <w:szCs w:val="24"/>
              <w:lang w:val="en-US"/>
              <w14:ligatures w14:val="standardContextual"/>
            </w:rPr>
          </w:pPr>
          <w:hyperlink w:anchor="_Toc232524262" w:history="1">
            <w:r w:rsidRPr="007D429B">
              <w:rPr>
                <w:rStyle w:val="Hyperlink"/>
                <w:color w:val="296C60" w:themeColor="accent1" w:themeShade="80"/>
              </w:rPr>
              <w:t>1.</w:t>
            </w:r>
            <w:r w:rsidRPr="007D429B">
              <w:rPr>
                <w:rFonts w:eastAsiaTheme="minorEastAsia"/>
                <w:kern w:val="2"/>
                <w:szCs w:val="24"/>
                <w:lang w:val="en-US"/>
                <w14:ligatures w14:val="standardContextual"/>
              </w:rPr>
              <w:tab/>
            </w:r>
            <w:r w:rsidRPr="007D429B">
              <w:rPr>
                <w:rStyle w:val="Hyperlink"/>
                <w:color w:val="296C60" w:themeColor="accent1" w:themeShade="80"/>
              </w:rPr>
              <w:t>Development Context and Situational Analysis</w:t>
            </w:r>
            <w:r w:rsidRPr="007D429B">
              <w:rPr>
                <w:webHidden/>
              </w:rPr>
              <w:tab/>
            </w:r>
            <w:r w:rsidRPr="007D429B">
              <w:rPr>
                <w:webHidden/>
              </w:rPr>
              <w:fldChar w:fldCharType="begin"/>
            </w:r>
            <w:r w:rsidRPr="007D429B">
              <w:rPr>
                <w:webHidden/>
              </w:rPr>
              <w:instrText xml:space="preserve"> PAGEREF _Toc232524262 \h </w:instrText>
            </w:r>
            <w:r w:rsidRPr="007D429B">
              <w:rPr>
                <w:webHidden/>
              </w:rPr>
            </w:r>
            <w:r w:rsidRPr="007D429B">
              <w:rPr>
                <w:webHidden/>
              </w:rPr>
              <w:fldChar w:fldCharType="separate"/>
            </w:r>
            <w:r w:rsidRPr="007D429B">
              <w:rPr>
                <w:webHidden/>
              </w:rPr>
              <w:t>1</w:t>
            </w:r>
            <w:r w:rsidRPr="007D429B">
              <w:rPr>
                <w:webHidden/>
              </w:rPr>
              <w:fldChar w:fldCharType="end"/>
            </w:r>
          </w:hyperlink>
        </w:p>
        <w:p w14:paraId="5DE5EEAE" w14:textId="5A3DF0B5"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63" w:history="1">
            <w:r w:rsidRPr="009A08AE">
              <w:rPr>
                <w:rStyle w:val="Hyperlink"/>
                <w:noProof/>
              </w:rPr>
              <w:t>1.1</w:t>
            </w:r>
            <w:r>
              <w:rPr>
                <w:rFonts w:eastAsiaTheme="minorEastAsia"/>
                <w:noProof/>
                <w:color w:val="auto"/>
                <w:kern w:val="2"/>
                <w:sz w:val="24"/>
                <w:szCs w:val="24"/>
                <w:lang w:val="en-US"/>
                <w14:ligatures w14:val="standardContextual"/>
              </w:rPr>
              <w:tab/>
            </w:r>
            <w:r w:rsidRPr="009A08AE">
              <w:rPr>
                <w:rStyle w:val="Hyperlink"/>
                <w:noProof/>
              </w:rPr>
              <w:t>Country/Regional and Sector Issues</w:t>
            </w:r>
            <w:r>
              <w:rPr>
                <w:noProof/>
                <w:webHidden/>
              </w:rPr>
              <w:tab/>
            </w:r>
            <w:r>
              <w:rPr>
                <w:noProof/>
                <w:webHidden/>
              </w:rPr>
              <w:fldChar w:fldCharType="begin"/>
            </w:r>
            <w:r>
              <w:rPr>
                <w:noProof/>
                <w:webHidden/>
              </w:rPr>
              <w:instrText xml:space="preserve"> PAGEREF _Toc232524263 \h </w:instrText>
            </w:r>
            <w:r>
              <w:rPr>
                <w:noProof/>
                <w:webHidden/>
              </w:rPr>
            </w:r>
            <w:r>
              <w:rPr>
                <w:noProof/>
                <w:webHidden/>
              </w:rPr>
              <w:fldChar w:fldCharType="separate"/>
            </w:r>
            <w:r>
              <w:rPr>
                <w:noProof/>
                <w:webHidden/>
              </w:rPr>
              <w:t>1</w:t>
            </w:r>
            <w:r>
              <w:rPr>
                <w:noProof/>
                <w:webHidden/>
              </w:rPr>
              <w:fldChar w:fldCharType="end"/>
            </w:r>
          </w:hyperlink>
        </w:p>
        <w:p w14:paraId="59026BBE" w14:textId="6BDA3C03" w:rsidR="00E91BC2" w:rsidRDefault="00E91BC2">
          <w:pPr>
            <w:pStyle w:val="TOC2"/>
            <w:tabs>
              <w:tab w:val="right" w:pos="9628"/>
            </w:tabs>
            <w:rPr>
              <w:rFonts w:eastAsiaTheme="minorEastAsia"/>
              <w:noProof/>
              <w:color w:val="auto"/>
              <w:kern w:val="2"/>
              <w:sz w:val="24"/>
              <w:szCs w:val="24"/>
              <w:lang w:val="en-US"/>
              <w14:ligatures w14:val="standardContextual"/>
            </w:rPr>
          </w:pPr>
          <w:hyperlink w:anchor="_Toc232524265" w:history="1">
            <w:r w:rsidRPr="009A08AE">
              <w:rPr>
                <w:rStyle w:val="Hyperlink"/>
                <w:noProof/>
              </w:rPr>
              <w:t xml:space="preserve">1.2 </w:t>
            </w:r>
            <w:r>
              <w:rPr>
                <w:rStyle w:val="Hyperlink"/>
                <w:noProof/>
              </w:rPr>
              <w:t xml:space="preserve">      </w:t>
            </w:r>
            <w:r w:rsidRPr="009A08AE">
              <w:rPr>
                <w:rStyle w:val="Hyperlink"/>
                <w:noProof/>
              </w:rPr>
              <w:t>Evidence base and Lessons Learned</w:t>
            </w:r>
            <w:r>
              <w:rPr>
                <w:noProof/>
                <w:webHidden/>
              </w:rPr>
              <w:tab/>
            </w:r>
            <w:r>
              <w:rPr>
                <w:noProof/>
                <w:webHidden/>
              </w:rPr>
              <w:fldChar w:fldCharType="begin"/>
            </w:r>
            <w:r>
              <w:rPr>
                <w:noProof/>
                <w:webHidden/>
              </w:rPr>
              <w:instrText xml:space="preserve"> PAGEREF _Toc232524265 \h </w:instrText>
            </w:r>
            <w:r>
              <w:rPr>
                <w:noProof/>
                <w:webHidden/>
              </w:rPr>
            </w:r>
            <w:r>
              <w:rPr>
                <w:noProof/>
                <w:webHidden/>
              </w:rPr>
              <w:fldChar w:fldCharType="separate"/>
            </w:r>
            <w:r>
              <w:rPr>
                <w:noProof/>
                <w:webHidden/>
              </w:rPr>
              <w:t>2</w:t>
            </w:r>
            <w:r>
              <w:rPr>
                <w:noProof/>
                <w:webHidden/>
              </w:rPr>
              <w:fldChar w:fldCharType="end"/>
            </w:r>
          </w:hyperlink>
        </w:p>
        <w:p w14:paraId="4CEC2C64" w14:textId="11D613B4" w:rsidR="00E91BC2" w:rsidRDefault="00E91BC2" w:rsidP="007D429B">
          <w:pPr>
            <w:pStyle w:val="TOC1"/>
            <w:rPr>
              <w:rFonts w:eastAsiaTheme="minorEastAsia"/>
              <w:color w:val="000000"/>
              <w:kern w:val="2"/>
              <w:szCs w:val="24"/>
              <w:lang w:val="en-US"/>
              <w14:textFill>
                <w14:solidFill>
                  <w14:srgbClr w14:val="000000">
                    <w14:lumMod w14:val="50000"/>
                  </w14:srgbClr>
                </w14:solidFill>
              </w14:textFill>
              <w14:ligatures w14:val="standardContextual"/>
            </w:rPr>
          </w:pPr>
          <w:hyperlink w:anchor="_Toc232524266" w:history="1">
            <w:r w:rsidRPr="009A08AE">
              <w:rPr>
                <w:rStyle w:val="Hyperlink"/>
              </w:rPr>
              <w:t>2.</w:t>
            </w:r>
            <w:r>
              <w:rPr>
                <w:rFonts w:eastAsiaTheme="minorEastAsia"/>
                <w:color w:val="000000"/>
                <w:kern w:val="2"/>
                <w:szCs w:val="24"/>
                <w:lang w:val="en-US"/>
                <w14:textFill>
                  <w14:solidFill>
                    <w14:srgbClr w14:val="000000">
                      <w14:lumMod w14:val="50000"/>
                    </w14:srgbClr>
                  </w14:solidFill>
                </w14:textFill>
                <w14:ligatures w14:val="standardContextual"/>
              </w:rPr>
              <w:tab/>
            </w:r>
            <w:r w:rsidRPr="009A08AE">
              <w:rPr>
                <w:rStyle w:val="Hyperlink"/>
              </w:rPr>
              <w:t>Strategic Intent and Rationale</w:t>
            </w:r>
            <w:r>
              <w:rPr>
                <w:webHidden/>
              </w:rPr>
              <w:tab/>
            </w:r>
            <w:r>
              <w:rPr>
                <w:webHidden/>
              </w:rPr>
              <w:fldChar w:fldCharType="begin"/>
            </w:r>
            <w:r>
              <w:rPr>
                <w:webHidden/>
              </w:rPr>
              <w:instrText xml:space="preserve"> PAGEREF _Toc232524266 \h </w:instrText>
            </w:r>
            <w:r>
              <w:rPr>
                <w:webHidden/>
              </w:rPr>
            </w:r>
            <w:r>
              <w:rPr>
                <w:webHidden/>
              </w:rPr>
              <w:fldChar w:fldCharType="separate"/>
            </w:r>
            <w:r>
              <w:rPr>
                <w:webHidden/>
              </w:rPr>
              <w:t>2</w:t>
            </w:r>
            <w:r>
              <w:rPr>
                <w:webHidden/>
              </w:rPr>
              <w:fldChar w:fldCharType="end"/>
            </w:r>
          </w:hyperlink>
        </w:p>
        <w:p w14:paraId="1B6FE666" w14:textId="148F3098"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67" w:history="1">
            <w:r w:rsidRPr="009A08AE">
              <w:rPr>
                <w:rStyle w:val="Hyperlink"/>
                <w:noProof/>
              </w:rPr>
              <w:t>2.1</w:t>
            </w:r>
            <w:r>
              <w:rPr>
                <w:rFonts w:eastAsiaTheme="minorEastAsia"/>
                <w:noProof/>
                <w:color w:val="auto"/>
                <w:kern w:val="2"/>
                <w:sz w:val="24"/>
                <w:szCs w:val="24"/>
                <w:lang w:val="en-US"/>
                <w14:ligatures w14:val="standardContextual"/>
              </w:rPr>
              <w:tab/>
            </w:r>
            <w:r w:rsidRPr="009A08AE">
              <w:rPr>
                <w:rStyle w:val="Hyperlink"/>
                <w:noProof/>
              </w:rPr>
              <w:t>Policy Alignment</w:t>
            </w:r>
            <w:r>
              <w:rPr>
                <w:noProof/>
                <w:webHidden/>
              </w:rPr>
              <w:tab/>
            </w:r>
            <w:r>
              <w:rPr>
                <w:noProof/>
                <w:webHidden/>
              </w:rPr>
              <w:fldChar w:fldCharType="begin"/>
            </w:r>
            <w:r>
              <w:rPr>
                <w:noProof/>
                <w:webHidden/>
              </w:rPr>
              <w:instrText xml:space="preserve"> PAGEREF _Toc232524267 \h </w:instrText>
            </w:r>
            <w:r>
              <w:rPr>
                <w:noProof/>
                <w:webHidden/>
              </w:rPr>
            </w:r>
            <w:r>
              <w:rPr>
                <w:noProof/>
                <w:webHidden/>
              </w:rPr>
              <w:fldChar w:fldCharType="separate"/>
            </w:r>
            <w:r>
              <w:rPr>
                <w:noProof/>
                <w:webHidden/>
              </w:rPr>
              <w:t>3</w:t>
            </w:r>
            <w:r>
              <w:rPr>
                <w:noProof/>
                <w:webHidden/>
              </w:rPr>
              <w:fldChar w:fldCharType="end"/>
            </w:r>
          </w:hyperlink>
        </w:p>
        <w:p w14:paraId="2EE6AA60" w14:textId="65FAE0B9"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68" w:history="1">
            <w:r w:rsidRPr="009A08AE">
              <w:rPr>
                <w:rStyle w:val="Hyperlink"/>
                <w:noProof/>
              </w:rPr>
              <w:t>2.2</w:t>
            </w:r>
            <w:r>
              <w:rPr>
                <w:rFonts w:eastAsiaTheme="minorEastAsia"/>
                <w:noProof/>
                <w:color w:val="auto"/>
                <w:kern w:val="2"/>
                <w:sz w:val="24"/>
                <w:szCs w:val="24"/>
                <w:lang w:val="en-US"/>
                <w14:ligatures w14:val="standardContextual"/>
              </w:rPr>
              <w:tab/>
            </w:r>
            <w:r w:rsidRPr="009A08AE">
              <w:rPr>
                <w:rStyle w:val="Hyperlink"/>
                <w:noProof/>
              </w:rPr>
              <w:t>Australia’s Comparative Advantage</w:t>
            </w:r>
            <w:r>
              <w:rPr>
                <w:noProof/>
                <w:webHidden/>
              </w:rPr>
              <w:tab/>
            </w:r>
            <w:r>
              <w:rPr>
                <w:noProof/>
                <w:webHidden/>
              </w:rPr>
              <w:fldChar w:fldCharType="begin"/>
            </w:r>
            <w:r>
              <w:rPr>
                <w:noProof/>
                <w:webHidden/>
              </w:rPr>
              <w:instrText xml:space="preserve"> PAGEREF _Toc232524268 \h </w:instrText>
            </w:r>
            <w:r>
              <w:rPr>
                <w:noProof/>
                <w:webHidden/>
              </w:rPr>
            </w:r>
            <w:r>
              <w:rPr>
                <w:noProof/>
                <w:webHidden/>
              </w:rPr>
              <w:fldChar w:fldCharType="separate"/>
            </w:r>
            <w:r>
              <w:rPr>
                <w:noProof/>
                <w:webHidden/>
              </w:rPr>
              <w:t>4</w:t>
            </w:r>
            <w:r>
              <w:rPr>
                <w:noProof/>
                <w:webHidden/>
              </w:rPr>
              <w:fldChar w:fldCharType="end"/>
            </w:r>
          </w:hyperlink>
        </w:p>
        <w:p w14:paraId="6222FE1D" w14:textId="69C0F077" w:rsidR="00E91BC2" w:rsidRDefault="00E91BC2" w:rsidP="007D429B">
          <w:pPr>
            <w:pStyle w:val="TOC1"/>
            <w:rPr>
              <w:rFonts w:eastAsiaTheme="minorEastAsia"/>
              <w:color w:val="000000"/>
              <w:kern w:val="2"/>
              <w:szCs w:val="24"/>
              <w:lang w:val="en-US"/>
              <w14:textFill>
                <w14:solidFill>
                  <w14:srgbClr w14:val="000000">
                    <w14:lumMod w14:val="50000"/>
                  </w14:srgbClr>
                </w14:solidFill>
              </w14:textFill>
              <w14:ligatures w14:val="standardContextual"/>
            </w:rPr>
          </w:pPr>
          <w:hyperlink w:anchor="_Toc232524269" w:history="1">
            <w:r w:rsidRPr="009A08AE">
              <w:rPr>
                <w:rStyle w:val="Hyperlink"/>
              </w:rPr>
              <w:t>3.</w:t>
            </w:r>
            <w:r>
              <w:rPr>
                <w:rFonts w:eastAsiaTheme="minorEastAsia"/>
                <w:color w:val="000000"/>
                <w:kern w:val="2"/>
                <w:szCs w:val="24"/>
                <w:lang w:val="en-US"/>
                <w14:textFill>
                  <w14:solidFill>
                    <w14:srgbClr w14:val="000000">
                      <w14:lumMod w14:val="50000"/>
                    </w14:srgbClr>
                  </w14:solidFill>
                </w14:textFill>
                <w14:ligatures w14:val="standardContextual"/>
              </w:rPr>
              <w:tab/>
            </w:r>
            <w:r w:rsidRPr="009A08AE">
              <w:rPr>
                <w:rStyle w:val="Hyperlink"/>
              </w:rPr>
              <w:t>Proposed Outcomes and Investment Options</w:t>
            </w:r>
            <w:r>
              <w:rPr>
                <w:webHidden/>
              </w:rPr>
              <w:tab/>
            </w:r>
            <w:r>
              <w:rPr>
                <w:webHidden/>
              </w:rPr>
              <w:fldChar w:fldCharType="begin"/>
            </w:r>
            <w:r>
              <w:rPr>
                <w:webHidden/>
              </w:rPr>
              <w:instrText xml:space="preserve"> PAGEREF _Toc232524269 \h </w:instrText>
            </w:r>
            <w:r>
              <w:rPr>
                <w:webHidden/>
              </w:rPr>
            </w:r>
            <w:r>
              <w:rPr>
                <w:webHidden/>
              </w:rPr>
              <w:fldChar w:fldCharType="separate"/>
            </w:r>
            <w:r>
              <w:rPr>
                <w:webHidden/>
              </w:rPr>
              <w:t>5</w:t>
            </w:r>
            <w:r>
              <w:rPr>
                <w:webHidden/>
              </w:rPr>
              <w:fldChar w:fldCharType="end"/>
            </w:r>
          </w:hyperlink>
        </w:p>
        <w:p w14:paraId="737B852F" w14:textId="12142B14"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70" w:history="1">
            <w:r w:rsidRPr="009A08AE">
              <w:rPr>
                <w:rStyle w:val="Hyperlink"/>
                <w:noProof/>
              </w:rPr>
              <w:t>3.1</w:t>
            </w:r>
            <w:r>
              <w:rPr>
                <w:rFonts w:eastAsiaTheme="minorEastAsia"/>
                <w:noProof/>
                <w:color w:val="auto"/>
                <w:kern w:val="2"/>
                <w:sz w:val="24"/>
                <w:szCs w:val="24"/>
                <w:lang w:val="en-US"/>
                <w14:ligatures w14:val="standardContextual"/>
              </w:rPr>
              <w:tab/>
            </w:r>
            <w:r w:rsidRPr="009A08AE">
              <w:rPr>
                <w:rStyle w:val="Hyperlink"/>
                <w:noProof/>
              </w:rPr>
              <w:t>Program Logic Model</w:t>
            </w:r>
            <w:r>
              <w:rPr>
                <w:noProof/>
                <w:webHidden/>
              </w:rPr>
              <w:tab/>
            </w:r>
            <w:r>
              <w:rPr>
                <w:noProof/>
                <w:webHidden/>
              </w:rPr>
              <w:fldChar w:fldCharType="begin"/>
            </w:r>
            <w:r>
              <w:rPr>
                <w:noProof/>
                <w:webHidden/>
              </w:rPr>
              <w:instrText xml:space="preserve"> PAGEREF _Toc232524270 \h </w:instrText>
            </w:r>
            <w:r>
              <w:rPr>
                <w:noProof/>
                <w:webHidden/>
              </w:rPr>
            </w:r>
            <w:r>
              <w:rPr>
                <w:noProof/>
                <w:webHidden/>
              </w:rPr>
              <w:fldChar w:fldCharType="separate"/>
            </w:r>
            <w:r>
              <w:rPr>
                <w:noProof/>
                <w:webHidden/>
              </w:rPr>
              <w:t>6</w:t>
            </w:r>
            <w:r>
              <w:rPr>
                <w:noProof/>
                <w:webHidden/>
              </w:rPr>
              <w:fldChar w:fldCharType="end"/>
            </w:r>
          </w:hyperlink>
        </w:p>
        <w:p w14:paraId="64B1566E" w14:textId="6F14553C"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71" w:history="1">
            <w:r w:rsidRPr="009A08AE">
              <w:rPr>
                <w:rStyle w:val="Hyperlink"/>
                <w:noProof/>
              </w:rPr>
              <w:t>3.2</w:t>
            </w:r>
            <w:r>
              <w:rPr>
                <w:rFonts w:eastAsiaTheme="minorEastAsia"/>
                <w:noProof/>
                <w:color w:val="auto"/>
                <w:kern w:val="2"/>
                <w:sz w:val="24"/>
                <w:szCs w:val="24"/>
                <w:lang w:val="en-US"/>
                <w14:ligatures w14:val="standardContextual"/>
              </w:rPr>
              <w:tab/>
            </w:r>
            <w:r w:rsidRPr="009A08AE">
              <w:rPr>
                <w:rStyle w:val="Hyperlink"/>
                <w:noProof/>
              </w:rPr>
              <w:t>Program Logic Narrative</w:t>
            </w:r>
            <w:r>
              <w:rPr>
                <w:noProof/>
                <w:webHidden/>
              </w:rPr>
              <w:tab/>
            </w:r>
            <w:r>
              <w:rPr>
                <w:noProof/>
                <w:webHidden/>
              </w:rPr>
              <w:fldChar w:fldCharType="begin"/>
            </w:r>
            <w:r>
              <w:rPr>
                <w:noProof/>
                <w:webHidden/>
              </w:rPr>
              <w:instrText xml:space="preserve"> PAGEREF _Toc232524271 \h </w:instrText>
            </w:r>
            <w:r>
              <w:rPr>
                <w:noProof/>
                <w:webHidden/>
              </w:rPr>
            </w:r>
            <w:r>
              <w:rPr>
                <w:noProof/>
                <w:webHidden/>
              </w:rPr>
              <w:fldChar w:fldCharType="separate"/>
            </w:r>
            <w:r>
              <w:rPr>
                <w:noProof/>
                <w:webHidden/>
              </w:rPr>
              <w:t>7</w:t>
            </w:r>
            <w:r>
              <w:rPr>
                <w:noProof/>
                <w:webHidden/>
              </w:rPr>
              <w:fldChar w:fldCharType="end"/>
            </w:r>
          </w:hyperlink>
        </w:p>
        <w:p w14:paraId="024DABA2" w14:textId="5A28382A" w:rsidR="00E91BC2" w:rsidRDefault="00E91BC2" w:rsidP="007D429B">
          <w:pPr>
            <w:pStyle w:val="TOC1"/>
            <w:rPr>
              <w:rFonts w:eastAsiaTheme="minorEastAsia"/>
              <w:color w:val="000000"/>
              <w:kern w:val="2"/>
              <w:szCs w:val="24"/>
              <w:lang w:val="en-US"/>
              <w14:textFill>
                <w14:solidFill>
                  <w14:srgbClr w14:val="000000">
                    <w14:lumMod w14:val="50000"/>
                  </w14:srgbClr>
                </w14:solidFill>
              </w14:textFill>
              <w14:ligatures w14:val="standardContextual"/>
            </w:rPr>
          </w:pPr>
          <w:hyperlink w:anchor="_Toc232524272" w:history="1">
            <w:r w:rsidRPr="009A08AE">
              <w:rPr>
                <w:rStyle w:val="Hyperlink"/>
              </w:rPr>
              <w:t>4.</w:t>
            </w:r>
            <w:r>
              <w:rPr>
                <w:rFonts w:eastAsiaTheme="minorEastAsia"/>
                <w:color w:val="000000"/>
                <w:kern w:val="2"/>
                <w:szCs w:val="24"/>
                <w:lang w:val="en-US"/>
                <w14:textFill>
                  <w14:solidFill>
                    <w14:srgbClr w14:val="000000">
                      <w14:lumMod w14:val="50000"/>
                    </w14:srgbClr>
                  </w14:solidFill>
                </w14:textFill>
                <w14:ligatures w14:val="standardContextual"/>
              </w:rPr>
              <w:tab/>
            </w:r>
            <w:r w:rsidRPr="009A08AE">
              <w:rPr>
                <w:rStyle w:val="Hyperlink"/>
              </w:rPr>
              <w:t>Delivery Approach</w:t>
            </w:r>
            <w:r>
              <w:rPr>
                <w:webHidden/>
              </w:rPr>
              <w:tab/>
            </w:r>
            <w:r>
              <w:rPr>
                <w:webHidden/>
              </w:rPr>
              <w:fldChar w:fldCharType="begin"/>
            </w:r>
            <w:r>
              <w:rPr>
                <w:webHidden/>
              </w:rPr>
              <w:instrText xml:space="preserve"> PAGEREF _Toc232524272 \h </w:instrText>
            </w:r>
            <w:r>
              <w:rPr>
                <w:webHidden/>
              </w:rPr>
            </w:r>
            <w:r>
              <w:rPr>
                <w:webHidden/>
              </w:rPr>
              <w:fldChar w:fldCharType="separate"/>
            </w:r>
            <w:r>
              <w:rPr>
                <w:webHidden/>
              </w:rPr>
              <w:t>13</w:t>
            </w:r>
            <w:r>
              <w:rPr>
                <w:webHidden/>
              </w:rPr>
              <w:fldChar w:fldCharType="end"/>
            </w:r>
          </w:hyperlink>
        </w:p>
        <w:p w14:paraId="78BE0804" w14:textId="0ACE0100"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73" w:history="1">
            <w:r w:rsidRPr="009A08AE">
              <w:rPr>
                <w:rStyle w:val="Hyperlink"/>
                <w:noProof/>
              </w:rPr>
              <w:t>4.1</w:t>
            </w:r>
            <w:r>
              <w:rPr>
                <w:rFonts w:eastAsiaTheme="minorEastAsia"/>
                <w:noProof/>
                <w:color w:val="auto"/>
                <w:kern w:val="2"/>
                <w:sz w:val="24"/>
                <w:szCs w:val="24"/>
                <w:lang w:val="en-US"/>
                <w14:ligatures w14:val="standardContextual"/>
              </w:rPr>
              <w:tab/>
            </w:r>
            <w:r w:rsidRPr="009A08AE">
              <w:rPr>
                <w:rStyle w:val="Hyperlink"/>
                <w:noProof/>
              </w:rPr>
              <w:t>Component 1 – State Institutional Partnerships</w:t>
            </w:r>
            <w:r>
              <w:rPr>
                <w:noProof/>
                <w:webHidden/>
              </w:rPr>
              <w:tab/>
            </w:r>
            <w:r>
              <w:rPr>
                <w:noProof/>
                <w:webHidden/>
              </w:rPr>
              <w:fldChar w:fldCharType="begin"/>
            </w:r>
            <w:r>
              <w:rPr>
                <w:noProof/>
                <w:webHidden/>
              </w:rPr>
              <w:instrText xml:space="preserve"> PAGEREF _Toc232524273 \h </w:instrText>
            </w:r>
            <w:r>
              <w:rPr>
                <w:noProof/>
                <w:webHidden/>
              </w:rPr>
            </w:r>
            <w:r>
              <w:rPr>
                <w:noProof/>
                <w:webHidden/>
              </w:rPr>
              <w:fldChar w:fldCharType="separate"/>
            </w:r>
            <w:r>
              <w:rPr>
                <w:noProof/>
                <w:webHidden/>
              </w:rPr>
              <w:t>13</w:t>
            </w:r>
            <w:r>
              <w:rPr>
                <w:noProof/>
                <w:webHidden/>
              </w:rPr>
              <w:fldChar w:fldCharType="end"/>
            </w:r>
          </w:hyperlink>
        </w:p>
        <w:p w14:paraId="2D467B11" w14:textId="22CFA9BC"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74" w:history="1">
            <w:r w:rsidRPr="009A08AE">
              <w:rPr>
                <w:rStyle w:val="Hyperlink"/>
                <w:noProof/>
              </w:rPr>
              <w:t>4.2</w:t>
            </w:r>
            <w:r>
              <w:rPr>
                <w:rFonts w:eastAsiaTheme="minorEastAsia"/>
                <w:noProof/>
                <w:color w:val="auto"/>
                <w:kern w:val="2"/>
                <w:sz w:val="24"/>
                <w:szCs w:val="24"/>
                <w:lang w:val="en-US"/>
                <w14:ligatures w14:val="standardContextual"/>
              </w:rPr>
              <w:tab/>
            </w:r>
            <w:r w:rsidRPr="009A08AE">
              <w:rPr>
                <w:rStyle w:val="Hyperlink"/>
                <w:noProof/>
              </w:rPr>
              <w:t>Component 2 – Civil Society Partnership (CSP)</w:t>
            </w:r>
            <w:r>
              <w:rPr>
                <w:noProof/>
                <w:webHidden/>
              </w:rPr>
              <w:tab/>
            </w:r>
            <w:r>
              <w:rPr>
                <w:noProof/>
                <w:webHidden/>
              </w:rPr>
              <w:fldChar w:fldCharType="begin"/>
            </w:r>
            <w:r>
              <w:rPr>
                <w:noProof/>
                <w:webHidden/>
              </w:rPr>
              <w:instrText xml:space="preserve"> PAGEREF _Toc232524274 \h </w:instrText>
            </w:r>
            <w:r>
              <w:rPr>
                <w:noProof/>
                <w:webHidden/>
              </w:rPr>
            </w:r>
            <w:r>
              <w:rPr>
                <w:noProof/>
                <w:webHidden/>
              </w:rPr>
              <w:fldChar w:fldCharType="separate"/>
            </w:r>
            <w:r>
              <w:rPr>
                <w:noProof/>
                <w:webHidden/>
              </w:rPr>
              <w:t>14</w:t>
            </w:r>
            <w:r>
              <w:rPr>
                <w:noProof/>
                <w:webHidden/>
              </w:rPr>
              <w:fldChar w:fldCharType="end"/>
            </w:r>
          </w:hyperlink>
        </w:p>
        <w:p w14:paraId="03EBFE17" w14:textId="4A607E63"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75" w:history="1">
            <w:r w:rsidRPr="009A08AE">
              <w:rPr>
                <w:rStyle w:val="Hyperlink"/>
                <w:noProof/>
                <w:lang w:val="en-AU" w:eastAsia="en-AU"/>
              </w:rPr>
              <w:t>4.3</w:t>
            </w:r>
            <w:r>
              <w:rPr>
                <w:rFonts w:eastAsiaTheme="minorEastAsia"/>
                <w:noProof/>
                <w:color w:val="auto"/>
                <w:kern w:val="2"/>
                <w:sz w:val="24"/>
                <w:szCs w:val="24"/>
                <w:lang w:val="en-US"/>
                <w14:ligatures w14:val="standardContextual"/>
              </w:rPr>
              <w:tab/>
            </w:r>
            <w:r w:rsidRPr="009A08AE">
              <w:rPr>
                <w:rStyle w:val="Hyperlink"/>
                <w:noProof/>
                <w:lang w:val="en-AU" w:eastAsia="en-AU"/>
              </w:rPr>
              <w:t>Value for Money: Strategic Adaptation and Efficient Delivery</w:t>
            </w:r>
            <w:r>
              <w:rPr>
                <w:noProof/>
                <w:webHidden/>
              </w:rPr>
              <w:tab/>
            </w:r>
            <w:r>
              <w:rPr>
                <w:noProof/>
                <w:webHidden/>
              </w:rPr>
              <w:fldChar w:fldCharType="begin"/>
            </w:r>
            <w:r>
              <w:rPr>
                <w:noProof/>
                <w:webHidden/>
              </w:rPr>
              <w:instrText xml:space="preserve"> PAGEREF _Toc232524275 \h </w:instrText>
            </w:r>
            <w:r>
              <w:rPr>
                <w:noProof/>
                <w:webHidden/>
              </w:rPr>
            </w:r>
            <w:r>
              <w:rPr>
                <w:noProof/>
                <w:webHidden/>
              </w:rPr>
              <w:fldChar w:fldCharType="separate"/>
            </w:r>
            <w:r>
              <w:rPr>
                <w:noProof/>
                <w:webHidden/>
              </w:rPr>
              <w:t>15</w:t>
            </w:r>
            <w:r>
              <w:rPr>
                <w:noProof/>
                <w:webHidden/>
              </w:rPr>
              <w:fldChar w:fldCharType="end"/>
            </w:r>
          </w:hyperlink>
        </w:p>
        <w:p w14:paraId="0F7F73B4" w14:textId="379253C3"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76" w:history="1">
            <w:r w:rsidRPr="009A08AE">
              <w:rPr>
                <w:rStyle w:val="Hyperlink"/>
                <w:noProof/>
              </w:rPr>
              <w:t>4.4</w:t>
            </w:r>
            <w:r>
              <w:rPr>
                <w:rFonts w:eastAsiaTheme="minorEastAsia"/>
                <w:noProof/>
                <w:color w:val="auto"/>
                <w:kern w:val="2"/>
                <w:sz w:val="24"/>
                <w:szCs w:val="24"/>
                <w:lang w:val="en-US"/>
                <w14:ligatures w14:val="standardContextual"/>
              </w:rPr>
              <w:tab/>
            </w:r>
            <w:r w:rsidRPr="009A08AE">
              <w:rPr>
                <w:rStyle w:val="Hyperlink"/>
                <w:noProof/>
              </w:rPr>
              <w:t>Geographic Locations</w:t>
            </w:r>
            <w:r>
              <w:rPr>
                <w:noProof/>
                <w:webHidden/>
              </w:rPr>
              <w:tab/>
            </w:r>
            <w:r>
              <w:rPr>
                <w:noProof/>
                <w:webHidden/>
              </w:rPr>
              <w:fldChar w:fldCharType="begin"/>
            </w:r>
            <w:r>
              <w:rPr>
                <w:noProof/>
                <w:webHidden/>
              </w:rPr>
              <w:instrText xml:space="preserve"> PAGEREF _Toc232524276 \h </w:instrText>
            </w:r>
            <w:r>
              <w:rPr>
                <w:noProof/>
                <w:webHidden/>
              </w:rPr>
            </w:r>
            <w:r>
              <w:rPr>
                <w:noProof/>
                <w:webHidden/>
              </w:rPr>
              <w:fldChar w:fldCharType="separate"/>
            </w:r>
            <w:r>
              <w:rPr>
                <w:noProof/>
                <w:webHidden/>
              </w:rPr>
              <w:t>15</w:t>
            </w:r>
            <w:r>
              <w:rPr>
                <w:noProof/>
                <w:webHidden/>
              </w:rPr>
              <w:fldChar w:fldCharType="end"/>
            </w:r>
          </w:hyperlink>
        </w:p>
        <w:p w14:paraId="27866E79" w14:textId="4FE38742" w:rsidR="00E91BC2" w:rsidRDefault="00E91BC2" w:rsidP="007D429B">
          <w:pPr>
            <w:pStyle w:val="TOC1"/>
            <w:rPr>
              <w:rFonts w:eastAsiaTheme="minorEastAsia"/>
              <w:color w:val="000000"/>
              <w:kern w:val="2"/>
              <w:szCs w:val="24"/>
              <w:lang w:val="en-US"/>
              <w14:textFill>
                <w14:solidFill>
                  <w14:srgbClr w14:val="000000">
                    <w14:lumMod w14:val="50000"/>
                  </w14:srgbClr>
                </w14:solidFill>
              </w14:textFill>
              <w14:ligatures w14:val="standardContextual"/>
            </w:rPr>
          </w:pPr>
          <w:hyperlink w:anchor="_Toc232524277" w:history="1">
            <w:r w:rsidRPr="009A08AE">
              <w:rPr>
                <w:rStyle w:val="Hyperlink"/>
              </w:rPr>
              <w:t>5.</w:t>
            </w:r>
            <w:r>
              <w:rPr>
                <w:rFonts w:eastAsiaTheme="minorEastAsia"/>
                <w:color w:val="000000"/>
                <w:kern w:val="2"/>
                <w:szCs w:val="24"/>
                <w:lang w:val="en-US"/>
                <w14:textFill>
                  <w14:solidFill>
                    <w14:srgbClr w14:val="000000">
                      <w14:lumMod w14:val="50000"/>
                    </w14:srgbClr>
                  </w14:solidFill>
                </w14:textFill>
                <w14:ligatures w14:val="standardContextual"/>
              </w:rPr>
              <w:tab/>
            </w:r>
            <w:r w:rsidRPr="009A08AE">
              <w:rPr>
                <w:rStyle w:val="Hyperlink"/>
              </w:rPr>
              <w:t>Implementation Arrangements</w:t>
            </w:r>
            <w:r>
              <w:rPr>
                <w:webHidden/>
              </w:rPr>
              <w:tab/>
            </w:r>
            <w:r>
              <w:rPr>
                <w:webHidden/>
              </w:rPr>
              <w:fldChar w:fldCharType="begin"/>
            </w:r>
            <w:r>
              <w:rPr>
                <w:webHidden/>
              </w:rPr>
              <w:instrText xml:space="preserve"> PAGEREF _Toc232524277 \h </w:instrText>
            </w:r>
            <w:r>
              <w:rPr>
                <w:webHidden/>
              </w:rPr>
            </w:r>
            <w:r>
              <w:rPr>
                <w:webHidden/>
              </w:rPr>
              <w:fldChar w:fldCharType="separate"/>
            </w:r>
            <w:r>
              <w:rPr>
                <w:webHidden/>
              </w:rPr>
              <w:t>16</w:t>
            </w:r>
            <w:r>
              <w:rPr>
                <w:webHidden/>
              </w:rPr>
              <w:fldChar w:fldCharType="end"/>
            </w:r>
          </w:hyperlink>
        </w:p>
        <w:p w14:paraId="6B48E6A1" w14:textId="42C96932"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78" w:history="1">
            <w:r w:rsidRPr="009A08AE">
              <w:rPr>
                <w:rStyle w:val="Hyperlink"/>
                <w:noProof/>
              </w:rPr>
              <w:t>5.1</w:t>
            </w:r>
            <w:r>
              <w:rPr>
                <w:rFonts w:eastAsiaTheme="minorEastAsia"/>
                <w:noProof/>
                <w:color w:val="auto"/>
                <w:kern w:val="2"/>
                <w:sz w:val="24"/>
                <w:szCs w:val="24"/>
                <w:lang w:val="en-US"/>
                <w14:ligatures w14:val="standardContextual"/>
              </w:rPr>
              <w:tab/>
            </w:r>
            <w:r w:rsidRPr="009A08AE">
              <w:rPr>
                <w:rStyle w:val="Hyperlink"/>
                <w:noProof/>
              </w:rPr>
              <w:t>Management arrangements</w:t>
            </w:r>
            <w:r>
              <w:rPr>
                <w:noProof/>
                <w:webHidden/>
              </w:rPr>
              <w:tab/>
            </w:r>
            <w:r>
              <w:rPr>
                <w:noProof/>
                <w:webHidden/>
              </w:rPr>
              <w:fldChar w:fldCharType="begin"/>
            </w:r>
            <w:r>
              <w:rPr>
                <w:noProof/>
                <w:webHidden/>
              </w:rPr>
              <w:instrText xml:space="preserve"> PAGEREF _Toc232524278 \h </w:instrText>
            </w:r>
            <w:r>
              <w:rPr>
                <w:noProof/>
                <w:webHidden/>
              </w:rPr>
            </w:r>
            <w:r>
              <w:rPr>
                <w:noProof/>
                <w:webHidden/>
              </w:rPr>
              <w:fldChar w:fldCharType="separate"/>
            </w:r>
            <w:r>
              <w:rPr>
                <w:noProof/>
                <w:webHidden/>
              </w:rPr>
              <w:t>16</w:t>
            </w:r>
            <w:r>
              <w:rPr>
                <w:noProof/>
                <w:webHidden/>
              </w:rPr>
              <w:fldChar w:fldCharType="end"/>
            </w:r>
          </w:hyperlink>
        </w:p>
        <w:p w14:paraId="66C4A40C" w14:textId="728AC59E"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79" w:history="1">
            <w:r w:rsidRPr="009A08AE">
              <w:rPr>
                <w:rStyle w:val="Hyperlink"/>
                <w:noProof/>
              </w:rPr>
              <w:t>5.2</w:t>
            </w:r>
            <w:r>
              <w:rPr>
                <w:rFonts w:eastAsiaTheme="minorEastAsia"/>
                <w:noProof/>
                <w:color w:val="auto"/>
                <w:kern w:val="2"/>
                <w:sz w:val="24"/>
                <w:szCs w:val="24"/>
                <w:lang w:val="en-US"/>
                <w14:ligatures w14:val="standardContextual"/>
              </w:rPr>
              <w:tab/>
            </w:r>
            <w:r w:rsidRPr="009A08AE">
              <w:rPr>
                <w:rStyle w:val="Hyperlink"/>
                <w:noProof/>
              </w:rPr>
              <w:t>Governance Arrangements</w:t>
            </w:r>
            <w:r>
              <w:rPr>
                <w:noProof/>
                <w:webHidden/>
              </w:rPr>
              <w:tab/>
            </w:r>
            <w:r>
              <w:rPr>
                <w:noProof/>
                <w:webHidden/>
              </w:rPr>
              <w:fldChar w:fldCharType="begin"/>
            </w:r>
            <w:r>
              <w:rPr>
                <w:noProof/>
                <w:webHidden/>
              </w:rPr>
              <w:instrText xml:space="preserve"> PAGEREF _Toc232524279 \h </w:instrText>
            </w:r>
            <w:r>
              <w:rPr>
                <w:noProof/>
                <w:webHidden/>
              </w:rPr>
            </w:r>
            <w:r>
              <w:rPr>
                <w:noProof/>
                <w:webHidden/>
              </w:rPr>
              <w:fldChar w:fldCharType="separate"/>
            </w:r>
            <w:r>
              <w:rPr>
                <w:noProof/>
                <w:webHidden/>
              </w:rPr>
              <w:t>17</w:t>
            </w:r>
            <w:r>
              <w:rPr>
                <w:noProof/>
                <w:webHidden/>
              </w:rPr>
              <w:fldChar w:fldCharType="end"/>
            </w:r>
          </w:hyperlink>
        </w:p>
        <w:p w14:paraId="20D6606A" w14:textId="4206DFAE"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80" w:history="1">
            <w:r w:rsidRPr="009A08AE">
              <w:rPr>
                <w:rStyle w:val="Hyperlink"/>
                <w:noProof/>
              </w:rPr>
              <w:t>5.3</w:t>
            </w:r>
            <w:r>
              <w:rPr>
                <w:rFonts w:eastAsiaTheme="minorEastAsia"/>
                <w:noProof/>
                <w:color w:val="auto"/>
                <w:kern w:val="2"/>
                <w:sz w:val="24"/>
                <w:szCs w:val="24"/>
                <w:lang w:val="en-US"/>
                <w14:ligatures w14:val="standardContextual"/>
              </w:rPr>
              <w:tab/>
            </w:r>
            <w:r w:rsidRPr="009A08AE">
              <w:rPr>
                <w:rStyle w:val="Hyperlink"/>
                <w:noProof/>
              </w:rPr>
              <w:t>Early Activities</w:t>
            </w:r>
            <w:r>
              <w:rPr>
                <w:noProof/>
                <w:webHidden/>
              </w:rPr>
              <w:tab/>
            </w:r>
            <w:r>
              <w:rPr>
                <w:noProof/>
                <w:webHidden/>
              </w:rPr>
              <w:fldChar w:fldCharType="begin"/>
            </w:r>
            <w:r>
              <w:rPr>
                <w:noProof/>
                <w:webHidden/>
              </w:rPr>
              <w:instrText xml:space="preserve"> PAGEREF _Toc232524280 \h </w:instrText>
            </w:r>
            <w:r>
              <w:rPr>
                <w:noProof/>
                <w:webHidden/>
              </w:rPr>
            </w:r>
            <w:r>
              <w:rPr>
                <w:noProof/>
                <w:webHidden/>
              </w:rPr>
              <w:fldChar w:fldCharType="separate"/>
            </w:r>
            <w:r>
              <w:rPr>
                <w:noProof/>
                <w:webHidden/>
              </w:rPr>
              <w:t>19</w:t>
            </w:r>
            <w:r>
              <w:rPr>
                <w:noProof/>
                <w:webHidden/>
              </w:rPr>
              <w:fldChar w:fldCharType="end"/>
            </w:r>
          </w:hyperlink>
        </w:p>
        <w:p w14:paraId="5B3D863E" w14:textId="0C713CFD"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81" w:history="1">
            <w:r w:rsidRPr="009A08AE">
              <w:rPr>
                <w:rStyle w:val="Hyperlink"/>
                <w:noProof/>
              </w:rPr>
              <w:t>5.4</w:t>
            </w:r>
            <w:r>
              <w:rPr>
                <w:rFonts w:eastAsiaTheme="minorEastAsia"/>
                <w:noProof/>
                <w:color w:val="auto"/>
                <w:kern w:val="2"/>
                <w:sz w:val="24"/>
                <w:szCs w:val="24"/>
                <w:lang w:val="en-US"/>
                <w14:ligatures w14:val="standardContextual"/>
              </w:rPr>
              <w:tab/>
            </w:r>
            <w:r w:rsidRPr="009A08AE">
              <w:rPr>
                <w:rStyle w:val="Hyperlink"/>
                <w:noProof/>
              </w:rPr>
              <w:t>Profile and Communications</w:t>
            </w:r>
            <w:r>
              <w:rPr>
                <w:noProof/>
                <w:webHidden/>
              </w:rPr>
              <w:tab/>
            </w:r>
            <w:r>
              <w:rPr>
                <w:noProof/>
                <w:webHidden/>
              </w:rPr>
              <w:fldChar w:fldCharType="begin"/>
            </w:r>
            <w:r>
              <w:rPr>
                <w:noProof/>
                <w:webHidden/>
              </w:rPr>
              <w:instrText xml:space="preserve"> PAGEREF _Toc232524281 \h </w:instrText>
            </w:r>
            <w:r>
              <w:rPr>
                <w:noProof/>
                <w:webHidden/>
              </w:rPr>
            </w:r>
            <w:r>
              <w:rPr>
                <w:noProof/>
                <w:webHidden/>
              </w:rPr>
              <w:fldChar w:fldCharType="separate"/>
            </w:r>
            <w:r>
              <w:rPr>
                <w:noProof/>
                <w:webHidden/>
              </w:rPr>
              <w:t>19</w:t>
            </w:r>
            <w:r>
              <w:rPr>
                <w:noProof/>
                <w:webHidden/>
              </w:rPr>
              <w:fldChar w:fldCharType="end"/>
            </w:r>
          </w:hyperlink>
        </w:p>
        <w:p w14:paraId="6253DA27" w14:textId="2522C88F"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82" w:history="1">
            <w:r w:rsidRPr="009A08AE">
              <w:rPr>
                <w:rStyle w:val="Hyperlink"/>
                <w:noProof/>
              </w:rPr>
              <w:t>5.5</w:t>
            </w:r>
            <w:r>
              <w:rPr>
                <w:rFonts w:eastAsiaTheme="minorEastAsia"/>
                <w:noProof/>
                <w:color w:val="auto"/>
                <w:kern w:val="2"/>
                <w:sz w:val="24"/>
                <w:szCs w:val="24"/>
                <w:lang w:val="en-US"/>
                <w14:ligatures w14:val="standardContextual"/>
              </w:rPr>
              <w:tab/>
            </w:r>
            <w:r w:rsidRPr="009A08AE">
              <w:rPr>
                <w:rStyle w:val="Hyperlink"/>
                <w:noProof/>
              </w:rPr>
              <w:t>Sustainability</w:t>
            </w:r>
            <w:r>
              <w:rPr>
                <w:noProof/>
                <w:webHidden/>
              </w:rPr>
              <w:tab/>
            </w:r>
            <w:r>
              <w:rPr>
                <w:noProof/>
                <w:webHidden/>
              </w:rPr>
              <w:fldChar w:fldCharType="begin"/>
            </w:r>
            <w:r>
              <w:rPr>
                <w:noProof/>
                <w:webHidden/>
              </w:rPr>
              <w:instrText xml:space="preserve"> PAGEREF _Toc232524282 \h </w:instrText>
            </w:r>
            <w:r>
              <w:rPr>
                <w:noProof/>
                <w:webHidden/>
              </w:rPr>
            </w:r>
            <w:r>
              <w:rPr>
                <w:noProof/>
                <w:webHidden/>
              </w:rPr>
              <w:fldChar w:fldCharType="separate"/>
            </w:r>
            <w:r>
              <w:rPr>
                <w:noProof/>
                <w:webHidden/>
              </w:rPr>
              <w:t>19</w:t>
            </w:r>
            <w:r>
              <w:rPr>
                <w:noProof/>
                <w:webHidden/>
              </w:rPr>
              <w:fldChar w:fldCharType="end"/>
            </w:r>
          </w:hyperlink>
        </w:p>
        <w:p w14:paraId="45E4FE02" w14:textId="157CEAFB" w:rsidR="00E91BC2" w:rsidRDefault="00E91BC2" w:rsidP="007D429B">
          <w:pPr>
            <w:pStyle w:val="TOC1"/>
            <w:rPr>
              <w:rFonts w:eastAsiaTheme="minorEastAsia"/>
              <w:color w:val="000000"/>
              <w:kern w:val="2"/>
              <w:szCs w:val="24"/>
              <w:lang w:val="en-US"/>
              <w14:textFill>
                <w14:solidFill>
                  <w14:srgbClr w14:val="000000">
                    <w14:lumMod w14:val="50000"/>
                  </w14:srgbClr>
                </w14:solidFill>
              </w14:textFill>
              <w14:ligatures w14:val="standardContextual"/>
            </w:rPr>
          </w:pPr>
          <w:hyperlink w:anchor="_Toc232524283" w:history="1">
            <w:r w:rsidRPr="009A08AE">
              <w:rPr>
                <w:rStyle w:val="Hyperlink"/>
              </w:rPr>
              <w:t>6.</w:t>
            </w:r>
            <w:r>
              <w:rPr>
                <w:rFonts w:eastAsiaTheme="minorEastAsia"/>
                <w:color w:val="000000"/>
                <w:kern w:val="2"/>
                <w:szCs w:val="24"/>
                <w:lang w:val="en-US"/>
                <w14:textFill>
                  <w14:solidFill>
                    <w14:srgbClr w14:val="000000">
                      <w14:lumMod w14:val="50000"/>
                    </w14:srgbClr>
                  </w14:solidFill>
                </w14:textFill>
                <w14:ligatures w14:val="standardContextual"/>
              </w:rPr>
              <w:tab/>
            </w:r>
            <w:r w:rsidRPr="009A08AE">
              <w:rPr>
                <w:rStyle w:val="Hyperlink"/>
              </w:rPr>
              <w:t>Monitoring, Evaluation and Learning (MEL)</w:t>
            </w:r>
            <w:r>
              <w:rPr>
                <w:webHidden/>
              </w:rPr>
              <w:tab/>
            </w:r>
            <w:r>
              <w:rPr>
                <w:webHidden/>
              </w:rPr>
              <w:fldChar w:fldCharType="begin"/>
            </w:r>
            <w:r>
              <w:rPr>
                <w:webHidden/>
              </w:rPr>
              <w:instrText xml:space="preserve"> PAGEREF _Toc232524283 \h </w:instrText>
            </w:r>
            <w:r>
              <w:rPr>
                <w:webHidden/>
              </w:rPr>
            </w:r>
            <w:r>
              <w:rPr>
                <w:webHidden/>
              </w:rPr>
              <w:fldChar w:fldCharType="separate"/>
            </w:r>
            <w:r>
              <w:rPr>
                <w:webHidden/>
              </w:rPr>
              <w:t>19</w:t>
            </w:r>
            <w:r>
              <w:rPr>
                <w:webHidden/>
              </w:rPr>
              <w:fldChar w:fldCharType="end"/>
            </w:r>
          </w:hyperlink>
        </w:p>
        <w:p w14:paraId="7CF16585" w14:textId="2E3D42E4" w:rsidR="00E91BC2" w:rsidRDefault="00E91BC2" w:rsidP="007D429B">
          <w:pPr>
            <w:pStyle w:val="TOC1"/>
            <w:rPr>
              <w:rFonts w:eastAsiaTheme="minorEastAsia"/>
              <w:kern w:val="2"/>
              <w:szCs w:val="24"/>
              <w:lang w:val="en-US"/>
              <w14:ligatures w14:val="standardContextual"/>
            </w:rPr>
          </w:pPr>
          <w:hyperlink w:anchor="_Toc232524284" w:history="1">
            <w:r w:rsidRPr="009A08AE">
              <w:rPr>
                <w:rStyle w:val="Hyperlink"/>
              </w:rPr>
              <w:t>7.</w:t>
            </w:r>
            <w:r>
              <w:rPr>
                <w:rFonts w:eastAsiaTheme="minorEastAsia"/>
                <w:kern w:val="2"/>
                <w:szCs w:val="24"/>
                <w:lang w:val="en-US"/>
                <w14:ligatures w14:val="standardContextual"/>
              </w:rPr>
              <w:tab/>
            </w:r>
            <w:r w:rsidRPr="009A08AE">
              <w:rPr>
                <w:rStyle w:val="Hyperlink"/>
              </w:rPr>
              <w:t>Gender Equality, Disability equity, Climate Change, AND Other Cross-Cutting Issues</w:t>
            </w:r>
            <w:r>
              <w:rPr>
                <w:webHidden/>
              </w:rPr>
              <w:tab/>
            </w:r>
            <w:r>
              <w:rPr>
                <w:webHidden/>
              </w:rPr>
              <w:tab/>
            </w:r>
            <w:r>
              <w:rPr>
                <w:webHidden/>
              </w:rPr>
              <w:fldChar w:fldCharType="begin"/>
            </w:r>
            <w:r>
              <w:rPr>
                <w:webHidden/>
              </w:rPr>
              <w:instrText xml:space="preserve"> PAGEREF _Toc232524284 \h </w:instrText>
            </w:r>
            <w:r>
              <w:rPr>
                <w:webHidden/>
              </w:rPr>
            </w:r>
            <w:r>
              <w:rPr>
                <w:webHidden/>
              </w:rPr>
              <w:fldChar w:fldCharType="separate"/>
            </w:r>
            <w:r>
              <w:rPr>
                <w:webHidden/>
              </w:rPr>
              <w:t>21</w:t>
            </w:r>
            <w:r>
              <w:rPr>
                <w:webHidden/>
              </w:rPr>
              <w:fldChar w:fldCharType="end"/>
            </w:r>
          </w:hyperlink>
        </w:p>
        <w:p w14:paraId="53D09481" w14:textId="1080D7B9"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85" w:history="1">
            <w:r w:rsidRPr="009A08AE">
              <w:rPr>
                <w:rStyle w:val="Hyperlink"/>
                <w:noProof/>
              </w:rPr>
              <w:t>7.1</w:t>
            </w:r>
            <w:r>
              <w:rPr>
                <w:rFonts w:eastAsiaTheme="minorEastAsia"/>
                <w:noProof/>
                <w:color w:val="auto"/>
                <w:kern w:val="2"/>
                <w:sz w:val="24"/>
                <w:szCs w:val="24"/>
                <w:lang w:val="en-US"/>
                <w14:ligatures w14:val="standardContextual"/>
              </w:rPr>
              <w:tab/>
            </w:r>
            <w:r w:rsidRPr="009A08AE">
              <w:rPr>
                <w:rStyle w:val="Hyperlink"/>
                <w:noProof/>
              </w:rPr>
              <w:t>Gender Equality</w:t>
            </w:r>
            <w:r>
              <w:rPr>
                <w:noProof/>
                <w:webHidden/>
              </w:rPr>
              <w:tab/>
            </w:r>
            <w:r>
              <w:rPr>
                <w:noProof/>
                <w:webHidden/>
              </w:rPr>
              <w:fldChar w:fldCharType="begin"/>
            </w:r>
            <w:r>
              <w:rPr>
                <w:noProof/>
                <w:webHidden/>
              </w:rPr>
              <w:instrText xml:space="preserve"> PAGEREF _Toc232524285 \h </w:instrText>
            </w:r>
            <w:r>
              <w:rPr>
                <w:noProof/>
                <w:webHidden/>
              </w:rPr>
            </w:r>
            <w:r>
              <w:rPr>
                <w:noProof/>
                <w:webHidden/>
              </w:rPr>
              <w:fldChar w:fldCharType="separate"/>
            </w:r>
            <w:r>
              <w:rPr>
                <w:noProof/>
                <w:webHidden/>
              </w:rPr>
              <w:t>21</w:t>
            </w:r>
            <w:r>
              <w:rPr>
                <w:noProof/>
                <w:webHidden/>
              </w:rPr>
              <w:fldChar w:fldCharType="end"/>
            </w:r>
          </w:hyperlink>
        </w:p>
        <w:p w14:paraId="03DDF601" w14:textId="7862B7FB"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86" w:history="1">
            <w:r w:rsidRPr="009A08AE">
              <w:rPr>
                <w:rStyle w:val="Hyperlink"/>
                <w:noProof/>
              </w:rPr>
              <w:t>7.2</w:t>
            </w:r>
            <w:r>
              <w:rPr>
                <w:rFonts w:eastAsiaTheme="minorEastAsia"/>
                <w:noProof/>
                <w:color w:val="auto"/>
                <w:kern w:val="2"/>
                <w:sz w:val="24"/>
                <w:szCs w:val="24"/>
                <w:lang w:val="en-US"/>
                <w14:ligatures w14:val="standardContextual"/>
              </w:rPr>
              <w:tab/>
            </w:r>
            <w:r w:rsidRPr="009A08AE">
              <w:rPr>
                <w:rStyle w:val="Hyperlink"/>
                <w:noProof/>
              </w:rPr>
              <w:t>Disability Equity</w:t>
            </w:r>
            <w:r>
              <w:rPr>
                <w:noProof/>
                <w:webHidden/>
              </w:rPr>
              <w:tab/>
            </w:r>
            <w:r>
              <w:rPr>
                <w:noProof/>
                <w:webHidden/>
              </w:rPr>
              <w:fldChar w:fldCharType="begin"/>
            </w:r>
            <w:r>
              <w:rPr>
                <w:noProof/>
                <w:webHidden/>
              </w:rPr>
              <w:instrText xml:space="preserve"> PAGEREF _Toc232524286 \h </w:instrText>
            </w:r>
            <w:r>
              <w:rPr>
                <w:noProof/>
                <w:webHidden/>
              </w:rPr>
            </w:r>
            <w:r>
              <w:rPr>
                <w:noProof/>
                <w:webHidden/>
              </w:rPr>
              <w:fldChar w:fldCharType="separate"/>
            </w:r>
            <w:r>
              <w:rPr>
                <w:noProof/>
                <w:webHidden/>
              </w:rPr>
              <w:t>22</w:t>
            </w:r>
            <w:r>
              <w:rPr>
                <w:noProof/>
                <w:webHidden/>
              </w:rPr>
              <w:fldChar w:fldCharType="end"/>
            </w:r>
          </w:hyperlink>
        </w:p>
        <w:p w14:paraId="75332F5F" w14:textId="6E8EE98A"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87" w:history="1">
            <w:r w:rsidRPr="009A08AE">
              <w:rPr>
                <w:rStyle w:val="Hyperlink"/>
                <w:noProof/>
              </w:rPr>
              <w:t>7.3</w:t>
            </w:r>
            <w:r>
              <w:rPr>
                <w:rFonts w:eastAsiaTheme="minorEastAsia"/>
                <w:noProof/>
                <w:color w:val="auto"/>
                <w:kern w:val="2"/>
                <w:sz w:val="24"/>
                <w:szCs w:val="24"/>
                <w:lang w:val="en-US"/>
                <w14:ligatures w14:val="standardContextual"/>
              </w:rPr>
              <w:tab/>
            </w:r>
            <w:r w:rsidRPr="009A08AE">
              <w:rPr>
                <w:rStyle w:val="Hyperlink"/>
                <w:noProof/>
              </w:rPr>
              <w:t>Climate Change</w:t>
            </w:r>
            <w:r>
              <w:rPr>
                <w:noProof/>
                <w:webHidden/>
              </w:rPr>
              <w:tab/>
            </w:r>
            <w:r>
              <w:rPr>
                <w:noProof/>
                <w:webHidden/>
              </w:rPr>
              <w:fldChar w:fldCharType="begin"/>
            </w:r>
            <w:r>
              <w:rPr>
                <w:noProof/>
                <w:webHidden/>
              </w:rPr>
              <w:instrText xml:space="preserve"> PAGEREF _Toc232524287 \h </w:instrText>
            </w:r>
            <w:r>
              <w:rPr>
                <w:noProof/>
                <w:webHidden/>
              </w:rPr>
            </w:r>
            <w:r>
              <w:rPr>
                <w:noProof/>
                <w:webHidden/>
              </w:rPr>
              <w:fldChar w:fldCharType="separate"/>
            </w:r>
            <w:r>
              <w:rPr>
                <w:noProof/>
                <w:webHidden/>
              </w:rPr>
              <w:t>22</w:t>
            </w:r>
            <w:r>
              <w:rPr>
                <w:noProof/>
                <w:webHidden/>
              </w:rPr>
              <w:fldChar w:fldCharType="end"/>
            </w:r>
          </w:hyperlink>
        </w:p>
        <w:p w14:paraId="47AD3364" w14:textId="199287F6"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88" w:history="1">
            <w:r w:rsidRPr="009A08AE">
              <w:rPr>
                <w:rStyle w:val="Hyperlink"/>
                <w:noProof/>
              </w:rPr>
              <w:t>7.4</w:t>
            </w:r>
            <w:r>
              <w:rPr>
                <w:rFonts w:eastAsiaTheme="minorEastAsia"/>
                <w:noProof/>
                <w:color w:val="auto"/>
                <w:kern w:val="2"/>
                <w:sz w:val="24"/>
                <w:szCs w:val="24"/>
                <w:lang w:val="en-US"/>
                <w14:ligatures w14:val="standardContextual"/>
              </w:rPr>
              <w:tab/>
            </w:r>
            <w:r w:rsidRPr="009A08AE">
              <w:rPr>
                <w:rStyle w:val="Hyperlink"/>
                <w:noProof/>
              </w:rPr>
              <w:t>Innovation</w:t>
            </w:r>
            <w:r>
              <w:rPr>
                <w:noProof/>
                <w:webHidden/>
              </w:rPr>
              <w:tab/>
            </w:r>
            <w:r>
              <w:rPr>
                <w:noProof/>
                <w:webHidden/>
              </w:rPr>
              <w:fldChar w:fldCharType="begin"/>
            </w:r>
            <w:r>
              <w:rPr>
                <w:noProof/>
                <w:webHidden/>
              </w:rPr>
              <w:instrText xml:space="preserve"> PAGEREF _Toc232524288 \h </w:instrText>
            </w:r>
            <w:r>
              <w:rPr>
                <w:noProof/>
                <w:webHidden/>
              </w:rPr>
            </w:r>
            <w:r>
              <w:rPr>
                <w:noProof/>
                <w:webHidden/>
              </w:rPr>
              <w:fldChar w:fldCharType="separate"/>
            </w:r>
            <w:r>
              <w:rPr>
                <w:noProof/>
                <w:webHidden/>
              </w:rPr>
              <w:t>22</w:t>
            </w:r>
            <w:r>
              <w:rPr>
                <w:noProof/>
                <w:webHidden/>
              </w:rPr>
              <w:fldChar w:fldCharType="end"/>
            </w:r>
          </w:hyperlink>
        </w:p>
        <w:p w14:paraId="5A99621C" w14:textId="5644D119"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89" w:history="1">
            <w:r w:rsidRPr="009A08AE">
              <w:rPr>
                <w:rStyle w:val="Hyperlink"/>
                <w:noProof/>
              </w:rPr>
              <w:t>7.5</w:t>
            </w:r>
            <w:r>
              <w:rPr>
                <w:rFonts w:eastAsiaTheme="minorEastAsia"/>
                <w:noProof/>
                <w:color w:val="auto"/>
                <w:kern w:val="2"/>
                <w:sz w:val="24"/>
                <w:szCs w:val="24"/>
                <w:lang w:val="en-US"/>
                <w14:ligatures w14:val="standardContextual"/>
              </w:rPr>
              <w:tab/>
            </w:r>
            <w:r w:rsidRPr="009A08AE">
              <w:rPr>
                <w:rStyle w:val="Hyperlink"/>
                <w:noProof/>
              </w:rPr>
              <w:t>Locally Led Development</w:t>
            </w:r>
            <w:r>
              <w:rPr>
                <w:noProof/>
                <w:webHidden/>
              </w:rPr>
              <w:tab/>
            </w:r>
            <w:r>
              <w:rPr>
                <w:noProof/>
                <w:webHidden/>
              </w:rPr>
              <w:fldChar w:fldCharType="begin"/>
            </w:r>
            <w:r>
              <w:rPr>
                <w:noProof/>
                <w:webHidden/>
              </w:rPr>
              <w:instrText xml:space="preserve"> PAGEREF _Toc232524289 \h </w:instrText>
            </w:r>
            <w:r>
              <w:rPr>
                <w:noProof/>
                <w:webHidden/>
              </w:rPr>
            </w:r>
            <w:r>
              <w:rPr>
                <w:noProof/>
                <w:webHidden/>
              </w:rPr>
              <w:fldChar w:fldCharType="separate"/>
            </w:r>
            <w:r>
              <w:rPr>
                <w:noProof/>
                <w:webHidden/>
              </w:rPr>
              <w:t>23</w:t>
            </w:r>
            <w:r>
              <w:rPr>
                <w:noProof/>
                <w:webHidden/>
              </w:rPr>
              <w:fldChar w:fldCharType="end"/>
            </w:r>
          </w:hyperlink>
        </w:p>
        <w:p w14:paraId="4955C3C2" w14:textId="64668F00" w:rsidR="00E91BC2" w:rsidRDefault="00E91BC2" w:rsidP="007D429B">
          <w:pPr>
            <w:pStyle w:val="TOC1"/>
            <w:rPr>
              <w:rFonts w:eastAsiaTheme="minorEastAsia"/>
              <w:color w:val="000000"/>
              <w:kern w:val="2"/>
              <w:szCs w:val="24"/>
              <w:lang w:val="en-US"/>
              <w14:textFill>
                <w14:solidFill>
                  <w14:srgbClr w14:val="000000">
                    <w14:lumMod w14:val="50000"/>
                  </w14:srgbClr>
                </w14:solidFill>
              </w14:textFill>
              <w14:ligatures w14:val="standardContextual"/>
            </w:rPr>
          </w:pPr>
          <w:hyperlink w:anchor="_Toc232524290" w:history="1">
            <w:r w:rsidRPr="009A08AE">
              <w:rPr>
                <w:rStyle w:val="Hyperlink"/>
              </w:rPr>
              <w:t>8.</w:t>
            </w:r>
            <w:r>
              <w:rPr>
                <w:rFonts w:eastAsiaTheme="minorEastAsia"/>
                <w:color w:val="000000"/>
                <w:kern w:val="2"/>
                <w:szCs w:val="24"/>
                <w:lang w:val="en-US"/>
                <w14:textFill>
                  <w14:solidFill>
                    <w14:srgbClr w14:val="000000">
                      <w14:lumMod w14:val="50000"/>
                    </w14:srgbClr>
                  </w14:solidFill>
                </w14:textFill>
                <w14:ligatures w14:val="standardContextual"/>
              </w:rPr>
              <w:tab/>
            </w:r>
            <w:r w:rsidRPr="009A08AE">
              <w:rPr>
                <w:rStyle w:val="Hyperlink"/>
              </w:rPr>
              <w:t>Budget, Resources and Scalability</w:t>
            </w:r>
            <w:r>
              <w:rPr>
                <w:webHidden/>
              </w:rPr>
              <w:tab/>
            </w:r>
            <w:r>
              <w:rPr>
                <w:webHidden/>
              </w:rPr>
              <w:fldChar w:fldCharType="begin"/>
            </w:r>
            <w:r>
              <w:rPr>
                <w:webHidden/>
              </w:rPr>
              <w:instrText xml:space="preserve"> PAGEREF _Toc232524290 \h </w:instrText>
            </w:r>
            <w:r>
              <w:rPr>
                <w:webHidden/>
              </w:rPr>
            </w:r>
            <w:r>
              <w:rPr>
                <w:webHidden/>
              </w:rPr>
              <w:fldChar w:fldCharType="separate"/>
            </w:r>
            <w:r>
              <w:rPr>
                <w:webHidden/>
              </w:rPr>
              <w:t>23</w:t>
            </w:r>
            <w:r>
              <w:rPr>
                <w:webHidden/>
              </w:rPr>
              <w:fldChar w:fldCharType="end"/>
            </w:r>
          </w:hyperlink>
        </w:p>
        <w:p w14:paraId="7A43BF6B" w14:textId="19A1E6AB" w:rsidR="00E91BC2" w:rsidRDefault="00E91BC2" w:rsidP="007D429B">
          <w:pPr>
            <w:pStyle w:val="TOC1"/>
            <w:rPr>
              <w:rFonts w:eastAsiaTheme="minorEastAsia"/>
              <w:color w:val="000000"/>
              <w:kern w:val="2"/>
              <w:szCs w:val="24"/>
              <w:lang w:val="en-US"/>
              <w14:textFill>
                <w14:solidFill>
                  <w14:srgbClr w14:val="000000">
                    <w14:lumMod w14:val="50000"/>
                  </w14:srgbClr>
                </w14:solidFill>
              </w14:textFill>
              <w14:ligatures w14:val="standardContextual"/>
            </w:rPr>
          </w:pPr>
          <w:hyperlink w:anchor="_Toc232524291" w:history="1">
            <w:r w:rsidRPr="009A08AE">
              <w:rPr>
                <w:rStyle w:val="Hyperlink"/>
              </w:rPr>
              <w:t>9.</w:t>
            </w:r>
            <w:r>
              <w:rPr>
                <w:rFonts w:eastAsiaTheme="minorEastAsia"/>
                <w:color w:val="000000"/>
                <w:kern w:val="2"/>
                <w:szCs w:val="24"/>
                <w:lang w:val="en-US"/>
                <w14:textFill>
                  <w14:solidFill>
                    <w14:srgbClr w14:val="000000">
                      <w14:lumMod w14:val="50000"/>
                    </w14:srgbClr>
                  </w14:solidFill>
                </w14:textFill>
                <w14:ligatures w14:val="standardContextual"/>
              </w:rPr>
              <w:tab/>
            </w:r>
            <w:r w:rsidRPr="009A08AE">
              <w:rPr>
                <w:rStyle w:val="Hyperlink"/>
              </w:rPr>
              <w:t>Procurement and Partnering</w:t>
            </w:r>
            <w:r>
              <w:rPr>
                <w:webHidden/>
              </w:rPr>
              <w:tab/>
            </w:r>
            <w:r>
              <w:rPr>
                <w:webHidden/>
              </w:rPr>
              <w:fldChar w:fldCharType="begin"/>
            </w:r>
            <w:r>
              <w:rPr>
                <w:webHidden/>
              </w:rPr>
              <w:instrText xml:space="preserve"> PAGEREF _Toc232524291 \h </w:instrText>
            </w:r>
            <w:r>
              <w:rPr>
                <w:webHidden/>
              </w:rPr>
            </w:r>
            <w:r>
              <w:rPr>
                <w:webHidden/>
              </w:rPr>
              <w:fldChar w:fldCharType="separate"/>
            </w:r>
            <w:r>
              <w:rPr>
                <w:webHidden/>
              </w:rPr>
              <w:t>24</w:t>
            </w:r>
            <w:r>
              <w:rPr>
                <w:webHidden/>
              </w:rPr>
              <w:fldChar w:fldCharType="end"/>
            </w:r>
          </w:hyperlink>
        </w:p>
        <w:p w14:paraId="141352D3" w14:textId="6C8F16BF" w:rsidR="00E91BC2" w:rsidRDefault="00E91BC2" w:rsidP="007D429B">
          <w:pPr>
            <w:pStyle w:val="TOC1"/>
            <w:rPr>
              <w:rFonts w:eastAsiaTheme="minorEastAsia"/>
              <w:color w:val="000000"/>
              <w:kern w:val="2"/>
              <w:szCs w:val="24"/>
              <w:lang w:val="en-US"/>
              <w14:textFill>
                <w14:solidFill>
                  <w14:srgbClr w14:val="000000">
                    <w14:lumMod w14:val="50000"/>
                  </w14:srgbClr>
                </w14:solidFill>
              </w14:textFill>
              <w14:ligatures w14:val="standardContextual"/>
            </w:rPr>
          </w:pPr>
          <w:hyperlink w:anchor="_Toc232524292" w:history="1">
            <w:r w:rsidRPr="009A08AE">
              <w:rPr>
                <w:rStyle w:val="Hyperlink"/>
              </w:rPr>
              <w:t>10.</w:t>
            </w:r>
            <w:r>
              <w:rPr>
                <w:rFonts w:eastAsiaTheme="minorEastAsia"/>
                <w:color w:val="000000"/>
                <w:kern w:val="2"/>
                <w:szCs w:val="24"/>
                <w:lang w:val="en-US"/>
                <w14:textFill>
                  <w14:solidFill>
                    <w14:srgbClr w14:val="000000">
                      <w14:lumMod w14:val="50000"/>
                    </w14:srgbClr>
                  </w14:solidFill>
                </w14:textFill>
                <w14:ligatures w14:val="standardContextual"/>
              </w:rPr>
              <w:tab/>
            </w:r>
            <w:r w:rsidRPr="009A08AE">
              <w:rPr>
                <w:rStyle w:val="Hyperlink"/>
              </w:rPr>
              <w:t>Risk Management and Safeguards</w:t>
            </w:r>
            <w:r>
              <w:rPr>
                <w:webHidden/>
              </w:rPr>
              <w:tab/>
            </w:r>
            <w:r>
              <w:rPr>
                <w:webHidden/>
              </w:rPr>
              <w:fldChar w:fldCharType="begin"/>
            </w:r>
            <w:r>
              <w:rPr>
                <w:webHidden/>
              </w:rPr>
              <w:instrText xml:space="preserve"> PAGEREF _Toc232524292 \h </w:instrText>
            </w:r>
            <w:r>
              <w:rPr>
                <w:webHidden/>
              </w:rPr>
            </w:r>
            <w:r>
              <w:rPr>
                <w:webHidden/>
              </w:rPr>
              <w:fldChar w:fldCharType="separate"/>
            </w:r>
            <w:r>
              <w:rPr>
                <w:webHidden/>
              </w:rPr>
              <w:t>24</w:t>
            </w:r>
            <w:r>
              <w:rPr>
                <w:webHidden/>
              </w:rPr>
              <w:fldChar w:fldCharType="end"/>
            </w:r>
          </w:hyperlink>
        </w:p>
        <w:p w14:paraId="445D324F" w14:textId="6F810677"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93" w:history="1">
            <w:r w:rsidRPr="009A08AE">
              <w:rPr>
                <w:rStyle w:val="Hyperlink"/>
                <w:noProof/>
              </w:rPr>
              <w:t>10.1</w:t>
            </w:r>
            <w:r>
              <w:rPr>
                <w:rFonts w:eastAsiaTheme="minorEastAsia"/>
                <w:noProof/>
                <w:color w:val="auto"/>
                <w:kern w:val="2"/>
                <w:sz w:val="24"/>
                <w:szCs w:val="24"/>
                <w:lang w:val="en-US"/>
                <w14:ligatures w14:val="standardContextual"/>
              </w:rPr>
              <w:tab/>
            </w:r>
            <w:r w:rsidRPr="009A08AE">
              <w:rPr>
                <w:rStyle w:val="Hyperlink"/>
                <w:noProof/>
              </w:rPr>
              <w:t>Key Risks and Mitigations</w:t>
            </w:r>
            <w:r>
              <w:rPr>
                <w:noProof/>
                <w:webHidden/>
              </w:rPr>
              <w:tab/>
            </w:r>
            <w:r>
              <w:rPr>
                <w:noProof/>
                <w:webHidden/>
              </w:rPr>
              <w:fldChar w:fldCharType="begin"/>
            </w:r>
            <w:r>
              <w:rPr>
                <w:noProof/>
                <w:webHidden/>
              </w:rPr>
              <w:instrText xml:space="preserve"> PAGEREF _Toc232524293 \h </w:instrText>
            </w:r>
            <w:r>
              <w:rPr>
                <w:noProof/>
                <w:webHidden/>
              </w:rPr>
            </w:r>
            <w:r>
              <w:rPr>
                <w:noProof/>
                <w:webHidden/>
              </w:rPr>
              <w:fldChar w:fldCharType="separate"/>
            </w:r>
            <w:r>
              <w:rPr>
                <w:noProof/>
                <w:webHidden/>
              </w:rPr>
              <w:t>25</w:t>
            </w:r>
            <w:r>
              <w:rPr>
                <w:noProof/>
                <w:webHidden/>
              </w:rPr>
              <w:fldChar w:fldCharType="end"/>
            </w:r>
          </w:hyperlink>
        </w:p>
        <w:p w14:paraId="465FC961" w14:textId="4C07608F" w:rsidR="00E91BC2" w:rsidRDefault="00E91BC2">
          <w:pPr>
            <w:pStyle w:val="TOC2"/>
            <w:tabs>
              <w:tab w:val="left" w:pos="880"/>
              <w:tab w:val="right" w:pos="9628"/>
            </w:tabs>
            <w:rPr>
              <w:rFonts w:eastAsiaTheme="minorEastAsia"/>
              <w:noProof/>
              <w:color w:val="auto"/>
              <w:kern w:val="2"/>
              <w:sz w:val="24"/>
              <w:szCs w:val="24"/>
              <w:lang w:val="en-US"/>
              <w14:ligatures w14:val="standardContextual"/>
            </w:rPr>
          </w:pPr>
          <w:hyperlink w:anchor="_Toc232524294" w:history="1">
            <w:r w:rsidRPr="009A08AE">
              <w:rPr>
                <w:rStyle w:val="Hyperlink"/>
                <w:noProof/>
              </w:rPr>
              <w:t>10.2</w:t>
            </w:r>
            <w:r>
              <w:rPr>
                <w:rFonts w:eastAsiaTheme="minorEastAsia"/>
                <w:noProof/>
                <w:color w:val="auto"/>
                <w:kern w:val="2"/>
                <w:sz w:val="24"/>
                <w:szCs w:val="24"/>
                <w:lang w:val="en-US"/>
                <w14:ligatures w14:val="standardContextual"/>
              </w:rPr>
              <w:tab/>
            </w:r>
            <w:r w:rsidRPr="009A08AE">
              <w:rPr>
                <w:rStyle w:val="Hyperlink"/>
                <w:noProof/>
              </w:rPr>
              <w:t>Safeguards</w:t>
            </w:r>
            <w:r>
              <w:rPr>
                <w:noProof/>
                <w:webHidden/>
              </w:rPr>
              <w:tab/>
            </w:r>
            <w:r>
              <w:rPr>
                <w:noProof/>
                <w:webHidden/>
              </w:rPr>
              <w:fldChar w:fldCharType="begin"/>
            </w:r>
            <w:r>
              <w:rPr>
                <w:noProof/>
                <w:webHidden/>
              </w:rPr>
              <w:instrText xml:space="preserve"> PAGEREF _Toc232524294 \h </w:instrText>
            </w:r>
            <w:r>
              <w:rPr>
                <w:noProof/>
                <w:webHidden/>
              </w:rPr>
            </w:r>
            <w:r>
              <w:rPr>
                <w:noProof/>
                <w:webHidden/>
              </w:rPr>
              <w:fldChar w:fldCharType="separate"/>
            </w:r>
            <w:r>
              <w:rPr>
                <w:noProof/>
                <w:webHidden/>
              </w:rPr>
              <w:t>25</w:t>
            </w:r>
            <w:r>
              <w:rPr>
                <w:noProof/>
                <w:webHidden/>
              </w:rPr>
              <w:fldChar w:fldCharType="end"/>
            </w:r>
          </w:hyperlink>
        </w:p>
        <w:p w14:paraId="63BD6F6B" w14:textId="4F3274CE" w:rsidR="00E91BC2" w:rsidRDefault="00E91BC2" w:rsidP="007D429B">
          <w:pPr>
            <w:pStyle w:val="TOC1"/>
            <w:rPr>
              <w:rFonts w:eastAsiaTheme="minorEastAsia"/>
              <w:color w:val="000000"/>
              <w:kern w:val="2"/>
              <w:szCs w:val="24"/>
              <w:lang w:val="en-US"/>
              <w14:textFill>
                <w14:solidFill>
                  <w14:srgbClr w14:val="000000">
                    <w14:lumMod w14:val="50000"/>
                  </w14:srgbClr>
                </w14:solidFill>
              </w14:textFill>
              <w14:ligatures w14:val="standardContextual"/>
            </w:rPr>
          </w:pPr>
          <w:hyperlink w:anchor="_Toc232524295" w:history="1">
            <w:r w:rsidRPr="009A08AE">
              <w:rPr>
                <w:rStyle w:val="Hyperlink"/>
              </w:rPr>
              <w:t>11.</w:t>
            </w:r>
            <w:r>
              <w:rPr>
                <w:rFonts w:eastAsiaTheme="minorEastAsia"/>
                <w:color w:val="000000"/>
                <w:kern w:val="2"/>
                <w:szCs w:val="24"/>
                <w:lang w:val="en-US"/>
                <w14:textFill>
                  <w14:solidFill>
                    <w14:srgbClr w14:val="000000">
                      <w14:lumMod w14:val="50000"/>
                    </w14:srgbClr>
                  </w14:solidFill>
                </w14:textFill>
                <w14:ligatures w14:val="standardContextual"/>
              </w:rPr>
              <w:tab/>
            </w:r>
            <w:r w:rsidRPr="009A08AE">
              <w:rPr>
                <w:rStyle w:val="Hyperlink"/>
              </w:rPr>
              <w:t>ANNEXES</w:t>
            </w:r>
            <w:r>
              <w:rPr>
                <w:webHidden/>
              </w:rPr>
              <w:tab/>
            </w:r>
            <w:r>
              <w:rPr>
                <w:webHidden/>
              </w:rPr>
              <w:fldChar w:fldCharType="begin"/>
            </w:r>
            <w:r>
              <w:rPr>
                <w:webHidden/>
              </w:rPr>
              <w:instrText xml:space="preserve"> PAGEREF _Toc232524295 \h </w:instrText>
            </w:r>
            <w:r>
              <w:rPr>
                <w:webHidden/>
              </w:rPr>
            </w:r>
            <w:r>
              <w:rPr>
                <w:webHidden/>
              </w:rPr>
              <w:fldChar w:fldCharType="separate"/>
            </w:r>
            <w:r>
              <w:rPr>
                <w:webHidden/>
              </w:rPr>
              <w:t>27</w:t>
            </w:r>
            <w:r>
              <w:rPr>
                <w:webHidden/>
              </w:rPr>
              <w:fldChar w:fldCharType="end"/>
            </w:r>
          </w:hyperlink>
        </w:p>
        <w:p w14:paraId="75684C43" w14:textId="74D86524" w:rsidR="00E91BC2" w:rsidRDefault="00E91BC2">
          <w:pPr>
            <w:pStyle w:val="TOC2"/>
            <w:tabs>
              <w:tab w:val="right" w:pos="9628"/>
            </w:tabs>
            <w:rPr>
              <w:rFonts w:eastAsiaTheme="minorEastAsia"/>
              <w:noProof/>
              <w:color w:val="auto"/>
              <w:kern w:val="2"/>
              <w:sz w:val="24"/>
              <w:szCs w:val="24"/>
              <w:lang w:val="en-US"/>
              <w14:ligatures w14:val="standardContextual"/>
            </w:rPr>
          </w:pPr>
          <w:hyperlink w:anchor="_Toc232524296" w:history="1">
            <w:r w:rsidRPr="009A08AE">
              <w:rPr>
                <w:rStyle w:val="Hyperlink"/>
                <w:noProof/>
              </w:rPr>
              <w:t>Annex A: Lessons Learned from Past and Current Programming</w:t>
            </w:r>
            <w:r>
              <w:rPr>
                <w:noProof/>
                <w:webHidden/>
              </w:rPr>
              <w:tab/>
            </w:r>
            <w:r>
              <w:rPr>
                <w:noProof/>
                <w:webHidden/>
              </w:rPr>
              <w:fldChar w:fldCharType="begin"/>
            </w:r>
            <w:r>
              <w:rPr>
                <w:noProof/>
                <w:webHidden/>
              </w:rPr>
              <w:instrText xml:space="preserve"> PAGEREF _Toc232524296 \h </w:instrText>
            </w:r>
            <w:r>
              <w:rPr>
                <w:noProof/>
                <w:webHidden/>
              </w:rPr>
            </w:r>
            <w:r>
              <w:rPr>
                <w:noProof/>
                <w:webHidden/>
              </w:rPr>
              <w:fldChar w:fldCharType="separate"/>
            </w:r>
            <w:r>
              <w:rPr>
                <w:noProof/>
                <w:webHidden/>
              </w:rPr>
              <w:t>28</w:t>
            </w:r>
            <w:r>
              <w:rPr>
                <w:noProof/>
                <w:webHidden/>
              </w:rPr>
              <w:fldChar w:fldCharType="end"/>
            </w:r>
          </w:hyperlink>
        </w:p>
        <w:p w14:paraId="3D4291DD" w14:textId="06E93DBB" w:rsidR="00E91BC2" w:rsidRDefault="00E91BC2">
          <w:pPr>
            <w:pStyle w:val="TOC2"/>
            <w:tabs>
              <w:tab w:val="right" w:pos="9628"/>
            </w:tabs>
            <w:rPr>
              <w:rFonts w:eastAsiaTheme="minorEastAsia"/>
              <w:noProof/>
              <w:color w:val="auto"/>
              <w:kern w:val="2"/>
              <w:sz w:val="24"/>
              <w:szCs w:val="24"/>
              <w:lang w:val="en-US"/>
              <w14:ligatures w14:val="standardContextual"/>
            </w:rPr>
          </w:pPr>
          <w:hyperlink w:anchor="_Toc232524297" w:history="1">
            <w:r w:rsidRPr="009A08AE">
              <w:rPr>
                <w:rStyle w:val="Hyperlink"/>
                <w:noProof/>
              </w:rPr>
              <w:t>Annex B: Additional Detail for Program Logic</w:t>
            </w:r>
            <w:r>
              <w:rPr>
                <w:noProof/>
                <w:webHidden/>
              </w:rPr>
              <w:tab/>
            </w:r>
            <w:r>
              <w:rPr>
                <w:noProof/>
                <w:webHidden/>
              </w:rPr>
              <w:fldChar w:fldCharType="begin"/>
            </w:r>
            <w:r>
              <w:rPr>
                <w:noProof/>
                <w:webHidden/>
              </w:rPr>
              <w:instrText xml:space="preserve"> PAGEREF _Toc232524297 \h </w:instrText>
            </w:r>
            <w:r>
              <w:rPr>
                <w:noProof/>
                <w:webHidden/>
              </w:rPr>
            </w:r>
            <w:r>
              <w:rPr>
                <w:noProof/>
                <w:webHidden/>
              </w:rPr>
              <w:fldChar w:fldCharType="separate"/>
            </w:r>
            <w:r>
              <w:rPr>
                <w:noProof/>
                <w:webHidden/>
              </w:rPr>
              <w:t>31</w:t>
            </w:r>
            <w:r>
              <w:rPr>
                <w:noProof/>
                <w:webHidden/>
              </w:rPr>
              <w:fldChar w:fldCharType="end"/>
            </w:r>
          </w:hyperlink>
        </w:p>
        <w:p w14:paraId="3DE297F0" w14:textId="2936A8E9" w:rsidR="00E91BC2" w:rsidRDefault="00E91BC2">
          <w:pPr>
            <w:pStyle w:val="TOC2"/>
            <w:tabs>
              <w:tab w:val="right" w:pos="9628"/>
            </w:tabs>
            <w:rPr>
              <w:rFonts w:eastAsiaTheme="minorEastAsia"/>
              <w:noProof/>
              <w:color w:val="auto"/>
              <w:kern w:val="2"/>
              <w:sz w:val="24"/>
              <w:szCs w:val="24"/>
              <w:lang w:val="en-US"/>
              <w14:ligatures w14:val="standardContextual"/>
            </w:rPr>
          </w:pPr>
          <w:hyperlink w:anchor="_Toc232524298" w:history="1">
            <w:r w:rsidRPr="009A08AE">
              <w:rPr>
                <w:rStyle w:val="Hyperlink"/>
                <w:noProof/>
              </w:rPr>
              <w:t>Annex C: Contractor Scope of Services (DRAFT)</w:t>
            </w:r>
            <w:r>
              <w:rPr>
                <w:noProof/>
                <w:webHidden/>
              </w:rPr>
              <w:tab/>
            </w:r>
            <w:r>
              <w:rPr>
                <w:noProof/>
                <w:webHidden/>
              </w:rPr>
              <w:fldChar w:fldCharType="begin"/>
            </w:r>
            <w:r>
              <w:rPr>
                <w:noProof/>
                <w:webHidden/>
              </w:rPr>
              <w:instrText xml:space="preserve"> PAGEREF _Toc232524298 \h </w:instrText>
            </w:r>
            <w:r>
              <w:rPr>
                <w:noProof/>
                <w:webHidden/>
              </w:rPr>
            </w:r>
            <w:r>
              <w:rPr>
                <w:noProof/>
                <w:webHidden/>
              </w:rPr>
              <w:fldChar w:fldCharType="separate"/>
            </w:r>
            <w:r>
              <w:rPr>
                <w:noProof/>
                <w:webHidden/>
              </w:rPr>
              <w:t>35</w:t>
            </w:r>
            <w:r>
              <w:rPr>
                <w:noProof/>
                <w:webHidden/>
              </w:rPr>
              <w:fldChar w:fldCharType="end"/>
            </w:r>
          </w:hyperlink>
        </w:p>
        <w:p w14:paraId="38EBA50F" w14:textId="1C92901D" w:rsidR="00E91BC2" w:rsidRDefault="00E91BC2">
          <w:pPr>
            <w:pStyle w:val="TOC2"/>
            <w:tabs>
              <w:tab w:val="right" w:pos="9628"/>
            </w:tabs>
            <w:rPr>
              <w:rFonts w:eastAsiaTheme="minorEastAsia"/>
              <w:noProof/>
              <w:color w:val="auto"/>
              <w:kern w:val="2"/>
              <w:sz w:val="24"/>
              <w:szCs w:val="24"/>
              <w:lang w:val="en-US"/>
              <w14:ligatures w14:val="standardContextual"/>
            </w:rPr>
          </w:pPr>
          <w:hyperlink w:anchor="_Toc232524299" w:history="1">
            <w:r w:rsidRPr="009A08AE">
              <w:rPr>
                <w:rStyle w:val="Hyperlink"/>
                <w:noProof/>
              </w:rPr>
              <w:t>Annex D: Convenor Terms of Reference (DRAFT)</w:t>
            </w:r>
            <w:r>
              <w:rPr>
                <w:noProof/>
                <w:webHidden/>
              </w:rPr>
              <w:tab/>
            </w:r>
            <w:r>
              <w:rPr>
                <w:noProof/>
                <w:webHidden/>
              </w:rPr>
              <w:fldChar w:fldCharType="begin"/>
            </w:r>
            <w:r>
              <w:rPr>
                <w:noProof/>
                <w:webHidden/>
              </w:rPr>
              <w:instrText xml:space="preserve"> PAGEREF _Toc232524299 \h </w:instrText>
            </w:r>
            <w:r>
              <w:rPr>
                <w:noProof/>
                <w:webHidden/>
              </w:rPr>
            </w:r>
            <w:r>
              <w:rPr>
                <w:noProof/>
                <w:webHidden/>
              </w:rPr>
              <w:fldChar w:fldCharType="separate"/>
            </w:r>
            <w:r>
              <w:rPr>
                <w:noProof/>
                <w:webHidden/>
              </w:rPr>
              <w:t>37</w:t>
            </w:r>
            <w:r>
              <w:rPr>
                <w:noProof/>
                <w:webHidden/>
              </w:rPr>
              <w:fldChar w:fldCharType="end"/>
            </w:r>
          </w:hyperlink>
        </w:p>
        <w:p w14:paraId="4328063E" w14:textId="0F6622DB" w:rsidR="00E91BC2" w:rsidRDefault="00E91BC2">
          <w:pPr>
            <w:pStyle w:val="TOC2"/>
            <w:tabs>
              <w:tab w:val="right" w:pos="9628"/>
            </w:tabs>
            <w:rPr>
              <w:rFonts w:eastAsiaTheme="minorEastAsia"/>
              <w:noProof/>
              <w:color w:val="auto"/>
              <w:kern w:val="2"/>
              <w:sz w:val="24"/>
              <w:szCs w:val="24"/>
              <w:lang w:val="en-US"/>
              <w14:ligatures w14:val="standardContextual"/>
            </w:rPr>
          </w:pPr>
          <w:hyperlink w:anchor="_Toc232524300" w:history="1">
            <w:r w:rsidRPr="009A08AE">
              <w:rPr>
                <w:rStyle w:val="Hyperlink"/>
                <w:noProof/>
              </w:rPr>
              <w:t>Annex E: Civil Society Partnership Selection process</w:t>
            </w:r>
            <w:r>
              <w:rPr>
                <w:noProof/>
                <w:webHidden/>
              </w:rPr>
              <w:tab/>
            </w:r>
            <w:r>
              <w:rPr>
                <w:noProof/>
                <w:webHidden/>
              </w:rPr>
              <w:fldChar w:fldCharType="begin"/>
            </w:r>
            <w:r>
              <w:rPr>
                <w:noProof/>
                <w:webHidden/>
              </w:rPr>
              <w:instrText xml:space="preserve"> PAGEREF _Toc232524300 \h </w:instrText>
            </w:r>
            <w:r>
              <w:rPr>
                <w:noProof/>
                <w:webHidden/>
              </w:rPr>
            </w:r>
            <w:r>
              <w:rPr>
                <w:noProof/>
                <w:webHidden/>
              </w:rPr>
              <w:fldChar w:fldCharType="separate"/>
            </w:r>
            <w:r>
              <w:rPr>
                <w:noProof/>
                <w:webHidden/>
              </w:rPr>
              <w:t>41</w:t>
            </w:r>
            <w:r>
              <w:rPr>
                <w:noProof/>
                <w:webHidden/>
              </w:rPr>
              <w:fldChar w:fldCharType="end"/>
            </w:r>
          </w:hyperlink>
        </w:p>
        <w:p w14:paraId="71845189" w14:textId="17C897A5" w:rsidR="00E91BC2" w:rsidRDefault="00E91BC2">
          <w:pPr>
            <w:pStyle w:val="TOC2"/>
            <w:tabs>
              <w:tab w:val="right" w:pos="9628"/>
            </w:tabs>
            <w:rPr>
              <w:rFonts w:eastAsiaTheme="minorEastAsia"/>
              <w:noProof/>
              <w:color w:val="auto"/>
              <w:kern w:val="2"/>
              <w:sz w:val="24"/>
              <w:szCs w:val="24"/>
              <w:lang w:val="en-US"/>
              <w14:ligatures w14:val="standardContextual"/>
            </w:rPr>
          </w:pPr>
          <w:hyperlink w:anchor="_Toc232524301" w:history="1">
            <w:r w:rsidRPr="009A08AE">
              <w:rPr>
                <w:rStyle w:val="Hyperlink"/>
                <w:noProof/>
              </w:rPr>
              <w:t>Annex F: Rationale for Geographic Focus</w:t>
            </w:r>
            <w:r>
              <w:rPr>
                <w:noProof/>
                <w:webHidden/>
              </w:rPr>
              <w:tab/>
            </w:r>
            <w:r>
              <w:rPr>
                <w:noProof/>
                <w:webHidden/>
              </w:rPr>
              <w:fldChar w:fldCharType="begin"/>
            </w:r>
            <w:r>
              <w:rPr>
                <w:noProof/>
                <w:webHidden/>
              </w:rPr>
              <w:instrText xml:space="preserve"> PAGEREF _Toc232524301 \h </w:instrText>
            </w:r>
            <w:r>
              <w:rPr>
                <w:noProof/>
                <w:webHidden/>
              </w:rPr>
            </w:r>
            <w:r>
              <w:rPr>
                <w:noProof/>
                <w:webHidden/>
              </w:rPr>
              <w:fldChar w:fldCharType="separate"/>
            </w:r>
            <w:r>
              <w:rPr>
                <w:noProof/>
                <w:webHidden/>
              </w:rPr>
              <w:t>44</w:t>
            </w:r>
            <w:r>
              <w:rPr>
                <w:noProof/>
                <w:webHidden/>
              </w:rPr>
              <w:fldChar w:fldCharType="end"/>
            </w:r>
          </w:hyperlink>
        </w:p>
        <w:p w14:paraId="7C38ECE0" w14:textId="731F1F91" w:rsidR="00E91BC2" w:rsidRDefault="00E91BC2">
          <w:pPr>
            <w:pStyle w:val="TOC2"/>
            <w:tabs>
              <w:tab w:val="right" w:pos="9628"/>
            </w:tabs>
            <w:rPr>
              <w:rFonts w:eastAsiaTheme="minorEastAsia"/>
              <w:noProof/>
              <w:color w:val="auto"/>
              <w:kern w:val="2"/>
              <w:sz w:val="24"/>
              <w:szCs w:val="24"/>
              <w:lang w:val="en-US"/>
              <w14:ligatures w14:val="standardContextual"/>
            </w:rPr>
          </w:pPr>
          <w:hyperlink w:anchor="_Toc232524302" w:history="1">
            <w:r w:rsidRPr="009A08AE">
              <w:rPr>
                <w:rStyle w:val="Hyperlink"/>
                <w:noProof/>
              </w:rPr>
              <w:t>Annex G: Pre-inception and Inception Workplan</w:t>
            </w:r>
            <w:r>
              <w:rPr>
                <w:noProof/>
                <w:webHidden/>
              </w:rPr>
              <w:tab/>
            </w:r>
            <w:r>
              <w:rPr>
                <w:noProof/>
                <w:webHidden/>
              </w:rPr>
              <w:fldChar w:fldCharType="begin"/>
            </w:r>
            <w:r>
              <w:rPr>
                <w:noProof/>
                <w:webHidden/>
              </w:rPr>
              <w:instrText xml:space="preserve"> PAGEREF _Toc232524302 \h </w:instrText>
            </w:r>
            <w:r>
              <w:rPr>
                <w:noProof/>
                <w:webHidden/>
              </w:rPr>
            </w:r>
            <w:r>
              <w:rPr>
                <w:noProof/>
                <w:webHidden/>
              </w:rPr>
              <w:fldChar w:fldCharType="separate"/>
            </w:r>
            <w:r>
              <w:rPr>
                <w:noProof/>
                <w:webHidden/>
              </w:rPr>
              <w:t>45</w:t>
            </w:r>
            <w:r>
              <w:rPr>
                <w:noProof/>
                <w:webHidden/>
              </w:rPr>
              <w:fldChar w:fldCharType="end"/>
            </w:r>
          </w:hyperlink>
        </w:p>
        <w:p w14:paraId="2EE4542C" w14:textId="19F4725B" w:rsidR="00E91BC2" w:rsidRDefault="00E91BC2">
          <w:pPr>
            <w:pStyle w:val="TOC2"/>
            <w:tabs>
              <w:tab w:val="right" w:pos="9628"/>
            </w:tabs>
            <w:rPr>
              <w:rFonts w:eastAsiaTheme="minorEastAsia"/>
              <w:noProof/>
              <w:color w:val="auto"/>
              <w:kern w:val="2"/>
              <w:sz w:val="24"/>
              <w:szCs w:val="24"/>
              <w:lang w:val="en-US"/>
              <w14:ligatures w14:val="standardContextual"/>
            </w:rPr>
          </w:pPr>
          <w:hyperlink w:anchor="_Toc232524303" w:history="1">
            <w:r w:rsidRPr="009A08AE">
              <w:rPr>
                <w:rStyle w:val="Hyperlink"/>
                <w:noProof/>
              </w:rPr>
              <w:t>Annex H: Monitoring, Evaluation and Learning (MEL) Framework at Design</w:t>
            </w:r>
            <w:r>
              <w:rPr>
                <w:noProof/>
                <w:webHidden/>
              </w:rPr>
              <w:tab/>
            </w:r>
            <w:r>
              <w:rPr>
                <w:noProof/>
                <w:webHidden/>
              </w:rPr>
              <w:fldChar w:fldCharType="begin"/>
            </w:r>
            <w:r>
              <w:rPr>
                <w:noProof/>
                <w:webHidden/>
              </w:rPr>
              <w:instrText xml:space="preserve"> PAGEREF _Toc232524303 \h </w:instrText>
            </w:r>
            <w:r>
              <w:rPr>
                <w:noProof/>
                <w:webHidden/>
              </w:rPr>
            </w:r>
            <w:r>
              <w:rPr>
                <w:noProof/>
                <w:webHidden/>
              </w:rPr>
              <w:fldChar w:fldCharType="separate"/>
            </w:r>
            <w:r>
              <w:rPr>
                <w:noProof/>
                <w:webHidden/>
              </w:rPr>
              <w:t>49</w:t>
            </w:r>
            <w:r>
              <w:rPr>
                <w:noProof/>
                <w:webHidden/>
              </w:rPr>
              <w:fldChar w:fldCharType="end"/>
            </w:r>
          </w:hyperlink>
        </w:p>
        <w:p w14:paraId="087DED23" w14:textId="468D96E9" w:rsidR="00E91BC2" w:rsidRDefault="00E91BC2">
          <w:pPr>
            <w:pStyle w:val="TOC2"/>
            <w:tabs>
              <w:tab w:val="right" w:pos="9628"/>
            </w:tabs>
            <w:rPr>
              <w:rFonts w:eastAsiaTheme="minorEastAsia"/>
              <w:noProof/>
              <w:color w:val="auto"/>
              <w:kern w:val="2"/>
              <w:sz w:val="24"/>
              <w:szCs w:val="24"/>
              <w:lang w:val="en-US"/>
              <w14:ligatures w14:val="standardContextual"/>
            </w:rPr>
          </w:pPr>
          <w:hyperlink w:anchor="_Toc232524304" w:history="1">
            <w:r w:rsidRPr="009A08AE">
              <w:rPr>
                <w:rStyle w:val="Hyperlink"/>
                <w:noProof/>
              </w:rPr>
              <w:t>Annex I: Cross-Cutting Themes Analysis</w:t>
            </w:r>
            <w:r>
              <w:rPr>
                <w:noProof/>
                <w:webHidden/>
              </w:rPr>
              <w:tab/>
            </w:r>
            <w:r>
              <w:rPr>
                <w:noProof/>
                <w:webHidden/>
              </w:rPr>
              <w:fldChar w:fldCharType="begin"/>
            </w:r>
            <w:r>
              <w:rPr>
                <w:noProof/>
                <w:webHidden/>
              </w:rPr>
              <w:instrText xml:space="preserve"> PAGEREF _Toc232524304 \h </w:instrText>
            </w:r>
            <w:r>
              <w:rPr>
                <w:noProof/>
                <w:webHidden/>
              </w:rPr>
            </w:r>
            <w:r>
              <w:rPr>
                <w:noProof/>
                <w:webHidden/>
              </w:rPr>
              <w:fldChar w:fldCharType="separate"/>
            </w:r>
            <w:r>
              <w:rPr>
                <w:noProof/>
                <w:webHidden/>
              </w:rPr>
              <w:t>68</w:t>
            </w:r>
            <w:r>
              <w:rPr>
                <w:noProof/>
                <w:webHidden/>
              </w:rPr>
              <w:fldChar w:fldCharType="end"/>
            </w:r>
          </w:hyperlink>
        </w:p>
        <w:p w14:paraId="61FF0053" w14:textId="6B3DAC6A" w:rsidR="00E91BC2" w:rsidRDefault="00E91BC2">
          <w:pPr>
            <w:pStyle w:val="TOC2"/>
            <w:tabs>
              <w:tab w:val="right" w:pos="9628"/>
            </w:tabs>
            <w:rPr>
              <w:rFonts w:eastAsiaTheme="minorEastAsia"/>
              <w:noProof/>
              <w:color w:val="auto"/>
              <w:kern w:val="2"/>
              <w:sz w:val="24"/>
              <w:szCs w:val="24"/>
              <w:lang w:val="en-US"/>
              <w14:ligatures w14:val="standardContextual"/>
            </w:rPr>
          </w:pPr>
          <w:hyperlink w:anchor="_Toc232524305" w:history="1">
            <w:r w:rsidRPr="009A08AE">
              <w:rPr>
                <w:rStyle w:val="Hyperlink"/>
                <w:noProof/>
              </w:rPr>
              <w:t>Annex J: Sustainability and locally-led development</w:t>
            </w:r>
            <w:r>
              <w:rPr>
                <w:noProof/>
                <w:webHidden/>
              </w:rPr>
              <w:tab/>
            </w:r>
            <w:r>
              <w:rPr>
                <w:noProof/>
                <w:webHidden/>
              </w:rPr>
              <w:fldChar w:fldCharType="begin"/>
            </w:r>
            <w:r>
              <w:rPr>
                <w:noProof/>
                <w:webHidden/>
              </w:rPr>
              <w:instrText xml:space="preserve"> PAGEREF _Toc232524305 \h </w:instrText>
            </w:r>
            <w:r>
              <w:rPr>
                <w:noProof/>
                <w:webHidden/>
              </w:rPr>
            </w:r>
            <w:r>
              <w:rPr>
                <w:noProof/>
                <w:webHidden/>
              </w:rPr>
              <w:fldChar w:fldCharType="separate"/>
            </w:r>
            <w:r>
              <w:rPr>
                <w:noProof/>
                <w:webHidden/>
              </w:rPr>
              <w:t>81</w:t>
            </w:r>
            <w:r>
              <w:rPr>
                <w:noProof/>
                <w:webHidden/>
              </w:rPr>
              <w:fldChar w:fldCharType="end"/>
            </w:r>
          </w:hyperlink>
        </w:p>
        <w:p w14:paraId="0EBC5B3A" w14:textId="488F9802" w:rsidR="00E91BC2" w:rsidRDefault="00E91BC2">
          <w:pPr>
            <w:pStyle w:val="TOC2"/>
            <w:tabs>
              <w:tab w:val="right" w:pos="9628"/>
            </w:tabs>
            <w:rPr>
              <w:rFonts w:eastAsiaTheme="minorEastAsia"/>
              <w:noProof/>
              <w:color w:val="auto"/>
              <w:kern w:val="2"/>
              <w:sz w:val="24"/>
              <w:szCs w:val="24"/>
              <w:lang w:val="en-US"/>
              <w14:ligatures w14:val="standardContextual"/>
            </w:rPr>
          </w:pPr>
          <w:hyperlink w:anchor="_Toc232524306" w:history="1">
            <w:r w:rsidRPr="009A08AE">
              <w:rPr>
                <w:rStyle w:val="Hyperlink"/>
                <w:noProof/>
              </w:rPr>
              <w:t>Annex K: Key Definitions</w:t>
            </w:r>
            <w:r>
              <w:rPr>
                <w:noProof/>
                <w:webHidden/>
              </w:rPr>
              <w:tab/>
            </w:r>
            <w:r>
              <w:rPr>
                <w:noProof/>
                <w:webHidden/>
              </w:rPr>
              <w:fldChar w:fldCharType="begin"/>
            </w:r>
            <w:r>
              <w:rPr>
                <w:noProof/>
                <w:webHidden/>
              </w:rPr>
              <w:instrText xml:space="preserve"> PAGEREF _Toc232524306 \h </w:instrText>
            </w:r>
            <w:r>
              <w:rPr>
                <w:noProof/>
                <w:webHidden/>
              </w:rPr>
            </w:r>
            <w:r>
              <w:rPr>
                <w:noProof/>
                <w:webHidden/>
              </w:rPr>
              <w:fldChar w:fldCharType="separate"/>
            </w:r>
            <w:r>
              <w:rPr>
                <w:noProof/>
                <w:webHidden/>
              </w:rPr>
              <w:t>84</w:t>
            </w:r>
            <w:r>
              <w:rPr>
                <w:noProof/>
                <w:webHidden/>
              </w:rPr>
              <w:fldChar w:fldCharType="end"/>
            </w:r>
          </w:hyperlink>
        </w:p>
        <w:p w14:paraId="6B048933" w14:textId="441F6DE5" w:rsidR="00E91BC2" w:rsidRDefault="00E91BC2">
          <w:pPr>
            <w:pStyle w:val="TOC2"/>
            <w:tabs>
              <w:tab w:val="right" w:pos="9628"/>
            </w:tabs>
            <w:rPr>
              <w:rFonts w:eastAsiaTheme="minorEastAsia"/>
              <w:noProof/>
              <w:color w:val="auto"/>
              <w:kern w:val="2"/>
              <w:sz w:val="24"/>
              <w:szCs w:val="24"/>
              <w:lang w:val="en-US"/>
              <w14:ligatures w14:val="standardContextual"/>
            </w:rPr>
          </w:pPr>
          <w:hyperlink w:anchor="_Toc232524307" w:history="1">
            <w:r w:rsidRPr="009A08AE">
              <w:rPr>
                <w:rStyle w:val="Hyperlink"/>
                <w:noProof/>
              </w:rPr>
              <w:t>Annex L: Acronymns Glossary</w:t>
            </w:r>
            <w:r>
              <w:rPr>
                <w:noProof/>
                <w:webHidden/>
              </w:rPr>
              <w:tab/>
            </w:r>
            <w:r>
              <w:rPr>
                <w:noProof/>
                <w:webHidden/>
              </w:rPr>
              <w:fldChar w:fldCharType="begin"/>
            </w:r>
            <w:r>
              <w:rPr>
                <w:noProof/>
                <w:webHidden/>
              </w:rPr>
              <w:instrText xml:space="preserve"> PAGEREF _Toc232524307 \h </w:instrText>
            </w:r>
            <w:r>
              <w:rPr>
                <w:noProof/>
                <w:webHidden/>
              </w:rPr>
            </w:r>
            <w:r>
              <w:rPr>
                <w:noProof/>
                <w:webHidden/>
              </w:rPr>
              <w:fldChar w:fldCharType="separate"/>
            </w:r>
            <w:r>
              <w:rPr>
                <w:noProof/>
                <w:webHidden/>
              </w:rPr>
              <w:t>86</w:t>
            </w:r>
            <w:r>
              <w:rPr>
                <w:noProof/>
                <w:webHidden/>
              </w:rPr>
              <w:fldChar w:fldCharType="end"/>
            </w:r>
          </w:hyperlink>
        </w:p>
        <w:p w14:paraId="28104E28" w14:textId="7DF7A13D" w:rsidR="00E91BC2" w:rsidRDefault="00E91BC2">
          <w:pPr>
            <w:pStyle w:val="TOC2"/>
            <w:tabs>
              <w:tab w:val="right" w:pos="9628"/>
            </w:tabs>
            <w:rPr>
              <w:rFonts w:eastAsiaTheme="minorEastAsia"/>
              <w:noProof/>
              <w:color w:val="auto"/>
              <w:kern w:val="2"/>
              <w:sz w:val="24"/>
              <w:szCs w:val="24"/>
              <w:lang w:val="en-US"/>
              <w14:ligatures w14:val="standardContextual"/>
            </w:rPr>
          </w:pPr>
          <w:hyperlink w:anchor="_Toc232524308" w:history="1">
            <w:r w:rsidRPr="009A08AE">
              <w:rPr>
                <w:rStyle w:val="Hyperlink"/>
                <w:rFonts w:cstheme="majorHAnsi"/>
                <w:noProof/>
              </w:rPr>
              <w:t>Annex M: Alternative Text for Diagrams</w:t>
            </w:r>
            <w:r>
              <w:rPr>
                <w:noProof/>
                <w:webHidden/>
              </w:rPr>
              <w:tab/>
            </w:r>
            <w:r>
              <w:rPr>
                <w:noProof/>
                <w:webHidden/>
              </w:rPr>
              <w:fldChar w:fldCharType="begin"/>
            </w:r>
            <w:r>
              <w:rPr>
                <w:noProof/>
                <w:webHidden/>
              </w:rPr>
              <w:instrText xml:space="preserve"> PAGEREF _Toc232524308 \h </w:instrText>
            </w:r>
            <w:r>
              <w:rPr>
                <w:noProof/>
                <w:webHidden/>
              </w:rPr>
            </w:r>
            <w:r>
              <w:rPr>
                <w:noProof/>
                <w:webHidden/>
              </w:rPr>
              <w:fldChar w:fldCharType="separate"/>
            </w:r>
            <w:r>
              <w:rPr>
                <w:noProof/>
                <w:webHidden/>
              </w:rPr>
              <w:t>90</w:t>
            </w:r>
            <w:r>
              <w:rPr>
                <w:noProof/>
                <w:webHidden/>
              </w:rPr>
              <w:fldChar w:fldCharType="end"/>
            </w:r>
          </w:hyperlink>
        </w:p>
        <w:p w14:paraId="7F4514AA" w14:textId="14932C46" w:rsidR="00902F90" w:rsidRDefault="00902F90" w:rsidP="00902F90">
          <w:pPr>
            <w:spacing w:line="240" w:lineRule="auto"/>
          </w:pPr>
          <w:r w:rsidRPr="00B57CB6">
            <w:rPr>
              <w:rFonts w:cstheme="minorHAnsi"/>
              <w:sz w:val="16"/>
              <w:szCs w:val="16"/>
            </w:rPr>
            <w:fldChar w:fldCharType="end"/>
          </w:r>
        </w:p>
      </w:sdtContent>
    </w:sdt>
    <w:p w14:paraId="7BA2CA51" w14:textId="77777777" w:rsidR="00902F90" w:rsidRDefault="00902F90" w:rsidP="00902F90">
      <w:pPr>
        <w:suppressAutoHyphens w:val="0"/>
        <w:spacing w:before="0" w:after="120" w:line="440" w:lineRule="atLeast"/>
      </w:pPr>
    </w:p>
    <w:p w14:paraId="1836A96F" w14:textId="13F5DE7D" w:rsidR="00BD5091" w:rsidRDefault="00BD5091" w:rsidP="00902F90">
      <w:pPr>
        <w:suppressAutoHyphens w:val="0"/>
        <w:spacing w:before="0" w:after="120" w:line="440" w:lineRule="atLeast"/>
        <w:sectPr w:rsidR="00BD5091" w:rsidSect="00902F90">
          <w:headerReference w:type="default" r:id="rId19"/>
          <w:footerReference w:type="default" r:id="rId20"/>
          <w:pgSz w:w="11906" w:h="16838" w:code="9"/>
          <w:pgMar w:top="1701" w:right="1134" w:bottom="1418" w:left="1134" w:header="425" w:footer="493" w:gutter="0"/>
          <w:pgNumType w:fmt="lowerRoman" w:start="1"/>
          <w:cols w:space="397"/>
          <w:docGrid w:linePitch="360"/>
        </w:sectPr>
      </w:pPr>
    </w:p>
    <w:p w14:paraId="040EBB8E" w14:textId="77777777" w:rsidR="00902F90" w:rsidRPr="00BB1600" w:rsidRDefault="00902F90" w:rsidP="00902F90">
      <w:pPr>
        <w:pStyle w:val="Heading1"/>
      </w:pPr>
      <w:bookmarkStart w:id="2" w:name="_Toc232524256"/>
      <w:r w:rsidRPr="00BB1600">
        <w:lastRenderedPageBreak/>
        <w:t>Executive Summary</w:t>
      </w:r>
      <w:bookmarkEnd w:id="0"/>
      <w:bookmarkEnd w:id="2"/>
    </w:p>
    <w:p w14:paraId="443DDADA" w14:textId="77777777" w:rsidR="00902F90" w:rsidRPr="00933B37" w:rsidRDefault="00902F90" w:rsidP="00902F90">
      <w:pPr>
        <w:pStyle w:val="Heading2"/>
      </w:pPr>
      <w:bookmarkStart w:id="3" w:name="_Toc208223932"/>
      <w:bookmarkStart w:id="4" w:name="_Toc232524134"/>
      <w:bookmarkStart w:id="5" w:name="_Toc232524257"/>
      <w:r w:rsidRPr="00933B37">
        <w:t>Background, Context and Rationale</w:t>
      </w:r>
      <w:bookmarkEnd w:id="3"/>
      <w:bookmarkEnd w:id="4"/>
      <w:bookmarkEnd w:id="5"/>
    </w:p>
    <w:p w14:paraId="2EA42EE3" w14:textId="1D279125" w:rsidR="004A0984" w:rsidRDefault="00902F90" w:rsidP="004A0984">
      <w:pPr>
        <w:rPr>
          <w:lang w:val="en-AU"/>
        </w:rPr>
      </w:pPr>
      <w:proofErr w:type="spellStart"/>
      <w:r w:rsidRPr="61A10F58">
        <w:rPr>
          <w:lang w:val="en-AU"/>
        </w:rPr>
        <w:t>Partisipasi</w:t>
      </w:r>
      <w:proofErr w:type="spellEnd"/>
      <w:r w:rsidR="005048E9">
        <w:rPr>
          <w:lang w:val="en-AU"/>
        </w:rPr>
        <w:t xml:space="preserve"> is</w:t>
      </w:r>
      <w:r w:rsidRPr="61A10F58">
        <w:rPr>
          <w:lang w:val="en-AU"/>
        </w:rPr>
        <w:t xml:space="preserve"> an AUD30</w:t>
      </w:r>
      <w:r w:rsidR="00886F89">
        <w:rPr>
          <w:lang w:val="en-AU"/>
        </w:rPr>
        <w:t xml:space="preserve"> </w:t>
      </w:r>
      <w:r w:rsidRPr="61A10F58">
        <w:rPr>
          <w:lang w:val="en-AU"/>
        </w:rPr>
        <w:t>m</w:t>
      </w:r>
      <w:r w:rsidR="00EA672A">
        <w:rPr>
          <w:lang w:val="en-AU"/>
        </w:rPr>
        <w:t>illion</w:t>
      </w:r>
      <w:r w:rsidRPr="61A10F58">
        <w:rPr>
          <w:lang w:val="en-AU"/>
        </w:rPr>
        <w:t xml:space="preserve">, 4.5-year investment by the Australian Government to support democratic participation in Indonesia. It will run from </w:t>
      </w:r>
      <w:r w:rsidR="00FB6567">
        <w:rPr>
          <w:lang w:val="en-AU"/>
        </w:rPr>
        <w:t>early</w:t>
      </w:r>
      <w:r w:rsidR="00FB6567" w:rsidRPr="61A10F58">
        <w:rPr>
          <w:lang w:val="en-AU"/>
        </w:rPr>
        <w:t xml:space="preserve"> </w:t>
      </w:r>
      <w:r w:rsidRPr="61A10F58">
        <w:rPr>
          <w:lang w:val="en-AU"/>
        </w:rPr>
        <w:t xml:space="preserve">2026 until June 2030, with the option to extend for up to 5 years. </w:t>
      </w:r>
      <w:r w:rsidR="00172A0E">
        <w:rPr>
          <w:lang w:val="en-AU"/>
        </w:rPr>
        <w:t xml:space="preserve">This </w:t>
      </w:r>
      <w:r w:rsidR="004A0984">
        <w:rPr>
          <w:lang w:val="en-AU"/>
        </w:rPr>
        <w:t>timeframe has been selected to align with Indonesia’s electoral cycle and Medium-Term Development Plan timeframe.</w:t>
      </w:r>
      <w:r w:rsidR="004A0984" w:rsidRPr="648A9D0C">
        <w:rPr>
          <w:lang w:val="en-AU"/>
        </w:rPr>
        <w:t xml:space="preserve"> </w:t>
      </w:r>
    </w:p>
    <w:p w14:paraId="20592BA2" w14:textId="579D4525" w:rsidR="00902F90" w:rsidRDefault="00902F90" w:rsidP="00902F90">
      <w:pPr>
        <w:rPr>
          <w:lang w:val="en-AU"/>
        </w:rPr>
      </w:pPr>
      <w:r w:rsidRPr="61A10F58">
        <w:rPr>
          <w:lang w:val="en-AU"/>
        </w:rPr>
        <w:t>This new investment is informed by and follows on from the Democratic Resilience Pilot Program (</w:t>
      </w:r>
      <w:proofErr w:type="spellStart"/>
      <w:r w:rsidRPr="61A10F58">
        <w:rPr>
          <w:lang w:val="en-AU"/>
        </w:rPr>
        <w:t>DemRes</w:t>
      </w:r>
      <w:proofErr w:type="spellEnd"/>
      <w:r w:rsidRPr="61A10F58">
        <w:rPr>
          <w:lang w:val="en-AU"/>
        </w:rPr>
        <w:t>, AUD9 million</w:t>
      </w:r>
      <w:r w:rsidR="00EA672A">
        <w:rPr>
          <w:lang w:val="en-AU"/>
        </w:rPr>
        <w:t>,</w:t>
      </w:r>
      <w:r w:rsidRPr="61A10F58">
        <w:rPr>
          <w:lang w:val="en-AU"/>
        </w:rPr>
        <w:t xml:space="preserve"> 2021–2025). </w:t>
      </w:r>
      <w:proofErr w:type="spellStart"/>
      <w:r w:rsidRPr="61A10F58">
        <w:rPr>
          <w:lang w:val="en-AU"/>
        </w:rPr>
        <w:t>DemRes</w:t>
      </w:r>
      <w:proofErr w:type="spellEnd"/>
      <w:r w:rsidRPr="61A10F58">
        <w:rPr>
          <w:lang w:val="en-AU"/>
        </w:rPr>
        <w:t xml:space="preserve"> has demonstrated</w:t>
      </w:r>
      <w:r w:rsidR="00BD7A74">
        <w:rPr>
          <w:lang w:val="en-AU"/>
        </w:rPr>
        <w:t xml:space="preserve"> that</w:t>
      </w:r>
      <w:r w:rsidRPr="61A10F58">
        <w:rPr>
          <w:lang w:val="en-AU"/>
        </w:rPr>
        <w:t xml:space="preserve"> it is possible to achieve results and make a positive contribution to democratic resilience. </w:t>
      </w:r>
      <w:r w:rsidR="004133C3">
        <w:rPr>
          <w:lang w:val="en-AU"/>
        </w:rPr>
        <w:t>A review</w:t>
      </w:r>
      <w:r w:rsidR="004133C3" w:rsidRPr="61A10F58">
        <w:rPr>
          <w:lang w:val="en-AU"/>
        </w:rPr>
        <w:t xml:space="preserve"> </w:t>
      </w:r>
      <w:r w:rsidRPr="61A10F58">
        <w:rPr>
          <w:lang w:val="en-AU"/>
        </w:rPr>
        <w:t xml:space="preserve">of </w:t>
      </w:r>
      <w:proofErr w:type="spellStart"/>
      <w:r w:rsidRPr="61A10F58">
        <w:rPr>
          <w:lang w:val="en-AU"/>
        </w:rPr>
        <w:t>DemRes</w:t>
      </w:r>
      <w:proofErr w:type="spellEnd"/>
      <w:r w:rsidRPr="61A10F58">
        <w:rPr>
          <w:lang w:val="en-AU"/>
        </w:rPr>
        <w:t xml:space="preserve"> found it was effective, and that Australia’s investment in partnership with Indonesian institutions</w:t>
      </w:r>
      <w:r w:rsidR="00D34E5A">
        <w:rPr>
          <w:lang w:val="en-AU"/>
        </w:rPr>
        <w:t xml:space="preserve"> </w:t>
      </w:r>
      <w:r w:rsidRPr="61A10F58">
        <w:rPr>
          <w:lang w:val="en-AU"/>
        </w:rPr>
        <w:t xml:space="preserve">can positively </w:t>
      </w:r>
      <w:r w:rsidR="008B1E80">
        <w:rPr>
          <w:lang w:val="en-AU"/>
        </w:rPr>
        <w:t>support Indonesian priorities</w:t>
      </w:r>
      <w:r w:rsidR="00991DD4">
        <w:rPr>
          <w:lang w:val="en-AU"/>
        </w:rPr>
        <w:t xml:space="preserve"> for</w:t>
      </w:r>
      <w:r w:rsidRPr="61A10F58">
        <w:rPr>
          <w:lang w:val="en-AU"/>
        </w:rPr>
        <w:t xml:space="preserve"> democratic norms, values and processes.</w:t>
      </w:r>
    </w:p>
    <w:p w14:paraId="17EBB4C1" w14:textId="0E5E6D08" w:rsidR="00902F90" w:rsidRDefault="00902F90" w:rsidP="00902F90">
      <w:proofErr w:type="spellStart"/>
      <w:r w:rsidRPr="61A10F58">
        <w:rPr>
          <w:lang w:val="en-AU"/>
        </w:rPr>
        <w:t>Partisipasi</w:t>
      </w:r>
      <w:proofErr w:type="spellEnd"/>
      <w:r w:rsidRPr="61A10F58">
        <w:rPr>
          <w:lang w:val="en-AU"/>
        </w:rPr>
        <w:t xml:space="preserve"> aligns with </w:t>
      </w:r>
      <w:r w:rsidR="00EA672A">
        <w:rPr>
          <w:lang w:val="en-AU"/>
        </w:rPr>
        <w:t xml:space="preserve">the </w:t>
      </w:r>
      <w:r w:rsidR="00EA672A" w:rsidRPr="61A10F58">
        <w:rPr>
          <w:lang w:val="en-AU"/>
        </w:rPr>
        <w:t xml:space="preserve">development priorities </w:t>
      </w:r>
      <w:r w:rsidR="00EA672A">
        <w:rPr>
          <w:lang w:val="en-AU"/>
        </w:rPr>
        <w:t xml:space="preserve">of </w:t>
      </w:r>
      <w:r w:rsidRPr="61A10F58">
        <w:rPr>
          <w:lang w:val="en-AU"/>
        </w:rPr>
        <w:t xml:space="preserve">Indonesia and Australia. </w:t>
      </w:r>
      <w:r w:rsidR="00726BD9">
        <w:rPr>
          <w:lang w:val="en-AU"/>
        </w:rPr>
        <w:t>The Government of Indonesia</w:t>
      </w:r>
      <w:r w:rsidR="003D711F">
        <w:rPr>
          <w:lang w:val="en-AU"/>
        </w:rPr>
        <w:t xml:space="preserve"> (</w:t>
      </w:r>
      <w:proofErr w:type="spellStart"/>
      <w:r w:rsidRPr="61A10F58">
        <w:rPr>
          <w:lang w:val="en-AU"/>
        </w:rPr>
        <w:t>GoI</w:t>
      </w:r>
      <w:proofErr w:type="spellEnd"/>
      <w:r w:rsidR="003D711F">
        <w:rPr>
          <w:lang w:val="en-AU"/>
        </w:rPr>
        <w:t>)</w:t>
      </w:r>
      <w:r w:rsidRPr="61A10F58">
        <w:rPr>
          <w:lang w:val="en-AU"/>
        </w:rPr>
        <w:t xml:space="preserve"> Long-Term Development Plan (2025</w:t>
      </w:r>
      <w:r w:rsidR="00EA672A">
        <w:rPr>
          <w:lang w:val="en-AU"/>
        </w:rPr>
        <w:t>–</w:t>
      </w:r>
      <w:r w:rsidRPr="61A10F58">
        <w:rPr>
          <w:lang w:val="en-AU"/>
        </w:rPr>
        <w:t xml:space="preserve">2045) acknowledges the importance of moving beyond formal electoral procedures as a signifier of a robust democracy, towards a substantive democracy that provides a broader and deeper understanding of its core elements. For </w:t>
      </w:r>
      <w:r w:rsidRPr="009553BD">
        <w:rPr>
          <w:i/>
          <w:iCs/>
          <w:lang w:val="en-AU"/>
        </w:rPr>
        <w:t>Australia’s International Development Policy</w:t>
      </w:r>
      <w:r w:rsidRPr="61A10F58">
        <w:rPr>
          <w:lang w:val="en-AU"/>
        </w:rPr>
        <w:t xml:space="preserve"> </w:t>
      </w:r>
      <w:r w:rsidR="002802A8">
        <w:rPr>
          <w:lang w:val="en-AU"/>
        </w:rPr>
        <w:t>(</w:t>
      </w:r>
      <w:r w:rsidR="00E66F18">
        <w:rPr>
          <w:lang w:val="en-AU"/>
        </w:rPr>
        <w:t xml:space="preserve">2023), </w:t>
      </w:r>
      <w:r w:rsidR="00E66F18" w:rsidRPr="61A10F58">
        <w:rPr>
          <w:lang w:val="en-AU"/>
        </w:rPr>
        <w:t>the program contributes to the objective of ‘building effective, accountable states that drive their own development’</w:t>
      </w:r>
      <w:r w:rsidR="00E66F18">
        <w:rPr>
          <w:lang w:val="en-AU"/>
        </w:rPr>
        <w:t xml:space="preserve">. </w:t>
      </w:r>
      <w:r w:rsidR="00E14EEB">
        <w:rPr>
          <w:lang w:val="en-AU"/>
        </w:rPr>
        <w:t>Aligning with the</w:t>
      </w:r>
      <w:r w:rsidRPr="61A10F58">
        <w:rPr>
          <w:lang w:val="en-AU"/>
        </w:rPr>
        <w:t xml:space="preserve"> </w:t>
      </w:r>
      <w:r w:rsidRPr="009553BD">
        <w:rPr>
          <w:i/>
          <w:iCs/>
          <w:lang w:val="en-AU"/>
        </w:rPr>
        <w:t>Australia</w:t>
      </w:r>
      <w:r w:rsidR="00EA672A" w:rsidRPr="009553BD">
        <w:rPr>
          <w:i/>
          <w:iCs/>
          <w:lang w:val="en-AU"/>
        </w:rPr>
        <w:t>–</w:t>
      </w:r>
      <w:r w:rsidRPr="009553BD">
        <w:rPr>
          <w:i/>
          <w:iCs/>
          <w:lang w:val="en-AU"/>
        </w:rPr>
        <w:t>Indonesia Development Partnership Plan 2024</w:t>
      </w:r>
      <w:r w:rsidR="00EA672A" w:rsidRPr="009553BD">
        <w:rPr>
          <w:i/>
          <w:iCs/>
          <w:lang w:val="en-AU"/>
        </w:rPr>
        <w:t>–</w:t>
      </w:r>
      <w:r w:rsidRPr="009553BD">
        <w:rPr>
          <w:i/>
          <w:iCs/>
          <w:lang w:val="en-AU"/>
        </w:rPr>
        <w:t>2028</w:t>
      </w:r>
      <w:r w:rsidRPr="61A10F58">
        <w:rPr>
          <w:lang w:val="en-AU"/>
        </w:rPr>
        <w:t xml:space="preserve"> (DPP), </w:t>
      </w:r>
      <w:r w:rsidR="00E14EEB">
        <w:rPr>
          <w:lang w:val="en-AU"/>
        </w:rPr>
        <w:t xml:space="preserve">the investment will contribute to </w:t>
      </w:r>
      <w:r w:rsidRPr="61A10F58">
        <w:rPr>
          <w:lang w:val="en-AU"/>
        </w:rPr>
        <w:t xml:space="preserve">objective 3 ‘strong institutions’, with a ‘key focus’ on ‘encouraging inclusive participation in democratic </w:t>
      </w:r>
      <w:proofErr w:type="gramStart"/>
      <w:r w:rsidRPr="61A10F58">
        <w:rPr>
          <w:lang w:val="en-AU"/>
        </w:rPr>
        <w:t>processes’</w:t>
      </w:r>
      <w:proofErr w:type="gramEnd"/>
      <w:r w:rsidR="00FF45C8">
        <w:rPr>
          <w:lang w:val="en-AU"/>
        </w:rPr>
        <w:t>.</w:t>
      </w:r>
      <w:r w:rsidRPr="61A10F58">
        <w:rPr>
          <w:lang w:val="en-AU"/>
        </w:rPr>
        <w:t xml:space="preserve"> </w:t>
      </w:r>
    </w:p>
    <w:p w14:paraId="405A57CF" w14:textId="11A5217B" w:rsidR="00902F90" w:rsidRPr="00F66E65" w:rsidRDefault="00902F90" w:rsidP="00902F90">
      <w:r w:rsidRPr="37D0437D">
        <w:rPr>
          <w:lang w:val="en-AU"/>
        </w:rPr>
        <w:t xml:space="preserve">Rather than seeking transformative reform, the program is designed to </w:t>
      </w:r>
      <w:r w:rsidR="00886F89">
        <w:rPr>
          <w:lang w:val="en-AU"/>
        </w:rPr>
        <w:t>support</w:t>
      </w:r>
      <w:r w:rsidRPr="37D0437D">
        <w:rPr>
          <w:lang w:val="en-AU"/>
        </w:rPr>
        <w:t xml:space="preserve"> </w:t>
      </w:r>
      <w:r w:rsidR="00F23959">
        <w:rPr>
          <w:lang w:val="en-AU"/>
        </w:rPr>
        <w:t xml:space="preserve">Indonesia’s </w:t>
      </w:r>
      <w:r w:rsidRPr="37D0437D">
        <w:rPr>
          <w:lang w:val="en-AU"/>
        </w:rPr>
        <w:t xml:space="preserve">democratic institutions and build civic capacity. </w:t>
      </w:r>
      <w:proofErr w:type="spellStart"/>
      <w:r w:rsidRPr="37D0437D">
        <w:rPr>
          <w:lang w:val="en-AU"/>
        </w:rPr>
        <w:t>Partisipasi</w:t>
      </w:r>
      <w:proofErr w:type="spellEnd"/>
      <w:r w:rsidRPr="37D0437D">
        <w:rPr>
          <w:lang w:val="en-AU"/>
        </w:rPr>
        <w:t xml:space="preserve"> aims to </w:t>
      </w:r>
      <w:r w:rsidR="000E2816">
        <w:rPr>
          <w:lang w:val="en-AU"/>
        </w:rPr>
        <w:t>support</w:t>
      </w:r>
      <w:r w:rsidR="000E2816" w:rsidRPr="37D0437D">
        <w:rPr>
          <w:lang w:val="en-AU"/>
        </w:rPr>
        <w:t xml:space="preserve"> </w:t>
      </w:r>
      <w:r w:rsidR="00886F89">
        <w:rPr>
          <w:lang w:val="en-AU"/>
        </w:rPr>
        <w:t>Indonesian</w:t>
      </w:r>
      <w:r w:rsidRPr="37D0437D">
        <w:rPr>
          <w:lang w:val="en-AU"/>
        </w:rPr>
        <w:t xml:space="preserve"> state and non-state actors to </w:t>
      </w:r>
      <w:r w:rsidR="004267F2">
        <w:rPr>
          <w:lang w:val="en-AU"/>
        </w:rPr>
        <w:t xml:space="preserve">strengthen </w:t>
      </w:r>
      <w:r w:rsidR="00886F89">
        <w:rPr>
          <w:lang w:val="en-AU"/>
        </w:rPr>
        <w:t>substantive democracy, in line with Indonesia’s Long-Term Development Plan</w:t>
      </w:r>
      <w:r w:rsidRPr="37D0437D">
        <w:rPr>
          <w:lang w:val="en-AU"/>
        </w:rPr>
        <w:t xml:space="preserve">. </w:t>
      </w:r>
      <w:proofErr w:type="spellStart"/>
      <w:r w:rsidRPr="37D0437D">
        <w:rPr>
          <w:lang w:val="en-AU"/>
        </w:rPr>
        <w:t>Partisipasi</w:t>
      </w:r>
      <w:proofErr w:type="spellEnd"/>
      <w:r w:rsidRPr="37D0437D">
        <w:rPr>
          <w:lang w:val="en-AU"/>
        </w:rPr>
        <w:t xml:space="preserve"> will help equip civil society (including actors such as media and academia) to engage with government </w:t>
      </w:r>
      <w:r w:rsidR="00D60A6F">
        <w:rPr>
          <w:lang w:val="en-AU"/>
        </w:rPr>
        <w:t xml:space="preserve">and parliament </w:t>
      </w:r>
      <w:r w:rsidRPr="37D0437D">
        <w:rPr>
          <w:lang w:val="en-AU"/>
        </w:rPr>
        <w:t>on matters pertaining to Indonesia’s democracy. It aims to reinforce civic participation by women, youth</w:t>
      </w:r>
      <w:r w:rsidR="00FF45C8">
        <w:rPr>
          <w:lang w:val="en-AU"/>
        </w:rPr>
        <w:t>s,</w:t>
      </w:r>
      <w:r w:rsidRPr="37D0437D">
        <w:rPr>
          <w:lang w:val="en-AU"/>
        </w:rPr>
        <w:t xml:space="preserve"> and people with disabilities, ensuring democracy is representative and inclusive.</w:t>
      </w:r>
    </w:p>
    <w:p w14:paraId="1644C0D2" w14:textId="77777777" w:rsidR="00EA3B77" w:rsidRDefault="00EA3B77">
      <w:pPr>
        <w:suppressAutoHyphens w:val="0"/>
        <w:spacing w:before="0" w:after="120" w:line="440" w:lineRule="atLeast"/>
        <w:rPr>
          <w:rFonts w:asciiTheme="majorHAnsi" w:eastAsiaTheme="majorEastAsia" w:hAnsiTheme="majorHAnsi" w:cstheme="majorBidi"/>
          <w:caps/>
          <w:sz w:val="38"/>
          <w:szCs w:val="26"/>
        </w:rPr>
      </w:pPr>
      <w:bookmarkStart w:id="6" w:name="_Toc208223933"/>
      <w:r>
        <w:br w:type="page"/>
      </w:r>
    </w:p>
    <w:p w14:paraId="20D13155" w14:textId="77777777" w:rsidR="00902F90" w:rsidRPr="00364348" w:rsidRDefault="00902F90" w:rsidP="00902F90">
      <w:pPr>
        <w:pStyle w:val="Heading2"/>
      </w:pPr>
      <w:bookmarkStart w:id="7" w:name="_Toc232524135"/>
      <w:bookmarkStart w:id="8" w:name="_Toc232524258"/>
      <w:r w:rsidRPr="005048E9">
        <w:lastRenderedPageBreak/>
        <w:t>Investment Goal, Objective and Outcomes</w:t>
      </w:r>
      <w:bookmarkEnd w:id="6"/>
      <w:bookmarkEnd w:id="7"/>
      <w:bookmarkEnd w:id="8"/>
    </w:p>
    <w:p w14:paraId="145E3F88" w14:textId="2A06E02B" w:rsidR="00902F90" w:rsidRPr="00D85AC6" w:rsidRDefault="00902F90" w:rsidP="00902F90">
      <w:pPr>
        <w:rPr>
          <w:lang w:val="en-AU"/>
        </w:rPr>
      </w:pPr>
      <w:r>
        <w:rPr>
          <w:b/>
          <w:bCs/>
          <w:lang w:val="en-AU"/>
        </w:rPr>
        <w:t>The</w:t>
      </w:r>
      <w:r w:rsidRPr="00B57CB6">
        <w:rPr>
          <w:b/>
          <w:bCs/>
          <w:lang w:val="en-AU"/>
        </w:rPr>
        <w:t xml:space="preserve"> </w:t>
      </w:r>
      <w:r w:rsidR="00A92DB1">
        <w:rPr>
          <w:b/>
          <w:bCs/>
          <w:lang w:val="en-AU"/>
        </w:rPr>
        <w:t>L</w:t>
      </w:r>
      <w:r w:rsidRPr="00B57CB6">
        <w:rPr>
          <w:b/>
          <w:bCs/>
          <w:lang w:val="en-AU"/>
        </w:rPr>
        <w:t xml:space="preserve">ong-term </w:t>
      </w:r>
      <w:r w:rsidR="00DC3585">
        <w:rPr>
          <w:b/>
          <w:bCs/>
          <w:lang w:val="en-AU"/>
        </w:rPr>
        <w:t>G</w:t>
      </w:r>
      <w:r w:rsidRPr="00B57CB6">
        <w:rPr>
          <w:b/>
          <w:bCs/>
          <w:lang w:val="en-AU"/>
        </w:rPr>
        <w:t>oal is</w:t>
      </w:r>
      <w:r w:rsidRPr="5261E5B3">
        <w:rPr>
          <w:lang w:val="en-AU"/>
        </w:rPr>
        <w:t xml:space="preserve">: </w:t>
      </w:r>
      <w:r w:rsidRPr="00D85AC6">
        <w:rPr>
          <w:lang w:val="en-AU"/>
        </w:rPr>
        <w:t xml:space="preserve">Strengthened democratic </w:t>
      </w:r>
      <w:r w:rsidRPr="00B57CB6">
        <w:rPr>
          <w:lang w:val="en-AU"/>
        </w:rPr>
        <w:t>resilience and participation in Indonesia</w:t>
      </w:r>
      <w:r>
        <w:rPr>
          <w:lang w:val="en-AU"/>
        </w:rPr>
        <w:t>,</w:t>
      </w:r>
      <w:r w:rsidR="00F23959">
        <w:rPr>
          <w:lang w:val="en-AU"/>
        </w:rPr>
        <w:t xml:space="preserve"> in ways that</w:t>
      </w:r>
      <w:r w:rsidRPr="00B57CB6">
        <w:rPr>
          <w:lang w:val="en-AU"/>
        </w:rPr>
        <w:t xml:space="preserve"> align with national development goals.</w:t>
      </w:r>
      <w:r w:rsidRPr="00D85AC6">
        <w:rPr>
          <w:lang w:val="en-AU"/>
        </w:rPr>
        <w:t xml:space="preserve"> </w:t>
      </w:r>
    </w:p>
    <w:p w14:paraId="7EB7F9FA" w14:textId="0702289B" w:rsidR="00902F90" w:rsidRPr="00D85AC6" w:rsidRDefault="00902F90" w:rsidP="00902F90">
      <w:pPr>
        <w:rPr>
          <w:rFonts w:eastAsia="Times New Roman" w:cs="Times New Roman"/>
          <w:lang w:val="en-AU"/>
        </w:rPr>
      </w:pPr>
      <w:r w:rsidRPr="00B57CB6">
        <w:rPr>
          <w:rFonts w:eastAsia="Times New Roman" w:cs="Times New Roman"/>
          <w:b/>
          <w:bCs/>
          <w:lang w:val="en-AU"/>
        </w:rPr>
        <w:t xml:space="preserve">The </w:t>
      </w:r>
      <w:r w:rsidRPr="00D85AC6">
        <w:rPr>
          <w:rFonts w:eastAsia="Times New Roman" w:cs="Times New Roman"/>
          <w:b/>
          <w:bCs/>
          <w:lang w:val="en-AU"/>
        </w:rPr>
        <w:t xml:space="preserve">Strategic </w:t>
      </w:r>
      <w:r w:rsidRPr="00B57CB6">
        <w:rPr>
          <w:rFonts w:eastAsia="Times New Roman" w:cs="Times New Roman"/>
          <w:b/>
          <w:bCs/>
          <w:lang w:val="en-AU"/>
        </w:rPr>
        <w:t>Objective is</w:t>
      </w:r>
      <w:r w:rsidRPr="00D85AC6">
        <w:rPr>
          <w:rFonts w:eastAsia="Times New Roman" w:cs="Times New Roman"/>
          <w:lang w:val="en-AU"/>
        </w:rPr>
        <w:t xml:space="preserve">: </w:t>
      </w:r>
      <w:r w:rsidRPr="00B57CB6">
        <w:rPr>
          <w:rFonts w:eastAsia="Times New Roman" w:cs="Times New Roman"/>
          <w:lang w:val="en-AU"/>
        </w:rPr>
        <w:t>To support Indonesian state and non-state actors to</w:t>
      </w:r>
      <w:r w:rsidRPr="007B407D">
        <w:rPr>
          <w:rFonts w:eastAsia="Times New Roman" w:cs="Times New Roman"/>
          <w:lang w:val="en-AU"/>
        </w:rPr>
        <w:t xml:space="preserve"> </w:t>
      </w:r>
      <w:r w:rsidR="003826F7">
        <w:rPr>
          <w:rFonts w:eastAsia="Times New Roman" w:cs="Times New Roman"/>
          <w:lang w:val="en-AU"/>
        </w:rPr>
        <w:t>strengthen</w:t>
      </w:r>
      <w:r w:rsidR="003826F7" w:rsidRPr="007B407D">
        <w:rPr>
          <w:rFonts w:eastAsia="Times New Roman" w:cs="Times New Roman"/>
          <w:lang w:val="en-AU"/>
        </w:rPr>
        <w:t xml:space="preserve"> </w:t>
      </w:r>
      <w:r w:rsidRPr="007B407D">
        <w:rPr>
          <w:rFonts w:eastAsia="Times New Roman" w:cs="Times New Roman"/>
          <w:lang w:val="en-AU"/>
        </w:rPr>
        <w:t>substantive democracy.</w:t>
      </w:r>
      <w:r w:rsidRPr="00B57CB6">
        <w:rPr>
          <w:rFonts w:eastAsia="Times New Roman" w:cs="Times New Roman"/>
          <w:lang w:val="en-AU"/>
        </w:rPr>
        <w:t xml:space="preserve"> </w:t>
      </w:r>
    </w:p>
    <w:p w14:paraId="72FDE726" w14:textId="117B6665" w:rsidR="00902F90" w:rsidRPr="004663BB" w:rsidRDefault="00902F90" w:rsidP="00902F90">
      <w:pPr>
        <w:rPr>
          <w:rFonts w:eastAsia="Times New Roman" w:cs="Times New Roman"/>
          <w:b/>
          <w:bCs/>
          <w:szCs w:val="21"/>
          <w:lang w:val="en-AU"/>
        </w:rPr>
      </w:pPr>
      <w:proofErr w:type="spellStart"/>
      <w:r w:rsidRPr="000A597C">
        <w:rPr>
          <w:rFonts w:eastAsia="Times New Roman" w:cs="Times New Roman"/>
          <w:szCs w:val="21"/>
          <w:lang w:val="en-AU"/>
        </w:rPr>
        <w:t>Partisipasi</w:t>
      </w:r>
      <w:proofErr w:type="spellEnd"/>
      <w:r w:rsidRPr="00D85AC6">
        <w:rPr>
          <w:rFonts w:eastAsia="Times New Roman" w:cs="Times New Roman"/>
          <w:szCs w:val="21"/>
          <w:lang w:val="en-AU"/>
        </w:rPr>
        <w:t xml:space="preserve"> has </w:t>
      </w:r>
      <w:r w:rsidR="00FE5858">
        <w:rPr>
          <w:rFonts w:eastAsia="Times New Roman" w:cs="Times New Roman"/>
          <w:szCs w:val="21"/>
          <w:lang w:val="en-AU"/>
        </w:rPr>
        <w:t>three</w:t>
      </w:r>
      <w:r w:rsidR="00DC3585" w:rsidRPr="00D85AC6">
        <w:rPr>
          <w:rFonts w:eastAsia="Times New Roman" w:cs="Times New Roman"/>
          <w:szCs w:val="21"/>
          <w:lang w:val="en-AU"/>
        </w:rPr>
        <w:t xml:space="preserve"> </w:t>
      </w:r>
      <w:r w:rsidRPr="004663BB">
        <w:rPr>
          <w:rFonts w:eastAsia="Times New Roman" w:cs="Times New Roman"/>
          <w:b/>
          <w:bCs/>
          <w:szCs w:val="21"/>
          <w:lang w:val="en-AU"/>
        </w:rPr>
        <w:t>End of Program Outcomes</w:t>
      </w:r>
      <w:r w:rsidR="00FE5858" w:rsidRPr="004663BB">
        <w:rPr>
          <w:rFonts w:eastAsia="Times New Roman" w:cs="Times New Roman"/>
          <w:b/>
          <w:bCs/>
          <w:szCs w:val="21"/>
          <w:lang w:val="en-AU"/>
        </w:rPr>
        <w:t xml:space="preserve"> (EOPO) by 2030</w:t>
      </w:r>
      <w:r w:rsidRPr="004663BB">
        <w:rPr>
          <w:rFonts w:eastAsia="Times New Roman" w:cs="Times New Roman"/>
          <w:b/>
          <w:bCs/>
          <w:szCs w:val="21"/>
          <w:lang w:val="en-AU"/>
        </w:rPr>
        <w:t>:</w:t>
      </w:r>
    </w:p>
    <w:p w14:paraId="11999C69" w14:textId="08AD418F" w:rsidR="00902F90" w:rsidRPr="004663BB" w:rsidRDefault="00902F90" w:rsidP="00504B06">
      <w:pPr>
        <w:pStyle w:val="ListParagraph"/>
        <w:numPr>
          <w:ilvl w:val="0"/>
          <w:numId w:val="101"/>
        </w:numPr>
        <w:rPr>
          <w:szCs w:val="21"/>
          <w:lang w:val="en-AU"/>
        </w:rPr>
      </w:pPr>
      <w:r w:rsidRPr="004663BB">
        <w:rPr>
          <w:szCs w:val="21"/>
          <w:lang w:val="en-AU"/>
        </w:rPr>
        <w:t>EOPO1 Strengthened Institutional Resilience: Key Indonesian state actors are better equipped to enhance public engagement and safeguard democracy.</w:t>
      </w:r>
    </w:p>
    <w:p w14:paraId="4D122882" w14:textId="3B7BB773" w:rsidR="00902F90" w:rsidRPr="004663BB" w:rsidRDefault="00902F90" w:rsidP="00504B06">
      <w:pPr>
        <w:pStyle w:val="ListParagraph"/>
        <w:numPr>
          <w:ilvl w:val="0"/>
          <w:numId w:val="101"/>
        </w:numPr>
        <w:rPr>
          <w:szCs w:val="21"/>
          <w:lang w:val="en-AU"/>
        </w:rPr>
      </w:pPr>
      <w:r w:rsidRPr="004663BB">
        <w:rPr>
          <w:szCs w:val="21"/>
          <w:lang w:val="en-AU"/>
        </w:rPr>
        <w:t xml:space="preserve">EOPO2 Strengthened Civic Actors: Indonesian civil society actors </w:t>
      </w:r>
      <w:r w:rsidR="00CF69B6" w:rsidRPr="004663BB">
        <w:rPr>
          <w:szCs w:val="21"/>
          <w:lang w:val="en-AU"/>
        </w:rPr>
        <w:t>enhance public engagement and promote democratic integrity in targeted areas</w:t>
      </w:r>
      <w:r w:rsidRPr="004663BB">
        <w:rPr>
          <w:szCs w:val="21"/>
          <w:lang w:val="en-AU"/>
        </w:rPr>
        <w:t>.</w:t>
      </w:r>
    </w:p>
    <w:p w14:paraId="4CA8DE30" w14:textId="7ECFB62E" w:rsidR="00902F90" w:rsidRPr="004663BB" w:rsidRDefault="00902F90" w:rsidP="00504B06">
      <w:pPr>
        <w:pStyle w:val="ListParagraph"/>
        <w:numPr>
          <w:ilvl w:val="0"/>
          <w:numId w:val="101"/>
        </w:numPr>
        <w:rPr>
          <w:szCs w:val="21"/>
          <w:lang w:val="en-AU"/>
        </w:rPr>
      </w:pPr>
      <w:r w:rsidRPr="004663BB">
        <w:rPr>
          <w:szCs w:val="21"/>
          <w:lang w:val="en-AU"/>
        </w:rPr>
        <w:t xml:space="preserve">EOPO3 Collaborative Democratic Action: Indonesia’s state and non-state actors </w:t>
      </w:r>
      <w:r w:rsidR="00E63A14" w:rsidRPr="004663BB">
        <w:rPr>
          <w:szCs w:val="21"/>
          <w:lang w:val="en-AU"/>
        </w:rPr>
        <w:t xml:space="preserve">effectively </w:t>
      </w:r>
      <w:r w:rsidR="0037223C" w:rsidRPr="004663BB">
        <w:rPr>
          <w:szCs w:val="21"/>
          <w:lang w:val="en-AU"/>
        </w:rPr>
        <w:t>engage with each other</w:t>
      </w:r>
      <w:r w:rsidR="00E63A14" w:rsidRPr="004663BB">
        <w:rPr>
          <w:szCs w:val="21"/>
          <w:lang w:val="en-AU"/>
        </w:rPr>
        <w:t xml:space="preserve"> </w:t>
      </w:r>
      <w:r w:rsidRPr="004663BB">
        <w:rPr>
          <w:szCs w:val="21"/>
          <w:lang w:val="en-AU"/>
        </w:rPr>
        <w:t xml:space="preserve">to </w:t>
      </w:r>
      <w:r w:rsidR="0037223C" w:rsidRPr="004663BB">
        <w:rPr>
          <w:szCs w:val="21"/>
          <w:lang w:val="en-AU"/>
        </w:rPr>
        <w:t xml:space="preserve">strengthen </w:t>
      </w:r>
      <w:r w:rsidRPr="004663BB">
        <w:rPr>
          <w:szCs w:val="21"/>
          <w:lang w:val="en-AU"/>
        </w:rPr>
        <w:t>democratic participation.</w:t>
      </w:r>
    </w:p>
    <w:p w14:paraId="0560C4E9" w14:textId="12BA6C24" w:rsidR="00902F90" w:rsidRDefault="00902F90" w:rsidP="00902F90">
      <w:pPr>
        <w:rPr>
          <w:szCs w:val="21"/>
          <w:lang w:val="en-AU"/>
        </w:rPr>
      </w:pPr>
      <w:r>
        <w:rPr>
          <w:szCs w:val="21"/>
          <w:lang w:val="en-AU"/>
        </w:rPr>
        <w:t>T</w:t>
      </w:r>
      <w:r w:rsidRPr="002E60CC">
        <w:rPr>
          <w:szCs w:val="21"/>
          <w:lang w:val="en-AU"/>
        </w:rPr>
        <w:t xml:space="preserve">he program will </w:t>
      </w:r>
      <w:r w:rsidR="00D52B1A">
        <w:rPr>
          <w:szCs w:val="21"/>
          <w:lang w:val="en-AU"/>
        </w:rPr>
        <w:t>have</w:t>
      </w:r>
      <w:r>
        <w:rPr>
          <w:szCs w:val="21"/>
          <w:lang w:val="en-AU"/>
        </w:rPr>
        <w:t xml:space="preserve"> the following </w:t>
      </w:r>
      <w:r w:rsidR="00E63A14" w:rsidRPr="009553BD">
        <w:rPr>
          <w:szCs w:val="21"/>
          <w:lang w:val="en-AU"/>
        </w:rPr>
        <w:t>five</w:t>
      </w:r>
      <w:r w:rsidR="00DC3585" w:rsidRPr="00B57CB6">
        <w:rPr>
          <w:b/>
          <w:bCs/>
          <w:szCs w:val="21"/>
          <w:lang w:val="en-AU"/>
        </w:rPr>
        <w:t xml:space="preserve"> </w:t>
      </w:r>
      <w:r w:rsidRPr="00B57CB6">
        <w:rPr>
          <w:b/>
          <w:bCs/>
          <w:szCs w:val="21"/>
          <w:lang w:val="en-AU"/>
        </w:rPr>
        <w:t>focus areas</w:t>
      </w:r>
      <w:r>
        <w:rPr>
          <w:szCs w:val="21"/>
          <w:lang w:val="en-AU"/>
        </w:rPr>
        <w:t xml:space="preserve">: </w:t>
      </w:r>
    </w:p>
    <w:p w14:paraId="6C6EE094" w14:textId="133C8205" w:rsidR="00902F90" w:rsidRDefault="00902F90" w:rsidP="00504B06">
      <w:pPr>
        <w:pStyle w:val="ListParagraph"/>
        <w:numPr>
          <w:ilvl w:val="0"/>
          <w:numId w:val="102"/>
        </w:numPr>
        <w:rPr>
          <w:lang w:val="en-AU"/>
        </w:rPr>
      </w:pPr>
      <w:r>
        <w:rPr>
          <w:lang w:val="en-AU"/>
        </w:rPr>
        <w:t>E</w:t>
      </w:r>
      <w:r w:rsidRPr="00D10528">
        <w:rPr>
          <w:lang w:val="en-AU"/>
        </w:rPr>
        <w:t>lectoral integrity</w:t>
      </w:r>
    </w:p>
    <w:p w14:paraId="74AA87F9" w14:textId="78DC6945" w:rsidR="00902F90" w:rsidRDefault="00902F90" w:rsidP="00504B06">
      <w:pPr>
        <w:pStyle w:val="ListParagraph"/>
        <w:numPr>
          <w:ilvl w:val="0"/>
          <w:numId w:val="102"/>
        </w:numPr>
        <w:rPr>
          <w:lang w:val="en-AU"/>
        </w:rPr>
      </w:pPr>
      <w:r>
        <w:rPr>
          <w:lang w:val="en-AU"/>
        </w:rPr>
        <w:t>P</w:t>
      </w:r>
      <w:r w:rsidRPr="00D10528">
        <w:rPr>
          <w:lang w:val="en-AU"/>
        </w:rPr>
        <w:t xml:space="preserve">arliamentary </w:t>
      </w:r>
      <w:r w:rsidR="00F5550A">
        <w:rPr>
          <w:lang w:val="en-AU"/>
        </w:rPr>
        <w:t>engagement</w:t>
      </w:r>
    </w:p>
    <w:p w14:paraId="4D2F3F30" w14:textId="35DBC1A3" w:rsidR="00902F90" w:rsidRDefault="00902F90" w:rsidP="00504B06">
      <w:pPr>
        <w:pStyle w:val="ListParagraph"/>
        <w:numPr>
          <w:ilvl w:val="0"/>
          <w:numId w:val="102"/>
        </w:numPr>
        <w:rPr>
          <w:lang w:val="en-AU"/>
        </w:rPr>
      </w:pPr>
      <w:r>
        <w:rPr>
          <w:lang w:val="en-AU"/>
        </w:rPr>
        <w:t>C</w:t>
      </w:r>
      <w:r w:rsidRPr="00D10528">
        <w:rPr>
          <w:lang w:val="en-AU"/>
        </w:rPr>
        <w:t>ivic participation and education</w:t>
      </w:r>
    </w:p>
    <w:p w14:paraId="2897E549" w14:textId="0744F216" w:rsidR="00902F90" w:rsidRDefault="00902F90" w:rsidP="00504B06">
      <w:pPr>
        <w:pStyle w:val="ListParagraph"/>
        <w:numPr>
          <w:ilvl w:val="0"/>
          <w:numId w:val="102"/>
        </w:numPr>
        <w:rPr>
          <w:lang w:val="en-AU"/>
        </w:rPr>
      </w:pPr>
      <w:r>
        <w:rPr>
          <w:lang w:val="en-AU"/>
        </w:rPr>
        <w:t>I</w:t>
      </w:r>
      <w:r w:rsidRPr="00D10528">
        <w:rPr>
          <w:lang w:val="en-AU"/>
        </w:rPr>
        <w:t>ndependent and quality media</w:t>
      </w:r>
    </w:p>
    <w:p w14:paraId="6643FAFB" w14:textId="3ABF674A" w:rsidR="00902F90" w:rsidRPr="00D10528" w:rsidRDefault="00902F90" w:rsidP="00504B06">
      <w:pPr>
        <w:pStyle w:val="ListParagraph"/>
        <w:numPr>
          <w:ilvl w:val="0"/>
          <w:numId w:val="102"/>
        </w:numPr>
        <w:rPr>
          <w:lang w:val="en-AU"/>
        </w:rPr>
      </w:pPr>
      <w:r>
        <w:rPr>
          <w:lang w:val="en-AU"/>
        </w:rPr>
        <w:t>C</w:t>
      </w:r>
      <w:r w:rsidRPr="00D10528">
        <w:rPr>
          <w:lang w:val="en-AU"/>
        </w:rPr>
        <w:t xml:space="preserve">ountering mis/disinformation. </w:t>
      </w:r>
    </w:p>
    <w:p w14:paraId="59006ABD" w14:textId="77777777" w:rsidR="00902F90" w:rsidRPr="000B153E" w:rsidRDefault="00902F90" w:rsidP="00902F90">
      <w:pPr>
        <w:pStyle w:val="Heading2"/>
      </w:pPr>
      <w:bookmarkStart w:id="9" w:name="_Toc208223934"/>
      <w:bookmarkStart w:id="10" w:name="_Toc232524136"/>
      <w:bookmarkStart w:id="11" w:name="_Toc232524259"/>
      <w:r w:rsidRPr="000B153E">
        <w:t>Delivery Approach</w:t>
      </w:r>
      <w:bookmarkEnd w:id="9"/>
      <w:bookmarkEnd w:id="10"/>
      <w:bookmarkEnd w:id="11"/>
    </w:p>
    <w:p w14:paraId="000BC2A9" w14:textId="08137384" w:rsidR="00902F90" w:rsidRPr="00B57CB6" w:rsidRDefault="00902F90" w:rsidP="00902F90">
      <w:pPr>
        <w:rPr>
          <w:rFonts w:eastAsia="Times New Roman" w:cs="Times New Roman"/>
          <w:lang w:val="en-AU"/>
        </w:rPr>
      </w:pPr>
      <w:r w:rsidRPr="37D0437D">
        <w:rPr>
          <w:rFonts w:eastAsia="Times New Roman" w:cs="Times New Roman"/>
          <w:lang w:val="en-AU"/>
        </w:rPr>
        <w:t xml:space="preserve">Several key factors have informed the selected delivery approach for </w:t>
      </w:r>
      <w:proofErr w:type="spellStart"/>
      <w:r w:rsidRPr="37D0437D">
        <w:rPr>
          <w:rFonts w:eastAsia="Times New Roman" w:cs="Times New Roman"/>
          <w:lang w:val="en-AU"/>
        </w:rPr>
        <w:t>Partisipasi</w:t>
      </w:r>
      <w:proofErr w:type="spellEnd"/>
      <w:r w:rsidRPr="37D0437D">
        <w:rPr>
          <w:rFonts w:eastAsia="Times New Roman" w:cs="Times New Roman"/>
          <w:lang w:val="en-AU"/>
        </w:rPr>
        <w:t xml:space="preserve">, including supporting bilateral relationships, </w:t>
      </w:r>
      <w:proofErr w:type="spellStart"/>
      <w:r w:rsidRPr="37D0437D">
        <w:rPr>
          <w:rFonts w:eastAsia="Times New Roman" w:cs="Times New Roman"/>
          <w:lang w:val="en-AU"/>
        </w:rPr>
        <w:t>GoI</w:t>
      </w:r>
      <w:proofErr w:type="spellEnd"/>
      <w:r w:rsidRPr="37D0437D">
        <w:rPr>
          <w:rFonts w:eastAsia="Times New Roman" w:cs="Times New Roman"/>
          <w:lang w:val="en-AU"/>
        </w:rPr>
        <w:t xml:space="preserve"> and civil society expectations, and realistic resourcing and management bandwidth</w:t>
      </w:r>
      <w:r w:rsidR="00DC3585">
        <w:rPr>
          <w:rFonts w:eastAsia="Times New Roman" w:cs="Times New Roman"/>
          <w:lang w:val="en-AU"/>
        </w:rPr>
        <w:t xml:space="preserve"> for the Department of Foreign Affairs and Trade (DFAT)</w:t>
      </w:r>
      <w:r w:rsidRPr="37D0437D">
        <w:rPr>
          <w:rFonts w:eastAsia="Times New Roman" w:cs="Times New Roman"/>
          <w:lang w:val="en-AU"/>
        </w:rPr>
        <w:t>.</w:t>
      </w:r>
      <w:r w:rsidRPr="37D0437D">
        <w:rPr>
          <w:b/>
          <w:bCs/>
          <w:i/>
          <w:iCs/>
          <w:lang w:val="en-AU"/>
        </w:rPr>
        <w:t xml:space="preserve"> </w:t>
      </w:r>
      <w:r w:rsidRPr="37D0437D">
        <w:rPr>
          <w:rFonts w:eastAsia="Times New Roman" w:cs="Times New Roman"/>
          <w:lang w:val="en-AU"/>
        </w:rPr>
        <w:t xml:space="preserve">The delivery approach reflects a careful balance between risk management and locally driven delivery. </w:t>
      </w:r>
      <w:r w:rsidR="00F54796">
        <w:rPr>
          <w:rFonts w:eastAsia="Times New Roman" w:cs="Times New Roman"/>
          <w:lang w:val="en-AU"/>
        </w:rPr>
        <w:t>A</w:t>
      </w:r>
      <w:r w:rsidR="00F54796" w:rsidRPr="37D0437D">
        <w:rPr>
          <w:rFonts w:eastAsia="Times New Roman" w:cs="Times New Roman"/>
          <w:lang w:val="en-AU"/>
        </w:rPr>
        <w:t>ccordingly</w:t>
      </w:r>
      <w:r w:rsidR="00F54796">
        <w:rPr>
          <w:rFonts w:eastAsia="Times New Roman" w:cs="Times New Roman"/>
          <w:lang w:val="en-AU"/>
        </w:rPr>
        <w:t>,</w:t>
      </w:r>
      <w:r w:rsidR="00F54796" w:rsidRPr="37D0437D">
        <w:rPr>
          <w:rFonts w:eastAsia="Times New Roman" w:cs="Times New Roman"/>
          <w:lang w:val="en-AU"/>
        </w:rPr>
        <w:t xml:space="preserve"> </w:t>
      </w:r>
      <w:proofErr w:type="spellStart"/>
      <w:r w:rsidRPr="37D0437D">
        <w:rPr>
          <w:rFonts w:eastAsia="Times New Roman" w:cs="Times New Roman"/>
          <w:lang w:val="en-AU"/>
        </w:rPr>
        <w:t>Partisipasi</w:t>
      </w:r>
      <w:proofErr w:type="spellEnd"/>
      <w:r w:rsidRPr="37D0437D">
        <w:rPr>
          <w:rFonts w:eastAsia="Times New Roman" w:cs="Times New Roman"/>
          <w:lang w:val="en-AU"/>
        </w:rPr>
        <w:t xml:space="preserve"> will be delivered through </w:t>
      </w:r>
      <w:r w:rsidR="00DC3585">
        <w:rPr>
          <w:rFonts w:eastAsia="Times New Roman" w:cs="Times New Roman"/>
          <w:lang w:val="en-AU"/>
        </w:rPr>
        <w:t>2</w:t>
      </w:r>
      <w:r w:rsidR="00DC3585" w:rsidRPr="37D0437D">
        <w:rPr>
          <w:rFonts w:eastAsia="Times New Roman" w:cs="Times New Roman"/>
          <w:lang w:val="en-AU"/>
        </w:rPr>
        <w:t xml:space="preserve"> </w:t>
      </w:r>
      <w:r w:rsidRPr="37D0437D">
        <w:rPr>
          <w:rFonts w:eastAsia="Times New Roman" w:cs="Times New Roman"/>
          <w:lang w:val="en-AU"/>
        </w:rPr>
        <w:t xml:space="preserve">components. </w:t>
      </w:r>
    </w:p>
    <w:p w14:paraId="5E377362" w14:textId="56AA8037" w:rsidR="00902F90" w:rsidRDefault="00902F90" w:rsidP="00902F90">
      <w:pPr>
        <w:tabs>
          <w:tab w:val="left" w:pos="284"/>
        </w:tabs>
        <w:suppressAutoHyphens w:val="0"/>
        <w:spacing w:line="280" w:lineRule="exact"/>
        <w:rPr>
          <w:rFonts w:ascii="Calibri Light" w:eastAsia="Calibri Light" w:hAnsi="Calibri Light" w:cs="Calibri Light"/>
          <w:lang w:val="en-AU"/>
        </w:rPr>
      </w:pPr>
      <w:r w:rsidRPr="00D52B8E">
        <w:rPr>
          <w:rFonts w:ascii="Calibri Light" w:eastAsia="Calibri Light" w:hAnsi="Calibri Light" w:cs="Calibri Light"/>
          <w:b/>
          <w:bCs/>
          <w:lang w:val="en-AU"/>
        </w:rPr>
        <w:t xml:space="preserve">Component </w:t>
      </w:r>
      <w:r w:rsidR="00DC3585">
        <w:rPr>
          <w:rFonts w:ascii="Calibri Light" w:eastAsia="Calibri Light" w:hAnsi="Calibri Light" w:cs="Calibri Light"/>
          <w:b/>
          <w:bCs/>
          <w:lang w:val="en-AU"/>
        </w:rPr>
        <w:t>1</w:t>
      </w:r>
      <w:r w:rsidR="00DC3585" w:rsidRPr="46ACBC4E">
        <w:rPr>
          <w:rFonts w:ascii="Calibri Light" w:eastAsia="Calibri Light" w:hAnsi="Calibri Light" w:cs="Calibri Light"/>
          <w:lang w:val="en-AU"/>
        </w:rPr>
        <w:t xml:space="preserve"> </w:t>
      </w:r>
      <w:r w:rsidRPr="000B153E">
        <w:rPr>
          <w:rFonts w:eastAsia="Times New Roman" w:cs="Times New Roman"/>
          <w:szCs w:val="21"/>
          <w:lang w:val="en-AU"/>
        </w:rPr>
        <w:t xml:space="preserve">will </w:t>
      </w:r>
      <w:r>
        <w:rPr>
          <w:rFonts w:eastAsia="Times New Roman" w:cs="Times New Roman"/>
          <w:szCs w:val="21"/>
          <w:lang w:val="en-AU"/>
        </w:rPr>
        <w:t>support government-to-government</w:t>
      </w:r>
      <w:r w:rsidR="000727B0">
        <w:rPr>
          <w:rFonts w:eastAsia="Times New Roman" w:cs="Times New Roman"/>
          <w:szCs w:val="21"/>
          <w:lang w:val="en-AU"/>
        </w:rPr>
        <w:t xml:space="preserve"> (G2G)</w:t>
      </w:r>
      <w:r>
        <w:rPr>
          <w:rFonts w:eastAsia="Times New Roman" w:cs="Times New Roman"/>
          <w:szCs w:val="21"/>
          <w:lang w:val="en-AU"/>
        </w:rPr>
        <w:t xml:space="preserve"> linkages between key democratic </w:t>
      </w:r>
      <w:r w:rsidRPr="000B153E">
        <w:rPr>
          <w:rFonts w:eastAsia="Times New Roman" w:cs="Times New Roman"/>
          <w:szCs w:val="21"/>
          <w:lang w:val="en-AU"/>
        </w:rPr>
        <w:t>institutions</w:t>
      </w:r>
      <w:r>
        <w:rPr>
          <w:rFonts w:eastAsia="Times New Roman" w:cs="Times New Roman"/>
          <w:szCs w:val="21"/>
          <w:lang w:val="en-AU"/>
        </w:rPr>
        <w:t xml:space="preserve"> in Australia and Indonesia. </w:t>
      </w:r>
      <w:proofErr w:type="spellStart"/>
      <w:r>
        <w:rPr>
          <w:rFonts w:eastAsia="Times New Roman" w:cs="Times New Roman"/>
          <w:szCs w:val="21"/>
          <w:lang w:val="en-AU"/>
        </w:rPr>
        <w:t>Partisipasi</w:t>
      </w:r>
      <w:proofErr w:type="spellEnd"/>
      <w:r>
        <w:rPr>
          <w:rFonts w:eastAsia="Times New Roman" w:cs="Times New Roman"/>
          <w:szCs w:val="21"/>
          <w:lang w:val="en-AU"/>
        </w:rPr>
        <w:t xml:space="preserve"> will facilitate partnerships </w:t>
      </w:r>
      <w:r>
        <w:rPr>
          <w:rFonts w:ascii="Calibri Light" w:eastAsia="Calibri Light" w:hAnsi="Calibri Light" w:cs="Calibri Light"/>
          <w:lang w:val="en-AU"/>
        </w:rPr>
        <w:t xml:space="preserve">between </w:t>
      </w:r>
      <w:r w:rsidRPr="46ACBC4E">
        <w:rPr>
          <w:rFonts w:ascii="Calibri Light" w:eastAsia="Calibri Light" w:hAnsi="Calibri Light" w:cs="Calibri Light"/>
          <w:lang w:val="en-AU"/>
        </w:rPr>
        <w:t>electoral management bodies and parliament</w:t>
      </w:r>
      <w:r>
        <w:rPr>
          <w:rFonts w:ascii="Calibri Light" w:eastAsia="Calibri Light" w:hAnsi="Calibri Light" w:cs="Calibri Light"/>
          <w:lang w:val="en-AU"/>
        </w:rPr>
        <w:t>s</w:t>
      </w:r>
      <w:r w:rsidRPr="46ACBC4E">
        <w:rPr>
          <w:rFonts w:ascii="Calibri Light" w:eastAsia="Calibri Light" w:hAnsi="Calibri Light" w:cs="Calibri Light"/>
          <w:lang w:val="en-AU"/>
        </w:rPr>
        <w:t xml:space="preserve"> to build relationships </w:t>
      </w:r>
      <w:r>
        <w:rPr>
          <w:rFonts w:ascii="Calibri Light" w:eastAsia="Calibri Light" w:hAnsi="Calibri Light" w:cs="Calibri Light"/>
          <w:lang w:val="en-AU"/>
        </w:rPr>
        <w:t>and share knowledge on common challenges</w:t>
      </w:r>
      <w:r w:rsidRPr="46ACBC4E">
        <w:rPr>
          <w:rFonts w:ascii="Calibri Light" w:eastAsia="Calibri Light" w:hAnsi="Calibri Light" w:cs="Calibri Light"/>
          <w:lang w:val="en-AU"/>
        </w:rPr>
        <w:t>. Specific activities will be decided mutually and may include policy dialogues</w:t>
      </w:r>
      <w:r>
        <w:rPr>
          <w:rFonts w:ascii="Calibri Light" w:eastAsia="Calibri Light" w:hAnsi="Calibri Light" w:cs="Calibri Light"/>
          <w:lang w:val="en-AU"/>
        </w:rPr>
        <w:t>, visits,</w:t>
      </w:r>
      <w:r w:rsidRPr="46ACBC4E">
        <w:rPr>
          <w:rFonts w:ascii="Calibri Light" w:eastAsia="Calibri Light" w:hAnsi="Calibri Light" w:cs="Calibri Light"/>
          <w:lang w:val="en-AU"/>
        </w:rPr>
        <w:t xml:space="preserve"> exchanges</w:t>
      </w:r>
      <w:r>
        <w:rPr>
          <w:rFonts w:ascii="Calibri Light" w:eastAsia="Calibri Light" w:hAnsi="Calibri Light" w:cs="Calibri Light"/>
          <w:lang w:val="en-AU"/>
        </w:rPr>
        <w:t xml:space="preserve"> </w:t>
      </w:r>
      <w:r w:rsidRPr="46ACBC4E">
        <w:rPr>
          <w:rFonts w:ascii="Calibri Light" w:eastAsia="Calibri Light" w:hAnsi="Calibri Light" w:cs="Calibri Light"/>
          <w:lang w:val="en-AU"/>
        </w:rPr>
        <w:t xml:space="preserve">and other activities. </w:t>
      </w:r>
      <w:r w:rsidRPr="000D4F36">
        <w:rPr>
          <w:rFonts w:ascii="Calibri Light" w:eastAsia="Calibri Light" w:hAnsi="Calibri Light" w:cs="Calibri Light"/>
        </w:rPr>
        <w:t>This component will</w:t>
      </w:r>
      <w:r w:rsidR="00D52B1A">
        <w:rPr>
          <w:rFonts w:ascii="Calibri Light" w:eastAsia="Calibri Light" w:hAnsi="Calibri Light" w:cs="Calibri Light"/>
        </w:rPr>
        <w:t xml:space="preserve"> also</w:t>
      </w:r>
      <w:r w:rsidRPr="000D4F36">
        <w:rPr>
          <w:rFonts w:ascii="Calibri Light" w:eastAsia="Calibri Light" w:hAnsi="Calibri Light" w:cs="Calibri Light"/>
        </w:rPr>
        <w:t xml:space="preserve"> fund </w:t>
      </w:r>
      <w:r>
        <w:rPr>
          <w:rFonts w:ascii="Calibri Light" w:eastAsia="Calibri Light" w:hAnsi="Calibri Light" w:cs="Calibri Light"/>
        </w:rPr>
        <w:t xml:space="preserve">Australian-supported </w:t>
      </w:r>
      <w:r w:rsidRPr="000D4F36">
        <w:rPr>
          <w:rFonts w:ascii="Calibri Light" w:eastAsia="Calibri Light" w:hAnsi="Calibri Light" w:cs="Calibri Light"/>
        </w:rPr>
        <w:t>short courses</w:t>
      </w:r>
      <w:r>
        <w:rPr>
          <w:rFonts w:ascii="Calibri Light" w:eastAsia="Calibri Light" w:hAnsi="Calibri Light" w:cs="Calibri Light"/>
        </w:rPr>
        <w:t>, aimed at a wider range of</w:t>
      </w:r>
      <w:r w:rsidRPr="000D4F36">
        <w:rPr>
          <w:rFonts w:ascii="Calibri Light" w:eastAsia="Calibri Light" w:hAnsi="Calibri Light" w:cs="Calibri Light"/>
        </w:rPr>
        <w:t xml:space="preserve"> state actors</w:t>
      </w:r>
      <w:r>
        <w:rPr>
          <w:rFonts w:ascii="Calibri Light" w:eastAsia="Calibri Light" w:hAnsi="Calibri Light" w:cs="Calibri Light"/>
        </w:rPr>
        <w:t>,</w:t>
      </w:r>
      <w:r w:rsidRPr="000D4F36">
        <w:rPr>
          <w:rFonts w:ascii="Calibri Light" w:eastAsia="Calibri Light" w:hAnsi="Calibri Light" w:cs="Calibri Light"/>
        </w:rPr>
        <w:t xml:space="preserve"> on </w:t>
      </w:r>
      <w:r>
        <w:rPr>
          <w:rFonts w:ascii="Calibri Light" w:eastAsia="Calibri Light" w:hAnsi="Calibri Light" w:cs="Calibri Light"/>
        </w:rPr>
        <w:t>contemporary</w:t>
      </w:r>
      <w:r w:rsidRPr="000D4F36">
        <w:rPr>
          <w:rFonts w:ascii="Calibri Light" w:eastAsia="Calibri Light" w:hAnsi="Calibri Light" w:cs="Calibri Light"/>
        </w:rPr>
        <w:t xml:space="preserve"> issues like countering mis</w:t>
      </w:r>
      <w:r>
        <w:rPr>
          <w:rFonts w:ascii="Calibri Light" w:eastAsia="Calibri Light" w:hAnsi="Calibri Light" w:cs="Calibri Light"/>
        </w:rPr>
        <w:t>/dis</w:t>
      </w:r>
      <w:r w:rsidRPr="000D4F36">
        <w:rPr>
          <w:rFonts w:ascii="Calibri Light" w:eastAsia="Calibri Light" w:hAnsi="Calibri Light" w:cs="Calibri Light"/>
        </w:rPr>
        <w:t>information.</w:t>
      </w:r>
      <w:r>
        <w:rPr>
          <w:rFonts w:ascii="Calibri Light" w:eastAsia="Calibri Light" w:hAnsi="Calibri Light" w:cs="Calibri Light"/>
          <w:lang w:val="en-AU"/>
        </w:rPr>
        <w:t xml:space="preserve"> </w:t>
      </w:r>
      <w:r w:rsidRPr="46ACBC4E">
        <w:rPr>
          <w:rFonts w:ascii="Calibri Light" w:eastAsia="Calibri Light" w:hAnsi="Calibri Light" w:cs="Calibri Light"/>
          <w:lang w:val="en-AU"/>
        </w:rPr>
        <w:t xml:space="preserve">This component will be managed directly by DFAT at </w:t>
      </w:r>
      <w:r>
        <w:rPr>
          <w:rFonts w:ascii="Calibri Light" w:eastAsia="Calibri Light" w:hAnsi="Calibri Light" w:cs="Calibri Light"/>
          <w:lang w:val="en-AU"/>
        </w:rPr>
        <w:t xml:space="preserve">Jakarta </w:t>
      </w:r>
      <w:r w:rsidRPr="46ACBC4E">
        <w:rPr>
          <w:rFonts w:ascii="Calibri Light" w:eastAsia="Calibri Light" w:hAnsi="Calibri Light" w:cs="Calibri Light"/>
          <w:lang w:val="en-AU"/>
        </w:rPr>
        <w:t>Post</w:t>
      </w:r>
      <w:r>
        <w:rPr>
          <w:rFonts w:ascii="Calibri Light" w:eastAsia="Calibri Light" w:hAnsi="Calibri Light" w:cs="Calibri Light"/>
          <w:lang w:val="en-AU"/>
        </w:rPr>
        <w:t>, assisted by a Program Support Unit (PSU)</w:t>
      </w:r>
      <w:r w:rsidRPr="46ACBC4E">
        <w:rPr>
          <w:rFonts w:ascii="Calibri Light" w:eastAsia="Calibri Light" w:hAnsi="Calibri Light" w:cs="Calibri Light"/>
          <w:lang w:val="en-AU"/>
        </w:rPr>
        <w:t xml:space="preserve">. </w:t>
      </w:r>
    </w:p>
    <w:p w14:paraId="105253F8" w14:textId="76DF2394" w:rsidR="00902F90" w:rsidRDefault="00902F90" w:rsidP="00902F90">
      <w:pPr>
        <w:rPr>
          <w:rFonts w:ascii="Calibri Light" w:eastAsia="Calibri Light" w:hAnsi="Calibri Light" w:cs="Calibri Light"/>
          <w:lang w:val="en-AU"/>
        </w:rPr>
      </w:pPr>
      <w:r w:rsidRPr="00D52B8E">
        <w:rPr>
          <w:rFonts w:ascii="Calibri Light" w:eastAsia="Calibri Light" w:hAnsi="Calibri Light" w:cs="Calibri Light"/>
          <w:b/>
          <w:bCs/>
          <w:lang w:val="en-AU"/>
        </w:rPr>
        <w:t xml:space="preserve">Component </w:t>
      </w:r>
      <w:r w:rsidR="00DC3585">
        <w:rPr>
          <w:rFonts w:ascii="Calibri Light" w:eastAsia="Calibri Light" w:hAnsi="Calibri Light" w:cs="Calibri Light"/>
          <w:b/>
          <w:bCs/>
          <w:lang w:val="en-AU"/>
        </w:rPr>
        <w:t>2</w:t>
      </w:r>
      <w:r w:rsidR="00DC3585" w:rsidRPr="46ACBC4E">
        <w:rPr>
          <w:rFonts w:ascii="Calibri Light" w:eastAsia="Calibri Light" w:hAnsi="Calibri Light" w:cs="Calibri Light"/>
          <w:lang w:val="en-AU"/>
        </w:rPr>
        <w:t xml:space="preserve"> </w:t>
      </w:r>
      <w:r w:rsidRPr="46ACBC4E">
        <w:rPr>
          <w:rFonts w:ascii="Calibri Light" w:eastAsia="Calibri Light" w:hAnsi="Calibri Light" w:cs="Calibri Light"/>
          <w:lang w:val="en-AU"/>
        </w:rPr>
        <w:t xml:space="preserve">will build upon </w:t>
      </w:r>
      <w:proofErr w:type="spellStart"/>
      <w:r w:rsidRPr="46ACBC4E">
        <w:rPr>
          <w:rFonts w:ascii="Calibri Light" w:eastAsia="Calibri Light" w:hAnsi="Calibri Light" w:cs="Calibri Light"/>
          <w:lang w:val="en-AU"/>
        </w:rPr>
        <w:t>DemRes</w:t>
      </w:r>
      <w:proofErr w:type="spellEnd"/>
      <w:r w:rsidRPr="46ACBC4E">
        <w:rPr>
          <w:rFonts w:ascii="Calibri Light" w:eastAsia="Calibri Light" w:hAnsi="Calibri Light" w:cs="Calibri Light"/>
          <w:lang w:val="en-AU"/>
        </w:rPr>
        <w:t xml:space="preserve">, providing </w:t>
      </w:r>
      <w:r>
        <w:rPr>
          <w:rFonts w:ascii="Calibri Light" w:eastAsia="Calibri Light" w:hAnsi="Calibri Light" w:cs="Calibri Light"/>
          <w:lang w:val="en-AU"/>
        </w:rPr>
        <w:t xml:space="preserve">grants </w:t>
      </w:r>
      <w:r w:rsidRPr="46ACBC4E">
        <w:rPr>
          <w:rFonts w:ascii="Calibri Light" w:eastAsia="Calibri Light" w:hAnsi="Calibri Light" w:cs="Calibri Light"/>
          <w:lang w:val="en-AU"/>
        </w:rPr>
        <w:t>to</w:t>
      </w:r>
      <w:r>
        <w:rPr>
          <w:rFonts w:ascii="Calibri Light" w:eastAsia="Calibri Light" w:hAnsi="Calibri Light" w:cs="Calibri Light"/>
          <w:lang w:val="en-AU"/>
        </w:rPr>
        <w:t xml:space="preserve"> a range of</w:t>
      </w:r>
      <w:r w:rsidRPr="46ACBC4E">
        <w:rPr>
          <w:rFonts w:ascii="Calibri Light" w:eastAsia="Calibri Light" w:hAnsi="Calibri Light" w:cs="Calibri Light"/>
          <w:lang w:val="en-AU"/>
        </w:rPr>
        <w:t xml:space="preserve"> </w:t>
      </w:r>
      <w:r>
        <w:rPr>
          <w:rFonts w:ascii="Calibri Light" w:eastAsia="Calibri Light" w:hAnsi="Calibri Light" w:cs="Calibri Light"/>
          <w:lang w:val="en-AU"/>
        </w:rPr>
        <w:t xml:space="preserve">civil society stakeholders </w:t>
      </w:r>
      <w:r w:rsidRPr="46ACBC4E">
        <w:rPr>
          <w:rFonts w:ascii="Calibri Light" w:eastAsia="Calibri Light" w:hAnsi="Calibri Light" w:cs="Calibri Light"/>
          <w:lang w:val="en-AU"/>
        </w:rPr>
        <w:t xml:space="preserve">that have a history of supporting democratic </w:t>
      </w:r>
      <w:r>
        <w:rPr>
          <w:rFonts w:ascii="Calibri Light" w:eastAsia="Calibri Light" w:hAnsi="Calibri Light" w:cs="Calibri Light"/>
          <w:lang w:val="en-AU"/>
        </w:rPr>
        <w:t xml:space="preserve">participation and </w:t>
      </w:r>
      <w:r w:rsidRPr="46ACBC4E">
        <w:rPr>
          <w:rFonts w:ascii="Calibri Light" w:eastAsia="Calibri Light" w:hAnsi="Calibri Light" w:cs="Calibri Light"/>
          <w:lang w:val="en-AU"/>
        </w:rPr>
        <w:t>resilience in Indonesia</w:t>
      </w:r>
      <w:r>
        <w:rPr>
          <w:rFonts w:ascii="Calibri Light" w:eastAsia="Calibri Light" w:hAnsi="Calibri Light" w:cs="Calibri Light"/>
          <w:lang w:val="en-AU"/>
        </w:rPr>
        <w:t xml:space="preserve">. </w:t>
      </w:r>
      <w:proofErr w:type="spellStart"/>
      <w:r>
        <w:rPr>
          <w:rFonts w:eastAsia="Times New Roman" w:cs="Times New Roman"/>
          <w:szCs w:val="21"/>
          <w:lang w:val="en-AU"/>
        </w:rPr>
        <w:t>Partisipasi</w:t>
      </w:r>
      <w:proofErr w:type="spellEnd"/>
      <w:r>
        <w:rPr>
          <w:rFonts w:eastAsia="Times New Roman" w:cs="Times New Roman"/>
          <w:szCs w:val="21"/>
          <w:lang w:val="en-AU"/>
        </w:rPr>
        <w:t xml:space="preserve"> </w:t>
      </w:r>
      <w:r w:rsidR="003F7903">
        <w:rPr>
          <w:rFonts w:eastAsia="Times New Roman" w:cs="Times New Roman"/>
          <w:szCs w:val="21"/>
          <w:lang w:val="en-AU"/>
        </w:rPr>
        <w:t xml:space="preserve">will </w:t>
      </w:r>
      <w:r>
        <w:rPr>
          <w:rFonts w:eastAsia="Times New Roman" w:cs="Times New Roman"/>
          <w:szCs w:val="21"/>
          <w:lang w:val="en-AU"/>
        </w:rPr>
        <w:t>seek to equip them with the capabilities to strengthen networks and partnerships, ultimately improving democratic participation</w:t>
      </w:r>
      <w:r w:rsidRPr="000B153E">
        <w:rPr>
          <w:rFonts w:eastAsia="Times New Roman" w:cs="Times New Roman"/>
          <w:szCs w:val="21"/>
          <w:lang w:val="en-AU"/>
        </w:rPr>
        <w:t xml:space="preserve">. </w:t>
      </w:r>
      <w:r>
        <w:rPr>
          <w:rFonts w:eastAsia="Times New Roman" w:cs="Times New Roman"/>
          <w:szCs w:val="21"/>
          <w:lang w:val="en-AU"/>
        </w:rPr>
        <w:t xml:space="preserve">DFAT will provide a single </w:t>
      </w:r>
      <w:r>
        <w:rPr>
          <w:rFonts w:ascii="Calibri Light" w:eastAsia="Calibri Light" w:hAnsi="Calibri Light" w:cs="Calibri Light"/>
          <w:lang w:val="en-AU"/>
        </w:rPr>
        <w:t>grant (‘Contribution Arrangement’) to a lead organisation (the ‘Convenor’)</w:t>
      </w:r>
      <w:r w:rsidRPr="46ACBC4E">
        <w:rPr>
          <w:rFonts w:ascii="Calibri Light" w:eastAsia="Calibri Light" w:hAnsi="Calibri Light" w:cs="Calibri Light"/>
          <w:lang w:val="en-AU"/>
        </w:rPr>
        <w:t xml:space="preserve">. </w:t>
      </w:r>
      <w:r>
        <w:rPr>
          <w:rFonts w:ascii="Calibri Light" w:eastAsia="Calibri Light" w:hAnsi="Calibri Light" w:cs="Calibri Light"/>
          <w:lang w:val="en-AU"/>
        </w:rPr>
        <w:t xml:space="preserve">The Convenor will manage grants to the </w:t>
      </w:r>
      <w:proofErr w:type="spellStart"/>
      <w:r>
        <w:rPr>
          <w:rFonts w:ascii="Calibri Light" w:eastAsia="Calibri Light" w:hAnsi="Calibri Light" w:cs="Calibri Light"/>
          <w:lang w:val="en-AU"/>
        </w:rPr>
        <w:t>Partisipasi</w:t>
      </w:r>
      <w:proofErr w:type="spellEnd"/>
      <w:r>
        <w:rPr>
          <w:rFonts w:ascii="Calibri Light" w:eastAsia="Calibri Light" w:hAnsi="Calibri Light" w:cs="Calibri Light"/>
          <w:lang w:val="en-AU"/>
        </w:rPr>
        <w:t xml:space="preserve"> Civil Society Partnership </w:t>
      </w:r>
      <w:r w:rsidR="00492102">
        <w:rPr>
          <w:rFonts w:ascii="Calibri Light" w:eastAsia="Calibri Light" w:hAnsi="Calibri Light" w:cs="Calibri Light"/>
          <w:lang w:val="en-AU"/>
        </w:rPr>
        <w:t>(</w:t>
      </w:r>
      <w:r w:rsidR="001A3206">
        <w:rPr>
          <w:rFonts w:ascii="Calibri Light" w:eastAsia="Calibri Light" w:hAnsi="Calibri Light" w:cs="Calibri Light"/>
          <w:lang w:val="en-AU"/>
        </w:rPr>
        <w:t xml:space="preserve">“CSP”) </w:t>
      </w:r>
      <w:r>
        <w:rPr>
          <w:rFonts w:ascii="Calibri Light" w:eastAsia="Calibri Light" w:hAnsi="Calibri Light" w:cs="Calibri Light"/>
          <w:lang w:val="en-AU"/>
        </w:rPr>
        <w:t xml:space="preserve">comprising </w:t>
      </w:r>
      <w:r w:rsidR="005F234A">
        <w:rPr>
          <w:rFonts w:ascii="Calibri Light" w:eastAsia="Calibri Light" w:hAnsi="Calibri Light" w:cs="Calibri Light"/>
          <w:lang w:val="en-AU"/>
        </w:rPr>
        <w:t>C</w:t>
      </w:r>
      <w:r>
        <w:rPr>
          <w:rFonts w:ascii="Calibri Light" w:eastAsia="Calibri Light" w:hAnsi="Calibri Light" w:cs="Calibri Light"/>
          <w:lang w:val="en-AU"/>
        </w:rPr>
        <w:t xml:space="preserve">ore </w:t>
      </w:r>
      <w:r w:rsidR="005F234A">
        <w:rPr>
          <w:rFonts w:ascii="Calibri Light" w:eastAsia="Calibri Light" w:hAnsi="Calibri Light" w:cs="Calibri Light"/>
          <w:lang w:val="en-AU"/>
        </w:rPr>
        <w:t>G</w:t>
      </w:r>
      <w:r>
        <w:rPr>
          <w:rFonts w:ascii="Calibri Light" w:eastAsia="Calibri Light" w:hAnsi="Calibri Light" w:cs="Calibri Light"/>
          <w:lang w:val="en-AU"/>
        </w:rPr>
        <w:t xml:space="preserve">roup </w:t>
      </w:r>
      <w:r w:rsidR="005F234A">
        <w:rPr>
          <w:rFonts w:ascii="Calibri Light" w:eastAsia="Calibri Light" w:hAnsi="Calibri Light" w:cs="Calibri Light"/>
          <w:lang w:val="en-AU"/>
        </w:rPr>
        <w:t xml:space="preserve">Partners </w:t>
      </w:r>
      <w:r>
        <w:rPr>
          <w:rFonts w:ascii="Calibri Light" w:eastAsia="Calibri Light" w:hAnsi="Calibri Light" w:cs="Calibri Light"/>
          <w:lang w:val="en-AU"/>
        </w:rPr>
        <w:t xml:space="preserve">representing different elements of civil society, and each working with a network of </w:t>
      </w:r>
      <w:r w:rsidR="005F234A">
        <w:rPr>
          <w:rFonts w:ascii="Calibri Light" w:eastAsia="Calibri Light" w:hAnsi="Calibri Light" w:cs="Calibri Light"/>
          <w:lang w:val="en-AU"/>
        </w:rPr>
        <w:t>C</w:t>
      </w:r>
      <w:r>
        <w:rPr>
          <w:rFonts w:ascii="Calibri Light" w:eastAsia="Calibri Light" w:hAnsi="Calibri Light" w:cs="Calibri Light"/>
          <w:lang w:val="en-AU"/>
        </w:rPr>
        <w:t xml:space="preserve">ollaboration </w:t>
      </w:r>
      <w:r w:rsidR="005F234A">
        <w:rPr>
          <w:rFonts w:ascii="Calibri Light" w:eastAsia="Calibri Light" w:hAnsi="Calibri Light" w:cs="Calibri Light"/>
          <w:lang w:val="en-AU"/>
        </w:rPr>
        <w:t>P</w:t>
      </w:r>
      <w:r>
        <w:rPr>
          <w:rFonts w:ascii="Calibri Light" w:eastAsia="Calibri Light" w:hAnsi="Calibri Light" w:cs="Calibri Light"/>
          <w:lang w:val="en-AU"/>
        </w:rPr>
        <w:t xml:space="preserve">artners. </w:t>
      </w:r>
      <w:r w:rsidR="00D52B1A">
        <w:rPr>
          <w:rFonts w:ascii="Calibri Light" w:eastAsia="Calibri Light" w:hAnsi="Calibri Light" w:cs="Calibri Light"/>
          <w:lang w:val="en-AU"/>
        </w:rPr>
        <w:t xml:space="preserve">Potential </w:t>
      </w:r>
      <w:r>
        <w:rPr>
          <w:rFonts w:ascii="Calibri Light" w:eastAsia="Calibri Light" w:hAnsi="Calibri Light" w:cs="Calibri Light"/>
          <w:lang w:val="en-AU"/>
        </w:rPr>
        <w:t>p</w:t>
      </w:r>
      <w:r w:rsidRPr="46ACBC4E">
        <w:rPr>
          <w:rFonts w:ascii="Calibri Light" w:eastAsia="Calibri Light" w:hAnsi="Calibri Light" w:cs="Calibri Light"/>
          <w:lang w:val="en-AU"/>
        </w:rPr>
        <w:t xml:space="preserve">artners include </w:t>
      </w:r>
      <w:r>
        <w:rPr>
          <w:rFonts w:ascii="Calibri Light" w:eastAsia="Calibri Light" w:hAnsi="Calibri Light" w:cs="Calibri Light"/>
          <w:lang w:val="en-AU"/>
        </w:rPr>
        <w:t xml:space="preserve">existing </w:t>
      </w:r>
      <w:proofErr w:type="spellStart"/>
      <w:r>
        <w:rPr>
          <w:rFonts w:ascii="Calibri Light" w:eastAsia="Calibri Light" w:hAnsi="Calibri Light" w:cs="Calibri Light"/>
          <w:lang w:val="en-AU"/>
        </w:rPr>
        <w:t>DemRes</w:t>
      </w:r>
      <w:proofErr w:type="spellEnd"/>
      <w:r>
        <w:rPr>
          <w:rFonts w:ascii="Calibri Light" w:eastAsia="Calibri Light" w:hAnsi="Calibri Light" w:cs="Calibri Light"/>
          <w:lang w:val="en-AU"/>
        </w:rPr>
        <w:t xml:space="preserve"> partners, the International Foundation for Electoral Systems (</w:t>
      </w:r>
      <w:r w:rsidRPr="46ACBC4E">
        <w:rPr>
          <w:rFonts w:ascii="Calibri Light" w:eastAsia="Calibri Light" w:hAnsi="Calibri Light" w:cs="Calibri Light"/>
          <w:lang w:val="en-AU"/>
        </w:rPr>
        <w:t>IFES</w:t>
      </w:r>
      <w:r>
        <w:rPr>
          <w:rFonts w:ascii="Calibri Light" w:eastAsia="Calibri Light" w:hAnsi="Calibri Light" w:cs="Calibri Light"/>
          <w:lang w:val="en-AU"/>
        </w:rPr>
        <w:t>)</w:t>
      </w:r>
      <w:r w:rsidRPr="46ACBC4E">
        <w:rPr>
          <w:rFonts w:ascii="Calibri Light" w:eastAsia="Calibri Light" w:hAnsi="Calibri Light" w:cs="Calibri Light"/>
          <w:lang w:val="en-AU"/>
        </w:rPr>
        <w:t xml:space="preserve"> </w:t>
      </w:r>
      <w:r w:rsidR="003C1415">
        <w:rPr>
          <w:rFonts w:ascii="Calibri Light" w:eastAsia="Calibri Light" w:hAnsi="Calibri Light" w:cs="Calibri Light"/>
          <w:lang w:val="en-AU"/>
        </w:rPr>
        <w:t xml:space="preserve">and </w:t>
      </w:r>
      <w:r w:rsidRPr="46ACBC4E">
        <w:rPr>
          <w:rFonts w:ascii="Calibri Light" w:eastAsia="Calibri Light" w:hAnsi="Calibri Light" w:cs="Calibri Light"/>
          <w:lang w:val="en-AU"/>
        </w:rPr>
        <w:t>The Asia Foundation</w:t>
      </w:r>
      <w:r>
        <w:rPr>
          <w:rFonts w:ascii="Calibri Light" w:eastAsia="Calibri Light" w:hAnsi="Calibri Light" w:cs="Calibri Light"/>
          <w:lang w:val="en-AU"/>
        </w:rPr>
        <w:t xml:space="preserve"> (TAF)</w:t>
      </w:r>
      <w:r w:rsidRPr="46ACBC4E">
        <w:rPr>
          <w:rFonts w:ascii="Calibri Light" w:eastAsia="Calibri Light" w:hAnsi="Calibri Light" w:cs="Calibri Light"/>
          <w:lang w:val="en-AU"/>
        </w:rPr>
        <w:t xml:space="preserve">, </w:t>
      </w:r>
      <w:r w:rsidR="003C1415">
        <w:rPr>
          <w:rFonts w:ascii="Calibri Light" w:eastAsia="Calibri Light" w:hAnsi="Calibri Light" w:cs="Calibri Light"/>
          <w:lang w:val="en-AU"/>
        </w:rPr>
        <w:t>other non-government organisations (NGO</w:t>
      </w:r>
      <w:r w:rsidR="00A607C8">
        <w:rPr>
          <w:rFonts w:ascii="Calibri Light" w:eastAsia="Calibri Light" w:hAnsi="Calibri Light" w:cs="Calibri Light"/>
          <w:lang w:val="en-AU"/>
        </w:rPr>
        <w:t>s</w:t>
      </w:r>
      <w:r w:rsidR="003C1415">
        <w:rPr>
          <w:rFonts w:ascii="Calibri Light" w:eastAsia="Calibri Light" w:hAnsi="Calibri Light" w:cs="Calibri Light"/>
          <w:lang w:val="en-AU"/>
        </w:rPr>
        <w:t xml:space="preserve">), </w:t>
      </w:r>
      <w:r>
        <w:rPr>
          <w:rFonts w:ascii="Calibri Light" w:eastAsia="Calibri Light" w:hAnsi="Calibri Light" w:cs="Calibri Light"/>
          <w:lang w:val="en-AU"/>
        </w:rPr>
        <w:t>local media organisations and think tanks</w:t>
      </w:r>
      <w:r w:rsidRPr="46ACBC4E">
        <w:rPr>
          <w:rFonts w:ascii="Calibri Light" w:eastAsia="Calibri Light" w:hAnsi="Calibri Light" w:cs="Calibri Light"/>
          <w:lang w:val="en-AU"/>
        </w:rPr>
        <w:t xml:space="preserve">. The Civil Society Partnership will </w:t>
      </w:r>
      <w:r>
        <w:rPr>
          <w:rFonts w:ascii="Calibri Light" w:eastAsia="Calibri Light" w:hAnsi="Calibri Light" w:cs="Calibri Light"/>
          <w:lang w:val="en-AU"/>
        </w:rPr>
        <w:t>streamline funding and management arrangements and help to strengthen collaboration between the non-state actors.</w:t>
      </w:r>
      <w:r w:rsidRPr="46ACBC4E">
        <w:rPr>
          <w:rFonts w:ascii="Calibri Light" w:eastAsia="Calibri Light" w:hAnsi="Calibri Light" w:cs="Calibri Light"/>
          <w:lang w:val="en-AU"/>
        </w:rPr>
        <w:t xml:space="preserve"> </w:t>
      </w:r>
    </w:p>
    <w:p w14:paraId="416BF848" w14:textId="373EC45E" w:rsidR="00902F90" w:rsidRDefault="00902F90" w:rsidP="00902F90">
      <w:pPr>
        <w:rPr>
          <w:rFonts w:ascii="Calibri Light" w:eastAsia="Calibri Light" w:hAnsi="Calibri Light" w:cs="Calibri Light"/>
          <w:lang w:val="en-AU"/>
        </w:rPr>
      </w:pPr>
      <w:proofErr w:type="spellStart"/>
      <w:r>
        <w:rPr>
          <w:rFonts w:ascii="Calibri Light" w:eastAsia="Calibri Light" w:hAnsi="Calibri Light" w:cs="Calibri Light"/>
          <w:lang w:val="en-AU"/>
        </w:rPr>
        <w:t>Partisipasi</w:t>
      </w:r>
      <w:proofErr w:type="spellEnd"/>
      <w:r>
        <w:rPr>
          <w:rFonts w:ascii="Calibri Light" w:eastAsia="Calibri Light" w:hAnsi="Calibri Light" w:cs="Calibri Light"/>
          <w:lang w:val="en-AU"/>
        </w:rPr>
        <w:t xml:space="preserve"> will operate </w:t>
      </w:r>
      <w:r w:rsidR="004476D5">
        <w:rPr>
          <w:rFonts w:ascii="Calibri Light" w:eastAsia="Calibri Light" w:hAnsi="Calibri Light" w:cs="Calibri Light"/>
          <w:lang w:val="en-AU"/>
        </w:rPr>
        <w:t xml:space="preserve">both </w:t>
      </w:r>
      <w:r>
        <w:rPr>
          <w:rFonts w:ascii="Calibri Light" w:eastAsia="Calibri Light" w:hAnsi="Calibri Light" w:cs="Calibri Light"/>
          <w:lang w:val="en-AU"/>
        </w:rPr>
        <w:t xml:space="preserve">at </w:t>
      </w:r>
      <w:r w:rsidR="004476D5">
        <w:rPr>
          <w:rFonts w:ascii="Calibri Light" w:eastAsia="Calibri Light" w:hAnsi="Calibri Light" w:cs="Calibri Light"/>
          <w:lang w:val="en-AU"/>
        </w:rPr>
        <w:t xml:space="preserve">the </w:t>
      </w:r>
      <w:r>
        <w:rPr>
          <w:rFonts w:ascii="Calibri Light" w:eastAsia="Calibri Light" w:hAnsi="Calibri Light" w:cs="Calibri Light"/>
          <w:lang w:val="en-AU"/>
        </w:rPr>
        <w:t>national level</w:t>
      </w:r>
      <w:r w:rsidR="004476D5">
        <w:rPr>
          <w:rFonts w:ascii="Calibri Light" w:eastAsia="Calibri Light" w:hAnsi="Calibri Light" w:cs="Calibri Light"/>
          <w:lang w:val="en-AU"/>
        </w:rPr>
        <w:t xml:space="preserve"> and targeted subnational locations</w:t>
      </w:r>
      <w:r>
        <w:rPr>
          <w:rFonts w:ascii="Calibri Light" w:eastAsia="Calibri Light" w:hAnsi="Calibri Light" w:cs="Calibri Light"/>
          <w:lang w:val="en-AU"/>
        </w:rPr>
        <w:t xml:space="preserve">. Its base in Jakarta will allow collaboration with civil and government institutions that have national reach. </w:t>
      </w:r>
      <w:proofErr w:type="spellStart"/>
      <w:r>
        <w:rPr>
          <w:rFonts w:ascii="Calibri Light" w:eastAsia="Calibri Light" w:hAnsi="Calibri Light" w:cs="Calibri Light"/>
          <w:lang w:val="en-AU"/>
        </w:rPr>
        <w:t>Partisipasi</w:t>
      </w:r>
      <w:proofErr w:type="spellEnd"/>
      <w:r>
        <w:rPr>
          <w:rFonts w:ascii="Calibri Light" w:eastAsia="Calibri Light" w:hAnsi="Calibri Light" w:cs="Calibri Light"/>
          <w:lang w:val="en-AU"/>
        </w:rPr>
        <w:t xml:space="preserve"> </w:t>
      </w:r>
      <w:r w:rsidR="003E0CA1">
        <w:rPr>
          <w:rFonts w:ascii="Calibri Light" w:eastAsia="Calibri Light" w:hAnsi="Calibri Light" w:cs="Calibri Light"/>
          <w:lang w:val="en-AU"/>
        </w:rPr>
        <w:t xml:space="preserve">will </w:t>
      </w:r>
      <w:r>
        <w:rPr>
          <w:rFonts w:ascii="Calibri Light" w:eastAsia="Calibri Light" w:hAnsi="Calibri Light" w:cs="Calibri Light"/>
          <w:lang w:val="en-AU"/>
        </w:rPr>
        <w:t xml:space="preserve">also </w:t>
      </w:r>
      <w:r w:rsidR="003E0CA1">
        <w:rPr>
          <w:rFonts w:ascii="Calibri Light" w:eastAsia="Calibri Light" w:hAnsi="Calibri Light" w:cs="Calibri Light"/>
          <w:lang w:val="en-AU"/>
        </w:rPr>
        <w:lastRenderedPageBreak/>
        <w:t xml:space="preserve">operate </w:t>
      </w:r>
      <w:r>
        <w:rPr>
          <w:rFonts w:ascii="Calibri Light" w:eastAsia="Calibri Light" w:hAnsi="Calibri Light" w:cs="Calibri Light"/>
          <w:lang w:val="en-AU"/>
        </w:rPr>
        <w:t xml:space="preserve">in </w:t>
      </w:r>
      <w:r w:rsidR="008C618F">
        <w:rPr>
          <w:rFonts w:ascii="Calibri Light" w:eastAsia="Calibri Light" w:hAnsi="Calibri Light" w:cs="Calibri Light"/>
          <w:lang w:val="en-AU"/>
        </w:rPr>
        <w:t>three</w:t>
      </w:r>
      <w:r w:rsidR="00F54796">
        <w:rPr>
          <w:rFonts w:ascii="Calibri Light" w:eastAsia="Calibri Light" w:hAnsi="Calibri Light" w:cs="Calibri Light"/>
          <w:lang w:val="en-AU"/>
        </w:rPr>
        <w:t xml:space="preserve"> </w:t>
      </w:r>
      <w:r>
        <w:rPr>
          <w:rFonts w:ascii="Calibri Light" w:eastAsia="Calibri Light" w:hAnsi="Calibri Light" w:cs="Calibri Light"/>
          <w:lang w:val="en-AU"/>
        </w:rPr>
        <w:t>subnational locations</w:t>
      </w:r>
      <w:r w:rsidR="00C8455D">
        <w:rPr>
          <w:rFonts w:ascii="Calibri Light" w:eastAsia="Calibri Light" w:hAnsi="Calibri Light" w:cs="Calibri Light"/>
          <w:lang w:val="en-AU"/>
        </w:rPr>
        <w:t xml:space="preserve">, chosen to provide geographic spread within Indonesia and because of their </w:t>
      </w:r>
      <w:r w:rsidR="00773E4C">
        <w:rPr>
          <w:rFonts w:ascii="Calibri Light" w:eastAsia="Calibri Light" w:hAnsi="Calibri Light" w:cs="Calibri Light"/>
          <w:lang w:val="en-AU"/>
        </w:rPr>
        <w:t>existing and unique roles in strengthening democratic participation</w:t>
      </w:r>
      <w:r w:rsidR="00463B53">
        <w:rPr>
          <w:rFonts w:ascii="Calibri Light" w:eastAsia="Calibri Light" w:hAnsi="Calibri Light" w:cs="Calibri Light"/>
          <w:lang w:val="en-AU"/>
        </w:rPr>
        <w:t xml:space="preserve">. </w:t>
      </w:r>
      <w:r>
        <w:rPr>
          <w:rFonts w:ascii="Calibri Light" w:eastAsia="Calibri Light" w:hAnsi="Calibri Light" w:cs="Calibri Light"/>
          <w:lang w:val="en-AU"/>
        </w:rPr>
        <w:t>Yogyakarta</w:t>
      </w:r>
      <w:r w:rsidR="003E0CA1">
        <w:rPr>
          <w:rFonts w:ascii="Calibri Light" w:eastAsia="Calibri Light" w:hAnsi="Calibri Light" w:cs="Calibri Light"/>
          <w:lang w:val="en-AU"/>
        </w:rPr>
        <w:t xml:space="preserve">, </w:t>
      </w:r>
      <w:r>
        <w:rPr>
          <w:rFonts w:ascii="Calibri Light" w:eastAsia="Calibri Light" w:hAnsi="Calibri Light" w:cs="Calibri Light"/>
          <w:lang w:val="en-AU"/>
        </w:rPr>
        <w:t>Makassar</w:t>
      </w:r>
      <w:r w:rsidR="003E0CA1">
        <w:rPr>
          <w:rFonts w:ascii="Calibri Light" w:eastAsia="Calibri Light" w:hAnsi="Calibri Light" w:cs="Calibri Light"/>
          <w:lang w:val="en-AU"/>
        </w:rPr>
        <w:t xml:space="preserve"> </w:t>
      </w:r>
      <w:r>
        <w:rPr>
          <w:rFonts w:ascii="Calibri Light" w:eastAsia="Calibri Light" w:hAnsi="Calibri Light" w:cs="Calibri Light"/>
          <w:lang w:val="en-AU"/>
        </w:rPr>
        <w:t>and Aceh</w:t>
      </w:r>
      <w:r w:rsidR="00463B53">
        <w:rPr>
          <w:rFonts w:ascii="Calibri Light" w:eastAsia="Calibri Light" w:hAnsi="Calibri Light" w:cs="Calibri Light"/>
          <w:lang w:val="en-AU"/>
        </w:rPr>
        <w:t xml:space="preserve"> are proposed as the subnational locations</w:t>
      </w:r>
      <w:r w:rsidR="003E0CA1">
        <w:rPr>
          <w:rFonts w:ascii="Calibri Light" w:eastAsia="Calibri Light" w:hAnsi="Calibri Light" w:cs="Calibri Light"/>
          <w:lang w:val="en-AU"/>
        </w:rPr>
        <w:t xml:space="preserve">. </w:t>
      </w:r>
      <w:r w:rsidR="00DE6339">
        <w:rPr>
          <w:rFonts w:ascii="Calibri Light" w:eastAsia="Calibri Light" w:hAnsi="Calibri Light" w:cs="Calibri Light"/>
          <w:lang w:val="en-AU"/>
        </w:rPr>
        <w:t xml:space="preserve">The program will have flexibility to support </w:t>
      </w:r>
      <w:r w:rsidR="00B12244">
        <w:rPr>
          <w:rFonts w:ascii="Calibri Light" w:eastAsia="Calibri Light" w:hAnsi="Calibri Light" w:cs="Calibri Light"/>
          <w:lang w:val="en-AU"/>
        </w:rPr>
        <w:t xml:space="preserve">some </w:t>
      </w:r>
      <w:r w:rsidR="00DE6339">
        <w:rPr>
          <w:rFonts w:ascii="Calibri Light" w:eastAsia="Calibri Light" w:hAnsi="Calibri Light" w:cs="Calibri Light"/>
          <w:lang w:val="en-AU"/>
        </w:rPr>
        <w:t>activities in other locations</w:t>
      </w:r>
      <w:r w:rsidR="00B12244">
        <w:rPr>
          <w:rFonts w:ascii="Calibri Light" w:eastAsia="Calibri Light" w:hAnsi="Calibri Light" w:cs="Calibri Light"/>
          <w:lang w:val="en-AU"/>
        </w:rPr>
        <w:t xml:space="preserve"> (e.g. for media activities)</w:t>
      </w:r>
      <w:r w:rsidR="00DE6339">
        <w:rPr>
          <w:rFonts w:ascii="Calibri Light" w:eastAsia="Calibri Light" w:hAnsi="Calibri Light" w:cs="Calibri Light"/>
          <w:lang w:val="en-AU"/>
        </w:rPr>
        <w:t xml:space="preserve"> subject to resourcing constraints</w:t>
      </w:r>
      <w:r w:rsidR="00B12244">
        <w:rPr>
          <w:rFonts w:ascii="Calibri Light" w:eastAsia="Calibri Light" w:hAnsi="Calibri Light" w:cs="Calibri Light"/>
          <w:lang w:val="en-AU"/>
        </w:rPr>
        <w:t>.</w:t>
      </w:r>
    </w:p>
    <w:p w14:paraId="6620BBEB" w14:textId="185C047B" w:rsidR="00902F90" w:rsidRDefault="00902F90" w:rsidP="00902F90">
      <w:pPr>
        <w:pStyle w:val="Heading2"/>
      </w:pPr>
      <w:bookmarkStart w:id="12" w:name="_Toc232524137"/>
      <w:bookmarkStart w:id="13" w:name="_Toc232524260"/>
      <w:r>
        <w:t xml:space="preserve">Governance </w:t>
      </w:r>
      <w:r w:rsidR="000D3612">
        <w:t xml:space="preserve">AND MANAGEMENT </w:t>
      </w:r>
      <w:r>
        <w:t>Arrangements</w:t>
      </w:r>
      <w:bookmarkEnd w:id="12"/>
      <w:bookmarkEnd w:id="13"/>
    </w:p>
    <w:p w14:paraId="12FF28EE" w14:textId="082946EB" w:rsidR="00D90AA2" w:rsidRPr="00EA4D56" w:rsidRDefault="002656B2" w:rsidP="00EA4D56">
      <w:pPr>
        <w:suppressAutoHyphens w:val="0"/>
        <w:spacing w:before="0" w:after="120" w:line="240" w:lineRule="auto"/>
        <w:rPr>
          <w:rFonts w:cstheme="minorHAnsi"/>
        </w:rPr>
      </w:pPr>
      <w:r w:rsidRPr="00D90AA2">
        <w:rPr>
          <w:rFonts w:cstheme="minorHAnsi"/>
        </w:rPr>
        <w:t xml:space="preserve">The governance </w:t>
      </w:r>
      <w:r>
        <w:rPr>
          <w:rFonts w:cstheme="minorHAnsi"/>
        </w:rPr>
        <w:t xml:space="preserve">and management </w:t>
      </w:r>
      <w:r w:rsidRPr="00D90AA2">
        <w:rPr>
          <w:rFonts w:cstheme="minorHAnsi"/>
        </w:rPr>
        <w:t xml:space="preserve">arrangements have been calibrated to </w:t>
      </w:r>
      <w:r w:rsidRPr="0027271E">
        <w:rPr>
          <w:rFonts w:cstheme="minorHAnsi"/>
        </w:rPr>
        <w:t xml:space="preserve">ensure strategic oversight, </w:t>
      </w:r>
      <w:r w:rsidR="002B1DEE" w:rsidRPr="0027271E">
        <w:rPr>
          <w:rFonts w:cstheme="minorHAnsi"/>
        </w:rPr>
        <w:t>consultation</w:t>
      </w:r>
      <w:r w:rsidR="00DD751E" w:rsidRPr="0027271E">
        <w:rPr>
          <w:rFonts w:cstheme="minorHAnsi"/>
        </w:rPr>
        <w:t xml:space="preserve"> and collaboration</w:t>
      </w:r>
      <w:r w:rsidR="002B1DEE" w:rsidRPr="0027271E">
        <w:rPr>
          <w:rFonts w:cstheme="minorHAnsi"/>
        </w:rPr>
        <w:t xml:space="preserve">, </w:t>
      </w:r>
      <w:r w:rsidR="009C7C32" w:rsidRPr="0027271E">
        <w:rPr>
          <w:rFonts w:cstheme="minorHAnsi"/>
        </w:rPr>
        <w:t xml:space="preserve">shared ownership </w:t>
      </w:r>
      <w:r w:rsidRPr="0027271E">
        <w:rPr>
          <w:rFonts w:cstheme="minorHAnsi"/>
        </w:rPr>
        <w:t xml:space="preserve">and </w:t>
      </w:r>
      <w:r w:rsidR="00E0021C" w:rsidRPr="0027271E">
        <w:rPr>
          <w:rFonts w:cstheme="minorHAnsi"/>
        </w:rPr>
        <w:t>risk management</w:t>
      </w:r>
      <w:r w:rsidRPr="0027271E">
        <w:rPr>
          <w:rFonts w:cstheme="minorHAnsi"/>
        </w:rPr>
        <w:t xml:space="preserve">. </w:t>
      </w:r>
      <w:r w:rsidRPr="0027271E">
        <w:rPr>
          <w:rFonts w:ascii="Calibri Light" w:eastAsia="Calibri Light" w:hAnsi="Calibri Light" w:cs="Calibri Light"/>
          <w:lang w:val="en-AU"/>
        </w:rPr>
        <w:t>The arrangements enable</w:t>
      </w:r>
      <w:r w:rsidRPr="37D0437D">
        <w:rPr>
          <w:rFonts w:ascii="Calibri Light" w:eastAsia="Calibri Light" w:hAnsi="Calibri Light" w:cs="Calibri Light"/>
          <w:lang w:val="en-AU"/>
        </w:rPr>
        <w:t xml:space="preserve"> oversight by DFAT, alignment with </w:t>
      </w:r>
      <w:proofErr w:type="spellStart"/>
      <w:r w:rsidRPr="37D0437D">
        <w:rPr>
          <w:rFonts w:ascii="Calibri Light" w:eastAsia="Calibri Light" w:hAnsi="Calibri Light" w:cs="Calibri Light"/>
          <w:lang w:val="en-AU"/>
        </w:rPr>
        <w:t>GoI</w:t>
      </w:r>
      <w:proofErr w:type="spellEnd"/>
      <w:r w:rsidRPr="37D0437D">
        <w:rPr>
          <w:rFonts w:ascii="Calibri Light" w:eastAsia="Calibri Light" w:hAnsi="Calibri Light" w:cs="Calibri Light"/>
          <w:lang w:val="en-AU"/>
        </w:rPr>
        <w:t xml:space="preserve"> priorities</w:t>
      </w:r>
      <w:r>
        <w:rPr>
          <w:rFonts w:ascii="Calibri Light" w:eastAsia="Calibri Light" w:hAnsi="Calibri Light" w:cs="Calibri Light"/>
          <w:lang w:val="en-AU"/>
        </w:rPr>
        <w:t xml:space="preserve"> and </w:t>
      </w:r>
      <w:r w:rsidRPr="37D0437D">
        <w:rPr>
          <w:rFonts w:ascii="Calibri Light" w:eastAsia="Calibri Light" w:hAnsi="Calibri Light" w:cs="Calibri Light"/>
          <w:lang w:val="en-AU"/>
        </w:rPr>
        <w:t>inclusive stakeholder engagement.</w:t>
      </w:r>
      <w:r w:rsidR="00EA4D56">
        <w:rPr>
          <w:rFonts w:cstheme="minorHAnsi"/>
        </w:rPr>
        <w:t xml:space="preserve"> </w:t>
      </w:r>
      <w:proofErr w:type="spellStart"/>
      <w:r w:rsidR="00902F90" w:rsidRPr="009B1602">
        <w:rPr>
          <w:rFonts w:ascii="Calibri Light" w:eastAsia="Calibri Light" w:hAnsi="Calibri Light" w:cs="Calibri Light"/>
          <w:lang w:val="en-AU"/>
        </w:rPr>
        <w:t>Partisipasi</w:t>
      </w:r>
      <w:proofErr w:type="spellEnd"/>
      <w:r w:rsidR="00902F90" w:rsidRPr="009B1602">
        <w:rPr>
          <w:rFonts w:ascii="Calibri Light" w:eastAsia="Calibri Light" w:hAnsi="Calibri Light" w:cs="Calibri Light"/>
          <w:lang w:val="en-AU"/>
        </w:rPr>
        <w:t xml:space="preserve"> will be guided by a Program Advisory Board (PAB)</w:t>
      </w:r>
      <w:r w:rsidR="002F48C7" w:rsidRPr="009B1602">
        <w:rPr>
          <w:rFonts w:ascii="Calibri Light" w:eastAsia="Calibri Light" w:hAnsi="Calibri Light" w:cs="Calibri Light"/>
          <w:lang w:val="en-AU"/>
        </w:rPr>
        <w:t xml:space="preserve">, which </w:t>
      </w:r>
      <w:r w:rsidR="00902F90" w:rsidRPr="009B1602">
        <w:rPr>
          <w:rFonts w:ascii="Calibri Light" w:eastAsia="Calibri Light" w:hAnsi="Calibri Light" w:cs="Calibri Light"/>
          <w:lang w:val="en-AU"/>
        </w:rPr>
        <w:t xml:space="preserve">will meet </w:t>
      </w:r>
      <w:r w:rsidR="001A1C0E" w:rsidRPr="009B1602">
        <w:rPr>
          <w:rFonts w:ascii="Calibri Light" w:eastAsia="Calibri Light" w:hAnsi="Calibri Light" w:cs="Calibri Light"/>
          <w:lang w:val="en-AU"/>
        </w:rPr>
        <w:t>annually</w:t>
      </w:r>
      <w:r w:rsidR="00902F90" w:rsidRPr="009B1602">
        <w:rPr>
          <w:rFonts w:ascii="Calibri Light" w:eastAsia="Calibri Light" w:hAnsi="Calibri Light" w:cs="Calibri Light"/>
          <w:lang w:val="en-AU"/>
        </w:rPr>
        <w:t xml:space="preserve"> and be co-chaired by DFAT and</w:t>
      </w:r>
      <w:r w:rsidR="00581F63" w:rsidRPr="009B1602">
        <w:rPr>
          <w:rFonts w:ascii="Calibri Light" w:eastAsia="Calibri Light" w:hAnsi="Calibri Light" w:cs="Calibri Light"/>
          <w:lang w:val="en-AU"/>
        </w:rPr>
        <w:t xml:space="preserve"> Indonesia’s </w:t>
      </w:r>
      <w:r w:rsidR="00581F63" w:rsidRPr="009B1602">
        <w:rPr>
          <w:szCs w:val="21"/>
          <w:lang w:val="en-AU"/>
        </w:rPr>
        <w:t>Ministry of National Development Planning (</w:t>
      </w:r>
      <w:r w:rsidR="00581F63" w:rsidRPr="009B1602">
        <w:rPr>
          <w:rFonts w:ascii="Calibri Light" w:eastAsia="Calibri Light" w:hAnsi="Calibri Light" w:cs="Calibri Light"/>
          <w:lang w:val="en-AU"/>
        </w:rPr>
        <w:t>BAPPENAS)</w:t>
      </w:r>
      <w:r w:rsidR="00902F90" w:rsidRPr="009B1602">
        <w:rPr>
          <w:rFonts w:ascii="Calibri Light" w:eastAsia="Calibri Light" w:hAnsi="Calibri Light" w:cs="Calibri Light"/>
          <w:lang w:val="en-AU"/>
        </w:rPr>
        <w:t xml:space="preserve">. The </w:t>
      </w:r>
      <w:r w:rsidR="009C7192" w:rsidRPr="009B1602">
        <w:rPr>
          <w:rFonts w:ascii="Calibri Light" w:eastAsia="Calibri Light" w:hAnsi="Calibri Light" w:cs="Calibri Light"/>
          <w:lang w:val="en-AU"/>
        </w:rPr>
        <w:t>implementing partners</w:t>
      </w:r>
      <w:r w:rsidR="00F41492" w:rsidRPr="009B1602">
        <w:rPr>
          <w:rFonts w:ascii="Calibri Light" w:eastAsia="Calibri Light" w:hAnsi="Calibri Light" w:cs="Calibri Light"/>
          <w:lang w:val="en-AU"/>
        </w:rPr>
        <w:t>, civil society representatives, and a</w:t>
      </w:r>
      <w:r w:rsidR="000D3612" w:rsidRPr="009B1602">
        <w:rPr>
          <w:rFonts w:ascii="Calibri Light" w:eastAsia="Calibri Light" w:hAnsi="Calibri Light" w:cs="Calibri Light"/>
          <w:lang w:val="en-AU"/>
        </w:rPr>
        <w:t>t</w:t>
      </w:r>
      <w:r w:rsidR="001B79A0" w:rsidRPr="009B1602">
        <w:rPr>
          <w:rFonts w:ascii="Calibri Light" w:eastAsia="Calibri Light" w:hAnsi="Calibri Light" w:cs="Calibri Light"/>
          <w:lang w:val="en-AU"/>
        </w:rPr>
        <w:t xml:space="preserve"> the invitation of the co-chairs, r</w:t>
      </w:r>
      <w:r w:rsidR="00902F90" w:rsidRPr="009B1602">
        <w:rPr>
          <w:rFonts w:ascii="Calibri Light" w:eastAsia="Calibri Light" w:hAnsi="Calibri Light" w:cs="Calibri Light"/>
          <w:lang w:val="en-AU"/>
        </w:rPr>
        <w:t xml:space="preserve">elevant </w:t>
      </w:r>
      <w:proofErr w:type="spellStart"/>
      <w:r w:rsidR="00902F90" w:rsidRPr="009B1602">
        <w:rPr>
          <w:rFonts w:ascii="Calibri Light" w:eastAsia="Calibri Light" w:hAnsi="Calibri Light" w:cs="Calibri Light"/>
          <w:lang w:val="en-AU"/>
        </w:rPr>
        <w:t>GoI</w:t>
      </w:r>
      <w:proofErr w:type="spellEnd"/>
      <w:r w:rsidR="001B79A0" w:rsidRPr="009B1602">
        <w:rPr>
          <w:rFonts w:ascii="Calibri Light" w:eastAsia="Calibri Light" w:hAnsi="Calibri Light" w:cs="Calibri Light"/>
          <w:lang w:val="en-AU"/>
        </w:rPr>
        <w:t xml:space="preserve"> and </w:t>
      </w:r>
      <w:proofErr w:type="spellStart"/>
      <w:r w:rsidR="001B79A0" w:rsidRPr="009B1602">
        <w:rPr>
          <w:rFonts w:ascii="Calibri Light" w:eastAsia="Calibri Light" w:hAnsi="Calibri Light" w:cs="Calibri Light"/>
          <w:lang w:val="en-AU"/>
        </w:rPr>
        <w:t>GoA</w:t>
      </w:r>
      <w:proofErr w:type="spellEnd"/>
      <w:r w:rsidR="00902F90" w:rsidRPr="009B1602">
        <w:rPr>
          <w:rFonts w:ascii="Calibri Light" w:eastAsia="Calibri Light" w:hAnsi="Calibri Light" w:cs="Calibri Light"/>
          <w:lang w:val="en-AU"/>
        </w:rPr>
        <w:t xml:space="preserve"> agencies will be invited to </w:t>
      </w:r>
      <w:r w:rsidR="00F41492" w:rsidRPr="009B1602">
        <w:rPr>
          <w:rFonts w:ascii="Calibri Light" w:eastAsia="Calibri Light" w:hAnsi="Calibri Light" w:cs="Calibri Light"/>
          <w:lang w:val="en-AU"/>
        </w:rPr>
        <w:t>join the PAB</w:t>
      </w:r>
      <w:r w:rsidR="00902F90" w:rsidRPr="009B1602">
        <w:rPr>
          <w:rFonts w:ascii="Calibri Light" w:eastAsia="Calibri Light" w:hAnsi="Calibri Light" w:cs="Calibri Light"/>
          <w:lang w:val="en-AU"/>
        </w:rPr>
        <w:t xml:space="preserve">. </w:t>
      </w:r>
      <w:r w:rsidR="00770374" w:rsidRPr="009B1602">
        <w:rPr>
          <w:rFonts w:ascii="Calibri Light" w:eastAsia="Calibri Light" w:hAnsi="Calibri Light" w:cs="Calibri Light"/>
          <w:lang w:val="en-AU"/>
        </w:rPr>
        <w:t xml:space="preserve">NGOs/CSOs that receive funding will continue to have oversight through their existing registration processes with relevant </w:t>
      </w:r>
      <w:proofErr w:type="spellStart"/>
      <w:r w:rsidR="00770374" w:rsidRPr="009B1602">
        <w:rPr>
          <w:rFonts w:ascii="Calibri Light" w:eastAsia="Calibri Light" w:hAnsi="Calibri Light" w:cs="Calibri Light"/>
          <w:lang w:val="en-AU"/>
        </w:rPr>
        <w:t>GoI</w:t>
      </w:r>
      <w:proofErr w:type="spellEnd"/>
      <w:r w:rsidR="00770374" w:rsidRPr="009B1602">
        <w:rPr>
          <w:rFonts w:ascii="Calibri Light" w:eastAsia="Calibri Light" w:hAnsi="Calibri Light" w:cs="Calibri Light"/>
          <w:lang w:val="en-AU"/>
        </w:rPr>
        <w:t xml:space="preserve"> agencies.</w:t>
      </w:r>
      <w:r w:rsidR="000541F7">
        <w:rPr>
          <w:rFonts w:ascii="Calibri Light" w:eastAsia="Calibri Light" w:hAnsi="Calibri Light" w:cs="Calibri Light"/>
          <w:lang w:val="en-AU"/>
        </w:rPr>
        <w:t xml:space="preserve"> </w:t>
      </w:r>
      <w:r w:rsidR="00D90AA2" w:rsidRPr="00D90AA2">
        <w:rPr>
          <w:rFonts w:cstheme="minorHAnsi"/>
        </w:rPr>
        <w:t>Component two will have its own internal CSP Steering Committee.</w:t>
      </w:r>
    </w:p>
    <w:p w14:paraId="03EC1570" w14:textId="00D698F7" w:rsidR="00D90AA2" w:rsidRPr="00CD2113" w:rsidRDefault="00D90AA2" w:rsidP="00CD2113">
      <w:pPr>
        <w:suppressAutoHyphens w:val="0"/>
        <w:spacing w:before="0" w:after="120" w:line="240" w:lineRule="auto"/>
        <w:rPr>
          <w:rFonts w:cstheme="minorHAnsi"/>
        </w:rPr>
      </w:pPr>
      <w:r w:rsidRPr="00D90AA2">
        <w:rPr>
          <w:rFonts w:cstheme="minorHAnsi"/>
        </w:rPr>
        <w:t xml:space="preserve">DFAT (Jakarta Post) will approve </w:t>
      </w:r>
      <w:r w:rsidR="00CF041B">
        <w:rPr>
          <w:rFonts w:cstheme="minorHAnsi"/>
        </w:rPr>
        <w:t xml:space="preserve">program </w:t>
      </w:r>
      <w:r w:rsidRPr="00D90AA2">
        <w:rPr>
          <w:rFonts w:cstheme="minorHAnsi"/>
        </w:rPr>
        <w:t xml:space="preserve">work plans following a review by a DFAT </w:t>
      </w:r>
      <w:proofErr w:type="spellStart"/>
      <w:r w:rsidRPr="00D90AA2">
        <w:rPr>
          <w:rFonts w:cstheme="minorHAnsi"/>
        </w:rPr>
        <w:t>Partisipasi</w:t>
      </w:r>
      <w:proofErr w:type="spellEnd"/>
      <w:r w:rsidRPr="00D90AA2">
        <w:rPr>
          <w:rFonts w:cstheme="minorHAnsi"/>
        </w:rPr>
        <w:t xml:space="preserve"> Reference Group, which includes relevant officers from </w:t>
      </w:r>
      <w:r w:rsidR="00CF041B">
        <w:rPr>
          <w:rFonts w:cstheme="minorHAnsi"/>
        </w:rPr>
        <w:t>the embassy</w:t>
      </w:r>
      <w:r w:rsidRPr="00D90AA2">
        <w:rPr>
          <w:rFonts w:cstheme="minorHAnsi"/>
        </w:rPr>
        <w:t xml:space="preserve">. </w:t>
      </w:r>
      <w:r w:rsidR="00CD2113">
        <w:rPr>
          <w:rFonts w:cstheme="minorHAnsi"/>
        </w:rPr>
        <w:t>The Deputy Head of Mission (DHOM)</w:t>
      </w:r>
      <w:r w:rsidRPr="00D90AA2">
        <w:rPr>
          <w:rFonts w:cstheme="minorHAnsi"/>
        </w:rPr>
        <w:t xml:space="preserve"> will chair a six monthly Strategic Civil Society Coordination Meeting to facilitate sharing of insights from and collaboration between </w:t>
      </w:r>
      <w:r w:rsidR="00CD2113">
        <w:rPr>
          <w:rFonts w:cstheme="minorHAnsi"/>
        </w:rPr>
        <w:t>DFAT</w:t>
      </w:r>
      <w:r w:rsidRPr="00D90AA2">
        <w:rPr>
          <w:rFonts w:cstheme="minorHAnsi"/>
        </w:rPr>
        <w:t xml:space="preserve"> investments supporting civil society. </w:t>
      </w:r>
    </w:p>
    <w:p w14:paraId="4B90CF61" w14:textId="77777777" w:rsidR="00902F90" w:rsidRPr="00D16AB6" w:rsidRDefault="00902F90" w:rsidP="00902F90">
      <w:pPr>
        <w:pStyle w:val="Heading2"/>
      </w:pPr>
      <w:bookmarkStart w:id="14" w:name="_Toc208223936"/>
      <w:bookmarkStart w:id="15" w:name="_Toc232524138"/>
      <w:bookmarkStart w:id="16" w:name="_Toc232524261"/>
      <w:r w:rsidRPr="00D16AB6">
        <w:t>Risks and Risk Management</w:t>
      </w:r>
      <w:bookmarkEnd w:id="14"/>
      <w:bookmarkEnd w:id="15"/>
      <w:bookmarkEnd w:id="16"/>
    </w:p>
    <w:p w14:paraId="0D708B84" w14:textId="7DD20DDA" w:rsidR="00902F90" w:rsidRPr="00026458" w:rsidRDefault="00902F90" w:rsidP="00902F90">
      <w:pPr>
        <w:rPr>
          <w:rFonts w:eastAsia="Times New Roman" w:cs="Times New Roman"/>
          <w:lang w:val="en-AU"/>
        </w:rPr>
      </w:pPr>
      <w:r w:rsidRPr="61A10F58">
        <w:rPr>
          <w:rFonts w:eastAsia="Times New Roman" w:cs="Times New Roman"/>
          <w:lang w:val="en-AU"/>
        </w:rPr>
        <w:t xml:space="preserve">Risk management is embedded in program governance, monitoring, evaluation and learning (MEL) systems, </w:t>
      </w:r>
      <w:r w:rsidR="00B170C5">
        <w:rPr>
          <w:rFonts w:eastAsia="Times New Roman" w:cs="Times New Roman"/>
          <w:lang w:val="en-AU"/>
        </w:rPr>
        <w:t>as well as</w:t>
      </w:r>
      <w:r w:rsidR="00B170C5" w:rsidRPr="61A10F58">
        <w:rPr>
          <w:rFonts w:eastAsia="Times New Roman" w:cs="Times New Roman"/>
          <w:lang w:val="en-AU"/>
        </w:rPr>
        <w:t xml:space="preserve"> </w:t>
      </w:r>
      <w:r w:rsidRPr="61A10F58">
        <w:rPr>
          <w:rFonts w:eastAsia="Times New Roman" w:cs="Times New Roman"/>
          <w:lang w:val="en-AU"/>
        </w:rPr>
        <w:t xml:space="preserve">partner </w:t>
      </w:r>
      <w:r w:rsidR="00EA4D56">
        <w:rPr>
          <w:rFonts w:eastAsia="Times New Roman" w:cs="Times New Roman"/>
          <w:lang w:val="en-AU"/>
        </w:rPr>
        <w:t>implementation</w:t>
      </w:r>
      <w:r w:rsidRPr="61A10F58">
        <w:rPr>
          <w:rFonts w:eastAsia="Times New Roman" w:cs="Times New Roman"/>
          <w:lang w:val="en-AU"/>
        </w:rPr>
        <w:t xml:space="preserve"> mechanisms, with clear responsibilities for risk ownership, oversight and response. DFAT is the strategic risk owner for </w:t>
      </w:r>
      <w:proofErr w:type="spellStart"/>
      <w:r w:rsidRPr="61A10F58">
        <w:rPr>
          <w:rFonts w:eastAsia="Times New Roman" w:cs="Times New Roman"/>
          <w:lang w:val="en-AU"/>
        </w:rPr>
        <w:t>Partisipasi</w:t>
      </w:r>
      <w:proofErr w:type="spellEnd"/>
      <w:r w:rsidRPr="61A10F58">
        <w:rPr>
          <w:rFonts w:eastAsia="Times New Roman" w:cs="Times New Roman"/>
          <w:lang w:val="en-AU"/>
        </w:rPr>
        <w:t xml:space="preserve">. The design has identified </w:t>
      </w:r>
      <w:r w:rsidR="00EA4D56">
        <w:rPr>
          <w:rFonts w:eastAsia="Times New Roman" w:cs="Times New Roman"/>
          <w:lang w:val="en-AU"/>
        </w:rPr>
        <w:t>three</w:t>
      </w:r>
      <w:r w:rsidR="0039561A" w:rsidRPr="61A10F58">
        <w:rPr>
          <w:rFonts w:eastAsia="Times New Roman" w:cs="Times New Roman"/>
          <w:lang w:val="en-AU"/>
        </w:rPr>
        <w:t xml:space="preserve"> </w:t>
      </w:r>
      <w:r w:rsidRPr="61A10F58">
        <w:rPr>
          <w:rFonts w:eastAsia="Times New Roman" w:cs="Times New Roman"/>
          <w:lang w:val="en-AU"/>
        </w:rPr>
        <w:t xml:space="preserve">key risks: </w:t>
      </w:r>
    </w:p>
    <w:p w14:paraId="31A50F8F" w14:textId="26021D74" w:rsidR="00902F90" w:rsidRPr="00D52B8E" w:rsidRDefault="00B170C5" w:rsidP="00504B06">
      <w:pPr>
        <w:pStyle w:val="ListParagraph"/>
        <w:numPr>
          <w:ilvl w:val="0"/>
          <w:numId w:val="60"/>
        </w:numPr>
        <w:ind w:left="714" w:hanging="357"/>
        <w:rPr>
          <w:rFonts w:eastAsia="Times New Roman" w:cs="Times New Roman"/>
          <w:lang w:val="en-AU"/>
        </w:rPr>
      </w:pPr>
      <w:r>
        <w:rPr>
          <w:rFonts w:eastAsia="Times New Roman" w:cs="Times New Roman"/>
          <w:b/>
          <w:bCs/>
          <w:lang w:val="en-AU"/>
        </w:rPr>
        <w:t>Political sensitivities</w:t>
      </w:r>
      <w:r w:rsidR="00902F90" w:rsidRPr="37D0437D">
        <w:rPr>
          <w:rFonts w:eastAsia="Times New Roman" w:cs="Times New Roman"/>
          <w:lang w:val="en-AU"/>
        </w:rPr>
        <w:t xml:space="preserve">: Program activities could be </w:t>
      </w:r>
      <w:r w:rsidR="005048E9">
        <w:rPr>
          <w:rFonts w:eastAsia="Times New Roman" w:cs="Times New Roman"/>
          <w:lang w:val="en-AU"/>
        </w:rPr>
        <w:t>misunderstood</w:t>
      </w:r>
      <w:r>
        <w:rPr>
          <w:rFonts w:eastAsia="Times New Roman" w:cs="Times New Roman"/>
          <w:lang w:val="en-AU"/>
        </w:rPr>
        <w:t xml:space="preserve"> by </w:t>
      </w:r>
      <w:proofErr w:type="spellStart"/>
      <w:r>
        <w:rPr>
          <w:rFonts w:eastAsia="Times New Roman" w:cs="Times New Roman"/>
          <w:lang w:val="en-AU"/>
        </w:rPr>
        <w:t>GoI</w:t>
      </w:r>
      <w:proofErr w:type="spellEnd"/>
      <w:r>
        <w:rPr>
          <w:rFonts w:eastAsia="Times New Roman" w:cs="Times New Roman"/>
          <w:lang w:val="en-AU"/>
        </w:rPr>
        <w:t xml:space="preserve">, </w:t>
      </w:r>
      <w:proofErr w:type="spellStart"/>
      <w:r>
        <w:rPr>
          <w:rFonts w:eastAsia="Times New Roman" w:cs="Times New Roman"/>
          <w:lang w:val="en-AU"/>
        </w:rPr>
        <w:t>GoA</w:t>
      </w:r>
      <w:proofErr w:type="spellEnd"/>
      <w:r>
        <w:rPr>
          <w:rFonts w:eastAsia="Times New Roman" w:cs="Times New Roman"/>
          <w:lang w:val="en-AU"/>
        </w:rPr>
        <w:t xml:space="preserve"> or other stakeholders</w:t>
      </w:r>
      <w:r w:rsidR="00902F90" w:rsidRPr="37D0437D">
        <w:rPr>
          <w:rFonts w:eastAsia="Times New Roman" w:cs="Times New Roman"/>
          <w:lang w:val="en-AU"/>
        </w:rPr>
        <w:t xml:space="preserve">. To mitigate this, the program has been designed to </w:t>
      </w:r>
      <w:r w:rsidR="00BE7005">
        <w:rPr>
          <w:rFonts w:eastAsia="Times New Roman" w:cs="Times New Roman"/>
          <w:lang w:val="en-AU"/>
        </w:rPr>
        <w:t xml:space="preserve">be </w:t>
      </w:r>
      <w:proofErr w:type="gramStart"/>
      <w:r w:rsidR="00BE7005">
        <w:rPr>
          <w:rFonts w:eastAsia="Times New Roman" w:cs="Times New Roman"/>
          <w:lang w:val="en-AU"/>
        </w:rPr>
        <w:t>locally-led</w:t>
      </w:r>
      <w:proofErr w:type="gramEnd"/>
      <w:r w:rsidR="00BE7005">
        <w:rPr>
          <w:rFonts w:eastAsia="Times New Roman" w:cs="Times New Roman"/>
          <w:lang w:val="en-AU"/>
        </w:rPr>
        <w:t xml:space="preserve"> </w:t>
      </w:r>
      <w:r w:rsidR="00902F90" w:rsidRPr="37D0437D">
        <w:rPr>
          <w:rFonts w:eastAsia="Times New Roman" w:cs="Times New Roman"/>
          <w:lang w:val="en-AU"/>
        </w:rPr>
        <w:t>and has built</w:t>
      </w:r>
      <w:r w:rsidR="0039561A">
        <w:rPr>
          <w:rFonts w:eastAsia="Times New Roman" w:cs="Times New Roman"/>
          <w:lang w:val="en-AU"/>
        </w:rPr>
        <w:t>-</w:t>
      </w:r>
      <w:r w:rsidR="00902F90" w:rsidRPr="37D0437D">
        <w:rPr>
          <w:rFonts w:eastAsia="Times New Roman" w:cs="Times New Roman"/>
          <w:lang w:val="en-AU"/>
        </w:rPr>
        <w:t xml:space="preserve">in governance </w:t>
      </w:r>
      <w:r w:rsidR="00546950">
        <w:rPr>
          <w:rFonts w:eastAsia="Times New Roman" w:cs="Times New Roman"/>
          <w:lang w:val="en-AU"/>
        </w:rPr>
        <w:t xml:space="preserve">and management </w:t>
      </w:r>
      <w:r w:rsidR="00902F90" w:rsidRPr="37D0437D">
        <w:rPr>
          <w:rFonts w:eastAsia="Times New Roman" w:cs="Times New Roman"/>
          <w:lang w:val="en-AU"/>
        </w:rPr>
        <w:t xml:space="preserve">arrangements that ensure </w:t>
      </w:r>
      <w:proofErr w:type="spellStart"/>
      <w:r w:rsidR="00902F90" w:rsidRPr="37D0437D">
        <w:rPr>
          <w:rFonts w:eastAsia="Times New Roman" w:cs="Times New Roman"/>
          <w:lang w:val="en-AU"/>
        </w:rPr>
        <w:t>GoI</w:t>
      </w:r>
      <w:proofErr w:type="spellEnd"/>
      <w:r w:rsidR="00902F90" w:rsidRPr="37D0437D">
        <w:rPr>
          <w:rFonts w:eastAsia="Times New Roman" w:cs="Times New Roman"/>
          <w:lang w:val="en-AU"/>
        </w:rPr>
        <w:t xml:space="preserve"> </w:t>
      </w:r>
      <w:r w:rsidR="00BE7005">
        <w:rPr>
          <w:rFonts w:eastAsia="Times New Roman" w:cs="Times New Roman"/>
          <w:lang w:val="en-AU"/>
        </w:rPr>
        <w:t xml:space="preserve">and </w:t>
      </w:r>
      <w:proofErr w:type="spellStart"/>
      <w:r w:rsidR="00BE7005">
        <w:rPr>
          <w:rFonts w:eastAsia="Times New Roman" w:cs="Times New Roman"/>
          <w:lang w:val="en-AU"/>
        </w:rPr>
        <w:t>GoA</w:t>
      </w:r>
      <w:proofErr w:type="spellEnd"/>
      <w:r w:rsidR="00BE7005">
        <w:rPr>
          <w:rFonts w:eastAsia="Times New Roman" w:cs="Times New Roman"/>
          <w:lang w:val="en-AU"/>
        </w:rPr>
        <w:t xml:space="preserve"> are</w:t>
      </w:r>
      <w:r w:rsidR="00BE7005" w:rsidRPr="37D0437D">
        <w:rPr>
          <w:rFonts w:eastAsia="Times New Roman" w:cs="Times New Roman"/>
          <w:lang w:val="en-AU"/>
        </w:rPr>
        <w:t xml:space="preserve"> </w:t>
      </w:r>
      <w:r w:rsidR="00902F90" w:rsidRPr="37D0437D">
        <w:rPr>
          <w:rFonts w:eastAsia="Times New Roman" w:cs="Times New Roman"/>
          <w:lang w:val="en-AU"/>
        </w:rPr>
        <w:t xml:space="preserve">informed about and provide regular advice on the </w:t>
      </w:r>
      <w:r w:rsidR="0039561A">
        <w:rPr>
          <w:rFonts w:eastAsia="Times New Roman" w:cs="Times New Roman"/>
          <w:lang w:val="en-AU"/>
        </w:rPr>
        <w:t>p</w:t>
      </w:r>
      <w:r w:rsidR="00902F90" w:rsidRPr="37D0437D">
        <w:rPr>
          <w:rFonts w:eastAsia="Times New Roman" w:cs="Times New Roman"/>
          <w:lang w:val="en-AU"/>
        </w:rPr>
        <w:t xml:space="preserve">rogram. </w:t>
      </w:r>
    </w:p>
    <w:p w14:paraId="2452BB2A" w14:textId="40E4FDC9" w:rsidR="00902F90" w:rsidRDefault="00902F90" w:rsidP="00504B06">
      <w:pPr>
        <w:pStyle w:val="ListParagraph"/>
        <w:numPr>
          <w:ilvl w:val="0"/>
          <w:numId w:val="60"/>
        </w:numPr>
        <w:ind w:left="714" w:hanging="357"/>
        <w:contextualSpacing w:val="0"/>
        <w:rPr>
          <w:rFonts w:eastAsia="Times New Roman" w:cs="Times New Roman"/>
          <w:szCs w:val="21"/>
          <w:lang w:val="en-AU"/>
        </w:rPr>
      </w:pPr>
      <w:r w:rsidRPr="00C5377B">
        <w:rPr>
          <w:rFonts w:eastAsia="Times New Roman" w:cs="Times New Roman"/>
          <w:b/>
          <w:iCs/>
          <w:szCs w:val="21"/>
          <w:lang w:val="en-AU"/>
        </w:rPr>
        <w:t xml:space="preserve">Fiduciary </w:t>
      </w:r>
      <w:r w:rsidRPr="00C5377B">
        <w:rPr>
          <w:rFonts w:eastAsia="Times New Roman" w:cs="Times New Roman"/>
          <w:b/>
          <w:bCs/>
          <w:iCs/>
          <w:szCs w:val="21"/>
          <w:lang w:val="en-AU"/>
        </w:rPr>
        <w:t xml:space="preserve">and </w:t>
      </w:r>
      <w:r w:rsidR="0039561A">
        <w:rPr>
          <w:rFonts w:eastAsia="Times New Roman" w:cs="Times New Roman"/>
          <w:b/>
          <w:bCs/>
          <w:iCs/>
          <w:szCs w:val="21"/>
          <w:lang w:val="en-AU"/>
        </w:rPr>
        <w:t>s</w:t>
      </w:r>
      <w:r w:rsidRPr="00C5377B">
        <w:rPr>
          <w:rFonts w:eastAsia="Times New Roman" w:cs="Times New Roman"/>
          <w:b/>
          <w:bCs/>
          <w:iCs/>
          <w:szCs w:val="21"/>
          <w:lang w:val="en-AU"/>
        </w:rPr>
        <w:t>afeguarding</w:t>
      </w:r>
      <w:r w:rsidRPr="00C5377B">
        <w:rPr>
          <w:rFonts w:eastAsia="Times New Roman" w:cs="Times New Roman"/>
          <w:b/>
          <w:iCs/>
          <w:szCs w:val="21"/>
          <w:lang w:val="en-AU"/>
        </w:rPr>
        <w:t xml:space="preserve"> failures</w:t>
      </w:r>
      <w:r w:rsidRPr="00D52B8E">
        <w:rPr>
          <w:rFonts w:eastAsia="Times New Roman" w:cs="Times New Roman"/>
          <w:szCs w:val="21"/>
          <w:lang w:val="en-AU"/>
        </w:rPr>
        <w:t xml:space="preserve">: The complexity of working through multiple partners and funding channels could increase the risk of weak accountability, inconsistent governance, or misuse of resources. </w:t>
      </w:r>
      <w:proofErr w:type="spellStart"/>
      <w:r w:rsidRPr="00D52B8E">
        <w:rPr>
          <w:rFonts w:eastAsia="Times New Roman" w:cs="Times New Roman"/>
          <w:szCs w:val="21"/>
          <w:lang w:val="en-AU"/>
        </w:rPr>
        <w:t>Partisipasi</w:t>
      </w:r>
      <w:proofErr w:type="spellEnd"/>
      <w:r w:rsidRPr="00D52B8E">
        <w:rPr>
          <w:rFonts w:eastAsia="Times New Roman" w:cs="Times New Roman"/>
          <w:szCs w:val="21"/>
          <w:lang w:val="en-AU"/>
        </w:rPr>
        <w:t xml:space="preserve"> engagement with youth</w:t>
      </w:r>
      <w:r w:rsidR="0064404E">
        <w:rPr>
          <w:rFonts w:eastAsia="Times New Roman" w:cs="Times New Roman"/>
          <w:szCs w:val="21"/>
          <w:lang w:val="en-AU"/>
        </w:rPr>
        <w:t>s</w:t>
      </w:r>
      <w:r w:rsidRPr="00D52B8E">
        <w:rPr>
          <w:rFonts w:eastAsia="Times New Roman" w:cs="Times New Roman"/>
          <w:szCs w:val="21"/>
          <w:lang w:val="en-AU"/>
        </w:rPr>
        <w:t xml:space="preserve">, civil society and community stakeholders could expose program participants to safeguarding risks. The design mitigates these risks through the application of rigorous and proportionate due diligence consistent with DFAT's standards. </w:t>
      </w:r>
    </w:p>
    <w:p w14:paraId="2AB44290" w14:textId="35E689D7" w:rsidR="00902F90" w:rsidRPr="00E378CE" w:rsidRDefault="00902F90" w:rsidP="00504B06">
      <w:pPr>
        <w:pStyle w:val="ListParagraph"/>
        <w:numPr>
          <w:ilvl w:val="0"/>
          <w:numId w:val="60"/>
        </w:numPr>
        <w:ind w:left="714" w:hanging="357"/>
        <w:rPr>
          <w:rFonts w:eastAsia="Times New Roman" w:cs="Times New Roman"/>
          <w:lang w:val="en-AU"/>
        </w:rPr>
      </w:pPr>
      <w:r w:rsidRPr="00C5377B">
        <w:rPr>
          <w:b/>
          <w:bCs/>
        </w:rPr>
        <w:t xml:space="preserve">Failure to achieve outcomes due to </w:t>
      </w:r>
      <w:r w:rsidR="005B14EB">
        <w:rPr>
          <w:b/>
          <w:bCs/>
        </w:rPr>
        <w:t>contextual challenges or changes</w:t>
      </w:r>
      <w:r>
        <w:t xml:space="preserve">: The operating environment for Indonesian state and non-state actors could </w:t>
      </w:r>
      <w:r w:rsidR="00AA200E">
        <w:t xml:space="preserve">change or </w:t>
      </w:r>
      <w:r w:rsidR="00B17C95">
        <w:t>face various</w:t>
      </w:r>
      <w:r>
        <w:t xml:space="preserve"> </w:t>
      </w:r>
      <w:r w:rsidR="00B17C95">
        <w:t>challenges</w:t>
      </w:r>
      <w:r w:rsidR="00AA200E">
        <w:t xml:space="preserve">, which </w:t>
      </w:r>
      <w:r>
        <w:t xml:space="preserve">could impact the ability to progress activities and outcomes. This will be mitigated through the </w:t>
      </w:r>
      <w:r w:rsidR="00B17C95">
        <w:t>CSP</w:t>
      </w:r>
      <w:r>
        <w:t xml:space="preserve">’s annual updates to </w:t>
      </w:r>
      <w:r w:rsidR="0064404E">
        <w:t xml:space="preserve">its </w:t>
      </w:r>
      <w:r>
        <w:t xml:space="preserve">workplans, </w:t>
      </w:r>
      <w:r w:rsidR="001064F1">
        <w:t xml:space="preserve">by seeking advice from the PAB, and by </w:t>
      </w:r>
      <w:r>
        <w:t>DFAT</w:t>
      </w:r>
      <w:r w:rsidR="001064F1">
        <w:t xml:space="preserve">’s </w:t>
      </w:r>
      <w:r w:rsidR="00D76A64">
        <w:t>ongoing oversight</w:t>
      </w:r>
      <w:r>
        <w:t>.</w:t>
      </w:r>
    </w:p>
    <w:p w14:paraId="606A4875" w14:textId="77777777" w:rsidR="00902F90" w:rsidRDefault="00902F90" w:rsidP="00902F90">
      <w:pPr>
        <w:rPr>
          <w:sz w:val="21"/>
          <w:lang w:val="en-AU"/>
        </w:rPr>
      </w:pPr>
    </w:p>
    <w:p w14:paraId="686A888B" w14:textId="77777777" w:rsidR="00902F90" w:rsidRDefault="00902F90" w:rsidP="00902F90">
      <w:pPr>
        <w:rPr>
          <w:sz w:val="21"/>
          <w:lang w:val="en-AU"/>
        </w:rPr>
        <w:sectPr w:rsidR="00902F90" w:rsidSect="00902F90">
          <w:footerReference w:type="default" r:id="rId21"/>
          <w:pgSz w:w="11906" w:h="16838" w:code="9"/>
          <w:pgMar w:top="1701" w:right="1134" w:bottom="1418" w:left="1134" w:header="425" w:footer="493" w:gutter="0"/>
          <w:pgNumType w:fmt="lowerRoman" w:start="1"/>
          <w:cols w:space="397"/>
          <w:docGrid w:linePitch="360"/>
        </w:sectPr>
      </w:pPr>
    </w:p>
    <w:p w14:paraId="5A0526BE" w14:textId="77777777" w:rsidR="00902F90" w:rsidRPr="00C02E50" w:rsidRDefault="00902F90" w:rsidP="00902F90">
      <w:pPr>
        <w:pStyle w:val="Heading1Numbered"/>
        <w:ind w:left="360" w:hanging="360"/>
      </w:pPr>
      <w:bookmarkStart w:id="17" w:name="_Toc208223937"/>
      <w:bookmarkStart w:id="18" w:name="_Toc232524262"/>
      <w:r w:rsidRPr="00C02E50">
        <w:lastRenderedPageBreak/>
        <w:t>Development Context and Situational Analysis</w:t>
      </w:r>
      <w:bookmarkEnd w:id="17"/>
      <w:bookmarkEnd w:id="18"/>
    </w:p>
    <w:p w14:paraId="12AC3698" w14:textId="77777777" w:rsidR="00902F90" w:rsidRPr="005048E9" w:rsidRDefault="00902F90" w:rsidP="00C85EAD">
      <w:pPr>
        <w:pStyle w:val="Heading2Numbered"/>
      </w:pPr>
      <w:bookmarkStart w:id="19" w:name="_Toc208223938"/>
      <w:bookmarkStart w:id="20" w:name="_Toc232524263"/>
      <w:r w:rsidRPr="005048E9">
        <w:t>Country/Regional and Sector Issues</w:t>
      </w:r>
      <w:bookmarkEnd w:id="19"/>
      <w:bookmarkEnd w:id="20"/>
    </w:p>
    <w:p w14:paraId="73B72A73" w14:textId="4D36C2A9" w:rsidR="00902F90" w:rsidRPr="00345B10" w:rsidRDefault="00902F90" w:rsidP="00902F90">
      <w:pPr>
        <w:rPr>
          <w:rFonts w:eastAsia="Times New Roman"/>
          <w:szCs w:val="21"/>
          <w:lang w:val="en-AU"/>
        </w:rPr>
      </w:pPr>
      <w:r w:rsidRPr="00345B10">
        <w:rPr>
          <w:rFonts w:eastAsia="Times New Roman"/>
          <w:szCs w:val="21"/>
          <w:lang w:val="en-AU"/>
        </w:rPr>
        <w:t>Indonesia is the largest democracy in Southeast Asia and home to over 2</w:t>
      </w:r>
      <w:r w:rsidR="0064558E">
        <w:rPr>
          <w:rFonts w:eastAsia="Times New Roman"/>
          <w:szCs w:val="21"/>
          <w:lang w:val="en-AU"/>
        </w:rPr>
        <w:t>83</w:t>
      </w:r>
      <w:r w:rsidRPr="00345B10">
        <w:rPr>
          <w:rFonts w:eastAsia="Times New Roman"/>
          <w:szCs w:val="21"/>
          <w:lang w:val="en-AU"/>
        </w:rPr>
        <w:t xml:space="preserve"> million</w:t>
      </w:r>
      <w:r w:rsidR="0064558E">
        <w:rPr>
          <w:rStyle w:val="FootnoteReference"/>
          <w:rFonts w:eastAsia="Times New Roman"/>
          <w:szCs w:val="21"/>
          <w:lang w:val="en-AU"/>
        </w:rPr>
        <w:footnoteReference w:id="2"/>
      </w:r>
      <w:r w:rsidRPr="00345B10">
        <w:rPr>
          <w:rFonts w:eastAsia="Times New Roman"/>
          <w:szCs w:val="21"/>
          <w:lang w:val="en-AU"/>
        </w:rPr>
        <w:t xml:space="preserve"> people across more than 300 ethnic groups, with the world’s largest Muslim population. </w:t>
      </w:r>
      <w:r w:rsidR="006E48F4">
        <w:rPr>
          <w:rFonts w:eastAsia="Times New Roman"/>
          <w:szCs w:val="21"/>
          <w:lang w:val="en-AU"/>
        </w:rPr>
        <w:t>Indonesia transitioned to democracy in 1998</w:t>
      </w:r>
      <w:r w:rsidR="00924833">
        <w:rPr>
          <w:rFonts w:eastAsia="Times New Roman"/>
          <w:szCs w:val="21"/>
          <w:lang w:val="en-AU"/>
        </w:rPr>
        <w:t xml:space="preserve">, with the </w:t>
      </w:r>
      <w:r>
        <w:rPr>
          <w:rFonts w:eastAsia="Times New Roman"/>
          <w:i/>
          <w:iCs/>
          <w:szCs w:val="21"/>
          <w:lang w:val="en-AU"/>
        </w:rPr>
        <w:t>r</w:t>
      </w:r>
      <w:r w:rsidRPr="00D52B8E">
        <w:rPr>
          <w:rFonts w:eastAsia="Times New Roman"/>
          <w:i/>
          <w:iCs/>
          <w:szCs w:val="21"/>
          <w:lang w:val="en-AU"/>
        </w:rPr>
        <w:t xml:space="preserve">eformasi </w:t>
      </w:r>
      <w:r w:rsidRPr="00345B10">
        <w:rPr>
          <w:rFonts w:eastAsia="Times New Roman"/>
          <w:szCs w:val="21"/>
          <w:lang w:val="en-AU"/>
        </w:rPr>
        <w:t xml:space="preserve">movement </w:t>
      </w:r>
      <w:r w:rsidR="00491C32">
        <w:rPr>
          <w:rFonts w:eastAsia="Times New Roman"/>
          <w:szCs w:val="21"/>
          <w:lang w:val="en-AU"/>
        </w:rPr>
        <w:t xml:space="preserve">supporting </w:t>
      </w:r>
      <w:r w:rsidR="005048E9">
        <w:rPr>
          <w:rFonts w:eastAsia="Times New Roman"/>
          <w:szCs w:val="21"/>
          <w:lang w:val="en-AU"/>
        </w:rPr>
        <w:t>major</w:t>
      </w:r>
      <w:r w:rsidR="00491C32">
        <w:rPr>
          <w:rFonts w:eastAsia="Times New Roman"/>
          <w:szCs w:val="21"/>
          <w:lang w:val="en-AU"/>
        </w:rPr>
        <w:t xml:space="preserve"> achievements </w:t>
      </w:r>
      <w:r w:rsidRPr="00345B10">
        <w:rPr>
          <w:rFonts w:eastAsia="Times New Roman"/>
          <w:szCs w:val="21"/>
          <w:lang w:val="en-AU"/>
        </w:rPr>
        <w:t xml:space="preserve">in </w:t>
      </w:r>
      <w:r w:rsidR="00491C32">
        <w:rPr>
          <w:rFonts w:eastAsia="Times New Roman"/>
          <w:szCs w:val="21"/>
          <w:lang w:val="en-AU"/>
        </w:rPr>
        <w:t xml:space="preserve">Indonesia’s </w:t>
      </w:r>
      <w:r w:rsidRPr="00345B10">
        <w:rPr>
          <w:rFonts w:eastAsia="Times New Roman"/>
          <w:szCs w:val="21"/>
          <w:lang w:val="en-AU"/>
        </w:rPr>
        <w:t>democratic transformation</w:t>
      </w:r>
      <w:r w:rsidR="00491C32">
        <w:rPr>
          <w:rFonts w:eastAsia="Times New Roman"/>
          <w:szCs w:val="21"/>
          <w:lang w:val="en-AU"/>
        </w:rPr>
        <w:t xml:space="preserve"> within a short period</w:t>
      </w:r>
      <w:r w:rsidRPr="00345B10">
        <w:rPr>
          <w:rFonts w:eastAsia="Times New Roman"/>
          <w:szCs w:val="21"/>
          <w:lang w:val="en-AU"/>
        </w:rPr>
        <w:t>. Since then, Indonesia has seen voter turnout above 80</w:t>
      </w:r>
      <w:r w:rsidR="001133A7">
        <w:rPr>
          <w:rFonts w:eastAsia="Times New Roman"/>
          <w:szCs w:val="21"/>
          <w:lang w:val="en-AU"/>
        </w:rPr>
        <w:t>%</w:t>
      </w:r>
      <w:r w:rsidRPr="00345B10">
        <w:rPr>
          <w:rFonts w:eastAsia="Times New Roman"/>
          <w:szCs w:val="21"/>
          <w:lang w:val="en-AU"/>
        </w:rPr>
        <w:t>, peaceful transfers of power</w:t>
      </w:r>
      <w:r w:rsidR="001133A7">
        <w:rPr>
          <w:rFonts w:eastAsia="Times New Roman"/>
          <w:szCs w:val="21"/>
          <w:lang w:val="en-AU"/>
        </w:rPr>
        <w:t>,</w:t>
      </w:r>
      <w:r w:rsidRPr="00345B10">
        <w:rPr>
          <w:rFonts w:eastAsia="Times New Roman"/>
          <w:szCs w:val="21"/>
          <w:lang w:val="en-AU"/>
        </w:rPr>
        <w:t xml:space="preserve"> and improved political rights and pluralism.</w:t>
      </w:r>
    </w:p>
    <w:p w14:paraId="54E477AF" w14:textId="531BA425" w:rsidR="00902F90" w:rsidRPr="00345B10" w:rsidRDefault="005048E9" w:rsidP="00902F90">
      <w:pPr>
        <w:tabs>
          <w:tab w:val="left" w:pos="284"/>
        </w:tabs>
        <w:suppressAutoHyphens w:val="0"/>
        <w:spacing w:before="0"/>
        <w:rPr>
          <w:rFonts w:eastAsia="Times New Roman"/>
          <w:lang w:val="en-AU"/>
        </w:rPr>
      </w:pPr>
      <w:r>
        <w:rPr>
          <w:rFonts w:eastAsia="Times New Roman"/>
          <w:lang w:val="en-AU"/>
        </w:rPr>
        <w:t>Some</w:t>
      </w:r>
      <w:r w:rsidR="0084677D">
        <w:rPr>
          <w:rFonts w:eastAsia="Times New Roman"/>
          <w:lang w:val="en-AU"/>
        </w:rPr>
        <w:t xml:space="preserve"> international and national measures suggest</w:t>
      </w:r>
      <w:r w:rsidR="001D7D17">
        <w:rPr>
          <w:rFonts w:eastAsia="Times New Roman"/>
          <w:lang w:val="en-AU"/>
        </w:rPr>
        <w:t xml:space="preserve"> aspects of Indonesia’s</w:t>
      </w:r>
      <w:r w:rsidR="0084677D">
        <w:rPr>
          <w:rFonts w:eastAsia="Times New Roman"/>
          <w:lang w:val="en-AU"/>
        </w:rPr>
        <w:t xml:space="preserve"> </w:t>
      </w:r>
      <w:r w:rsidR="00902F90" w:rsidRPr="5261E5B3">
        <w:rPr>
          <w:rFonts w:eastAsia="Times New Roman"/>
          <w:lang w:val="en-AU"/>
        </w:rPr>
        <w:t>democracy ha</w:t>
      </w:r>
      <w:r w:rsidR="001D7D17">
        <w:rPr>
          <w:rFonts w:eastAsia="Times New Roman"/>
          <w:lang w:val="en-AU"/>
        </w:rPr>
        <w:t>ve</w:t>
      </w:r>
      <w:r w:rsidR="00902F90" w:rsidRPr="5261E5B3">
        <w:rPr>
          <w:rFonts w:eastAsia="Times New Roman"/>
          <w:lang w:val="en-AU"/>
        </w:rPr>
        <w:t xml:space="preserve"> weakened. Freedom House downgraded Indonesia to </w:t>
      </w:r>
      <w:r w:rsidR="00902F90" w:rsidRPr="001133A7">
        <w:rPr>
          <w:rFonts w:eastAsia="Times New Roman"/>
          <w:lang w:val="en-AU"/>
        </w:rPr>
        <w:t>‘</w:t>
      </w:r>
      <w:r w:rsidR="00902F90" w:rsidRPr="00C5377B">
        <w:rPr>
          <w:rFonts w:eastAsia="Times New Roman"/>
          <w:lang w:val="en-AU"/>
        </w:rPr>
        <w:t>Partly Free’</w:t>
      </w:r>
      <w:r w:rsidR="00902F90" w:rsidRPr="001133A7">
        <w:rPr>
          <w:rFonts w:eastAsia="Times New Roman"/>
          <w:lang w:val="en-AU"/>
        </w:rPr>
        <w:t>,</w:t>
      </w:r>
      <w:r w:rsidR="00902F90" w:rsidRPr="5261E5B3">
        <w:rPr>
          <w:rFonts w:eastAsia="Times New Roman"/>
          <w:lang w:val="en-AU"/>
        </w:rPr>
        <w:t xml:space="preserve"> citing declines in judicial independence, credible elections, and parliamentary effectiveness</w:t>
      </w:r>
      <w:r w:rsidR="00902F90">
        <w:rPr>
          <w:rFonts w:eastAsia="Times New Roman"/>
          <w:lang w:val="en-AU"/>
        </w:rPr>
        <w:t>.</w:t>
      </w:r>
      <w:r w:rsidR="00902F90" w:rsidRPr="5261E5B3">
        <w:rPr>
          <w:rStyle w:val="FootnoteReference"/>
          <w:rFonts w:eastAsia="Times New Roman"/>
          <w:lang w:val="en-US"/>
        </w:rPr>
        <w:footnoteReference w:id="3"/>
      </w:r>
      <w:r w:rsidR="00902F90" w:rsidRPr="5261E5B3">
        <w:rPr>
          <w:rFonts w:eastAsia="Times New Roman"/>
          <w:lang w:val="en-AU"/>
        </w:rPr>
        <w:t xml:space="preserve"> The Economist Intelligence Unit Democracy Index has fallen steadily since 2015 (7.03), reaching 6.44 in 2024</w:t>
      </w:r>
      <w:r w:rsidR="00902F90">
        <w:rPr>
          <w:rFonts w:eastAsia="Times New Roman"/>
          <w:lang w:val="en-AU"/>
        </w:rPr>
        <w:t>.</w:t>
      </w:r>
      <w:r w:rsidR="00902F90" w:rsidRPr="5261E5B3">
        <w:rPr>
          <w:rStyle w:val="FootnoteReference"/>
          <w:rFonts w:eastAsia="Times New Roman"/>
          <w:lang w:val="en-AU"/>
        </w:rPr>
        <w:footnoteReference w:id="4"/>
      </w:r>
      <w:r w:rsidR="00902F90" w:rsidRPr="5261E5B3">
        <w:rPr>
          <w:rFonts w:eastAsia="Times New Roman"/>
          <w:lang w:val="en-AU"/>
        </w:rPr>
        <w:t xml:space="preserve"> The Indonesian Democracy Index peaked at 80.41 in 2020</w:t>
      </w:r>
      <w:r w:rsidR="001133A7">
        <w:rPr>
          <w:rFonts w:eastAsia="Times New Roman"/>
          <w:lang w:val="en-AU"/>
        </w:rPr>
        <w:t>,</w:t>
      </w:r>
      <w:r w:rsidR="00902F90" w:rsidRPr="5261E5B3">
        <w:rPr>
          <w:rFonts w:eastAsia="Times New Roman"/>
          <w:lang w:val="en-AU"/>
        </w:rPr>
        <w:t xml:space="preserve"> but declined to 79 in 2023, signalling persistent vulnerabilities</w:t>
      </w:r>
      <w:r w:rsidR="00902F90">
        <w:rPr>
          <w:rFonts w:eastAsia="Times New Roman"/>
          <w:lang w:val="en-AU"/>
        </w:rPr>
        <w:t>.</w:t>
      </w:r>
      <w:r w:rsidR="00902F90" w:rsidRPr="5261E5B3">
        <w:rPr>
          <w:rStyle w:val="FootnoteReference"/>
          <w:rFonts w:eastAsia="Times New Roman"/>
        </w:rPr>
        <w:footnoteReference w:id="5"/>
      </w:r>
    </w:p>
    <w:p w14:paraId="5BD062CB" w14:textId="353D464D" w:rsidR="00902F90" w:rsidRPr="00CF633E" w:rsidRDefault="001133A7" w:rsidP="00902F90">
      <w:pPr>
        <w:rPr>
          <w:rFonts w:asciiTheme="majorHAnsi" w:hAnsiTheme="majorHAnsi" w:cstheme="majorBidi"/>
          <w:b/>
          <w:bCs/>
          <w:color w:val="auto"/>
        </w:rPr>
      </w:pPr>
      <w:proofErr w:type="spellStart"/>
      <w:r>
        <w:rPr>
          <w:rFonts w:eastAsia="Times New Roman" w:cs="Times New Roman"/>
          <w:lang w:val="en-AU"/>
        </w:rPr>
        <w:t>GoI</w:t>
      </w:r>
      <w:r w:rsidR="002B63D5">
        <w:rPr>
          <w:rFonts w:eastAsia="Times New Roman" w:cs="Times New Roman"/>
          <w:lang w:val="en-AU"/>
        </w:rPr>
        <w:t>’s</w:t>
      </w:r>
      <w:proofErr w:type="spellEnd"/>
      <w:r>
        <w:rPr>
          <w:rFonts w:eastAsia="Times New Roman" w:cs="Times New Roman"/>
          <w:lang w:val="en-AU"/>
        </w:rPr>
        <w:t xml:space="preserve"> </w:t>
      </w:r>
      <w:r w:rsidR="00902F90" w:rsidRPr="5261E5B3">
        <w:rPr>
          <w:rFonts w:eastAsia="Times New Roman" w:cs="Times New Roman"/>
          <w:lang w:val="en-AU"/>
        </w:rPr>
        <w:t>Long-Term Development Plan (2025–2045)</w:t>
      </w:r>
      <w:r w:rsidR="00902F90" w:rsidRPr="5261E5B3">
        <w:rPr>
          <w:rStyle w:val="FootnoteReference"/>
          <w:rFonts w:eastAsia="Times New Roman" w:cs="Times New Roman"/>
          <w:lang w:val="en-AU"/>
        </w:rPr>
        <w:footnoteReference w:id="6"/>
      </w:r>
      <w:r w:rsidR="00902F90" w:rsidRPr="5261E5B3">
        <w:rPr>
          <w:rFonts w:eastAsia="Times New Roman" w:cs="Times New Roman"/>
          <w:lang w:val="en-AU"/>
        </w:rPr>
        <w:t xml:space="preserve"> acknowledges the importance of moving beyond formal electoral procedures as a signifier of a robust democracy, and towards substantive democracy that provides a broader and deeper understanding of the elements that constitute democracy:</w:t>
      </w:r>
    </w:p>
    <w:p w14:paraId="646AE700" w14:textId="77777777" w:rsidR="00902F90" w:rsidRPr="001133A7" w:rsidRDefault="00902F90" w:rsidP="00902F90">
      <w:pPr>
        <w:ind w:left="567" w:right="566"/>
        <w:jc w:val="both"/>
        <w:rPr>
          <w:sz w:val="20"/>
          <w:szCs w:val="20"/>
        </w:rPr>
      </w:pPr>
      <w:r w:rsidRPr="001133A7">
        <w:rPr>
          <w:sz w:val="20"/>
          <w:szCs w:val="20"/>
        </w:rPr>
        <w:t xml:space="preserve">[…] </w:t>
      </w:r>
      <w:r w:rsidRPr="00C5377B">
        <w:rPr>
          <w:sz w:val="20"/>
          <w:szCs w:val="20"/>
        </w:rPr>
        <w:t>the main challenge faced is that democracy is still limited to procedural matters, such as electoral technicalities and formal institutional relations. The fluctuating performance of the Indonesian Democracy Index over the past three years illustrates that the aspects of freedom, equality and especially the capacity of democratic institutions still require further improvements to achieve substantial democracy. Several challenges that must be comprehensively addressed include the accountability of democratic institutions, the credibility of the electoral system, as well as discriminatory behaviour and intolerance. Meanwhile, public trust and participation still need to be increased</w:t>
      </w:r>
      <w:r w:rsidRPr="001133A7">
        <w:rPr>
          <w:sz w:val="20"/>
          <w:szCs w:val="20"/>
        </w:rPr>
        <w:t>.</w:t>
      </w:r>
      <w:r w:rsidRPr="001133A7">
        <w:rPr>
          <w:rStyle w:val="FootnoteReference"/>
          <w:sz w:val="20"/>
          <w:szCs w:val="20"/>
        </w:rPr>
        <w:footnoteReference w:id="7"/>
      </w:r>
      <w:r w:rsidRPr="001133A7">
        <w:rPr>
          <w:sz w:val="20"/>
          <w:szCs w:val="20"/>
        </w:rPr>
        <w:t xml:space="preserve"> </w:t>
      </w:r>
    </w:p>
    <w:p w14:paraId="742CE25C" w14:textId="77777777" w:rsidR="00902F90" w:rsidRPr="00E5355D" w:rsidRDefault="00902F90" w:rsidP="006C3AC6">
      <w:pPr>
        <w:pStyle w:val="ListParagraph"/>
        <w:keepNext/>
        <w:keepLines/>
        <w:numPr>
          <w:ilvl w:val="0"/>
          <w:numId w:val="13"/>
        </w:numPr>
        <w:spacing w:before="0" w:after="0" w:line="240" w:lineRule="auto"/>
        <w:contextualSpacing w:val="0"/>
        <w:outlineLvl w:val="0"/>
        <w:rPr>
          <w:rFonts w:asciiTheme="majorHAnsi" w:eastAsiaTheme="majorEastAsia" w:hAnsiTheme="majorHAnsi" w:cstheme="majorBidi"/>
          <w:b/>
          <w:bCs/>
          <w:caps/>
          <w:vanish/>
          <w:sz w:val="2"/>
          <w:szCs w:val="2"/>
        </w:rPr>
      </w:pPr>
      <w:bookmarkStart w:id="21" w:name="_Toc210657092"/>
      <w:bookmarkStart w:id="22" w:name="_Toc206162038"/>
      <w:bookmarkStart w:id="23" w:name="_Toc206162220"/>
      <w:bookmarkStart w:id="24" w:name="_Toc206162594"/>
      <w:bookmarkStart w:id="25" w:name="_Toc206163656"/>
      <w:bookmarkStart w:id="26" w:name="_Toc206163833"/>
      <w:bookmarkStart w:id="27" w:name="_Toc206483986"/>
      <w:bookmarkStart w:id="28" w:name="_Toc208223939"/>
      <w:bookmarkStart w:id="29" w:name="_Toc208523743"/>
      <w:bookmarkStart w:id="30" w:name="_Toc208523875"/>
      <w:bookmarkStart w:id="31" w:name="_Toc208524563"/>
      <w:bookmarkStart w:id="32" w:name="_Toc208524695"/>
      <w:bookmarkStart w:id="33" w:name="_Toc208526106"/>
      <w:bookmarkStart w:id="34" w:name="_Toc208560592"/>
      <w:bookmarkStart w:id="35" w:name="_Toc208821072"/>
      <w:bookmarkStart w:id="36" w:name="_Toc208821124"/>
      <w:bookmarkStart w:id="37" w:name="_Toc208841229"/>
      <w:bookmarkStart w:id="38" w:name="_Toc208841280"/>
      <w:bookmarkStart w:id="39" w:name="_Toc208841839"/>
      <w:bookmarkStart w:id="40" w:name="_Toc208842773"/>
      <w:bookmarkStart w:id="41" w:name="_Toc208842906"/>
      <w:bookmarkStart w:id="42" w:name="_Toc208843034"/>
      <w:bookmarkStart w:id="43" w:name="_Toc210657093"/>
      <w:bookmarkStart w:id="44" w:name="_Toc210815484"/>
      <w:bookmarkStart w:id="45" w:name="_Toc210815569"/>
      <w:bookmarkStart w:id="46" w:name="_Toc213685338"/>
      <w:bookmarkStart w:id="47" w:name="_Toc213834817"/>
      <w:bookmarkStart w:id="48" w:name="_Toc213835328"/>
      <w:bookmarkStart w:id="49" w:name="_Toc213837980"/>
      <w:bookmarkStart w:id="50" w:name="_Toc213841886"/>
      <w:bookmarkStart w:id="51" w:name="_Toc213851299"/>
      <w:bookmarkStart w:id="52" w:name="_Toc213851610"/>
      <w:bookmarkStart w:id="53" w:name="_Toc213853801"/>
      <w:bookmarkStart w:id="54" w:name="_Toc213996476"/>
      <w:bookmarkStart w:id="55" w:name="_Toc214012580"/>
      <w:bookmarkStart w:id="56" w:name="_Toc214015840"/>
      <w:bookmarkStart w:id="57" w:name="_Toc214523332"/>
      <w:bookmarkStart w:id="58" w:name="_Toc214538152"/>
      <w:bookmarkStart w:id="59" w:name="_Toc215156774"/>
      <w:bookmarkStart w:id="60" w:name="_Toc215201174"/>
      <w:bookmarkStart w:id="61" w:name="_Toc215671053"/>
      <w:bookmarkStart w:id="62" w:name="_Toc215819609"/>
      <w:bookmarkStart w:id="63" w:name="_Toc216110563"/>
      <w:bookmarkStart w:id="64" w:name="_Toc216164464"/>
      <w:bookmarkStart w:id="65" w:name="_Toc216184784"/>
      <w:bookmarkStart w:id="66" w:name="_Toc216443600"/>
      <w:bookmarkStart w:id="67" w:name="_Toc216775731"/>
      <w:bookmarkStart w:id="68" w:name="_Toc216778878"/>
      <w:bookmarkStart w:id="69" w:name="_Toc216780142"/>
      <w:bookmarkStart w:id="70" w:name="_Toc217474565"/>
      <w:bookmarkStart w:id="71" w:name="_Toc230158746"/>
      <w:bookmarkStart w:id="72" w:name="_Toc230853906"/>
      <w:bookmarkStart w:id="73" w:name="_Toc232524001"/>
      <w:bookmarkStart w:id="74" w:name="_Toc232524088"/>
      <w:bookmarkStart w:id="75" w:name="_Toc232524141"/>
      <w:bookmarkStart w:id="76" w:name="_Toc23252426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8F4CAD2" w14:textId="77777777" w:rsidR="00902F90" w:rsidRPr="00DC3F03" w:rsidRDefault="00902F90" w:rsidP="00902F90">
      <w:pPr>
        <w:keepNext/>
        <w:keepLines/>
        <w:spacing w:before="0" w:after="0" w:line="240" w:lineRule="auto"/>
        <w:ind w:left="567"/>
        <w:outlineLvl w:val="0"/>
        <w:rPr>
          <w:rFonts w:asciiTheme="majorHAnsi" w:eastAsiaTheme="majorEastAsia" w:hAnsiTheme="majorHAnsi" w:cstheme="majorBidi"/>
          <w:b/>
          <w:bCs/>
          <w:caps/>
          <w:vanish/>
          <w:sz w:val="2"/>
          <w:szCs w:val="2"/>
        </w:rPr>
      </w:pPr>
      <w:bookmarkStart w:id="77" w:name="_Toc206162039"/>
      <w:bookmarkStart w:id="78" w:name="_Toc206162221"/>
      <w:bookmarkStart w:id="79" w:name="_Toc206162595"/>
      <w:bookmarkStart w:id="80" w:name="_Toc206163657"/>
      <w:bookmarkStart w:id="81" w:name="_Toc206163834"/>
      <w:bookmarkStart w:id="82" w:name="_Toc206483987"/>
      <w:bookmarkStart w:id="83" w:name="_Toc208223940"/>
      <w:bookmarkStart w:id="84" w:name="_Toc208523744"/>
      <w:bookmarkStart w:id="85" w:name="_Toc208523876"/>
      <w:bookmarkStart w:id="86" w:name="_Toc208524564"/>
      <w:bookmarkStart w:id="87" w:name="_Toc208524696"/>
      <w:bookmarkStart w:id="88" w:name="_Toc208526107"/>
      <w:bookmarkStart w:id="89" w:name="_Toc208560593"/>
      <w:bookmarkStart w:id="90" w:name="_Toc208821073"/>
      <w:bookmarkStart w:id="91" w:name="_Toc208821125"/>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096BE42D" w14:textId="14F770DC" w:rsidR="002B5CBF" w:rsidRDefault="00902F90" w:rsidP="00D045E4">
      <w:pPr>
        <w:tabs>
          <w:tab w:val="left" w:pos="284"/>
        </w:tabs>
        <w:suppressAutoHyphens w:val="0"/>
        <w:spacing w:before="0"/>
        <w:rPr>
          <w:rFonts w:eastAsia="Times New Roman" w:cs="Times New Roman"/>
          <w:lang w:val="en-AU"/>
        </w:rPr>
      </w:pPr>
      <w:r w:rsidRPr="00931541">
        <w:rPr>
          <w:rFonts w:eastAsia="Times New Roman" w:cs="Times New Roman"/>
        </w:rPr>
        <w:t>Indonesia’s electoral</w:t>
      </w:r>
      <w:r w:rsidR="007E34BE">
        <w:rPr>
          <w:rFonts w:eastAsia="Times New Roman" w:cs="Times New Roman"/>
        </w:rPr>
        <w:t xml:space="preserve"> and parliamentary</w:t>
      </w:r>
      <w:r w:rsidRPr="00931541">
        <w:rPr>
          <w:rFonts w:eastAsia="Times New Roman" w:cs="Times New Roman"/>
        </w:rPr>
        <w:t xml:space="preserve"> system</w:t>
      </w:r>
      <w:r w:rsidR="007E34BE">
        <w:rPr>
          <w:rFonts w:eastAsia="Times New Roman" w:cs="Times New Roman"/>
        </w:rPr>
        <w:t>s</w:t>
      </w:r>
      <w:r w:rsidRPr="00931541">
        <w:rPr>
          <w:rFonts w:eastAsia="Times New Roman" w:cs="Times New Roman"/>
        </w:rPr>
        <w:t xml:space="preserve"> ha</w:t>
      </w:r>
      <w:r w:rsidR="007E34BE">
        <w:rPr>
          <w:rFonts w:eastAsia="Times New Roman" w:cs="Times New Roman"/>
        </w:rPr>
        <w:t>ve</w:t>
      </w:r>
      <w:r w:rsidRPr="00931541">
        <w:rPr>
          <w:rFonts w:eastAsia="Times New Roman" w:cs="Times New Roman"/>
        </w:rPr>
        <w:t xml:space="preserve"> evolved, but </w:t>
      </w:r>
      <w:r w:rsidR="00931541">
        <w:rPr>
          <w:rFonts w:eastAsia="Times New Roman" w:cs="Times New Roman"/>
        </w:rPr>
        <w:t xml:space="preserve">some </w:t>
      </w:r>
      <w:r w:rsidRPr="00931541">
        <w:rPr>
          <w:rFonts w:eastAsia="Times New Roman" w:cs="Times New Roman"/>
        </w:rPr>
        <w:t>challenges remain.</w:t>
      </w:r>
      <w:r w:rsidRPr="5261E5B3">
        <w:rPr>
          <w:rFonts w:eastAsia="Times New Roman" w:cs="Times New Roman"/>
          <w:lang w:val="en-AU"/>
        </w:rPr>
        <w:t xml:space="preserve"> </w:t>
      </w:r>
      <w:r w:rsidR="00931541">
        <w:rPr>
          <w:rFonts w:eastAsia="Times New Roman" w:cs="Times New Roman"/>
          <w:lang w:val="en-AU"/>
        </w:rPr>
        <w:t>For example</w:t>
      </w:r>
      <w:r w:rsidR="00901937">
        <w:rPr>
          <w:rFonts w:eastAsia="Times New Roman" w:cs="Times New Roman"/>
          <w:lang w:val="en-AU"/>
        </w:rPr>
        <w:t xml:space="preserve">, </w:t>
      </w:r>
      <w:r w:rsidR="00886F89">
        <w:rPr>
          <w:rFonts w:eastAsia="Times New Roman" w:cs="Times New Roman"/>
          <w:lang w:val="en-AU"/>
        </w:rPr>
        <w:t>d</w:t>
      </w:r>
      <w:r w:rsidRPr="00DF634A">
        <w:rPr>
          <w:rFonts w:eastAsia="Times New Roman" w:cs="Times New Roman"/>
          <w:szCs w:val="21"/>
          <w:lang w:val="en-AU"/>
        </w:rPr>
        <w:t xml:space="preserve">espite a legislated </w:t>
      </w:r>
      <w:r w:rsidRPr="00F02A10">
        <w:rPr>
          <w:rFonts w:eastAsia="Times New Roman" w:cs="Times New Roman"/>
          <w:szCs w:val="21"/>
          <w:lang w:val="en-AU"/>
        </w:rPr>
        <w:t>30</w:t>
      </w:r>
      <w:r w:rsidR="00F54796">
        <w:rPr>
          <w:rFonts w:eastAsia="Times New Roman" w:cs="Times New Roman"/>
          <w:szCs w:val="21"/>
          <w:lang w:val="en-AU"/>
        </w:rPr>
        <w:t>%</w:t>
      </w:r>
      <w:r w:rsidRPr="00F02A10">
        <w:rPr>
          <w:rFonts w:eastAsia="Times New Roman" w:cs="Times New Roman"/>
          <w:szCs w:val="21"/>
          <w:lang w:val="en-AU"/>
        </w:rPr>
        <w:t xml:space="preserve"> quota for female candidates</w:t>
      </w:r>
      <w:r w:rsidRPr="00DF634A">
        <w:rPr>
          <w:rFonts w:eastAsia="Times New Roman" w:cs="Times New Roman"/>
          <w:szCs w:val="21"/>
          <w:lang w:val="en-AU"/>
        </w:rPr>
        <w:t xml:space="preserve">, women hold only </w:t>
      </w:r>
      <w:r w:rsidRPr="00F02A10">
        <w:rPr>
          <w:rFonts w:eastAsia="Times New Roman" w:cs="Times New Roman"/>
          <w:szCs w:val="21"/>
          <w:lang w:val="en-AU"/>
        </w:rPr>
        <w:t>21.1</w:t>
      </w:r>
      <w:r w:rsidR="00F54796">
        <w:rPr>
          <w:rFonts w:eastAsia="Times New Roman" w:cs="Times New Roman"/>
          <w:szCs w:val="21"/>
          <w:lang w:val="en-AU"/>
        </w:rPr>
        <w:t>%</w:t>
      </w:r>
      <w:r w:rsidRPr="00F02A10">
        <w:rPr>
          <w:rFonts w:eastAsia="Times New Roman" w:cs="Times New Roman"/>
          <w:szCs w:val="21"/>
          <w:lang w:val="en-AU"/>
        </w:rPr>
        <w:t xml:space="preserve"> of seats in parliament</w:t>
      </w:r>
      <w:r>
        <w:rPr>
          <w:rFonts w:eastAsia="Times New Roman" w:cs="Times New Roman"/>
          <w:szCs w:val="21"/>
          <w:lang w:val="en-AU"/>
        </w:rPr>
        <w:t xml:space="preserve">, </w:t>
      </w:r>
      <w:r w:rsidRPr="00DF634A">
        <w:rPr>
          <w:rFonts w:eastAsia="Times New Roman" w:cs="Times New Roman"/>
          <w:szCs w:val="21"/>
          <w:lang w:val="en-AU"/>
        </w:rPr>
        <w:t xml:space="preserve">below regional averages. </w:t>
      </w:r>
      <w:r w:rsidR="00783007">
        <w:rPr>
          <w:rFonts w:eastAsia="Times New Roman" w:cs="Times New Roman"/>
          <w:szCs w:val="21"/>
          <w:lang w:val="en-AU"/>
        </w:rPr>
        <w:t>People</w:t>
      </w:r>
      <w:r w:rsidR="00783007" w:rsidRPr="00DF634A">
        <w:rPr>
          <w:rFonts w:eastAsia="Times New Roman" w:cs="Times New Roman"/>
          <w:szCs w:val="21"/>
          <w:lang w:val="en-AU"/>
        </w:rPr>
        <w:t xml:space="preserve"> </w:t>
      </w:r>
      <w:r w:rsidRPr="00DF634A">
        <w:rPr>
          <w:rFonts w:eastAsia="Times New Roman" w:cs="Times New Roman"/>
          <w:szCs w:val="21"/>
          <w:lang w:val="en-AU"/>
        </w:rPr>
        <w:t>with disabilities also face barriers</w:t>
      </w:r>
      <w:r w:rsidR="001A4924">
        <w:rPr>
          <w:rFonts w:eastAsia="Times New Roman" w:cs="Times New Roman"/>
          <w:szCs w:val="21"/>
          <w:lang w:val="en-AU"/>
        </w:rPr>
        <w:t>, with p</w:t>
      </w:r>
      <w:r w:rsidRPr="00F02A10">
        <w:rPr>
          <w:rFonts w:eastAsia="Times New Roman" w:cs="Times New Roman"/>
          <w:szCs w:val="21"/>
          <w:lang w:val="en-AU"/>
        </w:rPr>
        <w:t>olling stations often lack</w:t>
      </w:r>
      <w:r w:rsidR="00A85663">
        <w:rPr>
          <w:rFonts w:eastAsia="Times New Roman" w:cs="Times New Roman"/>
          <w:szCs w:val="21"/>
          <w:lang w:val="en-AU"/>
        </w:rPr>
        <w:t>ing</w:t>
      </w:r>
      <w:r w:rsidRPr="00F02A10">
        <w:rPr>
          <w:rFonts w:eastAsia="Times New Roman" w:cs="Times New Roman"/>
          <w:szCs w:val="21"/>
          <w:lang w:val="en-AU"/>
        </w:rPr>
        <w:t xml:space="preserve"> ramps, braille ballots</w:t>
      </w:r>
      <w:r w:rsidR="00783007">
        <w:rPr>
          <w:rFonts w:eastAsia="Times New Roman" w:cs="Times New Roman"/>
          <w:szCs w:val="21"/>
          <w:lang w:val="en-AU"/>
        </w:rPr>
        <w:t>,</w:t>
      </w:r>
      <w:r w:rsidRPr="00F02A10">
        <w:rPr>
          <w:rFonts w:eastAsia="Times New Roman" w:cs="Times New Roman"/>
          <w:szCs w:val="21"/>
          <w:lang w:val="en-AU"/>
        </w:rPr>
        <w:t xml:space="preserve"> or sign</w:t>
      </w:r>
      <w:r w:rsidR="00BF4B53">
        <w:rPr>
          <w:rFonts w:eastAsia="Times New Roman" w:cs="Times New Roman"/>
          <w:szCs w:val="21"/>
          <w:lang w:val="en-AU"/>
        </w:rPr>
        <w:t xml:space="preserve"> </w:t>
      </w:r>
      <w:r w:rsidRPr="00F02A10">
        <w:rPr>
          <w:rFonts w:eastAsia="Times New Roman" w:cs="Times New Roman"/>
          <w:szCs w:val="21"/>
          <w:lang w:val="en-AU"/>
        </w:rPr>
        <w:t>language services</w:t>
      </w:r>
      <w:r>
        <w:rPr>
          <w:rFonts w:eastAsia="Times New Roman" w:cs="Times New Roman"/>
          <w:szCs w:val="21"/>
          <w:lang w:val="en-AU"/>
        </w:rPr>
        <w:t xml:space="preserve">. </w:t>
      </w:r>
      <w:r w:rsidRPr="37D0437D">
        <w:rPr>
          <w:rFonts w:eastAsia="Times New Roman" w:cs="Times New Roman"/>
          <w:lang w:val="en-AU"/>
        </w:rPr>
        <w:t xml:space="preserve">Partnerships between parliament and civil society exist but are inconsistent, constraining inclusive policy reform. </w:t>
      </w:r>
    </w:p>
    <w:p w14:paraId="0827773B" w14:textId="1E10BF71" w:rsidR="00902F90" w:rsidRPr="009566F3" w:rsidRDefault="00886F89" w:rsidP="00902F90">
      <w:pPr>
        <w:rPr>
          <w:rFonts w:eastAsia="Times New Roman" w:cs="Times New Roman"/>
          <w:lang w:val="en-AU"/>
        </w:rPr>
      </w:pPr>
      <w:r>
        <w:rPr>
          <w:rFonts w:eastAsia="Times New Roman" w:cs="Times New Roman"/>
          <w:lang w:val="en-AU"/>
        </w:rPr>
        <w:t xml:space="preserve">Independent, </w:t>
      </w:r>
      <w:r w:rsidR="005048E9">
        <w:rPr>
          <w:rFonts w:eastAsia="Times New Roman" w:cs="Times New Roman"/>
          <w:lang w:val="en-AU"/>
        </w:rPr>
        <w:t xml:space="preserve">high </w:t>
      </w:r>
      <w:r>
        <w:rPr>
          <w:rFonts w:eastAsia="Times New Roman" w:cs="Times New Roman"/>
          <w:lang w:val="en-AU"/>
        </w:rPr>
        <w:t xml:space="preserve">quality and objective reporting is key to ensuring that Indonesia’s democracy is well-informed and accountable. </w:t>
      </w:r>
      <w:r w:rsidR="00902F90" w:rsidRPr="00780CDA">
        <w:rPr>
          <w:rFonts w:eastAsia="Times New Roman" w:cs="Times New Roman"/>
          <w:lang w:val="en-AU"/>
        </w:rPr>
        <w:t>Indonesia’s media environment remains among the most diverse in Southeast Asia</w:t>
      </w:r>
      <w:r w:rsidR="00902F90">
        <w:rPr>
          <w:rFonts w:eastAsia="Times New Roman" w:cs="Times New Roman"/>
          <w:lang w:val="en-AU"/>
        </w:rPr>
        <w:t>.</w:t>
      </w:r>
      <w:r w:rsidR="00902F90" w:rsidRPr="008E6829">
        <w:rPr>
          <w:vertAlign w:val="superscript"/>
          <w:lang w:val="en-AU"/>
        </w:rPr>
        <w:footnoteReference w:id="8"/>
      </w:r>
      <w:r w:rsidR="00902F90" w:rsidRPr="5261E5B3">
        <w:rPr>
          <w:rFonts w:eastAsia="Times New Roman" w:cs="Times New Roman"/>
          <w:lang w:val="en-AU"/>
        </w:rPr>
        <w:t xml:space="preserve"> UNESCO ha</w:t>
      </w:r>
      <w:r w:rsidR="00902F90">
        <w:rPr>
          <w:rFonts w:eastAsia="Times New Roman" w:cs="Times New Roman"/>
          <w:lang w:val="en-AU"/>
        </w:rPr>
        <w:t>s</w:t>
      </w:r>
      <w:r w:rsidR="00902F90" w:rsidRPr="5261E5B3">
        <w:rPr>
          <w:rFonts w:eastAsia="Times New Roman" w:cs="Times New Roman"/>
          <w:lang w:val="en-AU"/>
        </w:rPr>
        <w:t xml:space="preserve"> raised concerns the commercialisation of media has led to the compromise of journalistic independence and the quality of reporting.</w:t>
      </w:r>
      <w:r w:rsidR="00902F90" w:rsidRPr="00083E2F">
        <w:rPr>
          <w:vertAlign w:val="superscript"/>
        </w:rPr>
        <w:footnoteReference w:id="9"/>
      </w:r>
    </w:p>
    <w:p w14:paraId="76287AE5" w14:textId="187B6F7F" w:rsidR="00902F90" w:rsidRPr="00F02A10" w:rsidRDefault="00902F90" w:rsidP="00024D3B">
      <w:r w:rsidRPr="009914CC">
        <w:rPr>
          <w:rFonts w:eastAsia="Times New Roman" w:cs="Times New Roman"/>
        </w:rPr>
        <w:t>Misinformation and disinformation remain threats to Indonesian democracy</w:t>
      </w:r>
      <w:r w:rsidR="001A48D8">
        <w:rPr>
          <w:rFonts w:eastAsia="Times New Roman" w:cs="Times New Roman"/>
        </w:rPr>
        <w:t>, as they are globally</w:t>
      </w:r>
      <w:r w:rsidRPr="009914CC">
        <w:rPr>
          <w:rFonts w:eastAsia="Times New Roman" w:cs="Times New Roman"/>
        </w:rPr>
        <w:t>.</w:t>
      </w:r>
      <w:r w:rsidRPr="567637DD">
        <w:rPr>
          <w:rFonts w:eastAsia="Times New Roman" w:cs="Times New Roman"/>
        </w:rPr>
        <w:t xml:space="preserve"> </w:t>
      </w:r>
      <w:r w:rsidR="007D13ED">
        <w:rPr>
          <w:rFonts w:eastAsia="Times New Roman" w:cs="Times New Roman"/>
        </w:rPr>
        <w:t xml:space="preserve">For example, </w:t>
      </w:r>
      <w:r w:rsidR="00C974B3">
        <w:rPr>
          <w:rFonts w:eastAsia="Times New Roman" w:cs="Times New Roman"/>
        </w:rPr>
        <w:t>during the 2024 elections</w:t>
      </w:r>
      <w:r w:rsidR="00931D20">
        <w:rPr>
          <w:rFonts w:eastAsia="Times New Roman" w:cs="Times New Roman"/>
        </w:rPr>
        <w:t>,</w:t>
      </w:r>
      <w:r w:rsidR="00C974B3">
        <w:rPr>
          <w:rFonts w:eastAsia="Times New Roman" w:cs="Times New Roman"/>
        </w:rPr>
        <w:t xml:space="preserve"> </w:t>
      </w:r>
      <w:r w:rsidR="00695802">
        <w:rPr>
          <w:rFonts w:eastAsia="Times New Roman" w:cs="Times New Roman"/>
        </w:rPr>
        <w:t xml:space="preserve">misleading </w:t>
      </w:r>
      <w:r w:rsidR="00D82200">
        <w:rPr>
          <w:rFonts w:eastAsia="Times New Roman" w:cs="Times New Roman"/>
        </w:rPr>
        <w:t xml:space="preserve">social media </w:t>
      </w:r>
      <w:r w:rsidR="00695802">
        <w:rPr>
          <w:rFonts w:eastAsia="Times New Roman" w:cs="Times New Roman"/>
        </w:rPr>
        <w:t xml:space="preserve">content </w:t>
      </w:r>
      <w:r w:rsidRPr="567637DD">
        <w:rPr>
          <w:rFonts w:eastAsia="Times New Roman" w:cs="Times New Roman"/>
        </w:rPr>
        <w:t>target</w:t>
      </w:r>
      <w:r w:rsidR="00EA674F">
        <w:rPr>
          <w:rFonts w:eastAsia="Times New Roman" w:cs="Times New Roman"/>
        </w:rPr>
        <w:t>ed</w:t>
      </w:r>
      <w:r w:rsidRPr="567637DD">
        <w:rPr>
          <w:rFonts w:eastAsia="Times New Roman" w:cs="Times New Roman"/>
        </w:rPr>
        <w:t xml:space="preserve"> candidates, religion and electoral integrity</w:t>
      </w:r>
      <w:r w:rsidR="00CA3000">
        <w:rPr>
          <w:rFonts w:eastAsia="Times New Roman" w:cs="Times New Roman"/>
        </w:rPr>
        <w:t>.</w:t>
      </w:r>
      <w:r w:rsidR="00742B5F" w:rsidRPr="008E6829">
        <w:rPr>
          <w:rFonts w:eastAsia="Times New Roman" w:cs="Times New Roman"/>
          <w:vertAlign w:val="superscript"/>
        </w:rPr>
        <w:footnoteReference w:id="10"/>
      </w:r>
      <w:r w:rsidR="00742B5F" w:rsidRPr="567637DD">
        <w:rPr>
          <w:rFonts w:eastAsia="Times New Roman" w:cs="Times New Roman"/>
        </w:rPr>
        <w:t xml:space="preserve"> </w:t>
      </w:r>
      <w:r w:rsidRPr="567637DD">
        <w:rPr>
          <w:rFonts w:eastAsia="Times New Roman" w:cs="Times New Roman"/>
        </w:rPr>
        <w:t>These narratives exacerbated political divisions and eroded trust in results. Independent monitors, including U</w:t>
      </w:r>
      <w:r>
        <w:rPr>
          <w:rFonts w:eastAsia="Times New Roman" w:cs="Times New Roman"/>
        </w:rPr>
        <w:t>nited Nations Development Program</w:t>
      </w:r>
      <w:r w:rsidR="00513EFE">
        <w:rPr>
          <w:rFonts w:eastAsia="Times New Roman" w:cs="Times New Roman"/>
        </w:rPr>
        <w:t>me</w:t>
      </w:r>
      <w:r>
        <w:rPr>
          <w:rFonts w:eastAsia="Times New Roman" w:cs="Times New Roman"/>
        </w:rPr>
        <w:t xml:space="preserve"> (U</w:t>
      </w:r>
      <w:r w:rsidRPr="567637DD">
        <w:rPr>
          <w:rFonts w:eastAsia="Times New Roman" w:cs="Times New Roman"/>
        </w:rPr>
        <w:t>NDP</w:t>
      </w:r>
      <w:r>
        <w:rPr>
          <w:rFonts w:eastAsia="Times New Roman" w:cs="Times New Roman"/>
        </w:rPr>
        <w:t>)</w:t>
      </w:r>
      <w:r w:rsidRPr="008E6829">
        <w:rPr>
          <w:rFonts w:eastAsia="Times New Roman" w:cs="Times New Roman"/>
          <w:vertAlign w:val="superscript"/>
        </w:rPr>
        <w:footnoteReference w:id="11"/>
      </w:r>
      <w:r w:rsidRPr="567637DD">
        <w:rPr>
          <w:rFonts w:eastAsia="Times New Roman" w:cs="Times New Roman"/>
        </w:rPr>
        <w:t xml:space="preserve"> and </w:t>
      </w:r>
      <w:r>
        <w:rPr>
          <w:rFonts w:eastAsia="Times New Roman" w:cs="Times New Roman"/>
        </w:rPr>
        <w:t xml:space="preserve">the </w:t>
      </w:r>
      <w:r w:rsidRPr="567637DD">
        <w:rPr>
          <w:rFonts w:eastAsia="Times New Roman" w:cs="Times New Roman"/>
        </w:rPr>
        <w:t>World Bank</w:t>
      </w:r>
      <w:r w:rsidRPr="008E6829">
        <w:rPr>
          <w:rFonts w:eastAsia="Times New Roman" w:cs="Times New Roman"/>
          <w:vertAlign w:val="superscript"/>
        </w:rPr>
        <w:footnoteReference w:id="12"/>
      </w:r>
      <w:r w:rsidR="00513EFE">
        <w:rPr>
          <w:rFonts w:eastAsia="Times New Roman" w:cs="Times New Roman"/>
        </w:rPr>
        <w:t>,</w:t>
      </w:r>
      <w:r>
        <w:rPr>
          <w:rFonts w:eastAsia="Times New Roman" w:cs="Times New Roman"/>
        </w:rPr>
        <w:t xml:space="preserve"> </w:t>
      </w:r>
      <w:r w:rsidRPr="567637DD">
        <w:rPr>
          <w:rFonts w:eastAsia="Times New Roman" w:cs="Times New Roman"/>
        </w:rPr>
        <w:t xml:space="preserve">flagged the systemic risks of disinformation in undermining electoral credibility. </w:t>
      </w:r>
      <w:r w:rsidR="006F143E">
        <w:t xml:space="preserve">The growth of social media as a dominant source of news creates further complications, as echo chambers reinforce misinformation and </w:t>
      </w:r>
      <w:r w:rsidR="006F143E">
        <w:lastRenderedPageBreak/>
        <w:t>contribute to public disengagement.</w:t>
      </w:r>
      <w:r w:rsidR="00024D3B">
        <w:t xml:space="preserve"> A</w:t>
      </w:r>
      <w:r>
        <w:t xml:space="preserve">lgorithmic amplification and gendered disinformation campaigns reflect broader global trends, linking Indonesia’s democratic vulnerabilities to patterns observed across </w:t>
      </w:r>
      <w:r w:rsidR="00395848">
        <w:t>other regions</w:t>
      </w:r>
      <w:r>
        <w:t>.</w:t>
      </w:r>
    </w:p>
    <w:p w14:paraId="09FF8760" w14:textId="40E5671A" w:rsidR="00902F90" w:rsidRPr="00C85EAD" w:rsidRDefault="00253328" w:rsidP="00253328">
      <w:pPr>
        <w:pStyle w:val="Heading2Numbered"/>
        <w:numPr>
          <w:ilvl w:val="0"/>
          <w:numId w:val="0"/>
        </w:numPr>
        <w:ind w:left="567" w:hanging="567"/>
      </w:pPr>
      <w:bookmarkStart w:id="92" w:name="_Toc208223941"/>
      <w:bookmarkStart w:id="93" w:name="_Toc232524265"/>
      <w:r>
        <w:t xml:space="preserve">1.2 </w:t>
      </w:r>
      <w:r w:rsidR="00902F90" w:rsidRPr="00C85EAD">
        <w:t>Evidence base</w:t>
      </w:r>
      <w:r w:rsidR="009C2E6F">
        <w:t xml:space="preserve"> </w:t>
      </w:r>
      <w:r w:rsidR="009C2E6F" w:rsidRPr="00CC7315">
        <w:t>and</w:t>
      </w:r>
      <w:r w:rsidR="009C2E6F">
        <w:t xml:space="preserve"> </w:t>
      </w:r>
      <w:r w:rsidR="00902F90" w:rsidRPr="00C85EAD">
        <w:t>Lessons Learned</w:t>
      </w:r>
      <w:bookmarkEnd w:id="92"/>
      <w:bookmarkEnd w:id="93"/>
    </w:p>
    <w:p w14:paraId="2AF91BCF" w14:textId="01EF3AC7" w:rsidR="00902F90" w:rsidRPr="00CC7315" w:rsidRDefault="00902F90" w:rsidP="00DD6FF8">
      <w:pPr>
        <w:rPr>
          <w:rFonts w:eastAsia="Times New Roman" w:cs="Times New Roman"/>
        </w:rPr>
      </w:pPr>
      <w:r w:rsidRPr="00CC7315">
        <w:rPr>
          <w:rFonts w:eastAsia="Times New Roman" w:cs="Times New Roman"/>
        </w:rPr>
        <w:t xml:space="preserve">The </w:t>
      </w:r>
      <w:proofErr w:type="spellStart"/>
      <w:r w:rsidRPr="00CC7315">
        <w:rPr>
          <w:rFonts w:eastAsia="Times New Roman" w:cs="Times New Roman"/>
        </w:rPr>
        <w:t>Partisipasi</w:t>
      </w:r>
      <w:proofErr w:type="spellEnd"/>
      <w:r w:rsidRPr="00CC7315">
        <w:rPr>
          <w:rFonts w:eastAsia="Times New Roman" w:cs="Times New Roman"/>
        </w:rPr>
        <w:t xml:space="preserve"> design builds upon the lessons learned from the current </w:t>
      </w:r>
      <w:proofErr w:type="spellStart"/>
      <w:r w:rsidRPr="00CC7315">
        <w:rPr>
          <w:rFonts w:eastAsia="Times New Roman" w:cs="Times New Roman"/>
        </w:rPr>
        <w:t>DemRes</w:t>
      </w:r>
      <w:proofErr w:type="spellEnd"/>
      <w:r w:rsidRPr="00CC7315">
        <w:rPr>
          <w:rFonts w:eastAsia="Times New Roman" w:cs="Times New Roman"/>
        </w:rPr>
        <w:t xml:space="preserve"> investment, over 100 in-country </w:t>
      </w:r>
      <w:r w:rsidRPr="00B57CB6">
        <w:rPr>
          <w:rFonts w:eastAsia="Times New Roman" w:cs="Times New Roman"/>
          <w:szCs w:val="21"/>
        </w:rPr>
        <w:t>consultations</w:t>
      </w:r>
      <w:r w:rsidR="00395848">
        <w:rPr>
          <w:rFonts w:eastAsia="Times New Roman" w:cs="Times New Roman"/>
          <w:szCs w:val="21"/>
        </w:rPr>
        <w:t xml:space="preserve"> in 2025</w:t>
      </w:r>
      <w:r w:rsidRPr="00CC7315">
        <w:rPr>
          <w:rFonts w:eastAsia="Times New Roman" w:cs="Times New Roman"/>
        </w:rPr>
        <w:t xml:space="preserve">, evidence from other </w:t>
      </w:r>
      <w:r w:rsidR="00395848" w:rsidRPr="00CC7315">
        <w:rPr>
          <w:rFonts w:eastAsia="Times New Roman" w:cs="Times New Roman"/>
        </w:rPr>
        <w:t xml:space="preserve">DFAT and </w:t>
      </w:r>
      <w:r w:rsidRPr="00CC7315">
        <w:rPr>
          <w:rFonts w:eastAsia="Times New Roman" w:cs="Times New Roman"/>
        </w:rPr>
        <w:t xml:space="preserve">donor-funded initiatives, and international experience. </w:t>
      </w:r>
      <w:proofErr w:type="spellStart"/>
      <w:r w:rsidRPr="00CC7315">
        <w:rPr>
          <w:rFonts w:eastAsia="Times New Roman" w:cs="Times New Roman"/>
        </w:rPr>
        <w:t>DemRes</w:t>
      </w:r>
      <w:proofErr w:type="spellEnd"/>
      <w:r w:rsidRPr="00CC7315">
        <w:rPr>
          <w:rFonts w:eastAsia="Times New Roman" w:cs="Times New Roman"/>
        </w:rPr>
        <w:t xml:space="preserve"> piloted support to civil society</w:t>
      </w:r>
      <w:r w:rsidR="004C6C77" w:rsidRPr="00CC7315">
        <w:rPr>
          <w:rFonts w:eastAsia="Times New Roman" w:cs="Times New Roman"/>
        </w:rPr>
        <w:t xml:space="preserve"> organisations (CSOs)</w:t>
      </w:r>
      <w:r w:rsidRPr="00CC7315">
        <w:rPr>
          <w:rFonts w:eastAsia="Times New Roman" w:cs="Times New Roman"/>
        </w:rPr>
        <w:t>, media, and electoral institutions</w:t>
      </w:r>
      <w:r w:rsidR="00C336EF" w:rsidRPr="00CC7315">
        <w:rPr>
          <w:rFonts w:eastAsia="Times New Roman" w:cs="Times New Roman"/>
        </w:rPr>
        <w:t>,</w:t>
      </w:r>
      <w:r w:rsidRPr="00CC7315">
        <w:rPr>
          <w:rFonts w:eastAsia="Times New Roman" w:cs="Times New Roman"/>
        </w:rPr>
        <w:t xml:space="preserve"> </w:t>
      </w:r>
      <w:r w:rsidR="00C336EF" w:rsidRPr="00CC7315">
        <w:rPr>
          <w:rFonts w:eastAsia="Times New Roman" w:cs="Times New Roman"/>
        </w:rPr>
        <w:t>focusing</w:t>
      </w:r>
      <w:r w:rsidRPr="00CC7315">
        <w:rPr>
          <w:rFonts w:eastAsia="Times New Roman" w:cs="Times New Roman"/>
        </w:rPr>
        <w:t xml:space="preserve"> on </w:t>
      </w:r>
      <w:r w:rsidR="00576C6E" w:rsidRPr="00CC7315">
        <w:rPr>
          <w:rFonts w:eastAsia="Times New Roman" w:cs="Times New Roman"/>
        </w:rPr>
        <w:t>two</w:t>
      </w:r>
      <w:r w:rsidR="006952DA" w:rsidRPr="00CC7315">
        <w:rPr>
          <w:rFonts w:eastAsia="Times New Roman" w:cs="Times New Roman"/>
        </w:rPr>
        <w:t xml:space="preserve"> </w:t>
      </w:r>
      <w:r w:rsidRPr="00CC7315">
        <w:rPr>
          <w:rFonts w:eastAsia="Times New Roman" w:cs="Times New Roman"/>
        </w:rPr>
        <w:t>outcomes relating to procedural and substantive democracy</w:t>
      </w:r>
      <w:r w:rsidR="00576C6E" w:rsidRPr="00CC7315">
        <w:rPr>
          <w:rFonts w:eastAsia="Times New Roman" w:cs="Times New Roman"/>
        </w:rPr>
        <w:t xml:space="preserve">. </w:t>
      </w:r>
      <w:proofErr w:type="spellStart"/>
      <w:r w:rsidR="00576C6E" w:rsidRPr="00CC7315">
        <w:rPr>
          <w:rFonts w:eastAsia="Times New Roman" w:cs="Times New Roman"/>
        </w:rPr>
        <w:t>DemRes</w:t>
      </w:r>
      <w:proofErr w:type="spellEnd"/>
      <w:r w:rsidR="006952DA" w:rsidRPr="00CC7315">
        <w:rPr>
          <w:rFonts w:eastAsia="Times New Roman" w:cs="Times New Roman"/>
        </w:rPr>
        <w:t xml:space="preserve"> </w:t>
      </w:r>
      <w:r w:rsidRPr="00CC7315">
        <w:rPr>
          <w:rFonts w:eastAsia="Times New Roman" w:cs="Times New Roman"/>
        </w:rPr>
        <w:t xml:space="preserve">underscored the importance of adaptive, politically informed programming that prioritises learning, agility, and </w:t>
      </w:r>
      <w:r w:rsidR="00BD2A94" w:rsidRPr="00CC7315">
        <w:rPr>
          <w:rFonts w:eastAsia="Times New Roman" w:cs="Times New Roman"/>
        </w:rPr>
        <w:t xml:space="preserve">fostering </w:t>
      </w:r>
      <w:r w:rsidRPr="00CC7315">
        <w:rPr>
          <w:rFonts w:eastAsia="Times New Roman" w:cs="Times New Roman"/>
        </w:rPr>
        <w:t xml:space="preserve">civic legitimacy over linear impact. </w:t>
      </w:r>
      <w:bookmarkStart w:id="94" w:name="_Toc206162048"/>
      <w:bookmarkStart w:id="95" w:name="_Toc206162230"/>
      <w:bookmarkStart w:id="96" w:name="_Toc206162604"/>
      <w:bookmarkStart w:id="97" w:name="_Toc206163666"/>
      <w:bookmarkStart w:id="98" w:name="_Toc206163843"/>
      <w:bookmarkEnd w:id="94"/>
      <w:bookmarkEnd w:id="95"/>
      <w:bookmarkEnd w:id="96"/>
      <w:bookmarkEnd w:id="97"/>
      <w:bookmarkEnd w:id="98"/>
    </w:p>
    <w:p w14:paraId="31AC94F0" w14:textId="2864DCDD" w:rsidR="00902F90" w:rsidRDefault="00902F90" w:rsidP="00902F90">
      <w:pPr>
        <w:rPr>
          <w:rFonts w:eastAsia="Times New Roman" w:cs="Times New Roman"/>
        </w:rPr>
      </w:pPr>
      <w:r w:rsidRPr="61A10F58">
        <w:rPr>
          <w:rFonts w:eastAsia="Times New Roman" w:cs="Times New Roman"/>
        </w:rPr>
        <w:t xml:space="preserve">Lessons from global contexts suggest that effective consolidation of democratic participation often comes from informal alliances, judicial independence, civil society mobilisation, and decentralised governance. While there is limited evidence on aid effectiveness in </w:t>
      </w:r>
      <w:r w:rsidR="00B4513C">
        <w:rPr>
          <w:rFonts w:eastAsia="Times New Roman" w:cs="Times New Roman"/>
        </w:rPr>
        <w:t>democratic consolidation</w:t>
      </w:r>
      <w:r w:rsidRPr="61A10F58">
        <w:rPr>
          <w:rFonts w:eastAsia="Times New Roman" w:cs="Times New Roman"/>
        </w:rPr>
        <w:t xml:space="preserve">, </w:t>
      </w:r>
      <w:r w:rsidR="00B4513C">
        <w:rPr>
          <w:rFonts w:eastAsia="Times New Roman" w:cs="Times New Roman"/>
        </w:rPr>
        <w:t>it suggest</w:t>
      </w:r>
      <w:r w:rsidR="009C1467">
        <w:rPr>
          <w:rFonts w:eastAsia="Times New Roman" w:cs="Times New Roman"/>
        </w:rPr>
        <w:t xml:space="preserve">s </w:t>
      </w:r>
      <w:r w:rsidR="00F316A8">
        <w:rPr>
          <w:rFonts w:eastAsia="Times New Roman" w:cs="Times New Roman"/>
        </w:rPr>
        <w:t xml:space="preserve">bilateral donors </w:t>
      </w:r>
      <w:r w:rsidRPr="61A10F58">
        <w:rPr>
          <w:rFonts w:eastAsia="Times New Roman" w:cs="Times New Roman"/>
        </w:rPr>
        <w:t>can support election supervisory bodies, independent commissions, and civil society, while leveraging broader diplomatic and development tools to incentivise transparency and inclusion.</w:t>
      </w:r>
    </w:p>
    <w:p w14:paraId="44DA92A1" w14:textId="32925673" w:rsidR="00902F90" w:rsidRDefault="00902F90" w:rsidP="00902F90">
      <w:pPr>
        <w:rPr>
          <w:rFonts w:eastAsia="Times New Roman" w:cs="Times New Roman"/>
        </w:rPr>
      </w:pPr>
      <w:r w:rsidRPr="37D0437D">
        <w:rPr>
          <w:rFonts w:eastAsia="Times New Roman" w:cs="Times New Roman"/>
        </w:rPr>
        <w:t xml:space="preserve">Evidence from Eastern Europe, Latin America, and Southeast Asia show that media literacy, independent journalism, inclusive coalitions and targeted institutional partnerships can </w:t>
      </w:r>
      <w:r w:rsidR="00743745">
        <w:rPr>
          <w:rFonts w:eastAsia="Times New Roman" w:cs="Times New Roman"/>
        </w:rPr>
        <w:t>support civic space</w:t>
      </w:r>
      <w:r w:rsidRPr="37D0437D">
        <w:rPr>
          <w:rFonts w:eastAsia="Times New Roman" w:cs="Times New Roman"/>
        </w:rPr>
        <w:t xml:space="preserve"> and build public trust. Comparative studies emphasise the value of flexible, adaptive programming models, particularly those that strengthen subnational governance, promote youth participation and address gendered and digital dimensions of exclusion. These findings reinforce </w:t>
      </w:r>
      <w:proofErr w:type="spellStart"/>
      <w:r w:rsidRPr="37D0437D">
        <w:rPr>
          <w:rFonts w:eastAsia="Times New Roman" w:cs="Times New Roman"/>
        </w:rPr>
        <w:t>Partisipasi’s</w:t>
      </w:r>
      <w:proofErr w:type="spellEnd"/>
      <w:r w:rsidRPr="37D0437D">
        <w:rPr>
          <w:rFonts w:eastAsia="Times New Roman" w:cs="Times New Roman"/>
        </w:rPr>
        <w:t xml:space="preserve"> design logic, especially its combined focus on electoral integrity, </w:t>
      </w:r>
      <w:r w:rsidR="00950652">
        <w:rPr>
          <w:rFonts w:eastAsia="Times New Roman" w:cs="Times New Roman"/>
        </w:rPr>
        <w:t xml:space="preserve">parliamentary </w:t>
      </w:r>
      <w:r w:rsidR="00480B2D">
        <w:rPr>
          <w:rFonts w:eastAsia="Times New Roman" w:cs="Times New Roman"/>
        </w:rPr>
        <w:t>engagement</w:t>
      </w:r>
      <w:r w:rsidRPr="37D0437D">
        <w:rPr>
          <w:rFonts w:eastAsia="Times New Roman" w:cs="Times New Roman"/>
        </w:rPr>
        <w:t xml:space="preserve">, civic participation, </w:t>
      </w:r>
      <w:r w:rsidR="00C64B9D">
        <w:rPr>
          <w:rFonts w:eastAsia="Times New Roman" w:cs="Times New Roman"/>
        </w:rPr>
        <w:t xml:space="preserve">independent media </w:t>
      </w:r>
      <w:r w:rsidRPr="37D0437D">
        <w:rPr>
          <w:rFonts w:eastAsia="Times New Roman" w:cs="Times New Roman"/>
        </w:rPr>
        <w:t>and countering disinformation.</w:t>
      </w:r>
    </w:p>
    <w:p w14:paraId="05F09DE7" w14:textId="208F7629" w:rsidR="006769F9" w:rsidRPr="00E378CE" w:rsidRDefault="00B4513C" w:rsidP="00E378CE">
      <w:pPr>
        <w:spacing w:after="240"/>
        <w:rPr>
          <w:rFonts w:eastAsia="Times New Roman" w:cs="Times New Roman"/>
          <w:szCs w:val="21"/>
        </w:rPr>
      </w:pPr>
      <w:r>
        <w:rPr>
          <w:rFonts w:eastAsia="Times New Roman" w:cs="Times New Roman"/>
          <w:szCs w:val="21"/>
          <w:lang w:val="en-AU"/>
        </w:rPr>
        <w:t xml:space="preserve">More detail on </w:t>
      </w:r>
      <w:r w:rsidRPr="001715CC" w:rsidDel="002E3D41">
        <w:rPr>
          <w:rFonts w:eastAsia="Times New Roman" w:cs="Times New Roman"/>
          <w:szCs w:val="21"/>
        </w:rPr>
        <w:t>lessons learned from past and current programming is provided in</w:t>
      </w:r>
      <w:r w:rsidR="00E73423">
        <w:rPr>
          <w:rFonts w:eastAsia="Times New Roman" w:cs="Times New Roman"/>
          <w:szCs w:val="21"/>
        </w:rPr>
        <w:t xml:space="preserve"> </w:t>
      </w:r>
      <w:hyperlink w:anchor="_Annex_A:_Lessons" w:history="1">
        <w:r w:rsidR="00E73423" w:rsidRPr="00EF20C9">
          <w:rPr>
            <w:rStyle w:val="Hyperlink"/>
            <w:rFonts w:eastAsia="Times New Roman" w:cs="Times New Roman"/>
            <w:b/>
            <w:bCs/>
            <w:szCs w:val="21"/>
          </w:rPr>
          <w:t>Annex A</w:t>
        </w:r>
      </w:hyperlink>
      <w:r w:rsidR="00E73423" w:rsidRPr="00EF20C9">
        <w:rPr>
          <w:rFonts w:eastAsia="Times New Roman" w:cs="Times New Roman"/>
          <w:b/>
          <w:bCs/>
          <w:color w:val="auto"/>
          <w:szCs w:val="21"/>
        </w:rPr>
        <w:t>.</w:t>
      </w:r>
      <w:r w:rsidR="008050EE" w:rsidRPr="00EF20C9">
        <w:rPr>
          <w:rFonts w:eastAsia="Times New Roman" w:cs="Times New Roman"/>
          <w:color w:val="auto"/>
          <w:szCs w:val="21"/>
        </w:rPr>
        <w:t xml:space="preserve"> </w:t>
      </w:r>
    </w:p>
    <w:p w14:paraId="1038035B" w14:textId="0CC39D09" w:rsidR="00902F90" w:rsidRPr="005048E9" w:rsidRDefault="00902F90" w:rsidP="006769F9">
      <w:pPr>
        <w:pStyle w:val="Heading1Numbered"/>
      </w:pPr>
      <w:bookmarkStart w:id="99" w:name="_Toc208223942"/>
      <w:bookmarkStart w:id="100" w:name="_Toc232524266"/>
      <w:r w:rsidRPr="005048E9">
        <w:t>Strategic Intent and Rationale</w:t>
      </w:r>
      <w:bookmarkEnd w:id="99"/>
      <w:bookmarkEnd w:id="100"/>
      <w:r w:rsidRPr="005048E9">
        <w:t xml:space="preserve"> </w:t>
      </w:r>
    </w:p>
    <w:p w14:paraId="4FE57DDE" w14:textId="64B3D677" w:rsidR="00902F90" w:rsidRDefault="00A14155" w:rsidP="00902F90">
      <w:r>
        <w:t xml:space="preserve">As neighbours, </w:t>
      </w:r>
      <w:r w:rsidR="00902F90">
        <w:t xml:space="preserve">Australia and Indonesia share a close connection. Australia is home to approximately 110,000 </w:t>
      </w:r>
      <w:r w:rsidR="00902F90" w:rsidRPr="00477A38">
        <w:t>Indonesian-born people</w:t>
      </w:r>
      <w:r w:rsidR="00902F90">
        <w:t xml:space="preserve"> (June 2023</w:t>
      </w:r>
      <w:r w:rsidR="00902F90" w:rsidRPr="00830442">
        <w:t>)</w:t>
      </w:r>
      <w:r w:rsidR="00902F90">
        <w:t>, and more than 11,000 Australians live in Indonesia (estimation from 2015)</w:t>
      </w:r>
      <w:r w:rsidR="00902F90" w:rsidRPr="00830442">
        <w:t>.</w:t>
      </w:r>
      <w:r w:rsidR="00902F90" w:rsidRPr="00A14FD6">
        <w:t xml:space="preserve"> </w:t>
      </w:r>
      <w:r w:rsidR="00902F90">
        <w:t xml:space="preserve">Social, cultural, economic and educational links bind both countries together across many levels and domains (individual and institutional). Both countries share democratic principles, norms and practices, </w:t>
      </w:r>
      <w:r w:rsidR="00531ACD">
        <w:t>while their specific democratic systems are distinct and different</w:t>
      </w:r>
      <w:r w:rsidR="00902F90">
        <w:t xml:space="preserve">. </w:t>
      </w:r>
      <w:r w:rsidR="003C7E89">
        <w:t xml:space="preserve">While respecting these differences, </w:t>
      </w:r>
      <w:proofErr w:type="spellStart"/>
      <w:r w:rsidR="003C7E89">
        <w:t>Partisipasi</w:t>
      </w:r>
      <w:proofErr w:type="spellEnd"/>
      <w:r w:rsidR="003C7E89">
        <w:t xml:space="preserve"> </w:t>
      </w:r>
      <w:r w:rsidR="00902F90">
        <w:t xml:space="preserve">will support </w:t>
      </w:r>
      <w:r w:rsidR="0081127D">
        <w:t xml:space="preserve">shared learning on </w:t>
      </w:r>
      <w:r w:rsidR="00DB6772">
        <w:t xml:space="preserve">strengthening democratic </w:t>
      </w:r>
      <w:r w:rsidR="00EC38B7">
        <w:t xml:space="preserve">norms and </w:t>
      </w:r>
      <w:r w:rsidR="00E46A4D">
        <w:t>practices</w:t>
      </w:r>
      <w:r w:rsidR="00BA1295">
        <w:t xml:space="preserve"> – with </w:t>
      </w:r>
      <w:r w:rsidR="00902F90">
        <w:t xml:space="preserve">a mutual commitment to free and open political participation, governed by representation of and from the population. As a trusted and strategic partner for Indonesia, Australia’s support for </w:t>
      </w:r>
      <w:proofErr w:type="spellStart"/>
      <w:r w:rsidR="00902F90">
        <w:t>Partisipasi</w:t>
      </w:r>
      <w:proofErr w:type="spellEnd"/>
      <w:r w:rsidR="00902F90">
        <w:t xml:space="preserve"> is a unique offering that reflects the depth of the bilateral relationship and Australia’s commitment to inclusive governance.  </w:t>
      </w:r>
    </w:p>
    <w:p w14:paraId="321A9640" w14:textId="3EB93CA5" w:rsidR="00902F90" w:rsidRDefault="00902F90" w:rsidP="00902F90">
      <w:pPr>
        <w:rPr>
          <w:lang w:val="en-AU"/>
        </w:rPr>
      </w:pPr>
      <w:r w:rsidRPr="00073661">
        <w:rPr>
          <w:iCs/>
          <w:lang w:val="en-AU"/>
        </w:rPr>
        <w:t xml:space="preserve">Australia’s support to Indonesia’s democracy through the </w:t>
      </w:r>
      <w:proofErr w:type="spellStart"/>
      <w:r w:rsidRPr="00D84A7F">
        <w:rPr>
          <w:iCs/>
          <w:lang w:val="en-AU"/>
        </w:rPr>
        <w:t>Partisipasi</w:t>
      </w:r>
      <w:proofErr w:type="spellEnd"/>
      <w:r w:rsidRPr="00073661">
        <w:rPr>
          <w:iCs/>
          <w:lang w:val="en-AU"/>
        </w:rPr>
        <w:t xml:space="preserve"> program reflects strong alignment with </w:t>
      </w:r>
      <w:r w:rsidR="005048E9">
        <w:rPr>
          <w:iCs/>
          <w:lang w:val="en-AU"/>
        </w:rPr>
        <w:t>the Australian Government’s</w:t>
      </w:r>
      <w:r w:rsidRPr="00073661">
        <w:rPr>
          <w:iCs/>
          <w:lang w:val="en-AU"/>
        </w:rPr>
        <w:t xml:space="preserve"> international development priorities, Indonesia’s national reform agenda, and the broader regional and global context of </w:t>
      </w:r>
      <w:r w:rsidR="00211845">
        <w:rPr>
          <w:iCs/>
          <w:lang w:val="en-AU"/>
        </w:rPr>
        <w:t>challenges to democracy</w:t>
      </w:r>
      <w:r w:rsidRPr="00073661">
        <w:rPr>
          <w:iCs/>
          <w:lang w:val="en-AU"/>
        </w:rPr>
        <w:t>. It represents both a values-based and interest-based investment</w:t>
      </w:r>
      <w:r>
        <w:rPr>
          <w:iCs/>
          <w:lang w:val="en-AU"/>
        </w:rPr>
        <w:t xml:space="preserve">, </w:t>
      </w:r>
      <w:r w:rsidRPr="00073661">
        <w:rPr>
          <w:iCs/>
          <w:lang w:val="en-AU"/>
        </w:rPr>
        <w:t xml:space="preserve">anchored in Australia’s long-term partnership with Indonesia and the recognition that resilient democracies are foundational to regional stability, </w:t>
      </w:r>
      <w:r>
        <w:rPr>
          <w:iCs/>
          <w:lang w:val="en-AU"/>
        </w:rPr>
        <w:t>prosperity</w:t>
      </w:r>
      <w:r w:rsidRPr="00073661">
        <w:rPr>
          <w:iCs/>
          <w:lang w:val="en-AU"/>
        </w:rPr>
        <w:t>, and inclusive development.</w:t>
      </w:r>
      <w:r>
        <w:rPr>
          <w:iCs/>
          <w:lang w:val="en-AU"/>
        </w:rPr>
        <w:t xml:space="preserve"> </w:t>
      </w:r>
      <w:r w:rsidRPr="1E488BB6">
        <w:rPr>
          <w:lang w:val="en-AU"/>
        </w:rPr>
        <w:t xml:space="preserve">In this context, </w:t>
      </w:r>
      <w:proofErr w:type="spellStart"/>
      <w:r w:rsidRPr="00D84A7F">
        <w:rPr>
          <w:iCs/>
          <w:lang w:val="en-AU"/>
        </w:rPr>
        <w:t>Partisipasi</w:t>
      </w:r>
      <w:proofErr w:type="spellEnd"/>
      <w:r w:rsidRPr="1E488BB6">
        <w:rPr>
          <w:lang w:val="en-AU"/>
        </w:rPr>
        <w:t xml:space="preserve"> is a timely and highly relevant investment that aims to</w:t>
      </w:r>
      <w:r w:rsidR="00886F89">
        <w:rPr>
          <w:lang w:val="en-AU"/>
        </w:rPr>
        <w:t xml:space="preserve"> </w:t>
      </w:r>
      <w:r w:rsidR="00480B2D">
        <w:rPr>
          <w:lang w:val="en-AU"/>
        </w:rPr>
        <w:t xml:space="preserve">support </w:t>
      </w:r>
      <w:r w:rsidR="002052CF">
        <w:rPr>
          <w:lang w:val="en-AU"/>
        </w:rPr>
        <w:t>Indonesia</w:t>
      </w:r>
      <w:r w:rsidR="00C75F20">
        <w:rPr>
          <w:lang w:val="en-AU"/>
        </w:rPr>
        <w:t>n state and non-state actors</w:t>
      </w:r>
      <w:r w:rsidR="00DD10C7">
        <w:rPr>
          <w:lang w:val="en-AU"/>
        </w:rPr>
        <w:t xml:space="preserve"> to strengthen </w:t>
      </w:r>
      <w:r w:rsidR="00886F89">
        <w:rPr>
          <w:lang w:val="en-AU"/>
        </w:rPr>
        <w:t>substantive democracy</w:t>
      </w:r>
      <w:r w:rsidR="00D678B4">
        <w:rPr>
          <w:lang w:val="en-AU"/>
        </w:rPr>
        <w:t>,</w:t>
      </w:r>
      <w:r w:rsidR="00886F89">
        <w:rPr>
          <w:lang w:val="en-AU"/>
        </w:rPr>
        <w:t xml:space="preserve"> in line with Indonesia’s Long-Term Development Plan</w:t>
      </w:r>
      <w:r w:rsidRPr="004256A6">
        <w:rPr>
          <w:lang w:val="en-AU"/>
        </w:rPr>
        <w:t>.</w:t>
      </w:r>
      <w:bookmarkStart w:id="101" w:name="_Toc206151452"/>
      <w:bookmarkStart w:id="102" w:name="_Toc206151453"/>
      <w:bookmarkStart w:id="103" w:name="_Toc206151454"/>
      <w:bookmarkEnd w:id="101"/>
      <w:bookmarkEnd w:id="102"/>
      <w:bookmarkEnd w:id="103"/>
      <w:r w:rsidRPr="1E488BB6">
        <w:rPr>
          <w:lang w:val="en-AU"/>
        </w:rPr>
        <w:t xml:space="preserve"> </w:t>
      </w:r>
    </w:p>
    <w:p w14:paraId="4102DE9B" w14:textId="77777777" w:rsidR="00902F90" w:rsidRPr="00C64AE3" w:rsidRDefault="00902F90" w:rsidP="00253328">
      <w:pPr>
        <w:pStyle w:val="Heading2Numbered"/>
      </w:pPr>
      <w:bookmarkStart w:id="104" w:name="_Toc232524267"/>
      <w:r>
        <w:lastRenderedPageBreak/>
        <w:t>Policy Alignment</w:t>
      </w:r>
      <w:bookmarkEnd w:id="104"/>
      <w:r>
        <w:t xml:space="preserve"> </w:t>
      </w:r>
    </w:p>
    <w:p w14:paraId="559641DE" w14:textId="78E97431" w:rsidR="007E5823" w:rsidRPr="00073661" w:rsidRDefault="007E5823" w:rsidP="007E5823">
      <w:pPr>
        <w:rPr>
          <w:iCs/>
          <w:lang w:val="en-AU"/>
        </w:rPr>
      </w:pPr>
      <w:bookmarkStart w:id="105" w:name="_Toc206152362"/>
      <w:bookmarkStart w:id="106" w:name="_Toc206152509"/>
      <w:bookmarkStart w:id="107" w:name="_Toc206152683"/>
      <w:bookmarkStart w:id="108" w:name="_Toc206152861"/>
      <w:bookmarkStart w:id="109" w:name="_Toc206153020"/>
      <w:bookmarkStart w:id="110" w:name="_Toc206153178"/>
      <w:bookmarkStart w:id="111" w:name="_Toc206162057"/>
      <w:bookmarkStart w:id="112" w:name="_Toc206162239"/>
      <w:bookmarkStart w:id="113" w:name="_Toc206162613"/>
      <w:bookmarkStart w:id="114" w:name="_Toc206163675"/>
      <w:bookmarkStart w:id="115" w:name="_Toc206163852"/>
      <w:bookmarkEnd w:id="105"/>
      <w:bookmarkEnd w:id="106"/>
      <w:bookmarkEnd w:id="107"/>
      <w:bookmarkEnd w:id="108"/>
      <w:bookmarkEnd w:id="109"/>
      <w:bookmarkEnd w:id="110"/>
      <w:bookmarkEnd w:id="111"/>
      <w:bookmarkEnd w:id="112"/>
      <w:bookmarkEnd w:id="113"/>
      <w:bookmarkEnd w:id="114"/>
      <w:bookmarkEnd w:id="115"/>
      <w:r w:rsidRPr="005D160A">
        <w:rPr>
          <w:b/>
          <w:bCs/>
          <w:iCs/>
          <w:lang w:val="en-AU"/>
        </w:rPr>
        <w:t>At the bilateral level,</w:t>
      </w:r>
      <w:r w:rsidRPr="00073661">
        <w:rPr>
          <w:iCs/>
          <w:lang w:val="en-AU"/>
        </w:rPr>
        <w:t xml:space="preserve"> </w:t>
      </w:r>
      <w:proofErr w:type="spellStart"/>
      <w:r w:rsidRPr="00B57CB6">
        <w:rPr>
          <w:lang w:val="en-AU"/>
        </w:rPr>
        <w:t>Partisipasi</w:t>
      </w:r>
      <w:proofErr w:type="spellEnd"/>
      <w:r w:rsidRPr="00073661">
        <w:rPr>
          <w:iCs/>
          <w:lang w:val="en-AU"/>
        </w:rPr>
        <w:t xml:space="preserve"> supports priorities in the </w:t>
      </w:r>
      <w:r w:rsidRPr="005D160A">
        <w:rPr>
          <w:i/>
          <w:lang w:val="en-AU"/>
        </w:rPr>
        <w:t>Australia–Indonesia Comprehensive Strategic Partnership</w:t>
      </w:r>
      <w:r w:rsidRPr="00073661">
        <w:rPr>
          <w:b/>
          <w:bCs/>
          <w:iCs/>
          <w:lang w:val="en-AU"/>
        </w:rPr>
        <w:t xml:space="preserve"> </w:t>
      </w:r>
      <w:r w:rsidRPr="005D160A">
        <w:rPr>
          <w:iCs/>
          <w:lang w:val="en-AU"/>
        </w:rPr>
        <w:t>(CSP)</w:t>
      </w:r>
      <w:r w:rsidRPr="00073661">
        <w:rPr>
          <w:iCs/>
          <w:lang w:val="en-AU"/>
        </w:rPr>
        <w:t xml:space="preserve"> and the </w:t>
      </w:r>
      <w:r>
        <w:rPr>
          <w:i/>
          <w:lang w:val="en-AU"/>
        </w:rPr>
        <w:t xml:space="preserve">Australia-Indonesia </w:t>
      </w:r>
      <w:r w:rsidRPr="005D160A">
        <w:rPr>
          <w:i/>
          <w:lang w:val="en-AU"/>
        </w:rPr>
        <w:t>Development Partnership Plan (DPP) 2024–2028,</w:t>
      </w:r>
      <w:r w:rsidRPr="00073661">
        <w:rPr>
          <w:iCs/>
          <w:lang w:val="en-AU"/>
        </w:rPr>
        <w:t xml:space="preserve"> including:</w:t>
      </w:r>
    </w:p>
    <w:p w14:paraId="0069B9B2" w14:textId="77777777" w:rsidR="007E5823" w:rsidRPr="00B57CB6" w:rsidRDefault="007E5823" w:rsidP="007E5823">
      <w:pPr>
        <w:numPr>
          <w:ilvl w:val="0"/>
          <w:numId w:val="15"/>
        </w:numPr>
        <w:spacing w:after="120" w:line="240" w:lineRule="auto"/>
        <w:rPr>
          <w:iCs/>
          <w:lang w:val="en-AU"/>
        </w:rPr>
      </w:pPr>
      <w:r w:rsidRPr="00B57CB6">
        <w:rPr>
          <w:iCs/>
          <w:lang w:val="en-AU"/>
        </w:rPr>
        <w:t>Strengthening the credibility and inclusivity of democratic processes</w:t>
      </w:r>
      <w:r>
        <w:rPr>
          <w:iCs/>
          <w:lang w:val="en-AU"/>
        </w:rPr>
        <w:t>.</w:t>
      </w:r>
    </w:p>
    <w:p w14:paraId="73057F2F" w14:textId="77777777" w:rsidR="007E5823" w:rsidRPr="00B57CB6" w:rsidRDefault="007E5823" w:rsidP="007E5823">
      <w:pPr>
        <w:numPr>
          <w:ilvl w:val="0"/>
          <w:numId w:val="15"/>
        </w:numPr>
        <w:spacing w:after="120" w:line="240" w:lineRule="auto"/>
        <w:rPr>
          <w:iCs/>
          <w:lang w:val="en-AU"/>
        </w:rPr>
      </w:pPr>
      <w:r w:rsidRPr="00B57CB6">
        <w:rPr>
          <w:iCs/>
          <w:lang w:val="en-AU"/>
        </w:rPr>
        <w:t>Promoting responsive, effective governance and institutional integrity</w:t>
      </w:r>
      <w:r>
        <w:rPr>
          <w:iCs/>
          <w:lang w:val="en-AU"/>
        </w:rPr>
        <w:t>.</w:t>
      </w:r>
    </w:p>
    <w:p w14:paraId="34ED1DA5" w14:textId="77777777" w:rsidR="007E5823" w:rsidRPr="00B57CB6" w:rsidRDefault="007E5823" w:rsidP="007E5823">
      <w:pPr>
        <w:numPr>
          <w:ilvl w:val="0"/>
          <w:numId w:val="15"/>
        </w:numPr>
        <w:spacing w:after="120" w:line="240" w:lineRule="auto"/>
        <w:rPr>
          <w:lang w:val="en-AU"/>
        </w:rPr>
      </w:pPr>
      <w:r w:rsidRPr="00B57CB6">
        <w:rPr>
          <w:lang w:val="en-AU"/>
        </w:rPr>
        <w:t>Enhancing civic participation and resilience, especially among excluded populations.</w:t>
      </w:r>
    </w:p>
    <w:p w14:paraId="2F596405" w14:textId="4F9082D4" w:rsidR="001E0DD7" w:rsidRDefault="007E5823" w:rsidP="001E0DD7">
      <w:pPr>
        <w:rPr>
          <w:iCs/>
          <w:lang w:val="en-AU"/>
        </w:rPr>
      </w:pPr>
      <w:proofErr w:type="spellStart"/>
      <w:r w:rsidRPr="008757F4">
        <w:rPr>
          <w:lang w:val="en-AU"/>
        </w:rPr>
        <w:t>Partisipasi</w:t>
      </w:r>
      <w:proofErr w:type="spellEnd"/>
      <w:r w:rsidRPr="008757F4">
        <w:rPr>
          <w:iCs/>
          <w:lang w:val="en-AU"/>
        </w:rPr>
        <w:t xml:space="preserve"> indirectly contributes to</w:t>
      </w:r>
      <w:r w:rsidRPr="005D160A">
        <w:rPr>
          <w:b/>
          <w:bCs/>
          <w:iCs/>
          <w:lang w:val="en-AU"/>
        </w:rPr>
        <w:t xml:space="preserve"> broader development outcomes</w:t>
      </w:r>
      <w:r w:rsidRPr="00073661">
        <w:rPr>
          <w:iCs/>
          <w:lang w:val="en-AU"/>
        </w:rPr>
        <w:t xml:space="preserve"> by</w:t>
      </w:r>
      <w:r w:rsidR="001E0DD7">
        <w:rPr>
          <w:iCs/>
          <w:lang w:val="en-AU"/>
        </w:rPr>
        <w:t xml:space="preserve"> p</w:t>
      </w:r>
      <w:r w:rsidRPr="005D160A">
        <w:rPr>
          <w:lang w:val="en-AU"/>
        </w:rPr>
        <w:t>romoting political and economic stability</w:t>
      </w:r>
      <w:r w:rsidR="001E0DD7">
        <w:rPr>
          <w:lang w:val="en-AU"/>
        </w:rPr>
        <w:t>;</w:t>
      </w:r>
      <w:r w:rsidRPr="00794448">
        <w:rPr>
          <w:lang w:val="en-AU"/>
        </w:rPr>
        <w:t xml:space="preserve"> and</w:t>
      </w:r>
      <w:r w:rsidR="001E0DD7">
        <w:rPr>
          <w:iCs/>
          <w:lang w:val="en-AU"/>
        </w:rPr>
        <w:t xml:space="preserve"> i</w:t>
      </w:r>
      <w:r w:rsidRPr="005D160A">
        <w:rPr>
          <w:lang w:val="en-AU"/>
        </w:rPr>
        <w:t>mproving public trust</w:t>
      </w:r>
      <w:r w:rsidRPr="00794448">
        <w:rPr>
          <w:iCs/>
          <w:lang w:val="en-AU"/>
        </w:rPr>
        <w:t>, civic knowledge, and social cohesion, which are essential for a healthy democratic culture and long-term</w:t>
      </w:r>
      <w:r w:rsidRPr="00073661">
        <w:rPr>
          <w:iCs/>
          <w:lang w:val="en-AU"/>
        </w:rPr>
        <w:t xml:space="preserve"> stability.</w:t>
      </w:r>
      <w:r w:rsidR="001E0DD7">
        <w:rPr>
          <w:iCs/>
          <w:lang w:val="en-AU"/>
        </w:rPr>
        <w:t xml:space="preserve"> </w:t>
      </w:r>
      <w:r w:rsidR="001E0DD7" w:rsidRPr="00073661">
        <w:rPr>
          <w:iCs/>
          <w:lang w:val="en-AU"/>
        </w:rPr>
        <w:t>By supporting both state and non-state actors to uphold democratic norms, the program contributes to Australia’s</w:t>
      </w:r>
      <w:r w:rsidR="001E0DD7">
        <w:rPr>
          <w:iCs/>
          <w:lang w:val="en-AU"/>
        </w:rPr>
        <w:t xml:space="preserve"> and Indonesia’s</w:t>
      </w:r>
      <w:r w:rsidR="001E0DD7" w:rsidRPr="00073661">
        <w:rPr>
          <w:iCs/>
          <w:lang w:val="en-AU"/>
        </w:rPr>
        <w:t xml:space="preserve"> objectives across:</w:t>
      </w:r>
      <w:r w:rsidR="001E0DD7">
        <w:rPr>
          <w:iCs/>
          <w:lang w:val="en-AU"/>
        </w:rPr>
        <w:t xml:space="preserve"> </w:t>
      </w:r>
      <w:r w:rsidR="001E0DD7" w:rsidRPr="00073661">
        <w:rPr>
          <w:iCs/>
          <w:lang w:val="en-AU"/>
        </w:rPr>
        <w:t>S</w:t>
      </w:r>
      <w:r w:rsidR="001E0DD7">
        <w:rPr>
          <w:iCs/>
          <w:lang w:val="en-AU"/>
        </w:rPr>
        <w:t>ustainable Development Goal (SDG)</w:t>
      </w:r>
      <w:r w:rsidR="001E0DD7" w:rsidRPr="00073661">
        <w:rPr>
          <w:iCs/>
          <w:lang w:val="en-AU"/>
        </w:rPr>
        <w:t xml:space="preserve"> 16 (Peace, Justice and Strong Institutions)</w:t>
      </w:r>
      <w:r w:rsidR="001E0DD7">
        <w:rPr>
          <w:iCs/>
          <w:lang w:val="en-AU"/>
        </w:rPr>
        <w:t xml:space="preserve">; </w:t>
      </w:r>
      <w:r w:rsidR="001E0DD7" w:rsidRPr="00073661">
        <w:rPr>
          <w:iCs/>
          <w:lang w:val="en-AU"/>
        </w:rPr>
        <w:t>SDG 5 (Gender Equality)</w:t>
      </w:r>
      <w:r w:rsidR="001E0DD7">
        <w:rPr>
          <w:iCs/>
          <w:lang w:val="en-AU"/>
        </w:rPr>
        <w:t xml:space="preserve">; </w:t>
      </w:r>
      <w:r w:rsidR="001E0DD7" w:rsidRPr="00073661">
        <w:rPr>
          <w:iCs/>
          <w:lang w:val="en-AU"/>
        </w:rPr>
        <w:t>SDG 10 (Reduced Inequalities)</w:t>
      </w:r>
      <w:r w:rsidR="001E0DD7">
        <w:rPr>
          <w:iCs/>
          <w:lang w:val="en-AU"/>
        </w:rPr>
        <w:t xml:space="preserve">; and </w:t>
      </w:r>
      <w:r w:rsidR="001E0DD7" w:rsidRPr="00073661">
        <w:rPr>
          <w:iCs/>
          <w:lang w:val="en-AU"/>
        </w:rPr>
        <w:t>SDG 17 (Partnerships for the Goals).</w:t>
      </w:r>
    </w:p>
    <w:p w14:paraId="2622B37B" w14:textId="03339EEF" w:rsidR="00902F90" w:rsidRPr="00073661" w:rsidRDefault="00902F90" w:rsidP="00902F90">
      <w:pPr>
        <w:rPr>
          <w:iCs/>
          <w:lang w:val="en-AU"/>
        </w:rPr>
      </w:pPr>
      <w:r w:rsidRPr="008757F4">
        <w:rPr>
          <w:iCs/>
          <w:lang w:val="en-AU"/>
        </w:rPr>
        <w:t xml:space="preserve">The </w:t>
      </w:r>
      <w:proofErr w:type="spellStart"/>
      <w:r w:rsidR="005C3646" w:rsidRPr="008757F4">
        <w:rPr>
          <w:iCs/>
          <w:lang w:val="en-AU"/>
        </w:rPr>
        <w:t>Partisipasi</w:t>
      </w:r>
      <w:proofErr w:type="spellEnd"/>
      <w:r w:rsidR="005C3646" w:rsidRPr="008757F4">
        <w:rPr>
          <w:iCs/>
          <w:lang w:val="en-AU"/>
        </w:rPr>
        <w:t xml:space="preserve"> </w:t>
      </w:r>
      <w:r w:rsidRPr="008757F4">
        <w:rPr>
          <w:iCs/>
          <w:lang w:val="en-AU"/>
        </w:rPr>
        <w:t xml:space="preserve">investment directly contributes to </w:t>
      </w:r>
      <w:r w:rsidRPr="009553BD">
        <w:rPr>
          <w:b/>
          <w:bCs/>
          <w:iCs/>
          <w:lang w:val="en-AU"/>
        </w:rPr>
        <w:t>Australia’s commitments</w:t>
      </w:r>
      <w:r w:rsidRPr="00073661">
        <w:rPr>
          <w:iCs/>
          <w:lang w:val="en-AU"/>
        </w:rPr>
        <w:t xml:space="preserve"> outlined in:</w:t>
      </w:r>
    </w:p>
    <w:p w14:paraId="1C4C40FD" w14:textId="77777777" w:rsidR="00902F90" w:rsidRPr="00FA76DB" w:rsidRDefault="00902F90" w:rsidP="006C3AC6">
      <w:pPr>
        <w:numPr>
          <w:ilvl w:val="0"/>
          <w:numId w:val="14"/>
        </w:numPr>
        <w:spacing w:after="120" w:line="240" w:lineRule="auto"/>
        <w:rPr>
          <w:iCs/>
          <w:lang w:val="en-AU"/>
        </w:rPr>
      </w:pPr>
      <w:r w:rsidRPr="009553BD">
        <w:rPr>
          <w:i/>
          <w:lang w:val="en-AU"/>
        </w:rPr>
        <w:t>Australia’s International Development Policy</w:t>
      </w:r>
      <w:r w:rsidRPr="009553BD">
        <w:rPr>
          <w:iCs/>
          <w:lang w:val="en-AU"/>
        </w:rPr>
        <w:t xml:space="preserve"> ([IDP] 2023)</w:t>
      </w:r>
      <w:r w:rsidRPr="00FA76DB">
        <w:rPr>
          <w:iCs/>
          <w:lang w:val="en-AU"/>
        </w:rPr>
        <w:t xml:space="preserve">, which prioritises inclusive, locally led development, effective partnerships, and innovation in financing. </w:t>
      </w:r>
      <w:proofErr w:type="spellStart"/>
      <w:r w:rsidRPr="00FA76DB">
        <w:rPr>
          <w:iCs/>
          <w:lang w:val="en-AU"/>
        </w:rPr>
        <w:t>Partisipasi</w:t>
      </w:r>
      <w:proofErr w:type="spellEnd"/>
      <w:r w:rsidRPr="00FA76DB">
        <w:rPr>
          <w:iCs/>
          <w:lang w:val="en-AU"/>
        </w:rPr>
        <w:t xml:space="preserve"> reflects this through its emphasis on civil society empowerment, arms-length support to key institutions, and consortia-led delivery models that reinforce local ownership.</w:t>
      </w:r>
    </w:p>
    <w:p w14:paraId="3465F271" w14:textId="5B8DA086" w:rsidR="00902F90" w:rsidRPr="00FA76DB" w:rsidRDefault="00E919E5" w:rsidP="006C3AC6">
      <w:pPr>
        <w:numPr>
          <w:ilvl w:val="0"/>
          <w:numId w:val="14"/>
        </w:numPr>
        <w:spacing w:after="120" w:line="240" w:lineRule="auto"/>
        <w:rPr>
          <w:iCs/>
          <w:lang w:val="en-AU"/>
        </w:rPr>
      </w:pPr>
      <w:r w:rsidRPr="009553BD">
        <w:rPr>
          <w:i/>
          <w:lang w:val="en-AU"/>
        </w:rPr>
        <w:t xml:space="preserve">Invested: </w:t>
      </w:r>
      <w:r w:rsidR="00902F90" w:rsidRPr="009553BD">
        <w:rPr>
          <w:i/>
          <w:lang w:val="en-AU"/>
        </w:rPr>
        <w:t>Australia’s Southeast Asia Economic Strategy to 2040</w:t>
      </w:r>
      <w:r w:rsidR="00902F90" w:rsidRPr="00FA76DB">
        <w:rPr>
          <w:iCs/>
          <w:lang w:val="en-AU"/>
        </w:rPr>
        <w:t>, which identifies transparent, accountable governance as essential for economic engagement and regional trust.</w:t>
      </w:r>
    </w:p>
    <w:p w14:paraId="4612AC4C" w14:textId="044661A6" w:rsidR="00902F90" w:rsidRPr="00FA76DB" w:rsidRDefault="00E919E5" w:rsidP="006C3AC6">
      <w:pPr>
        <w:numPr>
          <w:ilvl w:val="0"/>
          <w:numId w:val="14"/>
        </w:numPr>
        <w:spacing w:after="120" w:line="240" w:lineRule="auto"/>
        <w:rPr>
          <w:iCs/>
          <w:lang w:val="en-AU"/>
        </w:rPr>
      </w:pPr>
      <w:r w:rsidRPr="009553BD">
        <w:rPr>
          <w:i/>
          <w:lang w:val="en-AU"/>
        </w:rPr>
        <w:t xml:space="preserve">Australia’s </w:t>
      </w:r>
      <w:r w:rsidR="00902F90" w:rsidRPr="009553BD">
        <w:rPr>
          <w:i/>
          <w:lang w:val="en-AU"/>
        </w:rPr>
        <w:t>International Gender Equ</w:t>
      </w:r>
      <w:r w:rsidRPr="009553BD">
        <w:rPr>
          <w:i/>
          <w:lang w:val="en-AU"/>
        </w:rPr>
        <w:t>al</w:t>
      </w:r>
      <w:r w:rsidR="00902F90" w:rsidRPr="009553BD">
        <w:rPr>
          <w:i/>
          <w:lang w:val="en-AU"/>
        </w:rPr>
        <w:t>ity Strategy</w:t>
      </w:r>
      <w:r w:rsidR="00902F90" w:rsidRPr="009553BD">
        <w:rPr>
          <w:iCs/>
          <w:lang w:val="en-AU"/>
        </w:rPr>
        <w:t xml:space="preserve"> ([IGES], 2025)</w:t>
      </w:r>
      <w:r w:rsidR="00902F90" w:rsidRPr="00FA76DB">
        <w:rPr>
          <w:iCs/>
          <w:lang w:val="en-AU"/>
        </w:rPr>
        <w:t xml:space="preserve">, through its explicit commitment to </w:t>
      </w:r>
      <w:r w:rsidR="00902F90" w:rsidRPr="00FA76DB">
        <w:rPr>
          <w:iCs/>
        </w:rPr>
        <w:t>support locally led approaches to women’s leadership</w:t>
      </w:r>
      <w:r w:rsidR="00902F90" w:rsidRPr="00FA76DB">
        <w:rPr>
          <w:iCs/>
          <w:lang w:val="en-AU"/>
        </w:rPr>
        <w:t>.</w:t>
      </w:r>
    </w:p>
    <w:p w14:paraId="72D453A9" w14:textId="63A096A8" w:rsidR="0013519C" w:rsidRPr="00073661" w:rsidRDefault="0013519C" w:rsidP="006C3AC6">
      <w:pPr>
        <w:numPr>
          <w:ilvl w:val="0"/>
          <w:numId w:val="14"/>
        </w:numPr>
        <w:spacing w:after="120" w:line="240" w:lineRule="auto"/>
        <w:rPr>
          <w:iCs/>
          <w:lang w:val="en-AU"/>
        </w:rPr>
      </w:pPr>
      <w:r w:rsidRPr="009553BD">
        <w:rPr>
          <w:i/>
          <w:lang w:val="en-AU"/>
        </w:rPr>
        <w:t xml:space="preserve">Australia’s </w:t>
      </w:r>
      <w:r w:rsidRPr="009553BD">
        <w:rPr>
          <w:i/>
        </w:rPr>
        <w:t>Australia’s Disability Equity and Rights Strategy</w:t>
      </w:r>
      <w:r w:rsidRPr="009553BD">
        <w:rPr>
          <w:iCs/>
        </w:rPr>
        <w:t xml:space="preserve"> </w:t>
      </w:r>
      <w:r w:rsidRPr="009553BD">
        <w:rPr>
          <w:iCs/>
          <w:lang w:val="en-AU"/>
        </w:rPr>
        <w:t>([IDERS], 2025)</w:t>
      </w:r>
      <w:r w:rsidRPr="00FA76DB">
        <w:rPr>
          <w:iCs/>
          <w:lang w:val="en-AU"/>
        </w:rPr>
        <w:t>,</w:t>
      </w:r>
      <w:r w:rsidR="005C3646" w:rsidRPr="00FA76DB">
        <w:rPr>
          <w:iCs/>
          <w:lang w:val="en-AU"/>
        </w:rPr>
        <w:t xml:space="preserve"> which</w:t>
      </w:r>
      <w:r w:rsidR="005C3646">
        <w:rPr>
          <w:iCs/>
          <w:lang w:val="en-AU"/>
        </w:rPr>
        <w:t xml:space="preserve"> </w:t>
      </w:r>
      <w:r w:rsidR="005C3646" w:rsidRPr="005C3646">
        <w:rPr>
          <w:iCs/>
        </w:rPr>
        <w:t>focus from inclusion to equity and rights, aiming to remove barriers so people with disability can fully and equitably participate in and contribute to society.</w:t>
      </w:r>
    </w:p>
    <w:p w14:paraId="57186FD8" w14:textId="3BE48A41" w:rsidR="00741ED1" w:rsidRDefault="00902F90" w:rsidP="00902F90">
      <w:pPr>
        <w:rPr>
          <w:rFonts w:eastAsia="Times New Roman" w:cs="Times New Roman"/>
          <w:szCs w:val="21"/>
          <w:lang w:val="en-AU"/>
        </w:rPr>
      </w:pPr>
      <w:proofErr w:type="spellStart"/>
      <w:r w:rsidRPr="008757F4">
        <w:rPr>
          <w:rFonts w:eastAsia="Times New Roman" w:cs="Times New Roman"/>
          <w:iCs/>
          <w:szCs w:val="21"/>
          <w:lang w:val="en-AU"/>
        </w:rPr>
        <w:t>Partisipasi</w:t>
      </w:r>
      <w:proofErr w:type="spellEnd"/>
      <w:r w:rsidR="00741ED1" w:rsidRPr="008757F4">
        <w:rPr>
          <w:rFonts w:eastAsia="Times New Roman" w:cs="Times New Roman"/>
          <w:iCs/>
          <w:szCs w:val="21"/>
          <w:lang w:val="en-AU"/>
        </w:rPr>
        <w:t xml:space="preserve"> also</w:t>
      </w:r>
      <w:r w:rsidRPr="008757F4">
        <w:rPr>
          <w:rFonts w:eastAsia="Times New Roman" w:cs="Times New Roman"/>
          <w:szCs w:val="21"/>
          <w:lang w:val="en-AU"/>
        </w:rPr>
        <w:t xml:space="preserve"> aligns with</w:t>
      </w:r>
      <w:r w:rsidRPr="009553BD">
        <w:rPr>
          <w:rFonts w:eastAsia="Times New Roman" w:cs="Times New Roman"/>
          <w:b/>
          <w:bCs/>
          <w:szCs w:val="21"/>
          <w:lang w:val="en-AU"/>
        </w:rPr>
        <w:t xml:space="preserve"> Indonesia’s policy priorities</w:t>
      </w:r>
      <w:r w:rsidRPr="00C034B4">
        <w:rPr>
          <w:rFonts w:eastAsia="Times New Roman" w:cs="Times New Roman"/>
          <w:szCs w:val="21"/>
          <w:lang w:val="en-AU"/>
        </w:rPr>
        <w:t xml:space="preserve"> </w:t>
      </w:r>
      <w:r w:rsidRPr="004C2213">
        <w:rPr>
          <w:rFonts w:eastAsia="Times New Roman" w:cs="Times New Roman"/>
          <w:szCs w:val="21"/>
          <w:lang w:val="en-AU"/>
        </w:rPr>
        <w:t>as articulated</w:t>
      </w:r>
      <w:r w:rsidRPr="00B57CB6">
        <w:rPr>
          <w:rFonts w:eastAsia="Times New Roman" w:cs="Times New Roman"/>
          <w:szCs w:val="21"/>
          <w:lang w:val="en-AU"/>
        </w:rPr>
        <w:t xml:space="preserve"> in</w:t>
      </w:r>
      <w:r w:rsidR="00885803">
        <w:rPr>
          <w:rFonts w:eastAsia="Times New Roman" w:cs="Times New Roman"/>
          <w:szCs w:val="21"/>
          <w:lang w:val="en-AU"/>
        </w:rPr>
        <w:t xml:space="preserve"> the</w:t>
      </w:r>
      <w:r w:rsidR="00741ED1">
        <w:rPr>
          <w:rFonts w:eastAsia="Times New Roman" w:cs="Times New Roman"/>
          <w:szCs w:val="21"/>
          <w:lang w:val="en-AU"/>
        </w:rPr>
        <w:t>:</w:t>
      </w:r>
      <w:r w:rsidRPr="00B57CB6">
        <w:rPr>
          <w:rFonts w:eastAsia="Times New Roman" w:cs="Times New Roman"/>
          <w:szCs w:val="21"/>
          <w:lang w:val="en-AU"/>
        </w:rPr>
        <w:t xml:space="preserve"> </w:t>
      </w:r>
    </w:p>
    <w:p w14:paraId="218A7A77" w14:textId="3964CE3C" w:rsidR="00741ED1" w:rsidRPr="009553BD" w:rsidRDefault="00902F90" w:rsidP="00741ED1">
      <w:pPr>
        <w:numPr>
          <w:ilvl w:val="0"/>
          <w:numId w:val="14"/>
        </w:numPr>
        <w:spacing w:after="120" w:line="240" w:lineRule="auto"/>
        <w:rPr>
          <w:rFonts w:eastAsia="Times New Roman" w:cs="Times New Roman"/>
          <w:bCs/>
          <w:szCs w:val="21"/>
        </w:rPr>
      </w:pPr>
      <w:r w:rsidRPr="009553BD">
        <w:rPr>
          <w:rFonts w:eastAsia="Times New Roman" w:cs="Times New Roman"/>
          <w:i/>
          <w:iCs/>
          <w:szCs w:val="21"/>
          <w:lang w:val="en-AU"/>
        </w:rPr>
        <w:t xml:space="preserve">Medium-Term Development Plan 2025–2029 </w:t>
      </w:r>
      <w:r w:rsidR="00741ED1">
        <w:rPr>
          <w:rFonts w:eastAsia="Times New Roman" w:cs="Times New Roman"/>
          <w:szCs w:val="21"/>
          <w:lang w:val="en-AU"/>
        </w:rPr>
        <w:t>(</w:t>
      </w:r>
      <w:r w:rsidRPr="00B57CB6">
        <w:rPr>
          <w:rFonts w:eastAsia="Times New Roman" w:cs="Times New Roman"/>
          <w:szCs w:val="21"/>
          <w:lang w:val="en-AU"/>
        </w:rPr>
        <w:t>RPJMN</w:t>
      </w:r>
      <w:r w:rsidRPr="004145F8">
        <w:rPr>
          <w:rFonts w:eastAsia="Times New Roman" w:cs="Times New Roman"/>
          <w:szCs w:val="21"/>
          <w:lang w:val="en-AU"/>
        </w:rPr>
        <w:t>)</w:t>
      </w:r>
      <w:r>
        <w:rPr>
          <w:rFonts w:eastAsia="Times New Roman" w:cs="Times New Roman"/>
          <w:szCs w:val="21"/>
          <w:lang w:val="en-AU"/>
        </w:rPr>
        <w:t xml:space="preserve">, </w:t>
      </w:r>
      <w:r w:rsidR="00741ED1">
        <w:rPr>
          <w:rFonts w:eastAsia="Times New Roman" w:cs="Times New Roman"/>
          <w:szCs w:val="21"/>
          <w:lang w:val="en-AU"/>
        </w:rPr>
        <w:t xml:space="preserve">which </w:t>
      </w:r>
      <w:r w:rsidR="00741ED1" w:rsidRPr="00B57CB6">
        <w:rPr>
          <w:rFonts w:eastAsia="Times New Roman" w:cs="Times New Roman"/>
          <w:szCs w:val="21"/>
        </w:rPr>
        <w:t xml:space="preserve">underscores that </w:t>
      </w:r>
      <w:r w:rsidR="00741ED1">
        <w:rPr>
          <w:rFonts w:eastAsia="Times New Roman" w:cs="Times New Roman"/>
          <w:szCs w:val="21"/>
        </w:rPr>
        <w:t>‘</w:t>
      </w:r>
      <w:r w:rsidR="00741ED1" w:rsidRPr="00B57CB6">
        <w:rPr>
          <w:rFonts w:eastAsia="Times New Roman" w:cs="Times New Roman"/>
          <w:szCs w:val="21"/>
        </w:rPr>
        <w:t xml:space="preserve">the principles of democracy </w:t>
      </w:r>
      <w:r w:rsidR="00741ED1" w:rsidRPr="007506AD">
        <w:rPr>
          <w:i/>
          <w:lang w:val="en-AU"/>
        </w:rPr>
        <w:t>guarantee</w:t>
      </w:r>
      <w:r w:rsidR="00741ED1" w:rsidRPr="00B57CB6">
        <w:rPr>
          <w:rFonts w:eastAsia="Times New Roman" w:cs="Times New Roman"/>
          <w:szCs w:val="21"/>
        </w:rPr>
        <w:t xml:space="preserve"> equal participation of all citizens, while the </w:t>
      </w:r>
      <w:r w:rsidR="00741ED1">
        <w:rPr>
          <w:rFonts w:eastAsia="Times New Roman" w:cs="Times New Roman"/>
          <w:szCs w:val="21"/>
        </w:rPr>
        <w:t>C</w:t>
      </w:r>
      <w:r w:rsidR="00741ED1" w:rsidRPr="00B57CB6">
        <w:rPr>
          <w:rFonts w:eastAsia="Times New Roman" w:cs="Times New Roman"/>
          <w:szCs w:val="21"/>
        </w:rPr>
        <w:t xml:space="preserve">onstitution emphasises the importance of protecting, respecting, fulfilling, and enforcing the rights of every individual, particularly but not limited to vulnerable groups, in pursuit of social </w:t>
      </w:r>
      <w:r w:rsidR="00741ED1" w:rsidRPr="007E5823">
        <w:rPr>
          <w:rFonts w:eastAsia="Times New Roman" w:cs="Times New Roman"/>
          <w:szCs w:val="21"/>
        </w:rPr>
        <w:t xml:space="preserve">justice’. This is framed under </w:t>
      </w:r>
      <w:r w:rsidR="00741ED1" w:rsidRPr="007506AD">
        <w:rPr>
          <w:rFonts w:eastAsia="Times New Roman" w:cs="Times New Roman"/>
          <w:szCs w:val="21"/>
        </w:rPr>
        <w:t>National Priority 1</w:t>
      </w:r>
      <w:r w:rsidR="00741ED1" w:rsidRPr="007E5823">
        <w:rPr>
          <w:rFonts w:eastAsia="Times New Roman" w:cs="Times New Roman"/>
          <w:szCs w:val="21"/>
        </w:rPr>
        <w:t xml:space="preserve">: </w:t>
      </w:r>
      <w:r w:rsidR="00741ED1">
        <w:rPr>
          <w:rFonts w:eastAsia="Times New Roman" w:cs="Times New Roman"/>
          <w:szCs w:val="21"/>
        </w:rPr>
        <w:t>‘</w:t>
      </w:r>
      <w:r w:rsidR="00741ED1" w:rsidRPr="009553BD">
        <w:rPr>
          <w:rFonts w:eastAsia="Times New Roman" w:cs="Times New Roman"/>
          <w:szCs w:val="21"/>
        </w:rPr>
        <w:t>Strengthening Pancasila Ideology, Democracy, and Human Rights</w:t>
      </w:r>
      <w:r w:rsidR="00741ED1">
        <w:rPr>
          <w:rFonts w:eastAsia="Times New Roman" w:cs="Times New Roman"/>
          <w:szCs w:val="21"/>
        </w:rPr>
        <w:t>’</w:t>
      </w:r>
      <w:r w:rsidR="00741ED1" w:rsidRPr="00741ED1">
        <w:rPr>
          <w:rFonts w:eastAsia="Times New Roman" w:cs="Times New Roman"/>
          <w:szCs w:val="21"/>
        </w:rPr>
        <w:t>.</w:t>
      </w:r>
      <w:r w:rsidR="00741ED1" w:rsidRPr="007E5823">
        <w:rPr>
          <w:rFonts w:eastAsia="Times New Roman" w:cs="Times New Roman"/>
          <w:szCs w:val="21"/>
        </w:rPr>
        <w:t xml:space="preserve"> Out of the </w:t>
      </w:r>
      <w:r w:rsidR="003E1614">
        <w:rPr>
          <w:rFonts w:eastAsia="Times New Roman" w:cs="Times New Roman"/>
          <w:szCs w:val="21"/>
        </w:rPr>
        <w:t>five</w:t>
      </w:r>
      <w:r w:rsidR="00741ED1" w:rsidRPr="007E5823">
        <w:rPr>
          <w:rFonts w:eastAsia="Times New Roman" w:cs="Times New Roman"/>
          <w:szCs w:val="21"/>
        </w:rPr>
        <w:t xml:space="preserve"> policy areas identified under this priority, </w:t>
      </w:r>
      <w:proofErr w:type="spellStart"/>
      <w:r w:rsidR="00741ED1" w:rsidRPr="007E5823">
        <w:rPr>
          <w:rFonts w:eastAsia="Times New Roman" w:cs="Times New Roman"/>
          <w:iCs/>
          <w:szCs w:val="21"/>
        </w:rPr>
        <w:t>Partisipasi</w:t>
      </w:r>
      <w:proofErr w:type="spellEnd"/>
      <w:r w:rsidR="00741ED1" w:rsidRPr="007E5823">
        <w:rPr>
          <w:rFonts w:eastAsia="Times New Roman" w:cs="Times New Roman"/>
          <w:szCs w:val="21"/>
        </w:rPr>
        <w:t xml:space="preserve"> directly supports </w:t>
      </w:r>
      <w:r w:rsidR="003E1614">
        <w:rPr>
          <w:rFonts w:eastAsia="Times New Roman" w:cs="Times New Roman"/>
          <w:szCs w:val="21"/>
        </w:rPr>
        <w:t>three</w:t>
      </w:r>
      <w:r w:rsidR="00741ED1" w:rsidRPr="007E5823">
        <w:rPr>
          <w:rFonts w:eastAsia="Times New Roman" w:cs="Times New Roman"/>
          <w:szCs w:val="21"/>
        </w:rPr>
        <w:t>: (</w:t>
      </w:r>
      <w:proofErr w:type="spellStart"/>
      <w:r w:rsidR="00741ED1" w:rsidRPr="007E5823">
        <w:rPr>
          <w:rFonts w:eastAsia="Times New Roman" w:cs="Times New Roman"/>
          <w:szCs w:val="21"/>
        </w:rPr>
        <w:t>i</w:t>
      </w:r>
      <w:proofErr w:type="spellEnd"/>
      <w:r w:rsidR="00741ED1" w:rsidRPr="007E5823">
        <w:rPr>
          <w:rFonts w:eastAsia="Times New Roman" w:cs="Times New Roman"/>
          <w:szCs w:val="21"/>
        </w:rPr>
        <w:t>) strengthening public and media communications; (ii) strengthening democratic institutions; and (iii) strengthening civil society equality</w:t>
      </w:r>
      <w:r w:rsidR="00741ED1" w:rsidRPr="007E5823">
        <w:rPr>
          <w:rFonts w:eastAsia="Times New Roman" w:cs="Times New Roman"/>
          <w:szCs w:val="21"/>
          <w:lang w:val="en-AU"/>
        </w:rPr>
        <w:t xml:space="preserve">. </w:t>
      </w:r>
      <w:proofErr w:type="spellStart"/>
      <w:r w:rsidR="00741ED1" w:rsidRPr="007E5823">
        <w:rPr>
          <w:rFonts w:eastAsia="Times New Roman" w:cs="Times New Roman"/>
          <w:szCs w:val="21"/>
          <w:lang w:val="en-AU"/>
        </w:rPr>
        <w:t>Partisipasi</w:t>
      </w:r>
      <w:proofErr w:type="spellEnd"/>
      <w:r w:rsidR="00741ED1" w:rsidRPr="007E5823">
        <w:rPr>
          <w:rFonts w:eastAsia="Times New Roman" w:cs="Times New Roman"/>
          <w:szCs w:val="21"/>
          <w:lang w:val="en-AU"/>
        </w:rPr>
        <w:t xml:space="preserve"> also aligns with </w:t>
      </w:r>
      <w:r w:rsidR="00741ED1" w:rsidRPr="007506AD">
        <w:rPr>
          <w:rFonts w:eastAsia="Times New Roman" w:cs="Times New Roman"/>
          <w:szCs w:val="21"/>
        </w:rPr>
        <w:t>National Priority 7</w:t>
      </w:r>
      <w:r w:rsidR="00741ED1" w:rsidRPr="005C3646">
        <w:rPr>
          <w:rFonts w:eastAsia="Times New Roman" w:cs="Times New Roman"/>
          <w:bCs/>
          <w:szCs w:val="21"/>
        </w:rPr>
        <w:t xml:space="preserve">: </w:t>
      </w:r>
      <w:r w:rsidR="00741ED1">
        <w:rPr>
          <w:rFonts w:eastAsia="Times New Roman" w:cs="Times New Roman"/>
          <w:bCs/>
          <w:szCs w:val="21"/>
        </w:rPr>
        <w:t>‘</w:t>
      </w:r>
      <w:r w:rsidR="00741ED1" w:rsidRPr="009553BD">
        <w:rPr>
          <w:rFonts w:eastAsia="Times New Roman" w:cs="Times New Roman"/>
          <w:bCs/>
          <w:szCs w:val="21"/>
        </w:rPr>
        <w:t xml:space="preserve">Strengthening Democracy, Human Rights, and </w:t>
      </w:r>
      <w:r w:rsidR="00741ED1" w:rsidRPr="00741ED1">
        <w:rPr>
          <w:rFonts w:eastAsia="Times New Roman" w:cs="Times New Roman"/>
          <w:bCs/>
          <w:szCs w:val="21"/>
        </w:rPr>
        <w:t>Governance</w:t>
      </w:r>
      <w:r w:rsidR="00741ED1">
        <w:rPr>
          <w:rFonts w:eastAsia="Times New Roman" w:cs="Times New Roman"/>
          <w:bCs/>
          <w:szCs w:val="21"/>
        </w:rPr>
        <w:t xml:space="preserve">’, as it </w:t>
      </w:r>
      <w:r w:rsidR="00741ED1" w:rsidRPr="005C3646">
        <w:rPr>
          <w:rFonts w:eastAsia="Times New Roman" w:cs="Times New Roman"/>
          <w:bCs/>
          <w:szCs w:val="21"/>
        </w:rPr>
        <w:t>supports th</w:t>
      </w:r>
      <w:r w:rsidR="00741ED1">
        <w:rPr>
          <w:rFonts w:eastAsia="Times New Roman" w:cs="Times New Roman"/>
          <w:bCs/>
          <w:szCs w:val="21"/>
        </w:rPr>
        <w:t>e</w:t>
      </w:r>
      <w:r w:rsidR="00741ED1" w:rsidRPr="005C3646">
        <w:rPr>
          <w:rFonts w:eastAsia="Times New Roman" w:cs="Times New Roman"/>
          <w:bCs/>
          <w:szCs w:val="21"/>
        </w:rPr>
        <w:t xml:space="preserve"> objectives by reinforcing democratic processes, civil society engagement, and institutional integrity, aligned with Indonesia’s constitutional commitments and </w:t>
      </w:r>
      <w:r w:rsidR="00741ED1" w:rsidRPr="007506AD">
        <w:rPr>
          <w:rFonts w:eastAsia="Times New Roman" w:cs="Times New Roman"/>
          <w:bCs/>
          <w:i/>
          <w:iCs/>
          <w:szCs w:val="21"/>
        </w:rPr>
        <w:t>Pancasila</w:t>
      </w:r>
      <w:r w:rsidR="00741ED1" w:rsidRPr="005C3646">
        <w:rPr>
          <w:rFonts w:eastAsia="Times New Roman" w:cs="Times New Roman"/>
          <w:bCs/>
          <w:szCs w:val="21"/>
        </w:rPr>
        <w:t xml:space="preserve"> values</w:t>
      </w:r>
      <w:r w:rsidR="00741ED1">
        <w:rPr>
          <w:rFonts w:eastAsia="Times New Roman" w:cs="Times New Roman"/>
          <w:bCs/>
          <w:szCs w:val="21"/>
        </w:rPr>
        <w:t>.</w:t>
      </w:r>
    </w:p>
    <w:p w14:paraId="1BCE25F1" w14:textId="5B648F05" w:rsidR="00741ED1" w:rsidRPr="009553BD" w:rsidRDefault="00902F90" w:rsidP="00741ED1">
      <w:pPr>
        <w:numPr>
          <w:ilvl w:val="0"/>
          <w:numId w:val="14"/>
        </w:numPr>
        <w:spacing w:after="120" w:line="240" w:lineRule="auto"/>
        <w:rPr>
          <w:rFonts w:eastAsia="Times New Roman" w:cs="Times New Roman"/>
          <w:bCs/>
          <w:szCs w:val="21"/>
        </w:rPr>
      </w:pPr>
      <w:r w:rsidRPr="009553BD">
        <w:rPr>
          <w:rFonts w:eastAsia="Times New Roman" w:cs="Times New Roman"/>
          <w:i/>
          <w:iCs/>
          <w:szCs w:val="21"/>
          <w:lang w:val="en-AU"/>
        </w:rPr>
        <w:t>Long-Term Development Plan 2025</w:t>
      </w:r>
      <w:r w:rsidR="00F40139" w:rsidRPr="009553BD">
        <w:rPr>
          <w:rFonts w:eastAsia="Times New Roman" w:cs="Times New Roman"/>
          <w:i/>
          <w:iCs/>
          <w:szCs w:val="21"/>
          <w:lang w:val="en-AU"/>
        </w:rPr>
        <w:t>–</w:t>
      </w:r>
      <w:r w:rsidRPr="009553BD">
        <w:rPr>
          <w:rFonts w:eastAsia="Times New Roman" w:cs="Times New Roman"/>
          <w:i/>
          <w:iCs/>
          <w:szCs w:val="21"/>
          <w:lang w:val="en-AU"/>
        </w:rPr>
        <w:t>2045</w:t>
      </w:r>
      <w:r w:rsidR="00885803">
        <w:rPr>
          <w:rFonts w:eastAsia="Times New Roman" w:cs="Times New Roman"/>
          <w:szCs w:val="21"/>
          <w:lang w:val="en-AU"/>
        </w:rPr>
        <w:t xml:space="preserve"> (</w:t>
      </w:r>
      <w:r w:rsidRPr="00B57CB6">
        <w:rPr>
          <w:rFonts w:eastAsia="Times New Roman" w:cs="Times New Roman"/>
          <w:szCs w:val="21"/>
          <w:lang w:val="en-AU"/>
        </w:rPr>
        <w:t>RPJPN)</w:t>
      </w:r>
      <w:r w:rsidR="000C21C5">
        <w:rPr>
          <w:rFonts w:eastAsia="Times New Roman" w:cs="Times New Roman"/>
          <w:szCs w:val="21"/>
          <w:lang w:val="en-AU"/>
        </w:rPr>
        <w:t>,</w:t>
      </w:r>
      <w:r w:rsidRPr="00B57CB6">
        <w:rPr>
          <w:rFonts w:eastAsia="Times New Roman" w:cs="Times New Roman"/>
          <w:szCs w:val="21"/>
          <w:lang w:val="en-AU"/>
        </w:rPr>
        <w:t xml:space="preserve"> </w:t>
      </w:r>
      <w:r w:rsidR="002050FF">
        <w:rPr>
          <w:rFonts w:eastAsia="Times New Roman" w:cs="Times New Roman"/>
          <w:szCs w:val="21"/>
          <w:lang w:val="en-AU"/>
        </w:rPr>
        <w:t>with its</w:t>
      </w:r>
      <w:r w:rsidR="002050FF" w:rsidRPr="00B57CB6">
        <w:rPr>
          <w:rFonts w:eastAsia="Times New Roman" w:cs="Times New Roman"/>
          <w:szCs w:val="21"/>
          <w:lang w:val="en-AU"/>
        </w:rPr>
        <w:t xml:space="preserve"> </w:t>
      </w:r>
      <w:r w:rsidR="002050FF" w:rsidRPr="00B57CB6">
        <w:rPr>
          <w:rFonts w:eastAsia="Times New Roman" w:cs="Times New Roman"/>
          <w:bCs/>
          <w:szCs w:val="21"/>
          <w:lang w:val="en-AU"/>
        </w:rPr>
        <w:t>support</w:t>
      </w:r>
      <w:r w:rsidR="002050FF">
        <w:rPr>
          <w:rFonts w:eastAsia="Times New Roman" w:cs="Times New Roman"/>
          <w:bCs/>
          <w:szCs w:val="21"/>
          <w:lang w:val="en-AU"/>
        </w:rPr>
        <w:t xml:space="preserve"> for</w:t>
      </w:r>
      <w:r w:rsidR="002050FF" w:rsidRPr="00B57CB6">
        <w:rPr>
          <w:rFonts w:eastAsia="Times New Roman" w:cs="Times New Roman"/>
          <w:bCs/>
          <w:szCs w:val="21"/>
          <w:lang w:val="en-AU"/>
        </w:rPr>
        <w:t xml:space="preserve"> both procedural democratic integrity and substantive democratic depth</w:t>
      </w:r>
      <w:r w:rsidR="002050FF">
        <w:rPr>
          <w:rFonts w:eastAsia="Times New Roman" w:cs="Times New Roman"/>
          <w:bCs/>
          <w:szCs w:val="21"/>
          <w:lang w:val="en-AU"/>
        </w:rPr>
        <w:t xml:space="preserve"> (see p. 1 for further details).</w:t>
      </w:r>
    </w:p>
    <w:p w14:paraId="7F59D39F" w14:textId="53F305E1" w:rsidR="00BD5A61" w:rsidRPr="009553BD" w:rsidRDefault="00902F90" w:rsidP="00902F90">
      <w:pPr>
        <w:numPr>
          <w:ilvl w:val="0"/>
          <w:numId w:val="14"/>
        </w:numPr>
        <w:spacing w:after="120" w:line="240" w:lineRule="auto"/>
        <w:rPr>
          <w:rFonts w:eastAsia="Times New Roman" w:cs="Times New Roman"/>
          <w:bCs/>
          <w:szCs w:val="21"/>
        </w:rPr>
      </w:pPr>
      <w:r w:rsidRPr="009553BD">
        <w:rPr>
          <w:rFonts w:eastAsia="Times New Roman" w:cs="Times New Roman"/>
          <w:i/>
          <w:iCs/>
          <w:szCs w:val="21"/>
          <w:lang w:val="en-AU"/>
        </w:rPr>
        <w:t>National Plan of Action on Human Rights</w:t>
      </w:r>
      <w:r w:rsidRPr="00B57CB6">
        <w:rPr>
          <w:rFonts w:eastAsia="Times New Roman" w:cs="Times New Roman"/>
          <w:szCs w:val="21"/>
          <w:lang w:val="en-AU"/>
        </w:rPr>
        <w:t xml:space="preserve"> (RANHAM)</w:t>
      </w:r>
      <w:r w:rsidR="0078575A">
        <w:rPr>
          <w:rFonts w:eastAsia="Times New Roman" w:cs="Times New Roman"/>
          <w:szCs w:val="21"/>
          <w:lang w:val="en-AU"/>
        </w:rPr>
        <w:t xml:space="preserve">, which </w:t>
      </w:r>
      <w:r w:rsidRPr="00885803">
        <w:rPr>
          <w:rFonts w:eastAsia="Times New Roman" w:cs="Times New Roman"/>
          <w:bCs/>
          <w:szCs w:val="21"/>
          <w:lang w:val="en-AU"/>
        </w:rPr>
        <w:t xml:space="preserve">articulates a national commitment to deepening democracy, </w:t>
      </w:r>
      <w:r w:rsidRPr="00885803">
        <w:rPr>
          <w:rFonts w:eastAsia="Times New Roman" w:cs="Times New Roman"/>
          <w:szCs w:val="21"/>
          <w:lang w:val="en-AU"/>
        </w:rPr>
        <w:t>with explicit goals around electoral credibility, citizen participation, and institutional accountability.</w:t>
      </w:r>
      <w:r w:rsidRPr="00885803" w:rsidDel="00C34D5F">
        <w:rPr>
          <w:rFonts w:eastAsia="Times New Roman" w:cs="Times New Roman"/>
          <w:szCs w:val="21"/>
          <w:lang w:val="en-AU"/>
        </w:rPr>
        <w:t xml:space="preserve"> </w:t>
      </w:r>
    </w:p>
    <w:p w14:paraId="13D67DD1" w14:textId="75330C81" w:rsidR="00902F90" w:rsidRPr="009553BD" w:rsidRDefault="00902F90" w:rsidP="009553BD">
      <w:pPr>
        <w:numPr>
          <w:ilvl w:val="0"/>
          <w:numId w:val="14"/>
        </w:numPr>
        <w:spacing w:after="120" w:line="240" w:lineRule="auto"/>
        <w:rPr>
          <w:rFonts w:eastAsia="Times New Roman" w:cs="Times New Roman"/>
          <w:bCs/>
          <w:szCs w:val="21"/>
        </w:rPr>
      </w:pPr>
      <w:r w:rsidRPr="00885803">
        <w:rPr>
          <w:rFonts w:ascii="Calibri Light" w:hAnsi="Calibri Light" w:cs="Calibri Light"/>
        </w:rPr>
        <w:lastRenderedPageBreak/>
        <w:t xml:space="preserve">Indonesia’s constitutional commitments and </w:t>
      </w:r>
      <w:r w:rsidRPr="00885803">
        <w:rPr>
          <w:rFonts w:ascii="Calibri Light" w:hAnsi="Calibri Light" w:cs="Calibri Light"/>
          <w:i/>
          <w:iCs/>
        </w:rPr>
        <w:t>Pancasila</w:t>
      </w:r>
      <w:r w:rsidRPr="00885803">
        <w:rPr>
          <w:rFonts w:ascii="Calibri Light" w:hAnsi="Calibri Light" w:cs="Calibri Light"/>
        </w:rPr>
        <w:t xml:space="preserve"> values</w:t>
      </w:r>
      <w:r w:rsidR="00BD5A61">
        <w:rPr>
          <w:rFonts w:ascii="Calibri Light" w:hAnsi="Calibri Light" w:cs="Calibri Light"/>
        </w:rPr>
        <w:t xml:space="preserve">: </w:t>
      </w:r>
      <w:r w:rsidRPr="00885803">
        <w:rPr>
          <w:rFonts w:ascii="Calibri Light" w:hAnsi="Calibri Light" w:cs="Calibri Light"/>
        </w:rPr>
        <w:t xml:space="preserve">the program promotes democratic participation not as a foreign norm, but as an Indigenous democratic principle of </w:t>
      </w:r>
      <w:r w:rsidRPr="00885803">
        <w:rPr>
          <w:rFonts w:ascii="Calibri Light" w:hAnsi="Calibri Light" w:cs="Calibri Light"/>
          <w:i/>
          <w:iCs/>
        </w:rPr>
        <w:t>gotong royong</w:t>
      </w:r>
      <w:r w:rsidRPr="00885803">
        <w:rPr>
          <w:rFonts w:ascii="Calibri Light" w:hAnsi="Calibri Light" w:cs="Calibri Light"/>
        </w:rPr>
        <w:t xml:space="preserve"> (collective responsibility) and </w:t>
      </w:r>
      <w:proofErr w:type="spellStart"/>
      <w:r w:rsidRPr="00885803">
        <w:rPr>
          <w:rFonts w:ascii="Calibri Light" w:hAnsi="Calibri Light" w:cs="Calibri Light"/>
          <w:i/>
          <w:iCs/>
        </w:rPr>
        <w:t>musyawarah</w:t>
      </w:r>
      <w:proofErr w:type="spellEnd"/>
      <w:r w:rsidRPr="00885803">
        <w:rPr>
          <w:rFonts w:ascii="Calibri Light" w:hAnsi="Calibri Light" w:cs="Calibri Light"/>
        </w:rPr>
        <w:t xml:space="preserve"> (deliberative decision-making). </w:t>
      </w:r>
    </w:p>
    <w:p w14:paraId="1AA50472" w14:textId="77777777" w:rsidR="00902F90" w:rsidRPr="005048E9" w:rsidRDefault="00902F90" w:rsidP="00850EF3">
      <w:pPr>
        <w:pStyle w:val="Heading2Numbered"/>
      </w:pPr>
      <w:bookmarkStart w:id="116" w:name="_Toc214538156"/>
      <w:bookmarkStart w:id="117" w:name="_Toc214538157"/>
      <w:bookmarkStart w:id="118" w:name="_Toc210657097"/>
      <w:bookmarkStart w:id="119" w:name="_Toc232524268"/>
      <w:bookmarkEnd w:id="116"/>
      <w:bookmarkEnd w:id="117"/>
      <w:bookmarkEnd w:id="118"/>
      <w:r w:rsidRPr="005048E9">
        <w:t>Australia’s Comparative Advantage</w:t>
      </w:r>
      <w:bookmarkEnd w:id="119"/>
    </w:p>
    <w:p w14:paraId="47A855EA" w14:textId="1FC4C078" w:rsidR="00902F90" w:rsidRPr="00073661" w:rsidRDefault="00902F90" w:rsidP="00902F90">
      <w:pPr>
        <w:rPr>
          <w:lang w:val="en-AU"/>
        </w:rPr>
      </w:pPr>
      <w:r>
        <w:t>Indonesia is a key bilateral partner for Australia and a leading democratic actor in Southeast Asia. Australia has played a key role in supporting Indonesia’s post-</w:t>
      </w:r>
      <w:r w:rsidRPr="00C5377B">
        <w:rPr>
          <w:i/>
          <w:iCs/>
        </w:rPr>
        <w:t>reformasi</w:t>
      </w:r>
      <w:r>
        <w:t xml:space="preserve"> democratic consolidation, from foundational electoral reforms to strengthening human rights institutions and civic engagement. </w:t>
      </w:r>
      <w:r w:rsidRPr="1E488BB6">
        <w:rPr>
          <w:lang w:val="en-AU"/>
        </w:rPr>
        <w:t xml:space="preserve">Australia brings more than financial resources. </w:t>
      </w:r>
      <w:r w:rsidR="005048E9">
        <w:rPr>
          <w:lang w:val="en-AU"/>
        </w:rPr>
        <w:t>The Australian Government</w:t>
      </w:r>
      <w:r w:rsidRPr="1E488BB6">
        <w:rPr>
          <w:lang w:val="en-AU"/>
        </w:rPr>
        <w:t xml:space="preserve"> is recognised as a trusted, non-intrusive partner that has supported institutional and civic reform for over </w:t>
      </w:r>
      <w:r w:rsidR="00BB687C">
        <w:rPr>
          <w:lang w:val="en-AU"/>
        </w:rPr>
        <w:t>two</w:t>
      </w:r>
      <w:r w:rsidR="00BA50E6" w:rsidRPr="1E488BB6">
        <w:rPr>
          <w:lang w:val="en-AU"/>
        </w:rPr>
        <w:t xml:space="preserve"> </w:t>
      </w:r>
      <w:r w:rsidRPr="1E488BB6">
        <w:rPr>
          <w:lang w:val="en-AU"/>
        </w:rPr>
        <w:t>decades. Australia’s strength lies in:</w:t>
      </w:r>
    </w:p>
    <w:p w14:paraId="1FF4DD4F" w14:textId="3291A6F5" w:rsidR="00902F90" w:rsidRPr="00073661" w:rsidRDefault="00902F90" w:rsidP="006C3AC6">
      <w:pPr>
        <w:numPr>
          <w:ilvl w:val="0"/>
          <w:numId w:val="12"/>
        </w:numPr>
        <w:spacing w:after="120" w:line="240" w:lineRule="auto"/>
        <w:rPr>
          <w:lang w:val="en-AU"/>
        </w:rPr>
      </w:pPr>
      <w:r w:rsidRPr="00C5377B">
        <w:rPr>
          <w:b/>
          <w:bCs/>
          <w:lang w:val="en-AU"/>
        </w:rPr>
        <w:t>Convening power</w:t>
      </w:r>
      <w:r w:rsidRPr="1E488BB6">
        <w:rPr>
          <w:lang w:val="en-AU"/>
        </w:rPr>
        <w:t>: to bring together diverse actors</w:t>
      </w:r>
      <w:r w:rsidR="00BA50E6">
        <w:rPr>
          <w:lang w:val="en-AU"/>
        </w:rPr>
        <w:t xml:space="preserve"> – </w:t>
      </w:r>
      <w:r w:rsidRPr="1E488BB6">
        <w:rPr>
          <w:lang w:val="en-AU"/>
        </w:rPr>
        <w:t>including state institutions, civil society leaders, and international partners</w:t>
      </w:r>
      <w:r w:rsidR="00BA50E6">
        <w:rPr>
          <w:lang w:val="en-AU"/>
        </w:rPr>
        <w:t xml:space="preserve"> – </w:t>
      </w:r>
      <w:r w:rsidRPr="1E488BB6">
        <w:rPr>
          <w:lang w:val="en-AU"/>
        </w:rPr>
        <w:t>for constructive collaboration</w:t>
      </w:r>
      <w:r>
        <w:rPr>
          <w:lang w:val="en-AU"/>
        </w:rPr>
        <w:t>.</w:t>
      </w:r>
    </w:p>
    <w:p w14:paraId="0FDAD760" w14:textId="77777777" w:rsidR="00902F90" w:rsidRPr="00073661" w:rsidRDefault="00902F90" w:rsidP="006C3AC6">
      <w:pPr>
        <w:numPr>
          <w:ilvl w:val="0"/>
          <w:numId w:val="12"/>
        </w:numPr>
        <w:spacing w:after="120" w:line="240" w:lineRule="auto"/>
        <w:rPr>
          <w:iCs/>
          <w:lang w:val="en-AU"/>
        </w:rPr>
      </w:pPr>
      <w:r w:rsidRPr="00C5377B">
        <w:rPr>
          <w:b/>
          <w:bCs/>
          <w:lang w:val="en-AU"/>
        </w:rPr>
        <w:t>Technical assistance and peer learning</w:t>
      </w:r>
      <w:r w:rsidRPr="00073661">
        <w:rPr>
          <w:iCs/>
          <w:lang w:val="en-AU"/>
        </w:rPr>
        <w:t>: through institutional partnerships and responsive, demand-driven support</w:t>
      </w:r>
      <w:r>
        <w:rPr>
          <w:iCs/>
          <w:lang w:val="en-AU"/>
        </w:rPr>
        <w:t>.</w:t>
      </w:r>
    </w:p>
    <w:p w14:paraId="59852FC7" w14:textId="77777777" w:rsidR="00902F90" w:rsidRPr="00073661" w:rsidRDefault="00902F90" w:rsidP="006C3AC6">
      <w:pPr>
        <w:numPr>
          <w:ilvl w:val="0"/>
          <w:numId w:val="12"/>
        </w:numPr>
        <w:spacing w:after="120" w:line="240" w:lineRule="auto"/>
        <w:rPr>
          <w:iCs/>
          <w:lang w:val="en-AU"/>
        </w:rPr>
      </w:pPr>
      <w:r w:rsidRPr="00C5377B">
        <w:rPr>
          <w:b/>
          <w:bCs/>
          <w:lang w:val="en-AU"/>
        </w:rPr>
        <w:t>Localisation</w:t>
      </w:r>
      <w:r w:rsidRPr="00073661">
        <w:rPr>
          <w:iCs/>
          <w:lang w:val="en-AU"/>
        </w:rPr>
        <w:t>: commitment to enabling Indonesian leadership, adaptive delivery, and support to locally rooted organisations</w:t>
      </w:r>
      <w:r>
        <w:rPr>
          <w:iCs/>
          <w:lang w:val="en-AU"/>
        </w:rPr>
        <w:t>.</w:t>
      </w:r>
    </w:p>
    <w:p w14:paraId="6586BE15" w14:textId="18BEDC39" w:rsidR="00902F90" w:rsidRPr="00073661" w:rsidRDefault="00902F90" w:rsidP="006C3AC6">
      <w:pPr>
        <w:numPr>
          <w:ilvl w:val="0"/>
          <w:numId w:val="12"/>
        </w:numPr>
        <w:spacing w:after="120" w:line="240" w:lineRule="auto"/>
        <w:rPr>
          <w:iCs/>
          <w:lang w:val="en-AU"/>
        </w:rPr>
      </w:pPr>
      <w:r w:rsidRPr="00C5377B">
        <w:rPr>
          <w:b/>
          <w:bCs/>
          <w:lang w:val="en-AU"/>
        </w:rPr>
        <w:t>Track record in gender equality, disability, and social inclusion (GEDSI) and governance</w:t>
      </w:r>
      <w:r w:rsidRPr="00073661">
        <w:rPr>
          <w:iCs/>
          <w:lang w:val="en-AU"/>
        </w:rPr>
        <w:t xml:space="preserve">: including through flagship programs </w:t>
      </w:r>
      <w:r w:rsidR="00BA50E6">
        <w:rPr>
          <w:iCs/>
          <w:lang w:val="en-AU"/>
        </w:rPr>
        <w:t>such as</w:t>
      </w:r>
      <w:r w:rsidR="00BA50E6" w:rsidRPr="00073661">
        <w:rPr>
          <w:iCs/>
          <w:lang w:val="en-AU"/>
        </w:rPr>
        <w:t xml:space="preserve"> </w:t>
      </w:r>
      <w:r w:rsidRPr="00C5377B">
        <w:rPr>
          <w:lang w:val="en-AU"/>
        </w:rPr>
        <w:t>INKLUSI</w:t>
      </w:r>
      <w:r w:rsidRPr="00073661">
        <w:rPr>
          <w:iCs/>
          <w:lang w:val="en-AU"/>
        </w:rPr>
        <w:t xml:space="preserve"> (inclusive development), </w:t>
      </w:r>
      <w:r w:rsidRPr="00C5377B">
        <w:rPr>
          <w:lang w:val="en-AU"/>
        </w:rPr>
        <w:t>AIPJ</w:t>
      </w:r>
      <w:r w:rsidRPr="00073661">
        <w:rPr>
          <w:iCs/>
          <w:lang w:val="en-AU"/>
        </w:rPr>
        <w:t xml:space="preserve"> (rule of law), and </w:t>
      </w:r>
      <w:r w:rsidRPr="00C5377B">
        <w:rPr>
          <w:lang w:val="en-AU"/>
        </w:rPr>
        <w:t>SKALA</w:t>
      </w:r>
      <w:r w:rsidRPr="00073661">
        <w:rPr>
          <w:iCs/>
          <w:lang w:val="en-AU"/>
        </w:rPr>
        <w:t xml:space="preserve"> (subnational governance).</w:t>
      </w:r>
      <w:r>
        <w:rPr>
          <w:iCs/>
          <w:lang w:val="en-AU"/>
        </w:rPr>
        <w:t xml:space="preserve"> </w:t>
      </w:r>
    </w:p>
    <w:p w14:paraId="7D370ED5" w14:textId="546E47C0" w:rsidR="00902F90" w:rsidRPr="00BC54AA" w:rsidRDefault="005048E9" w:rsidP="00902F90">
      <w:pPr>
        <w:rPr>
          <w:rFonts w:eastAsia="Times New Roman" w:cs="Times New Roman"/>
          <w:lang w:val="en-AU"/>
        </w:rPr>
      </w:pPr>
      <w:r>
        <w:rPr>
          <w:lang w:val="en-AU"/>
        </w:rPr>
        <w:t>Australia</w:t>
      </w:r>
      <w:r w:rsidR="00902F90" w:rsidRPr="008757F4">
        <w:rPr>
          <w:lang w:val="en-AU"/>
        </w:rPr>
        <w:t xml:space="preserve"> is now the primary bilateral development partner supporting </w:t>
      </w:r>
      <w:r w:rsidR="00CA530C" w:rsidRPr="008757F4">
        <w:rPr>
          <w:lang w:val="en-AU"/>
        </w:rPr>
        <w:t xml:space="preserve">the priorities of </w:t>
      </w:r>
      <w:r w:rsidR="00902F90" w:rsidRPr="008757F4">
        <w:rPr>
          <w:lang w:val="en-AU"/>
        </w:rPr>
        <w:t xml:space="preserve">Indonesia’s democratic institutions. </w:t>
      </w:r>
      <w:r w:rsidR="00BB687C" w:rsidRPr="008757F4">
        <w:rPr>
          <w:lang w:val="en-AU"/>
        </w:rPr>
        <w:t xml:space="preserve">Following </w:t>
      </w:r>
      <w:r w:rsidR="00902F90" w:rsidRPr="008757F4">
        <w:rPr>
          <w:lang w:val="en-AU"/>
        </w:rPr>
        <w:t xml:space="preserve">reductions in </w:t>
      </w:r>
      <w:r w:rsidR="00A97355" w:rsidRPr="008757F4">
        <w:rPr>
          <w:lang w:val="en-AU"/>
        </w:rPr>
        <w:t xml:space="preserve">various countries’ </w:t>
      </w:r>
      <w:r w:rsidR="009762B4" w:rsidRPr="008757F4">
        <w:rPr>
          <w:lang w:val="en-AU"/>
        </w:rPr>
        <w:t xml:space="preserve">official </w:t>
      </w:r>
      <w:r w:rsidR="00902F90" w:rsidRPr="008757F4">
        <w:rPr>
          <w:lang w:val="en-AU"/>
        </w:rPr>
        <w:t xml:space="preserve">development assistance (ODA) portfolios, </w:t>
      </w:r>
      <w:r w:rsidR="00825928" w:rsidRPr="008757F4">
        <w:rPr>
          <w:lang w:val="en-AU"/>
        </w:rPr>
        <w:t xml:space="preserve">consultations confirmed that </w:t>
      </w:r>
      <w:r w:rsidR="00902F90" w:rsidRPr="008757F4">
        <w:rPr>
          <w:lang w:val="en-AU"/>
        </w:rPr>
        <w:t xml:space="preserve">increased Australian funding through </w:t>
      </w:r>
      <w:proofErr w:type="spellStart"/>
      <w:r w:rsidR="00902F90" w:rsidRPr="008757F4">
        <w:rPr>
          <w:lang w:val="en-AU"/>
        </w:rPr>
        <w:t>Partisipasi</w:t>
      </w:r>
      <w:proofErr w:type="spellEnd"/>
      <w:r w:rsidR="00902F90" w:rsidRPr="008757F4">
        <w:rPr>
          <w:lang w:val="en-AU"/>
        </w:rPr>
        <w:t xml:space="preserve"> </w:t>
      </w:r>
      <w:r w:rsidR="00825928" w:rsidRPr="008757F4">
        <w:rPr>
          <w:lang w:val="en-AU"/>
        </w:rPr>
        <w:t>is welcome</w:t>
      </w:r>
      <w:r w:rsidR="001C298B" w:rsidRPr="008757F4">
        <w:rPr>
          <w:lang w:val="en-AU"/>
        </w:rPr>
        <w:t>d</w:t>
      </w:r>
      <w:r w:rsidR="00825928" w:rsidRPr="008757F4">
        <w:rPr>
          <w:lang w:val="en-AU"/>
        </w:rPr>
        <w:t xml:space="preserve"> by Indonesian stakeholders</w:t>
      </w:r>
      <w:r w:rsidR="00902F90" w:rsidRPr="37D0437D">
        <w:rPr>
          <w:lang w:val="en-AU"/>
        </w:rPr>
        <w:t xml:space="preserve">. </w:t>
      </w:r>
      <w:r w:rsidR="00902F90" w:rsidRPr="37D0437D">
        <w:rPr>
          <w:rFonts w:eastAsia="Times New Roman" w:cs="Times New Roman"/>
          <w:lang w:val="en-AU"/>
        </w:rPr>
        <w:t xml:space="preserve">The </w:t>
      </w:r>
      <w:r w:rsidR="00902F90" w:rsidRPr="37D0437D">
        <w:rPr>
          <w:rFonts w:eastAsia="Times New Roman" w:cs="Times New Roman"/>
        </w:rPr>
        <w:t xml:space="preserve">UNDP has provided electoral support to KPU and </w:t>
      </w:r>
      <w:proofErr w:type="spellStart"/>
      <w:r w:rsidR="00902F90" w:rsidRPr="37D0437D">
        <w:rPr>
          <w:rFonts w:eastAsia="Times New Roman" w:cs="Times New Roman"/>
        </w:rPr>
        <w:t>Bawaslu</w:t>
      </w:r>
      <w:proofErr w:type="spellEnd"/>
      <w:r w:rsidR="00902F90" w:rsidRPr="37D0437D">
        <w:rPr>
          <w:rFonts w:eastAsia="Times New Roman" w:cs="Times New Roman"/>
        </w:rPr>
        <w:t>, though with modest scale and uncertain sustainability due to global U</w:t>
      </w:r>
      <w:r w:rsidR="00895C51">
        <w:rPr>
          <w:rFonts w:eastAsia="Times New Roman" w:cs="Times New Roman"/>
        </w:rPr>
        <w:t xml:space="preserve">nited </w:t>
      </w:r>
      <w:r w:rsidR="00902F90" w:rsidRPr="37D0437D">
        <w:rPr>
          <w:rFonts w:eastAsia="Times New Roman" w:cs="Times New Roman"/>
        </w:rPr>
        <w:t>N</w:t>
      </w:r>
      <w:r w:rsidR="00895C51">
        <w:rPr>
          <w:rFonts w:eastAsia="Times New Roman" w:cs="Times New Roman"/>
        </w:rPr>
        <w:t>ations (UN)</w:t>
      </w:r>
      <w:r w:rsidR="00902F90" w:rsidRPr="37D0437D">
        <w:rPr>
          <w:rFonts w:eastAsia="Times New Roman" w:cs="Times New Roman"/>
        </w:rPr>
        <w:t xml:space="preserve"> funding pressures. USAID is no longer active in this </w:t>
      </w:r>
      <w:r w:rsidR="004A2BA8">
        <w:rPr>
          <w:rFonts w:eastAsia="Times New Roman" w:cs="Times New Roman"/>
        </w:rPr>
        <w:t>sector</w:t>
      </w:r>
      <w:r w:rsidR="00902F90" w:rsidRPr="37D0437D">
        <w:rPr>
          <w:rFonts w:eastAsia="Times New Roman" w:cs="Times New Roman"/>
        </w:rPr>
        <w:t>, but its past ERAT and MADANI programs supported local governance innovation and civil society policy engagement. The European Union (EU), Tifa Foundation, and Open Society Foundations</w:t>
      </w:r>
      <w:r w:rsidR="00B502FB">
        <w:rPr>
          <w:rFonts w:eastAsia="Times New Roman" w:cs="Times New Roman"/>
        </w:rPr>
        <w:t>,</w:t>
      </w:r>
      <w:r w:rsidR="00902F90" w:rsidRPr="37D0437D">
        <w:rPr>
          <w:rFonts w:eastAsia="Times New Roman" w:cs="Times New Roman"/>
        </w:rPr>
        <w:t xml:space="preserve"> support media freedom, legal reform, and digital rights, albeit at small scale, while the Ford Foundation invests in civic education, feminist movements, and academic research. The </w:t>
      </w:r>
      <w:r w:rsidR="00B502FB">
        <w:rPr>
          <w:rFonts w:eastAsia="Times New Roman" w:cs="Times New Roman"/>
        </w:rPr>
        <w:t>UK</w:t>
      </w:r>
      <w:r w:rsidR="00902F90" w:rsidRPr="37D0437D">
        <w:rPr>
          <w:rFonts w:eastAsia="Times New Roman" w:cs="Times New Roman"/>
        </w:rPr>
        <w:t xml:space="preserve"> supports global initiatives such as the Open Government Partnership and BBC Media Action, providing expertise in open governance and media professionalism. Together, these efforts highlight the importance of long-term, context-sensitive programming and reinforce the strategic positioning of </w:t>
      </w:r>
      <w:proofErr w:type="spellStart"/>
      <w:r w:rsidR="00902F90" w:rsidRPr="37D0437D">
        <w:rPr>
          <w:rFonts w:eastAsia="Times New Roman" w:cs="Times New Roman"/>
        </w:rPr>
        <w:t>Partisipasi</w:t>
      </w:r>
      <w:proofErr w:type="spellEnd"/>
      <w:r w:rsidR="00902F90" w:rsidRPr="37D0437D">
        <w:rPr>
          <w:rFonts w:eastAsia="Times New Roman" w:cs="Times New Roman"/>
          <w:i/>
          <w:iCs/>
        </w:rPr>
        <w:t xml:space="preserve"> </w:t>
      </w:r>
      <w:r w:rsidR="00902F90" w:rsidRPr="37D0437D">
        <w:rPr>
          <w:rFonts w:eastAsia="Times New Roman" w:cs="Times New Roman"/>
        </w:rPr>
        <w:t xml:space="preserve">as </w:t>
      </w:r>
      <w:r w:rsidR="005C3646">
        <w:rPr>
          <w:rFonts w:eastAsia="Times New Roman" w:cs="Times New Roman"/>
        </w:rPr>
        <w:t>a convenor</w:t>
      </w:r>
      <w:r w:rsidR="00902F90" w:rsidRPr="37D0437D">
        <w:rPr>
          <w:rFonts w:eastAsia="Times New Roman" w:cs="Times New Roman"/>
        </w:rPr>
        <w:t xml:space="preserve"> </w:t>
      </w:r>
      <w:r w:rsidR="005978DF">
        <w:rPr>
          <w:rFonts w:eastAsia="Times New Roman" w:cs="Times New Roman"/>
        </w:rPr>
        <w:t>that links support on</w:t>
      </w:r>
      <w:r w:rsidR="0011788A">
        <w:rPr>
          <w:rFonts w:eastAsia="Times New Roman" w:cs="Times New Roman"/>
        </w:rPr>
        <w:t xml:space="preserve"> issues such as </w:t>
      </w:r>
      <w:r w:rsidR="008E0B6F">
        <w:rPr>
          <w:rFonts w:eastAsia="Times New Roman" w:cs="Times New Roman"/>
        </w:rPr>
        <w:t xml:space="preserve">electoral integrity, parliamentary </w:t>
      </w:r>
      <w:r w:rsidR="00480B2D">
        <w:rPr>
          <w:rFonts w:eastAsia="Times New Roman" w:cs="Times New Roman"/>
        </w:rPr>
        <w:t>engagement</w:t>
      </w:r>
      <w:r w:rsidR="004C0F2C">
        <w:rPr>
          <w:rFonts w:eastAsia="Times New Roman" w:cs="Times New Roman"/>
        </w:rPr>
        <w:t xml:space="preserve">, </w:t>
      </w:r>
      <w:r w:rsidR="008E0B6F">
        <w:rPr>
          <w:rFonts w:eastAsia="Times New Roman" w:cs="Times New Roman"/>
        </w:rPr>
        <w:t>civic part</w:t>
      </w:r>
      <w:r w:rsidR="0042138A">
        <w:rPr>
          <w:rFonts w:eastAsia="Times New Roman" w:cs="Times New Roman"/>
        </w:rPr>
        <w:t>icipation</w:t>
      </w:r>
      <w:r w:rsidR="004C0F2C">
        <w:rPr>
          <w:rFonts w:eastAsia="Times New Roman" w:cs="Times New Roman"/>
        </w:rPr>
        <w:t>, independent media and countering disinformation</w:t>
      </w:r>
      <w:r w:rsidR="00902F90" w:rsidRPr="37D0437D">
        <w:rPr>
          <w:rFonts w:eastAsia="Times New Roman" w:cs="Times New Roman"/>
        </w:rPr>
        <w:t>.</w:t>
      </w:r>
    </w:p>
    <w:p w14:paraId="00A3D2D8" w14:textId="31D59F8E" w:rsidR="00902F90" w:rsidRPr="00EB3D72" w:rsidRDefault="00902F90" w:rsidP="00902F90">
      <w:pPr>
        <w:rPr>
          <w:rFonts w:ascii="Calibri Light" w:hAnsi="Calibri Light" w:cs="Calibri Light"/>
        </w:rPr>
      </w:pPr>
      <w:r w:rsidRPr="00EB3D72">
        <w:rPr>
          <w:rFonts w:ascii="Calibri Light" w:hAnsi="Calibri Light" w:cs="Calibri Light"/>
        </w:rPr>
        <w:t xml:space="preserve">The program reflects DFAT’s priorities by anchoring Australia’s democracy engagement in areas where it has comparative advantage </w:t>
      </w:r>
      <w:r w:rsidRPr="00D45D87">
        <w:rPr>
          <w:rFonts w:ascii="Calibri Light" w:hAnsi="Calibri Light" w:cs="Calibri Light"/>
        </w:rPr>
        <w:t xml:space="preserve">and </w:t>
      </w:r>
      <w:r w:rsidR="00C072FD">
        <w:rPr>
          <w:rFonts w:ascii="Calibri Light" w:hAnsi="Calibri Light" w:cs="Calibri Light"/>
        </w:rPr>
        <w:t xml:space="preserve">to complement </w:t>
      </w:r>
      <w:r w:rsidRPr="00D45D87">
        <w:rPr>
          <w:rFonts w:ascii="Calibri Light" w:hAnsi="Calibri Light" w:cs="Calibri Light"/>
        </w:rPr>
        <w:t>other programs. While INKLUSI leads on long-term, grassroots civic inclusion</w:t>
      </w:r>
      <w:r w:rsidR="00B502FB">
        <w:rPr>
          <w:rFonts w:ascii="Calibri Light" w:hAnsi="Calibri Light" w:cs="Calibri Light"/>
        </w:rPr>
        <w:t>,</w:t>
      </w:r>
      <w:r w:rsidRPr="00D45D87">
        <w:rPr>
          <w:rFonts w:ascii="Calibri Light" w:hAnsi="Calibri Light" w:cs="Calibri Light"/>
        </w:rPr>
        <w:t xml:space="preserve"> and AIPJ3 supports</w:t>
      </w:r>
      <w:r w:rsidRPr="00EB3D72">
        <w:rPr>
          <w:rFonts w:ascii="Calibri Light" w:hAnsi="Calibri Light" w:cs="Calibri Light"/>
        </w:rPr>
        <w:t xml:space="preserve"> justice institutions, </w:t>
      </w:r>
      <w:proofErr w:type="spellStart"/>
      <w:r w:rsidRPr="00D84A7F">
        <w:rPr>
          <w:rFonts w:ascii="Calibri Light" w:hAnsi="Calibri Light" w:cs="Calibri Light"/>
          <w:iCs/>
        </w:rPr>
        <w:t>Partisipasi</w:t>
      </w:r>
      <w:proofErr w:type="spellEnd"/>
      <w:r w:rsidRPr="00EB3D72">
        <w:rPr>
          <w:rFonts w:ascii="Calibri Light" w:hAnsi="Calibri Light" w:cs="Calibri Light"/>
        </w:rPr>
        <w:t xml:space="preserve"> provides distinct value by</w:t>
      </w:r>
      <w:r>
        <w:rPr>
          <w:rFonts w:ascii="Calibri Light" w:hAnsi="Calibri Light" w:cs="Calibri Light"/>
        </w:rPr>
        <w:t xml:space="preserve"> supporting</w:t>
      </w:r>
      <w:r w:rsidRPr="00EB3D72">
        <w:rPr>
          <w:rFonts w:ascii="Calibri Light" w:hAnsi="Calibri Light" w:cs="Calibri Light"/>
        </w:rPr>
        <w:t>:</w:t>
      </w:r>
    </w:p>
    <w:p w14:paraId="27DC6636" w14:textId="77777777" w:rsidR="00902F90" w:rsidRPr="00EB3D72" w:rsidRDefault="00902F90" w:rsidP="00504B06">
      <w:pPr>
        <w:pStyle w:val="ListParagraph"/>
        <w:numPr>
          <w:ilvl w:val="0"/>
          <w:numId w:val="67"/>
        </w:numPr>
      </w:pPr>
      <w:r w:rsidRPr="00A74537">
        <w:rPr>
          <w:b/>
          <w:bCs/>
        </w:rPr>
        <w:t>Media engagement</w:t>
      </w:r>
      <w:r w:rsidRPr="00EB3D72">
        <w:t xml:space="preserve">: advancing independent, pluralistic and quality journalism, aligned with Australia’s </w:t>
      </w:r>
      <w:r w:rsidRPr="00C5377B">
        <w:rPr>
          <w:iCs/>
        </w:rPr>
        <w:t>Indo-Pacific Broadcasting Strategy</w:t>
      </w:r>
      <w:r w:rsidRPr="00EB3D72">
        <w:t>.</w:t>
      </w:r>
    </w:p>
    <w:p w14:paraId="4D49F2DE" w14:textId="6987BE30" w:rsidR="00902F90" w:rsidRPr="00EB3D72" w:rsidRDefault="00902F90" w:rsidP="00504B06">
      <w:pPr>
        <w:pStyle w:val="ListParagraph"/>
        <w:numPr>
          <w:ilvl w:val="0"/>
          <w:numId w:val="67"/>
        </w:numPr>
      </w:pPr>
      <w:r w:rsidRPr="00A74537">
        <w:rPr>
          <w:b/>
          <w:bCs/>
        </w:rPr>
        <w:t xml:space="preserve">Parliamentary </w:t>
      </w:r>
      <w:r w:rsidR="00480B2D">
        <w:rPr>
          <w:b/>
          <w:bCs/>
        </w:rPr>
        <w:t>engagement</w:t>
      </w:r>
      <w:r w:rsidRPr="00EB3D72">
        <w:t xml:space="preserve">: </w:t>
      </w:r>
      <w:r w:rsidR="00F12B8B">
        <w:t>strengthening</w:t>
      </w:r>
      <w:r w:rsidRPr="00EB3D72">
        <w:t xml:space="preserve"> inter-parliamentary links, with a strong focus on women parliamentarians and </w:t>
      </w:r>
      <w:r w:rsidRPr="002152B6">
        <w:t>knowledge sharing</w:t>
      </w:r>
      <w:r>
        <w:t xml:space="preserve"> </w:t>
      </w:r>
      <w:r w:rsidRPr="00EB3D72">
        <w:t>between legislatures and civil society.</w:t>
      </w:r>
    </w:p>
    <w:p w14:paraId="28F71E68" w14:textId="43956CD7" w:rsidR="00902F90" w:rsidRPr="00EB3D72" w:rsidRDefault="00902F90" w:rsidP="00504B06">
      <w:pPr>
        <w:pStyle w:val="ListParagraph"/>
        <w:numPr>
          <w:ilvl w:val="0"/>
          <w:numId w:val="67"/>
        </w:numPr>
      </w:pPr>
      <w:r w:rsidRPr="00A74537">
        <w:rPr>
          <w:b/>
          <w:bCs/>
        </w:rPr>
        <w:t>Electoral integrity</w:t>
      </w:r>
      <w:r w:rsidRPr="00EB3D72">
        <w:t>: complementing technical reforms with peer-to-peer support for accountability, transparency, and inclusion</w:t>
      </w:r>
      <w:r>
        <w:t>,</w:t>
      </w:r>
      <w:r w:rsidRPr="002152B6">
        <w:t xml:space="preserve"> before, during and after the elections</w:t>
      </w:r>
      <w:r w:rsidRPr="00EB3D72">
        <w:t>.</w:t>
      </w:r>
    </w:p>
    <w:p w14:paraId="14903B2A" w14:textId="6B17D9D6" w:rsidR="000C466A" w:rsidRDefault="00902F90" w:rsidP="00504B06">
      <w:pPr>
        <w:pStyle w:val="ListParagraph"/>
        <w:numPr>
          <w:ilvl w:val="0"/>
          <w:numId w:val="67"/>
        </w:numPr>
      </w:pPr>
      <w:r w:rsidRPr="00A74537">
        <w:rPr>
          <w:b/>
          <w:bCs/>
        </w:rPr>
        <w:t>Civic participation and education</w:t>
      </w:r>
      <w:r w:rsidRPr="00EB3D72">
        <w:t xml:space="preserve">: engaging young Indonesians in democratic practice, </w:t>
      </w:r>
      <w:r w:rsidRPr="002152B6">
        <w:t>through working primarily with campuses and universities to</w:t>
      </w:r>
      <w:r>
        <w:t xml:space="preserve"> </w:t>
      </w:r>
      <w:r w:rsidRPr="00EB3D72">
        <w:t>foster resilience against mis/disinformation.</w:t>
      </w:r>
    </w:p>
    <w:p w14:paraId="0A0931A4" w14:textId="7AE05680" w:rsidR="005B6A4A" w:rsidRPr="00EB3D72" w:rsidRDefault="005B6A4A" w:rsidP="00504B06">
      <w:pPr>
        <w:pStyle w:val="ListParagraph"/>
        <w:numPr>
          <w:ilvl w:val="0"/>
          <w:numId w:val="67"/>
        </w:numPr>
      </w:pPr>
      <w:r>
        <w:rPr>
          <w:b/>
          <w:bCs/>
        </w:rPr>
        <w:t>Countering mis/disinformation</w:t>
      </w:r>
      <w:r w:rsidRPr="006B1DBC">
        <w:t>:</w:t>
      </w:r>
      <w:r>
        <w:t xml:space="preserve"> </w:t>
      </w:r>
      <w:r w:rsidR="002164CC">
        <w:t xml:space="preserve">strengthening the capacity of </w:t>
      </w:r>
      <w:r w:rsidR="00D14748">
        <w:t xml:space="preserve">key </w:t>
      </w:r>
      <w:r w:rsidR="002164CC">
        <w:t>democratic institutions and civi</w:t>
      </w:r>
      <w:r w:rsidR="004B2454">
        <w:t xml:space="preserve">l society </w:t>
      </w:r>
      <w:r w:rsidR="00D14748">
        <w:t xml:space="preserve">actors </w:t>
      </w:r>
      <w:r w:rsidR="004B2454">
        <w:t>to address mis/disinformation</w:t>
      </w:r>
      <w:r w:rsidR="005F280D">
        <w:t>.</w:t>
      </w:r>
    </w:p>
    <w:p w14:paraId="4A377C68" w14:textId="77777777" w:rsidR="00902F90" w:rsidRPr="005048E9" w:rsidRDefault="00902F90" w:rsidP="00C5377B">
      <w:pPr>
        <w:pStyle w:val="Heading1Numbered"/>
        <w:spacing w:before="360"/>
        <w:ind w:left="357" w:hanging="357"/>
      </w:pPr>
      <w:bookmarkStart w:id="120" w:name="_Toc214538159"/>
      <w:bookmarkStart w:id="121" w:name="_Toc232524269"/>
      <w:bookmarkEnd w:id="120"/>
      <w:r w:rsidRPr="005048E9">
        <w:lastRenderedPageBreak/>
        <w:t>Proposed Outcomes and Investment Options</w:t>
      </w:r>
      <w:bookmarkEnd w:id="121"/>
    </w:p>
    <w:p w14:paraId="4DAC7314" w14:textId="0DEDFF7F" w:rsidR="00902F90" w:rsidRPr="00B57CB6" w:rsidRDefault="00902F90" w:rsidP="00902F90">
      <w:proofErr w:type="spellStart"/>
      <w:r>
        <w:t>Partisipasi</w:t>
      </w:r>
      <w:proofErr w:type="spellEnd"/>
      <w:r>
        <w:t xml:space="preserve"> responds to the</w:t>
      </w:r>
      <w:r w:rsidR="00AA2068">
        <w:t xml:space="preserve"> shared</w:t>
      </w:r>
      <w:r>
        <w:t xml:space="preserve"> emerging challenges facing </w:t>
      </w:r>
      <w:r w:rsidR="00AA2068">
        <w:t xml:space="preserve">democracies </w:t>
      </w:r>
      <w:r w:rsidR="00AA2068" w:rsidRPr="00EB3D49">
        <w:t xml:space="preserve">globally </w:t>
      </w:r>
      <w:r w:rsidRPr="00EB3D49">
        <w:t xml:space="preserve">by focusing on </w:t>
      </w:r>
      <w:r w:rsidR="00EB3D49" w:rsidRPr="00EB3D49">
        <w:t>strengthening the capacity of Indonesian state and non-state actors to</w:t>
      </w:r>
      <w:r w:rsidR="00623642">
        <w:t xml:space="preserve"> protect and</w:t>
      </w:r>
      <w:r w:rsidRPr="00EB3D49">
        <w:t xml:space="preserve"> reinforc</w:t>
      </w:r>
      <w:r w:rsidR="00EB3D49" w:rsidRPr="00EB3D49">
        <w:t>e</w:t>
      </w:r>
      <w:r w:rsidRPr="00EB3D49">
        <w:t xml:space="preserve"> core democratic functions and participation. Rather than seeking transformative systemic reform, the program is designed to support</w:t>
      </w:r>
      <w:r w:rsidR="00267E95" w:rsidRPr="00EB3D49">
        <w:t xml:space="preserve"> Indonesia</w:t>
      </w:r>
      <w:r w:rsidR="00D966E8">
        <w:t>’s efforts</w:t>
      </w:r>
      <w:r w:rsidR="00B61703" w:rsidRPr="00EB3D49">
        <w:t xml:space="preserve"> to </w:t>
      </w:r>
      <w:r w:rsidR="00D966E8">
        <w:t>strengthen</w:t>
      </w:r>
      <w:r w:rsidR="00B61703" w:rsidRPr="00EB3D49">
        <w:t xml:space="preserve"> substantive democracy</w:t>
      </w:r>
      <w:r w:rsidR="00886F89">
        <w:t xml:space="preserve"> in line with the Long-Term Development Plan</w:t>
      </w:r>
      <w:r w:rsidR="00B61703" w:rsidRPr="00EB3D49">
        <w:t xml:space="preserve">, </w:t>
      </w:r>
      <w:r w:rsidR="00886F89">
        <w:t xml:space="preserve">by </w:t>
      </w:r>
      <w:r w:rsidR="003E1098">
        <w:t>supporting</w:t>
      </w:r>
      <w:r w:rsidR="003E1098" w:rsidRPr="00EB3D49">
        <w:t xml:space="preserve"> </w:t>
      </w:r>
      <w:r w:rsidRPr="00EB3D49">
        <w:t>institution</w:t>
      </w:r>
      <w:r w:rsidR="005B2D99" w:rsidRPr="00EB3D49">
        <w:t>al resilience</w:t>
      </w:r>
      <w:r w:rsidR="00155AE2" w:rsidRPr="00EB3D49">
        <w:t xml:space="preserve"> and</w:t>
      </w:r>
      <w:r w:rsidRPr="00EB3D49">
        <w:t xml:space="preserve"> building civic capacity.</w:t>
      </w:r>
      <w:r>
        <w:t xml:space="preserve"> </w:t>
      </w:r>
    </w:p>
    <w:p w14:paraId="6BC7A32D" w14:textId="448A0CAA" w:rsidR="00902F90" w:rsidRDefault="00902F90" w:rsidP="00902F90">
      <w:r w:rsidRPr="009869A3">
        <w:rPr>
          <w:szCs w:val="21"/>
        </w:rPr>
        <w:t xml:space="preserve">This </w:t>
      </w:r>
      <w:r w:rsidR="003E5C41">
        <w:rPr>
          <w:szCs w:val="21"/>
        </w:rPr>
        <w:t>section</w:t>
      </w:r>
      <w:r w:rsidR="003E5C41" w:rsidRPr="009869A3">
        <w:rPr>
          <w:szCs w:val="21"/>
        </w:rPr>
        <w:t xml:space="preserve"> </w:t>
      </w:r>
      <w:r w:rsidRPr="009869A3">
        <w:rPr>
          <w:szCs w:val="21"/>
        </w:rPr>
        <w:t>presents the Program Logic that frame</w:t>
      </w:r>
      <w:r w:rsidR="001A1FA8">
        <w:rPr>
          <w:szCs w:val="21"/>
        </w:rPr>
        <w:t>s</w:t>
      </w:r>
      <w:r w:rsidRPr="009869A3">
        <w:rPr>
          <w:szCs w:val="21"/>
        </w:rPr>
        <w:t xml:space="preserve"> </w:t>
      </w:r>
      <w:r w:rsidR="001A1FA8">
        <w:rPr>
          <w:szCs w:val="21"/>
        </w:rPr>
        <w:t xml:space="preserve">the </w:t>
      </w:r>
      <w:r w:rsidRPr="009869A3">
        <w:rPr>
          <w:szCs w:val="21"/>
        </w:rPr>
        <w:t xml:space="preserve">intended outcomes of the </w:t>
      </w:r>
      <w:proofErr w:type="spellStart"/>
      <w:r w:rsidRPr="00D84A7F">
        <w:rPr>
          <w:iCs/>
          <w:szCs w:val="21"/>
        </w:rPr>
        <w:t>Partisipasi</w:t>
      </w:r>
      <w:proofErr w:type="spellEnd"/>
      <w:r w:rsidRPr="009869A3">
        <w:rPr>
          <w:szCs w:val="21"/>
        </w:rPr>
        <w:t xml:space="preserve"> investment. It focuses on </w:t>
      </w:r>
      <w:r w:rsidRPr="009869A3">
        <w:rPr>
          <w:i/>
          <w:szCs w:val="21"/>
        </w:rPr>
        <w:t>what</w:t>
      </w:r>
      <w:r w:rsidRPr="009869A3">
        <w:rPr>
          <w:szCs w:val="21"/>
        </w:rPr>
        <w:t xml:space="preserve"> is expected to be achieved, and the causal linkages between the levels of outcome achievement. </w:t>
      </w:r>
      <w:r>
        <w:t xml:space="preserve">This </w:t>
      </w:r>
      <w:r w:rsidR="003E5C41">
        <w:t xml:space="preserve">section </w:t>
      </w:r>
      <w:r>
        <w:t xml:space="preserve">can be read in conjunction with </w:t>
      </w:r>
      <w:hyperlink w:anchor="AnnexB" w:history="1">
        <w:r w:rsidRPr="00F42784">
          <w:rPr>
            <w:rStyle w:val="Hyperlink"/>
            <w:rFonts w:cstheme="minorBidi"/>
            <w:b/>
            <w:bCs/>
          </w:rPr>
          <w:t>Annex B</w:t>
        </w:r>
      </w:hyperlink>
      <w:r w:rsidRPr="00755081">
        <w:t>,</w:t>
      </w:r>
      <w:r>
        <w:t xml:space="preserve"> which provides additional information regarding the Focus Areas, and in relation to Outputs and Activities.</w:t>
      </w:r>
    </w:p>
    <w:p w14:paraId="6BA1D740" w14:textId="77777777" w:rsidR="000A57A1" w:rsidRDefault="000A57A1" w:rsidP="00902F90"/>
    <w:p w14:paraId="7B3126A9" w14:textId="77777777" w:rsidR="00902F90" w:rsidRDefault="00902F90" w:rsidP="00902F90">
      <w:pPr>
        <w:rPr>
          <w:i/>
          <w:iCs/>
        </w:rPr>
        <w:sectPr w:rsidR="00902F90" w:rsidSect="00902F90">
          <w:footerReference w:type="first" r:id="rId22"/>
          <w:pgSz w:w="11906" w:h="16838" w:code="9"/>
          <w:pgMar w:top="1701" w:right="1134" w:bottom="1418" w:left="1134" w:header="425" w:footer="493" w:gutter="0"/>
          <w:pgNumType w:start="1"/>
          <w:cols w:space="397"/>
          <w:docGrid w:linePitch="360"/>
        </w:sectPr>
      </w:pPr>
    </w:p>
    <w:p w14:paraId="66BE14A1" w14:textId="275028BE" w:rsidR="00EA3B77" w:rsidRDefault="00EA3B77" w:rsidP="00850EF3">
      <w:pPr>
        <w:pStyle w:val="Heading2Numbered"/>
      </w:pPr>
      <w:bookmarkStart w:id="122" w:name="_Toc232524270"/>
      <w:r>
        <w:lastRenderedPageBreak/>
        <w:t>Program Logic Model</w:t>
      </w:r>
      <w:bookmarkEnd w:id="122"/>
    </w:p>
    <w:p w14:paraId="7625937A" w14:textId="2E38A1EE" w:rsidR="00F12B8B" w:rsidRDefault="00F666E3" w:rsidP="00F666E3">
      <w:pPr>
        <w:pStyle w:val="Caption"/>
        <w:keepNext/>
      </w:pPr>
      <w:r>
        <w:t xml:space="preserve">Figure </w:t>
      </w:r>
      <w:r>
        <w:fldChar w:fldCharType="begin"/>
      </w:r>
      <w:r>
        <w:instrText xml:space="preserve"> SEQ Figure \* ARABIC </w:instrText>
      </w:r>
      <w:r>
        <w:fldChar w:fldCharType="separate"/>
      </w:r>
      <w:r w:rsidR="005A2ACB">
        <w:rPr>
          <w:noProof/>
        </w:rPr>
        <w:t>1</w:t>
      </w:r>
      <w:r>
        <w:fldChar w:fldCharType="end"/>
      </w:r>
      <w:r>
        <w:t xml:space="preserve">: </w:t>
      </w:r>
      <w:proofErr w:type="spellStart"/>
      <w:r w:rsidRPr="00E148DB">
        <w:t>Partisipasi</w:t>
      </w:r>
      <w:proofErr w:type="spellEnd"/>
      <w:r w:rsidRPr="00E148DB">
        <w:t xml:space="preserve"> Program Logic Model</w:t>
      </w:r>
    </w:p>
    <w:p w14:paraId="68055F11" w14:textId="76204084" w:rsidR="00F666E3" w:rsidRDefault="00DA4DDD" w:rsidP="00F666E3">
      <w:pPr>
        <w:pStyle w:val="Caption"/>
        <w:keepNext/>
      </w:pPr>
      <w:r w:rsidRPr="00DA4DDD">
        <w:rPr>
          <w:noProof/>
        </w:rPr>
        <w:drawing>
          <wp:inline distT="0" distB="0" distL="0" distR="0" wp14:anchorId="4E57FC8A" wp14:editId="5CB6516E">
            <wp:extent cx="9130053" cy="5018567"/>
            <wp:effectExtent l="0" t="0" r="9525" b="0"/>
            <wp:docPr id="2121720099" name="Picture 1" descr="Image of the Partisipasi Program Logic Model. See Annex M for written ver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20099" name="Picture 1" descr="Image of the Partisipasi Program Logic Model. See Annex M for written version. "/>
                    <pic:cNvPicPr/>
                  </pic:nvPicPr>
                  <pic:blipFill>
                    <a:blip r:embed="rId23"/>
                    <a:stretch>
                      <a:fillRect/>
                    </a:stretch>
                  </pic:blipFill>
                  <pic:spPr>
                    <a:xfrm>
                      <a:off x="0" y="0"/>
                      <a:ext cx="9130053" cy="5018567"/>
                    </a:xfrm>
                    <a:prstGeom prst="rect">
                      <a:avLst/>
                    </a:prstGeom>
                  </pic:spPr>
                </pic:pic>
              </a:graphicData>
            </a:graphic>
          </wp:inline>
        </w:drawing>
      </w:r>
    </w:p>
    <w:p w14:paraId="06A1C9EA" w14:textId="5D52C08B" w:rsidR="00902F90" w:rsidRPr="00ED46A7" w:rsidRDefault="00902F90" w:rsidP="00902F90">
      <w:pPr>
        <w:ind w:left="-993"/>
        <w:rPr>
          <w:caps/>
        </w:rPr>
        <w:sectPr w:rsidR="00902F90" w:rsidRPr="00ED46A7" w:rsidSect="000A57A1">
          <w:pgSz w:w="16838" w:h="11906" w:orient="landscape" w:code="9"/>
          <w:pgMar w:top="851" w:right="1701" w:bottom="1134" w:left="1418" w:header="425" w:footer="493" w:gutter="0"/>
          <w:pgNumType w:start="6"/>
          <w:cols w:space="397"/>
          <w:docGrid w:linePitch="360"/>
        </w:sectPr>
      </w:pPr>
    </w:p>
    <w:p w14:paraId="07CBC91D" w14:textId="77777777" w:rsidR="00902F90" w:rsidRPr="005048E9" w:rsidRDefault="00902F90" w:rsidP="00C80320">
      <w:pPr>
        <w:pStyle w:val="Heading2Numbered"/>
      </w:pPr>
      <w:bookmarkStart w:id="123" w:name="_Toc232524271"/>
      <w:r w:rsidRPr="005048E9">
        <w:lastRenderedPageBreak/>
        <w:t>Program Logic Narrative</w:t>
      </w:r>
      <w:bookmarkEnd w:id="123"/>
    </w:p>
    <w:p w14:paraId="2FEF0C5E" w14:textId="7E6F7683" w:rsidR="00902F90" w:rsidRPr="0048535C" w:rsidRDefault="00902F90" w:rsidP="00902F90">
      <w:pPr>
        <w:rPr>
          <w:lang w:val="en-AU"/>
        </w:rPr>
      </w:pPr>
      <w:r>
        <w:rPr>
          <w:lang w:val="en-AU"/>
        </w:rPr>
        <w:t xml:space="preserve">The </w:t>
      </w:r>
      <w:r w:rsidRPr="00B57CB6">
        <w:rPr>
          <w:b/>
          <w:bCs/>
          <w:lang w:val="en-AU"/>
        </w:rPr>
        <w:t>Goal</w:t>
      </w:r>
      <w:r w:rsidRPr="0048535C">
        <w:rPr>
          <w:lang w:val="en-AU"/>
        </w:rPr>
        <w:t xml:space="preserve"> is grounded in Indonesia’s long-term development vision, as articulated in the RPJPN 2025–2045, which emphasises </w:t>
      </w:r>
      <w:r>
        <w:rPr>
          <w:lang w:val="en-AU"/>
        </w:rPr>
        <w:t>‘</w:t>
      </w:r>
      <w:r w:rsidRPr="0048535C">
        <w:rPr>
          <w:lang w:val="en-AU"/>
        </w:rPr>
        <w:t>substantive democracy</w:t>
      </w:r>
      <w:r>
        <w:rPr>
          <w:lang w:val="en-AU"/>
        </w:rPr>
        <w:t>’</w:t>
      </w:r>
      <w:r w:rsidRPr="5261E5B3">
        <w:rPr>
          <w:rStyle w:val="FootnoteReference"/>
          <w:lang w:val="en-AU"/>
        </w:rPr>
        <w:footnoteReference w:id="13"/>
      </w:r>
      <w:r w:rsidRPr="0048535C">
        <w:rPr>
          <w:lang w:val="en-AU"/>
        </w:rPr>
        <w:t xml:space="preserve"> (</w:t>
      </w:r>
      <w:proofErr w:type="spellStart"/>
      <w:r w:rsidRPr="37D0437D">
        <w:rPr>
          <w:i/>
          <w:iCs/>
          <w:lang w:val="en-AU"/>
        </w:rPr>
        <w:t>demokrasi</w:t>
      </w:r>
      <w:proofErr w:type="spellEnd"/>
      <w:r w:rsidRPr="37D0437D">
        <w:rPr>
          <w:i/>
          <w:iCs/>
          <w:lang w:val="en-AU"/>
        </w:rPr>
        <w:t xml:space="preserve"> </w:t>
      </w:r>
      <w:proofErr w:type="spellStart"/>
      <w:r w:rsidRPr="37D0437D">
        <w:rPr>
          <w:i/>
          <w:iCs/>
          <w:lang w:val="en-AU"/>
        </w:rPr>
        <w:t>substantif</w:t>
      </w:r>
      <w:proofErr w:type="spellEnd"/>
      <w:r w:rsidRPr="0048535C">
        <w:rPr>
          <w:lang w:val="en-AU"/>
        </w:rPr>
        <w:t xml:space="preserve">), institutional accountability, and public trust in democratic governance. </w:t>
      </w:r>
      <w:r w:rsidRPr="00B57CB6">
        <w:t>It also reflects the RPJMN 2025–2029</w:t>
      </w:r>
      <w:r w:rsidR="00930B8F">
        <w:t>’s National Priorities 1 and 7</w:t>
      </w:r>
      <w:r w:rsidR="001244BC">
        <w:t xml:space="preserve">, as well as the </w:t>
      </w:r>
      <w:r w:rsidRPr="0048535C">
        <w:rPr>
          <w:lang w:val="en-AU"/>
        </w:rPr>
        <w:t xml:space="preserve">RANHAM. From Australia’s perspective, it reinforces strategic interests in a stable, inclusive, and rules-based Indo-Pacific, in line with </w:t>
      </w:r>
      <w:r w:rsidR="00C534E1" w:rsidRPr="00C5377B">
        <w:rPr>
          <w:i/>
          <w:iCs/>
          <w:lang w:val="en-AU"/>
        </w:rPr>
        <w:t>Invested: Australia’s</w:t>
      </w:r>
      <w:r w:rsidR="00C534E1" w:rsidRPr="0048535C">
        <w:rPr>
          <w:lang w:val="en-AU"/>
        </w:rPr>
        <w:t xml:space="preserve"> </w:t>
      </w:r>
      <w:r w:rsidRPr="005C1784">
        <w:rPr>
          <w:i/>
          <w:iCs/>
          <w:lang w:val="en-AU"/>
        </w:rPr>
        <w:t>Southeast Asia Economic Strategy to 2040</w:t>
      </w:r>
      <w:r w:rsidRPr="0048535C">
        <w:rPr>
          <w:lang w:val="en-AU"/>
        </w:rPr>
        <w:t xml:space="preserve">, </w:t>
      </w:r>
      <w:r w:rsidR="00C534E1">
        <w:rPr>
          <w:lang w:val="en-AU"/>
        </w:rPr>
        <w:t xml:space="preserve">the </w:t>
      </w:r>
      <w:r w:rsidRPr="0048535C">
        <w:rPr>
          <w:lang w:val="en-AU"/>
        </w:rPr>
        <w:t xml:space="preserve">DPP, </w:t>
      </w:r>
      <w:r w:rsidR="00C534E1">
        <w:rPr>
          <w:lang w:val="en-AU"/>
        </w:rPr>
        <w:t xml:space="preserve">the </w:t>
      </w:r>
      <w:r w:rsidRPr="0048535C">
        <w:rPr>
          <w:lang w:val="en-AU"/>
        </w:rPr>
        <w:t>CSP, and DFAT’s commitments to governance and regional resilience.</w:t>
      </w:r>
    </w:p>
    <w:p w14:paraId="00BA39C9" w14:textId="43C68D38" w:rsidR="00902F90" w:rsidRPr="0048535C" w:rsidRDefault="00902F90" w:rsidP="00902F90">
      <w:pPr>
        <w:rPr>
          <w:szCs w:val="21"/>
          <w:lang w:val="en-AU"/>
        </w:rPr>
      </w:pPr>
      <w:r>
        <w:rPr>
          <w:szCs w:val="21"/>
          <w:lang w:val="en-AU"/>
        </w:rPr>
        <w:t xml:space="preserve">The </w:t>
      </w:r>
      <w:r>
        <w:rPr>
          <w:b/>
          <w:bCs/>
          <w:szCs w:val="21"/>
          <w:lang w:val="en-AU"/>
        </w:rPr>
        <w:t>Strategic O</w:t>
      </w:r>
      <w:r w:rsidRPr="00B57CB6">
        <w:rPr>
          <w:b/>
          <w:bCs/>
          <w:szCs w:val="21"/>
          <w:lang w:val="en-AU"/>
        </w:rPr>
        <w:t>bjective</w:t>
      </w:r>
      <w:r w:rsidRPr="0048535C">
        <w:rPr>
          <w:szCs w:val="21"/>
          <w:lang w:val="en-AU"/>
        </w:rPr>
        <w:t xml:space="preserve"> speaks to </w:t>
      </w:r>
      <w:proofErr w:type="spellStart"/>
      <w:r w:rsidRPr="0048535C">
        <w:rPr>
          <w:szCs w:val="21"/>
          <w:lang w:val="en-AU"/>
        </w:rPr>
        <w:t>Partisipasi’s</w:t>
      </w:r>
      <w:proofErr w:type="spellEnd"/>
      <w:r w:rsidRPr="0048535C">
        <w:rPr>
          <w:szCs w:val="21"/>
          <w:lang w:val="en-AU"/>
        </w:rPr>
        <w:t xml:space="preserve"> contribution to </w:t>
      </w:r>
      <w:r w:rsidR="00002709">
        <w:rPr>
          <w:szCs w:val="21"/>
          <w:lang w:val="en-AU"/>
        </w:rPr>
        <w:t>support</w:t>
      </w:r>
      <w:r w:rsidR="00C61901" w:rsidRPr="0048535C">
        <w:rPr>
          <w:szCs w:val="21"/>
          <w:lang w:val="en-AU"/>
        </w:rPr>
        <w:t xml:space="preserve"> </w:t>
      </w:r>
      <w:r w:rsidRPr="0048535C">
        <w:rPr>
          <w:szCs w:val="21"/>
          <w:lang w:val="en-AU"/>
        </w:rPr>
        <w:t>both civic and state actors</w:t>
      </w:r>
      <w:r w:rsidR="00092A2D">
        <w:rPr>
          <w:szCs w:val="21"/>
          <w:lang w:val="en-AU"/>
        </w:rPr>
        <w:t xml:space="preserve"> in Indonesia</w:t>
      </w:r>
      <w:r>
        <w:rPr>
          <w:szCs w:val="21"/>
          <w:lang w:val="en-AU"/>
        </w:rPr>
        <w:t xml:space="preserve">, </w:t>
      </w:r>
      <w:r w:rsidRPr="0048535C">
        <w:rPr>
          <w:szCs w:val="21"/>
          <w:lang w:val="en-AU"/>
        </w:rPr>
        <w:t>individually and collectively</w:t>
      </w:r>
      <w:r>
        <w:rPr>
          <w:szCs w:val="21"/>
          <w:lang w:val="en-AU"/>
        </w:rPr>
        <w:t xml:space="preserve">, </w:t>
      </w:r>
      <w:r w:rsidRPr="0048535C">
        <w:rPr>
          <w:szCs w:val="21"/>
          <w:lang w:val="en-AU"/>
        </w:rPr>
        <w:t xml:space="preserve">to </w:t>
      </w:r>
      <w:r w:rsidR="00A44E3D">
        <w:rPr>
          <w:szCs w:val="21"/>
          <w:lang w:val="en-AU"/>
        </w:rPr>
        <w:t>strengthen</w:t>
      </w:r>
      <w:r w:rsidR="00F20B3C">
        <w:rPr>
          <w:szCs w:val="21"/>
          <w:lang w:val="en-AU"/>
        </w:rPr>
        <w:t xml:space="preserve"> </w:t>
      </w:r>
      <w:r w:rsidR="00886F89">
        <w:rPr>
          <w:szCs w:val="21"/>
          <w:lang w:val="en-AU"/>
        </w:rPr>
        <w:t>substantive democracy in line with the</w:t>
      </w:r>
      <w:r w:rsidR="00DD499F">
        <w:rPr>
          <w:szCs w:val="21"/>
        </w:rPr>
        <w:t xml:space="preserve"> RPJPN</w:t>
      </w:r>
      <w:r w:rsidR="00364B61">
        <w:rPr>
          <w:szCs w:val="21"/>
        </w:rPr>
        <w:t xml:space="preserve">. The </w:t>
      </w:r>
      <w:r w:rsidRPr="00B57CB6">
        <w:rPr>
          <w:szCs w:val="21"/>
        </w:rPr>
        <w:t xml:space="preserve">RPJMN </w:t>
      </w:r>
      <w:r w:rsidR="00364B61">
        <w:rPr>
          <w:szCs w:val="21"/>
        </w:rPr>
        <w:t xml:space="preserve">includes </w:t>
      </w:r>
      <w:r w:rsidRPr="00B57CB6">
        <w:rPr>
          <w:szCs w:val="21"/>
        </w:rPr>
        <w:t>commitments to ensuring that democratic principles guarantee equal participation of all citizens, with</w:t>
      </w:r>
      <w:r>
        <w:rPr>
          <w:szCs w:val="21"/>
        </w:rPr>
        <w:t xml:space="preserve"> an</w:t>
      </w:r>
      <w:r w:rsidRPr="00B57CB6">
        <w:rPr>
          <w:szCs w:val="21"/>
        </w:rPr>
        <w:t xml:space="preserve"> emphasis on the protection and inclusion of vulnerable groups.</w:t>
      </w:r>
      <w:r w:rsidRPr="009D7CB4">
        <w:rPr>
          <w:szCs w:val="21"/>
        </w:rPr>
        <w:t xml:space="preserve"> </w:t>
      </w:r>
      <w:r w:rsidRPr="0048535C">
        <w:rPr>
          <w:szCs w:val="21"/>
          <w:lang w:val="en-AU"/>
        </w:rPr>
        <w:t>This includes deepening meaningful participation, expanding</w:t>
      </w:r>
      <w:r>
        <w:rPr>
          <w:szCs w:val="21"/>
          <w:lang w:val="en-AU"/>
        </w:rPr>
        <w:t xml:space="preserve"> </w:t>
      </w:r>
      <w:r w:rsidRPr="0048535C">
        <w:rPr>
          <w:szCs w:val="21"/>
          <w:lang w:val="en-AU"/>
        </w:rPr>
        <w:t>civic space</w:t>
      </w:r>
      <w:r>
        <w:rPr>
          <w:szCs w:val="21"/>
          <w:lang w:val="en-AU"/>
        </w:rPr>
        <w:t>s</w:t>
      </w:r>
      <w:r w:rsidRPr="0048535C">
        <w:rPr>
          <w:szCs w:val="21"/>
          <w:lang w:val="en-AU"/>
        </w:rPr>
        <w:t xml:space="preserve">, improving accountability mechanisms, and fostering collaboration across sectors and levels of government. </w:t>
      </w:r>
      <w:proofErr w:type="spellStart"/>
      <w:r w:rsidR="008D3E42">
        <w:rPr>
          <w:szCs w:val="21"/>
          <w:lang w:val="en-AU"/>
        </w:rPr>
        <w:t>Partisipasi</w:t>
      </w:r>
      <w:proofErr w:type="spellEnd"/>
      <w:r w:rsidRPr="0048535C">
        <w:rPr>
          <w:szCs w:val="21"/>
          <w:lang w:val="en-AU"/>
        </w:rPr>
        <w:t xml:space="preserve"> recognises that democratic practices must be owned and sustained by Indonesian actors, while also drawing value from regional and global partnerships, including with Australia.</w:t>
      </w:r>
    </w:p>
    <w:p w14:paraId="03477A03" w14:textId="7339509D" w:rsidR="00902F90" w:rsidRPr="0048535C" w:rsidRDefault="00902F90" w:rsidP="00902F90">
      <w:pPr>
        <w:rPr>
          <w:szCs w:val="21"/>
          <w:lang w:val="en-AU"/>
        </w:rPr>
      </w:pPr>
      <w:r w:rsidRPr="0048535C">
        <w:rPr>
          <w:b/>
          <w:bCs/>
          <w:szCs w:val="21"/>
          <w:lang w:val="en-AU"/>
        </w:rPr>
        <w:t>End</w:t>
      </w:r>
      <w:r w:rsidR="00D80435">
        <w:rPr>
          <w:b/>
          <w:bCs/>
          <w:szCs w:val="21"/>
          <w:lang w:val="en-AU"/>
        </w:rPr>
        <w:t xml:space="preserve"> </w:t>
      </w:r>
      <w:r w:rsidRPr="0048535C">
        <w:rPr>
          <w:b/>
          <w:bCs/>
          <w:szCs w:val="21"/>
          <w:lang w:val="en-AU"/>
        </w:rPr>
        <w:t>of</w:t>
      </w:r>
      <w:r w:rsidR="00D80435">
        <w:rPr>
          <w:b/>
          <w:bCs/>
          <w:szCs w:val="21"/>
          <w:lang w:val="en-AU"/>
        </w:rPr>
        <w:t xml:space="preserve"> </w:t>
      </w:r>
      <w:r w:rsidRPr="0048535C">
        <w:rPr>
          <w:b/>
          <w:bCs/>
          <w:szCs w:val="21"/>
          <w:lang w:val="en-AU"/>
        </w:rPr>
        <w:t xml:space="preserve">Program Outcomes </w:t>
      </w:r>
      <w:r>
        <w:rPr>
          <w:b/>
          <w:bCs/>
          <w:szCs w:val="21"/>
          <w:lang w:val="en-AU"/>
        </w:rPr>
        <w:t>by 2030</w:t>
      </w:r>
      <w:r w:rsidRPr="0048535C">
        <w:rPr>
          <w:b/>
          <w:bCs/>
          <w:szCs w:val="21"/>
          <w:lang w:val="en-AU"/>
        </w:rPr>
        <w:t xml:space="preserve">: </w:t>
      </w:r>
      <w:r w:rsidRPr="0048535C">
        <w:rPr>
          <w:szCs w:val="21"/>
          <w:lang w:val="en-AU"/>
        </w:rPr>
        <w:t xml:space="preserve">The </w:t>
      </w:r>
      <w:proofErr w:type="spellStart"/>
      <w:r w:rsidRPr="0048535C">
        <w:rPr>
          <w:szCs w:val="21"/>
          <w:lang w:val="en-AU"/>
        </w:rPr>
        <w:t>Partisipasi</w:t>
      </w:r>
      <w:proofErr w:type="spellEnd"/>
      <w:r w:rsidRPr="0048535C">
        <w:rPr>
          <w:szCs w:val="21"/>
          <w:lang w:val="en-AU"/>
        </w:rPr>
        <w:t xml:space="preserve"> program is designed to achieve </w:t>
      </w:r>
      <w:r w:rsidR="00DE3EC8">
        <w:rPr>
          <w:szCs w:val="21"/>
          <w:lang w:val="en-AU"/>
        </w:rPr>
        <w:t>three</w:t>
      </w:r>
      <w:r w:rsidR="00D80435" w:rsidRPr="0048535C">
        <w:rPr>
          <w:szCs w:val="21"/>
          <w:lang w:val="en-AU"/>
        </w:rPr>
        <w:t xml:space="preserve"> </w:t>
      </w:r>
      <w:r w:rsidRPr="0048535C">
        <w:rPr>
          <w:szCs w:val="21"/>
          <w:lang w:val="en-AU"/>
        </w:rPr>
        <w:t>interlinked</w:t>
      </w:r>
      <w:r>
        <w:rPr>
          <w:szCs w:val="21"/>
          <w:lang w:val="en-AU"/>
        </w:rPr>
        <w:t xml:space="preserve"> EOPOs, </w:t>
      </w:r>
      <w:r w:rsidRPr="0048535C">
        <w:rPr>
          <w:szCs w:val="21"/>
          <w:lang w:val="en-AU"/>
        </w:rPr>
        <w:t>underpinned by targeted Intermediate Outcomes (IOs). Together, these contribute to a strengthened, inclusive, and adaptive democratic ecosystem in Indonesia. EOPO1 reflects a focus on state actors and their critical role as both creators and caretakers of the procedural aspects to democratic governance. EOPO2</w:t>
      </w:r>
      <w:r w:rsidR="00DE3EC8">
        <w:rPr>
          <w:szCs w:val="21"/>
          <w:lang w:val="en-AU"/>
        </w:rPr>
        <w:t xml:space="preserve"> </w:t>
      </w:r>
      <w:r w:rsidRPr="0048535C">
        <w:rPr>
          <w:szCs w:val="21"/>
          <w:lang w:val="en-AU"/>
        </w:rPr>
        <w:t xml:space="preserve">focuses attention </w:t>
      </w:r>
      <w:r w:rsidR="00D80435">
        <w:rPr>
          <w:szCs w:val="21"/>
          <w:lang w:val="en-AU"/>
        </w:rPr>
        <w:t>on</w:t>
      </w:r>
      <w:r w:rsidR="00D80435" w:rsidRPr="0048535C">
        <w:rPr>
          <w:szCs w:val="21"/>
          <w:lang w:val="en-AU"/>
        </w:rPr>
        <w:t xml:space="preserve"> </w:t>
      </w:r>
      <w:r w:rsidRPr="0048535C">
        <w:rPr>
          <w:szCs w:val="21"/>
          <w:lang w:val="en-AU"/>
        </w:rPr>
        <w:t xml:space="preserve">the role civic actors and non-state institutions </w:t>
      </w:r>
      <w:r w:rsidR="00F12B8B" w:rsidRPr="0048535C">
        <w:rPr>
          <w:szCs w:val="21"/>
          <w:lang w:val="en-AU"/>
        </w:rPr>
        <w:t>(such as universities</w:t>
      </w:r>
      <w:r w:rsidR="00F12B8B">
        <w:rPr>
          <w:szCs w:val="21"/>
          <w:lang w:val="en-AU"/>
        </w:rPr>
        <w:t xml:space="preserve">, </w:t>
      </w:r>
      <w:r w:rsidR="00F12B8B" w:rsidRPr="0048535C">
        <w:rPr>
          <w:szCs w:val="21"/>
          <w:lang w:val="en-AU"/>
        </w:rPr>
        <w:t xml:space="preserve">think tanks and the media) </w:t>
      </w:r>
      <w:r>
        <w:rPr>
          <w:szCs w:val="21"/>
          <w:lang w:val="en-AU"/>
        </w:rPr>
        <w:t xml:space="preserve">play </w:t>
      </w:r>
      <w:r w:rsidRPr="0048535C">
        <w:rPr>
          <w:szCs w:val="21"/>
          <w:lang w:val="en-AU"/>
        </w:rPr>
        <w:t xml:space="preserve">in upholding substantive democracy </w:t>
      </w:r>
      <w:r w:rsidR="00D80435">
        <w:rPr>
          <w:szCs w:val="21"/>
          <w:lang w:val="en-AU"/>
        </w:rPr>
        <w:t>(</w:t>
      </w:r>
      <w:r w:rsidRPr="0048535C">
        <w:rPr>
          <w:szCs w:val="21"/>
          <w:lang w:val="en-AU"/>
        </w:rPr>
        <w:t>i.e. democratic norms, values</w:t>
      </w:r>
      <w:r>
        <w:rPr>
          <w:szCs w:val="21"/>
          <w:lang w:val="en-AU"/>
        </w:rPr>
        <w:t xml:space="preserve"> </w:t>
      </w:r>
      <w:r w:rsidRPr="0048535C">
        <w:rPr>
          <w:szCs w:val="21"/>
          <w:lang w:val="en-AU"/>
        </w:rPr>
        <w:t>and practices</w:t>
      </w:r>
      <w:r w:rsidR="00D80435">
        <w:rPr>
          <w:szCs w:val="21"/>
          <w:lang w:val="en-AU"/>
        </w:rPr>
        <w:t>)</w:t>
      </w:r>
      <w:r w:rsidRPr="0048535C">
        <w:rPr>
          <w:szCs w:val="21"/>
          <w:lang w:val="en-AU"/>
        </w:rPr>
        <w:t xml:space="preserve">. It also draws attention to the importance of connections and networks between them. EOPO3 draws attention to the importance of promoting an open and positive nexus between state and non-state actors to </w:t>
      </w:r>
      <w:r w:rsidR="00891EF1">
        <w:rPr>
          <w:szCs w:val="21"/>
          <w:lang w:val="en-AU"/>
        </w:rPr>
        <w:t>ensure democratic</w:t>
      </w:r>
      <w:r w:rsidRPr="0048535C">
        <w:rPr>
          <w:szCs w:val="21"/>
          <w:lang w:val="en-AU"/>
        </w:rPr>
        <w:t xml:space="preserve"> participation. </w:t>
      </w:r>
    </w:p>
    <w:p w14:paraId="68207C16" w14:textId="3C855A9C" w:rsidR="00902F90" w:rsidRPr="005048E9" w:rsidRDefault="00902F90" w:rsidP="00902F90">
      <w:pPr>
        <w:pStyle w:val="Heading3Numbered"/>
      </w:pPr>
      <w:r w:rsidRPr="005048E9">
        <w:t>EOPO1 Strengthened Institutional Resilience</w:t>
      </w:r>
    </w:p>
    <w:p w14:paraId="414549C5" w14:textId="2C064C19" w:rsidR="00902F90" w:rsidRPr="00D541A5" w:rsidRDefault="00902F90" w:rsidP="00902F90">
      <w:pPr>
        <w:rPr>
          <w:lang w:val="en-AU"/>
        </w:rPr>
      </w:pPr>
      <w:r w:rsidRPr="00D541A5">
        <w:rPr>
          <w:lang w:val="en-AU"/>
        </w:rPr>
        <w:t xml:space="preserve">This outcome </w:t>
      </w:r>
      <w:r>
        <w:rPr>
          <w:lang w:val="en-AU"/>
        </w:rPr>
        <w:t xml:space="preserve">chain </w:t>
      </w:r>
      <w:r w:rsidRPr="00D541A5">
        <w:rPr>
          <w:lang w:val="en-AU"/>
        </w:rPr>
        <w:t xml:space="preserve">reflects </w:t>
      </w:r>
      <w:proofErr w:type="spellStart"/>
      <w:r w:rsidRPr="00D84A7F">
        <w:rPr>
          <w:iCs/>
          <w:lang w:val="en-AU"/>
        </w:rPr>
        <w:t>Partisipasi</w:t>
      </w:r>
      <w:r w:rsidRPr="00D541A5">
        <w:rPr>
          <w:lang w:val="en-AU"/>
        </w:rPr>
        <w:t>’s</w:t>
      </w:r>
      <w:proofErr w:type="spellEnd"/>
      <w:r w:rsidRPr="00D541A5">
        <w:rPr>
          <w:lang w:val="en-AU"/>
        </w:rPr>
        <w:t xml:space="preserve"> strategic commitment to </w:t>
      </w:r>
      <w:r w:rsidR="00886F89">
        <w:rPr>
          <w:lang w:val="en-AU"/>
        </w:rPr>
        <w:t xml:space="preserve">supporting Indonesian state actors to </w:t>
      </w:r>
      <w:r w:rsidRPr="00D541A5">
        <w:rPr>
          <w:lang w:val="en-AU"/>
        </w:rPr>
        <w:t xml:space="preserve">strengthen the institutional </w:t>
      </w:r>
      <w:r>
        <w:rPr>
          <w:lang w:val="en-AU"/>
        </w:rPr>
        <w:t xml:space="preserve">and procedural </w:t>
      </w:r>
      <w:r w:rsidRPr="00D541A5">
        <w:rPr>
          <w:lang w:val="en-AU"/>
        </w:rPr>
        <w:t xml:space="preserve">foundations of Indonesia’s democracy. </w:t>
      </w:r>
      <w:r w:rsidRPr="00A150A7">
        <w:rPr>
          <w:lang w:val="en-AU"/>
        </w:rPr>
        <w:t xml:space="preserve">Its focus on state actors recognises their critical role as both creators and caretakers of the procedural aspects to democratic governance and managing and mitigating democratic vulnerabilities such as money politics and declining public confidence. The ambition of this outcome chain </w:t>
      </w:r>
      <w:r w:rsidR="00B82ECB">
        <w:rPr>
          <w:lang w:val="en-AU"/>
        </w:rPr>
        <w:t xml:space="preserve">recognises that </w:t>
      </w:r>
      <w:r w:rsidRPr="00A150A7">
        <w:rPr>
          <w:lang w:val="en-AU"/>
        </w:rPr>
        <w:t xml:space="preserve">influences external to the </w:t>
      </w:r>
      <w:r w:rsidR="00646463">
        <w:rPr>
          <w:lang w:val="en-AU"/>
        </w:rPr>
        <w:t>p</w:t>
      </w:r>
      <w:r w:rsidRPr="00A150A7">
        <w:rPr>
          <w:lang w:val="en-AU"/>
        </w:rPr>
        <w:t xml:space="preserve">rogram are likely to </w:t>
      </w:r>
      <w:r w:rsidR="00424A41">
        <w:rPr>
          <w:lang w:val="en-AU"/>
        </w:rPr>
        <w:t>drive</w:t>
      </w:r>
      <w:r w:rsidR="00424A41" w:rsidRPr="00A150A7">
        <w:rPr>
          <w:lang w:val="en-AU"/>
        </w:rPr>
        <w:t xml:space="preserve"> </w:t>
      </w:r>
      <w:r w:rsidRPr="00A150A7">
        <w:rPr>
          <w:lang w:val="en-AU"/>
        </w:rPr>
        <w:t xml:space="preserve">the trajectory of state institutions. It recognises that the </w:t>
      </w:r>
      <w:r w:rsidR="00646463">
        <w:rPr>
          <w:lang w:val="en-AU"/>
        </w:rPr>
        <w:t>p</w:t>
      </w:r>
      <w:r w:rsidRPr="00A150A7">
        <w:rPr>
          <w:lang w:val="en-AU"/>
        </w:rPr>
        <w:t>rogram will not have the power, resources, or influence to strengthen democratic governance</w:t>
      </w:r>
      <w:r>
        <w:rPr>
          <w:lang w:val="en-AU"/>
        </w:rPr>
        <w:t>.</w:t>
      </w:r>
      <w:r w:rsidRPr="00A150A7">
        <w:rPr>
          <w:lang w:val="en-AU"/>
        </w:rPr>
        <w:t xml:space="preserve"> </w:t>
      </w:r>
      <w:r>
        <w:rPr>
          <w:lang w:val="en-AU"/>
        </w:rPr>
        <w:t>R</w:t>
      </w:r>
      <w:r w:rsidRPr="00A150A7">
        <w:rPr>
          <w:lang w:val="en-AU"/>
        </w:rPr>
        <w:t>ather</w:t>
      </w:r>
      <w:r>
        <w:rPr>
          <w:lang w:val="en-AU"/>
        </w:rPr>
        <w:t>,</w:t>
      </w:r>
      <w:r w:rsidRPr="00A150A7">
        <w:rPr>
          <w:lang w:val="en-AU"/>
        </w:rPr>
        <w:t xml:space="preserve"> it expects that </w:t>
      </w:r>
      <w:proofErr w:type="spellStart"/>
      <w:r w:rsidRPr="00D84A7F">
        <w:rPr>
          <w:iCs/>
          <w:lang w:val="en-AU"/>
        </w:rPr>
        <w:t>Partisipasi</w:t>
      </w:r>
      <w:proofErr w:type="spellEnd"/>
      <w:r w:rsidRPr="00A150A7">
        <w:rPr>
          <w:lang w:val="en-AU"/>
        </w:rPr>
        <w:t xml:space="preserve"> can increase the capacity of state actors to do so (which they can draw upon when circumstances or opportunities arise, recognising that changed policy, procedures and behaviours sit</w:t>
      </w:r>
      <w:r>
        <w:rPr>
          <w:lang w:val="en-AU"/>
        </w:rPr>
        <w:t xml:space="preserve"> </w:t>
      </w:r>
      <w:r w:rsidRPr="00A150A7">
        <w:rPr>
          <w:lang w:val="en-AU"/>
        </w:rPr>
        <w:t>beyond the sphere of influence of the program).</w:t>
      </w:r>
      <w:r>
        <w:rPr>
          <w:lang w:val="en-AU"/>
        </w:rPr>
        <w:t xml:space="preserve"> </w:t>
      </w:r>
    </w:p>
    <w:p w14:paraId="1A2BD9C5" w14:textId="0C367D48" w:rsidR="00902F90" w:rsidRDefault="00902F90" w:rsidP="00902F90">
      <w:pPr>
        <w:rPr>
          <w:szCs w:val="21"/>
          <w:lang w:val="en-AU"/>
        </w:rPr>
      </w:pPr>
      <w:proofErr w:type="spellStart"/>
      <w:r w:rsidRPr="005C1784">
        <w:rPr>
          <w:b/>
          <w:iCs/>
          <w:szCs w:val="21"/>
          <w:lang w:val="en-AU"/>
        </w:rPr>
        <w:t>Partisipasi</w:t>
      </w:r>
      <w:proofErr w:type="spellEnd"/>
      <w:r w:rsidRPr="00EE2E5C">
        <w:rPr>
          <w:b/>
          <w:szCs w:val="21"/>
          <w:lang w:val="en-AU"/>
        </w:rPr>
        <w:t xml:space="preserve"> will</w:t>
      </w:r>
      <w:r w:rsidRPr="00B57CB6">
        <w:rPr>
          <w:b/>
          <w:bCs/>
          <w:szCs w:val="21"/>
          <w:lang w:val="en-AU"/>
        </w:rPr>
        <w:t xml:space="preserve"> </w:t>
      </w:r>
      <w:r>
        <w:rPr>
          <w:b/>
          <w:bCs/>
          <w:szCs w:val="21"/>
          <w:lang w:val="en-AU"/>
        </w:rPr>
        <w:t>prioritise</w:t>
      </w:r>
      <w:r>
        <w:rPr>
          <w:b/>
          <w:szCs w:val="21"/>
          <w:lang w:val="en-AU"/>
        </w:rPr>
        <w:t xml:space="preserve"> </w:t>
      </w:r>
      <w:r w:rsidRPr="00B57CB6">
        <w:rPr>
          <w:b/>
          <w:bCs/>
          <w:szCs w:val="21"/>
          <w:lang w:val="en-AU"/>
        </w:rPr>
        <w:t xml:space="preserve">support </w:t>
      </w:r>
      <w:r>
        <w:rPr>
          <w:b/>
          <w:bCs/>
          <w:szCs w:val="21"/>
          <w:lang w:val="en-AU"/>
        </w:rPr>
        <w:t xml:space="preserve">to </w:t>
      </w:r>
      <w:r w:rsidRPr="00B57CB6">
        <w:rPr>
          <w:b/>
          <w:bCs/>
          <w:szCs w:val="21"/>
          <w:lang w:val="en-AU"/>
        </w:rPr>
        <w:t>the following key democratic institutions nationally and sub</w:t>
      </w:r>
      <w:r w:rsidR="006D01AA">
        <w:rPr>
          <w:b/>
          <w:bCs/>
          <w:szCs w:val="21"/>
          <w:lang w:val="en-AU"/>
        </w:rPr>
        <w:t>-</w:t>
      </w:r>
      <w:r w:rsidRPr="00B57CB6">
        <w:rPr>
          <w:b/>
          <w:bCs/>
          <w:szCs w:val="21"/>
          <w:lang w:val="en-AU"/>
        </w:rPr>
        <w:t xml:space="preserve">nationally: electoral management bodies (KPU </w:t>
      </w:r>
      <w:r w:rsidR="00E043A9">
        <w:rPr>
          <w:b/>
          <w:bCs/>
          <w:szCs w:val="21"/>
          <w:lang w:val="en-AU"/>
        </w:rPr>
        <w:t xml:space="preserve">and </w:t>
      </w:r>
      <w:proofErr w:type="spellStart"/>
      <w:r w:rsidRPr="00B57CB6">
        <w:rPr>
          <w:b/>
          <w:bCs/>
          <w:szCs w:val="21"/>
          <w:lang w:val="en-AU"/>
        </w:rPr>
        <w:t>Bawaslu</w:t>
      </w:r>
      <w:proofErr w:type="spellEnd"/>
      <w:r w:rsidRPr="00B57CB6">
        <w:rPr>
          <w:b/>
          <w:bCs/>
          <w:szCs w:val="21"/>
          <w:lang w:val="en-AU"/>
        </w:rPr>
        <w:t>) and parliament</w:t>
      </w:r>
      <w:r>
        <w:rPr>
          <w:b/>
          <w:bCs/>
          <w:szCs w:val="21"/>
          <w:lang w:val="en-AU"/>
        </w:rPr>
        <w:t xml:space="preserve"> (DPR and selected subnational assemblies)</w:t>
      </w:r>
      <w:r w:rsidRPr="00B57CB6">
        <w:rPr>
          <w:b/>
          <w:bCs/>
          <w:szCs w:val="21"/>
          <w:lang w:val="en-AU"/>
        </w:rPr>
        <w:t xml:space="preserve">. </w:t>
      </w:r>
      <w:r>
        <w:rPr>
          <w:szCs w:val="21"/>
          <w:lang w:val="en-AU"/>
        </w:rPr>
        <w:t xml:space="preserve">The program </w:t>
      </w:r>
      <w:r w:rsidR="001B3AD5">
        <w:rPr>
          <w:szCs w:val="21"/>
          <w:lang w:val="en-AU"/>
        </w:rPr>
        <w:t>may</w:t>
      </w:r>
      <w:r>
        <w:rPr>
          <w:szCs w:val="21"/>
          <w:lang w:val="en-AU"/>
        </w:rPr>
        <w:t xml:space="preserve"> also provide targeted assistance to other relevant </w:t>
      </w:r>
      <w:proofErr w:type="spellStart"/>
      <w:r>
        <w:rPr>
          <w:szCs w:val="21"/>
          <w:lang w:val="en-AU"/>
        </w:rPr>
        <w:t>GoI</w:t>
      </w:r>
      <w:proofErr w:type="spellEnd"/>
      <w:r>
        <w:rPr>
          <w:szCs w:val="21"/>
          <w:lang w:val="en-AU"/>
        </w:rPr>
        <w:t xml:space="preserve"> agencies in line with the </w:t>
      </w:r>
      <w:r w:rsidR="00E043A9">
        <w:rPr>
          <w:szCs w:val="21"/>
          <w:lang w:val="en-AU"/>
        </w:rPr>
        <w:t>p</w:t>
      </w:r>
      <w:r>
        <w:rPr>
          <w:szCs w:val="21"/>
          <w:lang w:val="en-AU"/>
        </w:rPr>
        <w:t>rogram’s focus areas</w:t>
      </w:r>
      <w:r w:rsidR="00E043A9">
        <w:rPr>
          <w:szCs w:val="21"/>
          <w:lang w:val="en-AU"/>
        </w:rPr>
        <w:t xml:space="preserve">, </w:t>
      </w:r>
      <w:proofErr w:type="gramStart"/>
      <w:r w:rsidR="00E043A9">
        <w:rPr>
          <w:szCs w:val="21"/>
          <w:lang w:val="en-AU"/>
        </w:rPr>
        <w:t>including</w:t>
      </w:r>
      <w:r>
        <w:rPr>
          <w:szCs w:val="21"/>
          <w:lang w:val="en-AU"/>
        </w:rPr>
        <w:t>:</w:t>
      </w:r>
      <w:proofErr w:type="gramEnd"/>
      <w:r>
        <w:rPr>
          <w:szCs w:val="21"/>
          <w:lang w:val="en-AU"/>
        </w:rPr>
        <w:t xml:space="preserve"> Ministry of National Development Planning (</w:t>
      </w:r>
      <w:proofErr w:type="spellStart"/>
      <w:r>
        <w:rPr>
          <w:szCs w:val="21"/>
          <w:lang w:val="en-AU"/>
        </w:rPr>
        <w:t>Bappenas</w:t>
      </w:r>
      <w:proofErr w:type="spellEnd"/>
      <w:r>
        <w:rPr>
          <w:szCs w:val="21"/>
          <w:lang w:val="en-AU"/>
        </w:rPr>
        <w:t>); Ministry of Communication and Digital</w:t>
      </w:r>
      <w:r w:rsidR="00E043A9">
        <w:rPr>
          <w:szCs w:val="21"/>
          <w:lang w:val="en-AU"/>
        </w:rPr>
        <w:t xml:space="preserve"> Affairs</w:t>
      </w:r>
      <w:r>
        <w:rPr>
          <w:szCs w:val="21"/>
          <w:lang w:val="en-AU"/>
        </w:rPr>
        <w:t xml:space="preserve">, Ministry of Home Affairs, and the Constitutional Court (given their role in election dispute resolution). </w:t>
      </w:r>
    </w:p>
    <w:p w14:paraId="1F4E0DD2" w14:textId="68C548F3" w:rsidR="00902F90" w:rsidRDefault="00902F90" w:rsidP="00902F90">
      <w:pPr>
        <w:rPr>
          <w:szCs w:val="21"/>
          <w:lang w:val="en-AU"/>
        </w:rPr>
      </w:pPr>
      <w:r>
        <w:rPr>
          <w:szCs w:val="21"/>
          <w:lang w:val="en-AU"/>
        </w:rPr>
        <w:t>T</w:t>
      </w:r>
      <w:r w:rsidRPr="00D541A5">
        <w:rPr>
          <w:szCs w:val="21"/>
          <w:lang w:val="en-AU"/>
        </w:rPr>
        <w:t xml:space="preserve">he program will invest </w:t>
      </w:r>
      <w:r>
        <w:rPr>
          <w:szCs w:val="21"/>
          <w:lang w:val="en-AU"/>
        </w:rPr>
        <w:t xml:space="preserve">through politically informed </w:t>
      </w:r>
      <w:r w:rsidRPr="00D541A5">
        <w:rPr>
          <w:szCs w:val="21"/>
          <w:lang w:val="en-AU"/>
        </w:rPr>
        <w:t>approach</w:t>
      </w:r>
      <w:r>
        <w:rPr>
          <w:szCs w:val="21"/>
          <w:lang w:val="en-AU"/>
        </w:rPr>
        <w:t>es that build trust, networks and confidence</w:t>
      </w:r>
      <w:r w:rsidR="00691D0D">
        <w:rPr>
          <w:szCs w:val="21"/>
          <w:lang w:val="en-AU"/>
        </w:rPr>
        <w:t>,</w:t>
      </w:r>
      <w:r w:rsidRPr="00D541A5">
        <w:rPr>
          <w:szCs w:val="21"/>
          <w:lang w:val="en-AU"/>
        </w:rPr>
        <w:t xml:space="preserve"> </w:t>
      </w:r>
      <w:r>
        <w:rPr>
          <w:szCs w:val="21"/>
          <w:lang w:val="en-AU"/>
        </w:rPr>
        <w:t>such as</w:t>
      </w:r>
      <w:r w:rsidRPr="00D541A5">
        <w:rPr>
          <w:szCs w:val="21"/>
          <w:lang w:val="en-AU"/>
        </w:rPr>
        <w:t xml:space="preserve"> </w:t>
      </w:r>
      <w:r w:rsidR="00F12B8B">
        <w:rPr>
          <w:szCs w:val="21"/>
          <w:lang w:val="en-AU"/>
        </w:rPr>
        <w:t xml:space="preserve">peer-to-peer and institutional </w:t>
      </w:r>
      <w:r w:rsidRPr="00D541A5">
        <w:rPr>
          <w:szCs w:val="21"/>
          <w:lang w:val="en-AU"/>
        </w:rPr>
        <w:t xml:space="preserve">partnerships, technical assistance, policy dialogue, learning and </w:t>
      </w:r>
      <w:r w:rsidRPr="00D541A5">
        <w:rPr>
          <w:szCs w:val="21"/>
          <w:lang w:val="en-AU"/>
        </w:rPr>
        <w:lastRenderedPageBreak/>
        <w:t>innovation</w:t>
      </w:r>
      <w:r w:rsidR="00691D0D">
        <w:rPr>
          <w:szCs w:val="21"/>
          <w:lang w:val="en-AU"/>
        </w:rPr>
        <w:t>,</w:t>
      </w:r>
      <w:r w:rsidRPr="00D541A5">
        <w:rPr>
          <w:szCs w:val="21"/>
          <w:lang w:val="en-AU"/>
        </w:rPr>
        <w:t xml:space="preserve"> to strengthen institutional functions and responsiveness.</w:t>
      </w:r>
      <w:r>
        <w:rPr>
          <w:szCs w:val="21"/>
          <w:lang w:val="en-AU"/>
        </w:rPr>
        <w:t xml:space="preserve"> Activities</w:t>
      </w:r>
      <w:r w:rsidRPr="00370BC3">
        <w:rPr>
          <w:szCs w:val="21"/>
          <w:lang w:val="en-AU"/>
        </w:rPr>
        <w:t xml:space="preserve"> will </w:t>
      </w:r>
      <w:r>
        <w:rPr>
          <w:szCs w:val="21"/>
          <w:lang w:val="en-AU"/>
        </w:rPr>
        <w:t>include knowledge building,</w:t>
      </w:r>
      <w:r w:rsidRPr="00370BC3">
        <w:rPr>
          <w:szCs w:val="21"/>
          <w:lang w:val="en-AU"/>
        </w:rPr>
        <w:t xml:space="preserve"> developing practical skills, participatory tools, and inclusive decision-making practices</w:t>
      </w:r>
      <w:r>
        <w:rPr>
          <w:szCs w:val="21"/>
          <w:lang w:val="en-AU"/>
        </w:rPr>
        <w:t>. C</w:t>
      </w:r>
      <w:r w:rsidRPr="00370BC3">
        <w:rPr>
          <w:szCs w:val="21"/>
          <w:lang w:val="en-AU"/>
        </w:rPr>
        <w:t>o</w:t>
      </w:r>
      <w:r>
        <w:rPr>
          <w:szCs w:val="21"/>
          <w:lang w:val="en-AU"/>
        </w:rPr>
        <w:t xml:space="preserve">llaboration </w:t>
      </w:r>
      <w:r w:rsidRPr="00370BC3">
        <w:rPr>
          <w:szCs w:val="21"/>
          <w:lang w:val="en-AU"/>
        </w:rPr>
        <w:t>will be enhanced through dialogue mechanisms across electoral and parliamentary bodies, with civil society</w:t>
      </w:r>
      <w:r>
        <w:rPr>
          <w:szCs w:val="21"/>
          <w:lang w:val="en-AU"/>
        </w:rPr>
        <w:t>, and through international engagement.</w:t>
      </w:r>
    </w:p>
    <w:p w14:paraId="1182B716" w14:textId="1C9FF304" w:rsidR="00B36E59" w:rsidRPr="00CD46B9" w:rsidRDefault="00B36E59" w:rsidP="00B36E59">
      <w:pPr>
        <w:rPr>
          <w:b/>
          <w:bCs/>
          <w:szCs w:val="21"/>
          <w:lang w:val="en-AU"/>
        </w:rPr>
      </w:pPr>
      <w:r w:rsidRPr="00CD46B9">
        <w:rPr>
          <w:b/>
          <w:bCs/>
          <w:szCs w:val="21"/>
          <w:lang w:val="en-AU"/>
        </w:rPr>
        <w:t>IO1.</w:t>
      </w:r>
      <w:r>
        <w:rPr>
          <w:b/>
          <w:bCs/>
          <w:szCs w:val="21"/>
          <w:lang w:val="en-AU"/>
        </w:rPr>
        <w:t>1</w:t>
      </w:r>
      <w:r w:rsidRPr="00CD46B9">
        <w:rPr>
          <w:b/>
          <w:bCs/>
          <w:szCs w:val="21"/>
          <w:lang w:val="en-AU"/>
        </w:rPr>
        <w:t xml:space="preserve"> </w:t>
      </w:r>
      <w:r w:rsidRPr="009949D5">
        <w:rPr>
          <w:szCs w:val="21"/>
        </w:rPr>
        <w:t xml:space="preserve">leverages Australia’s position as a </w:t>
      </w:r>
      <w:r w:rsidR="005048E9">
        <w:rPr>
          <w:szCs w:val="21"/>
        </w:rPr>
        <w:t>trusted</w:t>
      </w:r>
      <w:r w:rsidRPr="009949D5">
        <w:rPr>
          <w:szCs w:val="21"/>
        </w:rPr>
        <w:t xml:space="preserve"> and capable </w:t>
      </w:r>
      <w:r>
        <w:rPr>
          <w:szCs w:val="21"/>
        </w:rPr>
        <w:t xml:space="preserve">democratic </w:t>
      </w:r>
      <w:r w:rsidRPr="009949D5">
        <w:rPr>
          <w:szCs w:val="21"/>
        </w:rPr>
        <w:t xml:space="preserve">partner, with relevant experience in electoral integrity, public sector accountability, and </w:t>
      </w:r>
      <w:r>
        <w:rPr>
          <w:szCs w:val="21"/>
        </w:rPr>
        <w:t>civic participation</w:t>
      </w:r>
      <w:r w:rsidRPr="009949D5">
        <w:rPr>
          <w:szCs w:val="21"/>
        </w:rPr>
        <w:t xml:space="preserve">. </w:t>
      </w:r>
      <w:r w:rsidRPr="007618AC">
        <w:rPr>
          <w:szCs w:val="21"/>
        </w:rPr>
        <w:t>Engagement will centre on peer-to-peer relationships with counterparts such as the Australian Electoral Commission (AEC)</w:t>
      </w:r>
      <w:r>
        <w:rPr>
          <w:szCs w:val="21"/>
        </w:rPr>
        <w:t xml:space="preserve"> or the</w:t>
      </w:r>
      <w:r w:rsidRPr="007618AC">
        <w:rPr>
          <w:szCs w:val="21"/>
        </w:rPr>
        <w:t xml:space="preserve"> Australian Parliament</w:t>
      </w:r>
      <w:r>
        <w:rPr>
          <w:szCs w:val="21"/>
        </w:rPr>
        <w:t xml:space="preserve">. </w:t>
      </w:r>
      <w:r w:rsidRPr="00B53A83">
        <w:rPr>
          <w:szCs w:val="21"/>
        </w:rPr>
        <w:t>The</w:t>
      </w:r>
      <w:r>
        <w:rPr>
          <w:szCs w:val="21"/>
        </w:rPr>
        <w:t xml:space="preserve"> approach </w:t>
      </w:r>
      <w:r w:rsidRPr="00B53A83">
        <w:rPr>
          <w:szCs w:val="21"/>
        </w:rPr>
        <w:t xml:space="preserve">will prioritise mutual learning and problem-solving on </w:t>
      </w:r>
      <w:r>
        <w:rPr>
          <w:szCs w:val="21"/>
        </w:rPr>
        <w:t xml:space="preserve">ways to safeguard democracy in the face of </w:t>
      </w:r>
      <w:r w:rsidR="00E44452">
        <w:rPr>
          <w:szCs w:val="21"/>
        </w:rPr>
        <w:t xml:space="preserve">shared </w:t>
      </w:r>
      <w:r>
        <w:rPr>
          <w:szCs w:val="21"/>
        </w:rPr>
        <w:t>challenges</w:t>
      </w:r>
      <w:r w:rsidRPr="00B53A83">
        <w:rPr>
          <w:szCs w:val="21"/>
        </w:rPr>
        <w:t>.</w:t>
      </w:r>
      <w:r>
        <w:rPr>
          <w:szCs w:val="21"/>
        </w:rPr>
        <w:t xml:space="preserve"> In the future, these engagements may be extended to include </w:t>
      </w:r>
      <w:r w:rsidRPr="007618AC">
        <w:rPr>
          <w:szCs w:val="21"/>
        </w:rPr>
        <w:t>relevant state-level electoral bodies</w:t>
      </w:r>
      <w:r>
        <w:rPr>
          <w:szCs w:val="21"/>
        </w:rPr>
        <w:t xml:space="preserve"> and other institutional linkages if demand and resources become available</w:t>
      </w:r>
      <w:r w:rsidRPr="007618AC">
        <w:rPr>
          <w:szCs w:val="21"/>
        </w:rPr>
        <w:t xml:space="preserve">. </w:t>
      </w:r>
    </w:p>
    <w:p w14:paraId="1074EE0F" w14:textId="7A7CED8E" w:rsidR="00902F90" w:rsidRPr="00446371" w:rsidRDefault="00902F90" w:rsidP="00902F90">
      <w:pPr>
        <w:rPr>
          <w:b/>
          <w:bCs/>
          <w:szCs w:val="21"/>
          <w:lang w:val="en-AU"/>
        </w:rPr>
      </w:pPr>
      <w:r w:rsidRPr="00CD46B9">
        <w:rPr>
          <w:b/>
          <w:bCs/>
          <w:szCs w:val="21"/>
          <w:lang w:val="en-AU"/>
        </w:rPr>
        <w:t>IO1.</w:t>
      </w:r>
      <w:r w:rsidR="0074508D">
        <w:rPr>
          <w:b/>
          <w:bCs/>
          <w:szCs w:val="21"/>
          <w:lang w:val="en-AU"/>
        </w:rPr>
        <w:t>2</w:t>
      </w:r>
      <w:r w:rsidRPr="00CD46B9">
        <w:rPr>
          <w:b/>
          <w:bCs/>
          <w:szCs w:val="21"/>
          <w:lang w:val="en-AU"/>
        </w:rPr>
        <w:t xml:space="preserve"> </w:t>
      </w:r>
      <w:r w:rsidRPr="00676407">
        <w:rPr>
          <w:szCs w:val="21"/>
        </w:rPr>
        <w:t xml:space="preserve">focuses on </w:t>
      </w:r>
      <w:r w:rsidRPr="007F727E">
        <w:rPr>
          <w:szCs w:val="21"/>
        </w:rPr>
        <w:t xml:space="preserve">equipping Indonesian democratic institutions with the </w:t>
      </w:r>
      <w:r>
        <w:rPr>
          <w:szCs w:val="21"/>
        </w:rPr>
        <w:t xml:space="preserve">knowledge, </w:t>
      </w:r>
      <w:r w:rsidRPr="007F727E">
        <w:rPr>
          <w:szCs w:val="21"/>
        </w:rPr>
        <w:t xml:space="preserve">skills, </w:t>
      </w:r>
      <w:r>
        <w:rPr>
          <w:szCs w:val="21"/>
        </w:rPr>
        <w:t xml:space="preserve">and </w:t>
      </w:r>
      <w:r w:rsidRPr="007F727E">
        <w:rPr>
          <w:szCs w:val="21"/>
        </w:rPr>
        <w:t>practices required to uphold</w:t>
      </w:r>
      <w:r>
        <w:rPr>
          <w:szCs w:val="21"/>
        </w:rPr>
        <w:t xml:space="preserve"> democratic processes and</w:t>
      </w:r>
      <w:r w:rsidRPr="007F727E">
        <w:rPr>
          <w:szCs w:val="21"/>
        </w:rPr>
        <w:t xml:space="preserve"> integrity. This includes strengthening institutional adaptability, reinforcing checks and balances, and embedding GEDSI-sensitive practices</w:t>
      </w:r>
      <w:r w:rsidRPr="00CD46B9">
        <w:rPr>
          <w:szCs w:val="21"/>
          <w:lang w:val="en-AU"/>
        </w:rPr>
        <w:t>.</w:t>
      </w:r>
    </w:p>
    <w:p w14:paraId="7AD82934" w14:textId="23680D8B" w:rsidR="00902F90" w:rsidRDefault="00902F90" w:rsidP="00902F90">
      <w:pPr>
        <w:rPr>
          <w:szCs w:val="21"/>
          <w:lang w:val="en-AU"/>
        </w:rPr>
      </w:pPr>
      <w:r>
        <w:rPr>
          <w:b/>
          <w:bCs/>
          <w:szCs w:val="21"/>
        </w:rPr>
        <w:t xml:space="preserve">What success would look like: </w:t>
      </w:r>
      <w:r w:rsidRPr="00C603BA">
        <w:rPr>
          <w:szCs w:val="21"/>
        </w:rPr>
        <w:t xml:space="preserve">Success for </w:t>
      </w:r>
      <w:r>
        <w:rPr>
          <w:szCs w:val="21"/>
        </w:rPr>
        <w:t>EOPO1</w:t>
      </w:r>
      <w:r w:rsidRPr="00C603BA">
        <w:rPr>
          <w:szCs w:val="21"/>
        </w:rPr>
        <w:t xml:space="preserve"> will not be measured by isolated activities</w:t>
      </w:r>
      <w:r>
        <w:rPr>
          <w:szCs w:val="21"/>
        </w:rPr>
        <w:t xml:space="preserve"> or by the overall performance of the institutions</w:t>
      </w:r>
      <w:r w:rsidRPr="00C603BA">
        <w:rPr>
          <w:szCs w:val="21"/>
        </w:rPr>
        <w:t xml:space="preserve">, but by the degree to which </w:t>
      </w:r>
      <w:r>
        <w:rPr>
          <w:szCs w:val="21"/>
        </w:rPr>
        <w:t xml:space="preserve">the relevant state actors are better equipped to </w:t>
      </w:r>
      <w:r w:rsidR="00DC72C5">
        <w:rPr>
          <w:szCs w:val="21"/>
        </w:rPr>
        <w:t>safeguard democratic functions</w:t>
      </w:r>
      <w:r w:rsidRPr="00486F72">
        <w:rPr>
          <w:szCs w:val="21"/>
        </w:rPr>
        <w:t xml:space="preserve">, </w:t>
      </w:r>
      <w:r>
        <w:rPr>
          <w:szCs w:val="21"/>
        </w:rPr>
        <w:t xml:space="preserve">manage public expectations, </w:t>
      </w:r>
      <w:r w:rsidRPr="00486F72">
        <w:rPr>
          <w:szCs w:val="21"/>
        </w:rPr>
        <w:t>and sustain inclusive participation in both normal and high-risk contexts</w:t>
      </w:r>
      <w:r w:rsidRPr="007552AB">
        <w:rPr>
          <w:szCs w:val="21"/>
        </w:rPr>
        <w:t>. A successful</w:t>
      </w:r>
      <w:r w:rsidRPr="00C603BA">
        <w:rPr>
          <w:szCs w:val="21"/>
        </w:rPr>
        <w:t xml:space="preserve"> program will be one that leaves behind durable, trusted relationships between Australian and Indonesian actors; </w:t>
      </w:r>
      <w:r>
        <w:rPr>
          <w:szCs w:val="21"/>
        </w:rPr>
        <w:t xml:space="preserve">generates </w:t>
      </w:r>
      <w:r w:rsidRPr="00C603BA">
        <w:rPr>
          <w:szCs w:val="21"/>
        </w:rPr>
        <w:t xml:space="preserve">practical tools and practices that </w:t>
      </w:r>
      <w:r>
        <w:rPr>
          <w:szCs w:val="21"/>
        </w:rPr>
        <w:t>may be adopted w</w:t>
      </w:r>
      <w:r w:rsidRPr="00C603BA">
        <w:rPr>
          <w:szCs w:val="21"/>
        </w:rPr>
        <w:t xml:space="preserve">ithin </w:t>
      </w:r>
      <w:proofErr w:type="gramStart"/>
      <w:r w:rsidRPr="00C603BA">
        <w:rPr>
          <w:szCs w:val="21"/>
        </w:rPr>
        <w:t>institutions</w:t>
      </w:r>
      <w:r w:rsidR="002C59F2">
        <w:rPr>
          <w:szCs w:val="21"/>
        </w:rPr>
        <w:t>,</w:t>
      </w:r>
      <w:r w:rsidRPr="00C603BA">
        <w:rPr>
          <w:szCs w:val="21"/>
        </w:rPr>
        <w:t xml:space="preserve"> and</w:t>
      </w:r>
      <w:proofErr w:type="gramEnd"/>
      <w:r w:rsidRPr="00C603BA">
        <w:rPr>
          <w:szCs w:val="21"/>
        </w:rPr>
        <w:t xml:space="preserve"> fosters cross-sector coalitions that make democratic resilience a shared responsibility rather than the task of any single institution or community.</w:t>
      </w:r>
    </w:p>
    <w:p w14:paraId="51B1ACA5" w14:textId="714F9C33" w:rsidR="00902F90" w:rsidRPr="005048E9" w:rsidRDefault="00902F90" w:rsidP="00902F90">
      <w:pPr>
        <w:pStyle w:val="Heading3Numbered"/>
      </w:pPr>
      <w:r w:rsidRPr="005048E9">
        <w:t>EOPO2 Enhanced Democratic Integrity</w:t>
      </w:r>
    </w:p>
    <w:p w14:paraId="2839206B" w14:textId="4FE6D3D5" w:rsidR="00902F90" w:rsidRPr="00F9290A" w:rsidRDefault="00902F90" w:rsidP="00902F90">
      <w:r>
        <w:t>Civil society remains a cornerstone of Indonesia’s democratic identity</w:t>
      </w:r>
      <w:r w:rsidR="00EF4D3C">
        <w:t>,</w:t>
      </w:r>
      <w:r>
        <w:t xml:space="preserve"> protecting civil liberties, amplifying marginalised voices, and influencing public discourse. However, the institutions of civil society are operating in </w:t>
      </w:r>
      <w:r w:rsidR="00886F89">
        <w:t>a</w:t>
      </w:r>
      <w:r>
        <w:t xml:space="preserve"> contested civic space, with digital risks and disinformation campaigns that erode trust and participation.</w:t>
      </w:r>
    </w:p>
    <w:p w14:paraId="329D609E" w14:textId="32AD911D" w:rsidR="00902F90" w:rsidRPr="00F9290A" w:rsidRDefault="00902F90" w:rsidP="00902F90">
      <w:pPr>
        <w:rPr>
          <w:lang w:val="en-AU"/>
        </w:rPr>
      </w:pPr>
      <w:proofErr w:type="spellStart"/>
      <w:r w:rsidRPr="37D0437D">
        <w:rPr>
          <w:lang w:val="en-AU"/>
        </w:rPr>
        <w:t>Partisipasi</w:t>
      </w:r>
      <w:proofErr w:type="spellEnd"/>
      <w:r w:rsidRPr="37D0437D">
        <w:rPr>
          <w:i/>
          <w:iCs/>
          <w:lang w:val="en-AU"/>
        </w:rPr>
        <w:t xml:space="preserve"> </w:t>
      </w:r>
      <w:r w:rsidRPr="37D0437D">
        <w:rPr>
          <w:lang w:val="en-AU"/>
        </w:rPr>
        <w:t xml:space="preserve">will therefore support a diverse range of civil society actors and institutions (e.g. CSOs, media organisations, think tanks, universities, youth networks, women’s and disability rights organisations, and faith-based </w:t>
      </w:r>
      <w:r w:rsidR="00911414">
        <w:rPr>
          <w:lang w:val="en-AU"/>
        </w:rPr>
        <w:t>organisations</w:t>
      </w:r>
      <w:r w:rsidRPr="37D0437D">
        <w:rPr>
          <w:lang w:val="en-AU"/>
        </w:rPr>
        <w:t>) to strengthen their role in enhancing democratic integrity</w:t>
      </w:r>
      <w:r w:rsidR="00911414">
        <w:rPr>
          <w:lang w:val="en-AU"/>
        </w:rPr>
        <w:t>,</w:t>
      </w:r>
      <w:r w:rsidRPr="37D0437D">
        <w:rPr>
          <w:lang w:val="en-AU"/>
        </w:rPr>
        <w:t xml:space="preserve"> including by building inclusive coalitions, contributing to their existing work in safeguarding democracy, and strengthening their strategic capabilities. Drawing on lessons from the </w:t>
      </w:r>
      <w:proofErr w:type="spellStart"/>
      <w:r w:rsidRPr="00C5377B">
        <w:rPr>
          <w:lang w:val="en-AU"/>
        </w:rPr>
        <w:t>DemRes</w:t>
      </w:r>
      <w:proofErr w:type="spellEnd"/>
      <w:r w:rsidRPr="37D0437D">
        <w:rPr>
          <w:lang w:val="en-AU"/>
        </w:rPr>
        <w:t xml:space="preserve"> program, EOPO2 recognises that civil society actors are not passive recipients of donor support, but political actors operating in complex democratic terrains.</w:t>
      </w:r>
    </w:p>
    <w:p w14:paraId="5A906CA2" w14:textId="73BEB4F2" w:rsidR="00902F90" w:rsidRPr="00F9290A" w:rsidRDefault="005048E9" w:rsidP="00902F90">
      <w:pPr>
        <w:rPr>
          <w:szCs w:val="21"/>
          <w:lang w:val="en-AU"/>
        </w:rPr>
      </w:pPr>
      <w:r>
        <w:rPr>
          <w:szCs w:val="21"/>
          <w:lang w:val="en-AU"/>
        </w:rPr>
        <w:t>S</w:t>
      </w:r>
      <w:r w:rsidR="00902F90" w:rsidRPr="00F9290A">
        <w:rPr>
          <w:szCs w:val="21"/>
          <w:lang w:val="en-AU"/>
        </w:rPr>
        <w:t xml:space="preserve">trengthening Indonesia’s civil society ecosystem requires more than technical training or financial inputs. It demands </w:t>
      </w:r>
      <w:r w:rsidR="00902F90" w:rsidRPr="0075623F">
        <w:rPr>
          <w:szCs w:val="21"/>
        </w:rPr>
        <w:t>coalitions that are inclusive and strategic</w:t>
      </w:r>
      <w:r w:rsidR="00136D1C">
        <w:rPr>
          <w:szCs w:val="21"/>
        </w:rPr>
        <w:t>,</w:t>
      </w:r>
      <w:r w:rsidR="00902F90" w:rsidRPr="0075623F">
        <w:rPr>
          <w:szCs w:val="21"/>
        </w:rPr>
        <w:t xml:space="preserve"> </w:t>
      </w:r>
      <w:r w:rsidR="00902F90">
        <w:rPr>
          <w:szCs w:val="21"/>
          <w:lang w:val="en-AU"/>
        </w:rPr>
        <w:t>civic</w:t>
      </w:r>
      <w:r w:rsidR="00902F90" w:rsidRPr="00F9290A">
        <w:rPr>
          <w:szCs w:val="21"/>
          <w:lang w:val="en-AU"/>
        </w:rPr>
        <w:t xml:space="preserve"> actors </w:t>
      </w:r>
      <w:r w:rsidR="00902F90">
        <w:rPr>
          <w:szCs w:val="21"/>
          <w:lang w:val="en-AU"/>
        </w:rPr>
        <w:t xml:space="preserve">that </w:t>
      </w:r>
      <w:r w:rsidR="00902F90" w:rsidRPr="00B57CB6">
        <w:rPr>
          <w:szCs w:val="21"/>
        </w:rPr>
        <w:t>are politically astute and adaptive</w:t>
      </w:r>
      <w:r w:rsidR="00136D1C">
        <w:rPr>
          <w:szCs w:val="21"/>
        </w:rPr>
        <w:t>,</w:t>
      </w:r>
      <w:r w:rsidR="00902F90" w:rsidRPr="00B57CB6">
        <w:rPr>
          <w:szCs w:val="21"/>
        </w:rPr>
        <w:t xml:space="preserve"> and media institutions that can safeguard </w:t>
      </w:r>
      <w:r w:rsidR="00902F90">
        <w:rPr>
          <w:szCs w:val="21"/>
        </w:rPr>
        <w:t xml:space="preserve">an independent </w:t>
      </w:r>
      <w:r w:rsidR="00902F90" w:rsidRPr="00B57CB6">
        <w:rPr>
          <w:szCs w:val="21"/>
        </w:rPr>
        <w:t>information environment.</w:t>
      </w:r>
      <w:r w:rsidR="00902F90" w:rsidRPr="00810667">
        <w:rPr>
          <w:szCs w:val="21"/>
        </w:rPr>
        <w:t xml:space="preserve"> </w:t>
      </w:r>
      <w:r w:rsidR="00902F90">
        <w:rPr>
          <w:szCs w:val="21"/>
        </w:rPr>
        <w:t xml:space="preserve">In doing so, non-state actors need to </w:t>
      </w:r>
      <w:r w:rsidR="00AA7F5D">
        <w:rPr>
          <w:szCs w:val="21"/>
        </w:rPr>
        <w:t xml:space="preserve">develop </w:t>
      </w:r>
      <w:r w:rsidR="00902F90" w:rsidRPr="00F9290A">
        <w:rPr>
          <w:szCs w:val="21"/>
          <w:lang w:val="en-AU"/>
        </w:rPr>
        <w:t xml:space="preserve">effective, adaptive and context-sensitive strategies to respond to democratic </w:t>
      </w:r>
      <w:r w:rsidR="00886F89">
        <w:rPr>
          <w:szCs w:val="21"/>
          <w:lang w:val="en-AU"/>
        </w:rPr>
        <w:t>challenges</w:t>
      </w:r>
      <w:r w:rsidR="00902F90">
        <w:rPr>
          <w:szCs w:val="21"/>
          <w:lang w:val="en-AU"/>
        </w:rPr>
        <w:t xml:space="preserve"> and</w:t>
      </w:r>
      <w:r w:rsidR="00902F90" w:rsidRPr="00F9290A">
        <w:rPr>
          <w:szCs w:val="21"/>
          <w:lang w:val="en-AU"/>
        </w:rPr>
        <w:t xml:space="preserve"> advance </w:t>
      </w:r>
      <w:r w:rsidR="00902F90">
        <w:rPr>
          <w:szCs w:val="21"/>
          <w:lang w:val="en-AU"/>
        </w:rPr>
        <w:t>democratic participation</w:t>
      </w:r>
      <w:r w:rsidR="00902F90" w:rsidRPr="00F9290A">
        <w:rPr>
          <w:szCs w:val="21"/>
          <w:lang w:val="en-AU"/>
        </w:rPr>
        <w:t>. Strateg</w:t>
      </w:r>
      <w:r w:rsidR="00902F90">
        <w:rPr>
          <w:szCs w:val="21"/>
          <w:lang w:val="en-AU"/>
        </w:rPr>
        <w:t>ic and adaptive</w:t>
      </w:r>
      <w:r w:rsidR="00902F90" w:rsidRPr="00F9290A">
        <w:rPr>
          <w:szCs w:val="21"/>
          <w:lang w:val="en-AU"/>
        </w:rPr>
        <w:t xml:space="preserve"> </w:t>
      </w:r>
      <w:r w:rsidR="00902F90">
        <w:rPr>
          <w:szCs w:val="21"/>
          <w:lang w:val="en-AU"/>
        </w:rPr>
        <w:t>civil society actors can</w:t>
      </w:r>
      <w:r w:rsidR="00902F90" w:rsidRPr="00F9290A">
        <w:rPr>
          <w:szCs w:val="21"/>
          <w:lang w:val="en-AU"/>
        </w:rPr>
        <w:t xml:space="preserve"> transform resources and networks into political impact. </w:t>
      </w:r>
      <w:proofErr w:type="spellStart"/>
      <w:r w:rsidR="007B5A20" w:rsidRPr="007B5A20">
        <w:rPr>
          <w:iCs/>
          <w:szCs w:val="21"/>
          <w:lang w:val="en-AU"/>
        </w:rPr>
        <w:t>Partisipasi</w:t>
      </w:r>
      <w:proofErr w:type="spellEnd"/>
      <w:r w:rsidR="00902F90">
        <w:rPr>
          <w:szCs w:val="21"/>
          <w:lang w:val="en-AU"/>
        </w:rPr>
        <w:t xml:space="preserve"> will support civil society actors to continuously sharpen their strategies </w:t>
      </w:r>
      <w:r w:rsidR="00902F90" w:rsidRPr="00F9290A">
        <w:rPr>
          <w:szCs w:val="21"/>
          <w:lang w:val="en-AU"/>
        </w:rPr>
        <w:t>to sustain influence, safeguard civic space</w:t>
      </w:r>
      <w:r w:rsidR="00136D1C">
        <w:rPr>
          <w:szCs w:val="21"/>
          <w:lang w:val="en-AU"/>
        </w:rPr>
        <w:t>,</w:t>
      </w:r>
      <w:r w:rsidR="00902F90" w:rsidRPr="00F9290A">
        <w:rPr>
          <w:szCs w:val="21"/>
          <w:lang w:val="en-AU"/>
        </w:rPr>
        <w:t xml:space="preserve"> </w:t>
      </w:r>
      <w:r w:rsidR="00902F90">
        <w:rPr>
          <w:szCs w:val="21"/>
          <w:lang w:val="en-AU"/>
        </w:rPr>
        <w:t>and</w:t>
      </w:r>
      <w:r w:rsidR="00902F90" w:rsidRPr="00F9290A">
        <w:rPr>
          <w:szCs w:val="21"/>
          <w:lang w:val="en-AU"/>
        </w:rPr>
        <w:t xml:space="preserve"> protect democratic gains.</w:t>
      </w:r>
      <w:r w:rsidR="00902F90">
        <w:rPr>
          <w:szCs w:val="21"/>
          <w:lang w:val="en-AU"/>
        </w:rPr>
        <w:t xml:space="preserve"> </w:t>
      </w:r>
      <w:r w:rsidR="00902F90" w:rsidRPr="00F9290A">
        <w:rPr>
          <w:szCs w:val="21"/>
          <w:lang w:val="en-AU"/>
        </w:rPr>
        <w:t xml:space="preserve">In practice, this means that civil society actors </w:t>
      </w:r>
      <w:r w:rsidR="00902F90">
        <w:rPr>
          <w:szCs w:val="21"/>
          <w:lang w:val="en-AU"/>
        </w:rPr>
        <w:t>need to</w:t>
      </w:r>
      <w:r w:rsidR="00902F90" w:rsidRPr="00F9290A">
        <w:rPr>
          <w:szCs w:val="21"/>
          <w:lang w:val="en-AU"/>
        </w:rPr>
        <w:t xml:space="preserve"> be able to:</w:t>
      </w:r>
    </w:p>
    <w:p w14:paraId="71A45785" w14:textId="74EC46DF" w:rsidR="00902F90" w:rsidRPr="00F9290A" w:rsidRDefault="00902F90" w:rsidP="00DD6FF8">
      <w:pPr>
        <w:numPr>
          <w:ilvl w:val="0"/>
          <w:numId w:val="16"/>
        </w:numPr>
        <w:spacing w:after="120" w:line="240" w:lineRule="auto"/>
        <w:rPr>
          <w:szCs w:val="21"/>
          <w:lang w:val="en-AU"/>
        </w:rPr>
      </w:pPr>
      <w:r w:rsidRPr="00F9290A">
        <w:rPr>
          <w:szCs w:val="21"/>
          <w:lang w:val="en-AU"/>
        </w:rPr>
        <w:t>Respond strategically to misinformation and restrictions on civic space</w:t>
      </w:r>
    </w:p>
    <w:p w14:paraId="48BE6CE5" w14:textId="2767CDD4" w:rsidR="00902F90" w:rsidRDefault="00902F90" w:rsidP="00DD6FF8">
      <w:pPr>
        <w:numPr>
          <w:ilvl w:val="0"/>
          <w:numId w:val="16"/>
        </w:numPr>
        <w:spacing w:after="120" w:line="240" w:lineRule="auto"/>
        <w:rPr>
          <w:szCs w:val="21"/>
          <w:lang w:val="en-AU"/>
        </w:rPr>
      </w:pPr>
      <w:r w:rsidRPr="00F9290A">
        <w:rPr>
          <w:szCs w:val="21"/>
          <w:lang w:val="en-AU"/>
        </w:rPr>
        <w:t>Build and sustain inclusive coalitions across diverse communities (e.g. youth</w:t>
      </w:r>
      <w:r w:rsidR="00136D1C">
        <w:rPr>
          <w:szCs w:val="21"/>
          <w:lang w:val="en-AU"/>
        </w:rPr>
        <w:t>s</w:t>
      </w:r>
      <w:r w:rsidRPr="00F9290A">
        <w:rPr>
          <w:szCs w:val="21"/>
          <w:lang w:val="en-AU"/>
        </w:rPr>
        <w:t xml:space="preserve">, women, disability groups, </w:t>
      </w:r>
      <w:r w:rsidR="00136D1C">
        <w:rPr>
          <w:szCs w:val="21"/>
          <w:lang w:val="en-AU"/>
        </w:rPr>
        <w:t xml:space="preserve">and </w:t>
      </w:r>
      <w:r w:rsidRPr="000423DC">
        <w:rPr>
          <w:szCs w:val="21"/>
          <w:lang w:val="en-AU"/>
        </w:rPr>
        <w:t>informal actors</w:t>
      </w:r>
      <w:r w:rsidRPr="00F9290A">
        <w:rPr>
          <w:szCs w:val="21"/>
          <w:lang w:val="en-AU"/>
        </w:rPr>
        <w:t>)</w:t>
      </w:r>
    </w:p>
    <w:p w14:paraId="4C647677" w14:textId="1AF8B48D" w:rsidR="00902F90" w:rsidRPr="00F9290A" w:rsidRDefault="00902F90" w:rsidP="00DD6FF8">
      <w:pPr>
        <w:numPr>
          <w:ilvl w:val="0"/>
          <w:numId w:val="16"/>
        </w:numPr>
        <w:spacing w:after="120" w:line="240" w:lineRule="auto"/>
        <w:rPr>
          <w:szCs w:val="21"/>
          <w:lang w:val="en-AU"/>
        </w:rPr>
      </w:pPr>
      <w:r>
        <w:rPr>
          <w:szCs w:val="21"/>
          <w:lang w:val="en-AU"/>
        </w:rPr>
        <w:t xml:space="preserve">Provide accurate and independent monitoring and reporting </w:t>
      </w:r>
      <w:r w:rsidR="007D12D7">
        <w:rPr>
          <w:szCs w:val="21"/>
          <w:lang w:val="en-AU"/>
        </w:rPr>
        <w:t xml:space="preserve">to the program’s </w:t>
      </w:r>
      <w:r>
        <w:rPr>
          <w:szCs w:val="21"/>
          <w:lang w:val="en-AU"/>
        </w:rPr>
        <w:t>governance bodies</w:t>
      </w:r>
    </w:p>
    <w:p w14:paraId="452194F0" w14:textId="52333CBE" w:rsidR="00902F90" w:rsidRPr="00F9290A" w:rsidRDefault="00902F90" w:rsidP="00DD6FF8">
      <w:pPr>
        <w:numPr>
          <w:ilvl w:val="0"/>
          <w:numId w:val="16"/>
        </w:numPr>
        <w:spacing w:after="120" w:line="240" w:lineRule="auto"/>
        <w:rPr>
          <w:szCs w:val="21"/>
          <w:lang w:val="en-AU"/>
        </w:rPr>
      </w:pPr>
      <w:r w:rsidRPr="00F9290A">
        <w:rPr>
          <w:szCs w:val="21"/>
          <w:lang w:val="en-AU"/>
        </w:rPr>
        <w:t xml:space="preserve">Engage in evidence-informed and </w:t>
      </w:r>
      <w:r>
        <w:rPr>
          <w:szCs w:val="21"/>
          <w:lang w:val="en-AU"/>
        </w:rPr>
        <w:t xml:space="preserve">democratic </w:t>
      </w:r>
      <w:r w:rsidRPr="00F9290A">
        <w:rPr>
          <w:szCs w:val="21"/>
          <w:lang w:val="en-AU"/>
        </w:rPr>
        <w:t>values-based advocacy</w:t>
      </w:r>
    </w:p>
    <w:p w14:paraId="345B8FA2" w14:textId="77777777" w:rsidR="00902F90" w:rsidRPr="00F9290A" w:rsidRDefault="00902F90" w:rsidP="00DD6FF8">
      <w:pPr>
        <w:numPr>
          <w:ilvl w:val="0"/>
          <w:numId w:val="16"/>
        </w:numPr>
        <w:spacing w:after="120" w:line="240" w:lineRule="auto"/>
        <w:rPr>
          <w:lang w:val="en-AU"/>
        </w:rPr>
      </w:pPr>
      <w:r w:rsidRPr="37D0437D">
        <w:rPr>
          <w:lang w:val="en-AU"/>
        </w:rPr>
        <w:t>Protect themselves and their communities from backlash and digital risks.</w:t>
      </w:r>
    </w:p>
    <w:p w14:paraId="37A20887" w14:textId="6CC9CCD5" w:rsidR="00902F90" w:rsidRPr="00F9290A" w:rsidRDefault="00902F90" w:rsidP="00902F90">
      <w:pPr>
        <w:rPr>
          <w:szCs w:val="21"/>
          <w:lang w:val="en-AU"/>
        </w:rPr>
      </w:pPr>
      <w:r w:rsidRPr="00F9290A">
        <w:rPr>
          <w:szCs w:val="21"/>
          <w:lang w:val="en-AU"/>
        </w:rPr>
        <w:lastRenderedPageBreak/>
        <w:t xml:space="preserve">Achieving EOPO2 will require sustained investment across </w:t>
      </w:r>
      <w:r w:rsidR="00136D1C">
        <w:rPr>
          <w:szCs w:val="21"/>
          <w:lang w:val="en-AU"/>
        </w:rPr>
        <w:t>2</w:t>
      </w:r>
      <w:r w:rsidR="00136D1C" w:rsidRPr="00F9290A">
        <w:rPr>
          <w:szCs w:val="21"/>
          <w:lang w:val="en-AU"/>
        </w:rPr>
        <w:t xml:space="preserve"> </w:t>
      </w:r>
      <w:r w:rsidRPr="00F9290A">
        <w:rPr>
          <w:szCs w:val="21"/>
          <w:lang w:val="en-AU"/>
        </w:rPr>
        <w:t xml:space="preserve">mutually reinforcing </w:t>
      </w:r>
      <w:r>
        <w:rPr>
          <w:szCs w:val="21"/>
          <w:lang w:val="en-AU"/>
        </w:rPr>
        <w:t>IOs</w:t>
      </w:r>
      <w:r w:rsidRPr="00F9290A">
        <w:rPr>
          <w:szCs w:val="21"/>
          <w:lang w:val="en-AU"/>
        </w:rPr>
        <w:t>, designed to build strategic capability, strengthen coalitions, and cultivate adaptive leadership across Indonesia’s civil society ecosystem.</w:t>
      </w:r>
    </w:p>
    <w:p w14:paraId="5E2DF23E" w14:textId="69DC4AC9" w:rsidR="00902F90" w:rsidRPr="00892579" w:rsidRDefault="00902F90" w:rsidP="00902F90">
      <w:pPr>
        <w:spacing w:after="120" w:line="240" w:lineRule="auto"/>
        <w:rPr>
          <w:b/>
          <w:bCs/>
          <w:szCs w:val="21"/>
          <w:lang w:val="en-AU"/>
        </w:rPr>
      </w:pPr>
      <w:r w:rsidRPr="00892579">
        <w:rPr>
          <w:b/>
          <w:bCs/>
          <w:szCs w:val="21"/>
          <w:lang w:val="en-AU"/>
        </w:rPr>
        <w:t>IO2.1</w:t>
      </w:r>
      <w:r>
        <w:rPr>
          <w:b/>
          <w:bCs/>
          <w:szCs w:val="21"/>
          <w:lang w:val="en-AU"/>
        </w:rPr>
        <w:t xml:space="preserve"> </w:t>
      </w:r>
      <w:r w:rsidRPr="00B57CB6">
        <w:rPr>
          <w:szCs w:val="21"/>
          <w:lang w:val="en-AU"/>
        </w:rPr>
        <w:t xml:space="preserve">will focus on equipping civic actors with the tools and confidence to build alliances, mobilise evidence-informed advocacy, and </w:t>
      </w:r>
      <w:r w:rsidR="00543434">
        <w:rPr>
          <w:szCs w:val="21"/>
          <w:lang w:val="en-AU"/>
        </w:rPr>
        <w:t>maintain</w:t>
      </w:r>
      <w:r w:rsidR="00543434" w:rsidRPr="00B57CB6">
        <w:rPr>
          <w:szCs w:val="21"/>
          <w:lang w:val="en-AU"/>
        </w:rPr>
        <w:t xml:space="preserve"> </w:t>
      </w:r>
      <w:r w:rsidRPr="00B57CB6">
        <w:rPr>
          <w:szCs w:val="21"/>
          <w:lang w:val="en-AU"/>
        </w:rPr>
        <w:t>civic space. Coalitions that bridge national, subnational, and community levels will be prioritised, recognising the agility and legitimacy of local initiatives.</w:t>
      </w:r>
      <w:r>
        <w:rPr>
          <w:szCs w:val="21"/>
          <w:lang w:val="en-AU"/>
        </w:rPr>
        <w:t xml:space="preserve"> </w:t>
      </w:r>
      <w:r w:rsidRPr="00E80DFA">
        <w:rPr>
          <w:szCs w:val="21"/>
          <w:lang w:val="en-AU"/>
        </w:rPr>
        <w:t>This IO also emphasises strengthening civil society actors to address persistent gender gaps in voice, representation, leadership, and decision-making</w:t>
      </w:r>
      <w:r w:rsidR="00136D1C">
        <w:rPr>
          <w:szCs w:val="21"/>
          <w:lang w:val="en-AU"/>
        </w:rPr>
        <w:t xml:space="preserve"> – </w:t>
      </w:r>
      <w:r w:rsidRPr="00E80DFA">
        <w:rPr>
          <w:szCs w:val="21"/>
          <w:lang w:val="en-AU"/>
        </w:rPr>
        <w:t>particularly within civic coalitions, media, and electoral or parliamentary processes.</w:t>
      </w:r>
      <w:r>
        <w:rPr>
          <w:szCs w:val="21"/>
          <w:lang w:val="en-AU"/>
        </w:rPr>
        <w:t xml:space="preserve"> </w:t>
      </w:r>
      <w:r w:rsidRPr="00A01FD0">
        <w:rPr>
          <w:szCs w:val="21"/>
        </w:rPr>
        <w:t xml:space="preserve">Climate justice forms part of </w:t>
      </w:r>
      <w:r>
        <w:rPr>
          <w:szCs w:val="21"/>
        </w:rPr>
        <w:t xml:space="preserve">this IO </w:t>
      </w:r>
      <w:r w:rsidRPr="00A01FD0">
        <w:rPr>
          <w:szCs w:val="21"/>
        </w:rPr>
        <w:t xml:space="preserve">because </w:t>
      </w:r>
      <w:r w:rsidR="00D01441">
        <w:rPr>
          <w:szCs w:val="21"/>
        </w:rPr>
        <w:t xml:space="preserve">there are numerous intersections between civic actors and groups that advocate for climate action and for democratic participation. Additionally, </w:t>
      </w:r>
      <w:r w:rsidRPr="00A01FD0">
        <w:rPr>
          <w:szCs w:val="21"/>
        </w:rPr>
        <w:t xml:space="preserve">climate shocks disproportionately affect those </w:t>
      </w:r>
      <w:r w:rsidR="00C9088A">
        <w:rPr>
          <w:szCs w:val="21"/>
        </w:rPr>
        <w:t>who face greater barriers to</w:t>
      </w:r>
      <w:r w:rsidRPr="00A01FD0">
        <w:rPr>
          <w:szCs w:val="21"/>
        </w:rPr>
        <w:t xml:space="preserve"> political participation</w:t>
      </w:r>
      <w:r w:rsidR="00136D1C">
        <w:rPr>
          <w:szCs w:val="21"/>
        </w:rPr>
        <w:t xml:space="preserve"> – </w:t>
      </w:r>
      <w:r w:rsidRPr="00A01FD0">
        <w:rPr>
          <w:szCs w:val="21"/>
        </w:rPr>
        <w:t xml:space="preserve">women, </w:t>
      </w:r>
      <w:r w:rsidR="00136D1C">
        <w:rPr>
          <w:szCs w:val="21"/>
        </w:rPr>
        <w:t>people</w:t>
      </w:r>
      <w:r w:rsidR="00136D1C" w:rsidRPr="00A01FD0">
        <w:rPr>
          <w:szCs w:val="21"/>
        </w:rPr>
        <w:t xml:space="preserve"> </w:t>
      </w:r>
      <w:r w:rsidRPr="00A01FD0">
        <w:rPr>
          <w:szCs w:val="21"/>
        </w:rPr>
        <w:t>with disabilities, youth</w:t>
      </w:r>
      <w:r w:rsidR="00136D1C">
        <w:rPr>
          <w:szCs w:val="21"/>
        </w:rPr>
        <w:t>s</w:t>
      </w:r>
      <w:r w:rsidRPr="00A01FD0">
        <w:rPr>
          <w:szCs w:val="21"/>
        </w:rPr>
        <w:t>, Adat and rural communities</w:t>
      </w:r>
      <w:r w:rsidR="00D01441">
        <w:rPr>
          <w:szCs w:val="21"/>
        </w:rPr>
        <w:t xml:space="preserve"> – and therefore political participation is critical for climate justice</w:t>
      </w:r>
      <w:r w:rsidRPr="00A01FD0">
        <w:rPr>
          <w:szCs w:val="21"/>
        </w:rPr>
        <w:t>.</w:t>
      </w:r>
    </w:p>
    <w:p w14:paraId="23B30E24" w14:textId="432DF130" w:rsidR="00902F90" w:rsidRPr="00892579" w:rsidRDefault="00902F90" w:rsidP="00902F90">
      <w:pPr>
        <w:spacing w:after="120" w:line="240" w:lineRule="auto"/>
        <w:rPr>
          <w:b/>
          <w:bCs/>
          <w:szCs w:val="21"/>
          <w:lang w:val="en-AU"/>
        </w:rPr>
      </w:pPr>
      <w:r w:rsidRPr="00892579">
        <w:rPr>
          <w:b/>
          <w:bCs/>
          <w:szCs w:val="21"/>
          <w:lang w:val="en-AU"/>
        </w:rPr>
        <w:t xml:space="preserve">IO2.2 </w:t>
      </w:r>
      <w:r w:rsidRPr="00B57CB6">
        <w:rPr>
          <w:szCs w:val="21"/>
          <w:lang w:val="en-AU"/>
        </w:rPr>
        <w:t xml:space="preserve">includes </w:t>
      </w:r>
      <w:r>
        <w:rPr>
          <w:szCs w:val="21"/>
          <w:lang w:val="en-AU"/>
        </w:rPr>
        <w:t xml:space="preserve">efforts in </w:t>
      </w:r>
      <w:r w:rsidRPr="00B57CB6">
        <w:rPr>
          <w:szCs w:val="21"/>
          <w:lang w:val="en-AU"/>
        </w:rPr>
        <w:t xml:space="preserve">strengthening </w:t>
      </w:r>
      <w:r w:rsidR="00C9088A">
        <w:rPr>
          <w:szCs w:val="21"/>
          <w:lang w:val="en-AU"/>
        </w:rPr>
        <w:t>journalistic</w:t>
      </w:r>
      <w:r w:rsidR="00C9088A" w:rsidRPr="00B57CB6">
        <w:rPr>
          <w:szCs w:val="21"/>
          <w:lang w:val="en-AU"/>
        </w:rPr>
        <w:t xml:space="preserve"> </w:t>
      </w:r>
      <w:r w:rsidRPr="00B57CB6">
        <w:rPr>
          <w:szCs w:val="21"/>
          <w:lang w:val="en-AU"/>
        </w:rPr>
        <w:t xml:space="preserve">practices, digital safety, and ethical reporting standards; supporting pluralistic and diverse content </w:t>
      </w:r>
      <w:proofErr w:type="gramStart"/>
      <w:r w:rsidRPr="00B57CB6">
        <w:rPr>
          <w:szCs w:val="21"/>
          <w:lang w:val="en-AU"/>
        </w:rPr>
        <w:t>creation</w:t>
      </w:r>
      <w:r w:rsidR="005111CD">
        <w:rPr>
          <w:szCs w:val="21"/>
          <w:lang w:val="en-AU"/>
        </w:rPr>
        <w:t>,</w:t>
      </w:r>
      <w:r>
        <w:rPr>
          <w:szCs w:val="21"/>
          <w:lang w:val="en-AU"/>
        </w:rPr>
        <w:t xml:space="preserve"> and</w:t>
      </w:r>
      <w:proofErr w:type="gramEnd"/>
      <w:r w:rsidRPr="00B57CB6">
        <w:rPr>
          <w:szCs w:val="21"/>
          <w:lang w:val="en-AU"/>
        </w:rPr>
        <w:t xml:space="preserve"> enabling media platforms to act as convenors of public dialogue. Partnerships will connect journalists, CSOs, </w:t>
      </w:r>
      <w:r w:rsidR="00D01441">
        <w:rPr>
          <w:szCs w:val="21"/>
          <w:lang w:val="en-AU"/>
        </w:rPr>
        <w:t xml:space="preserve">academia, </w:t>
      </w:r>
      <w:r w:rsidRPr="00B57CB6">
        <w:rPr>
          <w:szCs w:val="21"/>
          <w:lang w:val="en-AU"/>
        </w:rPr>
        <w:t>and government to co-create narratives that build trust, elevate democratic values</w:t>
      </w:r>
      <w:r w:rsidR="005111CD">
        <w:rPr>
          <w:szCs w:val="21"/>
          <w:lang w:val="en-AU"/>
        </w:rPr>
        <w:t>,</w:t>
      </w:r>
      <w:r w:rsidRPr="00B57CB6">
        <w:rPr>
          <w:szCs w:val="21"/>
          <w:lang w:val="en-AU"/>
        </w:rPr>
        <w:t xml:space="preserve"> and amplify under</w:t>
      </w:r>
      <w:r w:rsidR="005B37F2">
        <w:rPr>
          <w:szCs w:val="21"/>
          <w:lang w:val="en-AU"/>
        </w:rPr>
        <w:t>-</w:t>
      </w:r>
      <w:r w:rsidRPr="00B57CB6">
        <w:rPr>
          <w:szCs w:val="21"/>
          <w:lang w:val="en-AU"/>
        </w:rPr>
        <w:t>represented voices.</w:t>
      </w:r>
    </w:p>
    <w:p w14:paraId="273237D9" w14:textId="5752D246" w:rsidR="00902F90" w:rsidRDefault="00902F90" w:rsidP="00902F90">
      <w:pPr>
        <w:spacing w:after="120" w:line="240" w:lineRule="auto"/>
      </w:pPr>
      <w:r w:rsidRPr="37D0437D">
        <w:rPr>
          <w:b/>
          <w:bCs/>
        </w:rPr>
        <w:t>What success would look like:</w:t>
      </w:r>
      <w:r>
        <w:t xml:space="preserve"> Over time, EOPO2 will contribute to civil society actors that are confident, connected and credible in their engagement with democratic processes. Success will be reflected in: stronger cross-sector alliances that withstand</w:t>
      </w:r>
      <w:r w:rsidR="00543434">
        <w:t xml:space="preserve"> various</w:t>
      </w:r>
      <w:r>
        <w:t xml:space="preserve"> pressures in a complex civic space; </w:t>
      </w:r>
      <w:r w:rsidR="00D01441">
        <w:t xml:space="preserve">civil society </w:t>
      </w:r>
      <w:r>
        <w:t>and informal networks that are able to collaborate across divides, and promote positive political discourses that embed democratic values in youth</w:t>
      </w:r>
      <w:r w:rsidR="005111CD">
        <w:t>s</w:t>
      </w:r>
      <w:r>
        <w:t>, communities, and media actors that provide responsible, independent and accurate information to the public. Together, these civic actors will help counter</w:t>
      </w:r>
      <w:r w:rsidR="00B00E78">
        <w:t>-</w:t>
      </w:r>
      <w:r>
        <w:t>disinformation and foster democratic values across communities and generations.</w:t>
      </w:r>
    </w:p>
    <w:p w14:paraId="4C953F39" w14:textId="3B0759FE" w:rsidR="00902F90" w:rsidRDefault="00902F90" w:rsidP="00902F90">
      <w:pPr>
        <w:pStyle w:val="Heading3Numbered"/>
      </w:pPr>
      <w:r>
        <w:t>E</w:t>
      </w:r>
      <w:r w:rsidRPr="002C222C">
        <w:t>OPO3</w:t>
      </w:r>
      <w:r w:rsidRPr="000C7B28">
        <w:t xml:space="preserve"> </w:t>
      </w:r>
      <w:r w:rsidRPr="002B4DB1">
        <w:t>Collaborative</w:t>
      </w:r>
      <w:r w:rsidRPr="00392B23">
        <w:t xml:space="preserve"> Democratic Action</w:t>
      </w:r>
    </w:p>
    <w:p w14:paraId="14A73AD0" w14:textId="21ADCE77" w:rsidR="00902F90" w:rsidRPr="007F4102" w:rsidRDefault="00902F90" w:rsidP="00902F90">
      <w:pPr>
        <w:rPr>
          <w:lang w:val="en-AU"/>
        </w:rPr>
      </w:pPr>
      <w:r w:rsidRPr="00D52B8E">
        <w:rPr>
          <w:lang w:val="en-AU"/>
        </w:rPr>
        <w:t>EOPO3</w:t>
      </w:r>
      <w:r>
        <w:rPr>
          <w:b/>
          <w:bCs/>
          <w:lang w:val="en-AU"/>
        </w:rPr>
        <w:t xml:space="preserve"> </w:t>
      </w:r>
      <w:r w:rsidRPr="00596882">
        <w:rPr>
          <w:lang w:val="en-AU"/>
        </w:rPr>
        <w:t>acknowledges that a resilient</w:t>
      </w:r>
      <w:r w:rsidRPr="007F4102">
        <w:rPr>
          <w:lang w:val="en-AU"/>
        </w:rPr>
        <w:t xml:space="preserve"> democracy requires building relationships of trust, accountability and co-creation between</w:t>
      </w:r>
      <w:r>
        <w:rPr>
          <w:lang w:val="en-AU"/>
        </w:rPr>
        <w:t xml:space="preserve"> state actors (the supply side to democracy) and non-state actors (the demand side)</w:t>
      </w:r>
      <w:r w:rsidRPr="007F4102">
        <w:rPr>
          <w:lang w:val="en-AU"/>
        </w:rPr>
        <w:t xml:space="preserve">. EOPO3 acts as the connective tissue between </w:t>
      </w:r>
      <w:r>
        <w:rPr>
          <w:lang w:val="en-AU"/>
        </w:rPr>
        <w:t xml:space="preserve">state </w:t>
      </w:r>
      <w:r w:rsidRPr="007F4102">
        <w:rPr>
          <w:lang w:val="en-AU"/>
        </w:rPr>
        <w:t>institution</w:t>
      </w:r>
      <w:r>
        <w:rPr>
          <w:lang w:val="en-AU"/>
        </w:rPr>
        <w:t xml:space="preserve">s </w:t>
      </w:r>
      <w:r w:rsidRPr="007F4102">
        <w:rPr>
          <w:lang w:val="en-AU"/>
        </w:rPr>
        <w:t>(EOPO1) and civic agency (EOPO2)</w:t>
      </w:r>
      <w:r w:rsidR="005111CD">
        <w:rPr>
          <w:lang w:val="en-AU"/>
        </w:rPr>
        <w:t>,</w:t>
      </w:r>
      <w:r w:rsidRPr="007F4102">
        <w:rPr>
          <w:lang w:val="en-AU"/>
        </w:rPr>
        <w:t xml:space="preserve"> by strengthening</w:t>
      </w:r>
      <w:r>
        <w:rPr>
          <w:lang w:val="en-AU"/>
        </w:rPr>
        <w:t xml:space="preserve"> open and</w:t>
      </w:r>
      <w:r w:rsidRPr="007F4102">
        <w:rPr>
          <w:lang w:val="en-AU"/>
        </w:rPr>
        <w:t xml:space="preserve"> </w:t>
      </w:r>
      <w:r>
        <w:rPr>
          <w:lang w:val="en-AU"/>
        </w:rPr>
        <w:t xml:space="preserve">respective exchanges </w:t>
      </w:r>
      <w:r w:rsidRPr="007F4102">
        <w:rPr>
          <w:lang w:val="en-AU"/>
        </w:rPr>
        <w:t>that enable collaborative democratic</w:t>
      </w:r>
      <w:r>
        <w:rPr>
          <w:lang w:val="en-AU"/>
        </w:rPr>
        <w:t xml:space="preserve"> practices and</w:t>
      </w:r>
      <w:r w:rsidRPr="007F4102">
        <w:rPr>
          <w:lang w:val="en-AU"/>
        </w:rPr>
        <w:t xml:space="preserve"> connect policy reform to public engagement</w:t>
      </w:r>
      <w:r>
        <w:rPr>
          <w:lang w:val="en-AU"/>
        </w:rPr>
        <w:t>.</w:t>
      </w:r>
    </w:p>
    <w:p w14:paraId="6E87ED84" w14:textId="67B03ACD" w:rsidR="00902F90" w:rsidRPr="007F4102" w:rsidRDefault="00902F90" w:rsidP="00902F90">
      <w:pPr>
        <w:rPr>
          <w:szCs w:val="21"/>
          <w:lang w:val="en-AU"/>
        </w:rPr>
      </w:pPr>
      <w:proofErr w:type="spellStart"/>
      <w:r w:rsidRPr="00D84A7F">
        <w:rPr>
          <w:iCs/>
          <w:szCs w:val="21"/>
          <w:lang w:val="en-AU"/>
        </w:rPr>
        <w:t>Partisipasi</w:t>
      </w:r>
      <w:proofErr w:type="spellEnd"/>
      <w:r w:rsidRPr="007F4102">
        <w:rPr>
          <w:szCs w:val="21"/>
          <w:lang w:val="en-AU"/>
        </w:rPr>
        <w:t xml:space="preserve"> will invest in structured spaces and processes where civic and state actors can deliberate, jointly monitor democratic performance</w:t>
      </w:r>
      <w:r w:rsidR="005111CD">
        <w:rPr>
          <w:szCs w:val="21"/>
          <w:lang w:val="en-AU"/>
        </w:rPr>
        <w:t>,</w:t>
      </w:r>
      <w:r w:rsidRPr="007F4102">
        <w:rPr>
          <w:szCs w:val="21"/>
          <w:lang w:val="en-AU"/>
        </w:rPr>
        <w:t xml:space="preserve"> and act together to </w:t>
      </w:r>
      <w:r w:rsidR="00C946CA">
        <w:rPr>
          <w:szCs w:val="21"/>
          <w:lang w:val="en-AU"/>
        </w:rPr>
        <w:t>maintain democratic norms and practices</w:t>
      </w:r>
      <w:r w:rsidRPr="007F4102">
        <w:rPr>
          <w:szCs w:val="21"/>
          <w:lang w:val="en-AU"/>
        </w:rPr>
        <w:t xml:space="preserve">. It will also strengthen the platforms, narratives and advocacy strategies needed to reclaim democratic discourse from disinformation and digital manipulation. </w:t>
      </w:r>
      <w:r w:rsidRPr="00EC59FB">
        <w:rPr>
          <w:szCs w:val="21"/>
        </w:rPr>
        <w:t xml:space="preserve">These platforms </w:t>
      </w:r>
      <w:r w:rsidR="00AA7F5D">
        <w:rPr>
          <w:szCs w:val="21"/>
        </w:rPr>
        <w:t>may</w:t>
      </w:r>
      <w:r w:rsidRPr="00EC59FB">
        <w:rPr>
          <w:szCs w:val="21"/>
        </w:rPr>
        <w:t xml:space="preserve"> range from </w:t>
      </w:r>
      <w:r w:rsidRPr="00B57CB6">
        <w:rPr>
          <w:szCs w:val="21"/>
        </w:rPr>
        <w:t xml:space="preserve">formal policy forums </w:t>
      </w:r>
      <w:r w:rsidR="005111CD">
        <w:rPr>
          <w:szCs w:val="21"/>
        </w:rPr>
        <w:t>such as</w:t>
      </w:r>
      <w:r w:rsidR="005111CD" w:rsidRPr="00B57CB6">
        <w:rPr>
          <w:szCs w:val="21"/>
        </w:rPr>
        <w:t xml:space="preserve"> </w:t>
      </w:r>
      <w:r w:rsidRPr="00B57CB6">
        <w:rPr>
          <w:szCs w:val="21"/>
        </w:rPr>
        <w:t xml:space="preserve">DPR committee hearings, electoral reform working groups, </w:t>
      </w:r>
      <w:r w:rsidR="005111CD">
        <w:rPr>
          <w:szCs w:val="21"/>
        </w:rPr>
        <w:t xml:space="preserve">and </w:t>
      </w:r>
      <w:proofErr w:type="spellStart"/>
      <w:r w:rsidRPr="00B57CB6">
        <w:rPr>
          <w:szCs w:val="21"/>
        </w:rPr>
        <w:t>Bappenas</w:t>
      </w:r>
      <w:proofErr w:type="spellEnd"/>
      <w:r w:rsidRPr="00B57CB6">
        <w:rPr>
          <w:szCs w:val="21"/>
        </w:rPr>
        <w:t>-led consultations, to structured civil society–government dialogues at subnational levels</w:t>
      </w:r>
      <w:r>
        <w:rPr>
          <w:szCs w:val="21"/>
        </w:rPr>
        <w:t xml:space="preserve"> and </w:t>
      </w:r>
      <w:r w:rsidRPr="00B57CB6">
        <w:rPr>
          <w:szCs w:val="21"/>
        </w:rPr>
        <w:t>informal spaces convened by trusted intermediaries such as universities, think tanks, and respected civic organisations.</w:t>
      </w:r>
      <w:r>
        <w:rPr>
          <w:b/>
          <w:bCs/>
          <w:szCs w:val="21"/>
        </w:rPr>
        <w:t xml:space="preserve"> </w:t>
      </w:r>
    </w:p>
    <w:p w14:paraId="450DBEF0" w14:textId="6EF57271" w:rsidR="00902F90" w:rsidRPr="00307C0F" w:rsidRDefault="00902F90" w:rsidP="00902F90">
      <w:pPr>
        <w:rPr>
          <w:szCs w:val="21"/>
          <w:lang w:val="en-AU"/>
        </w:rPr>
      </w:pPr>
      <w:r w:rsidRPr="00307C0F">
        <w:rPr>
          <w:b/>
          <w:bCs/>
          <w:szCs w:val="21"/>
          <w:lang w:val="en-AU"/>
        </w:rPr>
        <w:t xml:space="preserve">IO3.1 </w:t>
      </w:r>
      <w:r w:rsidRPr="00B321E7">
        <w:rPr>
          <w:szCs w:val="21"/>
        </w:rPr>
        <w:t xml:space="preserve">focuses on </w:t>
      </w:r>
      <w:r w:rsidRPr="00FB6EAA">
        <w:rPr>
          <w:szCs w:val="21"/>
        </w:rPr>
        <w:t>supporting</w:t>
      </w:r>
      <w:r w:rsidR="00A6647A">
        <w:rPr>
          <w:szCs w:val="21"/>
        </w:rPr>
        <w:t>, where appropriate,</w:t>
      </w:r>
      <w:r w:rsidRPr="00FB6EAA">
        <w:rPr>
          <w:szCs w:val="21"/>
        </w:rPr>
        <w:t xml:space="preserve"> </w:t>
      </w:r>
      <w:r w:rsidRPr="00B57CB6">
        <w:rPr>
          <w:szCs w:val="21"/>
        </w:rPr>
        <w:t xml:space="preserve">parliamentary hearings, </w:t>
      </w:r>
      <w:r w:rsidR="004F41C2">
        <w:rPr>
          <w:szCs w:val="21"/>
        </w:rPr>
        <w:t>government</w:t>
      </w:r>
      <w:r w:rsidRPr="00B57CB6">
        <w:rPr>
          <w:szCs w:val="21"/>
        </w:rPr>
        <w:t xml:space="preserve"> consultations, policy roundtables, and civic–government dialogues </w:t>
      </w:r>
      <w:r w:rsidR="00877728">
        <w:rPr>
          <w:szCs w:val="21"/>
        </w:rPr>
        <w:t xml:space="preserve">nationally </w:t>
      </w:r>
      <w:r w:rsidRPr="00B57CB6">
        <w:rPr>
          <w:szCs w:val="21"/>
        </w:rPr>
        <w:t>and</w:t>
      </w:r>
      <w:r>
        <w:rPr>
          <w:szCs w:val="21"/>
        </w:rPr>
        <w:t xml:space="preserve"> </w:t>
      </w:r>
      <w:r w:rsidR="00877728">
        <w:rPr>
          <w:szCs w:val="21"/>
        </w:rPr>
        <w:t xml:space="preserve">at </w:t>
      </w:r>
      <w:r>
        <w:rPr>
          <w:szCs w:val="21"/>
        </w:rPr>
        <w:t>selected</w:t>
      </w:r>
      <w:r w:rsidRPr="00B57CB6">
        <w:rPr>
          <w:szCs w:val="21"/>
        </w:rPr>
        <w:t xml:space="preserve"> subnational </w:t>
      </w:r>
      <w:r w:rsidR="00877728">
        <w:rPr>
          <w:szCs w:val="21"/>
        </w:rPr>
        <w:t>locations</w:t>
      </w:r>
      <w:r w:rsidRPr="00B57CB6">
        <w:rPr>
          <w:szCs w:val="21"/>
        </w:rPr>
        <w:t>.</w:t>
      </w:r>
      <w:r w:rsidRPr="00FB6EAA">
        <w:rPr>
          <w:szCs w:val="21"/>
        </w:rPr>
        <w:t xml:space="preserve"> The program will invest in skilled facilitation and mechanisms to link dialogue outputs to policy and institutional action.</w:t>
      </w:r>
      <w:r w:rsidRPr="00B321E7">
        <w:rPr>
          <w:szCs w:val="21"/>
        </w:rPr>
        <w:t xml:space="preserve"> Building on </w:t>
      </w:r>
      <w:proofErr w:type="spellStart"/>
      <w:r w:rsidRPr="00C5377B">
        <w:rPr>
          <w:szCs w:val="21"/>
        </w:rPr>
        <w:t>DemRes</w:t>
      </w:r>
      <w:proofErr w:type="spellEnd"/>
      <w:r w:rsidRPr="00B321E7">
        <w:rPr>
          <w:szCs w:val="21"/>
        </w:rPr>
        <w:t xml:space="preserve"> lessons, the approach prioritises well-designed convening, credible facilitation, and processes that connect dialogue to action. It </w:t>
      </w:r>
      <w:r w:rsidR="009F494B">
        <w:rPr>
          <w:szCs w:val="21"/>
        </w:rPr>
        <w:t xml:space="preserve">also </w:t>
      </w:r>
      <w:r w:rsidRPr="00B321E7">
        <w:rPr>
          <w:szCs w:val="21"/>
        </w:rPr>
        <w:t xml:space="preserve">emphasises </w:t>
      </w:r>
      <w:r w:rsidR="009F494B">
        <w:rPr>
          <w:szCs w:val="21"/>
        </w:rPr>
        <w:t xml:space="preserve">inclusive </w:t>
      </w:r>
      <w:r w:rsidRPr="00B321E7">
        <w:rPr>
          <w:szCs w:val="21"/>
        </w:rPr>
        <w:t>participation from women, youth</w:t>
      </w:r>
      <w:r w:rsidR="00A13CF1">
        <w:rPr>
          <w:szCs w:val="21"/>
        </w:rPr>
        <w:t>s</w:t>
      </w:r>
      <w:r w:rsidRPr="00B321E7">
        <w:rPr>
          <w:szCs w:val="21"/>
        </w:rPr>
        <w:t xml:space="preserve">, people with disabilities and other marginalised groups, ensuring that democratic </w:t>
      </w:r>
      <w:r w:rsidR="00D350A2">
        <w:rPr>
          <w:szCs w:val="21"/>
        </w:rPr>
        <w:t>practices</w:t>
      </w:r>
      <w:r w:rsidRPr="00B321E7">
        <w:rPr>
          <w:szCs w:val="21"/>
        </w:rPr>
        <w:t xml:space="preserve"> are informed by diverse perspectives and grounded in lived realities</w:t>
      </w:r>
      <w:r w:rsidRPr="00307C0F">
        <w:rPr>
          <w:szCs w:val="21"/>
          <w:lang w:val="en-AU"/>
        </w:rPr>
        <w:t>.</w:t>
      </w:r>
    </w:p>
    <w:p w14:paraId="3B62E736" w14:textId="0337BE53" w:rsidR="00902F90" w:rsidRPr="00B57CB6" w:rsidRDefault="00902F90" w:rsidP="00902F90">
      <w:pPr>
        <w:rPr>
          <w:szCs w:val="21"/>
          <w:lang w:val="en-AU"/>
        </w:rPr>
      </w:pPr>
      <w:r w:rsidRPr="00513BB9">
        <w:rPr>
          <w:b/>
          <w:bCs/>
          <w:szCs w:val="21"/>
        </w:rPr>
        <w:t>What success would look like:</w:t>
      </w:r>
      <w:r w:rsidRPr="00513BB9">
        <w:rPr>
          <w:szCs w:val="21"/>
        </w:rPr>
        <w:t xml:space="preserve"> Over time, success will be reflected in more regular, credible, and inclusive spaces</w:t>
      </w:r>
      <w:r w:rsidR="00A13CF1">
        <w:rPr>
          <w:szCs w:val="21"/>
        </w:rPr>
        <w:t>,</w:t>
      </w:r>
      <w:r w:rsidRPr="00513BB9">
        <w:rPr>
          <w:szCs w:val="21"/>
        </w:rPr>
        <w:t xml:space="preserve"> where state</w:t>
      </w:r>
      <w:r>
        <w:rPr>
          <w:szCs w:val="21"/>
        </w:rPr>
        <w:t xml:space="preserve"> and non-state</w:t>
      </w:r>
      <w:r w:rsidRPr="00513BB9">
        <w:rPr>
          <w:szCs w:val="21"/>
        </w:rPr>
        <w:t xml:space="preserve"> actors work together on </w:t>
      </w:r>
      <w:r>
        <w:rPr>
          <w:szCs w:val="21"/>
        </w:rPr>
        <w:t xml:space="preserve">substantive </w:t>
      </w:r>
      <w:r w:rsidRPr="00513BB9">
        <w:rPr>
          <w:szCs w:val="21"/>
        </w:rPr>
        <w:t xml:space="preserve">democratic </w:t>
      </w:r>
      <w:r>
        <w:rPr>
          <w:szCs w:val="21"/>
        </w:rPr>
        <w:t>engagements and</w:t>
      </w:r>
      <w:r w:rsidRPr="00BD3DFB">
        <w:rPr>
          <w:szCs w:val="21"/>
        </w:rPr>
        <w:t xml:space="preserve"> hold each other accountable.</w:t>
      </w:r>
      <w:r w:rsidRPr="00513BB9">
        <w:rPr>
          <w:szCs w:val="21"/>
        </w:rPr>
        <w:t xml:space="preserve"> </w:t>
      </w:r>
      <w:r w:rsidRPr="008813EE">
        <w:rPr>
          <w:szCs w:val="21"/>
          <w:lang w:val="en-AU"/>
        </w:rPr>
        <w:t>A successful EOPO3 will leave behind a</w:t>
      </w:r>
      <w:r>
        <w:rPr>
          <w:szCs w:val="21"/>
          <w:lang w:val="en-AU"/>
        </w:rPr>
        <w:t xml:space="preserve"> stronger</w:t>
      </w:r>
      <w:r w:rsidRPr="008813EE">
        <w:rPr>
          <w:szCs w:val="21"/>
          <w:lang w:val="en-AU"/>
        </w:rPr>
        <w:t xml:space="preserve"> </w:t>
      </w:r>
      <w:r w:rsidRPr="00B57CB6">
        <w:rPr>
          <w:szCs w:val="21"/>
          <w:lang w:val="en-AU"/>
        </w:rPr>
        <w:t>culture of collaboration</w:t>
      </w:r>
      <w:r w:rsidRPr="008813EE">
        <w:rPr>
          <w:szCs w:val="21"/>
          <w:lang w:val="en-AU"/>
        </w:rPr>
        <w:t xml:space="preserve"> in which </w:t>
      </w:r>
      <w:r w:rsidRPr="008813EE">
        <w:rPr>
          <w:szCs w:val="21"/>
          <w:lang w:val="en-AU"/>
        </w:rPr>
        <w:lastRenderedPageBreak/>
        <w:t>women, youth</w:t>
      </w:r>
      <w:r w:rsidR="00A13CF1">
        <w:rPr>
          <w:szCs w:val="21"/>
          <w:lang w:val="en-AU"/>
        </w:rPr>
        <w:t>s</w:t>
      </w:r>
      <w:r w:rsidRPr="008813EE">
        <w:rPr>
          <w:szCs w:val="21"/>
          <w:lang w:val="en-AU"/>
        </w:rPr>
        <w:t>, people with disabilities, and other under</w:t>
      </w:r>
      <w:r w:rsidR="005B37F2">
        <w:rPr>
          <w:szCs w:val="21"/>
          <w:lang w:val="en-AU"/>
        </w:rPr>
        <w:t>-</w:t>
      </w:r>
      <w:r w:rsidRPr="008813EE">
        <w:rPr>
          <w:szCs w:val="21"/>
          <w:lang w:val="en-AU"/>
        </w:rPr>
        <w:t xml:space="preserve">represented voices are </w:t>
      </w:r>
      <w:r>
        <w:rPr>
          <w:szCs w:val="21"/>
          <w:lang w:val="en-AU"/>
        </w:rPr>
        <w:t xml:space="preserve">more </w:t>
      </w:r>
      <w:r w:rsidRPr="00B57CB6">
        <w:rPr>
          <w:szCs w:val="21"/>
          <w:lang w:val="en-AU"/>
        </w:rPr>
        <w:t>visible and influential</w:t>
      </w:r>
      <w:r w:rsidRPr="008813EE">
        <w:rPr>
          <w:szCs w:val="21"/>
          <w:lang w:val="en-AU"/>
        </w:rPr>
        <w:t xml:space="preserve"> in shaping both domestic democratic </w:t>
      </w:r>
      <w:r w:rsidR="00D01441">
        <w:rPr>
          <w:szCs w:val="21"/>
          <w:lang w:val="en-AU"/>
        </w:rPr>
        <w:t>dialogues</w:t>
      </w:r>
      <w:r w:rsidR="00A355D9">
        <w:rPr>
          <w:szCs w:val="21"/>
          <w:lang w:val="en-AU"/>
        </w:rPr>
        <w:t xml:space="preserve"> </w:t>
      </w:r>
      <w:r w:rsidR="00D164F1">
        <w:rPr>
          <w:szCs w:val="21"/>
          <w:lang w:val="en-AU"/>
        </w:rPr>
        <w:t>as well as</w:t>
      </w:r>
      <w:r w:rsidR="00D01441">
        <w:rPr>
          <w:szCs w:val="21"/>
          <w:lang w:val="en-AU"/>
        </w:rPr>
        <w:t xml:space="preserve"> greater representation and participation.</w:t>
      </w:r>
    </w:p>
    <w:p w14:paraId="5C4CDD47" w14:textId="77777777" w:rsidR="00902F90" w:rsidRPr="00847DAB" w:rsidRDefault="00902F90" w:rsidP="00902F90">
      <w:pPr>
        <w:pStyle w:val="Heading3Numbered"/>
      </w:pPr>
      <w:r w:rsidRPr="00847DAB">
        <w:t>Integration of Cross-Cutting Issues</w:t>
      </w:r>
    </w:p>
    <w:p w14:paraId="0E41928A" w14:textId="77BFFA9D" w:rsidR="00902F90" w:rsidRDefault="00902F90" w:rsidP="00902F90">
      <w:pPr>
        <w:rPr>
          <w:szCs w:val="21"/>
          <w:lang w:val="en-AU"/>
        </w:rPr>
      </w:pPr>
      <w:r w:rsidRPr="00254C2C">
        <w:rPr>
          <w:b/>
          <w:bCs/>
          <w:szCs w:val="21"/>
          <w:lang w:val="en-AU"/>
        </w:rPr>
        <w:t xml:space="preserve">Gender </w:t>
      </w:r>
      <w:r w:rsidR="001D09F2">
        <w:rPr>
          <w:b/>
          <w:bCs/>
          <w:szCs w:val="21"/>
          <w:lang w:val="en-AU"/>
        </w:rPr>
        <w:t>e</w:t>
      </w:r>
      <w:r w:rsidRPr="00254C2C">
        <w:rPr>
          <w:b/>
          <w:bCs/>
          <w:szCs w:val="21"/>
          <w:lang w:val="en-AU"/>
        </w:rPr>
        <w:t xml:space="preserve">quality, </w:t>
      </w:r>
      <w:r w:rsidR="001D09F2">
        <w:rPr>
          <w:b/>
          <w:bCs/>
          <w:szCs w:val="21"/>
          <w:lang w:val="en-AU"/>
        </w:rPr>
        <w:t>d</w:t>
      </w:r>
      <w:r w:rsidRPr="00254C2C">
        <w:rPr>
          <w:b/>
          <w:bCs/>
          <w:szCs w:val="21"/>
          <w:lang w:val="en-AU"/>
        </w:rPr>
        <w:t xml:space="preserve">isability and </w:t>
      </w:r>
      <w:r w:rsidR="001D09F2">
        <w:rPr>
          <w:b/>
          <w:bCs/>
          <w:szCs w:val="21"/>
          <w:lang w:val="en-AU"/>
        </w:rPr>
        <w:t>s</w:t>
      </w:r>
      <w:r w:rsidRPr="00254C2C">
        <w:rPr>
          <w:b/>
          <w:bCs/>
          <w:szCs w:val="21"/>
          <w:lang w:val="en-AU"/>
        </w:rPr>
        <w:t xml:space="preserve">ocial </w:t>
      </w:r>
      <w:r w:rsidR="001D09F2">
        <w:rPr>
          <w:b/>
          <w:bCs/>
          <w:szCs w:val="21"/>
          <w:lang w:val="en-AU"/>
        </w:rPr>
        <w:t>i</w:t>
      </w:r>
      <w:r w:rsidRPr="00254C2C">
        <w:rPr>
          <w:b/>
          <w:bCs/>
          <w:szCs w:val="21"/>
          <w:lang w:val="en-AU"/>
        </w:rPr>
        <w:t>nclusion</w:t>
      </w:r>
      <w:r w:rsidR="004712F8">
        <w:rPr>
          <w:b/>
          <w:bCs/>
          <w:szCs w:val="21"/>
          <w:lang w:val="en-AU"/>
        </w:rPr>
        <w:t xml:space="preserve"> </w:t>
      </w:r>
      <w:r w:rsidRPr="009553BD">
        <w:rPr>
          <w:b/>
          <w:bCs/>
          <w:szCs w:val="21"/>
          <w:lang w:val="en-AU"/>
        </w:rPr>
        <w:t>will be embedded as a core principle</w:t>
      </w:r>
      <w:r w:rsidRPr="00254C2C">
        <w:rPr>
          <w:szCs w:val="21"/>
          <w:lang w:val="en-AU"/>
        </w:rPr>
        <w:t xml:space="preserve"> of institutional legitimacy and performance. </w:t>
      </w:r>
      <w:r w:rsidRPr="001946C0">
        <w:rPr>
          <w:szCs w:val="21"/>
        </w:rPr>
        <w:t>This involves promot</w:t>
      </w:r>
      <w:r>
        <w:rPr>
          <w:szCs w:val="21"/>
        </w:rPr>
        <w:t>ing</w:t>
      </w:r>
      <w:r w:rsidRPr="001946C0">
        <w:rPr>
          <w:szCs w:val="21"/>
        </w:rPr>
        <w:t xml:space="preserve"> equitable access to participatory processes, amplify</w:t>
      </w:r>
      <w:r>
        <w:rPr>
          <w:szCs w:val="21"/>
        </w:rPr>
        <w:t>ing</w:t>
      </w:r>
      <w:r w:rsidRPr="001946C0">
        <w:rPr>
          <w:szCs w:val="21"/>
        </w:rPr>
        <w:t xml:space="preserve"> marginalised voices and integrat</w:t>
      </w:r>
      <w:r>
        <w:rPr>
          <w:szCs w:val="21"/>
        </w:rPr>
        <w:t>ing</w:t>
      </w:r>
      <w:r w:rsidRPr="001946C0">
        <w:rPr>
          <w:szCs w:val="21"/>
        </w:rPr>
        <w:t xml:space="preserve"> intersectional perspectives in policy design, civic engagement and service delivery. Activities across the program deliberately prioritise youth</w:t>
      </w:r>
      <w:r w:rsidR="001D6CC3">
        <w:rPr>
          <w:szCs w:val="21"/>
        </w:rPr>
        <w:t>s</w:t>
      </w:r>
      <w:r w:rsidRPr="001946C0">
        <w:rPr>
          <w:szCs w:val="21"/>
        </w:rPr>
        <w:t>, women</w:t>
      </w:r>
      <w:r w:rsidR="00E81418">
        <w:rPr>
          <w:szCs w:val="21"/>
        </w:rPr>
        <w:t xml:space="preserve"> and</w:t>
      </w:r>
      <w:r w:rsidRPr="001946C0">
        <w:rPr>
          <w:szCs w:val="21"/>
        </w:rPr>
        <w:t xml:space="preserve"> </w:t>
      </w:r>
      <w:r w:rsidR="001D6CC3">
        <w:rPr>
          <w:szCs w:val="21"/>
        </w:rPr>
        <w:t>people</w:t>
      </w:r>
      <w:r w:rsidR="001D6CC3" w:rsidRPr="001946C0">
        <w:rPr>
          <w:szCs w:val="21"/>
        </w:rPr>
        <w:t xml:space="preserve"> </w:t>
      </w:r>
      <w:r w:rsidRPr="001946C0">
        <w:rPr>
          <w:szCs w:val="21"/>
        </w:rPr>
        <w:t xml:space="preserve">with disabilities, ensuring that they are visible, </w:t>
      </w:r>
      <w:r>
        <w:rPr>
          <w:szCs w:val="21"/>
        </w:rPr>
        <w:t xml:space="preserve">have enhanced </w:t>
      </w:r>
      <w:r w:rsidRPr="001946C0">
        <w:rPr>
          <w:szCs w:val="21"/>
        </w:rPr>
        <w:t>influen</w:t>
      </w:r>
      <w:r>
        <w:rPr>
          <w:szCs w:val="21"/>
        </w:rPr>
        <w:t>ce</w:t>
      </w:r>
      <w:r w:rsidRPr="001946C0">
        <w:rPr>
          <w:szCs w:val="21"/>
        </w:rPr>
        <w:t>,</w:t>
      </w:r>
      <w:r>
        <w:rPr>
          <w:szCs w:val="21"/>
        </w:rPr>
        <w:t xml:space="preserve"> and a voice in s</w:t>
      </w:r>
      <w:r w:rsidRPr="001946C0">
        <w:rPr>
          <w:szCs w:val="21"/>
        </w:rPr>
        <w:t>hap</w:t>
      </w:r>
      <w:r>
        <w:rPr>
          <w:szCs w:val="21"/>
        </w:rPr>
        <w:t>ing</w:t>
      </w:r>
      <w:r w:rsidRPr="001946C0">
        <w:rPr>
          <w:szCs w:val="21"/>
        </w:rPr>
        <w:t xml:space="preserve"> public discourse and institutional responses</w:t>
      </w:r>
      <w:r w:rsidRPr="00254C2C">
        <w:rPr>
          <w:szCs w:val="21"/>
          <w:lang w:val="en-AU"/>
        </w:rPr>
        <w:t xml:space="preserve">. Specific attention will be given to addressing disability-related </w:t>
      </w:r>
      <w:r w:rsidR="00D01441">
        <w:rPr>
          <w:szCs w:val="21"/>
          <w:lang w:val="en-AU"/>
        </w:rPr>
        <w:t xml:space="preserve">barriers </w:t>
      </w:r>
      <w:r>
        <w:rPr>
          <w:szCs w:val="21"/>
          <w:lang w:val="en-AU"/>
        </w:rPr>
        <w:t xml:space="preserve">to </w:t>
      </w:r>
      <w:r w:rsidR="00D01441">
        <w:rPr>
          <w:szCs w:val="21"/>
          <w:lang w:val="en-AU"/>
        </w:rPr>
        <w:t xml:space="preserve">democratic </w:t>
      </w:r>
      <w:r>
        <w:rPr>
          <w:szCs w:val="21"/>
          <w:lang w:val="en-AU"/>
        </w:rPr>
        <w:t>participation</w:t>
      </w:r>
      <w:r w:rsidRPr="00254C2C">
        <w:rPr>
          <w:szCs w:val="21"/>
          <w:lang w:val="en-AU"/>
        </w:rPr>
        <w:t xml:space="preserve"> </w:t>
      </w:r>
      <w:r>
        <w:rPr>
          <w:szCs w:val="21"/>
          <w:lang w:val="en-AU"/>
        </w:rPr>
        <w:t>and</w:t>
      </w:r>
      <w:r w:rsidRPr="00254C2C">
        <w:rPr>
          <w:szCs w:val="21"/>
          <w:lang w:val="en-AU"/>
        </w:rPr>
        <w:t xml:space="preserve"> integrating intersectional perspectives in policy and service design.</w:t>
      </w:r>
    </w:p>
    <w:p w14:paraId="049F641F" w14:textId="1FB852E6" w:rsidR="00902F90" w:rsidRDefault="00902F90" w:rsidP="00902F90">
      <w:pPr>
        <w:rPr>
          <w:rFonts w:ascii="Calibri Light" w:hAnsi="Calibri Light" w:cs="Calibri Light"/>
        </w:rPr>
      </w:pPr>
      <w:r w:rsidRPr="00BF1611">
        <w:rPr>
          <w:rFonts w:ascii="Calibri Light" w:hAnsi="Calibri Light" w:cs="Calibri Light"/>
        </w:rPr>
        <w:t xml:space="preserve">Across all </w:t>
      </w:r>
      <w:r w:rsidR="00E81418">
        <w:rPr>
          <w:rFonts w:ascii="Calibri Light" w:hAnsi="Calibri Light" w:cs="Calibri Light"/>
        </w:rPr>
        <w:t>five</w:t>
      </w:r>
      <w:r w:rsidR="001D6CC3" w:rsidRPr="00BF1611">
        <w:rPr>
          <w:rFonts w:ascii="Calibri Light" w:hAnsi="Calibri Light" w:cs="Calibri Light"/>
        </w:rPr>
        <w:t xml:space="preserve"> </w:t>
      </w:r>
      <w:r w:rsidRPr="00BF1611">
        <w:rPr>
          <w:rFonts w:ascii="Calibri Light" w:hAnsi="Calibri Light" w:cs="Calibri Light"/>
        </w:rPr>
        <w:t xml:space="preserve">focus areas, </w:t>
      </w:r>
      <w:proofErr w:type="spellStart"/>
      <w:r w:rsidRPr="00D84A7F">
        <w:rPr>
          <w:rFonts w:ascii="Calibri Light" w:hAnsi="Calibri Light" w:cs="Calibri Light"/>
          <w:iCs/>
        </w:rPr>
        <w:t>Partisipasi</w:t>
      </w:r>
      <w:proofErr w:type="spellEnd"/>
      <w:r w:rsidRPr="00BF1611">
        <w:rPr>
          <w:rFonts w:ascii="Calibri Light" w:hAnsi="Calibri Light" w:cs="Calibri Light"/>
        </w:rPr>
        <w:t xml:space="preserve"> leverages complementarity with DFAT’s broader portfolio</w:t>
      </w:r>
      <w:r>
        <w:rPr>
          <w:rFonts w:ascii="Calibri Light" w:hAnsi="Calibri Light" w:cs="Calibri Light"/>
        </w:rPr>
        <w:t xml:space="preserve"> </w:t>
      </w:r>
      <w:r w:rsidRPr="00BF1611">
        <w:rPr>
          <w:rFonts w:ascii="Calibri Light" w:hAnsi="Calibri Light" w:cs="Calibri Light"/>
        </w:rPr>
        <w:t xml:space="preserve">to ensure interventions are mutually reinforcing and </w:t>
      </w:r>
      <w:r w:rsidRPr="00302442">
        <w:rPr>
          <w:rFonts w:ascii="Calibri Light" w:hAnsi="Calibri Light" w:cs="Calibri Light"/>
        </w:rPr>
        <w:t>strategically aligned.</w:t>
      </w:r>
      <w:r>
        <w:rPr>
          <w:rFonts w:ascii="Calibri Light" w:hAnsi="Calibri Light" w:cs="Calibri Light"/>
        </w:rPr>
        <w:t xml:space="preserve"> </w:t>
      </w:r>
      <w:proofErr w:type="spellStart"/>
      <w:r>
        <w:rPr>
          <w:rFonts w:ascii="Calibri Light" w:hAnsi="Calibri Light" w:cs="Calibri Light"/>
        </w:rPr>
        <w:t>Partisipasi</w:t>
      </w:r>
      <w:proofErr w:type="spellEnd"/>
      <w:r>
        <w:rPr>
          <w:rFonts w:ascii="Calibri Light" w:hAnsi="Calibri Light" w:cs="Calibri Light"/>
        </w:rPr>
        <w:t xml:space="preserve"> will both leverage, and be leveraged by, DFAT’s compl</w:t>
      </w:r>
      <w:r w:rsidR="001D6CC3">
        <w:rPr>
          <w:rFonts w:ascii="Calibri Light" w:hAnsi="Calibri Light" w:cs="Calibri Light"/>
        </w:rPr>
        <w:t>e</w:t>
      </w:r>
      <w:r>
        <w:rPr>
          <w:rFonts w:ascii="Calibri Light" w:hAnsi="Calibri Light" w:cs="Calibri Light"/>
        </w:rPr>
        <w:t>mentary programs</w:t>
      </w:r>
      <w:r w:rsidR="004047B6">
        <w:rPr>
          <w:rFonts w:ascii="Calibri Light" w:hAnsi="Calibri Light" w:cs="Calibri Light"/>
        </w:rPr>
        <w:t>.</w:t>
      </w:r>
      <w:r>
        <w:rPr>
          <w:rFonts w:ascii="Calibri Light" w:hAnsi="Calibri Light" w:cs="Calibri Light"/>
        </w:rPr>
        <w:t xml:space="preserve"> </w:t>
      </w:r>
      <w:r w:rsidR="004047B6">
        <w:rPr>
          <w:rFonts w:ascii="Calibri Light" w:hAnsi="Calibri Light" w:cs="Calibri Light"/>
        </w:rPr>
        <w:t>T</w:t>
      </w:r>
      <w:r>
        <w:rPr>
          <w:rFonts w:ascii="Calibri Light" w:hAnsi="Calibri Light" w:cs="Calibri Light"/>
        </w:rPr>
        <w:t>his design has built</w:t>
      </w:r>
      <w:r w:rsidR="001D6CC3">
        <w:rPr>
          <w:rFonts w:ascii="Calibri Light" w:hAnsi="Calibri Light" w:cs="Calibri Light"/>
        </w:rPr>
        <w:t>-</w:t>
      </w:r>
      <w:r>
        <w:rPr>
          <w:rFonts w:ascii="Calibri Light" w:hAnsi="Calibri Light" w:cs="Calibri Light"/>
        </w:rPr>
        <w:t xml:space="preserve">in mechanisms to achieve effective coordination and collaboration (see </w:t>
      </w:r>
      <w:r w:rsidR="009D111C">
        <w:rPr>
          <w:rFonts w:ascii="Calibri Light" w:hAnsi="Calibri Light" w:cs="Calibri Light"/>
        </w:rPr>
        <w:t>Governance and M</w:t>
      </w:r>
      <w:r>
        <w:rPr>
          <w:rFonts w:ascii="Calibri Light" w:hAnsi="Calibri Light" w:cs="Calibri Light"/>
        </w:rPr>
        <w:t xml:space="preserve">anagement </w:t>
      </w:r>
      <w:r w:rsidR="009D111C">
        <w:rPr>
          <w:rFonts w:ascii="Calibri Light" w:hAnsi="Calibri Light" w:cs="Calibri Light"/>
        </w:rPr>
        <w:t>A</w:t>
      </w:r>
      <w:r>
        <w:rPr>
          <w:rFonts w:ascii="Calibri Light" w:hAnsi="Calibri Light" w:cs="Calibri Light"/>
        </w:rPr>
        <w:t>rrangements).</w:t>
      </w:r>
      <w:r w:rsidRPr="00302442">
        <w:rPr>
          <w:rFonts w:ascii="Calibri Light" w:hAnsi="Calibri Light" w:cs="Calibri Light"/>
        </w:rPr>
        <w:t xml:space="preserve"> </w:t>
      </w:r>
      <w:r w:rsidR="00D01441">
        <w:rPr>
          <w:rFonts w:ascii="Calibri Light" w:hAnsi="Calibri Light" w:cs="Calibri Light"/>
        </w:rPr>
        <w:t xml:space="preserve">For example, </w:t>
      </w:r>
      <w:proofErr w:type="spellStart"/>
      <w:r w:rsidR="00D01441">
        <w:rPr>
          <w:rFonts w:ascii="Calibri Light" w:hAnsi="Calibri Light" w:cs="Calibri Light"/>
        </w:rPr>
        <w:t>Partisipasi</w:t>
      </w:r>
      <w:proofErr w:type="spellEnd"/>
      <w:r w:rsidR="00D01441">
        <w:rPr>
          <w:rFonts w:ascii="Calibri Light" w:hAnsi="Calibri Light" w:cs="Calibri Light"/>
        </w:rPr>
        <w:t xml:space="preserve"> will work with INKLUSI to engage INKLUSI partners in promoting civil society democratic action and education and will work with SKALA in those sub-national locations where the two programs intersect.</w:t>
      </w:r>
    </w:p>
    <w:p w14:paraId="71D09E46" w14:textId="3324807A" w:rsidR="00902F90" w:rsidRPr="00BF1611" w:rsidRDefault="00902F90" w:rsidP="00902F90">
      <w:pPr>
        <w:rPr>
          <w:rFonts w:ascii="Calibri Light" w:hAnsi="Calibri Light" w:cs="Calibri Light"/>
        </w:rPr>
      </w:pPr>
      <w:proofErr w:type="spellStart"/>
      <w:r w:rsidRPr="00D84A7F">
        <w:rPr>
          <w:rFonts w:ascii="Calibri Light" w:hAnsi="Calibri Light" w:cs="Calibri Light"/>
          <w:iCs/>
        </w:rPr>
        <w:t>Partisipasi</w:t>
      </w:r>
      <w:r w:rsidRPr="00302442">
        <w:rPr>
          <w:rFonts w:ascii="Calibri Light" w:hAnsi="Calibri Light" w:cs="Calibri Light"/>
        </w:rPr>
        <w:t>’s</w:t>
      </w:r>
      <w:proofErr w:type="spellEnd"/>
      <w:r w:rsidRPr="00302442">
        <w:rPr>
          <w:rFonts w:ascii="Calibri Light" w:hAnsi="Calibri Light" w:cs="Calibri Light"/>
        </w:rPr>
        <w:t xml:space="preserve"> distinct value lies in its </w:t>
      </w:r>
      <w:r>
        <w:rPr>
          <w:rFonts w:ascii="Calibri Light" w:hAnsi="Calibri Light" w:cs="Calibri Light"/>
        </w:rPr>
        <w:t xml:space="preserve">purpose of </w:t>
      </w:r>
      <w:r w:rsidR="00DD1679">
        <w:rPr>
          <w:rFonts w:ascii="Calibri Light" w:hAnsi="Calibri Light" w:cs="Calibri Light"/>
        </w:rPr>
        <w:t xml:space="preserve">supporting state and non-state actors to </w:t>
      </w:r>
      <w:r w:rsidR="00DD10C7">
        <w:rPr>
          <w:rFonts w:ascii="Calibri Light" w:hAnsi="Calibri Light" w:cs="Calibri Light"/>
        </w:rPr>
        <w:t xml:space="preserve">strengthen </w:t>
      </w:r>
      <w:r w:rsidR="00DD1679">
        <w:rPr>
          <w:rFonts w:ascii="Calibri Light" w:hAnsi="Calibri Light" w:cs="Calibri Light"/>
        </w:rPr>
        <w:t>substantive democracy</w:t>
      </w:r>
      <w:r>
        <w:rPr>
          <w:rFonts w:ascii="Calibri Light" w:hAnsi="Calibri Light" w:cs="Calibri Light"/>
        </w:rPr>
        <w:t xml:space="preserve">, which by its very nature should be inclusive. It will do so in an </w:t>
      </w:r>
      <w:r w:rsidRPr="00302442">
        <w:rPr>
          <w:rFonts w:ascii="Calibri Light" w:hAnsi="Calibri Light" w:cs="Calibri Light"/>
        </w:rPr>
        <w:t xml:space="preserve">integrated and deliberate approach to </w:t>
      </w:r>
      <w:r w:rsidRPr="00486F72">
        <w:rPr>
          <w:rFonts w:ascii="Calibri Light" w:hAnsi="Calibri Light" w:cs="Calibri Light"/>
        </w:rPr>
        <w:t>inclusion that</w:t>
      </w:r>
      <w:r w:rsidRPr="00302442">
        <w:rPr>
          <w:rFonts w:ascii="Calibri Light" w:hAnsi="Calibri Light" w:cs="Calibri Light"/>
        </w:rPr>
        <w:t xml:space="preserve"> </w:t>
      </w:r>
      <w:r>
        <w:rPr>
          <w:rFonts w:ascii="Calibri Light" w:hAnsi="Calibri Light" w:cs="Calibri Light"/>
        </w:rPr>
        <w:t>promotes</w:t>
      </w:r>
      <w:r w:rsidRPr="00486F72">
        <w:rPr>
          <w:rFonts w:ascii="Calibri Light" w:hAnsi="Calibri Light" w:cs="Calibri Light"/>
        </w:rPr>
        <w:t xml:space="preserve"> pluralism and accountability</w:t>
      </w:r>
      <w:r>
        <w:rPr>
          <w:rFonts w:ascii="Calibri Light" w:hAnsi="Calibri Light" w:cs="Calibri Light"/>
        </w:rPr>
        <w:t>,</w:t>
      </w:r>
      <w:r w:rsidRPr="00302442">
        <w:rPr>
          <w:rFonts w:ascii="Calibri Light" w:hAnsi="Calibri Light" w:cs="Calibri Light"/>
        </w:rPr>
        <w:t xml:space="preserve"> while reinforcing long-term democratic resilience</w:t>
      </w:r>
      <w:r w:rsidR="002D2641">
        <w:rPr>
          <w:rFonts w:ascii="Calibri Light" w:hAnsi="Calibri Light" w:cs="Calibri Light"/>
        </w:rPr>
        <w:t xml:space="preserve"> and civic participation</w:t>
      </w:r>
      <w:r w:rsidRPr="00302442">
        <w:rPr>
          <w:rFonts w:ascii="Calibri Light" w:hAnsi="Calibri Light" w:cs="Calibri Light"/>
        </w:rPr>
        <w:t xml:space="preserve">. </w:t>
      </w:r>
      <w:r>
        <w:rPr>
          <w:rFonts w:ascii="Calibri Light" w:hAnsi="Calibri Light" w:cs="Calibri Light"/>
        </w:rPr>
        <w:t>I</w:t>
      </w:r>
      <w:r w:rsidRPr="00BF1611">
        <w:rPr>
          <w:rFonts w:ascii="Calibri Light" w:hAnsi="Calibri Light" w:cs="Calibri Light"/>
        </w:rPr>
        <w:t>nclusion is both a protective strategy and a core democratic value</w:t>
      </w:r>
      <w:r>
        <w:rPr>
          <w:rFonts w:ascii="Calibri Light" w:hAnsi="Calibri Light" w:cs="Calibri Light"/>
        </w:rPr>
        <w:t>.</w:t>
      </w:r>
      <w:r w:rsidRPr="00BF1611">
        <w:rPr>
          <w:rFonts w:ascii="Calibri Light" w:hAnsi="Calibri Light" w:cs="Calibri Light"/>
        </w:rPr>
        <w:t xml:space="preserve"> </w:t>
      </w:r>
      <w:r>
        <w:rPr>
          <w:rFonts w:ascii="Calibri Light" w:hAnsi="Calibri Light" w:cs="Calibri Light"/>
        </w:rPr>
        <w:t>I</w:t>
      </w:r>
      <w:r w:rsidRPr="00BF1611">
        <w:rPr>
          <w:rFonts w:ascii="Calibri Light" w:hAnsi="Calibri Light" w:cs="Calibri Light"/>
        </w:rPr>
        <w:t>t ensures that marginali</w:t>
      </w:r>
      <w:r>
        <w:rPr>
          <w:rFonts w:ascii="Calibri Light" w:hAnsi="Calibri Light" w:cs="Calibri Light"/>
        </w:rPr>
        <w:t>s</w:t>
      </w:r>
      <w:r w:rsidRPr="00BF1611">
        <w:rPr>
          <w:rFonts w:ascii="Calibri Light" w:hAnsi="Calibri Light" w:cs="Calibri Light"/>
        </w:rPr>
        <w:t>ed groups</w:t>
      </w:r>
      <w:r w:rsidR="001D6CC3">
        <w:rPr>
          <w:rFonts w:ascii="Calibri Light" w:hAnsi="Calibri Light" w:cs="Calibri Light"/>
        </w:rPr>
        <w:t xml:space="preserve"> – </w:t>
      </w:r>
      <w:r w:rsidRPr="00BF1611">
        <w:rPr>
          <w:rFonts w:ascii="Calibri Light" w:hAnsi="Calibri Light" w:cs="Calibri Light"/>
        </w:rPr>
        <w:t>women, youth</w:t>
      </w:r>
      <w:r w:rsidR="001D6CC3">
        <w:rPr>
          <w:rFonts w:ascii="Calibri Light" w:hAnsi="Calibri Light" w:cs="Calibri Light"/>
        </w:rPr>
        <w:t>s,</w:t>
      </w:r>
      <w:r>
        <w:rPr>
          <w:rFonts w:ascii="Calibri Light" w:hAnsi="Calibri Light" w:cs="Calibri Light"/>
        </w:rPr>
        <w:t xml:space="preserve"> and</w:t>
      </w:r>
      <w:r w:rsidRPr="00BF1611">
        <w:rPr>
          <w:rFonts w:ascii="Calibri Light" w:hAnsi="Calibri Light" w:cs="Calibri Light"/>
        </w:rPr>
        <w:t xml:space="preserve"> </w:t>
      </w:r>
      <w:r w:rsidR="001D6CC3">
        <w:rPr>
          <w:rFonts w:ascii="Calibri Light" w:hAnsi="Calibri Light" w:cs="Calibri Light"/>
        </w:rPr>
        <w:t>people</w:t>
      </w:r>
      <w:r w:rsidR="001D6CC3" w:rsidRPr="00BF1611">
        <w:rPr>
          <w:rFonts w:ascii="Calibri Light" w:hAnsi="Calibri Light" w:cs="Calibri Light"/>
        </w:rPr>
        <w:t xml:space="preserve"> </w:t>
      </w:r>
      <w:r w:rsidRPr="00BF1611">
        <w:rPr>
          <w:rFonts w:ascii="Calibri Light" w:hAnsi="Calibri Light" w:cs="Calibri Light"/>
        </w:rPr>
        <w:t>with disabilities</w:t>
      </w:r>
      <w:r w:rsidR="001D6CC3">
        <w:rPr>
          <w:rFonts w:ascii="Calibri Light" w:hAnsi="Calibri Light" w:cs="Calibri Light"/>
        </w:rPr>
        <w:t xml:space="preserve"> – </w:t>
      </w:r>
      <w:r w:rsidRPr="00BF1611">
        <w:rPr>
          <w:rFonts w:ascii="Calibri Light" w:hAnsi="Calibri Light" w:cs="Calibri Light"/>
        </w:rPr>
        <w:t>can continue to engage, connect and influence civic and political decision-making</w:t>
      </w:r>
      <w:r>
        <w:rPr>
          <w:rFonts w:ascii="Calibri Light" w:hAnsi="Calibri Light" w:cs="Calibri Light"/>
        </w:rPr>
        <w:t xml:space="preserve">, </w:t>
      </w:r>
      <w:r w:rsidRPr="00BF1611">
        <w:rPr>
          <w:rFonts w:ascii="Calibri Light" w:hAnsi="Calibri Light" w:cs="Calibri Light"/>
        </w:rPr>
        <w:t>even when formal processes are constrained.</w:t>
      </w:r>
    </w:p>
    <w:p w14:paraId="6B54D94A" w14:textId="77777777" w:rsidR="00902F90" w:rsidRPr="00A3285A" w:rsidRDefault="00902F90" w:rsidP="00902F90">
      <w:pPr>
        <w:spacing w:before="0" w:after="160"/>
        <w:rPr>
          <w:rFonts w:ascii="Calibri Light" w:hAnsi="Calibri Light" w:cs="Calibri Light"/>
        </w:rPr>
      </w:pPr>
      <w:r w:rsidRPr="00BF1611">
        <w:rPr>
          <w:rFonts w:ascii="Calibri Light" w:hAnsi="Calibri Light" w:cs="Calibri Light"/>
        </w:rPr>
        <w:t>This action-</w:t>
      </w:r>
      <w:r w:rsidRPr="00A3285A">
        <w:rPr>
          <w:rFonts w:ascii="Calibri Light" w:hAnsi="Calibri Light" w:cs="Calibri Light"/>
        </w:rPr>
        <w:t>oriented approach embeds inclusion across all program components:</w:t>
      </w:r>
    </w:p>
    <w:p w14:paraId="3120E172" w14:textId="0A701F77" w:rsidR="00902F90" w:rsidRPr="00A3285A" w:rsidRDefault="00902F90" w:rsidP="00D3558F">
      <w:pPr>
        <w:numPr>
          <w:ilvl w:val="0"/>
          <w:numId w:val="25"/>
        </w:numPr>
        <w:suppressAutoHyphens w:val="0"/>
        <w:spacing w:before="0" w:after="160" w:line="240" w:lineRule="auto"/>
        <w:rPr>
          <w:rFonts w:ascii="Calibri Light" w:hAnsi="Calibri Light" w:cs="Calibri Light"/>
        </w:rPr>
      </w:pPr>
      <w:r w:rsidRPr="009553BD">
        <w:rPr>
          <w:rFonts w:ascii="Calibri Light" w:hAnsi="Calibri Light" w:cs="Calibri Light"/>
        </w:rPr>
        <w:t>Electoral integrity initiatives</w:t>
      </w:r>
      <w:r w:rsidRPr="00A3285A">
        <w:rPr>
          <w:rFonts w:ascii="Calibri Light" w:hAnsi="Calibri Light" w:cs="Calibri Light"/>
        </w:rPr>
        <w:t xml:space="preserve"> are designed to remove practical barriers, facilitating access for voters with disabilit</w:t>
      </w:r>
      <w:r w:rsidR="00FB0CC5" w:rsidRPr="00A3285A">
        <w:rPr>
          <w:rFonts w:ascii="Calibri Light" w:hAnsi="Calibri Light" w:cs="Calibri Light"/>
        </w:rPr>
        <w:t>ies</w:t>
      </w:r>
      <w:r w:rsidRPr="00A3285A">
        <w:rPr>
          <w:rFonts w:ascii="Calibri Light" w:hAnsi="Calibri Light" w:cs="Calibri Light"/>
        </w:rPr>
        <w:t xml:space="preserve"> and other marginalised groups.</w:t>
      </w:r>
    </w:p>
    <w:p w14:paraId="5575AC1A" w14:textId="49378E9D" w:rsidR="00902F90" w:rsidRPr="00A3285A" w:rsidRDefault="00902F90" w:rsidP="00D3558F">
      <w:pPr>
        <w:numPr>
          <w:ilvl w:val="0"/>
          <w:numId w:val="25"/>
        </w:numPr>
        <w:suppressAutoHyphens w:val="0"/>
        <w:spacing w:before="0" w:after="160" w:line="240" w:lineRule="auto"/>
        <w:rPr>
          <w:rFonts w:ascii="Calibri Light" w:hAnsi="Calibri Light" w:cs="Calibri Light"/>
        </w:rPr>
      </w:pPr>
      <w:r w:rsidRPr="009553BD">
        <w:rPr>
          <w:rFonts w:ascii="Calibri Light" w:hAnsi="Calibri Light" w:cs="Calibri Light"/>
        </w:rPr>
        <w:t>Civic participation programs</w:t>
      </w:r>
      <w:r w:rsidRPr="00A3285A">
        <w:rPr>
          <w:rFonts w:ascii="Calibri Light" w:hAnsi="Calibri Light" w:cs="Calibri Light"/>
        </w:rPr>
        <w:t xml:space="preserve"> actively empower youth</w:t>
      </w:r>
      <w:r w:rsidR="001D6CC3" w:rsidRPr="00A3285A">
        <w:rPr>
          <w:rFonts w:ascii="Calibri Light" w:hAnsi="Calibri Light" w:cs="Calibri Light"/>
        </w:rPr>
        <w:t>s</w:t>
      </w:r>
      <w:r w:rsidRPr="00A3285A">
        <w:rPr>
          <w:rFonts w:ascii="Calibri Light" w:hAnsi="Calibri Light" w:cs="Calibri Light"/>
        </w:rPr>
        <w:t xml:space="preserve"> and women to contribute to local and national policy dialogues, fostering a pipeline of inclusive leadership.</w:t>
      </w:r>
    </w:p>
    <w:p w14:paraId="1E584B8C" w14:textId="4FD6B3A4" w:rsidR="00902F90" w:rsidRPr="00A3285A" w:rsidRDefault="00902F90" w:rsidP="00D3558F">
      <w:pPr>
        <w:numPr>
          <w:ilvl w:val="0"/>
          <w:numId w:val="25"/>
        </w:numPr>
        <w:suppressAutoHyphens w:val="0"/>
        <w:spacing w:before="0" w:after="160" w:line="240" w:lineRule="auto"/>
        <w:rPr>
          <w:rFonts w:ascii="Calibri Light" w:hAnsi="Calibri Light" w:cs="Calibri Light"/>
        </w:rPr>
      </w:pPr>
      <w:r w:rsidRPr="009553BD">
        <w:rPr>
          <w:rFonts w:ascii="Calibri Light" w:hAnsi="Calibri Light" w:cs="Calibri Light"/>
        </w:rPr>
        <w:t>Media and counter-disinformation efforts</w:t>
      </w:r>
      <w:r w:rsidRPr="00A3285A">
        <w:rPr>
          <w:rFonts w:ascii="Calibri Light" w:hAnsi="Calibri Light" w:cs="Calibri Light"/>
        </w:rPr>
        <w:t xml:space="preserve"> prioritise amplifying under</w:t>
      </w:r>
      <w:r w:rsidR="005B37F2" w:rsidRPr="00A3285A">
        <w:rPr>
          <w:rFonts w:ascii="Calibri Light" w:hAnsi="Calibri Light" w:cs="Calibri Light"/>
        </w:rPr>
        <w:t>-</w:t>
      </w:r>
      <w:r w:rsidRPr="00A3285A">
        <w:rPr>
          <w:rFonts w:ascii="Calibri Light" w:hAnsi="Calibri Light" w:cs="Calibri Light"/>
        </w:rPr>
        <w:t>represented voices, creating space for pluralistic narratives that strengthen transparency, tolerance, and accountability.</w:t>
      </w:r>
    </w:p>
    <w:p w14:paraId="3C56F521" w14:textId="4793ECC0" w:rsidR="00902F90" w:rsidRDefault="00902F90" w:rsidP="00902F90">
      <w:pPr>
        <w:rPr>
          <w:rFonts w:ascii="Calibri Light" w:hAnsi="Calibri Light" w:cs="Calibri Light"/>
        </w:rPr>
      </w:pPr>
      <w:r w:rsidRPr="00A3285A">
        <w:rPr>
          <w:rFonts w:ascii="Calibri Light" w:hAnsi="Calibri Light" w:cs="Calibri Light"/>
        </w:rPr>
        <w:t xml:space="preserve">By deliberately embedding this protective and participatory lens, </w:t>
      </w:r>
      <w:proofErr w:type="spellStart"/>
      <w:r w:rsidRPr="00A3285A">
        <w:rPr>
          <w:rFonts w:ascii="Calibri Light" w:hAnsi="Calibri Light" w:cs="Calibri Light"/>
        </w:rPr>
        <w:t>Partisipasi</w:t>
      </w:r>
      <w:proofErr w:type="spellEnd"/>
      <w:r w:rsidRPr="00A3285A">
        <w:rPr>
          <w:rFonts w:ascii="Calibri Light" w:hAnsi="Calibri Light" w:cs="Calibri Light"/>
        </w:rPr>
        <w:t xml:space="preserve"> </w:t>
      </w:r>
      <w:r w:rsidR="00D93E86">
        <w:rPr>
          <w:rFonts w:ascii="Calibri Light" w:hAnsi="Calibri Light" w:cs="Calibri Light"/>
        </w:rPr>
        <w:t>helps to ensure</w:t>
      </w:r>
      <w:r w:rsidR="00D93E86" w:rsidRPr="00BF1611">
        <w:rPr>
          <w:rFonts w:ascii="Calibri Light" w:hAnsi="Calibri Light" w:cs="Calibri Light"/>
        </w:rPr>
        <w:t xml:space="preserve"> </w:t>
      </w:r>
      <w:r w:rsidRPr="00BF1611">
        <w:rPr>
          <w:rFonts w:ascii="Calibri Light" w:hAnsi="Calibri Light" w:cs="Calibri Light"/>
        </w:rPr>
        <w:t xml:space="preserve">that institutional reforms, civic engagement initiatives and media interventions are not only technically effective but socially equitable. This strengthens the resilience of democratic institutions and fosters a culture of </w:t>
      </w:r>
      <w:r>
        <w:rPr>
          <w:rFonts w:ascii="Calibri Light" w:hAnsi="Calibri Light" w:cs="Calibri Light"/>
        </w:rPr>
        <w:t>democratic participation</w:t>
      </w:r>
      <w:r w:rsidRPr="00BF1611">
        <w:rPr>
          <w:rFonts w:ascii="Calibri Light" w:hAnsi="Calibri Light" w:cs="Calibri Light"/>
        </w:rPr>
        <w:t xml:space="preserve"> across Indonesia. </w:t>
      </w:r>
    </w:p>
    <w:p w14:paraId="6F06C076" w14:textId="0D7ECDDE" w:rsidR="00902F90" w:rsidRDefault="00F5143C" w:rsidP="00902F90">
      <w:pPr>
        <w:spacing w:after="120" w:line="240" w:lineRule="auto"/>
        <w:rPr>
          <w:szCs w:val="21"/>
          <w:lang w:val="en-AU"/>
        </w:rPr>
      </w:pPr>
      <w:r>
        <w:rPr>
          <w:b/>
          <w:bCs/>
          <w:szCs w:val="21"/>
          <w:lang w:val="en-AU"/>
        </w:rPr>
        <w:t>Digital engagement and c</w:t>
      </w:r>
      <w:r w:rsidR="00902F90">
        <w:rPr>
          <w:b/>
          <w:bCs/>
          <w:szCs w:val="21"/>
          <w:lang w:val="en-AU"/>
        </w:rPr>
        <w:t xml:space="preserve">ountering </w:t>
      </w:r>
      <w:r w:rsidR="001D09F2">
        <w:rPr>
          <w:b/>
          <w:bCs/>
          <w:szCs w:val="21"/>
          <w:lang w:val="en-AU"/>
        </w:rPr>
        <w:t>d</w:t>
      </w:r>
      <w:r w:rsidR="00902F90" w:rsidRPr="00254C2C">
        <w:rPr>
          <w:b/>
          <w:bCs/>
          <w:szCs w:val="21"/>
          <w:lang w:val="en-AU"/>
        </w:rPr>
        <w:t>isinformation</w:t>
      </w:r>
      <w:r w:rsidR="00902F90">
        <w:rPr>
          <w:szCs w:val="21"/>
          <w:lang w:val="en-AU"/>
        </w:rPr>
        <w:t xml:space="preserve"> </w:t>
      </w:r>
      <w:r>
        <w:rPr>
          <w:szCs w:val="21"/>
        </w:rPr>
        <w:t>are</w:t>
      </w:r>
      <w:r w:rsidR="002423E8">
        <w:rPr>
          <w:szCs w:val="21"/>
        </w:rPr>
        <w:t xml:space="preserve"> </w:t>
      </w:r>
      <w:r w:rsidR="00902F90" w:rsidRPr="009837A6">
        <w:rPr>
          <w:szCs w:val="21"/>
        </w:rPr>
        <w:t>cross-cutting concern</w:t>
      </w:r>
      <w:r>
        <w:rPr>
          <w:szCs w:val="21"/>
        </w:rPr>
        <w:t>s</w:t>
      </w:r>
      <w:r w:rsidR="00902F90" w:rsidRPr="009837A6">
        <w:rPr>
          <w:szCs w:val="21"/>
        </w:rPr>
        <w:t xml:space="preserve">. Strengthening the digital resilience of both state institutions and civil society actors is central to </w:t>
      </w:r>
      <w:r w:rsidR="00EF09C5">
        <w:rPr>
          <w:szCs w:val="21"/>
        </w:rPr>
        <w:t>maintaining</w:t>
      </w:r>
      <w:r w:rsidR="00CC5F8A">
        <w:rPr>
          <w:szCs w:val="21"/>
        </w:rPr>
        <w:t xml:space="preserve"> vibrant</w:t>
      </w:r>
      <w:r w:rsidR="00EF09C5" w:rsidRPr="009837A6">
        <w:rPr>
          <w:szCs w:val="21"/>
        </w:rPr>
        <w:t xml:space="preserve"> </w:t>
      </w:r>
      <w:r w:rsidR="00902F90" w:rsidRPr="009837A6">
        <w:rPr>
          <w:szCs w:val="21"/>
        </w:rPr>
        <w:t>democra</w:t>
      </w:r>
      <w:r w:rsidR="00D01441">
        <w:rPr>
          <w:szCs w:val="21"/>
        </w:rPr>
        <w:t>c</w:t>
      </w:r>
      <w:r w:rsidR="00CC5F8A">
        <w:rPr>
          <w:szCs w:val="21"/>
        </w:rPr>
        <w:t>ies</w:t>
      </w:r>
      <w:r w:rsidR="00902F90" w:rsidRPr="009837A6">
        <w:rPr>
          <w:szCs w:val="21"/>
        </w:rPr>
        <w:t xml:space="preserve">. </w:t>
      </w:r>
      <w:proofErr w:type="spellStart"/>
      <w:r w:rsidR="00902F90" w:rsidRPr="00D84A7F">
        <w:rPr>
          <w:iCs/>
          <w:szCs w:val="21"/>
        </w:rPr>
        <w:t>Partisipasi</w:t>
      </w:r>
      <w:proofErr w:type="spellEnd"/>
      <w:r w:rsidR="00902F90" w:rsidRPr="009837A6">
        <w:rPr>
          <w:szCs w:val="21"/>
        </w:rPr>
        <w:t xml:space="preserve"> will support actors to detect and respond to misinformation, foster collaboration with civic tech</w:t>
      </w:r>
      <w:r w:rsidR="00C103F9">
        <w:rPr>
          <w:szCs w:val="21"/>
        </w:rPr>
        <w:t>nology</w:t>
      </w:r>
      <w:r w:rsidR="00902F90" w:rsidRPr="009837A6">
        <w:rPr>
          <w:szCs w:val="21"/>
        </w:rPr>
        <w:t xml:space="preserve"> actors and media regulators, and create trusted platforms for public engagement. Media</w:t>
      </w:r>
      <w:r w:rsidR="007A0C55">
        <w:rPr>
          <w:szCs w:val="21"/>
        </w:rPr>
        <w:t xml:space="preserve"> </w:t>
      </w:r>
      <w:r w:rsidR="00902F90" w:rsidRPr="009837A6">
        <w:rPr>
          <w:szCs w:val="21"/>
        </w:rPr>
        <w:t>and civic campaigns will promote information integrity, contributing to informed and constructive public discourse</w:t>
      </w:r>
      <w:r w:rsidR="00902F90" w:rsidRPr="00254C2C">
        <w:rPr>
          <w:szCs w:val="21"/>
          <w:lang w:val="en-AU"/>
        </w:rPr>
        <w:t>.</w:t>
      </w:r>
    </w:p>
    <w:p w14:paraId="71126806" w14:textId="07A0FFDE" w:rsidR="00902F90" w:rsidRPr="009837A6" w:rsidRDefault="00902F90" w:rsidP="00902F90">
      <w:pPr>
        <w:spacing w:after="120" w:line="240" w:lineRule="auto"/>
        <w:rPr>
          <w:b/>
          <w:bCs/>
          <w:szCs w:val="21"/>
          <w:lang w:val="en-AU"/>
        </w:rPr>
      </w:pPr>
      <w:proofErr w:type="spellStart"/>
      <w:r w:rsidRPr="00D84A7F">
        <w:rPr>
          <w:iCs/>
          <w:szCs w:val="21"/>
        </w:rPr>
        <w:t>Partisipasi</w:t>
      </w:r>
      <w:proofErr w:type="spellEnd"/>
      <w:r w:rsidRPr="00B57CB6">
        <w:rPr>
          <w:szCs w:val="21"/>
        </w:rPr>
        <w:t xml:space="preserve"> prioritises</w:t>
      </w:r>
      <w:r w:rsidRPr="00F03028">
        <w:rPr>
          <w:b/>
          <w:bCs/>
          <w:szCs w:val="21"/>
        </w:rPr>
        <w:t xml:space="preserve"> localisation, long-term partnerships, and adaptive convening.</w:t>
      </w:r>
      <w:r w:rsidRPr="00B57CB6">
        <w:rPr>
          <w:szCs w:val="21"/>
        </w:rPr>
        <w:t xml:space="preserve"> Trust-based partnerships with local, subnational, and informal actors will be central. Flexible funding, mentoring, and accompaniment </w:t>
      </w:r>
      <w:r w:rsidR="00AB7567">
        <w:rPr>
          <w:szCs w:val="21"/>
        </w:rPr>
        <w:t xml:space="preserve">will </w:t>
      </w:r>
      <w:r w:rsidRPr="00B57CB6">
        <w:rPr>
          <w:szCs w:val="21"/>
        </w:rPr>
        <w:t>allow actors to respond and adapt to political, social and environmental shifts, while dialogue and collaboration mechanisms will be tailored to the context, ranging from closed-door discussions to larger public forums that are safe, inclusive</w:t>
      </w:r>
      <w:r w:rsidR="00C103F9">
        <w:rPr>
          <w:szCs w:val="21"/>
        </w:rPr>
        <w:t>,</w:t>
      </w:r>
      <w:r w:rsidRPr="00B57CB6">
        <w:rPr>
          <w:szCs w:val="21"/>
        </w:rPr>
        <w:t xml:space="preserve"> and relevant.</w:t>
      </w:r>
    </w:p>
    <w:p w14:paraId="6A2DA371" w14:textId="68AB2CDD" w:rsidR="00902F90" w:rsidRPr="00F219BB" w:rsidRDefault="00902F90" w:rsidP="00902F90">
      <w:pPr>
        <w:rPr>
          <w:lang w:val="en-AU"/>
        </w:rPr>
      </w:pPr>
      <w:r w:rsidRPr="69B01520">
        <w:rPr>
          <w:b/>
        </w:rPr>
        <w:lastRenderedPageBreak/>
        <w:t xml:space="preserve">Integrating </w:t>
      </w:r>
      <w:r w:rsidR="001D09F2">
        <w:rPr>
          <w:b/>
        </w:rPr>
        <w:t>c</w:t>
      </w:r>
      <w:r w:rsidRPr="69B01520">
        <w:rPr>
          <w:b/>
        </w:rPr>
        <w:t xml:space="preserve">limate and </w:t>
      </w:r>
      <w:r w:rsidR="001D09F2">
        <w:rPr>
          <w:b/>
        </w:rPr>
        <w:t>d</w:t>
      </w:r>
      <w:r w:rsidRPr="69B01520">
        <w:rPr>
          <w:b/>
        </w:rPr>
        <w:t xml:space="preserve">isaster </w:t>
      </w:r>
      <w:r w:rsidR="001D09F2">
        <w:rPr>
          <w:b/>
        </w:rPr>
        <w:t>r</w:t>
      </w:r>
      <w:r w:rsidRPr="69B01520">
        <w:rPr>
          <w:b/>
        </w:rPr>
        <w:t>esilience</w:t>
      </w:r>
      <w:r w:rsidR="00D01441">
        <w:t xml:space="preserve"> </w:t>
      </w:r>
      <w:proofErr w:type="spellStart"/>
      <w:r>
        <w:t>Partisipasi</w:t>
      </w:r>
      <w:proofErr w:type="spellEnd"/>
      <w:r>
        <w:t xml:space="preserve"> recognises </w:t>
      </w:r>
      <w:r w:rsidR="00D01441">
        <w:t xml:space="preserve">that the increasing intensity of the negative impacts of </w:t>
      </w:r>
      <w:r>
        <w:t xml:space="preserve">climate change </w:t>
      </w:r>
      <w:r w:rsidR="00D01441">
        <w:t>are</w:t>
      </w:r>
      <w:r>
        <w:t xml:space="preserve"> both development and democratic stressors</w:t>
      </w:r>
      <w:r w:rsidR="00C103F9">
        <w:rPr>
          <w:lang w:val="en-AU"/>
        </w:rPr>
        <w:t xml:space="preserve"> – </w:t>
      </w:r>
      <w:r w:rsidRPr="69B01520">
        <w:rPr>
          <w:lang w:val="en-AU"/>
        </w:rPr>
        <w:t xml:space="preserve">for example, by disrupting electoral processes, fuelling disinformation, or eroding citizen trust in government institutions. </w:t>
      </w:r>
      <w:r w:rsidR="00D01441">
        <w:rPr>
          <w:lang w:val="en-AU"/>
        </w:rPr>
        <w:t>Although</w:t>
      </w:r>
      <w:r w:rsidR="00223226">
        <w:rPr>
          <w:lang w:val="en-AU"/>
        </w:rPr>
        <w:t xml:space="preserve"> </w:t>
      </w:r>
      <w:r w:rsidRPr="69B01520">
        <w:rPr>
          <w:lang w:val="en-AU"/>
        </w:rPr>
        <w:t xml:space="preserve">climate outcomes are not a principal focus of the program, </w:t>
      </w:r>
      <w:r w:rsidR="00D01441">
        <w:rPr>
          <w:lang w:val="en-AU"/>
        </w:rPr>
        <w:t xml:space="preserve">there are synergies between the civic actors that operate in these spaces, particularly their desire for greater voice and participation of marginalised groups. </w:t>
      </w:r>
      <w:proofErr w:type="spellStart"/>
      <w:r w:rsidR="00D01441">
        <w:rPr>
          <w:lang w:val="en-AU"/>
        </w:rPr>
        <w:t>Partisipasi</w:t>
      </w:r>
      <w:proofErr w:type="spellEnd"/>
      <w:r w:rsidR="00D01441">
        <w:rPr>
          <w:lang w:val="en-AU"/>
        </w:rPr>
        <w:t xml:space="preserve"> will pursue collaboration</w:t>
      </w:r>
      <w:r w:rsidR="00D01441" w:rsidRPr="69B01520" w:rsidDel="00223226">
        <w:rPr>
          <w:lang w:val="en-AU"/>
        </w:rPr>
        <w:t xml:space="preserve"> </w:t>
      </w:r>
      <w:r w:rsidR="00D01441">
        <w:rPr>
          <w:lang w:val="en-AU"/>
        </w:rPr>
        <w:t xml:space="preserve">and </w:t>
      </w:r>
      <w:r w:rsidRPr="69B01520">
        <w:rPr>
          <w:lang w:val="en-AU"/>
        </w:rPr>
        <w:t>integration where it reinforces democratic integrity and accountability.</w:t>
      </w:r>
    </w:p>
    <w:p w14:paraId="73E40A3A" w14:textId="30173A0E" w:rsidR="00902F90" w:rsidRPr="00F219BB" w:rsidRDefault="00902F90" w:rsidP="00902F90">
      <w:pPr>
        <w:rPr>
          <w:szCs w:val="21"/>
          <w:lang w:val="en-AU"/>
        </w:rPr>
      </w:pPr>
      <w:r w:rsidRPr="00E1390D">
        <w:rPr>
          <w:szCs w:val="21"/>
          <w:lang w:val="en-AU"/>
        </w:rPr>
        <w:t>Climate is mainstreamed across all EOPOs, with measurable influence on participation, accountability, civic space</w:t>
      </w:r>
      <w:r w:rsidR="00223226">
        <w:rPr>
          <w:szCs w:val="21"/>
          <w:lang w:val="en-AU"/>
        </w:rPr>
        <w:t>,</w:t>
      </w:r>
      <w:r w:rsidRPr="00E1390D">
        <w:rPr>
          <w:szCs w:val="21"/>
          <w:lang w:val="en-AU"/>
        </w:rPr>
        <w:t xml:space="preserve"> and institutional resilience.</w:t>
      </w:r>
      <w:r>
        <w:rPr>
          <w:szCs w:val="21"/>
          <w:lang w:val="en-AU"/>
        </w:rPr>
        <w:t xml:space="preserve"> </w:t>
      </w:r>
      <w:proofErr w:type="spellStart"/>
      <w:r w:rsidR="007B5A20" w:rsidRPr="007B5A20">
        <w:rPr>
          <w:szCs w:val="21"/>
          <w:lang w:val="en-AU"/>
        </w:rPr>
        <w:t>Partisipasi</w:t>
      </w:r>
      <w:proofErr w:type="spellEnd"/>
      <w:r w:rsidRPr="00B57CB6">
        <w:rPr>
          <w:i/>
          <w:iCs/>
          <w:szCs w:val="21"/>
          <w:lang w:val="en-AU"/>
        </w:rPr>
        <w:t xml:space="preserve"> </w:t>
      </w:r>
      <w:r w:rsidRPr="00F219BB">
        <w:rPr>
          <w:szCs w:val="21"/>
          <w:lang w:val="en-AU"/>
        </w:rPr>
        <w:t xml:space="preserve">will prioritise </w:t>
      </w:r>
      <w:r w:rsidRPr="00F219BB">
        <w:rPr>
          <w:b/>
          <w:bCs/>
          <w:szCs w:val="21"/>
          <w:lang w:val="en-AU"/>
        </w:rPr>
        <w:t>specific and practical entry points</w:t>
      </w:r>
      <w:r w:rsidRPr="00F219BB">
        <w:rPr>
          <w:szCs w:val="21"/>
          <w:lang w:val="en-AU"/>
        </w:rPr>
        <w:t>:</w:t>
      </w:r>
    </w:p>
    <w:p w14:paraId="0E694DA8" w14:textId="65FE3F1A" w:rsidR="00902F90" w:rsidRPr="00A3285A" w:rsidRDefault="00902F90" w:rsidP="00504B06">
      <w:pPr>
        <w:numPr>
          <w:ilvl w:val="0"/>
          <w:numId w:val="76"/>
        </w:numPr>
        <w:rPr>
          <w:szCs w:val="21"/>
          <w:lang w:val="en-AU"/>
        </w:rPr>
      </w:pPr>
      <w:r w:rsidRPr="009553BD">
        <w:rPr>
          <w:szCs w:val="21"/>
          <w:lang w:val="en-AU"/>
        </w:rPr>
        <w:t>EOPO1:</w:t>
      </w:r>
      <w:r w:rsidRPr="00A3285A">
        <w:rPr>
          <w:szCs w:val="21"/>
          <w:lang w:val="en-AU"/>
        </w:rPr>
        <w:t xml:space="preserve"> Support to electoral bodies and parliaments, when relevant, will include tools and peer exchanges (e.g. carbon accounting, </w:t>
      </w:r>
      <w:r w:rsidRPr="00A3285A">
        <w:rPr>
          <w:szCs w:val="21"/>
        </w:rPr>
        <w:t>climate risk assessment frameworks, and green procurement guidelines</w:t>
      </w:r>
      <w:r w:rsidRPr="00A3285A">
        <w:rPr>
          <w:szCs w:val="21"/>
          <w:lang w:val="en-AU"/>
        </w:rPr>
        <w:t>) to understand climate responsibility associated with elections</w:t>
      </w:r>
      <w:r w:rsidR="00223226" w:rsidRPr="00A3285A">
        <w:rPr>
          <w:szCs w:val="21"/>
          <w:lang w:val="en-AU"/>
        </w:rPr>
        <w:t>,</w:t>
      </w:r>
      <w:r w:rsidRPr="00A3285A">
        <w:rPr>
          <w:szCs w:val="21"/>
          <w:lang w:val="en-AU"/>
        </w:rPr>
        <w:t xml:space="preserve"> to strengthen institutional continuity and oversight during environmental shocks.</w:t>
      </w:r>
    </w:p>
    <w:p w14:paraId="78D4DFCC" w14:textId="48ECBCAF" w:rsidR="00902F90" w:rsidRPr="00A3285A" w:rsidRDefault="00902F90" w:rsidP="00504B06">
      <w:pPr>
        <w:numPr>
          <w:ilvl w:val="0"/>
          <w:numId w:val="76"/>
        </w:numPr>
        <w:rPr>
          <w:szCs w:val="21"/>
          <w:lang w:val="en-AU"/>
        </w:rPr>
      </w:pPr>
      <w:r w:rsidRPr="009553BD">
        <w:rPr>
          <w:szCs w:val="21"/>
          <w:lang w:val="en-AU"/>
        </w:rPr>
        <w:t>EOPO2:</w:t>
      </w:r>
      <w:r w:rsidRPr="00A3285A">
        <w:rPr>
          <w:szCs w:val="21"/>
          <w:lang w:val="en-AU"/>
        </w:rPr>
        <w:t xml:space="preserve"> Select civil society coalitions and advocacy platforms will be supported to link </w:t>
      </w:r>
      <w:r w:rsidR="00AB7567">
        <w:rPr>
          <w:szCs w:val="21"/>
          <w:lang w:val="en-AU"/>
        </w:rPr>
        <w:t>civic participation</w:t>
      </w:r>
      <w:r w:rsidRPr="00A3285A">
        <w:rPr>
          <w:szCs w:val="21"/>
          <w:lang w:val="en-AU"/>
        </w:rPr>
        <w:t xml:space="preserve"> with climate </w:t>
      </w:r>
      <w:r w:rsidR="00D01441" w:rsidRPr="00A3285A">
        <w:rPr>
          <w:szCs w:val="21"/>
          <w:lang w:val="en-AU"/>
        </w:rPr>
        <w:t>justice</w:t>
      </w:r>
      <w:r w:rsidRPr="00A3285A">
        <w:rPr>
          <w:szCs w:val="21"/>
          <w:lang w:val="en-AU"/>
        </w:rPr>
        <w:t xml:space="preserve">, particularly through partnerships with environmental NGOs, youth groups, and faith-based organisations active on climate </w:t>
      </w:r>
      <w:r w:rsidR="00D01441" w:rsidRPr="00A3285A">
        <w:rPr>
          <w:szCs w:val="21"/>
          <w:lang w:val="en-AU"/>
        </w:rPr>
        <w:t>change</w:t>
      </w:r>
      <w:r w:rsidRPr="00A3285A">
        <w:rPr>
          <w:szCs w:val="21"/>
          <w:lang w:val="en-AU"/>
        </w:rPr>
        <w:t>.</w:t>
      </w:r>
    </w:p>
    <w:p w14:paraId="199A970A" w14:textId="7C942F0B" w:rsidR="00902F90" w:rsidRPr="00F219BB" w:rsidRDefault="00902F90" w:rsidP="00504B06">
      <w:pPr>
        <w:numPr>
          <w:ilvl w:val="0"/>
          <w:numId w:val="76"/>
        </w:numPr>
        <w:rPr>
          <w:szCs w:val="21"/>
          <w:lang w:val="en-AU"/>
        </w:rPr>
      </w:pPr>
      <w:r w:rsidRPr="009553BD">
        <w:rPr>
          <w:szCs w:val="21"/>
          <w:lang w:val="en-AU"/>
        </w:rPr>
        <w:t>EOPO3:</w:t>
      </w:r>
      <w:r w:rsidRPr="00A3285A">
        <w:rPr>
          <w:szCs w:val="21"/>
          <w:lang w:val="en-AU"/>
        </w:rPr>
        <w:t xml:space="preserve"> Dialogue platforms and media initiatives will treat climate </w:t>
      </w:r>
      <w:r w:rsidR="00D01441" w:rsidRPr="00A3285A">
        <w:rPr>
          <w:szCs w:val="21"/>
          <w:lang w:val="en-AU"/>
        </w:rPr>
        <w:t xml:space="preserve">justice </w:t>
      </w:r>
      <w:r w:rsidRPr="00A3285A">
        <w:rPr>
          <w:szCs w:val="21"/>
          <w:lang w:val="en-AU"/>
        </w:rPr>
        <w:t>as a governance and accountability issue</w:t>
      </w:r>
      <w:r w:rsidR="00223226" w:rsidRPr="00A3285A">
        <w:rPr>
          <w:szCs w:val="21"/>
          <w:lang w:val="en-AU"/>
        </w:rPr>
        <w:t xml:space="preserve"> – </w:t>
      </w:r>
      <w:r w:rsidRPr="00A3285A">
        <w:rPr>
          <w:szCs w:val="21"/>
          <w:lang w:val="en-AU"/>
        </w:rPr>
        <w:t xml:space="preserve">for </w:t>
      </w:r>
      <w:r w:rsidR="00223226" w:rsidRPr="00A3285A">
        <w:rPr>
          <w:szCs w:val="21"/>
          <w:lang w:val="en-AU"/>
        </w:rPr>
        <w:t>example</w:t>
      </w:r>
      <w:r w:rsidRPr="00F219BB">
        <w:rPr>
          <w:szCs w:val="21"/>
          <w:lang w:val="en-AU"/>
        </w:rPr>
        <w:t>, through participatory budgeting pilots, youth-led campaigns, or storytelling labs focused on climate-related democratic challenges.</w:t>
      </w:r>
    </w:p>
    <w:p w14:paraId="5AA10CE9" w14:textId="7CC5341D" w:rsidR="00902F90" w:rsidRPr="00B57CB6" w:rsidRDefault="00902F90" w:rsidP="00902F90">
      <w:pPr>
        <w:rPr>
          <w:szCs w:val="21"/>
          <w:lang w:val="en-AU"/>
        </w:rPr>
      </w:pPr>
      <w:r w:rsidRPr="00F219BB">
        <w:rPr>
          <w:szCs w:val="21"/>
          <w:lang w:val="en-AU"/>
        </w:rPr>
        <w:t>This targeted approach ensures climate and disaster considerations contribute meaningfully to democratic resilience</w:t>
      </w:r>
      <w:r w:rsidRPr="00254164">
        <w:rPr>
          <w:szCs w:val="21"/>
        </w:rPr>
        <w:t xml:space="preserve">. </w:t>
      </w:r>
      <w:r w:rsidRPr="002D080A">
        <w:rPr>
          <w:szCs w:val="21"/>
        </w:rPr>
        <w:t xml:space="preserve">A MEL indicator has been </w:t>
      </w:r>
      <w:r w:rsidR="00A01BB3">
        <w:rPr>
          <w:szCs w:val="21"/>
        </w:rPr>
        <w:t>included</w:t>
      </w:r>
      <w:r w:rsidR="00A01BB3" w:rsidRPr="002D080A">
        <w:rPr>
          <w:szCs w:val="21"/>
        </w:rPr>
        <w:t xml:space="preserve"> </w:t>
      </w:r>
      <w:r w:rsidRPr="002D080A">
        <w:rPr>
          <w:szCs w:val="21"/>
        </w:rPr>
        <w:t>under IO2.1 to track how program outputs support climate justice and related accountability processes.</w:t>
      </w:r>
      <w:r>
        <w:rPr>
          <w:szCs w:val="21"/>
        </w:rPr>
        <w:t xml:space="preserve"> </w:t>
      </w:r>
    </w:p>
    <w:p w14:paraId="6F791BE9" w14:textId="39B38104" w:rsidR="00902F90" w:rsidRDefault="00902F90" w:rsidP="00902F90">
      <w:pPr>
        <w:rPr>
          <w:rFonts w:ascii="Calibri Light" w:hAnsi="Calibri Light" w:cs="Calibri Light"/>
        </w:rPr>
      </w:pPr>
      <w:r w:rsidRPr="006F5DBF">
        <w:rPr>
          <w:rFonts w:ascii="Calibri Light" w:hAnsi="Calibri Light" w:cs="Calibri Light"/>
        </w:rPr>
        <w:t xml:space="preserve">Taken together, these cross-cutting strategies reinforce inclusion, accountability, and resilience across the program. By integrating these considerations in a practical and targeted manner, </w:t>
      </w:r>
      <w:proofErr w:type="spellStart"/>
      <w:r w:rsidRPr="00D84A7F">
        <w:rPr>
          <w:rFonts w:ascii="Calibri Light" w:hAnsi="Calibri Light" w:cs="Calibri Light"/>
          <w:iCs/>
        </w:rPr>
        <w:t>Partisipasi</w:t>
      </w:r>
      <w:proofErr w:type="spellEnd"/>
      <w:r w:rsidRPr="006F5DBF">
        <w:rPr>
          <w:rFonts w:ascii="Calibri Light" w:hAnsi="Calibri Light" w:cs="Calibri Light"/>
        </w:rPr>
        <w:t xml:space="preserve"> ensures that democratic gains are sustainable, locally owned, and responsive to both current and emerging challenges.</w:t>
      </w:r>
    </w:p>
    <w:p w14:paraId="0D257573" w14:textId="1274DFE9" w:rsidR="00A01BB3" w:rsidRPr="009553BD" w:rsidRDefault="00A01BB3" w:rsidP="00902F90">
      <w:pPr>
        <w:rPr>
          <w:rFonts w:ascii="Calibri Light" w:hAnsi="Calibri Light" w:cs="Calibri Light"/>
          <w:lang w:val="en-AU"/>
        </w:rPr>
      </w:pPr>
      <w:r w:rsidRPr="00254164">
        <w:rPr>
          <w:szCs w:val="21"/>
        </w:rPr>
        <w:t xml:space="preserve">For further </w:t>
      </w:r>
      <w:r w:rsidR="008E7E42">
        <w:rPr>
          <w:szCs w:val="21"/>
        </w:rPr>
        <w:t xml:space="preserve">information about </w:t>
      </w:r>
      <w:r>
        <w:rPr>
          <w:szCs w:val="21"/>
        </w:rPr>
        <w:t>cross-cutting issues</w:t>
      </w:r>
      <w:r w:rsidRPr="00254164">
        <w:rPr>
          <w:szCs w:val="21"/>
        </w:rPr>
        <w:t xml:space="preserve"> analysis</w:t>
      </w:r>
      <w:r w:rsidR="007F15D0">
        <w:rPr>
          <w:szCs w:val="21"/>
        </w:rPr>
        <w:t xml:space="preserve"> and </w:t>
      </w:r>
      <w:r w:rsidR="008E7E42">
        <w:rPr>
          <w:szCs w:val="21"/>
        </w:rPr>
        <w:t>integration</w:t>
      </w:r>
      <w:r w:rsidRPr="00254164">
        <w:rPr>
          <w:szCs w:val="21"/>
        </w:rPr>
        <w:t xml:space="preserve"> see</w:t>
      </w:r>
      <w:r w:rsidR="004B28E9">
        <w:rPr>
          <w:szCs w:val="21"/>
        </w:rPr>
        <w:t xml:space="preserve"> section</w:t>
      </w:r>
      <w:r w:rsidR="008E7E42">
        <w:rPr>
          <w:szCs w:val="21"/>
        </w:rPr>
        <w:t xml:space="preserve"> 7 and</w:t>
      </w:r>
      <w:r w:rsidR="00E73423">
        <w:rPr>
          <w:szCs w:val="21"/>
        </w:rPr>
        <w:t xml:space="preserve"> </w:t>
      </w:r>
      <w:hyperlink w:anchor="_Annex_I:_Cross-Cutting" w:history="1">
        <w:r w:rsidR="00E73423" w:rsidRPr="00CF0CE2">
          <w:rPr>
            <w:rStyle w:val="Hyperlink"/>
            <w:rFonts w:cstheme="minorBidi"/>
            <w:b/>
            <w:bCs/>
            <w:szCs w:val="21"/>
          </w:rPr>
          <w:t>Annex I</w:t>
        </w:r>
      </w:hyperlink>
      <w:r w:rsidR="00E73423" w:rsidRPr="00CF0CE2">
        <w:rPr>
          <w:b/>
          <w:bCs/>
          <w:color w:val="auto"/>
          <w:szCs w:val="21"/>
        </w:rPr>
        <w:t>.</w:t>
      </w:r>
      <w:r w:rsidRPr="00CF0CE2">
        <w:rPr>
          <w:color w:val="auto"/>
          <w:szCs w:val="21"/>
        </w:rPr>
        <w:t xml:space="preserve"> </w:t>
      </w:r>
    </w:p>
    <w:p w14:paraId="1430AE9C" w14:textId="1E18A2F6" w:rsidR="00902F90" w:rsidRPr="005048E9" w:rsidRDefault="00902F90" w:rsidP="00902F90">
      <w:pPr>
        <w:pStyle w:val="Heading3Numbered"/>
      </w:pPr>
      <w:r w:rsidRPr="005048E9">
        <w:t>Focus Areas</w:t>
      </w:r>
    </w:p>
    <w:p w14:paraId="2AA75EFB" w14:textId="3B3A174D" w:rsidR="00902F90" w:rsidRDefault="00902F90" w:rsidP="00902F90">
      <w:pPr>
        <w:rPr>
          <w:rFonts w:ascii="Calibri Light" w:hAnsi="Calibri Light" w:cs="Calibri Light"/>
        </w:rPr>
      </w:pPr>
      <w:proofErr w:type="spellStart"/>
      <w:r w:rsidRPr="00D84A7F">
        <w:rPr>
          <w:iCs/>
          <w:lang w:val="en-AU"/>
        </w:rPr>
        <w:t>Partisipasi</w:t>
      </w:r>
      <w:proofErr w:type="spellEnd"/>
      <w:r>
        <w:rPr>
          <w:lang w:val="en-AU"/>
        </w:rPr>
        <w:t xml:space="preserve"> </w:t>
      </w:r>
      <w:r w:rsidRPr="00220A90">
        <w:rPr>
          <w:lang w:val="en-AU"/>
        </w:rPr>
        <w:t xml:space="preserve">will maintain a sharp focus on the core elements that underpin democratic resilience and </w:t>
      </w:r>
      <w:r>
        <w:rPr>
          <w:lang w:val="en-AU"/>
        </w:rPr>
        <w:t>participation</w:t>
      </w:r>
      <w:r w:rsidRPr="00220A90">
        <w:rPr>
          <w:lang w:val="en-AU"/>
        </w:rPr>
        <w:t xml:space="preserve">. </w:t>
      </w:r>
      <w:r>
        <w:rPr>
          <w:lang w:val="en-AU"/>
        </w:rPr>
        <w:t xml:space="preserve">The program </w:t>
      </w:r>
      <w:r w:rsidRPr="00585C6A">
        <w:rPr>
          <w:rFonts w:ascii="Calibri Light" w:hAnsi="Calibri Light" w:cs="Calibri Light"/>
        </w:rPr>
        <w:t xml:space="preserve">is designed around </w:t>
      </w:r>
      <w:r w:rsidR="00624C43">
        <w:rPr>
          <w:rFonts w:ascii="Calibri Light" w:hAnsi="Calibri Light" w:cs="Calibri Light"/>
        </w:rPr>
        <w:t>five</w:t>
      </w:r>
      <w:r w:rsidR="00223226" w:rsidRPr="00585C6A">
        <w:rPr>
          <w:rFonts w:ascii="Calibri Light" w:hAnsi="Calibri Light" w:cs="Calibri Light"/>
        </w:rPr>
        <w:t xml:space="preserve"> </w:t>
      </w:r>
      <w:r w:rsidRPr="00585C6A">
        <w:rPr>
          <w:rFonts w:ascii="Calibri Light" w:hAnsi="Calibri Light" w:cs="Calibri Light"/>
        </w:rPr>
        <w:t xml:space="preserve">interrelated programmatic focus areas that reflect both current and emerging challenges in Indonesia’s democratic landscape, </w:t>
      </w:r>
      <w:r w:rsidR="001F224F">
        <w:rPr>
          <w:rFonts w:ascii="Calibri Light" w:hAnsi="Calibri Light" w:cs="Calibri Light"/>
        </w:rPr>
        <w:t xml:space="preserve">are </w:t>
      </w:r>
      <w:r w:rsidRPr="00585C6A">
        <w:rPr>
          <w:rFonts w:ascii="Calibri Light" w:hAnsi="Calibri Light" w:cs="Calibri Light"/>
        </w:rPr>
        <w:t>align</w:t>
      </w:r>
      <w:r w:rsidR="001F224F">
        <w:rPr>
          <w:rFonts w:ascii="Calibri Light" w:hAnsi="Calibri Light" w:cs="Calibri Light"/>
        </w:rPr>
        <w:t>ed</w:t>
      </w:r>
      <w:r w:rsidRPr="00585C6A">
        <w:rPr>
          <w:rFonts w:ascii="Calibri Light" w:hAnsi="Calibri Light" w:cs="Calibri Light"/>
        </w:rPr>
        <w:t xml:space="preserve"> with </w:t>
      </w:r>
      <w:proofErr w:type="spellStart"/>
      <w:r w:rsidR="00024559">
        <w:rPr>
          <w:rFonts w:ascii="Calibri Light" w:hAnsi="Calibri Light" w:cs="Calibri Light"/>
        </w:rPr>
        <w:t>GoI</w:t>
      </w:r>
      <w:proofErr w:type="spellEnd"/>
      <w:r w:rsidR="00024559">
        <w:rPr>
          <w:rFonts w:ascii="Calibri Light" w:hAnsi="Calibri Light" w:cs="Calibri Light"/>
        </w:rPr>
        <w:t xml:space="preserve"> and </w:t>
      </w:r>
      <w:proofErr w:type="spellStart"/>
      <w:r w:rsidR="00024559">
        <w:rPr>
          <w:rFonts w:ascii="Calibri Light" w:hAnsi="Calibri Light" w:cs="Calibri Light"/>
        </w:rPr>
        <w:t>GoA</w:t>
      </w:r>
      <w:proofErr w:type="spellEnd"/>
      <w:r w:rsidR="00024559">
        <w:rPr>
          <w:rFonts w:ascii="Calibri Light" w:hAnsi="Calibri Light" w:cs="Calibri Light"/>
        </w:rPr>
        <w:t xml:space="preserve"> </w:t>
      </w:r>
      <w:r w:rsidRPr="00585C6A">
        <w:rPr>
          <w:rFonts w:ascii="Calibri Light" w:hAnsi="Calibri Light" w:cs="Calibri Light"/>
        </w:rPr>
        <w:t>priorities</w:t>
      </w:r>
      <w:r w:rsidR="001F224F">
        <w:rPr>
          <w:rFonts w:ascii="Calibri Light" w:hAnsi="Calibri Light" w:cs="Calibri Light"/>
        </w:rPr>
        <w:t>, and minimise overlap with existing Australian Government investments (e.g. INKLUSI already has a pillar dedicated to increasing women’s representation in parliaments, and AIPJ</w:t>
      </w:r>
      <w:r w:rsidR="00F10347">
        <w:rPr>
          <w:rFonts w:ascii="Calibri Light" w:hAnsi="Calibri Light" w:cs="Calibri Light"/>
        </w:rPr>
        <w:t>3</w:t>
      </w:r>
      <w:r w:rsidR="001F224F">
        <w:rPr>
          <w:rFonts w:ascii="Calibri Light" w:hAnsi="Calibri Light" w:cs="Calibri Light"/>
        </w:rPr>
        <w:t xml:space="preserve"> already works extensively with justice system stakeholders)</w:t>
      </w:r>
      <w:r w:rsidRPr="00585C6A">
        <w:rPr>
          <w:rFonts w:ascii="Calibri Light" w:hAnsi="Calibri Light" w:cs="Calibri Light"/>
        </w:rPr>
        <w:t xml:space="preserve">. </w:t>
      </w:r>
      <w:r w:rsidRPr="001D27BF">
        <w:rPr>
          <w:szCs w:val="21"/>
          <w:lang w:val="en-AU"/>
        </w:rPr>
        <w:t xml:space="preserve">Focus </w:t>
      </w:r>
      <w:r>
        <w:rPr>
          <w:szCs w:val="21"/>
          <w:lang w:val="en-AU"/>
        </w:rPr>
        <w:t>a</w:t>
      </w:r>
      <w:r w:rsidRPr="001D27BF">
        <w:rPr>
          <w:szCs w:val="21"/>
          <w:lang w:val="en-AU"/>
        </w:rPr>
        <w:t>reas</w:t>
      </w:r>
      <w:r w:rsidRPr="0048535C">
        <w:rPr>
          <w:b/>
          <w:bCs/>
          <w:szCs w:val="21"/>
          <w:lang w:val="en-AU"/>
        </w:rPr>
        <w:t xml:space="preserve"> </w:t>
      </w:r>
      <w:r w:rsidRPr="0048535C">
        <w:rPr>
          <w:szCs w:val="21"/>
          <w:lang w:val="en-AU"/>
        </w:rPr>
        <w:t xml:space="preserve">have been selected to ensure the scope of </w:t>
      </w:r>
      <w:proofErr w:type="spellStart"/>
      <w:r w:rsidRPr="00D84A7F">
        <w:rPr>
          <w:iCs/>
          <w:szCs w:val="21"/>
          <w:lang w:val="en-AU"/>
        </w:rPr>
        <w:t>Partisipasi</w:t>
      </w:r>
      <w:proofErr w:type="spellEnd"/>
      <w:r w:rsidRPr="00B57CB6">
        <w:rPr>
          <w:i/>
          <w:iCs/>
          <w:szCs w:val="21"/>
          <w:lang w:val="en-AU"/>
        </w:rPr>
        <w:t xml:space="preserve"> </w:t>
      </w:r>
      <w:r w:rsidRPr="0048535C">
        <w:rPr>
          <w:szCs w:val="21"/>
          <w:lang w:val="en-AU"/>
        </w:rPr>
        <w:t>activities are sizeable enough to achieve the outcomes, targeted to those areas where there is opportunity for meaningful change</w:t>
      </w:r>
      <w:r w:rsidR="009D2F33">
        <w:rPr>
          <w:szCs w:val="21"/>
          <w:lang w:val="en-AU"/>
        </w:rPr>
        <w:t>,</w:t>
      </w:r>
      <w:r w:rsidRPr="0048535C">
        <w:rPr>
          <w:szCs w:val="21"/>
          <w:lang w:val="en-AU"/>
        </w:rPr>
        <w:t xml:space="preserve"> and complementary to Australia’s broader bilateral and regional investments. </w:t>
      </w:r>
      <w:r w:rsidRPr="00585C6A">
        <w:rPr>
          <w:rFonts w:ascii="Calibri Light" w:hAnsi="Calibri Light" w:cs="Calibri Light"/>
        </w:rPr>
        <w:t xml:space="preserve">Across all areas, the program embeds </w:t>
      </w:r>
      <w:r w:rsidR="00CC21CD">
        <w:rPr>
          <w:rFonts w:ascii="Calibri Light" w:hAnsi="Calibri Light" w:cs="Calibri Light"/>
        </w:rPr>
        <w:t>inclusion</w:t>
      </w:r>
      <w:r w:rsidR="00CC21CD" w:rsidRPr="00585C6A">
        <w:rPr>
          <w:rFonts w:ascii="Calibri Light" w:hAnsi="Calibri Light" w:cs="Calibri Light"/>
        </w:rPr>
        <w:t xml:space="preserve"> </w:t>
      </w:r>
      <w:r w:rsidRPr="00585C6A">
        <w:rPr>
          <w:rFonts w:ascii="Calibri Light" w:hAnsi="Calibri Light" w:cs="Calibri Light"/>
        </w:rPr>
        <w:t>principles, ensuring that women, youth</w:t>
      </w:r>
      <w:r w:rsidR="00223226">
        <w:rPr>
          <w:rFonts w:ascii="Calibri Light" w:hAnsi="Calibri Light" w:cs="Calibri Light"/>
        </w:rPr>
        <w:t>s</w:t>
      </w:r>
      <w:r w:rsidRPr="00585C6A">
        <w:rPr>
          <w:rFonts w:ascii="Calibri Light" w:hAnsi="Calibri Light" w:cs="Calibri Light"/>
        </w:rPr>
        <w:t xml:space="preserve">, </w:t>
      </w:r>
      <w:r>
        <w:rPr>
          <w:rFonts w:ascii="Calibri Light" w:hAnsi="Calibri Light" w:cs="Calibri Light"/>
        </w:rPr>
        <w:t xml:space="preserve">and </w:t>
      </w:r>
      <w:r w:rsidR="00223226">
        <w:rPr>
          <w:rFonts w:ascii="Calibri Light" w:hAnsi="Calibri Light" w:cs="Calibri Light"/>
        </w:rPr>
        <w:t>people</w:t>
      </w:r>
      <w:r w:rsidR="00223226" w:rsidRPr="00585C6A">
        <w:rPr>
          <w:rFonts w:ascii="Calibri Light" w:hAnsi="Calibri Light" w:cs="Calibri Light"/>
        </w:rPr>
        <w:t xml:space="preserve"> </w:t>
      </w:r>
      <w:r w:rsidRPr="00585C6A">
        <w:rPr>
          <w:rFonts w:ascii="Calibri Light" w:hAnsi="Calibri Light" w:cs="Calibri Light"/>
        </w:rPr>
        <w:t xml:space="preserve">with disabilities can participate </w:t>
      </w:r>
      <w:r w:rsidRPr="00AA6E78">
        <w:rPr>
          <w:rFonts w:ascii="Calibri Light" w:hAnsi="Calibri Light" w:cs="Calibri Light"/>
        </w:rPr>
        <w:t>meaningfully.</w:t>
      </w:r>
      <w:r w:rsidRPr="00585C6A">
        <w:rPr>
          <w:rFonts w:ascii="Calibri Light" w:hAnsi="Calibri Light" w:cs="Calibri Light"/>
        </w:rPr>
        <w:t xml:space="preserve"> </w:t>
      </w:r>
    </w:p>
    <w:p w14:paraId="10528F02" w14:textId="73B04B9E" w:rsidR="00293BD0" w:rsidRPr="009553BD" w:rsidRDefault="00293BD0" w:rsidP="009553BD">
      <w:pPr>
        <w:spacing w:before="0" w:after="160"/>
        <w:rPr>
          <w:rFonts w:ascii="Calibri Light" w:hAnsi="Calibri Light" w:cs="Calibri Light"/>
        </w:rPr>
      </w:pPr>
      <w:r>
        <w:rPr>
          <w:rFonts w:ascii="Calibri Light" w:hAnsi="Calibri Light" w:cs="Calibri Light"/>
        </w:rPr>
        <w:t>The program will not lead in areas that are the prim</w:t>
      </w:r>
      <w:r w:rsidR="00E67843">
        <w:rPr>
          <w:rFonts w:ascii="Calibri Light" w:hAnsi="Calibri Light" w:cs="Calibri Light"/>
        </w:rPr>
        <w:t>ary</w:t>
      </w:r>
      <w:r>
        <w:rPr>
          <w:rFonts w:ascii="Calibri Light" w:hAnsi="Calibri Light" w:cs="Calibri Light"/>
        </w:rPr>
        <w:t xml:space="preserve"> focus of existing </w:t>
      </w:r>
      <w:r w:rsidR="005048E9">
        <w:rPr>
          <w:rFonts w:ascii="Calibri Light" w:hAnsi="Calibri Light" w:cs="Calibri Light"/>
        </w:rPr>
        <w:t>Australian Government</w:t>
      </w:r>
      <w:r>
        <w:rPr>
          <w:rFonts w:ascii="Calibri Light" w:hAnsi="Calibri Light" w:cs="Calibri Light"/>
        </w:rPr>
        <w:t xml:space="preserve"> investments. Rather, the </w:t>
      </w:r>
      <w:proofErr w:type="spellStart"/>
      <w:r w:rsidR="005048E9">
        <w:rPr>
          <w:rFonts w:ascii="Calibri Light" w:hAnsi="Calibri Light" w:cs="Calibri Light"/>
        </w:rPr>
        <w:t>GoA</w:t>
      </w:r>
      <w:proofErr w:type="spellEnd"/>
      <w:r>
        <w:rPr>
          <w:rFonts w:ascii="Calibri Light" w:hAnsi="Calibri Light" w:cs="Calibri Light"/>
        </w:rPr>
        <w:t xml:space="preserve"> managers of </w:t>
      </w:r>
      <w:proofErr w:type="spellStart"/>
      <w:r>
        <w:rPr>
          <w:rFonts w:ascii="Calibri Light" w:hAnsi="Calibri Light" w:cs="Calibri Light"/>
        </w:rPr>
        <w:t>Partisipasi</w:t>
      </w:r>
      <w:proofErr w:type="spellEnd"/>
      <w:r>
        <w:rPr>
          <w:rFonts w:ascii="Calibri Light" w:hAnsi="Calibri Light" w:cs="Calibri Light"/>
        </w:rPr>
        <w:t xml:space="preserve"> will engage in discussions with managers of other programs about if and how a supporting role for </w:t>
      </w:r>
      <w:proofErr w:type="spellStart"/>
      <w:r>
        <w:rPr>
          <w:rFonts w:ascii="Calibri Light" w:hAnsi="Calibri Light" w:cs="Calibri Light"/>
        </w:rPr>
        <w:t>Partisipasi</w:t>
      </w:r>
      <w:proofErr w:type="spellEnd"/>
      <w:r>
        <w:rPr>
          <w:rFonts w:ascii="Calibri Light" w:hAnsi="Calibri Light" w:cs="Calibri Light"/>
        </w:rPr>
        <w:t xml:space="preserve"> is desirable. The DFAT </w:t>
      </w:r>
      <w:proofErr w:type="spellStart"/>
      <w:r w:rsidR="007C0541">
        <w:rPr>
          <w:rFonts w:ascii="Calibri Light" w:hAnsi="Calibri Light" w:cs="Calibri Light"/>
        </w:rPr>
        <w:t>Partisipasi</w:t>
      </w:r>
      <w:proofErr w:type="spellEnd"/>
      <w:r>
        <w:rPr>
          <w:rFonts w:ascii="Calibri Light" w:hAnsi="Calibri Light" w:cs="Calibri Light"/>
        </w:rPr>
        <w:t xml:space="preserve"> Reference Group (see section 5.1) will play an important role in ensuring </w:t>
      </w:r>
      <w:proofErr w:type="spellStart"/>
      <w:r>
        <w:rPr>
          <w:rFonts w:ascii="Calibri Light" w:hAnsi="Calibri Light" w:cs="Calibri Light"/>
        </w:rPr>
        <w:t>Partisipasi</w:t>
      </w:r>
      <w:proofErr w:type="spellEnd"/>
      <w:r>
        <w:rPr>
          <w:rFonts w:ascii="Calibri Light" w:hAnsi="Calibri Light" w:cs="Calibri Light"/>
        </w:rPr>
        <w:t xml:space="preserve"> complements other </w:t>
      </w:r>
      <w:proofErr w:type="spellStart"/>
      <w:r w:rsidR="005048E9">
        <w:rPr>
          <w:rFonts w:ascii="Calibri Light" w:hAnsi="Calibri Light" w:cs="Calibri Light"/>
        </w:rPr>
        <w:t>GoA</w:t>
      </w:r>
      <w:proofErr w:type="spellEnd"/>
      <w:r>
        <w:rPr>
          <w:rFonts w:ascii="Calibri Light" w:hAnsi="Calibri Light" w:cs="Calibri Light"/>
        </w:rPr>
        <w:t xml:space="preserve"> investments. </w:t>
      </w:r>
      <w:proofErr w:type="spellStart"/>
      <w:r>
        <w:rPr>
          <w:rFonts w:ascii="Calibri Light" w:hAnsi="Calibri Light" w:cs="Calibri Light"/>
        </w:rPr>
        <w:t>Partisipasi</w:t>
      </w:r>
      <w:proofErr w:type="spellEnd"/>
      <w:r>
        <w:rPr>
          <w:rFonts w:ascii="Calibri Light" w:hAnsi="Calibri Light" w:cs="Calibri Light"/>
        </w:rPr>
        <w:t xml:space="preserve"> will not support activities in fields where the risk is generically too high. The risk landscape will change over time. As the program is overseen by </w:t>
      </w:r>
      <w:r w:rsidR="005048E9">
        <w:rPr>
          <w:rFonts w:ascii="Calibri Light" w:hAnsi="Calibri Light" w:cs="Calibri Light"/>
        </w:rPr>
        <w:t>the Australian Embassy in Jakarta</w:t>
      </w:r>
      <w:r>
        <w:rPr>
          <w:rFonts w:ascii="Calibri Light" w:hAnsi="Calibri Light" w:cs="Calibri Light"/>
        </w:rPr>
        <w:t xml:space="preserve">, and will receive advice from </w:t>
      </w:r>
      <w:proofErr w:type="spellStart"/>
      <w:r>
        <w:rPr>
          <w:rFonts w:ascii="Calibri Light" w:hAnsi="Calibri Light" w:cs="Calibri Light"/>
        </w:rPr>
        <w:t>GoI</w:t>
      </w:r>
      <w:proofErr w:type="spellEnd"/>
      <w:r>
        <w:rPr>
          <w:rFonts w:ascii="Calibri Light" w:hAnsi="Calibri Light" w:cs="Calibri Light"/>
        </w:rPr>
        <w:t xml:space="preserve"> through the PAB, </w:t>
      </w:r>
      <w:proofErr w:type="spellStart"/>
      <w:r>
        <w:rPr>
          <w:rFonts w:ascii="Calibri Light" w:hAnsi="Calibri Light" w:cs="Calibri Light"/>
        </w:rPr>
        <w:t>Partisipasi</w:t>
      </w:r>
      <w:proofErr w:type="spellEnd"/>
      <w:r>
        <w:rPr>
          <w:rFonts w:ascii="Calibri Light" w:hAnsi="Calibri Light" w:cs="Calibri Light"/>
        </w:rPr>
        <w:t xml:space="preserve"> is well placed to monitor changes and </w:t>
      </w:r>
      <w:proofErr w:type="gramStart"/>
      <w:r>
        <w:rPr>
          <w:rFonts w:ascii="Calibri Light" w:hAnsi="Calibri Light" w:cs="Calibri Light"/>
        </w:rPr>
        <w:t>make adjustments</w:t>
      </w:r>
      <w:proofErr w:type="gramEnd"/>
      <w:r>
        <w:rPr>
          <w:rFonts w:ascii="Calibri Light" w:hAnsi="Calibri Light" w:cs="Calibri Light"/>
        </w:rPr>
        <w:t xml:space="preserve"> where needed. During inception, </w:t>
      </w:r>
      <w:r>
        <w:rPr>
          <w:rFonts w:ascii="Calibri Light" w:hAnsi="Calibri Light" w:cs="Calibri Light"/>
        </w:rPr>
        <w:lastRenderedPageBreak/>
        <w:t xml:space="preserve">DFAT and implementing partners will discuss topics/activities that are </w:t>
      </w:r>
      <w:r w:rsidR="005048E9">
        <w:rPr>
          <w:rFonts w:ascii="Calibri Light" w:hAnsi="Calibri Light" w:cs="Calibri Light"/>
        </w:rPr>
        <w:t xml:space="preserve">out of scope </w:t>
      </w:r>
      <w:r>
        <w:rPr>
          <w:rFonts w:ascii="Calibri Light" w:hAnsi="Calibri Light" w:cs="Calibri Light"/>
        </w:rPr>
        <w:t xml:space="preserve">for program support and other principles such as ‘do no harm’ to inform activity selection. </w:t>
      </w:r>
    </w:p>
    <w:p w14:paraId="71F38185" w14:textId="77777777" w:rsidR="00902F90" w:rsidRPr="00585C6A" w:rsidRDefault="00902F90" w:rsidP="00D3558F">
      <w:pPr>
        <w:pStyle w:val="ListParagraph"/>
        <w:numPr>
          <w:ilvl w:val="0"/>
          <w:numId w:val="26"/>
        </w:numPr>
        <w:suppressAutoHyphens w:val="0"/>
        <w:spacing w:after="160" w:line="240" w:lineRule="auto"/>
        <w:rPr>
          <w:rFonts w:ascii="Calibri Light" w:hAnsi="Calibri Light" w:cs="Calibri Light"/>
          <w:b/>
          <w:bCs/>
        </w:rPr>
      </w:pPr>
      <w:r w:rsidRPr="00585C6A">
        <w:rPr>
          <w:rFonts w:ascii="Calibri Light" w:hAnsi="Calibri Light" w:cs="Calibri Light"/>
          <w:b/>
          <w:bCs/>
        </w:rPr>
        <w:t>Electoral Integrity</w:t>
      </w:r>
    </w:p>
    <w:p w14:paraId="25BCD051" w14:textId="494C643E" w:rsidR="00902F90" w:rsidRPr="00585C6A" w:rsidRDefault="00902F90" w:rsidP="00902F90">
      <w:pPr>
        <w:spacing w:before="0" w:after="160"/>
        <w:rPr>
          <w:rFonts w:ascii="Calibri Light" w:hAnsi="Calibri Light" w:cs="Calibri Light"/>
        </w:rPr>
      </w:pPr>
      <w:r w:rsidRPr="00585C6A">
        <w:rPr>
          <w:rFonts w:ascii="Calibri Light" w:hAnsi="Calibri Light" w:cs="Calibri Light"/>
        </w:rPr>
        <w:t xml:space="preserve">Safeguarding the fairness, transparency, and inclusivity of electoral processes is central to democratic resilience. </w:t>
      </w:r>
      <w:proofErr w:type="spellStart"/>
      <w:r w:rsidRPr="37D0437D">
        <w:rPr>
          <w:rFonts w:ascii="Calibri Light" w:hAnsi="Calibri Light" w:cs="Calibri Light"/>
        </w:rPr>
        <w:t>Partisipasi</w:t>
      </w:r>
      <w:proofErr w:type="spellEnd"/>
      <w:r w:rsidRPr="00585C6A">
        <w:rPr>
          <w:rFonts w:ascii="Calibri Light" w:hAnsi="Calibri Light" w:cs="Calibri Light"/>
        </w:rPr>
        <w:t xml:space="preserve"> will support electoral institutions such as KPU and </w:t>
      </w:r>
      <w:proofErr w:type="spellStart"/>
      <w:r w:rsidRPr="00585C6A">
        <w:rPr>
          <w:rFonts w:ascii="Calibri Light" w:hAnsi="Calibri Light" w:cs="Calibri Light"/>
        </w:rPr>
        <w:t>Bawaslu</w:t>
      </w:r>
      <w:proofErr w:type="spellEnd"/>
      <w:r w:rsidRPr="00585C6A">
        <w:rPr>
          <w:rFonts w:ascii="Calibri Light" w:hAnsi="Calibri Light" w:cs="Calibri Light"/>
        </w:rPr>
        <w:t>, oversight agencies, and civil society monitors</w:t>
      </w:r>
      <w:r w:rsidR="009D2F33">
        <w:rPr>
          <w:rFonts w:ascii="Calibri Light" w:hAnsi="Calibri Light" w:cs="Calibri Light"/>
        </w:rPr>
        <w:t>,</w:t>
      </w:r>
      <w:r w:rsidRPr="00585C6A">
        <w:rPr>
          <w:rFonts w:ascii="Calibri Light" w:hAnsi="Calibri Light" w:cs="Calibri Light"/>
        </w:rPr>
        <w:t xml:space="preserve"> by providing technical advice, peer-to-peer learning, and capacity development for electoral administration, dispute resolution, and grievance redress. </w:t>
      </w:r>
      <w:proofErr w:type="gramStart"/>
      <w:r w:rsidRPr="00585C6A">
        <w:rPr>
          <w:rFonts w:ascii="Calibri Light" w:hAnsi="Calibri Light" w:cs="Calibri Light"/>
        </w:rPr>
        <w:t>Particular attention</w:t>
      </w:r>
      <w:proofErr w:type="gramEnd"/>
      <w:r w:rsidRPr="00585C6A">
        <w:rPr>
          <w:rFonts w:ascii="Calibri Light" w:hAnsi="Calibri Light" w:cs="Calibri Light"/>
        </w:rPr>
        <w:t xml:space="preserve"> will be paid to enhancing participation among women, youth</w:t>
      </w:r>
      <w:r w:rsidR="009D2F33">
        <w:rPr>
          <w:rFonts w:ascii="Calibri Light" w:hAnsi="Calibri Light" w:cs="Calibri Light"/>
        </w:rPr>
        <w:t>s</w:t>
      </w:r>
      <w:r w:rsidRPr="00585C6A">
        <w:rPr>
          <w:rFonts w:ascii="Calibri Light" w:hAnsi="Calibri Light" w:cs="Calibri Light"/>
        </w:rPr>
        <w:t xml:space="preserve">, and </w:t>
      </w:r>
      <w:r w:rsidR="009D2F33">
        <w:rPr>
          <w:rFonts w:ascii="Calibri Light" w:hAnsi="Calibri Light" w:cs="Calibri Light"/>
        </w:rPr>
        <w:t xml:space="preserve">people </w:t>
      </w:r>
      <w:r>
        <w:rPr>
          <w:rFonts w:ascii="Calibri Light" w:hAnsi="Calibri Light" w:cs="Calibri Light"/>
        </w:rPr>
        <w:t>with disabilities</w:t>
      </w:r>
      <w:r w:rsidRPr="00585C6A">
        <w:rPr>
          <w:rFonts w:ascii="Calibri Light" w:hAnsi="Calibri Light" w:cs="Calibri Light"/>
        </w:rPr>
        <w:t>, as well as countering electoral disinformation</w:t>
      </w:r>
      <w:r w:rsidR="001F224F">
        <w:rPr>
          <w:rFonts w:ascii="Calibri Light" w:hAnsi="Calibri Light" w:cs="Calibri Light"/>
        </w:rPr>
        <w:t>.</w:t>
      </w:r>
      <w:r w:rsidRPr="008A122E">
        <w:rPr>
          <w:rFonts w:ascii="Calibri Light" w:hAnsi="Calibri Light" w:cs="Calibri Light"/>
        </w:rPr>
        <w:t xml:space="preserve"> </w:t>
      </w:r>
      <w:r w:rsidRPr="00585C6A">
        <w:rPr>
          <w:rFonts w:ascii="Calibri Light" w:hAnsi="Calibri Light" w:cs="Calibri Light"/>
        </w:rPr>
        <w:t xml:space="preserve">By linking technical electoral support with civic engagement and inclusion, </w:t>
      </w:r>
      <w:proofErr w:type="spellStart"/>
      <w:r w:rsidRPr="37D0437D">
        <w:rPr>
          <w:rFonts w:ascii="Calibri Light" w:hAnsi="Calibri Light" w:cs="Calibri Light"/>
        </w:rPr>
        <w:t>Partisipasi</w:t>
      </w:r>
      <w:proofErr w:type="spellEnd"/>
      <w:r w:rsidRPr="00585C6A">
        <w:rPr>
          <w:rFonts w:ascii="Calibri Light" w:hAnsi="Calibri Light" w:cs="Calibri Light"/>
        </w:rPr>
        <w:t xml:space="preserve"> addresses both the </w:t>
      </w:r>
      <w:r>
        <w:rPr>
          <w:rFonts w:ascii="Calibri Light" w:hAnsi="Calibri Light" w:cs="Calibri Light"/>
        </w:rPr>
        <w:t xml:space="preserve">resilience </w:t>
      </w:r>
      <w:r w:rsidRPr="00585C6A">
        <w:rPr>
          <w:rFonts w:ascii="Calibri Light" w:hAnsi="Calibri Light" w:cs="Calibri Light"/>
        </w:rPr>
        <w:t>of formal institutions and the broader participation of citizens in democratic processes, reinforcing electoral accountability and public trust.</w:t>
      </w:r>
    </w:p>
    <w:p w14:paraId="579076C9" w14:textId="1A6187B6" w:rsidR="00902F90" w:rsidRPr="00585C6A" w:rsidRDefault="00902F90" w:rsidP="00D3558F">
      <w:pPr>
        <w:pStyle w:val="ListParagraph"/>
        <w:numPr>
          <w:ilvl w:val="0"/>
          <w:numId w:val="26"/>
        </w:numPr>
        <w:suppressAutoHyphens w:val="0"/>
        <w:spacing w:before="0" w:after="160" w:line="240" w:lineRule="auto"/>
        <w:rPr>
          <w:rFonts w:ascii="Calibri Light" w:hAnsi="Calibri Light" w:cs="Calibri Light"/>
          <w:b/>
          <w:bCs/>
        </w:rPr>
      </w:pPr>
      <w:r w:rsidRPr="00585C6A">
        <w:rPr>
          <w:rFonts w:ascii="Calibri Light" w:hAnsi="Calibri Light" w:cs="Calibri Light"/>
          <w:b/>
          <w:bCs/>
        </w:rPr>
        <w:t>Parliamentary</w:t>
      </w:r>
      <w:r>
        <w:rPr>
          <w:rFonts w:ascii="Calibri Light" w:hAnsi="Calibri Light" w:cs="Calibri Light"/>
          <w:b/>
          <w:bCs/>
        </w:rPr>
        <w:t xml:space="preserve"> </w:t>
      </w:r>
      <w:r w:rsidR="009C6E16">
        <w:rPr>
          <w:rFonts w:ascii="Calibri Light" w:hAnsi="Calibri Light" w:cs="Calibri Light"/>
          <w:b/>
          <w:bCs/>
        </w:rPr>
        <w:t>Engagement</w:t>
      </w:r>
    </w:p>
    <w:p w14:paraId="5C29E22C" w14:textId="74EAFF57" w:rsidR="00902F90" w:rsidRPr="00585C6A" w:rsidRDefault="00E67843" w:rsidP="00902F90">
      <w:pPr>
        <w:spacing w:before="0" w:after="160"/>
        <w:rPr>
          <w:rFonts w:ascii="Calibri Light" w:hAnsi="Calibri Light" w:cs="Calibri Light"/>
        </w:rPr>
      </w:pPr>
      <w:r>
        <w:rPr>
          <w:rFonts w:ascii="Calibri Light" w:hAnsi="Calibri Light" w:cs="Calibri Light"/>
        </w:rPr>
        <w:t>P</w:t>
      </w:r>
      <w:r w:rsidR="00902F90" w:rsidRPr="00585C6A">
        <w:rPr>
          <w:rFonts w:ascii="Calibri Light" w:hAnsi="Calibri Light" w:cs="Calibri Light"/>
        </w:rPr>
        <w:t xml:space="preserve">arliamentary </w:t>
      </w:r>
      <w:r w:rsidR="00902F90">
        <w:rPr>
          <w:rFonts w:ascii="Calibri Light" w:hAnsi="Calibri Light" w:cs="Calibri Light"/>
        </w:rPr>
        <w:t>oversight</w:t>
      </w:r>
      <w:r w:rsidR="00F81349">
        <w:rPr>
          <w:rFonts w:ascii="Calibri Light" w:hAnsi="Calibri Light" w:cs="Calibri Light"/>
        </w:rPr>
        <w:t xml:space="preserve"> and</w:t>
      </w:r>
      <w:r w:rsidR="00902F90">
        <w:rPr>
          <w:rFonts w:ascii="Calibri Light" w:hAnsi="Calibri Light" w:cs="Calibri Light"/>
        </w:rPr>
        <w:t xml:space="preserve"> </w:t>
      </w:r>
      <w:r w:rsidR="00902F90" w:rsidRPr="00585C6A">
        <w:rPr>
          <w:rFonts w:ascii="Calibri Light" w:hAnsi="Calibri Light" w:cs="Calibri Light"/>
        </w:rPr>
        <w:t xml:space="preserve">inclusion </w:t>
      </w:r>
      <w:r>
        <w:rPr>
          <w:rFonts w:ascii="Calibri Light" w:hAnsi="Calibri Light" w:cs="Calibri Light"/>
        </w:rPr>
        <w:t>are</w:t>
      </w:r>
      <w:r w:rsidRPr="00585C6A">
        <w:rPr>
          <w:rFonts w:ascii="Calibri Light" w:hAnsi="Calibri Light" w:cs="Calibri Light"/>
        </w:rPr>
        <w:t xml:space="preserve"> </w:t>
      </w:r>
      <w:r w:rsidR="00902F90" w:rsidRPr="00585C6A">
        <w:rPr>
          <w:rFonts w:ascii="Calibri Light" w:hAnsi="Calibri Light" w:cs="Calibri Light"/>
        </w:rPr>
        <w:t xml:space="preserve">critical to accountable governance. </w:t>
      </w:r>
      <w:proofErr w:type="spellStart"/>
      <w:r w:rsidR="00902F90" w:rsidRPr="00D84A7F">
        <w:rPr>
          <w:rFonts w:ascii="Calibri Light" w:hAnsi="Calibri Light" w:cs="Calibri Light"/>
          <w:iCs/>
        </w:rPr>
        <w:t>Partisipasi</w:t>
      </w:r>
      <w:proofErr w:type="spellEnd"/>
      <w:r w:rsidR="00902F90" w:rsidRPr="00585C6A">
        <w:rPr>
          <w:rFonts w:ascii="Calibri Light" w:hAnsi="Calibri Light" w:cs="Calibri Light"/>
        </w:rPr>
        <w:t xml:space="preserve"> will focus on enhancing the capacity of parliamentary bodies to conduct evidence-based oversight, engage in transparent lawmaking</w:t>
      </w:r>
      <w:r w:rsidR="009D2F33">
        <w:rPr>
          <w:rFonts w:ascii="Calibri Light" w:hAnsi="Calibri Light" w:cs="Calibri Light"/>
        </w:rPr>
        <w:t>,</w:t>
      </w:r>
      <w:r w:rsidR="00902F90" w:rsidRPr="00585C6A">
        <w:rPr>
          <w:rFonts w:ascii="Calibri Light" w:hAnsi="Calibri Light" w:cs="Calibri Light"/>
        </w:rPr>
        <w:t xml:space="preserve"> and involve marginali</w:t>
      </w:r>
      <w:r w:rsidR="00902F90">
        <w:rPr>
          <w:rFonts w:ascii="Calibri Light" w:hAnsi="Calibri Light" w:cs="Calibri Light"/>
        </w:rPr>
        <w:t>s</w:t>
      </w:r>
      <w:r w:rsidR="00902F90" w:rsidRPr="00585C6A">
        <w:rPr>
          <w:rFonts w:ascii="Calibri Light" w:hAnsi="Calibri Light" w:cs="Calibri Light"/>
        </w:rPr>
        <w:t xml:space="preserve">ed groups in decision-making. </w:t>
      </w:r>
      <w:r w:rsidR="001F224F">
        <w:rPr>
          <w:rFonts w:ascii="Calibri Light" w:hAnsi="Calibri Light" w:cs="Calibri Light"/>
        </w:rPr>
        <w:t>The Program</w:t>
      </w:r>
      <w:r w:rsidR="00902F90" w:rsidRPr="00585C6A">
        <w:rPr>
          <w:rFonts w:ascii="Calibri Light" w:hAnsi="Calibri Light" w:cs="Calibri Light"/>
        </w:rPr>
        <w:t xml:space="preserve"> aim</w:t>
      </w:r>
      <w:r w:rsidR="001F224F">
        <w:rPr>
          <w:rFonts w:ascii="Calibri Light" w:hAnsi="Calibri Light" w:cs="Calibri Light"/>
        </w:rPr>
        <w:t>s</w:t>
      </w:r>
      <w:r w:rsidR="00902F90" w:rsidRPr="00585C6A">
        <w:rPr>
          <w:rFonts w:ascii="Calibri Light" w:hAnsi="Calibri Light" w:cs="Calibri Light"/>
        </w:rPr>
        <w:t xml:space="preserve"> to create enduring networks for knowledge</w:t>
      </w:r>
      <w:r w:rsidR="003D5AB7">
        <w:rPr>
          <w:rFonts w:ascii="Calibri Light" w:hAnsi="Calibri Light" w:cs="Calibri Light"/>
        </w:rPr>
        <w:t xml:space="preserve"> </w:t>
      </w:r>
      <w:r w:rsidR="00902F90" w:rsidRPr="00585C6A">
        <w:rPr>
          <w:rFonts w:ascii="Calibri Light" w:hAnsi="Calibri Light" w:cs="Calibri Light"/>
        </w:rPr>
        <w:t>sharing and institutional reform</w:t>
      </w:r>
      <w:r w:rsidR="00F81349">
        <w:rPr>
          <w:rFonts w:ascii="Calibri Light" w:hAnsi="Calibri Light" w:cs="Calibri Light"/>
        </w:rPr>
        <w:t xml:space="preserve"> including sustainable partnerships between Australian and Indonesian parliaments</w:t>
      </w:r>
      <w:r w:rsidR="00902F90" w:rsidRPr="00585C6A">
        <w:rPr>
          <w:rFonts w:ascii="Calibri Light" w:hAnsi="Calibri Light" w:cs="Calibri Light"/>
        </w:rPr>
        <w:t>.</w:t>
      </w:r>
      <w:r w:rsidR="00902F90">
        <w:rPr>
          <w:rFonts w:ascii="Calibri Light" w:hAnsi="Calibri Light" w:cs="Calibri Light"/>
        </w:rPr>
        <w:t xml:space="preserve"> </w:t>
      </w:r>
      <w:r w:rsidR="00902F90" w:rsidRPr="00585C6A">
        <w:rPr>
          <w:rFonts w:ascii="Calibri Light" w:hAnsi="Calibri Light" w:cs="Calibri Light"/>
        </w:rPr>
        <w:t>Integrating these efforts ensures that parliamentary strengthening is not isolated</w:t>
      </w:r>
      <w:r w:rsidR="00902F90">
        <w:rPr>
          <w:rFonts w:ascii="Calibri Light" w:hAnsi="Calibri Light" w:cs="Calibri Light"/>
        </w:rPr>
        <w:t>,</w:t>
      </w:r>
      <w:r w:rsidR="00902F90" w:rsidRPr="00585C6A">
        <w:rPr>
          <w:rFonts w:ascii="Calibri Light" w:hAnsi="Calibri Light" w:cs="Calibri Light"/>
        </w:rPr>
        <w:t xml:space="preserve"> but embedded within wider democratic governance reforms, promoting inclusivity, transparency, and sustainable engagement between civil society and formal institutions.</w:t>
      </w:r>
      <w:r w:rsidR="00902F90">
        <w:rPr>
          <w:rFonts w:ascii="Calibri Light" w:hAnsi="Calibri Light" w:cs="Calibri Light"/>
        </w:rPr>
        <w:t xml:space="preserve"> Several DFAT investments in Indonesia focus on supporting the executive arm of government, meaning </w:t>
      </w:r>
      <w:proofErr w:type="spellStart"/>
      <w:r w:rsidR="00902F90">
        <w:rPr>
          <w:rFonts w:ascii="Calibri Light" w:hAnsi="Calibri Light" w:cs="Calibri Light"/>
        </w:rPr>
        <w:t>Partisipasi</w:t>
      </w:r>
      <w:proofErr w:type="spellEnd"/>
      <w:r w:rsidR="00902F90">
        <w:rPr>
          <w:rFonts w:ascii="Calibri Light" w:hAnsi="Calibri Light" w:cs="Calibri Light"/>
        </w:rPr>
        <w:t xml:space="preserve"> will be unique in supporting dedicated collaboration with the legislature.</w:t>
      </w:r>
      <w:r w:rsidR="00902F90" w:rsidRPr="00022D05">
        <w:rPr>
          <w:rFonts w:ascii="Calibri Light" w:hAnsi="Calibri Light" w:cs="Calibri Light"/>
        </w:rPr>
        <w:t xml:space="preserve"> </w:t>
      </w:r>
    </w:p>
    <w:p w14:paraId="4DD69411" w14:textId="77777777" w:rsidR="00902F90" w:rsidRPr="00585C6A" w:rsidRDefault="00902F90" w:rsidP="00D3558F">
      <w:pPr>
        <w:pStyle w:val="ListParagraph"/>
        <w:numPr>
          <w:ilvl w:val="0"/>
          <w:numId w:val="26"/>
        </w:numPr>
        <w:suppressAutoHyphens w:val="0"/>
        <w:spacing w:before="0" w:after="160" w:line="240" w:lineRule="auto"/>
        <w:rPr>
          <w:rFonts w:ascii="Calibri Light" w:hAnsi="Calibri Light" w:cs="Calibri Light"/>
          <w:b/>
          <w:bCs/>
        </w:rPr>
      </w:pPr>
      <w:r w:rsidRPr="00585C6A">
        <w:rPr>
          <w:rFonts w:ascii="Calibri Light" w:hAnsi="Calibri Light" w:cs="Calibri Light"/>
          <w:b/>
          <w:bCs/>
        </w:rPr>
        <w:t>Civic Participation and Education</w:t>
      </w:r>
    </w:p>
    <w:p w14:paraId="3BFB2119" w14:textId="5791EF08" w:rsidR="00902F90" w:rsidRDefault="00902F90" w:rsidP="00902F90">
      <w:pPr>
        <w:spacing w:before="0" w:after="160"/>
        <w:rPr>
          <w:rFonts w:ascii="Calibri Light" w:hAnsi="Calibri Light" w:cs="Calibri Light"/>
        </w:rPr>
      </w:pPr>
      <w:r w:rsidRPr="00585C6A">
        <w:rPr>
          <w:rFonts w:ascii="Calibri Light" w:hAnsi="Calibri Light" w:cs="Calibri Light"/>
        </w:rPr>
        <w:t>Expanding civic space and enabling meaningful citizen engagement is central to democratic resilience, particularly among youth</w:t>
      </w:r>
      <w:r w:rsidR="009D2F33">
        <w:rPr>
          <w:rFonts w:ascii="Calibri Light" w:hAnsi="Calibri Light" w:cs="Calibri Light"/>
        </w:rPr>
        <w:t>s</w:t>
      </w:r>
      <w:r w:rsidRPr="00585C6A">
        <w:rPr>
          <w:rFonts w:ascii="Calibri Light" w:hAnsi="Calibri Light" w:cs="Calibri Light"/>
        </w:rPr>
        <w:t xml:space="preserve"> and marginali</w:t>
      </w:r>
      <w:r w:rsidR="009D2F33">
        <w:rPr>
          <w:rFonts w:ascii="Calibri Light" w:hAnsi="Calibri Light" w:cs="Calibri Light"/>
        </w:rPr>
        <w:t>s</w:t>
      </w:r>
      <w:r w:rsidRPr="00585C6A">
        <w:rPr>
          <w:rFonts w:ascii="Calibri Light" w:hAnsi="Calibri Light" w:cs="Calibri Light"/>
        </w:rPr>
        <w:t xml:space="preserve">ed communities. </w:t>
      </w:r>
      <w:proofErr w:type="spellStart"/>
      <w:r w:rsidRPr="00D84A7F">
        <w:rPr>
          <w:rFonts w:ascii="Calibri Light" w:hAnsi="Calibri Light" w:cs="Calibri Light"/>
          <w:iCs/>
        </w:rPr>
        <w:t>Partisipasi</w:t>
      </w:r>
      <w:proofErr w:type="spellEnd"/>
      <w:r w:rsidRPr="00585C6A">
        <w:rPr>
          <w:rFonts w:ascii="Calibri Light" w:hAnsi="Calibri Light" w:cs="Calibri Light"/>
        </w:rPr>
        <w:t xml:space="preserve"> will support participatory policymaking, social accountability mechanisms, and grassroots organi</w:t>
      </w:r>
      <w:r>
        <w:rPr>
          <w:rFonts w:ascii="Calibri Light" w:hAnsi="Calibri Light" w:cs="Calibri Light"/>
        </w:rPr>
        <w:t>s</w:t>
      </w:r>
      <w:r w:rsidRPr="00585C6A">
        <w:rPr>
          <w:rFonts w:ascii="Calibri Light" w:hAnsi="Calibri Light" w:cs="Calibri Light"/>
        </w:rPr>
        <w:t>ing, while integrating civic education into formal and informal learning spaces. By connecting youth networks with civic initiatives, the program aims to cultivate a generation of informed, engaged, and active citizens.</w:t>
      </w:r>
      <w:r>
        <w:rPr>
          <w:rFonts w:ascii="Calibri Light" w:hAnsi="Calibri Light" w:cs="Calibri Light"/>
        </w:rPr>
        <w:t xml:space="preserve"> </w:t>
      </w:r>
      <w:r w:rsidRPr="00585C6A">
        <w:rPr>
          <w:rFonts w:ascii="Calibri Light" w:hAnsi="Calibri Light" w:cs="Calibri Light"/>
        </w:rPr>
        <w:t>This focus balances technical reforms with citizen empowerment, ensuring that democratic participation extends beyond institutional structures to include grassroots, youth-led, and community-driven initiatives that reinforce inclusion and public accountability.</w:t>
      </w:r>
    </w:p>
    <w:p w14:paraId="2C319C84" w14:textId="77777777" w:rsidR="00902F90" w:rsidRPr="00585C6A" w:rsidRDefault="00902F90" w:rsidP="00D3558F">
      <w:pPr>
        <w:pStyle w:val="ListParagraph"/>
        <w:numPr>
          <w:ilvl w:val="0"/>
          <w:numId w:val="26"/>
        </w:numPr>
        <w:suppressAutoHyphens w:val="0"/>
        <w:spacing w:before="0" w:after="160" w:line="240" w:lineRule="auto"/>
        <w:rPr>
          <w:rFonts w:ascii="Calibri Light" w:hAnsi="Calibri Light" w:cs="Calibri Light"/>
          <w:b/>
          <w:bCs/>
        </w:rPr>
      </w:pPr>
      <w:r w:rsidRPr="00585C6A">
        <w:rPr>
          <w:rFonts w:ascii="Calibri Light" w:hAnsi="Calibri Light" w:cs="Calibri Light"/>
          <w:b/>
          <w:bCs/>
        </w:rPr>
        <w:t>Independent and Quality Media</w:t>
      </w:r>
    </w:p>
    <w:p w14:paraId="064E4508" w14:textId="0EE5D7F8" w:rsidR="00902F90" w:rsidRPr="00585C6A" w:rsidRDefault="00902F90" w:rsidP="00902F90">
      <w:pPr>
        <w:spacing w:before="0" w:after="160"/>
        <w:rPr>
          <w:rFonts w:ascii="Calibri Light" w:hAnsi="Calibri Light" w:cs="Calibri Light"/>
        </w:rPr>
      </w:pPr>
      <w:r w:rsidRPr="00585C6A">
        <w:rPr>
          <w:rFonts w:ascii="Calibri Light" w:hAnsi="Calibri Light" w:cs="Calibri Light"/>
        </w:rPr>
        <w:t xml:space="preserve">A robust and independent media ecosystem is critical for informed public debate, transparency and citizen oversight. </w:t>
      </w:r>
      <w:proofErr w:type="spellStart"/>
      <w:r w:rsidRPr="00D84A7F">
        <w:rPr>
          <w:rFonts w:ascii="Calibri Light" w:hAnsi="Calibri Light" w:cs="Calibri Light"/>
          <w:iCs/>
        </w:rPr>
        <w:t>Partisipasi</w:t>
      </w:r>
      <w:proofErr w:type="spellEnd"/>
      <w:r w:rsidRPr="00585C6A">
        <w:rPr>
          <w:rFonts w:ascii="Calibri Light" w:hAnsi="Calibri Light" w:cs="Calibri Light"/>
        </w:rPr>
        <w:t xml:space="preserve"> will support national and local media outlets, citizen journalists and digital content creators to strengthen journalistic standards, ensure safety and legal protection for media actors</w:t>
      </w:r>
      <w:r w:rsidR="009D2F33">
        <w:rPr>
          <w:rFonts w:ascii="Calibri Light" w:hAnsi="Calibri Light" w:cs="Calibri Light"/>
        </w:rPr>
        <w:t>,</w:t>
      </w:r>
      <w:r w:rsidRPr="00585C6A">
        <w:rPr>
          <w:rFonts w:ascii="Calibri Light" w:hAnsi="Calibri Light" w:cs="Calibri Light"/>
        </w:rPr>
        <w:t xml:space="preserve"> and promote inclusive reporting. By fostering collaboration between civic actors and media organisations, the program seeks to amplify under</w:t>
      </w:r>
      <w:r w:rsidR="005B37F2">
        <w:rPr>
          <w:rFonts w:ascii="Calibri Light" w:hAnsi="Calibri Light" w:cs="Calibri Light"/>
        </w:rPr>
        <w:t>-</w:t>
      </w:r>
      <w:r w:rsidRPr="00585C6A">
        <w:rPr>
          <w:rFonts w:ascii="Calibri Light" w:hAnsi="Calibri Light" w:cs="Calibri Light"/>
        </w:rPr>
        <w:t>represented voices and advance democratic storytelling that engages diverse communities.</w:t>
      </w:r>
      <w:r>
        <w:rPr>
          <w:rFonts w:ascii="Calibri Light" w:hAnsi="Calibri Light" w:cs="Calibri Light"/>
        </w:rPr>
        <w:t xml:space="preserve"> </w:t>
      </w:r>
      <w:r w:rsidRPr="00302442">
        <w:rPr>
          <w:rFonts w:ascii="Calibri Light" w:hAnsi="Calibri Light" w:cs="Calibri Light"/>
        </w:rPr>
        <w:t>Integrating</w:t>
      </w:r>
      <w:r w:rsidRPr="00585C6A">
        <w:rPr>
          <w:rFonts w:ascii="Calibri Light" w:hAnsi="Calibri Light" w:cs="Calibri Light"/>
        </w:rPr>
        <w:t xml:space="preserve"> media support with civic and institutional engagement ensures that citizens </w:t>
      </w:r>
      <w:r w:rsidR="001F224F">
        <w:rPr>
          <w:rFonts w:ascii="Calibri Light" w:hAnsi="Calibri Light" w:cs="Calibri Light"/>
        </w:rPr>
        <w:t>can</w:t>
      </w:r>
      <w:r w:rsidRPr="00585C6A">
        <w:rPr>
          <w:rFonts w:ascii="Calibri Light" w:hAnsi="Calibri Light" w:cs="Calibri Light"/>
        </w:rPr>
        <w:t xml:space="preserve"> participate meaningfully in democratic processes, reinforcing pluralism, transparency</w:t>
      </w:r>
      <w:r w:rsidR="009D2F33">
        <w:rPr>
          <w:rFonts w:ascii="Calibri Light" w:hAnsi="Calibri Light" w:cs="Calibri Light"/>
        </w:rPr>
        <w:t>,</w:t>
      </w:r>
      <w:r w:rsidRPr="00585C6A">
        <w:rPr>
          <w:rFonts w:ascii="Calibri Light" w:hAnsi="Calibri Light" w:cs="Calibri Light"/>
        </w:rPr>
        <w:t xml:space="preserve"> and accountability.</w:t>
      </w:r>
    </w:p>
    <w:p w14:paraId="03BAE58E" w14:textId="2AA01E38" w:rsidR="00902F90" w:rsidRPr="00585C6A" w:rsidRDefault="00902F90" w:rsidP="00D3558F">
      <w:pPr>
        <w:pStyle w:val="ListParagraph"/>
        <w:numPr>
          <w:ilvl w:val="0"/>
          <w:numId w:val="26"/>
        </w:numPr>
        <w:suppressAutoHyphens w:val="0"/>
        <w:spacing w:before="0" w:after="160" w:line="240" w:lineRule="auto"/>
        <w:rPr>
          <w:rFonts w:ascii="Calibri Light" w:hAnsi="Calibri Light" w:cs="Calibri Light"/>
          <w:b/>
          <w:bCs/>
        </w:rPr>
      </w:pPr>
      <w:r w:rsidRPr="00585C6A">
        <w:rPr>
          <w:rFonts w:ascii="Calibri Light" w:hAnsi="Calibri Light" w:cs="Calibri Light"/>
          <w:b/>
          <w:bCs/>
        </w:rPr>
        <w:t>Countering Mis/Disinformation</w:t>
      </w:r>
    </w:p>
    <w:p w14:paraId="34051B0E" w14:textId="2855D6D3" w:rsidR="00902F90" w:rsidRPr="00585C6A" w:rsidRDefault="00902F90" w:rsidP="00902F90">
      <w:pPr>
        <w:spacing w:before="0" w:after="160"/>
        <w:rPr>
          <w:rFonts w:ascii="Calibri Light" w:hAnsi="Calibri Light" w:cs="Calibri Light"/>
        </w:rPr>
      </w:pPr>
      <w:r w:rsidRPr="00585C6A">
        <w:rPr>
          <w:rFonts w:ascii="Calibri Light" w:hAnsi="Calibri Light" w:cs="Calibri Light"/>
        </w:rPr>
        <w:t xml:space="preserve">Addressing mis/disinformation is essential to protecting the integrity of Indonesia’s democratic institutions. </w:t>
      </w:r>
      <w:r w:rsidR="00555B77">
        <w:rPr>
          <w:rFonts w:ascii="Calibri Light" w:hAnsi="Calibri Light" w:cs="Calibri Light"/>
        </w:rPr>
        <w:t xml:space="preserve">For example, harmful disinformation can undermine public trust </w:t>
      </w:r>
      <w:r w:rsidR="0063484C">
        <w:rPr>
          <w:rFonts w:ascii="Calibri Light" w:hAnsi="Calibri Light" w:cs="Calibri Light"/>
        </w:rPr>
        <w:t xml:space="preserve">in these institutions and </w:t>
      </w:r>
      <w:r w:rsidR="00354EBF">
        <w:rPr>
          <w:rFonts w:ascii="Calibri Light" w:hAnsi="Calibri Light" w:cs="Calibri Light"/>
        </w:rPr>
        <w:t>undermine</w:t>
      </w:r>
      <w:r w:rsidR="00555B77">
        <w:rPr>
          <w:rFonts w:ascii="Calibri Light" w:hAnsi="Calibri Light" w:cs="Calibri Light"/>
        </w:rPr>
        <w:t xml:space="preserve"> democratic processes. </w:t>
      </w:r>
      <w:proofErr w:type="spellStart"/>
      <w:r w:rsidRPr="00D84A7F">
        <w:rPr>
          <w:rFonts w:ascii="Calibri Light" w:hAnsi="Calibri Light" w:cs="Calibri Light"/>
          <w:iCs/>
        </w:rPr>
        <w:t>Partisipasi</w:t>
      </w:r>
      <w:proofErr w:type="spellEnd"/>
      <w:r w:rsidRPr="00585C6A">
        <w:rPr>
          <w:rFonts w:ascii="Calibri Light" w:hAnsi="Calibri Light" w:cs="Calibri Light"/>
        </w:rPr>
        <w:t xml:space="preserve"> will strengthen the capacity of civic actors, media, and communities to detect, counter, and mitigate disinformation. Interventions include digital literacy campaigns, support for fact-</w:t>
      </w:r>
      <w:r w:rsidRPr="00302442">
        <w:rPr>
          <w:rFonts w:ascii="Calibri Light" w:hAnsi="Calibri Light" w:cs="Calibri Light"/>
        </w:rPr>
        <w:t xml:space="preserve">checking initiatives, and community-based monitoring of online content. </w:t>
      </w:r>
      <w:r w:rsidR="001F224F">
        <w:rPr>
          <w:rFonts w:ascii="Calibri Light" w:hAnsi="Calibri Light" w:cs="Calibri Light"/>
        </w:rPr>
        <w:t>E</w:t>
      </w:r>
      <w:r w:rsidRPr="00302442">
        <w:rPr>
          <w:rFonts w:ascii="Calibri Light" w:hAnsi="Calibri Light" w:cs="Calibri Light"/>
        </w:rPr>
        <w:t>mphasis will be placed on fostering inclusive and positive narratives that promote pluralism, tolerance and transparency, especially in contested or polarised spaces.</w:t>
      </w:r>
      <w:r>
        <w:rPr>
          <w:rFonts w:ascii="Calibri Light" w:hAnsi="Calibri Light" w:cs="Calibri Light"/>
        </w:rPr>
        <w:t xml:space="preserve"> </w:t>
      </w:r>
      <w:r w:rsidRPr="00585C6A">
        <w:rPr>
          <w:rFonts w:ascii="Calibri Light" w:hAnsi="Calibri Light" w:cs="Calibri Light"/>
        </w:rPr>
        <w:t xml:space="preserve">By linking citizen empowerment, media development, and institutional safeguards, this </w:t>
      </w:r>
      <w:r w:rsidRPr="00585C6A">
        <w:rPr>
          <w:rFonts w:ascii="Calibri Light" w:hAnsi="Calibri Light" w:cs="Calibri Light"/>
        </w:rPr>
        <w:lastRenderedPageBreak/>
        <w:t xml:space="preserve">focus area enhances societal resilience against </w:t>
      </w:r>
      <w:r w:rsidR="00004E63">
        <w:rPr>
          <w:rFonts w:ascii="Calibri Light" w:hAnsi="Calibri Light" w:cs="Calibri Light"/>
        </w:rPr>
        <w:t xml:space="preserve">harmful </w:t>
      </w:r>
      <w:r w:rsidR="00EB361B">
        <w:rPr>
          <w:rFonts w:ascii="Calibri Light" w:hAnsi="Calibri Light" w:cs="Calibri Light"/>
        </w:rPr>
        <w:t>narratives</w:t>
      </w:r>
      <w:r w:rsidRPr="00585C6A">
        <w:rPr>
          <w:rFonts w:ascii="Calibri Light" w:hAnsi="Calibri Light" w:cs="Calibri Light"/>
        </w:rPr>
        <w:t>, strengthening both the supply and demand sides of information integrity.</w:t>
      </w:r>
      <w:r>
        <w:rPr>
          <w:rFonts w:ascii="Calibri Light" w:hAnsi="Calibri Light" w:cs="Calibri Light"/>
        </w:rPr>
        <w:t xml:space="preserve"> </w:t>
      </w:r>
    </w:p>
    <w:p w14:paraId="750AF2BE" w14:textId="64F28071" w:rsidR="00902F90" w:rsidRPr="00EA7FC8" w:rsidRDefault="00902F90" w:rsidP="00C5377B">
      <w:pPr>
        <w:pStyle w:val="Heading1Numbered"/>
        <w:spacing w:before="360"/>
        <w:ind w:left="357" w:hanging="357"/>
      </w:pPr>
      <w:bookmarkStart w:id="124" w:name="_Toc210657102"/>
      <w:bookmarkStart w:id="125" w:name="_Toc208223946"/>
      <w:bookmarkStart w:id="126" w:name="_Toc232524272"/>
      <w:bookmarkEnd w:id="124"/>
      <w:r w:rsidRPr="009E37CD">
        <w:t>Delivery</w:t>
      </w:r>
      <w:r w:rsidRPr="00EA7FC8">
        <w:t xml:space="preserve"> Approach</w:t>
      </w:r>
      <w:bookmarkEnd w:id="125"/>
      <w:bookmarkEnd w:id="126"/>
    </w:p>
    <w:p w14:paraId="607F0883" w14:textId="08C1CF77" w:rsidR="005B3534" w:rsidRPr="005B3534" w:rsidRDefault="00C81E7D" w:rsidP="00D81FF4">
      <w:pPr>
        <w:tabs>
          <w:tab w:val="left" w:pos="284"/>
        </w:tabs>
        <w:suppressAutoHyphens w:val="0"/>
        <w:spacing w:before="0" w:line="280" w:lineRule="exact"/>
      </w:pPr>
      <w:r>
        <w:t>The program</w:t>
      </w:r>
      <w:r w:rsidRPr="0D0B315B">
        <w:t xml:space="preserve"> will be delivered through </w:t>
      </w:r>
      <w:r>
        <w:t>two</w:t>
      </w:r>
      <w:r w:rsidRPr="0D0B315B">
        <w:t xml:space="preserve"> components. Component </w:t>
      </w:r>
      <w:r>
        <w:t>1</w:t>
      </w:r>
      <w:r w:rsidRPr="0D0B315B">
        <w:t xml:space="preserve"> is titled ‘State Institutional Partnerships’</w:t>
      </w:r>
      <w:r>
        <w:t xml:space="preserve"> and</w:t>
      </w:r>
      <w:r w:rsidR="00C44448">
        <w:t xml:space="preserve"> </w:t>
      </w:r>
      <w:r w:rsidRPr="0D0B315B">
        <w:t>Component</w:t>
      </w:r>
      <w:r>
        <w:t> 2</w:t>
      </w:r>
      <w:r w:rsidRPr="0D0B315B">
        <w:t xml:space="preserve"> is titled ‘Civil Society Partnership</w:t>
      </w:r>
      <w:r w:rsidR="005036A8">
        <w:t>’ (CSP)</w:t>
      </w:r>
      <w:r w:rsidRPr="0D0B315B">
        <w:t xml:space="preserve">. </w:t>
      </w:r>
      <w:r w:rsidR="00C73E18" w:rsidRPr="008C22AF">
        <w:rPr>
          <w:lang w:val="en-AU"/>
        </w:rPr>
        <w:t xml:space="preserve">The chosen delivery approach considers </w:t>
      </w:r>
      <w:r w:rsidR="008842DD">
        <w:rPr>
          <w:lang w:val="en-AU"/>
        </w:rPr>
        <w:t>various</w:t>
      </w:r>
      <w:r w:rsidR="00C73E18" w:rsidRPr="008C22AF">
        <w:rPr>
          <w:lang w:val="en-AU"/>
        </w:rPr>
        <w:t xml:space="preserve"> factors and reflects a careful balance between strategic </w:t>
      </w:r>
      <w:r w:rsidR="008842DD">
        <w:rPr>
          <w:lang w:val="en-AU"/>
        </w:rPr>
        <w:t>oversight</w:t>
      </w:r>
      <w:r w:rsidR="00C73E18" w:rsidRPr="008C22AF">
        <w:rPr>
          <w:lang w:val="en-AU"/>
        </w:rPr>
        <w:t xml:space="preserve">, risk management and locally </w:t>
      </w:r>
      <w:r w:rsidR="00C73E18">
        <w:rPr>
          <w:lang w:val="en-AU"/>
        </w:rPr>
        <w:t>led</w:t>
      </w:r>
      <w:r w:rsidR="00C73E18" w:rsidRPr="008C22AF">
        <w:rPr>
          <w:lang w:val="en-AU"/>
        </w:rPr>
        <w:t xml:space="preserve"> delivery. The approach enables </w:t>
      </w:r>
      <w:r w:rsidR="00D3558F">
        <w:rPr>
          <w:lang w:val="en-AU"/>
        </w:rPr>
        <w:t xml:space="preserve">ongoing flexibility through multiple delivery channels as well as </w:t>
      </w:r>
      <w:r w:rsidR="00C73E18" w:rsidRPr="008C22AF">
        <w:rPr>
          <w:lang w:val="en-AU"/>
        </w:rPr>
        <w:t>decentralised implementation.</w:t>
      </w:r>
      <w:r w:rsidR="00004C13" w:rsidRPr="00004C13">
        <w:t xml:space="preserve"> </w:t>
      </w:r>
      <w:r w:rsidR="00420E8A" w:rsidRPr="003F3A99">
        <w:rPr>
          <w:lang w:val="en-AU"/>
        </w:rPr>
        <w:t>Th</w:t>
      </w:r>
      <w:r w:rsidR="00E57B45">
        <w:rPr>
          <w:lang w:val="en-AU"/>
        </w:rPr>
        <w:t>e</w:t>
      </w:r>
      <w:r w:rsidR="00420E8A" w:rsidRPr="003F3A99">
        <w:rPr>
          <w:lang w:val="en-AU"/>
        </w:rPr>
        <w:t xml:space="preserve"> mod</w:t>
      </w:r>
      <w:r w:rsidR="00420E8A">
        <w:rPr>
          <w:lang w:val="en-AU"/>
        </w:rPr>
        <w:t>el</w:t>
      </w:r>
      <w:r w:rsidR="00420E8A" w:rsidRPr="003F3A99">
        <w:rPr>
          <w:lang w:val="en-AU"/>
        </w:rPr>
        <w:t xml:space="preserve"> combines the strategic coherence of </w:t>
      </w:r>
      <w:r w:rsidR="00420E8A">
        <w:rPr>
          <w:lang w:val="en-AU"/>
        </w:rPr>
        <w:t>DFAT-facilitated government-to-government partnerships</w:t>
      </w:r>
      <w:r w:rsidR="00420E8A" w:rsidRPr="003F3A99">
        <w:rPr>
          <w:lang w:val="en-AU"/>
        </w:rPr>
        <w:t xml:space="preserve"> with the responsiveness of civil societ</w:t>
      </w:r>
      <w:r w:rsidR="00A65BF4">
        <w:rPr>
          <w:lang w:val="en-AU"/>
        </w:rPr>
        <w:t xml:space="preserve">y </w:t>
      </w:r>
      <w:r w:rsidR="00420E8A" w:rsidRPr="003F3A99">
        <w:rPr>
          <w:lang w:val="en-AU"/>
        </w:rPr>
        <w:t>programming.</w:t>
      </w:r>
      <w:r w:rsidR="00420E8A">
        <w:rPr>
          <w:lang w:val="en-AU"/>
        </w:rPr>
        <w:t xml:space="preserve"> The model </w:t>
      </w:r>
      <w:r w:rsidR="00420E8A" w:rsidRPr="003F3A99">
        <w:rPr>
          <w:lang w:val="en-AU"/>
        </w:rPr>
        <w:t xml:space="preserve">reflects lessons from </w:t>
      </w:r>
      <w:r w:rsidR="00420E8A">
        <w:rPr>
          <w:lang w:val="en-AU"/>
        </w:rPr>
        <w:t>other DFAT</w:t>
      </w:r>
      <w:r w:rsidR="00420E8A" w:rsidRPr="003F3A99">
        <w:rPr>
          <w:lang w:val="en-AU"/>
        </w:rPr>
        <w:t xml:space="preserve"> investments in Indonesia, DFAT’s evolving approach to democratic </w:t>
      </w:r>
      <w:r w:rsidR="00420E8A">
        <w:rPr>
          <w:lang w:val="en-AU"/>
        </w:rPr>
        <w:t xml:space="preserve">participation and </w:t>
      </w:r>
      <w:r w:rsidR="00420E8A" w:rsidRPr="003F3A99">
        <w:rPr>
          <w:lang w:val="en-AU"/>
        </w:rPr>
        <w:t xml:space="preserve">resilience in Southeast Asia, and broader literature on aid effectiveness. </w:t>
      </w:r>
      <w:r w:rsidR="0017182C">
        <w:rPr>
          <w:lang w:val="en-AU"/>
        </w:rPr>
        <w:t xml:space="preserve">The </w:t>
      </w:r>
      <w:r w:rsidR="00420E8A" w:rsidRPr="003F3A99">
        <w:rPr>
          <w:lang w:val="en-AU"/>
        </w:rPr>
        <w:t xml:space="preserve">model enables </w:t>
      </w:r>
      <w:proofErr w:type="spellStart"/>
      <w:r w:rsidR="00420E8A" w:rsidRPr="00D84A7F">
        <w:rPr>
          <w:iCs/>
          <w:lang w:val="en-AU"/>
        </w:rPr>
        <w:t>Partisipasi</w:t>
      </w:r>
      <w:proofErr w:type="spellEnd"/>
      <w:r w:rsidR="00420E8A" w:rsidRPr="003F3A99">
        <w:rPr>
          <w:lang w:val="en-AU"/>
        </w:rPr>
        <w:t xml:space="preserve"> to remain politically informed, locally legitimate, and capable of course correction as Indonesia’s democratic landscape evolves.</w:t>
      </w:r>
      <w:r w:rsidR="00420E8A">
        <w:rPr>
          <w:lang w:val="en-AU"/>
        </w:rPr>
        <w:t xml:space="preserve"> Other options were considered and extensively discussed throughout the design </w:t>
      </w:r>
      <w:r w:rsidR="00420E8A" w:rsidRPr="00A31954">
        <w:rPr>
          <w:lang w:val="en-AU"/>
        </w:rPr>
        <w:t xml:space="preserve">process. </w:t>
      </w:r>
    </w:p>
    <w:p w14:paraId="1D291F7F" w14:textId="6D3CECF6" w:rsidR="00902F90" w:rsidRPr="00D548E2" w:rsidRDefault="00902F90" w:rsidP="00847DAB">
      <w:pPr>
        <w:pStyle w:val="Heading2Numbered"/>
      </w:pPr>
      <w:bookmarkStart w:id="127" w:name="_Toc208223947"/>
      <w:bookmarkStart w:id="128" w:name="_Toc232524273"/>
      <w:r w:rsidRPr="00D548E2">
        <w:t xml:space="preserve">Component </w:t>
      </w:r>
      <w:r w:rsidR="00DC3585" w:rsidRPr="00D548E2">
        <w:t xml:space="preserve">1 </w:t>
      </w:r>
      <w:r w:rsidRPr="00D548E2">
        <w:t>– State Institutional Partnerships</w:t>
      </w:r>
      <w:bookmarkEnd w:id="127"/>
      <w:bookmarkEnd w:id="128"/>
    </w:p>
    <w:p w14:paraId="04C1C854" w14:textId="0763EC64" w:rsidR="008317D0" w:rsidRDefault="00902F90" w:rsidP="006070B2">
      <w:pPr>
        <w:tabs>
          <w:tab w:val="left" w:pos="284"/>
        </w:tabs>
        <w:spacing w:line="240" w:lineRule="auto"/>
        <w:rPr>
          <w:lang w:val="en-AU"/>
        </w:rPr>
      </w:pPr>
      <w:r>
        <w:rPr>
          <w:lang w:val="en-AU"/>
        </w:rPr>
        <w:t xml:space="preserve">This </w:t>
      </w:r>
      <w:r w:rsidRPr="003F3A99">
        <w:rPr>
          <w:lang w:val="en-AU"/>
        </w:rPr>
        <w:t xml:space="preserve">component will </w:t>
      </w:r>
      <w:r>
        <w:rPr>
          <w:lang w:val="en-AU"/>
        </w:rPr>
        <w:t>primarily contribute to EOPO1</w:t>
      </w:r>
      <w:r w:rsidR="00F275DB">
        <w:rPr>
          <w:lang w:val="en-AU"/>
        </w:rPr>
        <w:t xml:space="preserve"> and </w:t>
      </w:r>
      <w:r w:rsidR="00F275DB" w:rsidRPr="00B9588D">
        <w:t>is scalable</w:t>
      </w:r>
      <w:r w:rsidR="00F275DB">
        <w:t xml:space="preserve"> subject to program and DFAT resourcing</w:t>
      </w:r>
      <w:r w:rsidR="005D235B">
        <w:t xml:space="preserve">. It will have </w:t>
      </w:r>
      <w:r w:rsidR="00F275DB">
        <w:t xml:space="preserve">an initial focus on supporting institutional partnerships </w:t>
      </w:r>
      <w:r w:rsidR="00DB185E">
        <w:t>with</w:t>
      </w:r>
      <w:r w:rsidR="00F275DB">
        <w:t xml:space="preserve"> electoral bodies and parliaments.</w:t>
      </w:r>
      <w:r>
        <w:rPr>
          <w:lang w:val="en-AU"/>
        </w:rPr>
        <w:t xml:space="preserve"> </w:t>
      </w:r>
      <w:r w:rsidR="00C9112C" w:rsidRPr="46ACBC4E">
        <w:rPr>
          <w:lang w:val="en-AU"/>
        </w:rPr>
        <w:t>Activities may include twinning arrangements with counterpart institutions in Australia, short course</w:t>
      </w:r>
      <w:r w:rsidR="00C9112C">
        <w:rPr>
          <w:lang w:val="en-AU"/>
        </w:rPr>
        <w:t>s</w:t>
      </w:r>
      <w:r w:rsidR="00C9112C" w:rsidRPr="46ACBC4E">
        <w:rPr>
          <w:lang w:val="en-AU"/>
        </w:rPr>
        <w:t xml:space="preserve"> and joint study tours, policy dialogues, </w:t>
      </w:r>
      <w:r w:rsidR="00C9112C">
        <w:rPr>
          <w:lang w:val="en-AU"/>
        </w:rPr>
        <w:t xml:space="preserve">or </w:t>
      </w:r>
      <w:r w:rsidR="00C9112C" w:rsidRPr="46ACBC4E">
        <w:rPr>
          <w:lang w:val="en-AU"/>
        </w:rPr>
        <w:t>sharing of technical solutions to shared problems (e.g. managing foreign interference in elections</w:t>
      </w:r>
      <w:r w:rsidR="00C9112C" w:rsidRPr="69B01520">
        <w:rPr>
          <w:lang w:val="en-AU"/>
        </w:rPr>
        <w:t>).</w:t>
      </w:r>
      <w:r w:rsidR="00C9112C" w:rsidRPr="00B9588D">
        <w:t xml:space="preserve"> </w:t>
      </w:r>
      <w:r w:rsidR="006070B2" w:rsidRPr="00DC1A7B">
        <w:t xml:space="preserve">These activities will </w:t>
      </w:r>
      <w:r w:rsidR="006070B2" w:rsidRPr="00B57CB6">
        <w:t>strengthen existing engagement by making it more sustainable and intentional, rather than ad hoc.</w:t>
      </w:r>
      <w:r w:rsidR="006070B2" w:rsidRPr="00DC1A7B">
        <w:t xml:space="preserve"> </w:t>
      </w:r>
      <w:r w:rsidR="008317D0">
        <w:rPr>
          <w:lang w:val="en-AU"/>
        </w:rPr>
        <w:t>P</w:t>
      </w:r>
      <w:r w:rsidR="008317D0" w:rsidRPr="00236C4D">
        <w:rPr>
          <w:lang w:val="en-AU"/>
        </w:rPr>
        <w:t>arliamentarians</w:t>
      </w:r>
      <w:r w:rsidR="008317D0">
        <w:rPr>
          <w:lang w:val="en-AU"/>
        </w:rPr>
        <w:t xml:space="preserve"> and electoral management officials</w:t>
      </w:r>
      <w:r w:rsidR="008317D0" w:rsidRPr="00236C4D">
        <w:rPr>
          <w:lang w:val="en-AU"/>
        </w:rPr>
        <w:t xml:space="preserve"> will participate in separate activities across the </w:t>
      </w:r>
      <w:r w:rsidR="008317D0">
        <w:rPr>
          <w:lang w:val="en-AU"/>
        </w:rPr>
        <w:t>p</w:t>
      </w:r>
      <w:r w:rsidR="008317D0" w:rsidRPr="00236C4D">
        <w:rPr>
          <w:lang w:val="en-AU"/>
        </w:rPr>
        <w:t xml:space="preserve">rogram that contribute to all EOPOs. For example, they will likely participate in policy dialogues and capacity building activities with government, CSOs, think tanks and universities. In this way, exchanges are not standalone events but part of the broader </w:t>
      </w:r>
      <w:proofErr w:type="spellStart"/>
      <w:r w:rsidR="008317D0" w:rsidRPr="00D84A7F">
        <w:rPr>
          <w:iCs/>
          <w:lang w:val="en-AU"/>
        </w:rPr>
        <w:t>Partisipasi</w:t>
      </w:r>
      <w:proofErr w:type="spellEnd"/>
      <w:r w:rsidR="008317D0" w:rsidRPr="00236C4D">
        <w:rPr>
          <w:lang w:val="en-AU"/>
        </w:rPr>
        <w:t xml:space="preserve"> learning and dialogue cycle. </w:t>
      </w:r>
    </w:p>
    <w:p w14:paraId="24491AC4" w14:textId="77777777" w:rsidR="006A43AF" w:rsidRDefault="006A43AF" w:rsidP="006A43AF">
      <w:pPr>
        <w:pStyle w:val="Caption"/>
        <w:keepNext/>
      </w:pPr>
      <w:r>
        <w:t xml:space="preserve">Table </w:t>
      </w:r>
      <w:r>
        <w:fldChar w:fldCharType="begin"/>
      </w:r>
      <w:r>
        <w:instrText xml:space="preserve"> SEQ Table \* ARABIC </w:instrText>
      </w:r>
      <w:r>
        <w:fldChar w:fldCharType="separate"/>
      </w:r>
      <w:r>
        <w:rPr>
          <w:noProof/>
        </w:rPr>
        <w:t>1</w:t>
      </w:r>
      <w:r>
        <w:fldChar w:fldCharType="end"/>
      </w:r>
      <w:r>
        <w:t>: Potential Australia–Indonesia Institutional Partnerships</w:t>
      </w:r>
    </w:p>
    <w:tbl>
      <w:tblPr>
        <w:tblStyle w:val="DFATTable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Potential Australia-Indonesia Institutional Partnerships"/>
        <w:tblDescription w:val="This table provides details for six different potential institutional partnerships between the Government of Indonesia and their Australian counterpart agencies"/>
      </w:tblPr>
      <w:tblGrid>
        <w:gridCol w:w="2122"/>
        <w:gridCol w:w="3827"/>
        <w:gridCol w:w="3827"/>
      </w:tblGrid>
      <w:tr w:rsidR="006A43AF" w:rsidRPr="0069544F" w14:paraId="4D35C215" w14:textId="77777777" w:rsidTr="00276DFF">
        <w:trPr>
          <w:cnfStyle w:val="100000000000" w:firstRow="1" w:lastRow="0" w:firstColumn="0" w:lastColumn="0" w:oddVBand="0" w:evenVBand="0" w:oddHBand="0" w:evenHBand="0" w:firstRowFirstColumn="0" w:firstRowLastColumn="0" w:lastRowFirstColumn="0" w:lastRowLastColumn="0"/>
          <w:tblHeader/>
        </w:trPr>
        <w:tc>
          <w:tcPr>
            <w:tcW w:w="2122" w:type="dxa"/>
            <w:shd w:val="clear" w:color="auto" w:fill="65C5B4" w:themeFill="accent1"/>
          </w:tcPr>
          <w:p w14:paraId="239496BD" w14:textId="77777777" w:rsidR="006A43AF" w:rsidRPr="00A50A9E" w:rsidRDefault="006A43AF" w:rsidP="00276DFF">
            <w:pPr>
              <w:tabs>
                <w:tab w:val="left" w:pos="284"/>
              </w:tabs>
              <w:suppressAutoHyphens w:val="0"/>
              <w:spacing w:before="0"/>
              <w:rPr>
                <w:rFonts w:ascii="Calibri Light" w:hAnsi="Calibri Light" w:cs="Calibri Light"/>
                <w:b/>
                <w:color w:val="auto"/>
                <w:sz w:val="20"/>
                <w:szCs w:val="20"/>
                <w:lang w:val="en-AU"/>
              </w:rPr>
            </w:pPr>
            <w:r w:rsidRPr="00A50A9E">
              <w:rPr>
                <w:rFonts w:ascii="Calibri Light" w:hAnsi="Calibri Light" w:cs="Calibri Light"/>
                <w:b/>
                <w:color w:val="auto"/>
                <w:sz w:val="20"/>
                <w:szCs w:val="20"/>
                <w:lang w:val="en-AU"/>
              </w:rPr>
              <w:t>Government of Indonesia (</w:t>
            </w:r>
            <w:proofErr w:type="spellStart"/>
            <w:r w:rsidRPr="00A50A9E">
              <w:rPr>
                <w:rFonts w:ascii="Calibri Light" w:hAnsi="Calibri Light" w:cs="Calibri Light"/>
                <w:b/>
                <w:color w:val="auto"/>
                <w:sz w:val="20"/>
                <w:szCs w:val="20"/>
                <w:lang w:val="en-AU"/>
              </w:rPr>
              <w:t>GoI</w:t>
            </w:r>
            <w:proofErr w:type="spellEnd"/>
            <w:r w:rsidRPr="00A50A9E">
              <w:rPr>
                <w:rFonts w:ascii="Calibri Light" w:hAnsi="Calibri Light" w:cs="Calibri Light"/>
                <w:b/>
                <w:color w:val="auto"/>
                <w:sz w:val="20"/>
                <w:szCs w:val="20"/>
                <w:lang w:val="en-AU"/>
              </w:rPr>
              <w:t>) Partner</w:t>
            </w:r>
          </w:p>
        </w:tc>
        <w:tc>
          <w:tcPr>
            <w:tcW w:w="3827" w:type="dxa"/>
            <w:shd w:val="clear" w:color="auto" w:fill="65C5B4" w:themeFill="accent1"/>
          </w:tcPr>
          <w:p w14:paraId="1667A538" w14:textId="77777777" w:rsidR="006A43AF" w:rsidRPr="00A50A9E" w:rsidRDefault="006A43AF" w:rsidP="00276DFF">
            <w:pPr>
              <w:tabs>
                <w:tab w:val="left" w:pos="284"/>
              </w:tabs>
              <w:suppressAutoHyphens w:val="0"/>
              <w:spacing w:before="0"/>
              <w:rPr>
                <w:rFonts w:ascii="Calibri Light" w:hAnsi="Calibri Light" w:cs="Calibri Light"/>
                <w:b/>
                <w:color w:val="auto"/>
                <w:sz w:val="20"/>
                <w:szCs w:val="20"/>
                <w:lang w:val="en-AU"/>
              </w:rPr>
            </w:pPr>
            <w:r w:rsidRPr="00A50A9E">
              <w:rPr>
                <w:rFonts w:ascii="Calibri Light" w:hAnsi="Calibri Light" w:cs="Calibri Light"/>
                <w:b/>
                <w:color w:val="auto"/>
                <w:sz w:val="20"/>
                <w:szCs w:val="20"/>
                <w:lang w:val="en-AU"/>
              </w:rPr>
              <w:t>Possible Australian Counterpart</w:t>
            </w:r>
          </w:p>
        </w:tc>
        <w:tc>
          <w:tcPr>
            <w:tcW w:w="3827" w:type="dxa"/>
            <w:shd w:val="clear" w:color="auto" w:fill="65C5B4" w:themeFill="accent1"/>
          </w:tcPr>
          <w:p w14:paraId="213A1B4B" w14:textId="77777777" w:rsidR="006A43AF" w:rsidRPr="00A50A9E" w:rsidRDefault="006A43AF" w:rsidP="00276DFF">
            <w:pPr>
              <w:tabs>
                <w:tab w:val="left" w:pos="284"/>
              </w:tabs>
              <w:suppressAutoHyphens w:val="0"/>
              <w:spacing w:before="0"/>
              <w:rPr>
                <w:rFonts w:ascii="Calibri Light" w:hAnsi="Calibri Light" w:cs="Calibri Light"/>
                <w:b/>
                <w:color w:val="auto"/>
                <w:sz w:val="20"/>
                <w:szCs w:val="20"/>
                <w:lang w:val="en-AU"/>
              </w:rPr>
            </w:pPr>
            <w:r w:rsidRPr="00A50A9E">
              <w:rPr>
                <w:rFonts w:ascii="Calibri Light" w:hAnsi="Calibri Light" w:cs="Calibri Light"/>
                <w:b/>
                <w:color w:val="auto"/>
                <w:sz w:val="20"/>
                <w:szCs w:val="20"/>
                <w:lang w:val="en-AU"/>
              </w:rPr>
              <w:t>Rationale/Focus of Partnership</w:t>
            </w:r>
          </w:p>
        </w:tc>
      </w:tr>
      <w:tr w:rsidR="006A43AF" w:rsidRPr="0069544F" w14:paraId="0EA08EEA" w14:textId="77777777" w:rsidTr="00276DFF">
        <w:tc>
          <w:tcPr>
            <w:tcW w:w="2122" w:type="dxa"/>
            <w:hideMark/>
          </w:tcPr>
          <w:p w14:paraId="226379CF" w14:textId="77777777" w:rsidR="006A43AF" w:rsidRPr="00BA5EF5" w:rsidRDefault="006A43AF" w:rsidP="00276DFF">
            <w:pPr>
              <w:tabs>
                <w:tab w:val="left" w:pos="284"/>
              </w:tabs>
              <w:suppressAutoHyphens w:val="0"/>
              <w:spacing w:before="0"/>
              <w:rPr>
                <w:rFonts w:ascii="Calibri Light" w:hAnsi="Calibri Light" w:cs="Calibri Light"/>
                <w:bCs/>
                <w:sz w:val="20"/>
                <w:szCs w:val="20"/>
                <w:lang w:val="en-AU"/>
              </w:rPr>
            </w:pPr>
            <w:r w:rsidRPr="00BA5EF5">
              <w:rPr>
                <w:rFonts w:ascii="Calibri Light" w:hAnsi="Calibri Light" w:cs="Calibri Light"/>
                <w:bCs/>
                <w:sz w:val="20"/>
                <w:szCs w:val="20"/>
                <w:lang w:val="en-AU"/>
              </w:rPr>
              <w:t>General Elections Commission (KPU)</w:t>
            </w:r>
          </w:p>
        </w:tc>
        <w:tc>
          <w:tcPr>
            <w:tcW w:w="3827" w:type="dxa"/>
            <w:hideMark/>
          </w:tcPr>
          <w:p w14:paraId="5D44B1A5" w14:textId="77777777" w:rsidR="006A43AF" w:rsidRPr="00BA5EF5" w:rsidRDefault="006A43AF" w:rsidP="00276DFF">
            <w:pPr>
              <w:tabs>
                <w:tab w:val="left" w:pos="284"/>
              </w:tabs>
              <w:suppressAutoHyphens w:val="0"/>
              <w:spacing w:before="0"/>
              <w:rPr>
                <w:rFonts w:ascii="Calibri Light" w:hAnsi="Calibri Light" w:cs="Calibri Light"/>
                <w:bCs/>
                <w:sz w:val="20"/>
                <w:szCs w:val="20"/>
                <w:lang w:val="en-AU"/>
              </w:rPr>
            </w:pPr>
            <w:r w:rsidRPr="00BA5EF5">
              <w:rPr>
                <w:rFonts w:ascii="Calibri Light" w:hAnsi="Calibri Light" w:cs="Calibri Light"/>
                <w:bCs/>
                <w:sz w:val="20"/>
                <w:szCs w:val="20"/>
                <w:lang w:val="en-AU"/>
              </w:rPr>
              <w:t>Australian Electoral Commission (AEC)</w:t>
            </w:r>
          </w:p>
        </w:tc>
        <w:tc>
          <w:tcPr>
            <w:tcW w:w="3827" w:type="dxa"/>
            <w:hideMark/>
          </w:tcPr>
          <w:p w14:paraId="2F5FF0AB" w14:textId="77777777" w:rsidR="006A43AF" w:rsidRPr="00BA5EF5" w:rsidRDefault="006A43AF" w:rsidP="00276DFF">
            <w:pPr>
              <w:tabs>
                <w:tab w:val="left" w:pos="284"/>
              </w:tabs>
              <w:suppressAutoHyphens w:val="0"/>
              <w:spacing w:before="0"/>
              <w:rPr>
                <w:rFonts w:ascii="Calibri Light" w:hAnsi="Calibri Light" w:cs="Calibri Light"/>
                <w:bCs/>
                <w:sz w:val="20"/>
                <w:szCs w:val="20"/>
                <w:lang w:val="en-AU"/>
              </w:rPr>
            </w:pPr>
            <w:r w:rsidRPr="00BA5EF5">
              <w:rPr>
                <w:rFonts w:ascii="Calibri Light" w:hAnsi="Calibri Light" w:cs="Calibri Light"/>
                <w:bCs/>
                <w:sz w:val="20"/>
                <w:szCs w:val="20"/>
                <w:lang w:val="en-AU"/>
              </w:rPr>
              <w:t>Electoral administration, integrity safeguards, technical upgrades</w:t>
            </w:r>
          </w:p>
        </w:tc>
      </w:tr>
      <w:tr w:rsidR="006A43AF" w:rsidRPr="0069544F" w14:paraId="26D15654" w14:textId="77777777" w:rsidTr="00276DFF">
        <w:tc>
          <w:tcPr>
            <w:tcW w:w="2122" w:type="dxa"/>
            <w:hideMark/>
          </w:tcPr>
          <w:p w14:paraId="409762BA" w14:textId="77777777" w:rsidR="006A43AF" w:rsidRPr="000B7BE2" w:rsidRDefault="006A43AF" w:rsidP="00276DFF">
            <w:pPr>
              <w:tabs>
                <w:tab w:val="left" w:pos="284"/>
              </w:tabs>
              <w:suppressAutoHyphens w:val="0"/>
              <w:spacing w:before="0"/>
              <w:rPr>
                <w:rFonts w:ascii="Calibri Light" w:hAnsi="Calibri Light" w:cs="Calibri Light"/>
                <w:bCs/>
                <w:sz w:val="20"/>
                <w:szCs w:val="20"/>
                <w:lang w:val="en-AU"/>
              </w:rPr>
            </w:pPr>
            <w:r w:rsidRPr="00C034B4">
              <w:rPr>
                <w:rFonts w:ascii="Calibri Light" w:hAnsi="Calibri Light" w:cs="Calibri Light"/>
                <w:bCs/>
                <w:sz w:val="20"/>
                <w:szCs w:val="20"/>
                <w:lang w:val="en-AU"/>
              </w:rPr>
              <w:t>Election Supervisory Agency (</w:t>
            </w:r>
            <w:proofErr w:type="spellStart"/>
            <w:r w:rsidRPr="00C034B4">
              <w:rPr>
                <w:rFonts w:ascii="Calibri Light" w:hAnsi="Calibri Light" w:cs="Calibri Light"/>
                <w:bCs/>
                <w:sz w:val="20"/>
                <w:szCs w:val="20"/>
                <w:lang w:val="en-AU"/>
              </w:rPr>
              <w:t>Bawaslu</w:t>
            </w:r>
            <w:proofErr w:type="spellEnd"/>
            <w:r w:rsidRPr="00C034B4">
              <w:rPr>
                <w:rFonts w:ascii="Calibri Light" w:hAnsi="Calibri Light" w:cs="Calibri Light"/>
                <w:bCs/>
                <w:sz w:val="20"/>
                <w:szCs w:val="20"/>
                <w:lang w:val="en-AU"/>
              </w:rPr>
              <w:t>)</w:t>
            </w:r>
          </w:p>
        </w:tc>
        <w:tc>
          <w:tcPr>
            <w:tcW w:w="3827" w:type="dxa"/>
            <w:hideMark/>
          </w:tcPr>
          <w:p w14:paraId="0AB34A7F" w14:textId="77777777" w:rsidR="006A43AF" w:rsidRPr="00F02A10" w:rsidRDefault="006A43AF" w:rsidP="00276DFF">
            <w:pPr>
              <w:tabs>
                <w:tab w:val="left" w:pos="284"/>
              </w:tabs>
              <w:suppressAutoHyphens w:val="0"/>
              <w:spacing w:before="0"/>
              <w:rPr>
                <w:rFonts w:ascii="Calibri Light" w:hAnsi="Calibri Light" w:cs="Calibri Light"/>
                <w:sz w:val="20"/>
                <w:szCs w:val="20"/>
                <w:lang w:val="en-AU"/>
              </w:rPr>
            </w:pPr>
            <w:r w:rsidRPr="00F02A10">
              <w:rPr>
                <w:rFonts w:ascii="Calibri Light" w:hAnsi="Calibri Light" w:cs="Calibri Light"/>
                <w:sz w:val="20"/>
                <w:szCs w:val="20"/>
                <w:lang w:val="en-AU"/>
              </w:rPr>
              <w:t>AEC; Australian Parliament/Joint Standing Committee on Electoral Matters</w:t>
            </w:r>
          </w:p>
        </w:tc>
        <w:tc>
          <w:tcPr>
            <w:tcW w:w="3827" w:type="dxa"/>
            <w:hideMark/>
          </w:tcPr>
          <w:p w14:paraId="1B3DA435" w14:textId="77777777" w:rsidR="006A43AF" w:rsidRPr="00F02A10" w:rsidRDefault="006A43AF" w:rsidP="00276DFF">
            <w:pPr>
              <w:tabs>
                <w:tab w:val="left" w:pos="284"/>
              </w:tabs>
              <w:suppressAutoHyphens w:val="0"/>
              <w:spacing w:before="0"/>
              <w:rPr>
                <w:rFonts w:ascii="Calibri Light" w:hAnsi="Calibri Light" w:cs="Calibri Light"/>
                <w:sz w:val="20"/>
                <w:szCs w:val="20"/>
                <w:lang w:val="en-AU"/>
              </w:rPr>
            </w:pPr>
            <w:r w:rsidRPr="00F02A10">
              <w:rPr>
                <w:rFonts w:ascii="Calibri Light" w:hAnsi="Calibri Light" w:cs="Calibri Light"/>
                <w:sz w:val="20"/>
                <w:szCs w:val="20"/>
                <w:lang w:val="en-AU"/>
              </w:rPr>
              <w:t>Election oversight, compliance, enforcement, best practice</w:t>
            </w:r>
          </w:p>
        </w:tc>
      </w:tr>
      <w:tr w:rsidR="006A43AF" w:rsidRPr="0069544F" w14:paraId="36032B1F" w14:textId="77777777" w:rsidTr="00276DFF">
        <w:tc>
          <w:tcPr>
            <w:tcW w:w="2122" w:type="dxa"/>
            <w:hideMark/>
          </w:tcPr>
          <w:p w14:paraId="47E99C86" w14:textId="77777777" w:rsidR="006A43AF" w:rsidRPr="000B7BE2" w:rsidRDefault="006A43AF" w:rsidP="00276DFF">
            <w:pPr>
              <w:tabs>
                <w:tab w:val="left" w:pos="284"/>
              </w:tabs>
              <w:suppressAutoHyphens w:val="0"/>
              <w:spacing w:before="0"/>
              <w:rPr>
                <w:rFonts w:ascii="Calibri Light" w:hAnsi="Calibri Light" w:cs="Calibri Light"/>
                <w:bCs/>
                <w:sz w:val="20"/>
                <w:szCs w:val="20"/>
                <w:lang w:val="en-AU"/>
              </w:rPr>
            </w:pPr>
            <w:r w:rsidRPr="00C034B4">
              <w:rPr>
                <w:rFonts w:ascii="Calibri Light" w:hAnsi="Calibri Light" w:cs="Calibri Light"/>
                <w:bCs/>
                <w:sz w:val="20"/>
                <w:szCs w:val="20"/>
                <w:lang w:val="en-AU"/>
              </w:rPr>
              <w:t>Subnational electoral bodies*</w:t>
            </w:r>
          </w:p>
        </w:tc>
        <w:tc>
          <w:tcPr>
            <w:tcW w:w="3827" w:type="dxa"/>
            <w:hideMark/>
          </w:tcPr>
          <w:p w14:paraId="68268982" w14:textId="77777777" w:rsidR="006A43AF" w:rsidRPr="00F02A10" w:rsidRDefault="006A43AF" w:rsidP="00276DFF">
            <w:pPr>
              <w:tabs>
                <w:tab w:val="left" w:pos="284"/>
              </w:tabs>
              <w:suppressAutoHyphens w:val="0"/>
              <w:spacing w:before="0"/>
              <w:rPr>
                <w:rFonts w:ascii="Calibri Light" w:hAnsi="Calibri Light" w:cs="Calibri Light"/>
                <w:sz w:val="20"/>
                <w:szCs w:val="20"/>
                <w:lang w:val="en-AU"/>
              </w:rPr>
            </w:pPr>
            <w:r w:rsidRPr="00F02A10">
              <w:rPr>
                <w:rFonts w:ascii="Calibri Light" w:hAnsi="Calibri Light" w:cs="Calibri Light"/>
                <w:sz w:val="20"/>
                <w:szCs w:val="20"/>
                <w:lang w:val="en-AU"/>
              </w:rPr>
              <w:t>AEC state-level offices; state electoral commissions</w:t>
            </w:r>
          </w:p>
        </w:tc>
        <w:tc>
          <w:tcPr>
            <w:tcW w:w="3827" w:type="dxa"/>
            <w:hideMark/>
          </w:tcPr>
          <w:p w14:paraId="29762F59" w14:textId="77777777" w:rsidR="006A43AF" w:rsidRPr="00F02A10" w:rsidRDefault="006A43AF" w:rsidP="00276DFF">
            <w:pPr>
              <w:tabs>
                <w:tab w:val="left" w:pos="284"/>
              </w:tabs>
              <w:suppressAutoHyphens w:val="0"/>
              <w:spacing w:before="0"/>
              <w:rPr>
                <w:rFonts w:ascii="Calibri Light" w:hAnsi="Calibri Light" w:cs="Calibri Light"/>
                <w:sz w:val="20"/>
                <w:szCs w:val="20"/>
                <w:lang w:val="en-AU"/>
              </w:rPr>
            </w:pPr>
            <w:r w:rsidRPr="00F02A10">
              <w:rPr>
                <w:rFonts w:ascii="Calibri Light" w:hAnsi="Calibri Light" w:cs="Calibri Light"/>
                <w:sz w:val="20"/>
                <w:szCs w:val="20"/>
                <w:lang w:val="en-AU"/>
              </w:rPr>
              <w:t>Subnational electoral management, regional peer</w:t>
            </w:r>
            <w:r>
              <w:rPr>
                <w:rFonts w:ascii="Calibri Light" w:hAnsi="Calibri Light" w:cs="Calibri Light"/>
                <w:sz w:val="20"/>
                <w:szCs w:val="20"/>
                <w:lang w:val="en-AU"/>
              </w:rPr>
              <w:t xml:space="preserve"> </w:t>
            </w:r>
            <w:r w:rsidRPr="00F02A10">
              <w:rPr>
                <w:rFonts w:ascii="Calibri Light" w:hAnsi="Calibri Light" w:cs="Calibri Light"/>
                <w:sz w:val="20"/>
                <w:szCs w:val="20"/>
                <w:lang w:val="en-AU"/>
              </w:rPr>
              <w:t>learning</w:t>
            </w:r>
          </w:p>
        </w:tc>
      </w:tr>
      <w:tr w:rsidR="006A43AF" w:rsidRPr="0069544F" w14:paraId="54D6CC2C" w14:textId="77777777" w:rsidTr="00276DFF">
        <w:tc>
          <w:tcPr>
            <w:tcW w:w="2122" w:type="dxa"/>
            <w:hideMark/>
          </w:tcPr>
          <w:p w14:paraId="329A0A2C" w14:textId="77777777" w:rsidR="006A43AF" w:rsidRPr="000B7BE2" w:rsidRDefault="006A43AF" w:rsidP="00276DFF">
            <w:pPr>
              <w:tabs>
                <w:tab w:val="left" w:pos="284"/>
              </w:tabs>
              <w:suppressAutoHyphens w:val="0"/>
              <w:spacing w:before="0"/>
              <w:rPr>
                <w:rFonts w:ascii="Calibri Light" w:hAnsi="Calibri Light" w:cs="Calibri Light"/>
                <w:bCs/>
                <w:sz w:val="20"/>
                <w:szCs w:val="20"/>
                <w:lang w:val="en-AU"/>
              </w:rPr>
            </w:pPr>
            <w:r w:rsidRPr="00C034B4">
              <w:rPr>
                <w:rFonts w:ascii="Calibri Light" w:hAnsi="Calibri Light" w:cs="Calibri Light"/>
                <w:bCs/>
                <w:sz w:val="20"/>
                <w:szCs w:val="20"/>
                <w:lang w:val="en-AU"/>
              </w:rPr>
              <w:t>People’s Representative Council (DPR)</w:t>
            </w:r>
          </w:p>
        </w:tc>
        <w:tc>
          <w:tcPr>
            <w:tcW w:w="3827" w:type="dxa"/>
            <w:hideMark/>
          </w:tcPr>
          <w:p w14:paraId="5A84FF84" w14:textId="77777777" w:rsidR="006A43AF" w:rsidRPr="001933D8" w:rsidRDefault="006A43AF" w:rsidP="00276DFF">
            <w:pPr>
              <w:tabs>
                <w:tab w:val="left" w:pos="284"/>
              </w:tabs>
              <w:suppressAutoHyphens w:val="0"/>
              <w:spacing w:before="0"/>
              <w:rPr>
                <w:rFonts w:ascii="Calibri Light" w:hAnsi="Calibri Light" w:cs="Calibri Light"/>
                <w:sz w:val="20"/>
                <w:szCs w:val="20"/>
                <w:lang w:val="en-AU"/>
              </w:rPr>
            </w:pPr>
            <w:r w:rsidRPr="001933D8">
              <w:rPr>
                <w:rFonts w:ascii="Calibri Light" w:hAnsi="Calibri Light" w:cs="Calibri Light"/>
                <w:sz w:val="20"/>
                <w:szCs w:val="20"/>
                <w:lang w:val="en-AU"/>
              </w:rPr>
              <w:t>Australian Parliament (House</w:t>
            </w:r>
            <w:r>
              <w:rPr>
                <w:rFonts w:ascii="Calibri Light" w:hAnsi="Calibri Light" w:cs="Calibri Light"/>
                <w:sz w:val="20"/>
                <w:szCs w:val="20"/>
                <w:lang w:val="en-AU"/>
              </w:rPr>
              <w:t xml:space="preserve"> of Representatives</w:t>
            </w:r>
            <w:r w:rsidRPr="001933D8">
              <w:rPr>
                <w:rFonts w:ascii="Calibri Light" w:hAnsi="Calibri Light" w:cs="Calibri Light"/>
                <w:sz w:val="20"/>
                <w:szCs w:val="20"/>
                <w:lang w:val="en-AU"/>
              </w:rPr>
              <w:t xml:space="preserve">, Senate, Parliamentary Library, Australian Parliament House programs), </w:t>
            </w:r>
            <w:r w:rsidRPr="004C3BD4">
              <w:rPr>
                <w:rFonts w:ascii="Calibri Light" w:hAnsi="Calibri Light" w:cs="Calibri Light"/>
                <w:sz w:val="20"/>
                <w:szCs w:val="20"/>
                <w:lang w:val="en-AU"/>
              </w:rPr>
              <w:t>Australian Parliamentarians</w:t>
            </w:r>
            <w:r>
              <w:rPr>
                <w:rFonts w:ascii="Calibri Light" w:hAnsi="Calibri Light" w:cs="Calibri Light"/>
                <w:sz w:val="20"/>
                <w:szCs w:val="20"/>
                <w:lang w:val="en-AU"/>
              </w:rPr>
              <w:t>,</w:t>
            </w:r>
            <w:r w:rsidRPr="004C3BD4">
              <w:rPr>
                <w:rFonts w:ascii="Calibri Light" w:hAnsi="Calibri Light" w:cs="Calibri Light"/>
                <w:sz w:val="20"/>
                <w:szCs w:val="20"/>
                <w:lang w:val="en-AU"/>
              </w:rPr>
              <w:t xml:space="preserve"> Joint Standing Committee on Foreign Affairs, Defence, and Trade</w:t>
            </w:r>
          </w:p>
        </w:tc>
        <w:tc>
          <w:tcPr>
            <w:tcW w:w="3827" w:type="dxa"/>
            <w:hideMark/>
          </w:tcPr>
          <w:p w14:paraId="3B4B5A5F" w14:textId="77777777" w:rsidR="006A43AF" w:rsidRPr="001933D8" w:rsidRDefault="006A43AF" w:rsidP="00276DFF">
            <w:pPr>
              <w:tabs>
                <w:tab w:val="left" w:pos="284"/>
              </w:tabs>
              <w:suppressAutoHyphens w:val="0"/>
              <w:spacing w:before="0"/>
              <w:rPr>
                <w:rFonts w:ascii="Calibri Light" w:hAnsi="Calibri Light" w:cs="Calibri Light"/>
                <w:sz w:val="20"/>
                <w:szCs w:val="20"/>
                <w:lang w:val="en-AU"/>
              </w:rPr>
            </w:pPr>
            <w:r w:rsidRPr="004C3BD4">
              <w:rPr>
                <w:rFonts w:ascii="Calibri Light" w:hAnsi="Calibri Light" w:cs="Calibri Light"/>
                <w:sz w:val="20"/>
                <w:szCs w:val="20"/>
                <w:lang w:val="en-AU"/>
              </w:rPr>
              <w:t>Dialogue, exchange on democratic practice and oversight</w:t>
            </w:r>
            <w:r w:rsidRPr="001933D8">
              <w:rPr>
                <w:rFonts w:ascii="Calibri Light" w:hAnsi="Calibri Light" w:cs="Calibri Light"/>
                <w:sz w:val="20"/>
                <w:szCs w:val="20"/>
                <w:lang w:val="en-AU"/>
              </w:rPr>
              <w:t>, Strengthening parliamentary oversight, committee systems, legislative transparency</w:t>
            </w:r>
          </w:p>
        </w:tc>
      </w:tr>
      <w:tr w:rsidR="006A43AF" w:rsidRPr="0069544F" w14:paraId="4894FDFE" w14:textId="77777777" w:rsidTr="00276DFF">
        <w:tc>
          <w:tcPr>
            <w:tcW w:w="2122" w:type="dxa"/>
          </w:tcPr>
          <w:p w14:paraId="4F638FC5" w14:textId="77777777" w:rsidR="006A43AF" w:rsidRPr="00C034B4" w:rsidRDefault="006A43AF" w:rsidP="00276DFF">
            <w:pPr>
              <w:tabs>
                <w:tab w:val="left" w:pos="284"/>
              </w:tabs>
              <w:suppressAutoHyphens w:val="0"/>
              <w:spacing w:before="0"/>
              <w:rPr>
                <w:rFonts w:ascii="Calibri Light" w:hAnsi="Calibri Light" w:cs="Calibri Light"/>
                <w:bCs/>
                <w:sz w:val="20"/>
                <w:szCs w:val="20"/>
                <w:lang w:val="en-AU"/>
              </w:rPr>
            </w:pPr>
            <w:r w:rsidRPr="00C034B4">
              <w:rPr>
                <w:rFonts w:ascii="Calibri Light" w:hAnsi="Calibri Light" w:cs="Calibri Light"/>
                <w:bCs/>
                <w:sz w:val="20"/>
                <w:szCs w:val="20"/>
                <w:lang w:val="en-AU"/>
              </w:rPr>
              <w:t>Subnational parliaments*</w:t>
            </w:r>
          </w:p>
        </w:tc>
        <w:tc>
          <w:tcPr>
            <w:tcW w:w="3827" w:type="dxa"/>
          </w:tcPr>
          <w:p w14:paraId="398F65F6" w14:textId="77777777" w:rsidR="006A43AF" w:rsidRPr="001933D8" w:rsidRDefault="006A43AF" w:rsidP="00276DFF">
            <w:pPr>
              <w:tabs>
                <w:tab w:val="left" w:pos="284"/>
              </w:tabs>
              <w:suppressAutoHyphens w:val="0"/>
              <w:spacing w:before="0"/>
              <w:rPr>
                <w:rFonts w:ascii="Calibri Light" w:hAnsi="Calibri Light" w:cs="Calibri Light"/>
                <w:sz w:val="20"/>
                <w:szCs w:val="20"/>
                <w:lang w:val="en-AU"/>
              </w:rPr>
            </w:pPr>
            <w:r>
              <w:rPr>
                <w:rFonts w:ascii="Calibri Light" w:hAnsi="Calibri Light" w:cs="Calibri Light"/>
                <w:sz w:val="20"/>
                <w:szCs w:val="20"/>
                <w:lang w:val="en-AU"/>
              </w:rPr>
              <w:t>State and territory parliaments</w:t>
            </w:r>
          </w:p>
        </w:tc>
        <w:tc>
          <w:tcPr>
            <w:tcW w:w="3827" w:type="dxa"/>
          </w:tcPr>
          <w:p w14:paraId="4D476FB3" w14:textId="77777777" w:rsidR="006A43AF" w:rsidRPr="004C3BD4" w:rsidRDefault="006A43AF" w:rsidP="00276DFF">
            <w:pPr>
              <w:tabs>
                <w:tab w:val="left" w:pos="284"/>
              </w:tabs>
              <w:suppressAutoHyphens w:val="0"/>
              <w:spacing w:before="0"/>
              <w:rPr>
                <w:rFonts w:ascii="Calibri Light" w:hAnsi="Calibri Light" w:cs="Calibri Light"/>
                <w:sz w:val="20"/>
                <w:szCs w:val="20"/>
                <w:lang w:val="en-AU"/>
              </w:rPr>
            </w:pPr>
            <w:r>
              <w:rPr>
                <w:rFonts w:ascii="Calibri Light" w:hAnsi="Calibri Light" w:cs="Calibri Light"/>
                <w:sz w:val="20"/>
                <w:szCs w:val="20"/>
                <w:lang w:val="en-AU"/>
              </w:rPr>
              <w:t>As above</w:t>
            </w:r>
          </w:p>
        </w:tc>
      </w:tr>
      <w:tr w:rsidR="006A43AF" w:rsidRPr="0069544F" w14:paraId="69F67CB6" w14:textId="77777777" w:rsidTr="00276DFF">
        <w:tc>
          <w:tcPr>
            <w:tcW w:w="2122" w:type="dxa"/>
          </w:tcPr>
          <w:p w14:paraId="16E0DC8E" w14:textId="77777777" w:rsidR="006A43AF" w:rsidRPr="00C034B4" w:rsidRDefault="006A43AF" w:rsidP="00276DFF">
            <w:pPr>
              <w:tabs>
                <w:tab w:val="left" w:pos="284"/>
              </w:tabs>
              <w:suppressAutoHyphens w:val="0"/>
              <w:spacing w:before="0"/>
              <w:rPr>
                <w:rFonts w:ascii="Calibri Light" w:hAnsi="Calibri Light" w:cs="Calibri Light"/>
                <w:bCs/>
                <w:sz w:val="20"/>
                <w:szCs w:val="20"/>
                <w:lang w:val="en-AU"/>
              </w:rPr>
            </w:pPr>
            <w:r w:rsidRPr="00881B0E">
              <w:rPr>
                <w:rFonts w:ascii="Calibri Light" w:hAnsi="Calibri Light" w:cs="Calibri Light"/>
                <w:bCs/>
                <w:sz w:val="20"/>
                <w:szCs w:val="20"/>
                <w:lang w:val="en-AU"/>
              </w:rPr>
              <w:lastRenderedPageBreak/>
              <w:t xml:space="preserve">Ministry of Communication and </w:t>
            </w:r>
            <w:r>
              <w:rPr>
                <w:rFonts w:ascii="Calibri Light" w:hAnsi="Calibri Light" w:cs="Calibri Light"/>
                <w:bCs/>
                <w:sz w:val="20"/>
                <w:szCs w:val="20"/>
                <w:lang w:val="en-AU"/>
              </w:rPr>
              <w:t>Digital</w:t>
            </w:r>
            <w:r w:rsidRPr="00881B0E">
              <w:rPr>
                <w:rFonts w:ascii="Calibri Light" w:hAnsi="Calibri Light" w:cs="Calibri Light"/>
                <w:bCs/>
                <w:sz w:val="20"/>
                <w:szCs w:val="20"/>
                <w:lang w:val="en-AU"/>
              </w:rPr>
              <w:t xml:space="preserve"> </w:t>
            </w:r>
            <w:r>
              <w:rPr>
                <w:rFonts w:ascii="Calibri Light" w:hAnsi="Calibri Light" w:cs="Calibri Light"/>
                <w:bCs/>
                <w:sz w:val="20"/>
                <w:szCs w:val="20"/>
                <w:lang w:val="en-AU"/>
              </w:rPr>
              <w:t xml:space="preserve">Affairs </w:t>
            </w:r>
            <w:proofErr w:type="spellStart"/>
            <w:r w:rsidRPr="00881B0E">
              <w:rPr>
                <w:rFonts w:ascii="Calibri Light" w:hAnsi="Calibri Light" w:cs="Calibri Light"/>
                <w:bCs/>
                <w:sz w:val="20"/>
                <w:szCs w:val="20"/>
                <w:lang w:val="en-AU"/>
              </w:rPr>
              <w:t>Kom</w:t>
            </w:r>
            <w:r>
              <w:rPr>
                <w:rFonts w:ascii="Calibri Light" w:hAnsi="Calibri Light" w:cs="Calibri Light"/>
                <w:bCs/>
                <w:sz w:val="20"/>
                <w:szCs w:val="20"/>
                <w:lang w:val="en-AU"/>
              </w:rPr>
              <w:t>digi</w:t>
            </w:r>
            <w:proofErr w:type="spellEnd"/>
            <w:r w:rsidRPr="00881B0E">
              <w:rPr>
                <w:rFonts w:ascii="Calibri Light" w:hAnsi="Calibri Light" w:cs="Calibri Light"/>
                <w:bCs/>
                <w:sz w:val="20"/>
                <w:szCs w:val="20"/>
                <w:lang w:val="en-AU"/>
              </w:rPr>
              <w:t>)</w:t>
            </w:r>
            <w:r>
              <w:rPr>
                <w:rFonts w:ascii="Calibri Light" w:hAnsi="Calibri Light" w:cs="Calibri Light"/>
                <w:bCs/>
                <w:sz w:val="20"/>
                <w:szCs w:val="20"/>
                <w:lang w:val="en-AU"/>
              </w:rPr>
              <w:t xml:space="preserve"> and Press Council (Dewan </w:t>
            </w:r>
            <w:proofErr w:type="gramStart"/>
            <w:r>
              <w:rPr>
                <w:rFonts w:ascii="Calibri Light" w:hAnsi="Calibri Light" w:cs="Calibri Light"/>
                <w:bCs/>
                <w:sz w:val="20"/>
                <w:szCs w:val="20"/>
                <w:lang w:val="en-AU"/>
              </w:rPr>
              <w:t>Pers)*</w:t>
            </w:r>
            <w:proofErr w:type="gramEnd"/>
          </w:p>
        </w:tc>
        <w:tc>
          <w:tcPr>
            <w:tcW w:w="3827" w:type="dxa"/>
          </w:tcPr>
          <w:p w14:paraId="4B7A00E9" w14:textId="77777777" w:rsidR="006A43AF" w:rsidRPr="001933D8" w:rsidRDefault="006A43AF" w:rsidP="00276DFF">
            <w:pPr>
              <w:tabs>
                <w:tab w:val="left" w:pos="284"/>
              </w:tabs>
              <w:suppressAutoHyphens w:val="0"/>
              <w:spacing w:before="0"/>
              <w:rPr>
                <w:rFonts w:ascii="Calibri Light" w:hAnsi="Calibri Light" w:cs="Calibri Light"/>
                <w:sz w:val="20"/>
                <w:szCs w:val="20"/>
                <w:lang w:val="en-AU"/>
              </w:rPr>
            </w:pPr>
            <w:proofErr w:type="spellStart"/>
            <w:r w:rsidRPr="00276B30">
              <w:rPr>
                <w:rFonts w:ascii="Calibri Light" w:hAnsi="Calibri Light" w:cs="Calibri Light"/>
                <w:sz w:val="20"/>
                <w:szCs w:val="20"/>
              </w:rPr>
              <w:t>eSafety</w:t>
            </w:r>
            <w:proofErr w:type="spellEnd"/>
            <w:r w:rsidRPr="00276B30">
              <w:rPr>
                <w:rFonts w:ascii="Calibri Light" w:hAnsi="Calibri Light" w:cs="Calibri Light"/>
                <w:sz w:val="20"/>
                <w:szCs w:val="20"/>
              </w:rPr>
              <w:t xml:space="preserve"> Commissioner; Australian Communications and Media Authority (ACMA); DFAT Cyber and Critical Tech Division</w:t>
            </w:r>
          </w:p>
        </w:tc>
        <w:tc>
          <w:tcPr>
            <w:tcW w:w="3827" w:type="dxa"/>
          </w:tcPr>
          <w:p w14:paraId="2281D5DE" w14:textId="77777777" w:rsidR="006A43AF" w:rsidRPr="004C3BD4" w:rsidRDefault="006A43AF" w:rsidP="00276DFF">
            <w:pPr>
              <w:tabs>
                <w:tab w:val="left" w:pos="284"/>
              </w:tabs>
              <w:suppressAutoHyphens w:val="0"/>
              <w:spacing w:before="0"/>
              <w:rPr>
                <w:rFonts w:ascii="Calibri Light" w:hAnsi="Calibri Light" w:cs="Calibri Light"/>
                <w:sz w:val="20"/>
                <w:szCs w:val="20"/>
                <w:lang w:val="en-AU"/>
              </w:rPr>
            </w:pPr>
            <w:r w:rsidRPr="006D1B0C">
              <w:rPr>
                <w:rFonts w:ascii="Calibri Light" w:hAnsi="Calibri Light" w:cs="Calibri Light"/>
                <w:sz w:val="20"/>
                <w:szCs w:val="20"/>
              </w:rPr>
              <w:t>Information integrity, online safety, countering mis/disinformation, digital literacy, platform accountability</w:t>
            </w:r>
          </w:p>
        </w:tc>
      </w:tr>
    </w:tbl>
    <w:p w14:paraId="53C86D99" w14:textId="010ADA2E" w:rsidR="00902F90" w:rsidRDefault="00902F90" w:rsidP="00902F90">
      <w:pPr>
        <w:tabs>
          <w:tab w:val="left" w:pos="284"/>
        </w:tabs>
        <w:suppressAutoHyphens w:val="0"/>
        <w:spacing w:before="0" w:line="280" w:lineRule="exact"/>
        <w:rPr>
          <w:i/>
          <w:iCs/>
          <w:sz w:val="20"/>
          <w:szCs w:val="20"/>
          <w:lang w:val="en-AU"/>
        </w:rPr>
      </w:pPr>
      <w:r w:rsidRPr="005C1784">
        <w:rPr>
          <w:i/>
          <w:iCs/>
          <w:sz w:val="20"/>
          <w:szCs w:val="20"/>
          <w:lang w:val="en-AU"/>
        </w:rPr>
        <w:t xml:space="preserve">*Subject to program resourcing and Australia-based stakeholders’ ability to </w:t>
      </w:r>
      <w:r w:rsidR="00587B9B">
        <w:rPr>
          <w:i/>
          <w:iCs/>
          <w:sz w:val="20"/>
          <w:szCs w:val="20"/>
          <w:lang w:val="en-AU"/>
        </w:rPr>
        <w:t>resource participation</w:t>
      </w:r>
      <w:r w:rsidR="00A651EE">
        <w:rPr>
          <w:i/>
          <w:iCs/>
          <w:sz w:val="20"/>
          <w:szCs w:val="20"/>
          <w:lang w:val="en-AU"/>
        </w:rPr>
        <w:t xml:space="preserve">. </w:t>
      </w:r>
      <w:r w:rsidR="00AF34E7">
        <w:rPr>
          <w:i/>
          <w:iCs/>
          <w:sz w:val="20"/>
          <w:szCs w:val="20"/>
          <w:lang w:val="en-AU"/>
        </w:rPr>
        <w:t xml:space="preserve">For subnational </w:t>
      </w:r>
      <w:r w:rsidR="005F3956">
        <w:rPr>
          <w:i/>
          <w:iCs/>
          <w:sz w:val="20"/>
          <w:szCs w:val="20"/>
          <w:lang w:val="en-AU"/>
        </w:rPr>
        <w:t>electoral bodies and parliaments, this would only be in</w:t>
      </w:r>
      <w:r w:rsidRPr="005C1784">
        <w:rPr>
          <w:i/>
          <w:iCs/>
          <w:sz w:val="20"/>
          <w:szCs w:val="20"/>
          <w:lang w:val="en-AU"/>
        </w:rPr>
        <w:t xml:space="preserve"> </w:t>
      </w:r>
      <w:proofErr w:type="spellStart"/>
      <w:r w:rsidR="00587B9B">
        <w:rPr>
          <w:i/>
          <w:iCs/>
          <w:sz w:val="20"/>
          <w:szCs w:val="20"/>
          <w:lang w:val="en-AU"/>
        </w:rPr>
        <w:t>Partisipasi</w:t>
      </w:r>
      <w:proofErr w:type="spellEnd"/>
      <w:r w:rsidR="00587B9B">
        <w:rPr>
          <w:i/>
          <w:iCs/>
          <w:sz w:val="20"/>
          <w:szCs w:val="20"/>
          <w:lang w:val="en-AU"/>
        </w:rPr>
        <w:t xml:space="preserve"> target</w:t>
      </w:r>
      <w:r w:rsidRPr="005C1784">
        <w:rPr>
          <w:i/>
          <w:iCs/>
          <w:sz w:val="20"/>
          <w:szCs w:val="20"/>
          <w:lang w:val="en-AU"/>
        </w:rPr>
        <w:t xml:space="preserve"> geographic areas</w:t>
      </w:r>
    </w:p>
    <w:p w14:paraId="7DBF86E6" w14:textId="419164B4" w:rsidR="00FD70A7" w:rsidRDefault="00902F90" w:rsidP="00966D66">
      <w:pPr>
        <w:tabs>
          <w:tab w:val="left" w:pos="284"/>
        </w:tabs>
        <w:suppressAutoHyphens w:val="0"/>
        <w:spacing w:line="240" w:lineRule="auto"/>
      </w:pPr>
      <w:r w:rsidRPr="46ACBC4E">
        <w:rPr>
          <w:lang w:val="en-AU"/>
        </w:rPr>
        <w:t>Each of t</w:t>
      </w:r>
      <w:r w:rsidR="00501555">
        <w:rPr>
          <w:lang w:val="en-AU"/>
        </w:rPr>
        <w:t>he</w:t>
      </w:r>
      <w:r w:rsidRPr="46ACBC4E">
        <w:rPr>
          <w:lang w:val="en-AU"/>
        </w:rPr>
        <w:t xml:space="preserve"> potential </w:t>
      </w:r>
      <w:proofErr w:type="spellStart"/>
      <w:r w:rsidR="00587B9B">
        <w:rPr>
          <w:lang w:val="en-AU"/>
        </w:rPr>
        <w:t>GoI</w:t>
      </w:r>
      <w:proofErr w:type="spellEnd"/>
      <w:r w:rsidR="00587B9B">
        <w:rPr>
          <w:lang w:val="en-AU"/>
        </w:rPr>
        <w:t xml:space="preserve"> </w:t>
      </w:r>
      <w:r w:rsidRPr="46ACBC4E">
        <w:rPr>
          <w:lang w:val="en-AU"/>
        </w:rPr>
        <w:t>partners</w:t>
      </w:r>
      <w:r w:rsidR="00501555">
        <w:rPr>
          <w:lang w:val="en-AU"/>
        </w:rPr>
        <w:t xml:space="preserve"> in Table 1</w:t>
      </w:r>
      <w:r w:rsidRPr="46ACBC4E">
        <w:rPr>
          <w:lang w:val="en-AU"/>
        </w:rPr>
        <w:t xml:space="preserve"> have expressed interest in receiving support through the </w:t>
      </w:r>
      <w:r w:rsidR="00031FA1">
        <w:rPr>
          <w:lang w:val="en-AU"/>
        </w:rPr>
        <w:t>p</w:t>
      </w:r>
      <w:r w:rsidRPr="46ACBC4E">
        <w:rPr>
          <w:lang w:val="en-AU"/>
        </w:rPr>
        <w:t xml:space="preserve">rogram and are particularly keen that the support be through meaningful peer-to-peer relationships (i.e. not a </w:t>
      </w:r>
      <w:r>
        <w:rPr>
          <w:lang w:val="en-AU"/>
        </w:rPr>
        <w:t>‘</w:t>
      </w:r>
      <w:r w:rsidRPr="46ACBC4E">
        <w:rPr>
          <w:lang w:val="en-AU"/>
        </w:rPr>
        <w:t>teacher</w:t>
      </w:r>
      <w:r>
        <w:rPr>
          <w:lang w:val="en-AU"/>
        </w:rPr>
        <w:t>-</w:t>
      </w:r>
      <w:r w:rsidRPr="46ACBC4E">
        <w:rPr>
          <w:lang w:val="en-AU"/>
        </w:rPr>
        <w:t>pupil</w:t>
      </w:r>
      <w:r>
        <w:rPr>
          <w:lang w:val="en-AU"/>
        </w:rPr>
        <w:t>’</w:t>
      </w:r>
      <w:r w:rsidRPr="46ACBC4E">
        <w:rPr>
          <w:lang w:val="en-AU"/>
        </w:rPr>
        <w:t xml:space="preserve"> approach). DFAT </w:t>
      </w:r>
      <w:r w:rsidR="00241BA0">
        <w:rPr>
          <w:lang w:val="en-AU"/>
        </w:rPr>
        <w:t>together with</w:t>
      </w:r>
      <w:r w:rsidR="00241BA0" w:rsidRPr="46ACBC4E">
        <w:rPr>
          <w:lang w:val="en-AU"/>
        </w:rPr>
        <w:t xml:space="preserve"> </w:t>
      </w:r>
      <w:r w:rsidRPr="46ACBC4E">
        <w:rPr>
          <w:lang w:val="en-AU"/>
        </w:rPr>
        <w:t xml:space="preserve">the </w:t>
      </w:r>
      <w:proofErr w:type="spellStart"/>
      <w:r w:rsidR="00D434E6">
        <w:rPr>
          <w:lang w:val="en-AU"/>
        </w:rPr>
        <w:t>GoI</w:t>
      </w:r>
      <w:proofErr w:type="spellEnd"/>
      <w:r w:rsidR="00D434E6">
        <w:rPr>
          <w:lang w:val="en-AU"/>
        </w:rPr>
        <w:t xml:space="preserve"> and </w:t>
      </w:r>
      <w:proofErr w:type="spellStart"/>
      <w:r w:rsidR="00D434E6">
        <w:rPr>
          <w:lang w:val="en-AU"/>
        </w:rPr>
        <w:t>GoA</w:t>
      </w:r>
      <w:proofErr w:type="spellEnd"/>
      <w:r w:rsidR="00D434E6">
        <w:rPr>
          <w:lang w:val="en-AU"/>
        </w:rPr>
        <w:t xml:space="preserve"> </w:t>
      </w:r>
      <w:r w:rsidRPr="46ACBC4E">
        <w:rPr>
          <w:lang w:val="en-AU"/>
        </w:rPr>
        <w:t>partner institution</w:t>
      </w:r>
      <w:r w:rsidR="00D434E6">
        <w:rPr>
          <w:lang w:val="en-AU"/>
        </w:rPr>
        <w:t>s</w:t>
      </w:r>
      <w:r w:rsidRPr="46ACBC4E">
        <w:rPr>
          <w:lang w:val="en-AU"/>
        </w:rPr>
        <w:t xml:space="preserve"> will co-design activities </w:t>
      </w:r>
      <w:r w:rsidR="00241BA0">
        <w:rPr>
          <w:lang w:val="en-AU"/>
        </w:rPr>
        <w:t>of mutual interest that respond to issues facing the institutions</w:t>
      </w:r>
      <w:r w:rsidR="00EC6A03">
        <w:rPr>
          <w:lang w:val="en-AU"/>
        </w:rPr>
        <w:t xml:space="preserve"> and that</w:t>
      </w:r>
      <w:r w:rsidRPr="46ACBC4E">
        <w:rPr>
          <w:lang w:val="en-AU"/>
        </w:rPr>
        <w:t xml:space="preserve"> support democratic resilience. </w:t>
      </w:r>
    </w:p>
    <w:p w14:paraId="264D2036" w14:textId="042F554D" w:rsidR="00763F54" w:rsidRDefault="00763F54" w:rsidP="00763F54">
      <w:pPr>
        <w:spacing w:after="0" w:line="240" w:lineRule="auto"/>
        <w:rPr>
          <w:lang w:val="en-AU" w:eastAsia="en-AU"/>
        </w:rPr>
      </w:pPr>
      <w:r w:rsidRPr="14878F4B">
        <w:rPr>
          <w:lang w:val="en-AU" w:eastAsia="en-AU"/>
        </w:rPr>
        <w:t>At this stage, AEC has engaged in discussions, noting that it has its own distinct</w:t>
      </w:r>
      <w:r w:rsidR="2E14FD5D" w:rsidRPr="14878F4B">
        <w:rPr>
          <w:lang w:val="en-AU" w:eastAsia="en-AU"/>
        </w:rPr>
        <w:t xml:space="preserve"> processes which includes Foreign Minister approval to engage internationally.  </w:t>
      </w:r>
      <w:r w:rsidRPr="14878F4B">
        <w:rPr>
          <w:lang w:val="en-AU" w:eastAsia="en-AU"/>
        </w:rPr>
        <w:t xml:space="preserve">On inception the program </w:t>
      </w:r>
      <w:r w:rsidR="0051342B">
        <w:rPr>
          <w:lang w:val="en-AU" w:eastAsia="en-AU"/>
        </w:rPr>
        <w:t>will</w:t>
      </w:r>
      <w:r w:rsidR="163990D0" w:rsidRPr="14878F4B">
        <w:rPr>
          <w:lang w:val="en-AU" w:eastAsia="en-AU"/>
        </w:rPr>
        <w:t xml:space="preserve"> </w:t>
      </w:r>
      <w:r w:rsidRPr="14878F4B">
        <w:rPr>
          <w:lang w:val="en-AU" w:eastAsia="en-AU"/>
        </w:rPr>
        <w:t>continue to engage with AEC to s</w:t>
      </w:r>
      <w:r w:rsidR="6B026B24" w:rsidRPr="14878F4B">
        <w:rPr>
          <w:lang w:val="en-AU" w:eastAsia="en-AU"/>
        </w:rPr>
        <w:t>ee</w:t>
      </w:r>
      <w:r w:rsidR="70B2A21F" w:rsidRPr="14878F4B">
        <w:rPr>
          <w:lang w:val="en-AU" w:eastAsia="en-AU"/>
        </w:rPr>
        <w:t xml:space="preserve"> </w:t>
      </w:r>
      <w:r w:rsidR="6B026B24" w:rsidRPr="14878F4B">
        <w:rPr>
          <w:lang w:val="en-AU" w:eastAsia="en-AU"/>
        </w:rPr>
        <w:t>the process through</w:t>
      </w:r>
      <w:r w:rsidRPr="14878F4B">
        <w:rPr>
          <w:lang w:val="en-AU" w:eastAsia="en-AU"/>
        </w:rPr>
        <w:t xml:space="preserve">.  </w:t>
      </w:r>
      <w:r w:rsidR="00057587">
        <w:rPr>
          <w:lang w:val="en-AU" w:eastAsia="en-AU"/>
        </w:rPr>
        <w:t>During</w:t>
      </w:r>
      <w:r w:rsidRPr="14878F4B">
        <w:rPr>
          <w:lang w:val="en-AU" w:eastAsia="en-AU"/>
        </w:rPr>
        <w:t xml:space="preserve"> inception, DFAT will </w:t>
      </w:r>
      <w:r w:rsidR="0051342B">
        <w:rPr>
          <w:lang w:val="en-AU" w:eastAsia="en-AU"/>
        </w:rPr>
        <w:t>consult</w:t>
      </w:r>
      <w:r w:rsidRPr="14878F4B">
        <w:rPr>
          <w:lang w:val="en-AU" w:eastAsia="en-AU"/>
        </w:rPr>
        <w:t xml:space="preserve"> with the Australian International Parliamentary Relations Office (IPRO)</w:t>
      </w:r>
      <w:r w:rsidR="00057587">
        <w:rPr>
          <w:lang w:val="en-AU" w:eastAsia="en-AU"/>
        </w:rPr>
        <w:t xml:space="preserve"> </w:t>
      </w:r>
      <w:r w:rsidR="00A423DB" w:rsidRPr="00B57CB6">
        <w:t>to test feasibility and refine the approach.</w:t>
      </w:r>
      <w:r w:rsidR="00C436F3">
        <w:t xml:space="preserve"> </w:t>
      </w:r>
    </w:p>
    <w:p w14:paraId="613CF609" w14:textId="01206E3E" w:rsidR="00902F90" w:rsidRPr="003F3A99" w:rsidRDefault="00902F90" w:rsidP="00847DAB">
      <w:pPr>
        <w:pStyle w:val="Heading2Numbered"/>
      </w:pPr>
      <w:bookmarkStart w:id="129" w:name="_Toc208223948"/>
      <w:bookmarkStart w:id="130" w:name="_Toc232524274"/>
      <w:r w:rsidRPr="002F1341">
        <w:t>Component</w:t>
      </w:r>
      <w:r w:rsidRPr="003F3A99">
        <w:t xml:space="preserve"> </w:t>
      </w:r>
      <w:r w:rsidR="00DC3585">
        <w:t>2</w:t>
      </w:r>
      <w:r w:rsidR="00DC3585" w:rsidRPr="003F3A99">
        <w:t xml:space="preserve"> </w:t>
      </w:r>
      <w:r w:rsidRPr="003F3A99">
        <w:t>–</w:t>
      </w:r>
      <w:r w:rsidR="00F022AE">
        <w:t xml:space="preserve"> </w:t>
      </w:r>
      <w:r w:rsidRPr="003F3A99">
        <w:t xml:space="preserve">Civil Society </w:t>
      </w:r>
      <w:bookmarkEnd w:id="129"/>
      <w:r w:rsidRPr="003F3A99">
        <w:t>Partnership</w:t>
      </w:r>
      <w:r w:rsidR="00CE72C0">
        <w:t xml:space="preserve"> (CSP)</w:t>
      </w:r>
      <w:bookmarkEnd w:id="130"/>
    </w:p>
    <w:p w14:paraId="7AB799A6" w14:textId="41220806" w:rsidR="00902F90" w:rsidRDefault="007F4E1C" w:rsidP="00902F90">
      <w:pPr>
        <w:tabs>
          <w:tab w:val="left" w:pos="284"/>
        </w:tabs>
        <w:suppressAutoHyphens w:val="0"/>
        <w:spacing w:before="0" w:line="280" w:lineRule="exact"/>
        <w:rPr>
          <w:lang w:val="en-AU"/>
        </w:rPr>
      </w:pPr>
      <w:r>
        <w:rPr>
          <w:noProof/>
        </w:rPr>
        <mc:AlternateContent>
          <mc:Choice Requires="wps">
            <w:drawing>
              <wp:anchor distT="0" distB="0" distL="114300" distR="114300" simplePos="0" relativeHeight="251661824" behindDoc="0" locked="0" layoutInCell="1" allowOverlap="1" wp14:anchorId="0791CAFA" wp14:editId="6D20E137">
                <wp:simplePos x="0" y="0"/>
                <wp:positionH relativeFrom="column">
                  <wp:posOffset>-1270</wp:posOffset>
                </wp:positionH>
                <wp:positionV relativeFrom="paragraph">
                  <wp:posOffset>1505585</wp:posOffset>
                </wp:positionV>
                <wp:extent cx="3157220" cy="304800"/>
                <wp:effectExtent l="0" t="0" r="5080" b="0"/>
                <wp:wrapSquare wrapText="bothSides"/>
                <wp:docPr id="1492976065" name="Text Box 1"/>
                <wp:cNvGraphicFramePr/>
                <a:graphic xmlns:a="http://schemas.openxmlformats.org/drawingml/2006/main">
                  <a:graphicData uri="http://schemas.microsoft.com/office/word/2010/wordprocessingShape">
                    <wps:wsp>
                      <wps:cNvSpPr txBox="1"/>
                      <wps:spPr>
                        <a:xfrm>
                          <a:off x="0" y="0"/>
                          <a:ext cx="3157220" cy="304800"/>
                        </a:xfrm>
                        <a:prstGeom prst="rect">
                          <a:avLst/>
                        </a:prstGeom>
                        <a:solidFill>
                          <a:prstClr val="white"/>
                        </a:solidFill>
                        <a:ln>
                          <a:noFill/>
                        </a:ln>
                      </wps:spPr>
                      <wps:txbx>
                        <w:txbxContent>
                          <w:p w14:paraId="2745444F" w14:textId="1023DFB3" w:rsidR="00F30ADF" w:rsidRDefault="00F30ADF" w:rsidP="00F30ADF">
                            <w:pPr>
                              <w:pStyle w:val="Caption"/>
                            </w:pPr>
                            <w:r>
                              <w:t>Figure</w:t>
                            </w:r>
                            <w:r w:rsidR="00B44BB5">
                              <w:t xml:space="preserve"> </w:t>
                            </w:r>
                            <w:r w:rsidR="00576773">
                              <w:t>2</w:t>
                            </w:r>
                            <w:r>
                              <w:t>: Civil Society Partnership (CSP)</w:t>
                            </w:r>
                          </w:p>
                          <w:p w14:paraId="35FD9D4D" w14:textId="77777777" w:rsidR="007C5C90" w:rsidRPr="007C5C90" w:rsidRDefault="007C5C90" w:rsidP="007C5C9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1CAFA" id="_x0000_t202" coordsize="21600,21600" o:spt="202" path="m,l,21600r21600,l21600,xe">
                <v:stroke joinstyle="miter"/>
                <v:path gradientshapeok="t" o:connecttype="rect"/>
              </v:shapetype>
              <v:shape id="Text Box 1" o:spid="_x0000_s1026" type="#_x0000_t202" style="position:absolute;margin-left:-.1pt;margin-top:118.55pt;width:248.6pt;height: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" stroked="f">
                <v:textbox inset="0,0,0,0">
                  <w:txbxContent>
                    <w:p w14:paraId="2745444F" w14:textId="1023DFB3" w:rsidR="00F30ADF" w:rsidRDefault="00F30ADF" w:rsidP="00F30ADF">
                      <w:pPr>
                        <w:pStyle w:val="Caption"/>
                      </w:pPr>
                      <w:r>
                        <w:t>Figure</w:t>
                      </w:r>
                      <w:r w:rsidR="00B44BB5">
                        <w:t xml:space="preserve"> </w:t>
                      </w:r>
                      <w:r w:rsidR="00576773">
                        <w:t>2</w:t>
                      </w:r>
                      <w:r>
                        <w:t>: Civil Society Partnership (CSP)</w:t>
                      </w:r>
                    </w:p>
                    <w:p w14:paraId="35FD9D4D" w14:textId="77777777" w:rsidR="007C5C90" w:rsidRPr="007C5C90" w:rsidRDefault="007C5C90" w:rsidP="007C5C90"/>
                  </w:txbxContent>
                </v:textbox>
                <w10:wrap type="square"/>
              </v:shape>
            </w:pict>
          </mc:Fallback>
        </mc:AlternateContent>
      </w:r>
      <w:r w:rsidR="00902F90">
        <w:rPr>
          <w:lang w:val="en-AU"/>
        </w:rPr>
        <w:t xml:space="preserve">Component </w:t>
      </w:r>
      <w:r w:rsidR="00DC3585">
        <w:rPr>
          <w:lang w:val="en-AU"/>
        </w:rPr>
        <w:t xml:space="preserve">2 </w:t>
      </w:r>
      <w:r w:rsidR="00902F90">
        <w:rPr>
          <w:lang w:val="en-AU"/>
        </w:rPr>
        <w:t>will see the establishment of a cascading network of partnerships between civil society actors</w:t>
      </w:r>
      <w:r w:rsidR="00D93927">
        <w:rPr>
          <w:lang w:val="en-AU"/>
        </w:rPr>
        <w:t xml:space="preserve"> </w:t>
      </w:r>
      <w:r w:rsidR="00902F90">
        <w:rPr>
          <w:lang w:val="en-AU"/>
        </w:rPr>
        <w:t>and invest in their activities whil</w:t>
      </w:r>
      <w:r w:rsidR="00C84C43">
        <w:rPr>
          <w:lang w:val="en-AU"/>
        </w:rPr>
        <w:t>e</w:t>
      </w:r>
      <w:r w:rsidR="00902F90">
        <w:rPr>
          <w:lang w:val="en-AU"/>
        </w:rPr>
        <w:t xml:space="preserve"> also strengthening the ties between them. The first purpose of the CSP is to facilitate the networking between different pillars of civil society</w:t>
      </w:r>
      <w:r w:rsidR="00B13A13">
        <w:rPr>
          <w:lang w:val="en-AU"/>
        </w:rPr>
        <w:t>,</w:t>
      </w:r>
      <w:r w:rsidR="00902F90">
        <w:rPr>
          <w:lang w:val="en-AU"/>
        </w:rPr>
        <w:t xml:space="preserve"> such as media, academia, or community-based organisations, and support networks to implement activities that strengthen democratic participation </w:t>
      </w:r>
      <w:r w:rsidR="003161E8">
        <w:rPr>
          <w:lang w:val="en-AU"/>
        </w:rPr>
        <w:t xml:space="preserve">and resilience. It </w:t>
      </w:r>
      <w:r w:rsidR="00834C0A" w:rsidRPr="00566FEE">
        <w:t>will</w:t>
      </w:r>
      <w:r w:rsidR="003161E8">
        <w:t xml:space="preserve"> also</w:t>
      </w:r>
      <w:r w:rsidR="00834C0A" w:rsidRPr="00566FEE">
        <w:t xml:space="preserve"> deliver institutional strengthening activities with </w:t>
      </w:r>
      <w:proofErr w:type="spellStart"/>
      <w:r w:rsidR="00834C0A">
        <w:t>GoI</w:t>
      </w:r>
      <w:proofErr w:type="spellEnd"/>
      <w:r w:rsidR="00834C0A" w:rsidRPr="00566FEE">
        <w:t xml:space="preserve"> counterparts (EOPO1) and support collaborative dialogue and action between state and non-state actors under EOPO3.</w:t>
      </w:r>
      <w:r w:rsidR="003161E8">
        <w:t xml:space="preserve"> </w:t>
      </w:r>
      <w:r w:rsidR="00902F90">
        <w:rPr>
          <w:lang w:val="en-AU"/>
        </w:rPr>
        <w:t xml:space="preserve">A secondary function is to act as a streamlined vehicle for channelling DFAT grant funding to diverse civil society stakeholders for work on initiatives </w:t>
      </w:r>
      <w:r w:rsidR="00C44448">
        <w:rPr>
          <w:lang w:val="en-AU"/>
        </w:rPr>
        <w:t>that contribute to all three EOPOs</w:t>
      </w:r>
      <w:r w:rsidR="00902F90">
        <w:rPr>
          <w:lang w:val="en-AU"/>
        </w:rPr>
        <w:t xml:space="preserve">. </w:t>
      </w:r>
    </w:p>
    <w:p w14:paraId="0F771795" w14:textId="77777777" w:rsidR="007C5C90" w:rsidRDefault="007C5C90" w:rsidP="00BA5EF5">
      <w:pPr>
        <w:tabs>
          <w:tab w:val="left" w:pos="284"/>
        </w:tabs>
        <w:suppressAutoHyphens w:val="0"/>
        <w:spacing w:before="0" w:line="360" w:lineRule="auto"/>
        <w:jc w:val="center"/>
        <w:rPr>
          <w:noProof/>
          <w:lang w:val="en-AU"/>
        </w:rPr>
      </w:pPr>
    </w:p>
    <w:p w14:paraId="3360AE2E" w14:textId="48A44FBD" w:rsidR="007F4E1C" w:rsidRDefault="007C5C90" w:rsidP="00BA5EF5">
      <w:pPr>
        <w:tabs>
          <w:tab w:val="left" w:pos="284"/>
        </w:tabs>
        <w:suppressAutoHyphens w:val="0"/>
        <w:spacing w:before="0" w:line="360" w:lineRule="auto"/>
        <w:jc w:val="center"/>
        <w:rPr>
          <w:lang w:val="en-AU"/>
        </w:rPr>
      </w:pPr>
      <w:r>
        <w:rPr>
          <w:noProof/>
          <w:lang w:val="en-AU"/>
        </w:rPr>
        <w:drawing>
          <wp:inline distT="0" distB="0" distL="0" distR="0" wp14:anchorId="416113D4" wp14:editId="1C1BFF43">
            <wp:extent cx="4905607" cy="3170711"/>
            <wp:effectExtent l="0" t="0" r="0" b="0"/>
            <wp:docPr id="1965104958" name="Picture 23" descr="Image of Civil Society Partnership (CSP). See Annex M for written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104958" name="Picture 23" descr="Image of Civil Society Partnership (CSP). See Annex M for written versio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21646" cy="3181078"/>
                    </a:xfrm>
                    <a:prstGeom prst="rect">
                      <a:avLst/>
                    </a:prstGeom>
                    <a:noFill/>
                  </pic:spPr>
                </pic:pic>
              </a:graphicData>
            </a:graphic>
          </wp:inline>
        </w:drawing>
      </w:r>
    </w:p>
    <w:p w14:paraId="708E6219" w14:textId="1F06FB4C" w:rsidR="00902F90" w:rsidRDefault="00902F90" w:rsidP="00902F90">
      <w:pPr>
        <w:tabs>
          <w:tab w:val="left" w:pos="284"/>
        </w:tabs>
        <w:suppressAutoHyphens w:val="0"/>
        <w:spacing w:before="0" w:line="280" w:lineRule="exact"/>
        <w:rPr>
          <w:lang w:val="en-AU"/>
        </w:rPr>
      </w:pPr>
      <w:r>
        <w:rPr>
          <w:lang w:val="en-AU"/>
        </w:rPr>
        <w:lastRenderedPageBreak/>
        <w:t xml:space="preserve">The CSP </w:t>
      </w:r>
      <w:r w:rsidRPr="00C50CCA">
        <w:rPr>
          <w:lang w:val="en-AU"/>
        </w:rPr>
        <w:t xml:space="preserve">will comprise </w:t>
      </w:r>
      <w:r w:rsidR="00A15784">
        <w:rPr>
          <w:lang w:val="en-AU"/>
        </w:rPr>
        <w:t xml:space="preserve">of a </w:t>
      </w:r>
      <w:r w:rsidR="00A15784">
        <w:rPr>
          <w:b/>
          <w:bCs/>
          <w:lang w:val="en-AU"/>
        </w:rPr>
        <w:t xml:space="preserve">Convenor </w:t>
      </w:r>
      <w:r w:rsidR="00A15784">
        <w:rPr>
          <w:lang w:val="en-AU"/>
        </w:rPr>
        <w:t xml:space="preserve">and </w:t>
      </w:r>
      <w:r w:rsidRPr="00685E41">
        <w:rPr>
          <w:b/>
          <w:bCs/>
          <w:lang w:val="en-AU"/>
        </w:rPr>
        <w:t xml:space="preserve">Core Group </w:t>
      </w:r>
      <w:r w:rsidR="005F234A" w:rsidRPr="00685E41">
        <w:rPr>
          <w:b/>
          <w:bCs/>
          <w:lang w:val="en-AU"/>
        </w:rPr>
        <w:t>P</w:t>
      </w:r>
      <w:r w:rsidRPr="00685E41">
        <w:rPr>
          <w:b/>
          <w:bCs/>
          <w:lang w:val="en-AU"/>
        </w:rPr>
        <w:t>artners</w:t>
      </w:r>
      <w:r>
        <w:rPr>
          <w:lang w:val="en-AU"/>
        </w:rPr>
        <w:t xml:space="preserve"> and a range of </w:t>
      </w:r>
      <w:r w:rsidRPr="00685E41">
        <w:rPr>
          <w:b/>
          <w:bCs/>
          <w:lang w:val="en-AU"/>
        </w:rPr>
        <w:t>Collaboration Partners</w:t>
      </w:r>
      <w:r>
        <w:rPr>
          <w:lang w:val="en-AU"/>
        </w:rPr>
        <w:t xml:space="preserve">. Partners will be anchored locally. </w:t>
      </w:r>
    </w:p>
    <w:p w14:paraId="275A3F4D" w14:textId="001F37EB" w:rsidR="00F30ADF" w:rsidRDefault="00F30ADF" w:rsidP="00F30ADF">
      <w:pPr>
        <w:tabs>
          <w:tab w:val="left" w:pos="284"/>
        </w:tabs>
        <w:suppressAutoHyphens w:val="0"/>
        <w:spacing w:before="0" w:line="280" w:lineRule="exact"/>
        <w:rPr>
          <w:lang w:val="en-AU"/>
        </w:rPr>
      </w:pPr>
      <w:r w:rsidRPr="003759F6">
        <w:rPr>
          <w:lang w:val="en-AU"/>
        </w:rPr>
        <w:t xml:space="preserve">Core Group </w:t>
      </w:r>
      <w:r w:rsidR="00AE6FD1">
        <w:rPr>
          <w:lang w:val="en-AU"/>
        </w:rPr>
        <w:t xml:space="preserve">Partners </w:t>
      </w:r>
      <w:r w:rsidRPr="003759F6">
        <w:rPr>
          <w:lang w:val="en-AU"/>
        </w:rPr>
        <w:t xml:space="preserve">will </w:t>
      </w:r>
      <w:r w:rsidR="00206EED">
        <w:rPr>
          <w:lang w:val="en-AU"/>
        </w:rPr>
        <w:t>include</w:t>
      </w:r>
      <w:r w:rsidRPr="003759F6">
        <w:rPr>
          <w:lang w:val="en-AU"/>
        </w:rPr>
        <w:t xml:space="preserve"> partners that </w:t>
      </w:r>
      <w:r w:rsidR="00206EED">
        <w:rPr>
          <w:lang w:val="en-AU"/>
        </w:rPr>
        <w:t>are already active in democratic participation</w:t>
      </w:r>
      <w:r w:rsidR="00206EED" w:rsidRPr="003759F6">
        <w:rPr>
          <w:lang w:val="en-AU"/>
        </w:rPr>
        <w:t xml:space="preserve"> </w:t>
      </w:r>
      <w:r w:rsidR="00206EED">
        <w:rPr>
          <w:lang w:val="en-AU"/>
        </w:rPr>
        <w:t>and will represent</w:t>
      </w:r>
      <w:r w:rsidRPr="003759F6">
        <w:rPr>
          <w:lang w:val="en-AU"/>
        </w:rPr>
        <w:t xml:space="preserve"> different elements of civil society that are important to Indonesia’s democratic resilience</w:t>
      </w:r>
      <w:r w:rsidR="00550EAA">
        <w:rPr>
          <w:lang w:val="en-AU"/>
        </w:rPr>
        <w:t>, such as</w:t>
      </w:r>
      <w:r w:rsidRPr="003759F6">
        <w:rPr>
          <w:lang w:val="en-AU"/>
        </w:rPr>
        <w:t xml:space="preserve"> community-based organisations, NGOs, media</w:t>
      </w:r>
      <w:r w:rsidR="00550EAA">
        <w:rPr>
          <w:lang w:val="en-AU"/>
        </w:rPr>
        <w:t xml:space="preserve"> organisations</w:t>
      </w:r>
      <w:r w:rsidRPr="003759F6">
        <w:rPr>
          <w:lang w:val="en-AU"/>
        </w:rPr>
        <w:t xml:space="preserve">, universities and think tanks. </w:t>
      </w:r>
      <w:r w:rsidR="00963B4B">
        <w:rPr>
          <w:lang w:val="en-AU"/>
        </w:rPr>
        <w:t>Core Group Partners are likely to lead a focus area but may also manage activities across multiple focus areas, with all partners potentially contributing to ‘countering mis/disinformation’.</w:t>
      </w:r>
    </w:p>
    <w:p w14:paraId="4C3B3414" w14:textId="6F55CB9F" w:rsidR="00F30ADF" w:rsidRDefault="00AE6FD1" w:rsidP="00F30ADF">
      <w:pPr>
        <w:tabs>
          <w:tab w:val="left" w:pos="0"/>
        </w:tabs>
        <w:suppressAutoHyphens w:val="0"/>
        <w:spacing w:before="0" w:line="280" w:lineRule="exact"/>
        <w:rPr>
          <w:lang w:val="en-AU"/>
        </w:rPr>
      </w:pPr>
      <w:bookmarkStart w:id="131" w:name="_Toc206151470"/>
      <w:bookmarkStart w:id="132" w:name="_Toc206152380"/>
      <w:bookmarkStart w:id="133" w:name="_Toc206152527"/>
      <w:bookmarkStart w:id="134" w:name="_Toc206152701"/>
      <w:bookmarkStart w:id="135" w:name="_Toc206152879"/>
      <w:bookmarkStart w:id="136" w:name="_Toc206153038"/>
      <w:bookmarkStart w:id="137" w:name="_Toc206153196"/>
      <w:bookmarkStart w:id="138" w:name="_Toc206162081"/>
      <w:bookmarkStart w:id="139" w:name="_Toc206162263"/>
      <w:bookmarkStart w:id="140" w:name="_Toc206162637"/>
      <w:bookmarkStart w:id="141" w:name="_Toc206163699"/>
      <w:bookmarkStart w:id="142" w:name="_Toc206163876"/>
      <w:bookmarkEnd w:id="131"/>
      <w:bookmarkEnd w:id="132"/>
      <w:bookmarkEnd w:id="133"/>
      <w:bookmarkEnd w:id="134"/>
      <w:bookmarkEnd w:id="135"/>
      <w:bookmarkEnd w:id="136"/>
      <w:bookmarkEnd w:id="137"/>
      <w:bookmarkEnd w:id="138"/>
      <w:bookmarkEnd w:id="139"/>
      <w:bookmarkEnd w:id="140"/>
      <w:bookmarkEnd w:id="141"/>
      <w:bookmarkEnd w:id="142"/>
      <w:r>
        <w:rPr>
          <w:lang w:val="en-AU"/>
        </w:rPr>
        <w:t xml:space="preserve">The </w:t>
      </w:r>
      <w:r w:rsidR="00F30ADF">
        <w:rPr>
          <w:lang w:val="en-AU"/>
        </w:rPr>
        <w:t xml:space="preserve">Core Group </w:t>
      </w:r>
      <w:r>
        <w:rPr>
          <w:lang w:val="en-AU"/>
        </w:rPr>
        <w:t xml:space="preserve">will </w:t>
      </w:r>
      <w:r w:rsidR="00D94313">
        <w:rPr>
          <w:lang w:val="en-AU"/>
        </w:rPr>
        <w:t xml:space="preserve">work with Collaboration Partners, which includes their existing networks with other </w:t>
      </w:r>
      <w:r w:rsidR="00451678">
        <w:rPr>
          <w:lang w:val="en-AU"/>
        </w:rPr>
        <w:t>organisations in</w:t>
      </w:r>
      <w:r w:rsidR="00D94313">
        <w:rPr>
          <w:lang w:val="en-AU"/>
        </w:rPr>
        <w:t xml:space="preserve"> this sector, as well as potential new partners. </w:t>
      </w:r>
      <w:r w:rsidR="00F30ADF">
        <w:rPr>
          <w:lang w:val="en-AU"/>
        </w:rPr>
        <w:t>These may include formal downstream partners that implement activities for the program, either nationally or sub</w:t>
      </w:r>
      <w:r w:rsidR="00534003">
        <w:rPr>
          <w:lang w:val="en-AU"/>
        </w:rPr>
        <w:t>-</w:t>
      </w:r>
      <w:r w:rsidR="00F30ADF">
        <w:rPr>
          <w:lang w:val="en-AU"/>
        </w:rPr>
        <w:t xml:space="preserve">nationally, as well as sector partners that may not be implementing activities directly but are important stakeholders in supporting democratic participation. For example, there may be media groups that are not implementing activities for </w:t>
      </w:r>
      <w:proofErr w:type="spellStart"/>
      <w:r w:rsidR="00F30ADF" w:rsidRPr="00D84A7F">
        <w:rPr>
          <w:iCs/>
          <w:lang w:val="en-AU"/>
        </w:rPr>
        <w:t>Partisipasi</w:t>
      </w:r>
      <w:proofErr w:type="spellEnd"/>
      <w:r w:rsidR="00F30ADF">
        <w:rPr>
          <w:iCs/>
          <w:lang w:val="en-AU"/>
        </w:rPr>
        <w:t xml:space="preserve"> but</w:t>
      </w:r>
      <w:r w:rsidR="00F30ADF">
        <w:rPr>
          <w:lang w:val="en-AU"/>
        </w:rPr>
        <w:t xml:space="preserve"> are important Collaboration Partners in other ways, such as policy dialogue or knowledge sharing. Other Collaboration Partners could include organisations unsuccessful in their application to become a Core Group Partner, legal aid groups, or mass-based religious organisations. This flexibility ensures that groups who may not have the capacity (or desire) to manage a DFAT grant are not excluded from the network of </w:t>
      </w:r>
      <w:proofErr w:type="spellStart"/>
      <w:r w:rsidR="00F30ADF" w:rsidRPr="00D84A7F">
        <w:rPr>
          <w:iCs/>
          <w:lang w:val="en-AU"/>
        </w:rPr>
        <w:t>Partisipasi</w:t>
      </w:r>
      <w:proofErr w:type="spellEnd"/>
      <w:r w:rsidR="00F30ADF">
        <w:rPr>
          <w:lang w:val="en-AU"/>
        </w:rPr>
        <w:t xml:space="preserve"> stakeholders. </w:t>
      </w:r>
      <w:r w:rsidR="00F30ADF" w:rsidRPr="00CA55CE">
        <w:t xml:space="preserve">Where relevant, other DFAT or donor programs may also be considered </w:t>
      </w:r>
      <w:r w:rsidR="00F30ADF">
        <w:t>as C</w:t>
      </w:r>
      <w:r w:rsidR="00F30ADF" w:rsidRPr="00CA55CE">
        <w:t xml:space="preserve">ollaboration </w:t>
      </w:r>
      <w:r w:rsidR="00F30ADF">
        <w:t>P</w:t>
      </w:r>
      <w:r w:rsidR="00F30ADF" w:rsidRPr="00CA55CE">
        <w:t>artners</w:t>
      </w:r>
      <w:r w:rsidR="00F30ADF">
        <w:t xml:space="preserve">. </w:t>
      </w:r>
    </w:p>
    <w:p w14:paraId="44595835" w14:textId="555F6EA3" w:rsidR="00F307A8" w:rsidRDefault="00F307A8" w:rsidP="00F307A8">
      <w:pPr>
        <w:tabs>
          <w:tab w:val="left" w:pos="284"/>
        </w:tabs>
        <w:suppressAutoHyphens w:val="0"/>
        <w:spacing w:before="0" w:line="280" w:lineRule="exact"/>
        <w:rPr>
          <w:lang w:val="en-AU"/>
        </w:rPr>
      </w:pPr>
      <w:r>
        <w:rPr>
          <w:lang w:val="en-AU"/>
        </w:rPr>
        <w:t>DFAT will invite relevant local and international organisations to submit proposals to be a Convenor or Core Group Partner</w:t>
      </w:r>
      <w:r w:rsidR="00963B4B">
        <w:rPr>
          <w:lang w:val="en-AU"/>
        </w:rPr>
        <w:t xml:space="preserve"> through a single step Request for Proposal process</w:t>
      </w:r>
      <w:r>
        <w:rPr>
          <w:lang w:val="en-AU"/>
        </w:rPr>
        <w:t xml:space="preserve">. </w:t>
      </w:r>
    </w:p>
    <w:p w14:paraId="4A5BD79A" w14:textId="77777777" w:rsidR="00902F90" w:rsidRPr="00431CB6" w:rsidRDefault="00902F90" w:rsidP="00847DAB">
      <w:pPr>
        <w:pStyle w:val="Heading2Numbered"/>
        <w:rPr>
          <w:bCs w:val="0"/>
          <w:szCs w:val="38"/>
          <w:lang w:val="en-AU" w:eastAsia="en-AU"/>
        </w:rPr>
      </w:pPr>
      <w:bookmarkStart w:id="143" w:name="_Toc210657106"/>
      <w:bookmarkStart w:id="144" w:name="_Toc210657107"/>
      <w:bookmarkStart w:id="145" w:name="_Toc210657108"/>
      <w:bookmarkStart w:id="146" w:name="_Toc210657109"/>
      <w:bookmarkStart w:id="147" w:name="_Toc232524275"/>
      <w:bookmarkEnd w:id="143"/>
      <w:bookmarkEnd w:id="144"/>
      <w:bookmarkEnd w:id="145"/>
      <w:bookmarkEnd w:id="146"/>
      <w:r w:rsidRPr="00431CB6">
        <w:rPr>
          <w:szCs w:val="38"/>
          <w:lang w:val="en-AU" w:eastAsia="en-AU"/>
        </w:rPr>
        <w:t>Value for Money: Strategic Adaptation and Efficient Delivery</w:t>
      </w:r>
      <w:bookmarkEnd w:id="147"/>
    </w:p>
    <w:p w14:paraId="406B0916" w14:textId="686B8FC8" w:rsidR="00902F90" w:rsidRPr="006D2DA8" w:rsidRDefault="00902F90" w:rsidP="00902F90">
      <w:pPr>
        <w:tabs>
          <w:tab w:val="left" w:pos="284"/>
        </w:tabs>
        <w:suppressAutoHyphens w:val="0"/>
        <w:spacing w:before="0" w:line="280" w:lineRule="exact"/>
        <w:rPr>
          <w:lang w:val="en-AU"/>
        </w:rPr>
      </w:pPr>
      <w:proofErr w:type="spellStart"/>
      <w:r w:rsidRPr="006D2DA8">
        <w:rPr>
          <w:lang w:val="en-AU"/>
        </w:rPr>
        <w:t>Partisipasi’s</w:t>
      </w:r>
      <w:proofErr w:type="spellEnd"/>
      <w:r w:rsidRPr="006D2DA8">
        <w:rPr>
          <w:lang w:val="en-AU"/>
        </w:rPr>
        <w:t xml:space="preserve"> value</w:t>
      </w:r>
      <w:r w:rsidR="00831A67" w:rsidRPr="006D2DA8">
        <w:rPr>
          <w:lang w:val="en-AU"/>
        </w:rPr>
        <w:t>-</w:t>
      </w:r>
      <w:r w:rsidRPr="006D2DA8">
        <w:rPr>
          <w:lang w:val="en-AU"/>
        </w:rPr>
        <w:t>for</w:t>
      </w:r>
      <w:r w:rsidR="00831A67" w:rsidRPr="006D2DA8">
        <w:rPr>
          <w:lang w:val="en-AU"/>
        </w:rPr>
        <w:t>-</w:t>
      </w:r>
      <w:r w:rsidRPr="006D2DA8">
        <w:rPr>
          <w:lang w:val="en-AU"/>
        </w:rPr>
        <w:t xml:space="preserve">money approach reflects lessons from </w:t>
      </w:r>
      <w:proofErr w:type="spellStart"/>
      <w:r w:rsidRPr="006D2DA8">
        <w:rPr>
          <w:lang w:val="en-AU"/>
        </w:rPr>
        <w:t>DemRes</w:t>
      </w:r>
      <w:proofErr w:type="spellEnd"/>
      <w:r w:rsidRPr="006D2DA8">
        <w:rPr>
          <w:lang w:val="en-AU"/>
        </w:rPr>
        <w:t xml:space="preserve">: </w:t>
      </w:r>
      <w:r w:rsidRPr="009553BD">
        <w:rPr>
          <w:lang w:val="en-AU"/>
        </w:rPr>
        <w:t xml:space="preserve">strategic adaptation, not cost minimisation, </w:t>
      </w:r>
      <w:r w:rsidRPr="006D2DA8">
        <w:rPr>
          <w:lang w:val="en-AU"/>
        </w:rPr>
        <w:t>delivers the highest return. The program’s delivery model</w:t>
      </w:r>
      <w:r w:rsidR="000D5B25" w:rsidRPr="006D2DA8">
        <w:rPr>
          <w:lang w:val="en-AU"/>
        </w:rPr>
        <w:t xml:space="preserve"> </w:t>
      </w:r>
      <w:r w:rsidRPr="006D2DA8">
        <w:rPr>
          <w:lang w:val="en-AU"/>
        </w:rPr>
        <w:t xml:space="preserve">reduces duplication, concentrates expertise, and allows resources to shift quickly </w:t>
      </w:r>
      <w:r w:rsidR="00873F19" w:rsidRPr="006D2DA8">
        <w:rPr>
          <w:lang w:val="en-AU"/>
        </w:rPr>
        <w:t>in response to contextual changes</w:t>
      </w:r>
      <w:r w:rsidRPr="006D2DA8">
        <w:rPr>
          <w:lang w:val="en-AU"/>
        </w:rPr>
        <w:t>. This flexibility ensures that investments remain targeted, relevant and cost-efficient, while aligning with existing government platforms and CSO networks to minimise parallel structures and overheads.</w:t>
      </w:r>
    </w:p>
    <w:p w14:paraId="2EFDD9F4" w14:textId="0556BE90" w:rsidR="00B164FC" w:rsidRDefault="00902F90" w:rsidP="00902F90">
      <w:pPr>
        <w:tabs>
          <w:tab w:val="left" w:pos="284"/>
        </w:tabs>
        <w:suppressAutoHyphens w:val="0"/>
        <w:spacing w:before="0" w:line="280" w:lineRule="exact"/>
        <w:rPr>
          <w:lang w:val="en-AU"/>
        </w:rPr>
      </w:pPr>
      <w:r w:rsidRPr="004546B2">
        <w:rPr>
          <w:lang w:val="en-AU"/>
        </w:rPr>
        <w:t xml:space="preserve">Robust </w:t>
      </w:r>
      <w:r w:rsidR="002F3A22">
        <w:rPr>
          <w:lang w:val="en-AU"/>
        </w:rPr>
        <w:t xml:space="preserve">value-for-money </w:t>
      </w:r>
      <w:r w:rsidRPr="004546B2">
        <w:rPr>
          <w:lang w:val="en-AU"/>
        </w:rPr>
        <w:t>mechanisms are built into governance, procurement and MEL. Competitive partner selection and performance-based allocations will direct funds to high-performing, low-risk partners, while underperforming or high-risk arrangements can be re-profiled</w:t>
      </w:r>
      <w:r w:rsidR="00AA3BC8">
        <w:rPr>
          <w:lang w:val="en-AU"/>
        </w:rPr>
        <w:t xml:space="preserve"> or discontinued</w:t>
      </w:r>
      <w:r w:rsidRPr="004546B2">
        <w:rPr>
          <w:lang w:val="en-AU"/>
        </w:rPr>
        <w:t xml:space="preserve">. </w:t>
      </w:r>
      <w:r w:rsidR="00D04531">
        <w:rPr>
          <w:lang w:val="en-AU"/>
        </w:rPr>
        <w:t>P</w:t>
      </w:r>
      <w:r w:rsidR="00A96692">
        <w:rPr>
          <w:lang w:val="en-AU"/>
        </w:rPr>
        <w:t>rogram report</w:t>
      </w:r>
      <w:r w:rsidR="00D04531">
        <w:rPr>
          <w:lang w:val="en-AU"/>
        </w:rPr>
        <w:t>s</w:t>
      </w:r>
      <w:r w:rsidR="00400266">
        <w:rPr>
          <w:lang w:val="en-AU"/>
        </w:rPr>
        <w:t xml:space="preserve"> (including Risk Matrix, </w:t>
      </w:r>
      <w:r w:rsidR="00D04531">
        <w:rPr>
          <w:lang w:val="en-AU"/>
        </w:rPr>
        <w:t xml:space="preserve">six monthly </w:t>
      </w:r>
      <w:r w:rsidR="00400266">
        <w:rPr>
          <w:lang w:val="en-AU"/>
        </w:rPr>
        <w:t xml:space="preserve">progress reports and Partner </w:t>
      </w:r>
      <w:r w:rsidR="00EE7239">
        <w:rPr>
          <w:lang w:val="en-AU"/>
        </w:rPr>
        <w:t>P</w:t>
      </w:r>
      <w:r>
        <w:rPr>
          <w:lang w:val="en-AU"/>
        </w:rPr>
        <w:t xml:space="preserve">erformance </w:t>
      </w:r>
      <w:r w:rsidR="00EE7239">
        <w:rPr>
          <w:lang w:val="en-AU"/>
        </w:rPr>
        <w:t>A</w:t>
      </w:r>
      <w:r>
        <w:rPr>
          <w:lang w:val="en-AU"/>
        </w:rPr>
        <w:t>ssessment</w:t>
      </w:r>
      <w:r w:rsidRPr="004546B2">
        <w:rPr>
          <w:lang w:val="en-AU"/>
        </w:rPr>
        <w:t xml:space="preserve">) will guide </w:t>
      </w:r>
      <w:r w:rsidR="006D2DA8">
        <w:rPr>
          <w:lang w:val="en-AU"/>
        </w:rPr>
        <w:t xml:space="preserve">annual </w:t>
      </w:r>
      <w:r w:rsidRPr="004546B2">
        <w:rPr>
          <w:lang w:val="en-AU"/>
        </w:rPr>
        <w:t>resource decisions, ensuring spending follows evidence rather than fixed budgets. The MEL system will assess efficiency and inclusion alongside results, and delivery will leverage in-kind contributions, existing networks, and hybrid exchanges to reduce costs. Together, these measures ensure the investment remains efficient, accountable and responsive throughout implementation.</w:t>
      </w:r>
    </w:p>
    <w:p w14:paraId="60EAECF6" w14:textId="77777777" w:rsidR="00420E8A" w:rsidRDefault="00420E8A" w:rsidP="00847DAB">
      <w:pPr>
        <w:pStyle w:val="Heading2Numbered"/>
      </w:pPr>
      <w:bookmarkStart w:id="148" w:name="_Toc232524276"/>
      <w:r>
        <w:t>Geographic Locations</w:t>
      </w:r>
      <w:bookmarkEnd w:id="148"/>
    </w:p>
    <w:p w14:paraId="5429143D" w14:textId="10ED4BEA" w:rsidR="00420E8A" w:rsidRPr="001625F7" w:rsidRDefault="00420E8A" w:rsidP="001F4E2D">
      <w:pPr>
        <w:tabs>
          <w:tab w:val="left" w:pos="284"/>
        </w:tabs>
        <w:suppressAutoHyphens w:val="0"/>
        <w:spacing w:line="280" w:lineRule="exact"/>
        <w:rPr>
          <w:lang w:val="en-AU"/>
        </w:rPr>
      </w:pPr>
      <w:r>
        <w:rPr>
          <w:lang w:val="en-AU"/>
        </w:rPr>
        <w:t xml:space="preserve">The </w:t>
      </w:r>
      <w:proofErr w:type="spellStart"/>
      <w:r>
        <w:rPr>
          <w:lang w:val="en-AU"/>
        </w:rPr>
        <w:t>Partisipasi</w:t>
      </w:r>
      <w:proofErr w:type="spellEnd"/>
      <w:r>
        <w:rPr>
          <w:lang w:val="en-AU"/>
        </w:rPr>
        <w:t xml:space="preserve"> CSP will engage with partners and other stakeholders in Jakarta to address democratic participation at the national level, and in three subnational locations: Banda Aceh (Aceh Province), Makassar (South Sulawesi Province), and Yogyakarta (</w:t>
      </w:r>
      <w:r w:rsidRPr="00BE40DE">
        <w:rPr>
          <w:lang w:val="en-AU"/>
        </w:rPr>
        <w:t>Special Region of Yogyakarta</w:t>
      </w:r>
      <w:r>
        <w:rPr>
          <w:lang w:val="en-AU"/>
        </w:rPr>
        <w:t xml:space="preserve">). </w:t>
      </w:r>
      <w:r w:rsidRPr="00545A9C">
        <w:rPr>
          <w:lang w:val="en-AU"/>
        </w:rPr>
        <w:t>These locations are recommended for their significance</w:t>
      </w:r>
      <w:r w:rsidRPr="69B01520">
        <w:rPr>
          <w:lang w:val="en-AU"/>
        </w:rPr>
        <w:t xml:space="preserve"> in Indonesia’s political landscape</w:t>
      </w:r>
      <w:r w:rsidRPr="00545A9C">
        <w:rPr>
          <w:lang w:val="en-AU"/>
        </w:rPr>
        <w:t>, complementary civic and institutional ecosystems, and their potential to serve as testing grounds for scalable models of democratic resilience</w:t>
      </w:r>
      <w:r>
        <w:rPr>
          <w:lang w:val="en-AU"/>
        </w:rPr>
        <w:t xml:space="preserve"> and participation</w:t>
      </w:r>
      <w:r w:rsidR="00200C0F">
        <w:rPr>
          <w:lang w:val="en-AU"/>
        </w:rPr>
        <w:t xml:space="preserve"> (see </w:t>
      </w:r>
      <w:hyperlink w:anchor="AnnexF">
        <w:r w:rsidR="00200C0F" w:rsidRPr="69B01520">
          <w:rPr>
            <w:rStyle w:val="Hyperlink"/>
            <w:rFonts w:cstheme="minorBidi"/>
            <w:b/>
            <w:bCs/>
            <w:lang w:val="en-AU"/>
          </w:rPr>
          <w:t xml:space="preserve">Annex </w:t>
        </w:r>
        <w:r w:rsidR="002723A3">
          <w:rPr>
            <w:rStyle w:val="Hyperlink"/>
            <w:rFonts w:cstheme="minorBidi"/>
            <w:b/>
            <w:bCs/>
            <w:lang w:val="en-AU"/>
          </w:rPr>
          <w:t>F</w:t>
        </w:r>
        <w:r w:rsidR="00200C0F" w:rsidRPr="00200C0F">
          <w:t xml:space="preserve"> for details</w:t>
        </w:r>
        <w:r w:rsidR="00200C0F">
          <w:t>)</w:t>
        </w:r>
        <w:r w:rsidR="00200C0F" w:rsidRPr="00200C0F">
          <w:t>.</w:t>
        </w:r>
      </w:hyperlink>
      <w:r w:rsidRPr="00545A9C">
        <w:rPr>
          <w:lang w:val="en-AU"/>
        </w:rPr>
        <w:t xml:space="preserve"> This </w:t>
      </w:r>
      <w:r>
        <w:rPr>
          <w:lang w:val="en-AU"/>
        </w:rPr>
        <w:t>‘</w:t>
      </w:r>
      <w:r w:rsidRPr="00545A9C">
        <w:rPr>
          <w:lang w:val="en-AU"/>
        </w:rPr>
        <w:t>node-based</w:t>
      </w:r>
      <w:r>
        <w:rPr>
          <w:lang w:val="en-AU"/>
        </w:rPr>
        <w:t>’</w:t>
      </w:r>
      <w:r w:rsidRPr="00545A9C">
        <w:rPr>
          <w:lang w:val="en-AU"/>
        </w:rPr>
        <w:t xml:space="preserve"> approach reflects the program’s mandate to </w:t>
      </w:r>
      <w:r>
        <w:rPr>
          <w:lang w:val="en-AU"/>
        </w:rPr>
        <w:t xml:space="preserve">support </w:t>
      </w:r>
      <w:r w:rsidR="00200C0F">
        <w:rPr>
          <w:lang w:val="en-AU"/>
        </w:rPr>
        <w:t>locally led</w:t>
      </w:r>
      <w:r>
        <w:rPr>
          <w:lang w:val="en-AU"/>
        </w:rPr>
        <w:t xml:space="preserve"> </w:t>
      </w:r>
      <w:r>
        <w:rPr>
          <w:lang w:val="en-AU"/>
        </w:rPr>
        <w:lastRenderedPageBreak/>
        <w:t>approaches</w:t>
      </w:r>
      <w:r w:rsidRPr="00545A9C">
        <w:rPr>
          <w:lang w:val="en-AU"/>
        </w:rPr>
        <w:t xml:space="preserve">, while also enabling deep, context-specific learning that can inform broader institutional and policy change. </w:t>
      </w:r>
      <w:r>
        <w:rPr>
          <w:lang w:val="en-AU"/>
        </w:rPr>
        <w:t xml:space="preserve">However, </w:t>
      </w:r>
      <w:proofErr w:type="spellStart"/>
      <w:r>
        <w:rPr>
          <w:lang w:val="en-AU"/>
        </w:rPr>
        <w:t>Partisipasi</w:t>
      </w:r>
      <w:proofErr w:type="spellEnd"/>
      <w:r>
        <w:rPr>
          <w:lang w:val="en-AU"/>
        </w:rPr>
        <w:t xml:space="preserve"> will retain flexibility to fund activities in additional subnational locations</w:t>
      </w:r>
      <w:r>
        <w:t xml:space="preserve">, </w:t>
      </w:r>
      <w:r w:rsidRPr="00BD15CB">
        <w:t>such as media capacity building initiatives</w:t>
      </w:r>
      <w:r>
        <w:t>.</w:t>
      </w:r>
      <w:r>
        <w:rPr>
          <w:lang w:val="en-AU"/>
        </w:rPr>
        <w:t xml:space="preserve"> This will be subject to DFAT’s approval, </w:t>
      </w:r>
      <w:r w:rsidRPr="00A730BA">
        <w:t>with careful management to ensure the program does not spread too thin and clear communication with the CSP on priorities and scope</w:t>
      </w:r>
      <w:r>
        <w:rPr>
          <w:lang w:val="en-AU"/>
        </w:rPr>
        <w:t>.</w:t>
      </w:r>
      <w:r w:rsidR="00200C0F">
        <w:rPr>
          <w:lang w:val="en-AU"/>
        </w:rPr>
        <w:t xml:space="preserve"> </w:t>
      </w:r>
      <w:r w:rsidRPr="00200C0F">
        <w:rPr>
          <w:szCs w:val="21"/>
          <w:lang w:val="en-AU"/>
        </w:rPr>
        <w:t xml:space="preserve">Geographic focus areas will be confirmed </w:t>
      </w:r>
      <w:r w:rsidR="00200C0F" w:rsidRPr="00200C0F">
        <w:rPr>
          <w:szCs w:val="21"/>
          <w:lang w:val="en-AU"/>
        </w:rPr>
        <w:t>during inception</w:t>
      </w:r>
      <w:r w:rsidRPr="00200C0F">
        <w:rPr>
          <w:szCs w:val="21"/>
          <w:lang w:val="en-AU"/>
        </w:rPr>
        <w:t xml:space="preserve"> following further consultation with the </w:t>
      </w:r>
      <w:r w:rsidR="00200C0F">
        <w:rPr>
          <w:szCs w:val="21"/>
          <w:lang w:val="en-AU"/>
        </w:rPr>
        <w:t xml:space="preserve">Convenor, </w:t>
      </w:r>
      <w:r w:rsidRPr="00200C0F">
        <w:rPr>
          <w:szCs w:val="21"/>
          <w:lang w:val="en-AU"/>
        </w:rPr>
        <w:t xml:space="preserve">Core Group Partners and </w:t>
      </w:r>
      <w:proofErr w:type="spellStart"/>
      <w:r w:rsidRPr="00200C0F">
        <w:rPr>
          <w:szCs w:val="21"/>
          <w:lang w:val="en-AU"/>
        </w:rPr>
        <w:t>Bappenas</w:t>
      </w:r>
      <w:proofErr w:type="spellEnd"/>
      <w:r w:rsidRPr="00200C0F">
        <w:rPr>
          <w:szCs w:val="21"/>
          <w:lang w:val="en-AU"/>
        </w:rPr>
        <w:t>.</w:t>
      </w:r>
      <w:r w:rsidR="00200C0F">
        <w:rPr>
          <w:lang w:val="en-AU"/>
        </w:rPr>
        <w:t xml:space="preserve"> </w:t>
      </w:r>
    </w:p>
    <w:p w14:paraId="236B7F41" w14:textId="77777777" w:rsidR="00902F90" w:rsidRPr="00825BCF" w:rsidRDefault="00902F90" w:rsidP="00C5377B">
      <w:pPr>
        <w:pStyle w:val="Heading1Numbered"/>
        <w:spacing w:before="360"/>
        <w:ind w:left="357" w:hanging="357"/>
      </w:pPr>
      <w:bookmarkStart w:id="149" w:name="_Toc208223949"/>
      <w:bookmarkStart w:id="150" w:name="_Toc232524277"/>
      <w:r w:rsidRPr="00825BCF">
        <w:t>Implementation Arrangements</w:t>
      </w:r>
      <w:bookmarkEnd w:id="149"/>
      <w:bookmarkEnd w:id="150"/>
    </w:p>
    <w:p w14:paraId="75C83ECE" w14:textId="156AC5D8" w:rsidR="00CC7EB7" w:rsidRDefault="000D7EC3" w:rsidP="00847DAB">
      <w:pPr>
        <w:pStyle w:val="Heading2Numbered"/>
      </w:pPr>
      <w:bookmarkStart w:id="151" w:name="_Toc232524278"/>
      <w:bookmarkStart w:id="152" w:name="_Toc208223950"/>
      <w:r>
        <w:t>M</w:t>
      </w:r>
      <w:r w:rsidR="00CC7EB7">
        <w:t>anagement arrangements</w:t>
      </w:r>
      <w:bookmarkEnd w:id="151"/>
    </w:p>
    <w:p w14:paraId="6F0DBD9B" w14:textId="4BB7956A" w:rsidR="000E4790" w:rsidRDefault="00CC7EB7" w:rsidP="000F1937">
      <w:pPr>
        <w:tabs>
          <w:tab w:val="left" w:pos="284"/>
        </w:tabs>
        <w:suppressAutoHyphens w:val="0"/>
        <w:spacing w:before="0" w:line="280" w:lineRule="exact"/>
      </w:pPr>
      <w:r w:rsidRPr="00585EA4">
        <w:rPr>
          <w:b/>
          <w:bCs/>
          <w:lang w:val="en-AU"/>
        </w:rPr>
        <w:t xml:space="preserve">Component 1 </w:t>
      </w:r>
      <w:r w:rsidR="007F45E3">
        <w:rPr>
          <w:b/>
          <w:bCs/>
          <w:lang w:val="en-AU"/>
        </w:rPr>
        <w:t xml:space="preserve">(Institutional Partnerships) </w:t>
      </w:r>
      <w:r w:rsidRPr="00585EA4">
        <w:rPr>
          <w:b/>
          <w:bCs/>
          <w:lang w:val="en-AU"/>
        </w:rPr>
        <w:t>will be directly managed by DFAT with the assistance of a Program Support Unit (PSU)</w:t>
      </w:r>
      <w:r w:rsidRPr="00585EA4">
        <w:rPr>
          <w:b/>
          <w:bCs/>
        </w:rPr>
        <w:t xml:space="preserve">. </w:t>
      </w:r>
      <w:r w:rsidRPr="005B470A">
        <w:t xml:space="preserve">Direct DFAT management </w:t>
      </w:r>
      <w:r>
        <w:t xml:space="preserve">aligns with DFAT’s overseas mandate and </w:t>
      </w:r>
      <w:r w:rsidRPr="005B470A">
        <w:t xml:space="preserve">ensures that engagement with government institutions and parliamentarians is </w:t>
      </w:r>
      <w:r w:rsidRPr="000F1937">
        <w:rPr>
          <w:lang w:val="en-AU"/>
        </w:rPr>
        <w:t>aligned</w:t>
      </w:r>
      <w:r>
        <w:t xml:space="preserve"> with each side’s priorities</w:t>
      </w:r>
      <w:r w:rsidRPr="005B470A">
        <w:t>, recognising that facilitation of G2G programs cannot be fully outsourced to contractors</w:t>
      </w:r>
      <w:r w:rsidRPr="006029F6">
        <w:rPr>
          <w:lang w:val="en-AU"/>
        </w:rPr>
        <w:t xml:space="preserve">. </w:t>
      </w:r>
      <w:r w:rsidRPr="00C5377B">
        <w:t xml:space="preserve">The PSU will provide operational, administrative and logistical support </w:t>
      </w:r>
      <w:r w:rsidRPr="0029513D">
        <w:t xml:space="preserve">for this component, enabling DFAT to stay engaged at the diplomatic and strategic level. </w:t>
      </w:r>
      <w:r w:rsidR="00D83D2A">
        <w:t>A</w:t>
      </w:r>
      <w:r w:rsidR="006A56E7">
        <w:t xml:space="preserve"> </w:t>
      </w:r>
      <w:r w:rsidR="00D83D2A">
        <w:t>Contractor will recruit the PSU</w:t>
      </w:r>
      <w:r w:rsidR="006819C2">
        <w:t>.</w:t>
      </w:r>
    </w:p>
    <w:p w14:paraId="13C7F172" w14:textId="19F460DB" w:rsidR="00D81AA3" w:rsidRDefault="007F45E3" w:rsidP="007E736B">
      <w:pPr>
        <w:rPr>
          <w:lang w:val="en-AU"/>
        </w:rPr>
      </w:pPr>
      <w:r w:rsidRPr="00A316C0">
        <w:rPr>
          <w:b/>
          <w:bCs/>
        </w:rPr>
        <w:t xml:space="preserve">Component 2 (CSP) </w:t>
      </w:r>
      <w:r w:rsidR="006B3324" w:rsidRPr="00A316C0">
        <w:rPr>
          <w:b/>
          <w:bCs/>
        </w:rPr>
        <w:t>will be managed</w:t>
      </w:r>
      <w:r w:rsidR="00CC7EB7" w:rsidRPr="00A316C0">
        <w:rPr>
          <w:b/>
          <w:bCs/>
        </w:rPr>
        <w:t xml:space="preserve"> by a</w:t>
      </w:r>
      <w:r w:rsidR="00CC7EB7" w:rsidRPr="56401260">
        <w:t xml:space="preserve"> </w:t>
      </w:r>
      <w:r w:rsidR="00CC7EB7" w:rsidRPr="00685E41">
        <w:rPr>
          <w:b/>
          <w:bCs/>
        </w:rPr>
        <w:t>Convenor</w:t>
      </w:r>
      <w:r w:rsidR="006B3324">
        <w:t xml:space="preserve">, which is responsible </w:t>
      </w:r>
      <w:r w:rsidR="00CC7EB7" w:rsidRPr="084DF1A1">
        <w:rPr>
          <w:lang w:val="en-AU"/>
        </w:rPr>
        <w:t xml:space="preserve">for convening and facilitating the work of the Core Group </w:t>
      </w:r>
      <w:r w:rsidR="00627F47">
        <w:rPr>
          <w:lang w:val="en-AU"/>
        </w:rPr>
        <w:t>Partners</w:t>
      </w:r>
      <w:r w:rsidR="00CC7EB7" w:rsidRPr="084DF1A1">
        <w:rPr>
          <w:lang w:val="en-AU"/>
        </w:rPr>
        <w:t xml:space="preserve">, coordinating </w:t>
      </w:r>
      <w:r w:rsidR="00D263EF">
        <w:rPr>
          <w:lang w:val="en-AU"/>
        </w:rPr>
        <w:t>a four</w:t>
      </w:r>
      <w:r w:rsidR="006D75DE">
        <w:rPr>
          <w:lang w:val="en-AU"/>
        </w:rPr>
        <w:t>-</w:t>
      </w:r>
      <w:r w:rsidR="00D263EF">
        <w:rPr>
          <w:lang w:val="en-AU"/>
        </w:rPr>
        <w:t xml:space="preserve">year CSP </w:t>
      </w:r>
      <w:r w:rsidR="00CC7EB7" w:rsidRPr="084DF1A1">
        <w:rPr>
          <w:lang w:val="en-AU"/>
        </w:rPr>
        <w:t xml:space="preserve">strategy and </w:t>
      </w:r>
      <w:r w:rsidR="00D263EF">
        <w:rPr>
          <w:lang w:val="en-AU"/>
        </w:rPr>
        <w:t>w</w:t>
      </w:r>
      <w:r w:rsidR="00CC7EB7" w:rsidRPr="084DF1A1">
        <w:rPr>
          <w:lang w:val="en-AU"/>
        </w:rPr>
        <w:t xml:space="preserve">ork </w:t>
      </w:r>
      <w:r w:rsidR="00D263EF">
        <w:rPr>
          <w:lang w:val="en-AU"/>
        </w:rPr>
        <w:t>p</w:t>
      </w:r>
      <w:r w:rsidR="00CC7EB7" w:rsidRPr="084DF1A1">
        <w:rPr>
          <w:lang w:val="en-AU"/>
        </w:rPr>
        <w:t xml:space="preserve">lan </w:t>
      </w:r>
      <w:r w:rsidR="006D75DE">
        <w:rPr>
          <w:lang w:val="en-AU"/>
        </w:rPr>
        <w:t>(with annual updates)</w:t>
      </w:r>
      <w:r w:rsidR="00CC7EB7">
        <w:rPr>
          <w:lang w:val="en-AU"/>
        </w:rPr>
        <w:t>,</w:t>
      </w:r>
      <w:r w:rsidR="00CC7EB7" w:rsidRPr="084DF1A1">
        <w:rPr>
          <w:lang w:val="en-AU"/>
        </w:rPr>
        <w:t xml:space="preserve"> and managing sub-grants</w:t>
      </w:r>
      <w:r w:rsidR="00995A26">
        <w:rPr>
          <w:lang w:val="en-AU"/>
        </w:rPr>
        <w:t xml:space="preserve"> to Core Group Partners</w:t>
      </w:r>
      <w:r w:rsidR="00CC7EB7" w:rsidRPr="084DF1A1">
        <w:rPr>
          <w:lang w:val="en-AU"/>
        </w:rPr>
        <w:t xml:space="preserve">. </w:t>
      </w:r>
      <w:r w:rsidR="00696C31">
        <w:rPr>
          <w:lang w:val="en-AU"/>
        </w:rPr>
        <w:t xml:space="preserve">Grant </w:t>
      </w:r>
      <w:r w:rsidR="001845D6">
        <w:rPr>
          <w:lang w:val="en-AU"/>
        </w:rPr>
        <w:t xml:space="preserve">funds </w:t>
      </w:r>
      <w:r w:rsidR="00696C31">
        <w:rPr>
          <w:lang w:val="en-AU"/>
        </w:rPr>
        <w:t>will be linked to th</w:t>
      </w:r>
      <w:r w:rsidR="009B3B8E">
        <w:rPr>
          <w:lang w:val="en-AU"/>
        </w:rPr>
        <w:t>is strategy and workplan (activity-based funding</w:t>
      </w:r>
      <w:proofErr w:type="gramStart"/>
      <w:r w:rsidR="009B3B8E">
        <w:rPr>
          <w:lang w:val="en-AU"/>
        </w:rPr>
        <w:t>), and</w:t>
      </w:r>
      <w:proofErr w:type="gramEnd"/>
      <w:r w:rsidR="009B3B8E">
        <w:rPr>
          <w:lang w:val="en-AU"/>
        </w:rPr>
        <w:t xml:space="preserve"> </w:t>
      </w:r>
      <w:r w:rsidR="001845D6">
        <w:rPr>
          <w:lang w:val="en-AU"/>
        </w:rPr>
        <w:t>may be provided for short- or longer-term timeframes (i.e.</w:t>
      </w:r>
      <w:r w:rsidR="001845D6" w:rsidRPr="00C50CCA">
        <w:rPr>
          <w:lang w:val="en-AU"/>
        </w:rPr>
        <w:t xml:space="preserve"> multi-year grants</w:t>
      </w:r>
      <w:r w:rsidR="001845D6">
        <w:rPr>
          <w:lang w:val="en-AU"/>
        </w:rPr>
        <w:t xml:space="preserve">). </w:t>
      </w:r>
      <w:r w:rsidR="001671A1">
        <w:rPr>
          <w:lang w:val="en-AU"/>
        </w:rPr>
        <w:t xml:space="preserve">The specific </w:t>
      </w:r>
      <w:r w:rsidR="00FA68DA">
        <w:rPr>
          <w:lang w:val="en-AU"/>
        </w:rPr>
        <w:t xml:space="preserve">grant instruments will be confirmed by DFAT during the pre-inception period </w:t>
      </w:r>
      <w:r w:rsidR="00921409">
        <w:rPr>
          <w:lang w:val="en-AU"/>
        </w:rPr>
        <w:t>to balance the need for DFAT oversight, administrative efficiency and surety of funding for CSOs over the life of the program.</w:t>
      </w:r>
      <w:r w:rsidR="007F7B1D">
        <w:rPr>
          <w:lang w:val="en-AU"/>
        </w:rPr>
        <w:t xml:space="preserve"> </w:t>
      </w:r>
      <w:r w:rsidR="00034C91" w:rsidRPr="084DF1A1">
        <w:rPr>
          <w:lang w:val="en-AU"/>
        </w:rPr>
        <w:t xml:space="preserve">In addition to managing CSP grants, the Convenor will be provided with a grant from DFAT to establish and maintain their role. </w:t>
      </w:r>
      <w:r w:rsidR="00CC7EB7" w:rsidRPr="084DF1A1">
        <w:rPr>
          <w:lang w:val="en-AU"/>
        </w:rPr>
        <w:t xml:space="preserve">The Convenor will </w:t>
      </w:r>
      <w:r w:rsidR="00641218">
        <w:rPr>
          <w:lang w:val="en-AU"/>
        </w:rPr>
        <w:t xml:space="preserve">sub-contract and </w:t>
      </w:r>
      <w:r w:rsidR="00D81AA3">
        <w:rPr>
          <w:lang w:val="en-AU"/>
        </w:rPr>
        <w:t xml:space="preserve">host a </w:t>
      </w:r>
      <w:r w:rsidR="00D81AA3" w:rsidRPr="00455C07">
        <w:rPr>
          <w:lang w:val="en-AU"/>
        </w:rPr>
        <w:t>MEL Hub</w:t>
      </w:r>
      <w:r w:rsidR="00641218" w:rsidRPr="00455C07">
        <w:rPr>
          <w:lang w:val="en-AU"/>
        </w:rPr>
        <w:t>,</w:t>
      </w:r>
      <w:r w:rsidR="00641218" w:rsidRPr="00641218">
        <w:rPr>
          <w:lang w:val="en-AU"/>
        </w:rPr>
        <w:t xml:space="preserve"> which in turn</w:t>
      </w:r>
      <w:r w:rsidR="00D81AA3" w:rsidRPr="00641218">
        <w:rPr>
          <w:lang w:val="en-AU"/>
        </w:rPr>
        <w:t xml:space="preserve"> is responsible for</w:t>
      </w:r>
      <w:r w:rsidR="00CC7EB7" w:rsidRPr="00641218">
        <w:rPr>
          <w:lang w:val="en-AU"/>
        </w:rPr>
        <w:t xml:space="preserve"> whole-of-program MEL and reporting</w:t>
      </w:r>
      <w:r w:rsidR="006A1E37">
        <w:rPr>
          <w:lang w:val="en-AU"/>
        </w:rPr>
        <w:t xml:space="preserve"> (see</w:t>
      </w:r>
      <w:r w:rsidR="007118A8">
        <w:rPr>
          <w:lang w:val="en-AU"/>
        </w:rPr>
        <w:t xml:space="preserve"> </w:t>
      </w:r>
      <w:hyperlink w:anchor="AnnexH" w:history="1">
        <w:r w:rsidR="007118A8" w:rsidRPr="007118A8">
          <w:rPr>
            <w:rStyle w:val="Hyperlink"/>
            <w:rFonts w:cstheme="minorBidi"/>
            <w:b/>
            <w:bCs/>
            <w:color w:val="7030A0"/>
            <w:lang w:val="en-AU"/>
          </w:rPr>
          <w:t>Annex H</w:t>
        </w:r>
      </w:hyperlink>
      <w:r w:rsidR="006A1E37">
        <w:rPr>
          <w:lang w:val="en-AU"/>
        </w:rPr>
        <w:t xml:space="preserve"> for details)</w:t>
      </w:r>
      <w:r w:rsidR="00CC7EB7" w:rsidRPr="00641218">
        <w:rPr>
          <w:lang w:val="en-AU"/>
        </w:rPr>
        <w:t>.</w:t>
      </w:r>
      <w:r w:rsidR="00CC7EB7" w:rsidRPr="084DF1A1">
        <w:rPr>
          <w:lang w:val="en-AU"/>
        </w:rPr>
        <w:t xml:space="preserve"> </w:t>
      </w:r>
    </w:p>
    <w:p w14:paraId="3E1CA970" w14:textId="5EF32C07" w:rsidR="00C46A99" w:rsidRPr="00AA758F" w:rsidRDefault="00C46A99" w:rsidP="00C46A99">
      <w:pPr>
        <w:tabs>
          <w:tab w:val="left" w:pos="284"/>
        </w:tabs>
        <w:suppressAutoHyphens w:val="0"/>
        <w:spacing w:before="0" w:line="280" w:lineRule="exact"/>
        <w:rPr>
          <w:rFonts w:eastAsia="Times New Roman" w:cs="Times New Roman"/>
          <w:lang w:val="en-AU"/>
        </w:rPr>
      </w:pPr>
      <w:r>
        <w:rPr>
          <w:b/>
          <w:bCs/>
        </w:rPr>
        <w:t>In addition to its role for Component 1, the</w:t>
      </w:r>
      <w:r w:rsidRPr="00AA758F">
        <w:rPr>
          <w:b/>
          <w:bCs/>
        </w:rPr>
        <w:t xml:space="preserve"> PSU will provide targeted program-wide</w:t>
      </w:r>
      <w:r>
        <w:rPr>
          <w:b/>
          <w:bCs/>
        </w:rPr>
        <w:t xml:space="preserve"> coordination and</w:t>
      </w:r>
      <w:r w:rsidRPr="00AA758F">
        <w:rPr>
          <w:b/>
          <w:bCs/>
        </w:rPr>
        <w:t xml:space="preserve"> support services</w:t>
      </w:r>
      <w:r w:rsidR="00B17C7A">
        <w:rPr>
          <w:b/>
          <w:bCs/>
        </w:rPr>
        <w:t xml:space="preserve"> </w:t>
      </w:r>
      <w:r w:rsidR="00B17C7A" w:rsidRPr="002246C6">
        <w:t>including</w:t>
      </w:r>
      <w:r w:rsidR="00B17C7A">
        <w:rPr>
          <w:b/>
          <w:bCs/>
        </w:rPr>
        <w:t xml:space="preserve"> </w:t>
      </w:r>
      <w:r>
        <w:rPr>
          <w:rFonts w:eastAsia="Times New Roman" w:cs="Times New Roman"/>
          <w:lang w:val="en-AU"/>
        </w:rPr>
        <w:t>secretariat services to the main governance body (see below).</w:t>
      </w:r>
      <w:r w:rsidRPr="00976F13">
        <w:t xml:space="preserve"> </w:t>
      </w:r>
      <w:r>
        <w:t>It</w:t>
      </w:r>
      <w:r w:rsidRPr="0029513D">
        <w:t xml:space="preserve"> </w:t>
      </w:r>
      <w:r>
        <w:t>will be</w:t>
      </w:r>
      <w:r w:rsidRPr="0029513D">
        <w:t xml:space="preserve"> a </w:t>
      </w:r>
      <w:r w:rsidRPr="0029513D">
        <w:rPr>
          <w:lang w:val="en-AU" w:eastAsia="en-AU"/>
        </w:rPr>
        <w:t xml:space="preserve">central contact point for </w:t>
      </w:r>
      <w:proofErr w:type="spellStart"/>
      <w:r w:rsidRPr="0029513D">
        <w:rPr>
          <w:lang w:val="en-AU" w:eastAsia="en-AU"/>
        </w:rPr>
        <w:t>GoI</w:t>
      </w:r>
      <w:proofErr w:type="spellEnd"/>
      <w:r w:rsidRPr="0029513D">
        <w:rPr>
          <w:lang w:val="en-AU" w:eastAsia="en-AU"/>
        </w:rPr>
        <w:t xml:space="preserve"> or public enquiries about the program and will direct the enquiry to the relevant person.</w:t>
      </w:r>
      <w:r>
        <w:rPr>
          <w:rFonts w:eastAsia="Times New Roman" w:cs="Times New Roman"/>
          <w:lang w:val="en-AU"/>
        </w:rPr>
        <w:t xml:space="preserve"> The </w:t>
      </w:r>
      <w:r w:rsidR="00A221BA">
        <w:rPr>
          <w:rFonts w:eastAsia="Times New Roman" w:cs="Times New Roman"/>
          <w:lang w:val="en-AU"/>
        </w:rPr>
        <w:t xml:space="preserve">Contractor </w:t>
      </w:r>
      <w:r>
        <w:rPr>
          <w:rFonts w:eastAsia="Times New Roman" w:cs="Times New Roman"/>
          <w:lang w:val="en-AU"/>
        </w:rPr>
        <w:t>will</w:t>
      </w:r>
      <w:r w:rsidRPr="004E4374">
        <w:rPr>
          <w:rFonts w:eastAsia="Times New Roman" w:cs="Times New Roman"/>
          <w:lang w:val="en-AU"/>
        </w:rPr>
        <w:t xml:space="preserve"> establish a Technical Advisory Panel (TAP)</w:t>
      </w:r>
      <w:r w:rsidRPr="003E2F0A">
        <w:rPr>
          <w:rFonts w:eastAsia="Times New Roman" w:cs="Times New Roman"/>
          <w:lang w:val="en-AU"/>
        </w:rPr>
        <w:t xml:space="preserve"> </w:t>
      </w:r>
      <w:r>
        <w:rPr>
          <w:rFonts w:eastAsia="Times New Roman" w:cs="Times New Roman"/>
          <w:lang w:val="en-AU"/>
        </w:rPr>
        <w:t xml:space="preserve">to recruit short-term advisors </w:t>
      </w:r>
      <w:r w:rsidR="00A221BA">
        <w:rPr>
          <w:rFonts w:eastAsia="Times New Roman" w:cs="Times New Roman"/>
          <w:lang w:val="en-AU"/>
        </w:rPr>
        <w:t xml:space="preserve">for the program </w:t>
      </w:r>
      <w:r>
        <w:rPr>
          <w:rFonts w:eastAsia="Times New Roman" w:cs="Times New Roman"/>
          <w:lang w:val="en-AU"/>
        </w:rPr>
        <w:t xml:space="preserve">where required. It will include Indonesian or regional experts where possible </w:t>
      </w:r>
      <w:r>
        <w:rPr>
          <w:lang w:val="en-AU" w:eastAsia="en-AU"/>
        </w:rPr>
        <w:t xml:space="preserve">– if </w:t>
      </w:r>
      <w:r w:rsidR="00A41FDD">
        <w:rPr>
          <w:lang w:val="en-AU" w:eastAsia="en-AU"/>
        </w:rPr>
        <w:t xml:space="preserve">DFAT, </w:t>
      </w:r>
      <w:r>
        <w:rPr>
          <w:lang w:val="en-AU" w:eastAsia="en-AU"/>
        </w:rPr>
        <w:t>the Convenor or other CSP partners do not already have this expertise</w:t>
      </w:r>
      <w:r w:rsidRPr="003E2F0A">
        <w:rPr>
          <w:rFonts w:eastAsia="Times New Roman" w:cs="Times New Roman"/>
          <w:lang w:val="en-AU"/>
        </w:rPr>
        <w:t xml:space="preserve">. </w:t>
      </w:r>
    </w:p>
    <w:p w14:paraId="63347AAA" w14:textId="48250860" w:rsidR="00CC7EB7" w:rsidRPr="003D7C89" w:rsidRDefault="00CC7EB7" w:rsidP="00CC7EB7">
      <w:pPr>
        <w:tabs>
          <w:tab w:val="left" w:pos="284"/>
        </w:tabs>
        <w:suppressAutoHyphens w:val="0"/>
        <w:spacing w:before="0" w:line="280" w:lineRule="exact"/>
        <w:rPr>
          <w:lang w:val="en-AU"/>
        </w:rPr>
      </w:pPr>
      <w:r w:rsidRPr="00455C07">
        <w:rPr>
          <w:b/>
          <w:bCs/>
          <w:lang w:val="en-AU"/>
        </w:rPr>
        <w:t xml:space="preserve">To maintain </w:t>
      </w:r>
      <w:r w:rsidR="00C46A99">
        <w:rPr>
          <w:b/>
          <w:bCs/>
          <w:lang w:val="en-AU"/>
        </w:rPr>
        <w:t xml:space="preserve">program </w:t>
      </w:r>
      <w:r w:rsidRPr="00455C07">
        <w:rPr>
          <w:b/>
          <w:bCs/>
          <w:lang w:val="en-AU"/>
        </w:rPr>
        <w:t>coherence</w:t>
      </w:r>
      <w:r w:rsidRPr="00990A4E">
        <w:rPr>
          <w:lang w:val="en-AU"/>
        </w:rPr>
        <w:t>,</w:t>
      </w:r>
      <w:r w:rsidRPr="00C46A99">
        <w:rPr>
          <w:lang w:val="en-AU"/>
        </w:rPr>
        <w:t xml:space="preserve"> </w:t>
      </w:r>
      <w:r w:rsidRPr="00C034B4">
        <w:rPr>
          <w:lang w:val="en-AU"/>
        </w:rPr>
        <w:t>DFAT, the Convenor</w:t>
      </w:r>
      <w:r>
        <w:rPr>
          <w:lang w:val="en-AU"/>
        </w:rPr>
        <w:t xml:space="preserve"> and</w:t>
      </w:r>
      <w:r w:rsidRPr="00C034B4">
        <w:rPr>
          <w:lang w:val="en-AU"/>
        </w:rPr>
        <w:t xml:space="preserve"> Core </w:t>
      </w:r>
      <w:r>
        <w:rPr>
          <w:lang w:val="en-AU"/>
        </w:rPr>
        <w:t xml:space="preserve">Group </w:t>
      </w:r>
      <w:r w:rsidRPr="00C034B4">
        <w:rPr>
          <w:lang w:val="en-AU"/>
        </w:rPr>
        <w:t>Partners</w:t>
      </w:r>
      <w:r>
        <w:rPr>
          <w:lang w:val="en-AU"/>
        </w:rPr>
        <w:t xml:space="preserve"> </w:t>
      </w:r>
      <w:r w:rsidRPr="00C034B4">
        <w:rPr>
          <w:lang w:val="en-AU"/>
        </w:rPr>
        <w:t xml:space="preserve">will establish shared </w:t>
      </w:r>
      <w:r>
        <w:rPr>
          <w:lang w:val="en-AU"/>
        </w:rPr>
        <w:t>‘</w:t>
      </w:r>
      <w:r w:rsidRPr="00C034B4">
        <w:rPr>
          <w:lang w:val="en-AU"/>
        </w:rPr>
        <w:t>ways of working</w:t>
      </w:r>
      <w:r>
        <w:rPr>
          <w:lang w:val="en-AU"/>
        </w:rPr>
        <w:t>’</w:t>
      </w:r>
      <w:r w:rsidRPr="00C034B4">
        <w:rPr>
          <w:lang w:val="en-AU"/>
        </w:rPr>
        <w:t xml:space="preserve"> during the Inception Phase</w:t>
      </w:r>
      <w:r w:rsidRPr="003D7C89">
        <w:rPr>
          <w:lang w:val="en-AU"/>
        </w:rPr>
        <w:t>, covering communication, planning, MEL, safeguards, and decision-making.</w:t>
      </w:r>
      <w:r>
        <w:rPr>
          <w:lang w:val="en-AU"/>
        </w:rPr>
        <w:t xml:space="preserve"> </w:t>
      </w:r>
      <w:r w:rsidRPr="00C034B4">
        <w:rPr>
          <w:lang w:val="en-AU"/>
        </w:rPr>
        <w:t>Mechanisms will include:</w:t>
      </w:r>
    </w:p>
    <w:p w14:paraId="5EE2CFF2" w14:textId="5BD5EDEA" w:rsidR="009F7D6B" w:rsidRDefault="001562D5" w:rsidP="00504B06">
      <w:pPr>
        <w:numPr>
          <w:ilvl w:val="0"/>
          <w:numId w:val="97"/>
        </w:numPr>
        <w:tabs>
          <w:tab w:val="left" w:pos="284"/>
        </w:tabs>
        <w:suppressAutoHyphens w:val="0"/>
        <w:spacing w:before="0" w:line="280" w:lineRule="exact"/>
        <w:rPr>
          <w:lang w:val="en-AU"/>
        </w:rPr>
      </w:pPr>
      <w:r>
        <w:rPr>
          <w:lang w:val="en-AU"/>
        </w:rPr>
        <w:t>A consolidated four-year work plan, collated and maintained by the PSU</w:t>
      </w:r>
    </w:p>
    <w:p w14:paraId="0F32A055" w14:textId="77777777" w:rsidR="001562D5" w:rsidRPr="003D7C89" w:rsidRDefault="001562D5" w:rsidP="00504B06">
      <w:pPr>
        <w:numPr>
          <w:ilvl w:val="0"/>
          <w:numId w:val="97"/>
        </w:numPr>
        <w:tabs>
          <w:tab w:val="left" w:pos="284"/>
        </w:tabs>
        <w:suppressAutoHyphens w:val="0"/>
        <w:spacing w:before="0" w:line="280" w:lineRule="exact"/>
        <w:rPr>
          <w:lang w:val="en-AU"/>
        </w:rPr>
      </w:pPr>
      <w:r w:rsidRPr="00C034B4">
        <w:rPr>
          <w:lang w:val="en-AU"/>
        </w:rPr>
        <w:t xml:space="preserve">A shared </w:t>
      </w:r>
      <w:r>
        <w:rPr>
          <w:lang w:val="en-AU"/>
        </w:rPr>
        <w:t>R</w:t>
      </w:r>
      <w:r w:rsidRPr="00C034B4">
        <w:rPr>
          <w:lang w:val="en-AU"/>
        </w:rPr>
        <w:t xml:space="preserve">isk </w:t>
      </w:r>
      <w:r>
        <w:rPr>
          <w:lang w:val="en-AU"/>
        </w:rPr>
        <w:t>R</w:t>
      </w:r>
      <w:r w:rsidRPr="00C034B4">
        <w:rPr>
          <w:lang w:val="en-AU"/>
        </w:rPr>
        <w:t xml:space="preserve">egister, maintained by the </w:t>
      </w:r>
      <w:r>
        <w:rPr>
          <w:lang w:val="en-AU"/>
        </w:rPr>
        <w:t>PSU</w:t>
      </w:r>
    </w:p>
    <w:p w14:paraId="6F52B1F5" w14:textId="2001E19C" w:rsidR="00CC7EB7" w:rsidRPr="003D7C89" w:rsidRDefault="00CC7EB7" w:rsidP="00504B06">
      <w:pPr>
        <w:numPr>
          <w:ilvl w:val="0"/>
          <w:numId w:val="97"/>
        </w:numPr>
        <w:tabs>
          <w:tab w:val="left" w:pos="284"/>
        </w:tabs>
        <w:suppressAutoHyphens w:val="0"/>
        <w:spacing w:before="0" w:line="280" w:lineRule="exact"/>
        <w:rPr>
          <w:lang w:val="en-AU"/>
        </w:rPr>
      </w:pPr>
      <w:r w:rsidRPr="00C034B4">
        <w:rPr>
          <w:lang w:val="en-AU"/>
        </w:rPr>
        <w:t xml:space="preserve">Six-monthly joint reflection </w:t>
      </w:r>
      <w:r w:rsidR="003D3C35">
        <w:rPr>
          <w:lang w:val="en-AU"/>
        </w:rPr>
        <w:t>workshops</w:t>
      </w:r>
      <w:r w:rsidR="001562D5">
        <w:rPr>
          <w:lang w:val="en-AU"/>
        </w:rPr>
        <w:t>, led by the MEL Hub</w:t>
      </w:r>
    </w:p>
    <w:p w14:paraId="5F83C709" w14:textId="6678E769" w:rsidR="00CC7EB7" w:rsidRDefault="00CC7EB7" w:rsidP="00504B06">
      <w:pPr>
        <w:numPr>
          <w:ilvl w:val="0"/>
          <w:numId w:val="97"/>
        </w:numPr>
        <w:tabs>
          <w:tab w:val="left" w:pos="284"/>
        </w:tabs>
        <w:suppressAutoHyphens w:val="0"/>
        <w:spacing w:before="0" w:line="280" w:lineRule="exact"/>
        <w:rPr>
          <w:lang w:val="en-AU"/>
        </w:rPr>
      </w:pPr>
      <w:r w:rsidRPr="00C034B4">
        <w:rPr>
          <w:lang w:val="en-AU"/>
        </w:rPr>
        <w:t xml:space="preserve">Regular coordination </w:t>
      </w:r>
      <w:r w:rsidR="000F2946">
        <w:rPr>
          <w:lang w:val="en-AU"/>
        </w:rPr>
        <w:t xml:space="preserve">meetings </w:t>
      </w:r>
      <w:r w:rsidRPr="00C034B4">
        <w:rPr>
          <w:lang w:val="en-AU"/>
        </w:rPr>
        <w:t>between DFAT, PSU, and the Convenor</w:t>
      </w:r>
      <w:r>
        <w:rPr>
          <w:lang w:val="en-AU"/>
        </w:rPr>
        <w:t>.</w:t>
      </w:r>
    </w:p>
    <w:p w14:paraId="020AA3C5" w14:textId="36AB8A9A" w:rsidR="000552E3" w:rsidRDefault="000552E3" w:rsidP="000F2946">
      <w:pPr>
        <w:rPr>
          <w:lang w:val="en-AU"/>
        </w:rPr>
      </w:pPr>
      <w:hyperlink w:anchor="AnnexC" w:history="1">
        <w:r w:rsidRPr="0051224F">
          <w:rPr>
            <w:rStyle w:val="Hyperlink"/>
            <w:rFonts w:cstheme="minorBidi"/>
            <w:b/>
            <w:bCs/>
            <w:lang w:val="en-AU"/>
          </w:rPr>
          <w:t>Annex</w:t>
        </w:r>
        <w:r w:rsidR="001C7D56" w:rsidRPr="0051224F">
          <w:rPr>
            <w:rStyle w:val="Hyperlink"/>
            <w:rFonts w:cstheme="minorBidi"/>
            <w:b/>
            <w:bCs/>
            <w:lang w:val="en-AU"/>
          </w:rPr>
          <w:t xml:space="preserve"> </w:t>
        </w:r>
        <w:r w:rsidRPr="0051224F">
          <w:rPr>
            <w:rStyle w:val="Hyperlink"/>
            <w:rFonts w:cstheme="minorBidi"/>
            <w:b/>
            <w:bCs/>
            <w:lang w:val="en-AU"/>
          </w:rPr>
          <w:t>C</w:t>
        </w:r>
      </w:hyperlink>
      <w:r w:rsidRPr="001C7D56">
        <w:rPr>
          <w:b/>
          <w:bCs/>
          <w:u w:color="0070C0"/>
          <w:lang w:val="en-AU"/>
        </w:rPr>
        <w:t xml:space="preserve">, </w:t>
      </w:r>
      <w:hyperlink w:anchor="AnnexD" w:history="1">
        <w:r w:rsidR="001C7D56" w:rsidRPr="0051224F">
          <w:rPr>
            <w:rStyle w:val="Hyperlink"/>
            <w:rFonts w:cstheme="minorBidi"/>
            <w:b/>
            <w:bCs/>
            <w:lang w:val="en-AU"/>
          </w:rPr>
          <w:t xml:space="preserve">Annex </w:t>
        </w:r>
        <w:r w:rsidRPr="0051224F">
          <w:rPr>
            <w:rStyle w:val="Hyperlink"/>
            <w:rFonts w:cstheme="minorBidi"/>
            <w:b/>
            <w:bCs/>
            <w:lang w:val="en-AU"/>
          </w:rPr>
          <w:t>D</w:t>
        </w:r>
      </w:hyperlink>
      <w:r w:rsidRPr="00B57CB6">
        <w:rPr>
          <w:b/>
          <w:bCs/>
          <w:lang w:val="en-AU"/>
        </w:rPr>
        <w:t xml:space="preserve"> </w:t>
      </w:r>
      <w:r w:rsidRPr="009553BD">
        <w:rPr>
          <w:lang w:val="en-AU" w:eastAsia="en-AU"/>
        </w:rPr>
        <w:t xml:space="preserve">and </w:t>
      </w:r>
      <w:hyperlink w:anchor="AnnexE" w:history="1">
        <w:r w:rsidR="001C7D56" w:rsidRPr="0051224F">
          <w:rPr>
            <w:rStyle w:val="Hyperlink"/>
            <w:rFonts w:cstheme="minorBidi"/>
            <w:b/>
            <w:bCs/>
            <w:lang w:val="en-AU" w:eastAsia="en-AU"/>
          </w:rPr>
          <w:t xml:space="preserve">Annex </w:t>
        </w:r>
        <w:r w:rsidRPr="0051224F">
          <w:rPr>
            <w:rStyle w:val="Hyperlink"/>
            <w:rFonts w:cstheme="minorBidi"/>
            <w:b/>
            <w:bCs/>
            <w:lang w:val="en-AU"/>
          </w:rPr>
          <w:t>E</w:t>
        </w:r>
      </w:hyperlink>
      <w:r>
        <w:rPr>
          <w:lang w:val="en-AU"/>
        </w:rPr>
        <w:t xml:space="preserve"> provide detail on the roles of the PSU, Convenor and the selection process for Convenor/Core Group Partners.</w:t>
      </w:r>
    </w:p>
    <w:p w14:paraId="35492619" w14:textId="1B5CEF91" w:rsidR="000F2946" w:rsidRPr="000F2946" w:rsidRDefault="000F2946" w:rsidP="000F2946">
      <w:r>
        <w:rPr>
          <w:lang w:val="en-AU"/>
        </w:rPr>
        <w:t xml:space="preserve">A </w:t>
      </w:r>
      <w:r w:rsidRPr="000F2946">
        <w:rPr>
          <w:b/>
          <w:bCs/>
          <w:lang w:val="en-AU"/>
        </w:rPr>
        <w:t xml:space="preserve">DFAT </w:t>
      </w:r>
      <w:proofErr w:type="spellStart"/>
      <w:r w:rsidRPr="000F2946">
        <w:rPr>
          <w:b/>
          <w:bCs/>
          <w:lang w:val="en-AU"/>
        </w:rPr>
        <w:t>Partisipasi</w:t>
      </w:r>
      <w:proofErr w:type="spellEnd"/>
      <w:r w:rsidRPr="000F2946">
        <w:rPr>
          <w:b/>
          <w:bCs/>
          <w:lang w:val="en-AU"/>
        </w:rPr>
        <w:t xml:space="preserve"> Reference Group</w:t>
      </w:r>
      <w:r w:rsidDel="00B164FC">
        <w:rPr>
          <w:lang w:val="en-AU"/>
        </w:rPr>
        <w:t xml:space="preserve"> </w:t>
      </w:r>
      <w:r>
        <w:rPr>
          <w:lang w:val="en-AU"/>
        </w:rPr>
        <w:t xml:space="preserve">will review and approve the CSP strategy and </w:t>
      </w:r>
      <w:r w:rsidR="007D68C7">
        <w:rPr>
          <w:lang w:val="en-AU"/>
        </w:rPr>
        <w:t xml:space="preserve">the consolidated </w:t>
      </w:r>
      <w:proofErr w:type="spellStart"/>
      <w:r w:rsidR="007D68C7">
        <w:rPr>
          <w:lang w:val="en-AU"/>
        </w:rPr>
        <w:t>Partisipasi</w:t>
      </w:r>
      <w:proofErr w:type="spellEnd"/>
      <w:r w:rsidR="007D68C7">
        <w:rPr>
          <w:lang w:val="en-AU"/>
        </w:rPr>
        <w:t xml:space="preserve"> </w:t>
      </w:r>
      <w:r w:rsidR="000264EB">
        <w:rPr>
          <w:lang w:val="en-AU"/>
        </w:rPr>
        <w:t xml:space="preserve">work plan, </w:t>
      </w:r>
      <w:r>
        <w:rPr>
          <w:lang w:val="en-AU"/>
        </w:rPr>
        <w:t xml:space="preserve">including annual updates. </w:t>
      </w:r>
      <w:r w:rsidRPr="005672DF">
        <w:rPr>
          <w:lang w:val="en-AU"/>
        </w:rPr>
        <w:t>DFAT retains final decision-making authority in cases of disagreement, particularly on funding allocations and partner performance</w:t>
      </w:r>
      <w:r>
        <w:rPr>
          <w:lang w:val="en-AU"/>
        </w:rPr>
        <w:t xml:space="preserve">, </w:t>
      </w:r>
      <w:r w:rsidRPr="3F691949">
        <w:rPr>
          <w:rFonts w:ascii="Calibri Light" w:eastAsia="Calibri Light" w:hAnsi="Calibri Light" w:cs="Calibri Light"/>
          <w:color w:val="495965"/>
        </w:rPr>
        <w:t>while ensuring processes are co-designed and partner-driven to preserve local legitimacy and ownership</w:t>
      </w:r>
      <w:r w:rsidRPr="005672DF">
        <w:rPr>
          <w:lang w:val="en-AU"/>
        </w:rPr>
        <w:t>.</w:t>
      </w:r>
      <w:r>
        <w:rPr>
          <w:lang w:val="en-AU"/>
        </w:rPr>
        <w:t xml:space="preserve"> </w:t>
      </w:r>
      <w:r>
        <w:rPr>
          <w:lang w:val="en-AU" w:eastAsia="en-AU"/>
        </w:rPr>
        <w:t xml:space="preserve">This will be inclusive of relevant embassy officers and will be used to </w:t>
      </w:r>
      <w:r w:rsidRPr="00610481">
        <w:rPr>
          <w:lang w:val="en-AU" w:eastAsia="en-AU"/>
        </w:rPr>
        <w:t>consolidate</w:t>
      </w:r>
      <w:r>
        <w:rPr>
          <w:lang w:val="en-AU" w:eastAsia="en-AU"/>
        </w:rPr>
        <w:t xml:space="preserve"> DFAT’s </w:t>
      </w:r>
      <w:r w:rsidRPr="00610481">
        <w:rPr>
          <w:lang w:val="en-AU" w:eastAsia="en-AU"/>
        </w:rPr>
        <w:t xml:space="preserve">feedback to </w:t>
      </w:r>
      <w:r>
        <w:rPr>
          <w:lang w:val="en-AU" w:eastAsia="en-AU"/>
        </w:rPr>
        <w:t xml:space="preserve">the </w:t>
      </w:r>
      <w:r w:rsidRPr="00610481">
        <w:rPr>
          <w:lang w:val="en-AU" w:eastAsia="en-AU"/>
        </w:rPr>
        <w:t xml:space="preserve">PSU </w:t>
      </w:r>
      <w:r>
        <w:rPr>
          <w:lang w:val="en-AU" w:eastAsia="en-AU"/>
        </w:rPr>
        <w:t xml:space="preserve">and </w:t>
      </w:r>
      <w:r w:rsidRPr="00610481">
        <w:rPr>
          <w:lang w:val="en-AU" w:eastAsia="en-AU"/>
        </w:rPr>
        <w:t xml:space="preserve">Convenor on </w:t>
      </w:r>
      <w:r>
        <w:rPr>
          <w:lang w:val="en-AU" w:eastAsia="en-AU"/>
        </w:rPr>
        <w:t xml:space="preserve">key program documents, discuss </w:t>
      </w:r>
      <w:r>
        <w:rPr>
          <w:lang w:val="en-AU" w:eastAsia="en-AU"/>
        </w:rPr>
        <w:lastRenderedPageBreak/>
        <w:t>program performance</w:t>
      </w:r>
      <w:r w:rsidRPr="00610481">
        <w:rPr>
          <w:lang w:val="en-AU" w:eastAsia="en-AU"/>
        </w:rPr>
        <w:t xml:space="preserve"> </w:t>
      </w:r>
      <w:r>
        <w:rPr>
          <w:lang w:val="en-AU" w:eastAsia="en-AU"/>
        </w:rPr>
        <w:t>and to</w:t>
      </w:r>
      <w:r w:rsidRPr="00610481">
        <w:rPr>
          <w:lang w:val="en-AU" w:eastAsia="en-AU"/>
        </w:rPr>
        <w:t xml:space="preserve"> screen</w:t>
      </w:r>
      <w:r>
        <w:rPr>
          <w:lang w:val="en-AU" w:eastAsia="en-AU"/>
        </w:rPr>
        <w:t xml:space="preserve"> </w:t>
      </w:r>
      <w:r w:rsidRPr="00610481">
        <w:rPr>
          <w:lang w:val="en-AU" w:eastAsia="en-AU"/>
        </w:rPr>
        <w:t>for sensitivities</w:t>
      </w:r>
      <w:r>
        <w:rPr>
          <w:lang w:val="en-AU" w:eastAsia="en-AU"/>
        </w:rPr>
        <w:t xml:space="preserve"> in proposed </w:t>
      </w:r>
      <w:proofErr w:type="spellStart"/>
      <w:r>
        <w:rPr>
          <w:lang w:val="en-AU" w:eastAsia="en-AU"/>
        </w:rPr>
        <w:t>Partisipasi</w:t>
      </w:r>
      <w:proofErr w:type="spellEnd"/>
      <w:r>
        <w:rPr>
          <w:lang w:val="en-AU" w:eastAsia="en-AU"/>
        </w:rPr>
        <w:t xml:space="preserve">-funded activities. </w:t>
      </w:r>
      <w:r>
        <w:t>Through this Group, DFAT</w:t>
      </w:r>
      <w:r w:rsidRPr="0057026C">
        <w:t xml:space="preserve"> </w:t>
      </w:r>
      <w:r>
        <w:t xml:space="preserve">may agree to </w:t>
      </w:r>
      <w:r w:rsidRPr="0057026C">
        <w:t xml:space="preserve">request the CSP to undertake </w:t>
      </w:r>
      <w:proofErr w:type="gramStart"/>
      <w:r w:rsidRPr="0057026C">
        <w:rPr>
          <w:rStyle w:val="grame"/>
        </w:rPr>
        <w:t>particular activities</w:t>
      </w:r>
      <w:proofErr w:type="gramEnd"/>
      <w:r w:rsidRPr="0057026C">
        <w:t xml:space="preserve"> </w:t>
      </w:r>
      <w:r>
        <w:t>with</w:t>
      </w:r>
      <w:r w:rsidRPr="0057026C">
        <w:t xml:space="preserve"> state institutions that are requested through </w:t>
      </w:r>
      <w:r>
        <w:rPr>
          <w:rStyle w:val="grame"/>
        </w:rPr>
        <w:t xml:space="preserve">Component 1. </w:t>
      </w:r>
    </w:p>
    <w:p w14:paraId="7D31CB71" w14:textId="29A3E215" w:rsidR="00B20339" w:rsidRPr="00B20339" w:rsidRDefault="00B20339" w:rsidP="00F84AA2">
      <w:pPr>
        <w:tabs>
          <w:tab w:val="left" w:pos="284"/>
        </w:tabs>
        <w:suppressAutoHyphens w:val="0"/>
        <w:spacing w:before="0" w:line="280" w:lineRule="exact"/>
        <w:rPr>
          <w:lang w:val="en-AU" w:eastAsia="en-AU"/>
        </w:rPr>
      </w:pPr>
      <w:proofErr w:type="spellStart"/>
      <w:r w:rsidRPr="00CF1E0A">
        <w:rPr>
          <w:b/>
          <w:bCs/>
          <w:lang w:val="en-AU" w:eastAsia="en-AU"/>
        </w:rPr>
        <w:t>Partisipasi</w:t>
      </w:r>
      <w:proofErr w:type="spellEnd"/>
      <w:r w:rsidRPr="00CF1E0A">
        <w:rPr>
          <w:b/>
          <w:bCs/>
          <w:lang w:val="en-AU" w:eastAsia="en-AU"/>
        </w:rPr>
        <w:t xml:space="preserve"> intersects with various other DFAT investments, particularly INKLUSI, AIPJ3 and the Regional Media Support Fund.</w:t>
      </w:r>
      <w:r>
        <w:rPr>
          <w:lang w:val="en-AU" w:eastAsia="en-AU"/>
        </w:rPr>
        <w:t xml:space="preserve"> Collaboration across relevant programs will be important to mitigate the risk of overlaps and maximise the value-add from each program towards their </w:t>
      </w:r>
      <w:r w:rsidRPr="002E0397">
        <w:rPr>
          <w:lang w:val="en-AU" w:eastAsia="en-AU"/>
        </w:rPr>
        <w:t xml:space="preserve">EOPOs. </w:t>
      </w:r>
      <w:r>
        <w:rPr>
          <w:lang w:val="en-AU" w:eastAsia="en-AU"/>
        </w:rPr>
        <w:t xml:space="preserve">While these programs will continue to be encouraged to share information and collaborate, DFAT will support this through the DFAT </w:t>
      </w:r>
      <w:proofErr w:type="spellStart"/>
      <w:r w:rsidR="007C0541">
        <w:rPr>
          <w:lang w:val="en-AU" w:eastAsia="en-AU"/>
        </w:rPr>
        <w:t>Partisipasi</w:t>
      </w:r>
      <w:proofErr w:type="spellEnd"/>
      <w:r>
        <w:rPr>
          <w:lang w:val="en-AU" w:eastAsia="en-AU"/>
        </w:rPr>
        <w:t xml:space="preserve"> Reference Group, as well as </w:t>
      </w:r>
      <w:r w:rsidR="00FF54A5">
        <w:rPr>
          <w:lang w:val="en-AU" w:eastAsia="en-AU"/>
        </w:rPr>
        <w:t xml:space="preserve">a strengthened </w:t>
      </w:r>
      <w:r w:rsidRPr="00936E71">
        <w:rPr>
          <w:lang w:val="en-AU" w:eastAsia="en-AU"/>
        </w:rPr>
        <w:t>DFAT</w:t>
      </w:r>
      <w:r w:rsidR="00EE4A13">
        <w:rPr>
          <w:lang w:val="en-AU" w:eastAsia="en-AU"/>
        </w:rPr>
        <w:t xml:space="preserve"> six-monthly</w:t>
      </w:r>
      <w:r w:rsidRPr="00936E71">
        <w:rPr>
          <w:lang w:val="en-AU" w:eastAsia="en-AU"/>
        </w:rPr>
        <w:t xml:space="preserve"> Strategic Civil Society Coordination Meeting</w:t>
      </w:r>
      <w:r>
        <w:rPr>
          <w:lang w:val="en-AU" w:eastAsia="en-AU"/>
        </w:rPr>
        <w:t xml:space="preserve"> </w:t>
      </w:r>
      <w:r w:rsidRPr="00936E71">
        <w:rPr>
          <w:lang w:val="en-AU" w:eastAsia="en-AU"/>
        </w:rPr>
        <w:t>(chaired by DHOM)</w:t>
      </w:r>
      <w:r w:rsidRPr="62C5B092">
        <w:rPr>
          <w:lang w:val="en-AU" w:eastAsia="en-AU"/>
        </w:rPr>
        <w:t>.</w:t>
      </w:r>
      <w:r w:rsidR="00AC2E82">
        <w:rPr>
          <w:lang w:val="en-AU" w:eastAsia="en-AU"/>
        </w:rPr>
        <w:t xml:space="preserve"> </w:t>
      </w:r>
      <w:r w:rsidR="00FF54A5">
        <w:rPr>
          <w:rFonts w:eastAsia="Times New Roman" w:cs="Times New Roman"/>
          <w:iCs/>
          <w:szCs w:val="24"/>
          <w:lang w:val="en-AU" w:eastAsia="en-AU"/>
        </w:rPr>
        <w:t xml:space="preserve">The </w:t>
      </w:r>
      <w:r w:rsidR="00AC2E82" w:rsidRPr="00FF54A5">
        <w:rPr>
          <w:rFonts w:eastAsia="Times New Roman" w:cs="Times New Roman"/>
          <w:iCs/>
          <w:szCs w:val="24"/>
          <w:lang w:val="en-AU" w:eastAsia="en-AU"/>
        </w:rPr>
        <w:t>Strategic Civil Society Coordination Meeting</w:t>
      </w:r>
      <w:r w:rsidR="00FF54A5">
        <w:rPr>
          <w:rFonts w:eastAsia="Times New Roman" w:cs="Times New Roman"/>
          <w:iCs/>
          <w:szCs w:val="24"/>
          <w:lang w:val="en-AU" w:eastAsia="en-AU"/>
        </w:rPr>
        <w:t xml:space="preserve"> </w:t>
      </w:r>
      <w:r w:rsidR="00AC2E82" w:rsidRPr="000927FA">
        <w:rPr>
          <w:rFonts w:eastAsia="Times New Roman" w:cs="Times New Roman"/>
          <w:iCs/>
          <w:szCs w:val="24"/>
          <w:lang w:val="en-AU" w:eastAsia="en-AU"/>
        </w:rPr>
        <w:t>will</w:t>
      </w:r>
      <w:r w:rsidR="00DB06E7">
        <w:rPr>
          <w:rFonts w:eastAsia="Times New Roman" w:cs="Times New Roman"/>
          <w:iCs/>
          <w:szCs w:val="24"/>
          <w:lang w:val="en-AU" w:eastAsia="en-AU"/>
        </w:rPr>
        <w:t xml:space="preserve"> support collaboration </w:t>
      </w:r>
      <w:r w:rsidR="00AC2E82" w:rsidRPr="000927FA">
        <w:rPr>
          <w:rFonts w:eastAsia="Times New Roman" w:cs="Times New Roman"/>
          <w:iCs/>
          <w:szCs w:val="24"/>
          <w:lang w:val="en-AU" w:eastAsia="en-AU"/>
        </w:rPr>
        <w:t xml:space="preserve">between </w:t>
      </w:r>
      <w:proofErr w:type="spellStart"/>
      <w:r w:rsidR="00AC2E82" w:rsidRPr="00431CB6">
        <w:rPr>
          <w:rFonts w:eastAsia="Times New Roman" w:cs="Times New Roman"/>
          <w:iCs/>
          <w:szCs w:val="24"/>
          <w:lang w:val="en-AU" w:eastAsia="en-AU"/>
        </w:rPr>
        <w:t>Partisipasi</w:t>
      </w:r>
      <w:proofErr w:type="spellEnd"/>
      <w:r w:rsidR="00AC2E82" w:rsidRPr="00C034B4">
        <w:rPr>
          <w:rFonts w:eastAsia="Times New Roman" w:cs="Times New Roman"/>
          <w:i/>
          <w:szCs w:val="24"/>
          <w:lang w:val="en-AU" w:eastAsia="en-AU"/>
        </w:rPr>
        <w:t xml:space="preserve"> </w:t>
      </w:r>
      <w:r w:rsidR="00AC2E82" w:rsidRPr="000927FA">
        <w:rPr>
          <w:rFonts w:eastAsia="Times New Roman" w:cs="Times New Roman"/>
          <w:iCs/>
          <w:szCs w:val="24"/>
          <w:lang w:val="en-AU" w:eastAsia="en-AU"/>
        </w:rPr>
        <w:t xml:space="preserve">and related DFAT </w:t>
      </w:r>
      <w:r w:rsidR="00AC2E82">
        <w:rPr>
          <w:rFonts w:eastAsia="Times New Roman" w:cs="Times New Roman"/>
          <w:iCs/>
          <w:szCs w:val="24"/>
          <w:lang w:val="en-AU" w:eastAsia="en-AU"/>
        </w:rPr>
        <w:t>investments</w:t>
      </w:r>
      <w:r w:rsidR="00DB06E7">
        <w:rPr>
          <w:rFonts w:eastAsia="Times New Roman" w:cs="Times New Roman"/>
          <w:iCs/>
          <w:szCs w:val="24"/>
          <w:lang w:val="en-AU" w:eastAsia="en-AU"/>
        </w:rPr>
        <w:t>; and e</w:t>
      </w:r>
      <w:r w:rsidR="00AC2E82" w:rsidRPr="00DB06E7">
        <w:rPr>
          <w:rFonts w:eastAsia="Times New Roman" w:cs="Times New Roman"/>
          <w:iCs/>
          <w:szCs w:val="24"/>
          <w:lang w:val="en-AU" w:eastAsia="en-AU"/>
        </w:rPr>
        <w:t>nable discussion on strategic issues shared by these programs, including on relevant contextual or policy updates.</w:t>
      </w:r>
    </w:p>
    <w:p w14:paraId="6DFDB056" w14:textId="4C97252D" w:rsidR="00902F90" w:rsidRPr="002D5F11" w:rsidRDefault="00902F90" w:rsidP="00847DAB">
      <w:pPr>
        <w:pStyle w:val="Heading2Numbered"/>
      </w:pPr>
      <w:bookmarkStart w:id="153" w:name="_Toc232524279"/>
      <w:r>
        <w:t>Governance Arrangements</w:t>
      </w:r>
      <w:bookmarkEnd w:id="152"/>
      <w:bookmarkEnd w:id="153"/>
    </w:p>
    <w:p w14:paraId="3862B746" w14:textId="73734742" w:rsidR="00902F90" w:rsidRPr="008967A7" w:rsidRDefault="00902F90" w:rsidP="00902F90">
      <w:pPr>
        <w:rPr>
          <w:rFonts w:eastAsia="Times New Roman" w:cs="Times New Roman"/>
          <w:lang w:val="en-AU" w:eastAsia="en-AU"/>
        </w:rPr>
      </w:pPr>
      <w:bookmarkStart w:id="154" w:name="_Toc206151478"/>
      <w:bookmarkStart w:id="155" w:name="_Toc206152388"/>
      <w:bookmarkStart w:id="156" w:name="_Toc206152535"/>
      <w:bookmarkStart w:id="157" w:name="_Toc206152709"/>
      <w:bookmarkStart w:id="158" w:name="_Toc206152887"/>
      <w:bookmarkStart w:id="159" w:name="_Toc206153046"/>
      <w:bookmarkStart w:id="160" w:name="_Toc206153204"/>
      <w:bookmarkStart w:id="161" w:name="_Toc206151479"/>
      <w:bookmarkStart w:id="162" w:name="_Toc206152389"/>
      <w:bookmarkStart w:id="163" w:name="_Toc206152536"/>
      <w:bookmarkStart w:id="164" w:name="_Toc206152710"/>
      <w:bookmarkStart w:id="165" w:name="_Toc206152888"/>
      <w:bookmarkStart w:id="166" w:name="_Toc206153047"/>
      <w:bookmarkStart w:id="167" w:name="_Toc206153205"/>
      <w:bookmarkStart w:id="168" w:name="_Toc206151480"/>
      <w:bookmarkStart w:id="169" w:name="_Toc206152390"/>
      <w:bookmarkStart w:id="170" w:name="_Toc206152537"/>
      <w:bookmarkStart w:id="171" w:name="_Toc206152711"/>
      <w:bookmarkStart w:id="172" w:name="_Toc206152889"/>
      <w:bookmarkStart w:id="173" w:name="_Toc206153048"/>
      <w:bookmarkStart w:id="174" w:name="_Toc206153206"/>
      <w:bookmarkStart w:id="175" w:name="_Toc206151481"/>
      <w:bookmarkStart w:id="176" w:name="_Toc206152391"/>
      <w:bookmarkStart w:id="177" w:name="_Toc206152538"/>
      <w:bookmarkStart w:id="178" w:name="_Toc206152712"/>
      <w:bookmarkStart w:id="179" w:name="_Toc206152890"/>
      <w:bookmarkStart w:id="180" w:name="_Toc206153049"/>
      <w:bookmarkStart w:id="181" w:name="_Toc206153207"/>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roofErr w:type="spellStart"/>
      <w:r w:rsidRPr="69B01520">
        <w:rPr>
          <w:rFonts w:eastAsia="Times New Roman" w:cs="Times New Roman"/>
          <w:lang w:val="en-AU" w:eastAsia="en-AU"/>
        </w:rPr>
        <w:t>Partisipasi</w:t>
      </w:r>
      <w:proofErr w:type="spellEnd"/>
      <w:r w:rsidRPr="69B01520">
        <w:rPr>
          <w:rFonts w:eastAsia="Times New Roman" w:cs="Times New Roman"/>
          <w:lang w:val="en-AU" w:eastAsia="en-AU"/>
        </w:rPr>
        <w:t xml:space="preserve"> will adopt </w:t>
      </w:r>
      <w:r w:rsidRPr="00FE3488">
        <w:rPr>
          <w:rFonts w:eastAsia="Times New Roman" w:cs="Times New Roman"/>
          <w:lang w:eastAsia="en-AU"/>
        </w:rPr>
        <w:t xml:space="preserve">a </w:t>
      </w:r>
      <w:r w:rsidRPr="00C034B4">
        <w:rPr>
          <w:rFonts w:eastAsia="Times New Roman" w:cs="Times New Roman"/>
          <w:lang w:eastAsia="en-AU"/>
        </w:rPr>
        <w:t>clear</w:t>
      </w:r>
      <w:r w:rsidRPr="00FE3488">
        <w:rPr>
          <w:rFonts w:eastAsia="Times New Roman" w:cs="Times New Roman"/>
          <w:b/>
          <w:bCs/>
          <w:lang w:eastAsia="en-AU"/>
        </w:rPr>
        <w:t xml:space="preserve"> </w:t>
      </w:r>
      <w:r w:rsidRPr="69B01520">
        <w:rPr>
          <w:rFonts w:eastAsia="Times New Roman" w:cs="Times New Roman"/>
          <w:lang w:val="en-AU" w:eastAsia="en-AU"/>
        </w:rPr>
        <w:t xml:space="preserve">governance structure that </w:t>
      </w:r>
      <w:r w:rsidR="00D854BB">
        <w:rPr>
          <w:rFonts w:eastAsia="Times New Roman" w:cs="Times New Roman"/>
          <w:lang w:val="en-AU" w:eastAsia="en-AU"/>
        </w:rPr>
        <w:t xml:space="preserve">is appropriate for grants and the democratic strengthening sector, </w:t>
      </w:r>
      <w:r w:rsidRPr="69B01520">
        <w:rPr>
          <w:rFonts w:eastAsia="Times New Roman" w:cs="Times New Roman"/>
          <w:lang w:val="en-AU" w:eastAsia="en-AU"/>
        </w:rPr>
        <w:t xml:space="preserve">enables oversight by DFAT, supports alignment with </w:t>
      </w:r>
      <w:proofErr w:type="spellStart"/>
      <w:r w:rsidRPr="69B01520">
        <w:rPr>
          <w:rFonts w:eastAsia="Times New Roman" w:cs="Times New Roman"/>
          <w:lang w:val="en-AU" w:eastAsia="en-AU"/>
        </w:rPr>
        <w:t>GoI</w:t>
      </w:r>
      <w:proofErr w:type="spellEnd"/>
      <w:r w:rsidRPr="69B01520">
        <w:rPr>
          <w:rFonts w:eastAsia="Times New Roman" w:cs="Times New Roman"/>
          <w:lang w:val="en-AU" w:eastAsia="en-AU"/>
        </w:rPr>
        <w:t xml:space="preserve"> priorities, and fosters inclusive stakeholder engagement while maintaining flexibility in a complex operating environment. The governance model recognises the distinct but complementary nature of </w:t>
      </w:r>
      <w:r w:rsidRPr="009553BD">
        <w:rPr>
          <w:rFonts w:eastAsia="Times New Roman" w:cs="Times New Roman"/>
          <w:lang w:eastAsia="en-AU"/>
        </w:rPr>
        <w:t xml:space="preserve">Components </w:t>
      </w:r>
      <w:r w:rsidR="00DC3585" w:rsidRPr="009553BD">
        <w:rPr>
          <w:rFonts w:eastAsia="Times New Roman" w:cs="Times New Roman"/>
          <w:lang w:eastAsia="en-AU"/>
        </w:rPr>
        <w:t xml:space="preserve">1 </w:t>
      </w:r>
      <w:r w:rsidRPr="009553BD">
        <w:rPr>
          <w:rFonts w:eastAsia="Times New Roman" w:cs="Times New Roman"/>
          <w:lang w:eastAsia="en-AU"/>
        </w:rPr>
        <w:t xml:space="preserve">and </w:t>
      </w:r>
      <w:r w:rsidR="00DC3585" w:rsidRPr="009553BD">
        <w:rPr>
          <w:rFonts w:eastAsia="Times New Roman" w:cs="Times New Roman"/>
          <w:lang w:eastAsia="en-AU"/>
        </w:rPr>
        <w:t>2</w:t>
      </w:r>
      <w:r w:rsidRPr="00B352E6">
        <w:rPr>
          <w:rFonts w:eastAsia="Times New Roman" w:cs="Times New Roman"/>
          <w:lang w:eastAsia="en-AU"/>
        </w:rPr>
        <w:t>.</w:t>
      </w:r>
    </w:p>
    <w:p w14:paraId="3E1DBECA" w14:textId="16022CF0" w:rsidR="00902F90" w:rsidRPr="008847A5" w:rsidRDefault="00902F90" w:rsidP="00902F90">
      <w:pPr>
        <w:tabs>
          <w:tab w:val="left" w:pos="284"/>
        </w:tabs>
        <w:suppressAutoHyphens w:val="0"/>
        <w:spacing w:before="0" w:line="280" w:lineRule="exact"/>
        <w:rPr>
          <w:rFonts w:eastAsia="Times New Roman" w:cs="Times New Roman"/>
          <w:lang w:val="en-AU" w:eastAsia="en-AU"/>
        </w:rPr>
      </w:pPr>
      <w:proofErr w:type="spellStart"/>
      <w:r w:rsidRPr="00D84A7F">
        <w:rPr>
          <w:rFonts w:eastAsia="Times New Roman" w:cs="Times New Roman"/>
          <w:lang w:val="en-AU" w:eastAsia="en-AU"/>
        </w:rPr>
        <w:t>Partisipasi</w:t>
      </w:r>
      <w:proofErr w:type="spellEnd"/>
      <w:r w:rsidRPr="60B3D5E6">
        <w:rPr>
          <w:rFonts w:eastAsia="Times New Roman" w:cs="Times New Roman"/>
          <w:lang w:val="en-AU" w:eastAsia="en-AU"/>
        </w:rPr>
        <w:t xml:space="preserve"> will be informed and guided by a </w:t>
      </w:r>
      <w:r w:rsidRPr="60B3D5E6">
        <w:rPr>
          <w:rFonts w:eastAsia="Times New Roman" w:cs="Times New Roman"/>
          <w:b/>
          <w:lang w:val="en-AU" w:eastAsia="en-AU"/>
        </w:rPr>
        <w:t>Program Advisory Board</w:t>
      </w:r>
      <w:r w:rsidR="007D61A7">
        <w:rPr>
          <w:rFonts w:eastAsia="Times New Roman" w:cs="Times New Roman"/>
          <w:b/>
          <w:lang w:val="en-AU" w:eastAsia="en-AU"/>
        </w:rPr>
        <w:t xml:space="preserve"> (PAB)</w:t>
      </w:r>
      <w:r w:rsidRPr="60B3D5E6">
        <w:rPr>
          <w:rFonts w:eastAsia="Times New Roman" w:cs="Times New Roman"/>
          <w:b/>
          <w:lang w:val="en-AU" w:eastAsia="en-AU"/>
        </w:rPr>
        <w:t>.</w:t>
      </w:r>
      <w:r w:rsidRPr="60B3D5E6">
        <w:rPr>
          <w:rFonts w:eastAsia="Times New Roman" w:cs="Times New Roman"/>
          <w:lang w:val="en-AU" w:eastAsia="en-AU"/>
        </w:rPr>
        <w:t xml:space="preserve"> </w:t>
      </w:r>
      <w:r w:rsidR="003C212E" w:rsidRPr="180E784A">
        <w:rPr>
          <w:rFonts w:eastAsia="Times New Roman" w:cs="Times New Roman"/>
          <w:lang w:val="en-AU" w:eastAsia="en-AU"/>
        </w:rPr>
        <w:t>DFAT</w:t>
      </w:r>
      <w:r w:rsidR="003C212E">
        <w:rPr>
          <w:rFonts w:eastAsia="Times New Roman" w:cs="Times New Roman"/>
          <w:lang w:val="en-AU" w:eastAsia="en-AU"/>
        </w:rPr>
        <w:t>’s</w:t>
      </w:r>
      <w:r w:rsidR="003C212E" w:rsidRPr="180E784A">
        <w:rPr>
          <w:rFonts w:eastAsia="Times New Roman" w:cs="Times New Roman"/>
          <w:lang w:val="en-AU" w:eastAsia="en-AU"/>
        </w:rPr>
        <w:t xml:space="preserve"> Jakarta Post</w:t>
      </w:r>
      <w:r w:rsidR="003C212E">
        <w:rPr>
          <w:rFonts w:eastAsia="Times New Roman" w:cs="Times New Roman"/>
          <w:lang w:val="en-AU" w:eastAsia="en-AU"/>
        </w:rPr>
        <w:t xml:space="preserve"> (Minister Counsellor PSC)</w:t>
      </w:r>
      <w:r w:rsidR="003C212E" w:rsidRPr="180E784A">
        <w:rPr>
          <w:rFonts w:eastAsia="Times New Roman" w:cs="Times New Roman"/>
          <w:lang w:val="en-AU" w:eastAsia="en-AU"/>
        </w:rPr>
        <w:t xml:space="preserve"> and </w:t>
      </w:r>
      <w:proofErr w:type="spellStart"/>
      <w:r w:rsidR="003C212E" w:rsidRPr="180E784A">
        <w:rPr>
          <w:rFonts w:eastAsia="Times New Roman" w:cs="Times New Roman"/>
          <w:lang w:val="en-AU" w:eastAsia="en-AU"/>
        </w:rPr>
        <w:t>Bappenas</w:t>
      </w:r>
      <w:proofErr w:type="spellEnd"/>
      <w:r w:rsidR="003C212E" w:rsidRPr="180E784A">
        <w:rPr>
          <w:rFonts w:eastAsia="Times New Roman" w:cs="Times New Roman"/>
          <w:lang w:val="en-AU" w:eastAsia="en-AU"/>
        </w:rPr>
        <w:t xml:space="preserve"> </w:t>
      </w:r>
      <w:r w:rsidR="003C212E">
        <w:rPr>
          <w:rFonts w:eastAsia="Times New Roman" w:cs="Times New Roman"/>
          <w:lang w:val="en-AU" w:eastAsia="en-AU"/>
        </w:rPr>
        <w:t xml:space="preserve">(Deputy </w:t>
      </w:r>
      <w:r w:rsidR="003C212E" w:rsidRPr="00FE48F8">
        <w:rPr>
          <w:rFonts w:eastAsia="Times New Roman" w:cs="Times New Roman"/>
          <w:lang w:eastAsia="en-AU"/>
        </w:rPr>
        <w:t xml:space="preserve">Minister for Political Affairs, Law, </w:t>
      </w:r>
      <w:proofErr w:type="spellStart"/>
      <w:r w:rsidR="003C212E" w:rsidRPr="00FE48F8">
        <w:rPr>
          <w:rFonts w:eastAsia="Times New Roman" w:cs="Times New Roman"/>
          <w:lang w:eastAsia="en-AU"/>
        </w:rPr>
        <w:t>Defense</w:t>
      </w:r>
      <w:proofErr w:type="spellEnd"/>
      <w:r w:rsidR="003C212E" w:rsidRPr="00FE48F8">
        <w:rPr>
          <w:rFonts w:eastAsia="Times New Roman" w:cs="Times New Roman"/>
          <w:lang w:eastAsia="en-AU"/>
        </w:rPr>
        <w:t xml:space="preserve"> and Security</w:t>
      </w:r>
      <w:r w:rsidR="003C212E">
        <w:rPr>
          <w:rFonts w:eastAsia="Times New Roman" w:cs="Times New Roman"/>
          <w:lang w:eastAsia="en-AU"/>
        </w:rPr>
        <w:t>)</w:t>
      </w:r>
      <w:r w:rsidR="003C212E" w:rsidRPr="00FE48F8">
        <w:rPr>
          <w:rFonts w:eastAsia="Times New Roman" w:cs="Times New Roman"/>
          <w:lang w:val="en-AU" w:eastAsia="en-AU"/>
        </w:rPr>
        <w:t xml:space="preserve"> </w:t>
      </w:r>
      <w:r w:rsidR="003C212E" w:rsidRPr="180E784A">
        <w:rPr>
          <w:rFonts w:eastAsia="Times New Roman" w:cs="Times New Roman"/>
          <w:lang w:val="en-AU" w:eastAsia="en-AU"/>
        </w:rPr>
        <w:t>w</w:t>
      </w:r>
      <w:r w:rsidR="003C212E">
        <w:rPr>
          <w:rFonts w:eastAsia="Times New Roman" w:cs="Times New Roman"/>
          <w:lang w:val="en-AU" w:eastAsia="en-AU"/>
        </w:rPr>
        <w:t>ill</w:t>
      </w:r>
      <w:r w:rsidR="003C212E" w:rsidRPr="180E784A">
        <w:rPr>
          <w:rFonts w:eastAsia="Times New Roman" w:cs="Times New Roman"/>
          <w:lang w:val="en-AU" w:eastAsia="en-AU"/>
        </w:rPr>
        <w:t xml:space="preserve"> co-chair the PAB.</w:t>
      </w:r>
      <w:r w:rsidR="003C212E">
        <w:rPr>
          <w:rFonts w:eastAsia="Times New Roman" w:cs="Times New Roman"/>
          <w:iCs/>
          <w:szCs w:val="24"/>
          <w:lang w:val="en-AU" w:eastAsia="en-AU"/>
        </w:rPr>
        <w:t xml:space="preserve"> </w:t>
      </w:r>
      <w:r w:rsidRPr="60B3D5E6">
        <w:rPr>
          <w:rFonts w:eastAsia="Times New Roman" w:cs="Times New Roman"/>
          <w:lang w:val="en-AU" w:eastAsia="en-AU"/>
        </w:rPr>
        <w:t xml:space="preserve">The PAB will meet </w:t>
      </w:r>
      <w:r w:rsidRPr="3A12ADCE">
        <w:rPr>
          <w:rFonts w:eastAsia="Times New Roman" w:cs="Times New Roman"/>
          <w:lang w:val="en-AU" w:eastAsia="en-AU"/>
        </w:rPr>
        <w:t xml:space="preserve">annually </w:t>
      </w:r>
      <w:r w:rsidRPr="60B3D5E6">
        <w:rPr>
          <w:rFonts w:eastAsia="Times New Roman" w:cs="Times New Roman"/>
          <w:lang w:val="en-AU" w:eastAsia="en-AU"/>
        </w:rPr>
        <w:t>and comprise representatives from:</w:t>
      </w:r>
    </w:p>
    <w:p w14:paraId="162D145E" w14:textId="30FFA99A" w:rsidR="00902F90" w:rsidRDefault="00902F90" w:rsidP="00D3558F">
      <w:pPr>
        <w:numPr>
          <w:ilvl w:val="0"/>
          <w:numId w:val="17"/>
        </w:numPr>
        <w:tabs>
          <w:tab w:val="left" w:pos="284"/>
        </w:tabs>
        <w:suppressAutoHyphens w:val="0"/>
        <w:spacing w:before="0" w:after="0" w:line="280" w:lineRule="exact"/>
        <w:rPr>
          <w:rFonts w:eastAsia="Times New Roman" w:cs="Times New Roman"/>
          <w:lang w:val="en-AU" w:eastAsia="en-AU"/>
        </w:rPr>
      </w:pPr>
      <w:r w:rsidRPr="0C9E8740">
        <w:rPr>
          <w:rFonts w:eastAsia="Times New Roman" w:cs="Times New Roman"/>
          <w:lang w:val="en-AU" w:eastAsia="en-AU"/>
        </w:rPr>
        <w:t xml:space="preserve">DFAT Jakarta Post (PSC Branch) </w:t>
      </w:r>
    </w:p>
    <w:p w14:paraId="5A730A7A" w14:textId="183F051B" w:rsidR="00902F90" w:rsidRDefault="00C5471F" w:rsidP="00D3558F">
      <w:pPr>
        <w:numPr>
          <w:ilvl w:val="0"/>
          <w:numId w:val="17"/>
        </w:numPr>
        <w:tabs>
          <w:tab w:val="left" w:pos="284"/>
        </w:tabs>
        <w:suppressAutoHyphens w:val="0"/>
        <w:spacing w:before="0" w:after="0" w:line="280" w:lineRule="exact"/>
        <w:rPr>
          <w:rFonts w:eastAsia="Times New Roman" w:cs="Times New Roman"/>
          <w:lang w:val="en-AU" w:eastAsia="en-AU"/>
        </w:rPr>
      </w:pPr>
      <w:r>
        <w:rPr>
          <w:rFonts w:eastAsia="Times New Roman" w:cs="Times New Roman"/>
          <w:lang w:val="en-AU" w:eastAsia="en-AU"/>
        </w:rPr>
        <w:t>Ministry of National Development Planning (</w:t>
      </w:r>
      <w:r w:rsidR="009C6992">
        <w:rPr>
          <w:rFonts w:eastAsia="Times New Roman" w:cs="Times New Roman"/>
          <w:lang w:val="en-AU" w:eastAsia="en-AU"/>
        </w:rPr>
        <w:t>BAPPENAS</w:t>
      </w:r>
      <w:r>
        <w:rPr>
          <w:rFonts w:eastAsia="Times New Roman" w:cs="Times New Roman"/>
          <w:lang w:val="en-AU" w:eastAsia="en-AU"/>
        </w:rPr>
        <w:t>)</w:t>
      </w:r>
      <w:r w:rsidR="00F93FB2">
        <w:rPr>
          <w:rFonts w:eastAsia="Times New Roman" w:cs="Times New Roman"/>
          <w:lang w:val="en-AU" w:eastAsia="en-AU"/>
        </w:rPr>
        <w:t xml:space="preserve"> </w:t>
      </w:r>
      <w:r w:rsidR="00902F90" w:rsidRPr="02BF9766">
        <w:rPr>
          <w:rFonts w:eastAsia="Times New Roman" w:cs="Times New Roman"/>
          <w:lang w:val="en-AU" w:eastAsia="en-AU"/>
        </w:rPr>
        <w:t>(Directorate of Politics and Communications)</w:t>
      </w:r>
      <w:r w:rsidR="00C355C9">
        <w:rPr>
          <w:rFonts w:eastAsia="Times New Roman" w:cs="Times New Roman"/>
          <w:lang w:val="en-AU" w:eastAsia="en-AU"/>
        </w:rPr>
        <w:t xml:space="preserve"> </w:t>
      </w:r>
    </w:p>
    <w:p w14:paraId="0A65CA3B" w14:textId="1B5363A0" w:rsidR="00902F90" w:rsidRPr="008847A5" w:rsidRDefault="00902F90" w:rsidP="00D3558F">
      <w:pPr>
        <w:numPr>
          <w:ilvl w:val="0"/>
          <w:numId w:val="17"/>
        </w:numPr>
        <w:tabs>
          <w:tab w:val="left" w:pos="284"/>
        </w:tabs>
        <w:suppressAutoHyphens w:val="0"/>
        <w:spacing w:before="0" w:after="0" w:line="280" w:lineRule="exact"/>
        <w:rPr>
          <w:rFonts w:eastAsia="Times New Roman" w:cs="Times New Roman"/>
          <w:lang w:val="en-AU" w:eastAsia="en-AU"/>
        </w:rPr>
      </w:pPr>
      <w:r w:rsidRPr="084DF1A1">
        <w:rPr>
          <w:rFonts w:eastAsia="Times New Roman" w:cs="Times New Roman"/>
          <w:lang w:val="en-AU" w:eastAsia="en-AU"/>
        </w:rPr>
        <w:t xml:space="preserve">The Convenor, MEL </w:t>
      </w:r>
      <w:r w:rsidR="00B7730B">
        <w:rPr>
          <w:rFonts w:eastAsia="Times New Roman" w:cs="Times New Roman"/>
          <w:lang w:val="en-AU" w:eastAsia="en-AU"/>
        </w:rPr>
        <w:t>Hub</w:t>
      </w:r>
      <w:r w:rsidR="00990F78">
        <w:rPr>
          <w:rFonts w:eastAsia="Times New Roman" w:cs="Times New Roman"/>
          <w:lang w:val="en-AU" w:eastAsia="en-AU"/>
        </w:rPr>
        <w:t>,</w:t>
      </w:r>
      <w:r w:rsidRPr="084DF1A1">
        <w:rPr>
          <w:rFonts w:eastAsia="Times New Roman" w:cs="Times New Roman"/>
          <w:lang w:val="en-AU" w:eastAsia="en-AU"/>
        </w:rPr>
        <w:t xml:space="preserve"> selected Core Group </w:t>
      </w:r>
      <w:r w:rsidR="00F93FB2">
        <w:rPr>
          <w:rFonts w:eastAsia="Times New Roman" w:cs="Times New Roman"/>
          <w:lang w:val="en-AU" w:eastAsia="en-AU"/>
        </w:rPr>
        <w:t>Partners</w:t>
      </w:r>
      <w:r w:rsidR="00B7730B">
        <w:rPr>
          <w:rFonts w:eastAsia="Times New Roman" w:cs="Times New Roman"/>
          <w:lang w:val="en-AU" w:eastAsia="en-AU"/>
        </w:rPr>
        <w:t>, PSU</w:t>
      </w:r>
      <w:r w:rsidR="008F4BB7">
        <w:rPr>
          <w:rFonts w:eastAsia="Times New Roman" w:cs="Times New Roman"/>
          <w:lang w:val="en-AU" w:eastAsia="en-AU"/>
        </w:rPr>
        <w:t xml:space="preserve"> - </w:t>
      </w:r>
      <w:r w:rsidR="00B7730B">
        <w:rPr>
          <w:rFonts w:eastAsia="Times New Roman" w:cs="Times New Roman"/>
          <w:lang w:val="en-AU" w:eastAsia="en-AU"/>
        </w:rPr>
        <w:t>as observers and</w:t>
      </w:r>
      <w:r w:rsidR="00966683">
        <w:rPr>
          <w:rFonts w:eastAsia="Times New Roman" w:cs="Times New Roman"/>
          <w:lang w:val="en-AU" w:eastAsia="en-AU"/>
        </w:rPr>
        <w:t>/or</w:t>
      </w:r>
      <w:r w:rsidR="00B7730B">
        <w:rPr>
          <w:rFonts w:eastAsia="Times New Roman" w:cs="Times New Roman"/>
          <w:lang w:val="en-AU" w:eastAsia="en-AU"/>
        </w:rPr>
        <w:t xml:space="preserve"> presenters</w:t>
      </w:r>
    </w:p>
    <w:p w14:paraId="6FE64947" w14:textId="38EDFA5C" w:rsidR="003425E1" w:rsidRPr="003425E1" w:rsidRDefault="003425E1" w:rsidP="00D3558F">
      <w:pPr>
        <w:numPr>
          <w:ilvl w:val="0"/>
          <w:numId w:val="17"/>
        </w:numPr>
        <w:tabs>
          <w:tab w:val="left" w:pos="284"/>
        </w:tabs>
        <w:suppressAutoHyphens w:val="0"/>
        <w:spacing w:before="0" w:after="0" w:line="280" w:lineRule="exact"/>
        <w:rPr>
          <w:rFonts w:eastAsia="Times New Roman" w:cs="Times New Roman"/>
          <w:lang w:val="en-AU" w:eastAsia="en-AU"/>
        </w:rPr>
      </w:pPr>
      <w:r>
        <w:rPr>
          <w:rFonts w:eastAsia="Times New Roman" w:cs="Times New Roman"/>
          <w:lang w:val="en-AU" w:eastAsia="en-AU"/>
        </w:rPr>
        <w:t>Invited other participants (Co-Chair initiated</w:t>
      </w:r>
      <w:r w:rsidR="004E4C46">
        <w:rPr>
          <w:rFonts w:eastAsia="Times New Roman" w:cs="Times New Roman"/>
          <w:lang w:val="en-AU" w:eastAsia="en-AU"/>
        </w:rPr>
        <w:t xml:space="preserve">, including </w:t>
      </w:r>
      <w:r w:rsidR="002A1471">
        <w:rPr>
          <w:rFonts w:eastAsia="Times New Roman" w:cs="Times New Roman"/>
          <w:lang w:val="en-AU" w:eastAsia="en-AU"/>
        </w:rPr>
        <w:t xml:space="preserve">representatives of other relevant </w:t>
      </w:r>
      <w:proofErr w:type="spellStart"/>
      <w:r w:rsidR="002A1471">
        <w:rPr>
          <w:rFonts w:eastAsia="Times New Roman" w:cs="Times New Roman"/>
          <w:lang w:val="en-AU" w:eastAsia="en-AU"/>
        </w:rPr>
        <w:t>GoA</w:t>
      </w:r>
      <w:proofErr w:type="spellEnd"/>
      <w:r w:rsidR="002A1471">
        <w:rPr>
          <w:rFonts w:eastAsia="Times New Roman" w:cs="Times New Roman"/>
          <w:lang w:val="en-AU" w:eastAsia="en-AU"/>
        </w:rPr>
        <w:t xml:space="preserve"> and </w:t>
      </w:r>
      <w:proofErr w:type="spellStart"/>
      <w:r w:rsidR="002A1471">
        <w:rPr>
          <w:rFonts w:eastAsia="Times New Roman" w:cs="Times New Roman"/>
          <w:lang w:val="en-AU" w:eastAsia="en-AU"/>
        </w:rPr>
        <w:t>GoI</w:t>
      </w:r>
      <w:proofErr w:type="spellEnd"/>
      <w:r w:rsidR="002A1471">
        <w:rPr>
          <w:rFonts w:eastAsia="Times New Roman" w:cs="Times New Roman"/>
          <w:lang w:val="en-AU" w:eastAsia="en-AU"/>
        </w:rPr>
        <w:t xml:space="preserve"> agencies</w:t>
      </w:r>
      <w:r>
        <w:rPr>
          <w:rFonts w:eastAsia="Times New Roman" w:cs="Times New Roman"/>
          <w:lang w:val="en-AU" w:eastAsia="en-AU"/>
        </w:rPr>
        <w:t>)</w:t>
      </w:r>
      <w:r w:rsidR="00FE48F8">
        <w:rPr>
          <w:rFonts w:eastAsia="Times New Roman" w:cs="Times New Roman"/>
          <w:lang w:val="en-AU" w:eastAsia="en-AU"/>
        </w:rPr>
        <w:t>.</w:t>
      </w:r>
    </w:p>
    <w:p w14:paraId="305A78FA" w14:textId="77777777" w:rsidR="00902F90" w:rsidRPr="008847A5" w:rsidRDefault="00902F90" w:rsidP="009553BD">
      <w:pPr>
        <w:tabs>
          <w:tab w:val="left" w:pos="284"/>
        </w:tabs>
        <w:spacing w:before="0" w:after="0" w:line="280" w:lineRule="exact"/>
        <w:rPr>
          <w:rFonts w:eastAsia="Times New Roman" w:cs="Times New Roman"/>
          <w:iCs/>
          <w:szCs w:val="24"/>
          <w:lang w:val="en-AU" w:eastAsia="en-AU"/>
        </w:rPr>
      </w:pPr>
      <w:r w:rsidRPr="008847A5">
        <w:rPr>
          <w:rFonts w:eastAsia="Times New Roman" w:cs="Times New Roman"/>
          <w:iCs/>
          <w:szCs w:val="24"/>
          <w:lang w:val="en-AU" w:eastAsia="en-AU"/>
        </w:rPr>
        <w:t>The PAB will be responsible for:</w:t>
      </w:r>
    </w:p>
    <w:p w14:paraId="19DFD7CE" w14:textId="107B298E" w:rsidR="00902F90" w:rsidRDefault="00902F90" w:rsidP="00D3558F">
      <w:pPr>
        <w:numPr>
          <w:ilvl w:val="0"/>
          <w:numId w:val="18"/>
        </w:numPr>
        <w:tabs>
          <w:tab w:val="left" w:pos="284"/>
        </w:tabs>
        <w:suppressAutoHyphens w:val="0"/>
        <w:spacing w:before="0" w:after="0" w:line="280" w:lineRule="exact"/>
        <w:rPr>
          <w:rFonts w:eastAsia="Times New Roman" w:cs="Times New Roman"/>
          <w:iCs/>
          <w:szCs w:val="24"/>
          <w:lang w:val="en-AU" w:eastAsia="en-AU"/>
        </w:rPr>
      </w:pPr>
      <w:r>
        <w:rPr>
          <w:rFonts w:eastAsia="Times New Roman" w:cs="Times New Roman"/>
          <w:iCs/>
          <w:szCs w:val="24"/>
          <w:lang w:val="en-AU" w:eastAsia="en-AU"/>
        </w:rPr>
        <w:t>Ensuring all key partners have a shared understanding of the program</w:t>
      </w:r>
      <w:r w:rsidR="0020437A">
        <w:rPr>
          <w:rFonts w:eastAsia="Times New Roman" w:cs="Times New Roman"/>
          <w:iCs/>
          <w:szCs w:val="24"/>
          <w:lang w:val="en-AU" w:eastAsia="en-AU"/>
        </w:rPr>
        <w:t>’s</w:t>
      </w:r>
      <w:r>
        <w:rPr>
          <w:rFonts w:eastAsia="Times New Roman" w:cs="Times New Roman"/>
          <w:iCs/>
          <w:szCs w:val="24"/>
          <w:lang w:val="en-AU" w:eastAsia="en-AU"/>
        </w:rPr>
        <w:t xml:space="preserve"> progress</w:t>
      </w:r>
    </w:p>
    <w:p w14:paraId="3B66AA2A" w14:textId="5FF5E4EE" w:rsidR="00902F90" w:rsidRDefault="00902F90" w:rsidP="00D3558F">
      <w:pPr>
        <w:numPr>
          <w:ilvl w:val="0"/>
          <w:numId w:val="18"/>
        </w:numPr>
        <w:tabs>
          <w:tab w:val="left" w:pos="284"/>
        </w:tabs>
        <w:suppressAutoHyphens w:val="0"/>
        <w:spacing w:before="0" w:after="0" w:line="280" w:lineRule="exact"/>
        <w:rPr>
          <w:rFonts w:eastAsia="Times New Roman" w:cs="Times New Roman"/>
          <w:iCs/>
          <w:szCs w:val="24"/>
          <w:lang w:val="en-AU" w:eastAsia="en-AU"/>
        </w:rPr>
      </w:pPr>
      <w:r>
        <w:rPr>
          <w:rFonts w:eastAsia="Times New Roman" w:cs="Times New Roman"/>
          <w:iCs/>
          <w:szCs w:val="24"/>
          <w:lang w:val="en-AU" w:eastAsia="en-AU"/>
        </w:rPr>
        <w:t>Supporting coordination across different parts of the program</w:t>
      </w:r>
    </w:p>
    <w:p w14:paraId="6C9AED2A" w14:textId="775C6F13" w:rsidR="00902F90" w:rsidRPr="008847A5" w:rsidRDefault="00902F90" w:rsidP="00D3558F">
      <w:pPr>
        <w:numPr>
          <w:ilvl w:val="0"/>
          <w:numId w:val="18"/>
        </w:numPr>
        <w:tabs>
          <w:tab w:val="left" w:pos="284"/>
        </w:tabs>
        <w:suppressAutoHyphens w:val="0"/>
        <w:spacing w:before="0" w:after="0" w:line="280" w:lineRule="exact"/>
        <w:rPr>
          <w:rFonts w:eastAsia="Times New Roman" w:cs="Times New Roman"/>
          <w:iCs/>
          <w:szCs w:val="24"/>
          <w:lang w:val="en-AU" w:eastAsia="en-AU"/>
        </w:rPr>
      </w:pPr>
      <w:r>
        <w:rPr>
          <w:rFonts w:eastAsia="Times New Roman" w:cs="Times New Roman"/>
          <w:iCs/>
          <w:szCs w:val="24"/>
          <w:lang w:val="en-AU" w:eastAsia="en-AU"/>
        </w:rPr>
        <w:t xml:space="preserve">Advising on </w:t>
      </w:r>
      <w:r w:rsidRPr="008847A5">
        <w:rPr>
          <w:rFonts w:eastAsia="Times New Roman" w:cs="Times New Roman"/>
          <w:iCs/>
          <w:szCs w:val="24"/>
          <w:lang w:val="en-AU" w:eastAsia="en-AU"/>
        </w:rPr>
        <w:t>strategic direction and annual priorities</w:t>
      </w:r>
    </w:p>
    <w:p w14:paraId="0E895148" w14:textId="301E2C55" w:rsidR="00902F90" w:rsidRPr="008847A5" w:rsidRDefault="00902F90" w:rsidP="00D3558F">
      <w:pPr>
        <w:numPr>
          <w:ilvl w:val="0"/>
          <w:numId w:val="18"/>
        </w:numPr>
        <w:tabs>
          <w:tab w:val="left" w:pos="284"/>
        </w:tabs>
        <w:suppressAutoHyphens w:val="0"/>
        <w:spacing w:before="0" w:after="0" w:line="280" w:lineRule="exact"/>
        <w:rPr>
          <w:rFonts w:eastAsia="Times New Roman" w:cs="Times New Roman"/>
          <w:iCs/>
          <w:szCs w:val="24"/>
          <w:lang w:val="en-AU" w:eastAsia="en-AU"/>
        </w:rPr>
      </w:pPr>
      <w:r w:rsidRPr="008847A5">
        <w:rPr>
          <w:rFonts w:eastAsia="Times New Roman" w:cs="Times New Roman"/>
          <w:iCs/>
          <w:szCs w:val="24"/>
          <w:lang w:val="en-AU" w:eastAsia="en-AU"/>
        </w:rPr>
        <w:t>Providing guidance on political, institutional, and operational risks</w:t>
      </w:r>
    </w:p>
    <w:p w14:paraId="44FFF5B9" w14:textId="1097793F" w:rsidR="00902F90" w:rsidRPr="008847A5" w:rsidRDefault="00902F90" w:rsidP="00D3558F">
      <w:pPr>
        <w:numPr>
          <w:ilvl w:val="0"/>
          <w:numId w:val="18"/>
        </w:numPr>
        <w:tabs>
          <w:tab w:val="left" w:pos="284"/>
        </w:tabs>
        <w:suppressAutoHyphens w:val="0"/>
        <w:spacing w:before="0" w:after="0" w:line="280" w:lineRule="exact"/>
        <w:rPr>
          <w:rFonts w:eastAsia="Times New Roman" w:cs="Times New Roman"/>
          <w:iCs/>
          <w:szCs w:val="24"/>
          <w:lang w:val="en-AU" w:eastAsia="en-AU"/>
        </w:rPr>
      </w:pPr>
      <w:r>
        <w:rPr>
          <w:rFonts w:eastAsia="Times New Roman" w:cs="Times New Roman"/>
          <w:iCs/>
          <w:szCs w:val="24"/>
          <w:lang w:val="en-AU" w:eastAsia="en-AU"/>
        </w:rPr>
        <w:t>Advising on key issues presented to the PAB for their input</w:t>
      </w:r>
    </w:p>
    <w:p w14:paraId="2A828763" w14:textId="1E131A7D" w:rsidR="00902F90" w:rsidRPr="008847A5" w:rsidRDefault="00902F90" w:rsidP="00D3558F">
      <w:pPr>
        <w:numPr>
          <w:ilvl w:val="0"/>
          <w:numId w:val="18"/>
        </w:numPr>
        <w:tabs>
          <w:tab w:val="left" w:pos="284"/>
        </w:tabs>
        <w:suppressAutoHyphens w:val="0"/>
        <w:spacing w:before="0" w:after="0" w:line="280" w:lineRule="exact"/>
        <w:rPr>
          <w:rFonts w:eastAsia="Times New Roman" w:cs="Times New Roman"/>
          <w:iCs/>
          <w:szCs w:val="24"/>
          <w:lang w:val="en-AU" w:eastAsia="en-AU"/>
        </w:rPr>
      </w:pPr>
      <w:r>
        <w:rPr>
          <w:rFonts w:eastAsia="Times New Roman" w:cs="Times New Roman"/>
          <w:iCs/>
          <w:szCs w:val="24"/>
          <w:lang w:val="en-AU" w:eastAsia="en-AU"/>
        </w:rPr>
        <w:t xml:space="preserve">Promoting the program’s </w:t>
      </w:r>
      <w:r w:rsidR="0020437A">
        <w:rPr>
          <w:rFonts w:eastAsia="Times New Roman" w:cs="Times New Roman"/>
          <w:iCs/>
          <w:szCs w:val="24"/>
          <w:lang w:val="en-AU" w:eastAsia="en-AU"/>
        </w:rPr>
        <w:t xml:space="preserve">gender equality and disability equity </w:t>
      </w:r>
      <w:r>
        <w:rPr>
          <w:rFonts w:eastAsia="Times New Roman" w:cs="Times New Roman"/>
          <w:iCs/>
          <w:szCs w:val="24"/>
          <w:lang w:val="en-AU" w:eastAsia="en-AU"/>
        </w:rPr>
        <w:t>commitments.</w:t>
      </w:r>
    </w:p>
    <w:p w14:paraId="503F2859" w14:textId="48B0EEFD" w:rsidR="00B80567" w:rsidRPr="00F84AA2" w:rsidRDefault="002F4999" w:rsidP="00B80567">
      <w:pPr>
        <w:tabs>
          <w:tab w:val="left" w:pos="284"/>
        </w:tabs>
        <w:suppressAutoHyphens w:val="0"/>
        <w:spacing w:before="0" w:line="280" w:lineRule="exact"/>
        <w:rPr>
          <w:lang w:val="en-AU" w:eastAsia="en-AU"/>
        </w:rPr>
      </w:pPr>
      <w:r w:rsidRPr="0045259F">
        <w:rPr>
          <w:lang w:val="en-AU" w:eastAsia="en-AU"/>
        </w:rPr>
        <w:t>The PAB is</w:t>
      </w:r>
      <w:r w:rsidR="0045259F" w:rsidRPr="0045259F">
        <w:rPr>
          <w:lang w:val="en-AU" w:eastAsia="en-AU"/>
        </w:rPr>
        <w:t xml:space="preserve"> an advisory rather than</w:t>
      </w:r>
      <w:r w:rsidRPr="0045259F">
        <w:rPr>
          <w:lang w:val="en-AU" w:eastAsia="en-AU"/>
        </w:rPr>
        <w:t xml:space="preserve"> a decision-making body but</w:t>
      </w:r>
      <w:r w:rsidRPr="3FB0CA17">
        <w:rPr>
          <w:lang w:val="en-AU" w:eastAsia="en-AU"/>
        </w:rPr>
        <w:t xml:space="preserve"> </w:t>
      </w:r>
      <w:r w:rsidRPr="00847C6A">
        <w:rPr>
          <w:lang w:val="en-AU" w:eastAsia="en-AU"/>
        </w:rPr>
        <w:t>provides a</w:t>
      </w:r>
      <w:r w:rsidR="001D23B4">
        <w:rPr>
          <w:lang w:val="en-AU" w:eastAsia="en-AU"/>
        </w:rPr>
        <w:t xml:space="preserve"> </w:t>
      </w:r>
      <w:r w:rsidRPr="00847C6A">
        <w:rPr>
          <w:lang w:val="en-AU" w:eastAsia="en-AU"/>
        </w:rPr>
        <w:t xml:space="preserve">forum for </w:t>
      </w:r>
      <w:proofErr w:type="spellStart"/>
      <w:r w:rsidRPr="00847C6A">
        <w:rPr>
          <w:lang w:val="en-AU" w:eastAsia="en-AU"/>
        </w:rPr>
        <w:t>GoI</w:t>
      </w:r>
      <w:proofErr w:type="spellEnd"/>
      <w:r w:rsidRPr="00847C6A">
        <w:rPr>
          <w:lang w:val="en-AU" w:eastAsia="en-AU"/>
        </w:rPr>
        <w:t xml:space="preserve"> to </w:t>
      </w:r>
      <w:r w:rsidR="001D23B4">
        <w:rPr>
          <w:lang w:val="en-AU" w:eastAsia="en-AU"/>
        </w:rPr>
        <w:t xml:space="preserve">be consulted </w:t>
      </w:r>
      <w:r w:rsidR="00463A15">
        <w:rPr>
          <w:lang w:val="en-AU" w:eastAsia="en-AU"/>
        </w:rPr>
        <w:t>on key issues</w:t>
      </w:r>
      <w:r w:rsidRPr="00847C6A">
        <w:rPr>
          <w:lang w:val="en-AU" w:eastAsia="en-AU"/>
        </w:rPr>
        <w:t xml:space="preserve">, </w:t>
      </w:r>
      <w:r>
        <w:rPr>
          <w:lang w:val="en-AU" w:eastAsia="en-AU"/>
        </w:rPr>
        <w:t>stay informed</w:t>
      </w:r>
      <w:r w:rsidRPr="00847C6A">
        <w:rPr>
          <w:lang w:val="en-AU" w:eastAsia="en-AU"/>
        </w:rPr>
        <w:t xml:space="preserve"> of progress, and give their input into plans and risk management. </w:t>
      </w:r>
      <w:r w:rsidRPr="5AE26BE3">
        <w:rPr>
          <w:lang w:val="en-AU" w:eastAsia="en-AU"/>
        </w:rPr>
        <w:t>The meeting will be timed to coincide with the</w:t>
      </w:r>
      <w:r w:rsidRPr="5698711D">
        <w:rPr>
          <w:lang w:val="en-AU" w:eastAsia="en-AU"/>
        </w:rPr>
        <w:t xml:space="preserve"> </w:t>
      </w:r>
      <w:r w:rsidRPr="5AE26BE3">
        <w:rPr>
          <w:lang w:val="en-AU" w:eastAsia="en-AU"/>
        </w:rPr>
        <w:t>finalisation</w:t>
      </w:r>
      <w:r w:rsidRPr="03A2A1B9">
        <w:rPr>
          <w:lang w:val="en-AU" w:eastAsia="en-AU"/>
        </w:rPr>
        <w:t xml:space="preserve"> of the </w:t>
      </w:r>
      <w:r w:rsidRPr="5AE26BE3">
        <w:rPr>
          <w:lang w:val="en-AU" w:eastAsia="en-AU"/>
        </w:rPr>
        <w:t xml:space="preserve">annual </w:t>
      </w:r>
      <w:r w:rsidRPr="5698711D">
        <w:rPr>
          <w:lang w:val="en-AU" w:eastAsia="en-AU"/>
        </w:rPr>
        <w:t xml:space="preserve">report and </w:t>
      </w:r>
      <w:r w:rsidR="00C5465C">
        <w:rPr>
          <w:lang w:val="en-AU" w:eastAsia="en-AU"/>
        </w:rPr>
        <w:t>work</w:t>
      </w:r>
      <w:r w:rsidRPr="5698711D">
        <w:rPr>
          <w:lang w:val="en-AU" w:eastAsia="en-AU"/>
        </w:rPr>
        <w:t xml:space="preserve"> plan</w:t>
      </w:r>
      <w:r w:rsidR="00C5465C">
        <w:rPr>
          <w:lang w:val="en-AU" w:eastAsia="en-AU"/>
        </w:rPr>
        <w:t xml:space="preserve"> for the year ahead</w:t>
      </w:r>
      <w:r w:rsidR="003F0B68">
        <w:rPr>
          <w:lang w:val="en-AU" w:eastAsia="en-AU"/>
        </w:rPr>
        <w:t xml:space="preserve">. </w:t>
      </w:r>
      <w:r w:rsidR="00B80567" w:rsidRPr="008C22AF">
        <w:rPr>
          <w:rFonts w:eastAsia="Times New Roman" w:cs="Times New Roman"/>
          <w:iCs/>
          <w:szCs w:val="24"/>
          <w:lang w:val="en-AU" w:eastAsia="en-AU"/>
        </w:rPr>
        <w:t xml:space="preserve">To promote inclusive decision-making, the PAB will have a 50:50 gender representation target. </w:t>
      </w:r>
    </w:p>
    <w:p w14:paraId="22735A43" w14:textId="0825A249" w:rsidR="00902F90" w:rsidRDefault="00B80567" w:rsidP="0029513D">
      <w:pPr>
        <w:rPr>
          <w:rFonts w:eastAsia="Times New Roman" w:cs="Times New Roman"/>
          <w:iCs/>
          <w:szCs w:val="24"/>
          <w:lang w:val="en-AU" w:eastAsia="en-AU"/>
        </w:rPr>
      </w:pPr>
      <w:r w:rsidRPr="00F84AA2">
        <w:rPr>
          <w:b/>
          <w:bCs/>
          <w:lang w:val="en-AU" w:eastAsia="en-AU"/>
        </w:rPr>
        <w:t xml:space="preserve">The </w:t>
      </w:r>
      <w:r w:rsidR="00F84AA2" w:rsidRPr="00F84AA2">
        <w:rPr>
          <w:b/>
          <w:bCs/>
          <w:lang w:val="en-AU" w:eastAsia="en-AU"/>
        </w:rPr>
        <w:t xml:space="preserve">Convenor and </w:t>
      </w:r>
      <w:r w:rsidRPr="00F84AA2">
        <w:rPr>
          <w:b/>
          <w:bCs/>
          <w:lang w:val="en-AU" w:eastAsia="en-AU"/>
        </w:rPr>
        <w:t xml:space="preserve">Core Group </w:t>
      </w:r>
      <w:r w:rsidR="00F84AA2" w:rsidRPr="00F84AA2">
        <w:rPr>
          <w:b/>
          <w:bCs/>
          <w:lang w:val="en-AU" w:eastAsia="en-AU"/>
        </w:rPr>
        <w:t xml:space="preserve">Partners </w:t>
      </w:r>
      <w:r w:rsidRPr="00F84AA2">
        <w:rPr>
          <w:b/>
          <w:bCs/>
          <w:lang w:val="en-AU" w:eastAsia="en-AU"/>
        </w:rPr>
        <w:t>will form a</w:t>
      </w:r>
      <w:r w:rsidR="00F84AA2" w:rsidRPr="00F84AA2">
        <w:rPr>
          <w:b/>
          <w:bCs/>
          <w:lang w:val="en-AU" w:eastAsia="en-AU"/>
        </w:rPr>
        <w:t xml:space="preserve"> CSP</w:t>
      </w:r>
      <w:r w:rsidRPr="00F84AA2">
        <w:rPr>
          <w:b/>
          <w:bCs/>
          <w:lang w:val="en-AU" w:eastAsia="en-AU"/>
        </w:rPr>
        <w:t xml:space="preserve"> Steering Committee</w:t>
      </w:r>
      <w:r w:rsidRPr="00E22DD0">
        <w:rPr>
          <w:lang w:val="en-AU" w:eastAsia="en-AU"/>
        </w:rPr>
        <w:t xml:space="preserve"> to co-design </w:t>
      </w:r>
      <w:r w:rsidR="00F84AA2">
        <w:rPr>
          <w:lang w:val="en-AU" w:eastAsia="en-AU"/>
        </w:rPr>
        <w:t>the</w:t>
      </w:r>
      <w:r w:rsidRPr="00E22DD0">
        <w:rPr>
          <w:lang w:val="en-AU" w:eastAsia="en-AU"/>
        </w:rPr>
        <w:t xml:space="preserve"> shared </w:t>
      </w:r>
      <w:proofErr w:type="spellStart"/>
      <w:r w:rsidRPr="00E22DD0">
        <w:rPr>
          <w:lang w:val="en-AU" w:eastAsia="en-AU"/>
        </w:rPr>
        <w:t>Partisipasi</w:t>
      </w:r>
      <w:proofErr w:type="spellEnd"/>
      <w:r w:rsidRPr="00E22DD0">
        <w:rPr>
          <w:i/>
          <w:lang w:val="en-AU" w:eastAsia="en-AU"/>
        </w:rPr>
        <w:t xml:space="preserve"> </w:t>
      </w:r>
      <w:r w:rsidR="007909C2">
        <w:rPr>
          <w:iCs/>
          <w:lang w:val="en-AU" w:eastAsia="en-AU"/>
        </w:rPr>
        <w:t>CSP Strategy</w:t>
      </w:r>
      <w:r w:rsidRPr="00E22DD0">
        <w:rPr>
          <w:lang w:val="en-AU" w:eastAsia="en-AU"/>
        </w:rPr>
        <w:t xml:space="preserve">, identify the types of activities required to achieve the strategy, and identify the civil society partners that are best placed to implement those activities. </w:t>
      </w:r>
      <w:r w:rsidRPr="00847C6A">
        <w:rPr>
          <w:lang w:val="en-AU" w:eastAsia="en-AU"/>
        </w:rPr>
        <w:t xml:space="preserve">The </w:t>
      </w:r>
      <w:r>
        <w:rPr>
          <w:lang w:val="en-AU" w:eastAsia="en-AU"/>
        </w:rPr>
        <w:t xml:space="preserve">CSP </w:t>
      </w:r>
      <w:r w:rsidRPr="00847C6A">
        <w:rPr>
          <w:lang w:val="en-AU" w:eastAsia="en-AU"/>
        </w:rPr>
        <w:t xml:space="preserve">Steering Committee will </w:t>
      </w:r>
      <w:r>
        <w:rPr>
          <w:lang w:val="en-AU" w:eastAsia="en-AU"/>
        </w:rPr>
        <w:t>provide</w:t>
      </w:r>
      <w:r w:rsidRPr="00847C6A">
        <w:rPr>
          <w:lang w:val="en-AU" w:eastAsia="en-AU"/>
        </w:rPr>
        <w:t xml:space="preserve"> programmatic oversight, facilitate joint decision-making, and ensure coherence across workstreams and </w:t>
      </w:r>
      <w:r>
        <w:rPr>
          <w:lang w:val="en-AU" w:eastAsia="en-AU"/>
        </w:rPr>
        <w:t>subnational locations</w:t>
      </w:r>
      <w:r w:rsidRPr="00847C6A">
        <w:rPr>
          <w:lang w:val="en-AU" w:eastAsia="en-AU"/>
        </w:rPr>
        <w:t>.</w:t>
      </w:r>
    </w:p>
    <w:p w14:paraId="40207168" w14:textId="46CD37BA" w:rsidR="00180AE5" w:rsidRPr="00764C4C" w:rsidRDefault="00180AE5" w:rsidP="00764C4C">
      <w:pPr>
        <w:spacing w:line="240" w:lineRule="auto"/>
        <w:rPr>
          <w:lang w:val="en-AU" w:eastAsia="en-AU"/>
        </w:rPr>
      </w:pPr>
      <w:bookmarkStart w:id="182" w:name="_Toc206162095"/>
      <w:bookmarkStart w:id="183" w:name="_Toc206162272"/>
      <w:bookmarkStart w:id="184" w:name="_Toc206162646"/>
      <w:bookmarkStart w:id="185" w:name="_Toc206163708"/>
      <w:bookmarkStart w:id="186" w:name="_Toc206163885"/>
      <w:bookmarkEnd w:id="182"/>
      <w:bookmarkEnd w:id="183"/>
      <w:bookmarkEnd w:id="184"/>
      <w:bookmarkEnd w:id="185"/>
      <w:bookmarkEnd w:id="186"/>
      <w:r>
        <w:rPr>
          <w:lang w:val="en-AU" w:eastAsia="en-AU"/>
        </w:rPr>
        <w:t xml:space="preserve">As part of DFAT’s role in monitoring the program, DFAT will continue to meet with relevant </w:t>
      </w:r>
      <w:proofErr w:type="spellStart"/>
      <w:r>
        <w:rPr>
          <w:lang w:val="en-AU" w:eastAsia="en-AU"/>
        </w:rPr>
        <w:t>GoI</w:t>
      </w:r>
      <w:proofErr w:type="spellEnd"/>
      <w:r>
        <w:rPr>
          <w:lang w:val="en-AU" w:eastAsia="en-AU"/>
        </w:rPr>
        <w:t xml:space="preserve"> agencies</w:t>
      </w:r>
      <w:r w:rsidR="00B607CC">
        <w:rPr>
          <w:lang w:val="en-AU" w:eastAsia="en-AU"/>
        </w:rPr>
        <w:t xml:space="preserve"> (e.g. electoral bodies and parliaments)</w:t>
      </w:r>
      <w:r>
        <w:rPr>
          <w:lang w:val="en-AU" w:eastAsia="en-AU"/>
        </w:rPr>
        <w:t xml:space="preserve"> and civil society representatives on a range of issues, including to receive feedback on </w:t>
      </w:r>
      <w:proofErr w:type="spellStart"/>
      <w:r>
        <w:rPr>
          <w:lang w:val="en-AU" w:eastAsia="en-AU"/>
        </w:rPr>
        <w:t>Partisipasi</w:t>
      </w:r>
      <w:proofErr w:type="spellEnd"/>
      <w:r>
        <w:rPr>
          <w:lang w:val="en-AU" w:eastAsia="en-AU"/>
        </w:rPr>
        <w:t xml:space="preserve">. </w:t>
      </w:r>
      <w:r w:rsidR="00B607CC">
        <w:rPr>
          <w:lang w:val="en-AU" w:eastAsia="en-AU"/>
        </w:rPr>
        <w:t>This will help to</w:t>
      </w:r>
      <w:r w:rsidR="00B607CC" w:rsidRPr="72F7A8D0">
        <w:rPr>
          <w:lang w:val="en-AU" w:eastAsia="en-AU"/>
        </w:rPr>
        <w:t xml:space="preserve"> </w:t>
      </w:r>
      <w:r w:rsidR="00B607CC" w:rsidRPr="2E8DF82E">
        <w:rPr>
          <w:lang w:val="en-AU" w:eastAsia="en-AU"/>
        </w:rPr>
        <w:t xml:space="preserve">ensure </w:t>
      </w:r>
      <w:r w:rsidR="00B607CC" w:rsidRPr="23D2CD2A">
        <w:rPr>
          <w:lang w:val="en-AU" w:eastAsia="en-AU"/>
        </w:rPr>
        <w:t>a direct line of communication.</w:t>
      </w:r>
      <w:r w:rsidR="00764C4C">
        <w:rPr>
          <w:lang w:val="en-AU" w:eastAsia="en-AU"/>
        </w:rPr>
        <w:t xml:space="preserve"> </w:t>
      </w:r>
      <w:r w:rsidRPr="4B61BD58">
        <w:rPr>
          <w:lang w:val="en-AU" w:eastAsia="en-AU"/>
        </w:rPr>
        <w:t xml:space="preserve">DFAT will </w:t>
      </w:r>
      <w:r>
        <w:rPr>
          <w:lang w:val="en-AU" w:eastAsia="en-AU"/>
        </w:rPr>
        <w:t>liaise</w:t>
      </w:r>
      <w:r w:rsidRPr="4B61BD58">
        <w:rPr>
          <w:lang w:val="en-AU" w:eastAsia="en-AU"/>
        </w:rPr>
        <w:t xml:space="preserve"> directly with the Australian partners to coordinate their activities and facilitate their relationships with their Indonesian counterparts. </w:t>
      </w:r>
    </w:p>
    <w:p w14:paraId="37AB7846" w14:textId="4457D69F" w:rsidR="00180AE5" w:rsidRPr="00565CF8" w:rsidRDefault="00180AE5" w:rsidP="00180AE5">
      <w:r>
        <w:rPr>
          <w:lang w:val="en-AU" w:eastAsia="en-AU"/>
        </w:rPr>
        <w:lastRenderedPageBreak/>
        <w:t xml:space="preserve">CSP members will </w:t>
      </w:r>
      <w:r w:rsidRPr="00B57CB6">
        <w:rPr>
          <w:lang w:val="en-AU" w:eastAsia="en-AU"/>
        </w:rPr>
        <w:t>already</w:t>
      </w:r>
      <w:r>
        <w:rPr>
          <w:lang w:val="en-AU" w:eastAsia="en-AU"/>
        </w:rPr>
        <w:t xml:space="preserve"> have reporting and accountability arrangements in place in keeping with their registration in Indonesia. For example, </w:t>
      </w:r>
      <w:r w:rsidRPr="00B57CB6">
        <w:rPr>
          <w:lang w:val="en-AU" w:eastAsia="en-AU"/>
        </w:rPr>
        <w:t xml:space="preserve">international NGOs are </w:t>
      </w:r>
      <w:r>
        <w:rPr>
          <w:lang w:val="en-AU" w:eastAsia="en-AU"/>
        </w:rPr>
        <w:t xml:space="preserve">registered </w:t>
      </w:r>
      <w:r w:rsidRPr="00B57CB6">
        <w:rPr>
          <w:lang w:val="en-AU" w:eastAsia="en-AU"/>
        </w:rPr>
        <w:t xml:space="preserve">by and report to </w:t>
      </w:r>
      <w:r>
        <w:rPr>
          <w:lang w:val="en-AU" w:eastAsia="en-AU"/>
        </w:rPr>
        <w:t xml:space="preserve">Indonesia Ministry of Foreign Affairs, and Indonesian NGOs are registered and accountable under Indonesian law. </w:t>
      </w:r>
      <w:r w:rsidR="006647A2">
        <w:t xml:space="preserve">Civil society partners are expected to include </w:t>
      </w:r>
      <w:proofErr w:type="spellStart"/>
      <w:r w:rsidR="006647A2">
        <w:t>Partisipasi</w:t>
      </w:r>
      <w:proofErr w:type="spellEnd"/>
      <w:r w:rsidR="006647A2">
        <w:t xml:space="preserve"> in their existing reporting and accountability arrangements. </w:t>
      </w:r>
      <w:r>
        <w:rPr>
          <w:lang w:val="en-AU" w:eastAsia="en-AU"/>
        </w:rPr>
        <w:t xml:space="preserve">While the CSP members will be expected to report to the Convenor against their grants, DFAT does not govern or manage the members of the CSP, including the Core Group Partners and the Collaboration Partners. Only the Convenor has direct accountability to DFAT. </w:t>
      </w:r>
    </w:p>
    <w:p w14:paraId="4973AC70" w14:textId="77777777" w:rsidR="00195174" w:rsidRDefault="00902F90" w:rsidP="00195174">
      <w:pPr>
        <w:rPr>
          <w:lang w:eastAsia="en-AU"/>
        </w:rPr>
      </w:pPr>
      <w:proofErr w:type="spellStart"/>
      <w:r>
        <w:rPr>
          <w:lang w:val="en-AU" w:eastAsia="en-AU"/>
        </w:rPr>
        <w:t>GoI</w:t>
      </w:r>
      <w:proofErr w:type="spellEnd"/>
      <w:r w:rsidRPr="00847C6A">
        <w:rPr>
          <w:lang w:val="en-AU" w:eastAsia="en-AU"/>
        </w:rPr>
        <w:t xml:space="preserve"> will be engaged in the </w:t>
      </w:r>
      <w:r w:rsidR="0034281B">
        <w:rPr>
          <w:lang w:val="en-AU" w:eastAsia="en-AU"/>
        </w:rPr>
        <w:t>p</w:t>
      </w:r>
      <w:r w:rsidRPr="00847C6A">
        <w:rPr>
          <w:lang w:val="en-AU" w:eastAsia="en-AU"/>
        </w:rPr>
        <w:t xml:space="preserve">rogram at </w:t>
      </w:r>
      <w:r>
        <w:rPr>
          <w:lang w:val="en-AU" w:eastAsia="en-AU"/>
        </w:rPr>
        <w:t xml:space="preserve">the </w:t>
      </w:r>
      <w:r w:rsidRPr="00847C6A">
        <w:rPr>
          <w:lang w:val="en-AU" w:eastAsia="en-AU"/>
        </w:rPr>
        <w:t xml:space="preserve">activity level across both components of </w:t>
      </w:r>
      <w:proofErr w:type="spellStart"/>
      <w:r w:rsidRPr="00D84A7F">
        <w:rPr>
          <w:iCs/>
          <w:lang w:val="en-AU" w:eastAsia="en-AU"/>
        </w:rPr>
        <w:t>Partisipasi</w:t>
      </w:r>
      <w:proofErr w:type="spellEnd"/>
      <w:r w:rsidRPr="00847C6A">
        <w:rPr>
          <w:lang w:val="en-AU" w:eastAsia="en-AU"/>
        </w:rPr>
        <w:t xml:space="preserve">, including joint policy dialogues, </w:t>
      </w:r>
      <w:r w:rsidR="000727B0">
        <w:rPr>
          <w:lang w:val="en-AU" w:eastAsia="en-AU"/>
        </w:rPr>
        <w:t>G2G</w:t>
      </w:r>
      <w:r w:rsidRPr="00847C6A">
        <w:rPr>
          <w:lang w:val="en-AU" w:eastAsia="en-AU"/>
        </w:rPr>
        <w:t xml:space="preserve"> engagements, short courses, etc. To reinforce strategic alignment with </w:t>
      </w:r>
      <w:proofErr w:type="spellStart"/>
      <w:r w:rsidRPr="00847C6A">
        <w:rPr>
          <w:lang w:val="en-AU" w:eastAsia="en-AU"/>
        </w:rPr>
        <w:t>GoI</w:t>
      </w:r>
      <w:proofErr w:type="spellEnd"/>
      <w:r w:rsidRPr="00847C6A">
        <w:rPr>
          <w:lang w:val="en-AU" w:eastAsia="en-AU"/>
        </w:rPr>
        <w:t xml:space="preserve"> priorities, DFAT will engage </w:t>
      </w:r>
      <w:proofErr w:type="spellStart"/>
      <w:r w:rsidRPr="00847C6A">
        <w:rPr>
          <w:lang w:val="en-AU" w:eastAsia="en-AU"/>
        </w:rPr>
        <w:t>GoI</w:t>
      </w:r>
      <w:proofErr w:type="spellEnd"/>
      <w:r w:rsidRPr="00847C6A">
        <w:rPr>
          <w:lang w:val="en-AU" w:eastAsia="en-AU"/>
        </w:rPr>
        <w:t xml:space="preserve"> stakeholders in joint monitoring </w:t>
      </w:r>
      <w:r w:rsidR="00564773">
        <w:rPr>
          <w:lang w:val="en-AU" w:eastAsia="en-AU"/>
        </w:rPr>
        <w:t>visits</w:t>
      </w:r>
      <w:r w:rsidRPr="00847C6A">
        <w:rPr>
          <w:lang w:val="en-AU" w:eastAsia="en-AU"/>
        </w:rPr>
        <w:t xml:space="preserve">. This will enable </w:t>
      </w:r>
      <w:proofErr w:type="spellStart"/>
      <w:r w:rsidRPr="00847C6A">
        <w:rPr>
          <w:lang w:val="en-AU" w:eastAsia="en-AU"/>
        </w:rPr>
        <w:t>GoI</w:t>
      </w:r>
      <w:proofErr w:type="spellEnd"/>
      <w:r w:rsidRPr="00847C6A">
        <w:rPr>
          <w:lang w:val="en-AU" w:eastAsia="en-AU"/>
        </w:rPr>
        <w:t xml:space="preserve"> and DFAT to jointly review progress of activities, identify challenges and risk</w:t>
      </w:r>
      <w:r>
        <w:rPr>
          <w:lang w:val="en-AU" w:eastAsia="en-AU"/>
        </w:rPr>
        <w:t>s</w:t>
      </w:r>
      <w:r w:rsidRPr="00847C6A">
        <w:rPr>
          <w:lang w:val="en-AU" w:eastAsia="en-AU"/>
        </w:rPr>
        <w:t xml:space="preserve"> and inform adaptative management.</w:t>
      </w:r>
      <w:r>
        <w:rPr>
          <w:lang w:val="en-AU" w:eastAsia="en-AU"/>
        </w:rPr>
        <w:t xml:space="preserve"> </w:t>
      </w:r>
      <w:proofErr w:type="spellStart"/>
      <w:r w:rsidR="00195174" w:rsidRPr="00D84A7F">
        <w:rPr>
          <w:lang w:val="en-AU" w:eastAsia="en-AU"/>
        </w:rPr>
        <w:t>Partisipasi</w:t>
      </w:r>
      <w:proofErr w:type="spellEnd"/>
      <w:r w:rsidR="00195174" w:rsidRPr="00C72857">
        <w:rPr>
          <w:i/>
          <w:lang w:val="en-AU" w:eastAsia="en-AU"/>
        </w:rPr>
        <w:t xml:space="preserve"> </w:t>
      </w:r>
      <w:r w:rsidR="00195174" w:rsidRPr="00C72857">
        <w:rPr>
          <w:lang w:val="en-AU" w:eastAsia="en-AU"/>
        </w:rPr>
        <w:t xml:space="preserve">will operate across both national and subnational contexts. Engagement with provincial and district-level institutions and CSOs (e.g. in Aceh, South Sulawesi, and Yogyakarta) will be facilitated by the Convenor and Core Group </w:t>
      </w:r>
      <w:r w:rsidR="00195174">
        <w:rPr>
          <w:lang w:val="en-AU" w:eastAsia="en-AU"/>
        </w:rPr>
        <w:t>Partners</w:t>
      </w:r>
      <w:r w:rsidR="00195174" w:rsidRPr="00C72857">
        <w:rPr>
          <w:lang w:val="en-AU" w:eastAsia="en-AU"/>
        </w:rPr>
        <w:t xml:space="preserve">, with </w:t>
      </w:r>
      <w:r w:rsidR="00195174">
        <w:rPr>
          <w:lang w:eastAsia="en-AU"/>
        </w:rPr>
        <w:t xml:space="preserve">the joint CSP four-year workplan </w:t>
      </w:r>
      <w:r w:rsidR="00195174" w:rsidRPr="00532BAE">
        <w:rPr>
          <w:lang w:eastAsia="en-AU"/>
        </w:rPr>
        <w:t>incorporat</w:t>
      </w:r>
      <w:r w:rsidR="00195174">
        <w:rPr>
          <w:lang w:eastAsia="en-AU"/>
        </w:rPr>
        <w:t>ing</w:t>
      </w:r>
      <w:r w:rsidR="00195174" w:rsidRPr="00532BAE">
        <w:rPr>
          <w:lang w:eastAsia="en-AU"/>
        </w:rPr>
        <w:t xml:space="preserve"> subnational activities</w:t>
      </w:r>
      <w:r w:rsidR="00195174">
        <w:rPr>
          <w:lang w:eastAsia="en-AU"/>
        </w:rPr>
        <w:t>.</w:t>
      </w:r>
      <w:r w:rsidR="00195174" w:rsidRPr="00532BAE">
        <w:rPr>
          <w:lang w:eastAsia="en-AU"/>
        </w:rPr>
        <w:t xml:space="preserve"> </w:t>
      </w:r>
    </w:p>
    <w:p w14:paraId="488F8333" w14:textId="06DB8AF0" w:rsidR="0029513D" w:rsidRPr="00966D66" w:rsidRDefault="00966D66" w:rsidP="00DA2363">
      <w:pPr>
        <w:pStyle w:val="Caption"/>
        <w:spacing w:line="240" w:lineRule="auto"/>
        <w:rPr>
          <w:rFonts w:eastAsia="Times New Roman" w:cs="Times New Roman"/>
          <w:noProof/>
        </w:rPr>
      </w:pPr>
      <w:r w:rsidRPr="0062394B">
        <w:t>Figure</w:t>
      </w:r>
      <w:r>
        <w:t xml:space="preserve"> 3: </w:t>
      </w:r>
      <w:proofErr w:type="spellStart"/>
      <w:r>
        <w:t>Partisipasi</w:t>
      </w:r>
      <w:proofErr w:type="spellEnd"/>
      <w:r>
        <w:t xml:space="preserve"> Governance and Management Structure</w:t>
      </w:r>
    </w:p>
    <w:p w14:paraId="0D1155DF" w14:textId="5DD44C7B" w:rsidR="00E378CE" w:rsidRDefault="00FF3BD7" w:rsidP="00990A4E">
      <w:pPr>
        <w:rPr>
          <w:rFonts w:eastAsia="Times New Roman" w:cs="Times New Roman"/>
          <w:iCs/>
          <w:szCs w:val="24"/>
          <w:lang w:val="en-AU" w:eastAsia="en-AU"/>
        </w:rPr>
      </w:pPr>
      <w:r w:rsidRPr="00FF3BD7">
        <w:rPr>
          <w:rFonts w:eastAsia="Times New Roman" w:cs="Times New Roman"/>
          <w:iCs/>
          <w:noProof/>
          <w:szCs w:val="24"/>
          <w:lang w:val="en-AU" w:eastAsia="en-AU"/>
        </w:rPr>
        <w:drawing>
          <wp:inline distT="0" distB="0" distL="0" distR="0" wp14:anchorId="72AF5F5B" wp14:editId="268738A0">
            <wp:extent cx="6505653" cy="3135086"/>
            <wp:effectExtent l="0" t="0" r="0" b="8255"/>
            <wp:docPr id="986773368" name="Picture 1" descr="Image of the Partisipasi Governance and Management Structure. See Annex M for written explan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773368" name="Picture 1" descr="Image of the Partisipasi Governance and Management Structure. See Annex M for written explanation.  "/>
                    <pic:cNvPicPr/>
                  </pic:nvPicPr>
                  <pic:blipFill>
                    <a:blip r:embed="rId25"/>
                    <a:stretch>
                      <a:fillRect/>
                    </a:stretch>
                  </pic:blipFill>
                  <pic:spPr>
                    <a:xfrm>
                      <a:off x="0" y="0"/>
                      <a:ext cx="6509571" cy="3136974"/>
                    </a:xfrm>
                    <a:prstGeom prst="rect">
                      <a:avLst/>
                    </a:prstGeom>
                  </pic:spPr>
                </pic:pic>
              </a:graphicData>
            </a:graphic>
          </wp:inline>
        </w:drawing>
      </w:r>
    </w:p>
    <w:p w14:paraId="49FCE3AE" w14:textId="77777777" w:rsidR="00E24082" w:rsidRDefault="00E24082" w:rsidP="00990A4E">
      <w:pPr>
        <w:rPr>
          <w:rFonts w:eastAsia="Times New Roman" w:cs="Times New Roman"/>
          <w:iCs/>
          <w:szCs w:val="24"/>
          <w:lang w:val="en-AU" w:eastAsia="en-AU"/>
        </w:rPr>
      </w:pPr>
    </w:p>
    <w:p w14:paraId="34FF5913" w14:textId="77777777" w:rsidR="00E378CE" w:rsidRPr="00DA2363" w:rsidRDefault="00E378CE" w:rsidP="00E378CE">
      <w:pPr>
        <w:rPr>
          <w:rFonts w:eastAsia="Times New Roman" w:cs="Times New Roman"/>
          <w:b/>
          <w:bCs/>
          <w:iCs/>
          <w:szCs w:val="24"/>
          <w:lang w:val="en-AU" w:eastAsia="en-AU"/>
        </w:rPr>
      </w:pPr>
      <w:r w:rsidRPr="00DA2363">
        <w:rPr>
          <w:rFonts w:eastAsia="Times New Roman" w:cs="Times New Roman"/>
          <w:b/>
          <w:bCs/>
          <w:iCs/>
          <w:szCs w:val="24"/>
          <w:lang w:val="en-AU" w:eastAsia="en-AU"/>
        </w:rPr>
        <w:t>Summary of Key Roles</w:t>
      </w:r>
    </w:p>
    <w:p w14:paraId="56A48C34" w14:textId="0664AB84" w:rsidR="005832FF" w:rsidRPr="005832FF" w:rsidRDefault="00E378CE" w:rsidP="005832FF">
      <w:pPr>
        <w:pStyle w:val="ListParagraph"/>
        <w:numPr>
          <w:ilvl w:val="1"/>
          <w:numId w:val="17"/>
        </w:numPr>
        <w:spacing w:after="240"/>
        <w:ind w:left="538" w:hanging="357"/>
        <w:rPr>
          <w:rFonts w:eastAsia="Times New Roman" w:cs="Times New Roman"/>
          <w:iCs/>
          <w:szCs w:val="24"/>
          <w:lang w:val="en-AU" w:eastAsia="en-AU"/>
        </w:rPr>
      </w:pPr>
      <w:r w:rsidRPr="00DA2363">
        <w:rPr>
          <w:rFonts w:eastAsia="Times New Roman" w:cs="Times New Roman"/>
          <w:b/>
          <w:bCs/>
          <w:iCs/>
          <w:szCs w:val="24"/>
          <w:lang w:val="en-AU" w:eastAsia="en-AU"/>
        </w:rPr>
        <w:t>DFAT</w:t>
      </w:r>
      <w:r w:rsidRPr="00E378CE">
        <w:rPr>
          <w:rFonts w:eastAsia="Times New Roman" w:cs="Times New Roman"/>
          <w:iCs/>
          <w:szCs w:val="24"/>
          <w:lang w:val="en-AU" w:eastAsia="en-AU"/>
        </w:rPr>
        <w:t xml:space="preserve">: Sets strategic direction, maintains direct bilateral engagement with </w:t>
      </w:r>
      <w:proofErr w:type="spellStart"/>
      <w:r w:rsidRPr="00E378CE">
        <w:rPr>
          <w:rFonts w:eastAsia="Times New Roman" w:cs="Times New Roman"/>
          <w:iCs/>
          <w:szCs w:val="24"/>
          <w:lang w:val="en-AU" w:eastAsia="en-AU"/>
        </w:rPr>
        <w:t>GoI</w:t>
      </w:r>
      <w:proofErr w:type="spellEnd"/>
      <w:r w:rsidRPr="00E378CE">
        <w:rPr>
          <w:rFonts w:eastAsia="Times New Roman" w:cs="Times New Roman"/>
          <w:iCs/>
          <w:szCs w:val="24"/>
          <w:lang w:val="en-AU" w:eastAsia="en-AU"/>
        </w:rPr>
        <w:t xml:space="preserve">, manages Component 1 and the Convenor, approves the consolidated </w:t>
      </w:r>
      <w:proofErr w:type="spellStart"/>
      <w:r w:rsidRPr="00E378CE">
        <w:rPr>
          <w:rFonts w:eastAsia="Times New Roman" w:cs="Times New Roman"/>
          <w:iCs/>
          <w:szCs w:val="24"/>
          <w:lang w:val="en-AU" w:eastAsia="en-AU"/>
        </w:rPr>
        <w:t>Partisipasi</w:t>
      </w:r>
      <w:proofErr w:type="spellEnd"/>
      <w:r w:rsidRPr="00E378CE">
        <w:rPr>
          <w:rFonts w:eastAsia="Times New Roman" w:cs="Times New Roman"/>
          <w:iCs/>
          <w:szCs w:val="24"/>
          <w:lang w:val="en-AU" w:eastAsia="en-AU"/>
        </w:rPr>
        <w:t xml:space="preserve"> workplan, co-chairs the PAB, commissions independent reviews.</w:t>
      </w:r>
    </w:p>
    <w:p w14:paraId="1114CCFE" w14:textId="77777777" w:rsidR="00E378CE" w:rsidRDefault="00E378CE" w:rsidP="00E378CE">
      <w:pPr>
        <w:pStyle w:val="ListParagraph"/>
        <w:numPr>
          <w:ilvl w:val="1"/>
          <w:numId w:val="17"/>
        </w:numPr>
        <w:ind w:left="540" w:hanging="360"/>
        <w:rPr>
          <w:rFonts w:eastAsia="Times New Roman" w:cs="Times New Roman"/>
          <w:iCs/>
          <w:szCs w:val="24"/>
          <w:lang w:val="en-AU" w:eastAsia="en-AU"/>
        </w:rPr>
      </w:pPr>
      <w:r w:rsidRPr="00DA2363">
        <w:rPr>
          <w:rFonts w:eastAsia="Times New Roman" w:cs="Times New Roman"/>
          <w:b/>
          <w:bCs/>
          <w:iCs/>
          <w:szCs w:val="24"/>
          <w:lang w:val="en-AU" w:eastAsia="en-AU"/>
        </w:rPr>
        <w:t>PSU</w:t>
      </w:r>
      <w:r w:rsidRPr="00E378CE">
        <w:rPr>
          <w:rFonts w:eastAsia="Times New Roman" w:cs="Times New Roman"/>
          <w:iCs/>
          <w:szCs w:val="24"/>
          <w:lang w:val="en-AU" w:eastAsia="en-AU"/>
        </w:rPr>
        <w:t xml:space="preserve">: Provides administrative and operational support to DFAT for Component 1 and provides coordination and support services for the whole program in relation to: collating a single risk matrix and work plan, secretariat support for the PAB, and recruiting short-term advisers as required. </w:t>
      </w:r>
    </w:p>
    <w:p w14:paraId="4B63BF15" w14:textId="1AA0421B" w:rsidR="00E378CE" w:rsidRPr="00E378CE" w:rsidRDefault="00E378CE" w:rsidP="00E378CE">
      <w:pPr>
        <w:pStyle w:val="ListParagraph"/>
        <w:numPr>
          <w:ilvl w:val="1"/>
          <w:numId w:val="17"/>
        </w:numPr>
        <w:ind w:left="540" w:hanging="360"/>
        <w:rPr>
          <w:rFonts w:eastAsia="Times New Roman" w:cs="Times New Roman"/>
          <w:iCs/>
          <w:szCs w:val="24"/>
          <w:lang w:val="en-AU" w:eastAsia="en-AU"/>
        </w:rPr>
      </w:pPr>
      <w:r w:rsidRPr="00DA2363">
        <w:rPr>
          <w:rFonts w:eastAsia="Times New Roman" w:cs="Times New Roman"/>
          <w:b/>
          <w:bCs/>
          <w:iCs/>
          <w:szCs w:val="24"/>
          <w:lang w:val="en-AU" w:eastAsia="en-AU"/>
        </w:rPr>
        <w:t>Convenor</w:t>
      </w:r>
      <w:r w:rsidRPr="00E378CE">
        <w:rPr>
          <w:rFonts w:eastAsia="Times New Roman" w:cs="Times New Roman"/>
          <w:iCs/>
          <w:szCs w:val="24"/>
          <w:lang w:val="en-AU" w:eastAsia="en-AU"/>
        </w:rPr>
        <w:t>: Leads Component 2 including the four-year CSP Strategy and workplan (with annual updates), facilitates the CSP Steering Committee, manages sub-grants, ensures partner coordination, and hosts the MEL Hub.</w:t>
      </w:r>
    </w:p>
    <w:p w14:paraId="05FA2E40" w14:textId="77777777" w:rsidR="00902F90" w:rsidRPr="00D474C9" w:rsidRDefault="00902F90" w:rsidP="00847DAB">
      <w:pPr>
        <w:pStyle w:val="Heading2Numbered"/>
      </w:pPr>
      <w:bookmarkStart w:id="187" w:name="_Toc214523347"/>
      <w:bookmarkStart w:id="188" w:name="_Toc214538170"/>
      <w:bookmarkStart w:id="189" w:name="_Toc214523348"/>
      <w:bookmarkStart w:id="190" w:name="_Toc214538171"/>
      <w:bookmarkStart w:id="191" w:name="_Toc214523349"/>
      <w:bookmarkStart w:id="192" w:name="_Toc214538172"/>
      <w:bookmarkStart w:id="193" w:name="_Toc214523350"/>
      <w:bookmarkStart w:id="194" w:name="_Toc214538173"/>
      <w:bookmarkStart w:id="195" w:name="_Toc214523351"/>
      <w:bookmarkStart w:id="196" w:name="_Toc214538174"/>
      <w:bookmarkStart w:id="197" w:name="_Toc214523352"/>
      <w:bookmarkStart w:id="198" w:name="_Toc214538175"/>
      <w:bookmarkStart w:id="199" w:name="_Toc214523353"/>
      <w:bookmarkStart w:id="200" w:name="_Toc214538176"/>
      <w:bookmarkStart w:id="201" w:name="_Toc214523354"/>
      <w:bookmarkStart w:id="202" w:name="_Toc214538177"/>
      <w:bookmarkStart w:id="203" w:name="_Toc210657113"/>
      <w:bookmarkStart w:id="204" w:name="_Toc214523355"/>
      <w:bookmarkStart w:id="205" w:name="_Toc214538178"/>
      <w:bookmarkStart w:id="206" w:name="_Toc214523356"/>
      <w:bookmarkStart w:id="207" w:name="_Toc214538179"/>
      <w:bookmarkStart w:id="208" w:name="_Toc214523357"/>
      <w:bookmarkStart w:id="209" w:name="_Toc214538180"/>
      <w:bookmarkStart w:id="210" w:name="_Toc214523358"/>
      <w:bookmarkStart w:id="211" w:name="_Toc214538181"/>
      <w:bookmarkStart w:id="212" w:name="_Toc214523359"/>
      <w:bookmarkStart w:id="213" w:name="_Toc214538182"/>
      <w:bookmarkStart w:id="214" w:name="_Toc214523360"/>
      <w:bookmarkStart w:id="215" w:name="_Toc214538183"/>
      <w:bookmarkStart w:id="216" w:name="_Toc214523361"/>
      <w:bookmarkStart w:id="217" w:name="_Toc214538184"/>
      <w:bookmarkStart w:id="218" w:name="_Toc214523362"/>
      <w:bookmarkStart w:id="219" w:name="_Toc214538185"/>
      <w:bookmarkStart w:id="220" w:name="_Toc214523363"/>
      <w:bookmarkStart w:id="221" w:name="_Toc214538186"/>
      <w:bookmarkStart w:id="222" w:name="_Toc214523364"/>
      <w:bookmarkStart w:id="223" w:name="_Toc214538187"/>
      <w:bookmarkStart w:id="224" w:name="_Toc214523365"/>
      <w:bookmarkStart w:id="225" w:name="_Toc214538188"/>
      <w:bookmarkStart w:id="226" w:name="_Toc214523366"/>
      <w:bookmarkStart w:id="227" w:name="_Toc214538189"/>
      <w:bookmarkStart w:id="228" w:name="_Toc214523367"/>
      <w:bookmarkStart w:id="229" w:name="_Toc214538190"/>
      <w:bookmarkStart w:id="230" w:name="_Toc210657115"/>
      <w:bookmarkStart w:id="231" w:name="_Toc208223952"/>
      <w:bookmarkStart w:id="232" w:name="_Toc232524280"/>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D474C9">
        <w:lastRenderedPageBreak/>
        <w:t>Early Activities</w:t>
      </w:r>
      <w:bookmarkEnd w:id="231"/>
      <w:bookmarkEnd w:id="232"/>
    </w:p>
    <w:p w14:paraId="69CD085E" w14:textId="62E64E76" w:rsidR="00902F90" w:rsidRPr="00196C0D" w:rsidRDefault="00902F90" w:rsidP="1F29A392">
      <w:pPr>
        <w:tabs>
          <w:tab w:val="left" w:pos="284"/>
        </w:tabs>
        <w:suppressAutoHyphens w:val="0"/>
        <w:spacing w:before="0" w:line="280" w:lineRule="exact"/>
        <w:rPr>
          <w:rFonts w:eastAsia="Times New Roman" w:cs="Times New Roman"/>
          <w:lang w:val="en-AU"/>
        </w:rPr>
      </w:pPr>
      <w:r w:rsidRPr="1F29A392">
        <w:rPr>
          <w:rFonts w:eastAsia="Times New Roman" w:cs="Times New Roman"/>
          <w:lang w:val="en-AU"/>
        </w:rPr>
        <w:t xml:space="preserve">The initial phase of </w:t>
      </w:r>
      <w:proofErr w:type="spellStart"/>
      <w:r w:rsidRPr="1F29A392">
        <w:rPr>
          <w:rFonts w:eastAsia="Times New Roman" w:cs="Times New Roman"/>
          <w:lang w:val="en-AU"/>
        </w:rPr>
        <w:t>Partisipasi</w:t>
      </w:r>
      <w:proofErr w:type="spellEnd"/>
      <w:r w:rsidR="001A4DF0">
        <w:rPr>
          <w:rFonts w:eastAsia="Times New Roman" w:cs="Times New Roman"/>
          <w:lang w:val="en-AU"/>
        </w:rPr>
        <w:t xml:space="preserve"> (up to </w:t>
      </w:r>
      <w:r w:rsidR="00D140A2">
        <w:rPr>
          <w:rFonts w:eastAsia="Times New Roman" w:cs="Times New Roman"/>
          <w:lang w:val="en-AU"/>
        </w:rPr>
        <w:t>2030)</w:t>
      </w:r>
      <w:r w:rsidRPr="1F29A392">
        <w:rPr>
          <w:rFonts w:eastAsia="Times New Roman" w:cs="Times New Roman"/>
          <w:i/>
          <w:iCs/>
          <w:lang w:val="en-AU"/>
        </w:rPr>
        <w:t xml:space="preserve"> </w:t>
      </w:r>
      <w:r w:rsidRPr="1F29A392">
        <w:rPr>
          <w:rFonts w:eastAsia="Times New Roman" w:cs="Times New Roman"/>
          <w:lang w:val="en-AU"/>
        </w:rPr>
        <w:t xml:space="preserve">will focus on laying the institutional, operational and relational foundations for long-term, adaptive programming. Early activities will prioritise co-design, partnership consolidation, capability assessments, and joint planning processes that ensure meaningful localisation, strategic alignment, and mutual ownership of the investment. See </w:t>
      </w:r>
      <w:hyperlink w:anchor="_Annex_G:_Pre-inception" w:history="1">
        <w:r w:rsidR="00AD473F" w:rsidRPr="003135A3">
          <w:rPr>
            <w:rStyle w:val="Hyperlink"/>
            <w:rFonts w:eastAsia="Times New Roman" w:cs="Times New Roman"/>
            <w:b/>
            <w:bCs/>
            <w:szCs w:val="21"/>
          </w:rPr>
          <w:t>Annex</w:t>
        </w:r>
        <w:r w:rsidR="00AD473F">
          <w:rPr>
            <w:rStyle w:val="Hyperlink"/>
            <w:rFonts w:eastAsia="Times New Roman" w:cs="Times New Roman"/>
            <w:b/>
            <w:bCs/>
            <w:szCs w:val="21"/>
          </w:rPr>
          <w:t xml:space="preserve"> G</w:t>
        </w:r>
      </w:hyperlink>
      <w:r w:rsidR="007561A9">
        <w:rPr>
          <w:rFonts w:eastAsia="Times New Roman" w:cs="Times New Roman"/>
          <w:lang w:val="en-AU"/>
        </w:rPr>
        <w:t xml:space="preserve"> </w:t>
      </w:r>
      <w:r w:rsidRPr="1F29A392">
        <w:rPr>
          <w:rFonts w:eastAsia="Times New Roman" w:cs="Times New Roman"/>
          <w:lang w:val="en-AU"/>
        </w:rPr>
        <w:t xml:space="preserve">for an overview of </w:t>
      </w:r>
      <w:r w:rsidR="009C7884" w:rsidRPr="1F29A392">
        <w:rPr>
          <w:rFonts w:eastAsia="Times New Roman" w:cs="Times New Roman"/>
          <w:lang w:val="en-AU"/>
        </w:rPr>
        <w:t>i</w:t>
      </w:r>
      <w:r w:rsidRPr="1F29A392">
        <w:rPr>
          <w:rFonts w:eastAsia="Times New Roman" w:cs="Times New Roman"/>
          <w:lang w:val="en-AU"/>
        </w:rPr>
        <w:t xml:space="preserve">ndicative </w:t>
      </w:r>
      <w:r w:rsidR="009C7884" w:rsidRPr="1F29A392">
        <w:rPr>
          <w:rFonts w:eastAsia="Times New Roman" w:cs="Times New Roman"/>
          <w:lang w:val="en-AU"/>
        </w:rPr>
        <w:t>e</w:t>
      </w:r>
      <w:r w:rsidRPr="1F29A392">
        <w:rPr>
          <w:rFonts w:eastAsia="Times New Roman" w:cs="Times New Roman"/>
          <w:lang w:val="en-AU"/>
        </w:rPr>
        <w:t xml:space="preserve">arly </w:t>
      </w:r>
      <w:r w:rsidR="009C7884" w:rsidRPr="1F29A392">
        <w:rPr>
          <w:rFonts w:eastAsia="Times New Roman" w:cs="Times New Roman"/>
          <w:lang w:val="en-AU"/>
        </w:rPr>
        <w:t>i</w:t>
      </w:r>
      <w:r w:rsidRPr="1F29A392">
        <w:rPr>
          <w:rFonts w:eastAsia="Times New Roman" w:cs="Times New Roman"/>
          <w:lang w:val="en-AU"/>
        </w:rPr>
        <w:t xml:space="preserve">mplementation </w:t>
      </w:r>
      <w:r w:rsidR="009C7884" w:rsidRPr="1F29A392">
        <w:rPr>
          <w:rFonts w:eastAsia="Times New Roman" w:cs="Times New Roman"/>
          <w:lang w:val="en-AU"/>
        </w:rPr>
        <w:t>a</w:t>
      </w:r>
      <w:r w:rsidRPr="1F29A392">
        <w:rPr>
          <w:rFonts w:eastAsia="Times New Roman" w:cs="Times New Roman"/>
          <w:lang w:val="en-AU"/>
        </w:rPr>
        <w:t xml:space="preserve">ctivities and an associated </w:t>
      </w:r>
      <w:r w:rsidR="00096F74" w:rsidRPr="1F29A392">
        <w:rPr>
          <w:rFonts w:eastAsia="Times New Roman" w:cs="Times New Roman"/>
          <w:lang w:val="en-AU"/>
        </w:rPr>
        <w:t>w</w:t>
      </w:r>
      <w:r w:rsidRPr="1F29A392">
        <w:rPr>
          <w:rFonts w:eastAsia="Times New Roman" w:cs="Times New Roman"/>
          <w:lang w:val="en-AU"/>
        </w:rPr>
        <w:t>orkplan.</w:t>
      </w:r>
    </w:p>
    <w:p w14:paraId="37A21A5E" w14:textId="64095D65" w:rsidR="00902F90" w:rsidRPr="00966D66" w:rsidRDefault="00902F90" w:rsidP="00966D66">
      <w:pPr>
        <w:pStyle w:val="Heading2Numbered"/>
      </w:pPr>
      <w:bookmarkStart w:id="233" w:name="_Toc214523369"/>
      <w:bookmarkStart w:id="234" w:name="_Toc214538192"/>
      <w:bookmarkStart w:id="235" w:name="_Toc214523370"/>
      <w:bookmarkStart w:id="236" w:name="_Toc214538193"/>
      <w:bookmarkStart w:id="237" w:name="_Toc214523371"/>
      <w:bookmarkStart w:id="238" w:name="_Toc214538194"/>
      <w:bookmarkStart w:id="239" w:name="_Toc208223954"/>
      <w:bookmarkStart w:id="240" w:name="_Toc232524281"/>
      <w:bookmarkEnd w:id="233"/>
      <w:bookmarkEnd w:id="234"/>
      <w:bookmarkEnd w:id="235"/>
      <w:bookmarkEnd w:id="236"/>
      <w:bookmarkEnd w:id="237"/>
      <w:bookmarkEnd w:id="238"/>
      <w:r w:rsidRPr="005576A3">
        <w:t>Profile</w:t>
      </w:r>
      <w:r w:rsidRPr="00D474C9">
        <w:t xml:space="preserve"> and </w:t>
      </w:r>
      <w:bookmarkEnd w:id="239"/>
      <w:r>
        <w:t>Communications</w:t>
      </w:r>
      <w:bookmarkEnd w:id="240"/>
    </w:p>
    <w:p w14:paraId="60DA6030" w14:textId="16C5F92D" w:rsidR="00902F90" w:rsidRDefault="00FB3B62" w:rsidP="00902F90">
      <w:pPr>
        <w:tabs>
          <w:tab w:val="left" w:pos="284"/>
        </w:tabs>
        <w:suppressAutoHyphens w:val="0"/>
        <w:spacing w:before="0" w:after="0" w:line="280" w:lineRule="exact"/>
        <w:rPr>
          <w:rFonts w:eastAsia="Times New Roman" w:cs="Times New Roman"/>
          <w:szCs w:val="21"/>
          <w:lang w:val="en-AU"/>
        </w:rPr>
      </w:pPr>
      <w:proofErr w:type="spellStart"/>
      <w:r>
        <w:rPr>
          <w:rFonts w:eastAsia="Times New Roman" w:cs="Times New Roman"/>
          <w:szCs w:val="21"/>
          <w:lang w:val="en-AU"/>
        </w:rPr>
        <w:t>Partisipasi</w:t>
      </w:r>
      <w:proofErr w:type="spellEnd"/>
      <w:r>
        <w:rPr>
          <w:rFonts w:eastAsia="Times New Roman" w:cs="Times New Roman"/>
          <w:szCs w:val="21"/>
          <w:lang w:val="en-AU"/>
        </w:rPr>
        <w:t xml:space="preserve"> </w:t>
      </w:r>
      <w:r w:rsidR="00EC75A5">
        <w:rPr>
          <w:rFonts w:eastAsia="Times New Roman" w:cs="Times New Roman"/>
          <w:szCs w:val="21"/>
          <w:lang w:val="en-AU"/>
        </w:rPr>
        <w:t xml:space="preserve">provides a platform for Australia and Indonesia to strengthen their partnership in this sector, </w:t>
      </w:r>
      <w:r w:rsidR="00ED61B6">
        <w:rPr>
          <w:rFonts w:eastAsia="Times New Roman" w:cs="Times New Roman"/>
          <w:szCs w:val="21"/>
          <w:lang w:val="en-AU"/>
        </w:rPr>
        <w:t xml:space="preserve">as well as </w:t>
      </w:r>
      <w:r w:rsidR="00EC75A5">
        <w:rPr>
          <w:rFonts w:eastAsia="Times New Roman" w:cs="Times New Roman"/>
          <w:szCs w:val="21"/>
          <w:lang w:val="en-AU"/>
        </w:rPr>
        <w:t>share learning about mutual challenges and solutions</w:t>
      </w:r>
      <w:r w:rsidR="00ED61B6">
        <w:rPr>
          <w:rFonts w:eastAsia="Times New Roman" w:cs="Times New Roman"/>
          <w:szCs w:val="21"/>
          <w:lang w:val="en-AU"/>
        </w:rPr>
        <w:t>.</w:t>
      </w:r>
      <w:r w:rsidR="009A5067">
        <w:rPr>
          <w:rFonts w:eastAsia="Times New Roman" w:cs="Times New Roman"/>
          <w:szCs w:val="21"/>
          <w:lang w:val="en-AU"/>
        </w:rPr>
        <w:t xml:space="preserve"> </w:t>
      </w:r>
      <w:proofErr w:type="spellStart"/>
      <w:r w:rsidR="00204B86">
        <w:rPr>
          <w:rFonts w:eastAsia="Times New Roman" w:cs="Times New Roman"/>
          <w:szCs w:val="21"/>
          <w:lang w:val="en-AU"/>
        </w:rPr>
        <w:t>Partisipasi</w:t>
      </w:r>
      <w:proofErr w:type="spellEnd"/>
      <w:r w:rsidR="00204B86">
        <w:rPr>
          <w:rFonts w:eastAsia="Times New Roman" w:cs="Times New Roman"/>
          <w:szCs w:val="21"/>
          <w:lang w:val="en-AU"/>
        </w:rPr>
        <w:t xml:space="preserve"> communications are expected to profile this partnership and shared learning. </w:t>
      </w:r>
      <w:r w:rsidR="00D91FF5">
        <w:rPr>
          <w:rFonts w:eastAsia="Times New Roman" w:cs="Times New Roman"/>
          <w:szCs w:val="21"/>
          <w:lang w:val="en-AU"/>
        </w:rPr>
        <w:t>T</w:t>
      </w:r>
      <w:r w:rsidR="009A5067">
        <w:rPr>
          <w:rFonts w:eastAsia="Times New Roman" w:cs="Times New Roman"/>
          <w:szCs w:val="21"/>
          <w:lang w:val="en-AU"/>
        </w:rPr>
        <w:t xml:space="preserve">he PSU and </w:t>
      </w:r>
      <w:r w:rsidR="00975C8C">
        <w:rPr>
          <w:rFonts w:eastAsia="Times New Roman" w:cs="Times New Roman"/>
          <w:szCs w:val="21"/>
          <w:lang w:val="en-AU"/>
        </w:rPr>
        <w:t>Convenor</w:t>
      </w:r>
      <w:r w:rsidR="00902F90">
        <w:rPr>
          <w:rFonts w:eastAsia="Times New Roman" w:cs="Times New Roman"/>
          <w:szCs w:val="21"/>
          <w:lang w:val="en-AU"/>
        </w:rPr>
        <w:t xml:space="preserve"> will</w:t>
      </w:r>
      <w:r w:rsidR="00204B86">
        <w:rPr>
          <w:rFonts w:eastAsia="Times New Roman" w:cs="Times New Roman"/>
          <w:szCs w:val="21"/>
          <w:lang w:val="en-AU"/>
        </w:rPr>
        <w:t xml:space="preserve"> collaborate to</w:t>
      </w:r>
      <w:r w:rsidR="00902F90">
        <w:rPr>
          <w:rFonts w:eastAsia="Times New Roman" w:cs="Times New Roman"/>
          <w:szCs w:val="21"/>
          <w:lang w:val="en-AU"/>
        </w:rPr>
        <w:t xml:space="preserve"> develop and implement a</w:t>
      </w:r>
      <w:r w:rsidR="00902F90" w:rsidRPr="00884991">
        <w:rPr>
          <w:rFonts w:eastAsia="Times New Roman" w:cs="Times New Roman"/>
          <w:szCs w:val="21"/>
          <w:lang w:val="en-AU"/>
        </w:rPr>
        <w:t xml:space="preserve"> comprehensive </w:t>
      </w:r>
      <w:proofErr w:type="spellStart"/>
      <w:r w:rsidR="00D91FF5">
        <w:rPr>
          <w:rFonts w:eastAsia="Times New Roman" w:cs="Times New Roman"/>
          <w:szCs w:val="21"/>
          <w:lang w:val="en-AU"/>
        </w:rPr>
        <w:t>Partisipasi</w:t>
      </w:r>
      <w:proofErr w:type="spellEnd"/>
      <w:r w:rsidR="00D91FF5">
        <w:rPr>
          <w:rFonts w:eastAsia="Times New Roman" w:cs="Times New Roman"/>
          <w:szCs w:val="21"/>
          <w:lang w:val="en-AU"/>
        </w:rPr>
        <w:t xml:space="preserve"> </w:t>
      </w:r>
      <w:r w:rsidR="00902F90" w:rsidRPr="00884991">
        <w:rPr>
          <w:rFonts w:eastAsia="Times New Roman" w:cs="Times New Roman"/>
          <w:szCs w:val="21"/>
          <w:lang w:val="en-AU"/>
        </w:rPr>
        <w:t xml:space="preserve">communications strategy, </w:t>
      </w:r>
      <w:r w:rsidR="00352912">
        <w:rPr>
          <w:rFonts w:eastAsia="Times New Roman" w:cs="Times New Roman"/>
          <w:szCs w:val="21"/>
          <w:lang w:val="en-AU"/>
        </w:rPr>
        <w:t>g</w:t>
      </w:r>
      <w:r w:rsidR="00902F90" w:rsidRPr="00884991">
        <w:rPr>
          <w:rFonts w:eastAsia="Times New Roman" w:cs="Times New Roman"/>
          <w:szCs w:val="21"/>
          <w:lang w:val="en-AU"/>
        </w:rPr>
        <w:t xml:space="preserve">uided by DFAT policy and </w:t>
      </w:r>
      <w:r w:rsidR="00902F90">
        <w:rPr>
          <w:rFonts w:eastAsia="Times New Roman" w:cs="Times New Roman"/>
          <w:szCs w:val="21"/>
          <w:lang w:val="en-AU"/>
        </w:rPr>
        <w:t xml:space="preserve">political and </w:t>
      </w:r>
      <w:r w:rsidR="00902F90" w:rsidRPr="00884991">
        <w:rPr>
          <w:rFonts w:eastAsia="Times New Roman" w:cs="Times New Roman"/>
          <w:szCs w:val="21"/>
          <w:lang w:val="en-AU"/>
        </w:rPr>
        <w:t>partner sensitivities. This will include tiered visibility protocols, co-branding arrangements</w:t>
      </w:r>
      <w:r w:rsidR="00902F90">
        <w:rPr>
          <w:rFonts w:eastAsia="Times New Roman" w:cs="Times New Roman"/>
          <w:szCs w:val="21"/>
          <w:lang w:val="en-AU"/>
        </w:rPr>
        <w:t xml:space="preserve"> for most Component </w:t>
      </w:r>
      <w:r w:rsidR="008F1740">
        <w:rPr>
          <w:rFonts w:eastAsia="Times New Roman" w:cs="Times New Roman"/>
          <w:szCs w:val="21"/>
          <w:lang w:val="en-AU"/>
        </w:rPr>
        <w:t xml:space="preserve">1 </w:t>
      </w:r>
      <w:r w:rsidR="00902F90">
        <w:rPr>
          <w:rFonts w:eastAsia="Times New Roman" w:cs="Times New Roman"/>
          <w:szCs w:val="21"/>
          <w:lang w:val="en-AU"/>
        </w:rPr>
        <w:t>activities</w:t>
      </w:r>
      <w:r w:rsidR="00902F90" w:rsidRPr="00884991">
        <w:rPr>
          <w:rFonts w:eastAsia="Times New Roman" w:cs="Times New Roman"/>
          <w:szCs w:val="21"/>
          <w:lang w:val="en-AU"/>
        </w:rPr>
        <w:t xml:space="preserve">, media outreach, digital storytelling, and strategic event participation. DFAT and partner-led channels will be used selectively. Communications will be continuously reviewed using MEL data to ensure alignment with program outcomes. </w:t>
      </w:r>
      <w:bookmarkStart w:id="241" w:name="_Toc208223955"/>
    </w:p>
    <w:p w14:paraId="34A8FBB0" w14:textId="1389E3FD" w:rsidR="00902F90" w:rsidRDefault="00902F90" w:rsidP="00847DAB">
      <w:pPr>
        <w:pStyle w:val="Heading2Numbered"/>
      </w:pPr>
      <w:bookmarkStart w:id="242" w:name="_Toc232524282"/>
      <w:r w:rsidRPr="00847DAB">
        <w:t>S</w:t>
      </w:r>
      <w:r w:rsidR="003603BC" w:rsidRPr="00847DAB">
        <w:t>u</w:t>
      </w:r>
      <w:r w:rsidRPr="00847DAB">
        <w:t>stainability</w:t>
      </w:r>
      <w:bookmarkEnd w:id="242"/>
    </w:p>
    <w:p w14:paraId="51CC5824" w14:textId="280DFE62" w:rsidR="00902F90" w:rsidRPr="005F29A4" w:rsidRDefault="00902F90" w:rsidP="00902F90">
      <w:pPr>
        <w:rPr>
          <w:lang w:val="en-AU" w:eastAsia="en-AU"/>
        </w:rPr>
      </w:pPr>
      <w:r w:rsidRPr="00C034B4">
        <w:rPr>
          <w:lang w:val="en-AU" w:eastAsia="en-AU"/>
        </w:rPr>
        <w:t xml:space="preserve">Sustainability is a </w:t>
      </w:r>
      <w:r w:rsidR="000F5A79">
        <w:rPr>
          <w:lang w:val="en-AU" w:eastAsia="en-AU"/>
        </w:rPr>
        <w:t>s</w:t>
      </w:r>
      <w:r w:rsidRPr="00C034B4">
        <w:rPr>
          <w:lang w:val="en-AU" w:eastAsia="en-AU"/>
        </w:rPr>
        <w:t xml:space="preserve">trategic </w:t>
      </w:r>
      <w:r w:rsidR="000F5A79">
        <w:rPr>
          <w:lang w:val="en-AU" w:eastAsia="en-AU"/>
        </w:rPr>
        <w:t>o</w:t>
      </w:r>
      <w:r w:rsidRPr="00C034B4">
        <w:rPr>
          <w:lang w:val="en-AU" w:eastAsia="en-AU"/>
        </w:rPr>
        <w:t xml:space="preserve">bjective of </w:t>
      </w:r>
      <w:proofErr w:type="spellStart"/>
      <w:r w:rsidRPr="00C034B4">
        <w:rPr>
          <w:lang w:val="en-AU" w:eastAsia="en-AU"/>
        </w:rPr>
        <w:t>Partisipasi</w:t>
      </w:r>
      <w:proofErr w:type="spellEnd"/>
      <w:r w:rsidRPr="00C034B4">
        <w:rPr>
          <w:lang w:val="en-AU" w:eastAsia="en-AU"/>
        </w:rPr>
        <w:t xml:space="preserve"> and is no</w:t>
      </w:r>
      <w:r w:rsidRPr="4B61BD58">
        <w:rPr>
          <w:lang w:val="en-AU" w:eastAsia="en-AU"/>
        </w:rPr>
        <w:t>t</w:t>
      </w:r>
      <w:r w:rsidRPr="00C034B4">
        <w:rPr>
          <w:lang w:val="en-AU" w:eastAsia="en-AU"/>
        </w:rPr>
        <w:t xml:space="preserve"> limited to program exit or communications.</w:t>
      </w:r>
      <w:r w:rsidRPr="4B61BD58">
        <w:rPr>
          <w:lang w:val="en-AU" w:eastAsia="en-AU"/>
        </w:rPr>
        <w:t xml:space="preserve"> The program takes a dual-track approach that:</w:t>
      </w:r>
    </w:p>
    <w:p w14:paraId="275E48AD" w14:textId="3BE4BA89" w:rsidR="00902F90" w:rsidRPr="005F29A4" w:rsidRDefault="00815ADB" w:rsidP="00504B06">
      <w:pPr>
        <w:numPr>
          <w:ilvl w:val="0"/>
          <w:numId w:val="88"/>
        </w:numPr>
        <w:rPr>
          <w:lang w:val="en-AU" w:eastAsia="en-AU"/>
        </w:rPr>
      </w:pPr>
      <w:r>
        <w:rPr>
          <w:lang w:val="en-AU" w:eastAsia="en-AU"/>
        </w:rPr>
        <w:t>S</w:t>
      </w:r>
      <w:r w:rsidR="00902F90" w:rsidRPr="00C034B4">
        <w:rPr>
          <w:lang w:val="en-AU" w:eastAsia="en-AU"/>
        </w:rPr>
        <w:t>trengthens locally owned systems, institutions and civic infrastructure</w:t>
      </w:r>
    </w:p>
    <w:p w14:paraId="6716E864" w14:textId="25F66DFF" w:rsidR="00902F90" w:rsidRPr="005F29A4" w:rsidRDefault="00815ADB" w:rsidP="00504B06">
      <w:pPr>
        <w:numPr>
          <w:ilvl w:val="0"/>
          <w:numId w:val="88"/>
        </w:numPr>
        <w:rPr>
          <w:lang w:val="en-AU" w:eastAsia="en-AU"/>
        </w:rPr>
      </w:pPr>
      <w:r>
        <w:rPr>
          <w:lang w:val="en-AU" w:eastAsia="en-AU"/>
        </w:rPr>
        <w:t>E</w:t>
      </w:r>
      <w:r w:rsidR="00902F90" w:rsidRPr="00C034B4">
        <w:rPr>
          <w:lang w:val="en-AU" w:eastAsia="en-AU"/>
        </w:rPr>
        <w:t>nsures leadership, resources and decision-making progressively shift to Indonesian actors.</w:t>
      </w:r>
    </w:p>
    <w:p w14:paraId="74DE3278" w14:textId="71AD283C" w:rsidR="00902F90" w:rsidRPr="005F29A4" w:rsidRDefault="00902F90" w:rsidP="00902F90">
      <w:pPr>
        <w:rPr>
          <w:lang w:val="en-AU" w:eastAsia="en-AU"/>
        </w:rPr>
      </w:pPr>
      <w:r w:rsidRPr="005F29A4">
        <w:rPr>
          <w:lang w:val="en-AU" w:eastAsia="en-AU"/>
        </w:rPr>
        <w:t xml:space="preserve">The Sustainability Strategy (integrated </w:t>
      </w:r>
      <w:r w:rsidR="000F5A79">
        <w:rPr>
          <w:lang w:val="en-AU" w:eastAsia="en-AU"/>
        </w:rPr>
        <w:t>within</w:t>
      </w:r>
      <w:r w:rsidR="000F5A79" w:rsidRPr="005F29A4">
        <w:rPr>
          <w:lang w:val="en-AU" w:eastAsia="en-AU"/>
        </w:rPr>
        <w:t xml:space="preserve"> </w:t>
      </w:r>
      <w:r w:rsidRPr="005F29A4">
        <w:rPr>
          <w:lang w:val="en-AU" w:eastAsia="en-AU"/>
        </w:rPr>
        <w:t>the CSP Strategy) provides direction for:</w:t>
      </w:r>
    </w:p>
    <w:p w14:paraId="0B432640" w14:textId="1AED6901" w:rsidR="00902F90" w:rsidRPr="005F29A4" w:rsidRDefault="00815ADB" w:rsidP="00504B06">
      <w:pPr>
        <w:numPr>
          <w:ilvl w:val="0"/>
          <w:numId w:val="89"/>
        </w:numPr>
        <w:rPr>
          <w:lang w:val="en-AU" w:eastAsia="en-AU"/>
        </w:rPr>
      </w:pPr>
      <w:r>
        <w:rPr>
          <w:lang w:val="en-AU" w:eastAsia="en-AU"/>
        </w:rPr>
        <w:t>L</w:t>
      </w:r>
      <w:r w:rsidR="00902F90" w:rsidRPr="00C034B4">
        <w:rPr>
          <w:lang w:val="en-AU" w:eastAsia="en-AU"/>
        </w:rPr>
        <w:t>ocally led delivery and resource allocation</w:t>
      </w:r>
    </w:p>
    <w:p w14:paraId="2A1F1415" w14:textId="20E211B9" w:rsidR="00902F90" w:rsidRPr="005F29A4" w:rsidRDefault="00815ADB" w:rsidP="00504B06">
      <w:pPr>
        <w:numPr>
          <w:ilvl w:val="0"/>
          <w:numId w:val="89"/>
        </w:numPr>
        <w:rPr>
          <w:lang w:val="en-AU" w:eastAsia="en-AU"/>
        </w:rPr>
      </w:pPr>
      <w:r>
        <w:rPr>
          <w:lang w:val="en-AU" w:eastAsia="en-AU"/>
        </w:rPr>
        <w:t>I</w:t>
      </w:r>
      <w:r w:rsidR="00902F90" w:rsidRPr="00C034B4">
        <w:rPr>
          <w:lang w:val="en-AU" w:eastAsia="en-AU"/>
        </w:rPr>
        <w:t>nstitutional and policy reforms</w:t>
      </w:r>
      <w:r w:rsidR="00902F90" w:rsidRPr="005F29A4">
        <w:rPr>
          <w:lang w:val="en-AU" w:eastAsia="en-AU"/>
        </w:rPr>
        <w:t>, including GEDSI and climate-responsive governance</w:t>
      </w:r>
    </w:p>
    <w:p w14:paraId="05523144" w14:textId="1BCEAF31" w:rsidR="00902F90" w:rsidRPr="005F29A4" w:rsidRDefault="00815ADB" w:rsidP="00504B06">
      <w:pPr>
        <w:numPr>
          <w:ilvl w:val="0"/>
          <w:numId w:val="89"/>
        </w:numPr>
        <w:rPr>
          <w:lang w:val="en-AU" w:eastAsia="en-AU"/>
        </w:rPr>
      </w:pPr>
      <w:r>
        <w:rPr>
          <w:lang w:val="en-AU" w:eastAsia="en-AU"/>
        </w:rPr>
        <w:t>C</w:t>
      </w:r>
      <w:r w:rsidR="00902F90" w:rsidRPr="00C034B4">
        <w:rPr>
          <w:lang w:val="en-AU" w:eastAsia="en-AU"/>
        </w:rPr>
        <w:t>ivil society resilience</w:t>
      </w:r>
      <w:r w:rsidR="00902F90" w:rsidRPr="005F29A4">
        <w:rPr>
          <w:lang w:val="en-AU" w:eastAsia="en-AU"/>
        </w:rPr>
        <w:t>, including organisational strengthening and multi-year funding</w:t>
      </w:r>
    </w:p>
    <w:p w14:paraId="3D38A3B1" w14:textId="048215DD" w:rsidR="00902F90" w:rsidRPr="005F29A4" w:rsidRDefault="00815ADB" w:rsidP="00504B06">
      <w:pPr>
        <w:numPr>
          <w:ilvl w:val="0"/>
          <w:numId w:val="89"/>
        </w:numPr>
        <w:rPr>
          <w:lang w:val="en-AU" w:eastAsia="en-AU"/>
        </w:rPr>
      </w:pPr>
      <w:r>
        <w:rPr>
          <w:lang w:val="en-AU" w:eastAsia="en-AU"/>
        </w:rPr>
        <w:t>S</w:t>
      </w:r>
      <w:r w:rsidR="00902F90" w:rsidRPr="00C034B4">
        <w:rPr>
          <w:lang w:val="en-AU" w:eastAsia="en-AU"/>
        </w:rPr>
        <w:t>afe transition and graduation of activities</w:t>
      </w:r>
      <w:r w:rsidR="00902F90" w:rsidRPr="005F29A4">
        <w:rPr>
          <w:lang w:val="en-AU" w:eastAsia="en-AU"/>
        </w:rPr>
        <w:t>, without reliance on external support</w:t>
      </w:r>
      <w:r>
        <w:rPr>
          <w:lang w:val="en-AU" w:eastAsia="en-AU"/>
        </w:rPr>
        <w:t>.</w:t>
      </w:r>
    </w:p>
    <w:p w14:paraId="40EC9AA9" w14:textId="680320E5" w:rsidR="00902F90" w:rsidRPr="00C034B4" w:rsidRDefault="00902F90" w:rsidP="00902F90">
      <w:pPr>
        <w:rPr>
          <w:lang w:val="en-AU" w:eastAsia="en-AU"/>
        </w:rPr>
      </w:pPr>
      <w:r w:rsidRPr="005F29A4">
        <w:rPr>
          <w:lang w:val="en-AU" w:eastAsia="en-AU"/>
        </w:rPr>
        <w:t xml:space="preserve">Sustainability is embedded across both </w:t>
      </w:r>
      <w:r w:rsidR="008F1740">
        <w:rPr>
          <w:lang w:val="en-AU" w:eastAsia="en-AU"/>
        </w:rPr>
        <w:t>c</w:t>
      </w:r>
      <w:r w:rsidRPr="005F29A4">
        <w:rPr>
          <w:lang w:val="en-AU" w:eastAsia="en-AU"/>
        </w:rPr>
        <w:t xml:space="preserve">omponents. </w:t>
      </w:r>
      <w:r w:rsidRPr="00C034B4">
        <w:rPr>
          <w:lang w:val="en-AU" w:eastAsia="en-AU"/>
        </w:rPr>
        <w:t xml:space="preserve">Component </w:t>
      </w:r>
      <w:r w:rsidR="008F1740">
        <w:rPr>
          <w:lang w:val="en-AU" w:eastAsia="en-AU"/>
        </w:rPr>
        <w:t>1</w:t>
      </w:r>
      <w:r w:rsidR="008F1740" w:rsidRPr="00C034B4">
        <w:rPr>
          <w:lang w:val="en-AU" w:eastAsia="en-AU"/>
        </w:rPr>
        <w:t xml:space="preserve"> </w:t>
      </w:r>
      <w:r w:rsidRPr="00C034B4">
        <w:rPr>
          <w:lang w:val="en-AU" w:eastAsia="en-AU"/>
        </w:rPr>
        <w:t>focuses on institutional resilience and policy uptake</w:t>
      </w:r>
      <w:r w:rsidRPr="005F29A4">
        <w:rPr>
          <w:lang w:val="en-AU" w:eastAsia="en-AU"/>
        </w:rPr>
        <w:t xml:space="preserve">, while </w:t>
      </w:r>
      <w:r w:rsidRPr="00C034B4">
        <w:rPr>
          <w:lang w:val="en-AU" w:eastAsia="en-AU"/>
        </w:rPr>
        <w:t xml:space="preserve">Component </w:t>
      </w:r>
      <w:r w:rsidR="008F1740">
        <w:rPr>
          <w:lang w:val="en-AU" w:eastAsia="en-AU"/>
        </w:rPr>
        <w:t>2</w:t>
      </w:r>
      <w:r w:rsidR="008F1740" w:rsidRPr="00C034B4">
        <w:rPr>
          <w:lang w:val="en-AU" w:eastAsia="en-AU"/>
        </w:rPr>
        <w:t xml:space="preserve"> </w:t>
      </w:r>
      <w:r w:rsidRPr="00C034B4">
        <w:rPr>
          <w:lang w:val="en-AU" w:eastAsia="en-AU"/>
        </w:rPr>
        <w:t>strengthens the civic infrastructure, coalitions, and media ecosystems.</w:t>
      </w:r>
      <w:r w:rsidRPr="005F29A4">
        <w:rPr>
          <w:lang w:val="en-AU" w:eastAsia="en-AU"/>
        </w:rPr>
        <w:t xml:space="preserve"> The strategy also draws on </w:t>
      </w:r>
      <w:proofErr w:type="spellStart"/>
      <w:r w:rsidRPr="00C034B4">
        <w:rPr>
          <w:lang w:val="en-AU" w:eastAsia="en-AU"/>
        </w:rPr>
        <w:t>DemRes</w:t>
      </w:r>
      <w:proofErr w:type="spellEnd"/>
      <w:r w:rsidRPr="00C034B4">
        <w:rPr>
          <w:lang w:val="en-AU" w:eastAsia="en-AU"/>
        </w:rPr>
        <w:t xml:space="preserve"> lessons</w:t>
      </w:r>
      <w:r w:rsidRPr="005F29A4">
        <w:rPr>
          <w:lang w:val="en-AU" w:eastAsia="en-AU"/>
        </w:rPr>
        <w:t>, including risks of over-reliance on international actors, and political volatility.</w:t>
      </w:r>
      <w:r>
        <w:rPr>
          <w:lang w:val="en-AU" w:eastAsia="en-AU"/>
        </w:rPr>
        <w:t xml:space="preserve"> </w:t>
      </w:r>
      <w:r w:rsidR="00553585">
        <w:rPr>
          <w:lang w:val="en-AU" w:eastAsia="en-AU"/>
        </w:rPr>
        <w:t>S</w:t>
      </w:r>
      <w:r>
        <w:rPr>
          <w:lang w:val="en-AU" w:eastAsia="en-AU"/>
        </w:rPr>
        <w:t xml:space="preserve">ee </w:t>
      </w:r>
      <w:hyperlink w:anchor="_Annex_O:_Partisipasi" w:history="1">
        <w:r w:rsidRPr="00361C95">
          <w:rPr>
            <w:rStyle w:val="Hyperlink"/>
            <w:rFonts w:eastAsia="Times New Roman" w:cs="Times New Roman"/>
            <w:b/>
            <w:bCs/>
            <w:szCs w:val="21"/>
          </w:rPr>
          <w:t xml:space="preserve">Annex </w:t>
        </w:r>
        <w:r w:rsidR="003135A3">
          <w:rPr>
            <w:rStyle w:val="Hyperlink"/>
            <w:rFonts w:eastAsia="Times New Roman" w:cs="Times New Roman"/>
            <w:b/>
            <w:bCs/>
            <w:szCs w:val="21"/>
          </w:rPr>
          <w:t>J</w:t>
        </w:r>
      </w:hyperlink>
      <w:r>
        <w:rPr>
          <w:lang w:val="en-AU" w:eastAsia="en-AU"/>
        </w:rPr>
        <w:t xml:space="preserve"> for more details on </w:t>
      </w:r>
      <w:proofErr w:type="spellStart"/>
      <w:r>
        <w:rPr>
          <w:lang w:val="en-AU" w:eastAsia="en-AU"/>
        </w:rPr>
        <w:t>Partisipasi’s</w:t>
      </w:r>
      <w:proofErr w:type="spellEnd"/>
      <w:r>
        <w:rPr>
          <w:lang w:val="en-AU" w:eastAsia="en-AU"/>
        </w:rPr>
        <w:t xml:space="preserve"> </w:t>
      </w:r>
      <w:r w:rsidR="00553585">
        <w:rPr>
          <w:lang w:val="en-AU" w:eastAsia="en-AU"/>
        </w:rPr>
        <w:t>s</w:t>
      </w:r>
      <w:r>
        <w:rPr>
          <w:lang w:val="en-AU" w:eastAsia="en-AU"/>
        </w:rPr>
        <w:t>u</w:t>
      </w:r>
      <w:r w:rsidR="006E3CCE">
        <w:rPr>
          <w:lang w:val="en-AU" w:eastAsia="en-AU"/>
        </w:rPr>
        <w:t>s</w:t>
      </w:r>
      <w:r>
        <w:rPr>
          <w:lang w:val="en-AU" w:eastAsia="en-AU"/>
        </w:rPr>
        <w:t xml:space="preserve">tainability approach. </w:t>
      </w:r>
    </w:p>
    <w:p w14:paraId="4FF62BAC" w14:textId="77777777" w:rsidR="00902F90" w:rsidRPr="002D5F11" w:rsidRDefault="00902F90" w:rsidP="00C5377B">
      <w:pPr>
        <w:pStyle w:val="Heading1Numbered"/>
        <w:spacing w:before="360"/>
        <w:ind w:left="357" w:hanging="357"/>
      </w:pPr>
      <w:bookmarkStart w:id="243" w:name="_Toc232524283"/>
      <w:r w:rsidRPr="00B55A1D">
        <w:t>Monitoring</w:t>
      </w:r>
      <w:r>
        <w:t>, Evaluation and Learning (MEL)</w:t>
      </w:r>
      <w:bookmarkEnd w:id="241"/>
      <w:bookmarkEnd w:id="243"/>
      <w:r w:rsidRPr="44DF8683">
        <w:t xml:space="preserve"> </w:t>
      </w:r>
    </w:p>
    <w:p w14:paraId="4E8F08D5" w14:textId="4FA678B4" w:rsidR="00902F90" w:rsidRDefault="00902F90" w:rsidP="00902F90">
      <w:pPr>
        <w:tabs>
          <w:tab w:val="left" w:pos="284"/>
        </w:tabs>
        <w:suppressAutoHyphens w:val="0"/>
        <w:spacing w:before="0" w:line="280" w:lineRule="exact"/>
        <w:rPr>
          <w:rFonts w:eastAsia="Times New Roman" w:cs="Times New Roman"/>
          <w:szCs w:val="24"/>
          <w:lang w:val="en-AU"/>
        </w:rPr>
      </w:pPr>
      <w:r w:rsidRPr="00AC743A">
        <w:rPr>
          <w:rFonts w:eastAsia="Times New Roman" w:cs="Times New Roman"/>
          <w:szCs w:val="24"/>
          <w:lang w:val="en-AU"/>
        </w:rPr>
        <w:t xml:space="preserve">The </w:t>
      </w:r>
      <w:r>
        <w:rPr>
          <w:rFonts w:eastAsia="Times New Roman" w:cs="Times New Roman"/>
          <w:szCs w:val="24"/>
          <w:lang w:val="en-AU"/>
        </w:rPr>
        <w:t>MEL</w:t>
      </w:r>
      <w:r w:rsidRPr="00AC743A">
        <w:rPr>
          <w:rFonts w:eastAsia="Times New Roman" w:cs="Times New Roman"/>
          <w:szCs w:val="24"/>
          <w:lang w:val="en-AU"/>
        </w:rPr>
        <w:t xml:space="preserve"> system for</w:t>
      </w:r>
      <w:r w:rsidRPr="00AC743A">
        <w:rPr>
          <w:rFonts w:eastAsia="Times New Roman" w:cs="Times New Roman"/>
          <w:i/>
          <w:iCs/>
          <w:szCs w:val="24"/>
          <w:lang w:val="en-AU"/>
        </w:rPr>
        <w:t xml:space="preserve"> </w:t>
      </w:r>
      <w:proofErr w:type="spellStart"/>
      <w:r w:rsidRPr="00D84A7F">
        <w:rPr>
          <w:rFonts w:eastAsia="Times New Roman" w:cs="Times New Roman"/>
          <w:iCs/>
          <w:szCs w:val="24"/>
          <w:lang w:val="en-AU"/>
        </w:rPr>
        <w:t>Partisipasi</w:t>
      </w:r>
      <w:proofErr w:type="spellEnd"/>
      <w:r w:rsidRPr="00AC743A">
        <w:rPr>
          <w:rFonts w:eastAsia="Times New Roman" w:cs="Times New Roman"/>
          <w:szCs w:val="24"/>
          <w:lang w:val="en-AU"/>
        </w:rPr>
        <w:t xml:space="preserve"> will be designed to assess the program’s contribution to strengthening democratic</w:t>
      </w:r>
      <w:r>
        <w:rPr>
          <w:rFonts w:eastAsia="Times New Roman" w:cs="Times New Roman"/>
          <w:szCs w:val="24"/>
          <w:lang w:val="en-AU"/>
        </w:rPr>
        <w:t xml:space="preserve"> participation and</w:t>
      </w:r>
      <w:r w:rsidRPr="00AC743A">
        <w:rPr>
          <w:rFonts w:eastAsia="Times New Roman" w:cs="Times New Roman"/>
          <w:szCs w:val="24"/>
          <w:lang w:val="en-AU"/>
        </w:rPr>
        <w:t xml:space="preserve"> resilience in Indonesia. Recognising the dynamic nature of democratic processes in Indonesia</w:t>
      </w:r>
      <w:r>
        <w:rPr>
          <w:rFonts w:eastAsia="Times New Roman" w:cs="Times New Roman"/>
          <w:szCs w:val="24"/>
          <w:lang w:val="en-AU"/>
        </w:rPr>
        <w:t xml:space="preserve">, </w:t>
      </w:r>
      <w:r w:rsidRPr="00AC743A">
        <w:rPr>
          <w:rFonts w:eastAsia="Times New Roman" w:cs="Times New Roman"/>
          <w:szCs w:val="24"/>
          <w:lang w:val="en-AU"/>
        </w:rPr>
        <w:t xml:space="preserve">the MEL system will move beyond linear measurement of outputs </w:t>
      </w:r>
      <w:r w:rsidR="00336DD9">
        <w:rPr>
          <w:rFonts w:eastAsia="Times New Roman" w:cs="Times New Roman"/>
          <w:szCs w:val="24"/>
          <w:lang w:val="en-AU"/>
        </w:rPr>
        <w:t xml:space="preserve">or being </w:t>
      </w:r>
      <w:proofErr w:type="gramStart"/>
      <w:r w:rsidR="00336DD9">
        <w:rPr>
          <w:rFonts w:eastAsia="Times New Roman" w:cs="Times New Roman"/>
          <w:szCs w:val="24"/>
          <w:lang w:val="en-AU"/>
        </w:rPr>
        <w:t>compliance-driven</w:t>
      </w:r>
      <w:proofErr w:type="gramEnd"/>
      <w:r w:rsidR="00336DD9">
        <w:rPr>
          <w:rFonts w:eastAsia="Times New Roman" w:cs="Times New Roman"/>
          <w:szCs w:val="24"/>
          <w:lang w:val="en-AU"/>
        </w:rPr>
        <w:t xml:space="preserve">. </w:t>
      </w:r>
      <w:r w:rsidR="000C60C6">
        <w:rPr>
          <w:rFonts w:eastAsia="Times New Roman" w:cs="Times New Roman"/>
          <w:szCs w:val="24"/>
          <w:lang w:val="en-AU"/>
        </w:rPr>
        <w:t>I</w:t>
      </w:r>
      <w:r w:rsidR="000C60C6" w:rsidRPr="00AC743A">
        <w:rPr>
          <w:rFonts w:eastAsia="Times New Roman" w:cs="Times New Roman"/>
          <w:szCs w:val="24"/>
          <w:lang w:val="en-AU"/>
        </w:rPr>
        <w:t>nstead,</w:t>
      </w:r>
      <w:r w:rsidR="00336DD9">
        <w:rPr>
          <w:rFonts w:eastAsia="Times New Roman" w:cs="Times New Roman"/>
          <w:szCs w:val="24"/>
          <w:lang w:val="en-AU"/>
        </w:rPr>
        <w:t xml:space="preserve"> it will</w:t>
      </w:r>
      <w:r w:rsidRPr="00AC743A">
        <w:rPr>
          <w:rFonts w:eastAsia="Times New Roman" w:cs="Times New Roman"/>
          <w:szCs w:val="24"/>
          <w:lang w:val="en-AU"/>
        </w:rPr>
        <w:t xml:space="preserve"> prioritise contribution-focused, politically informed</w:t>
      </w:r>
      <w:r w:rsidR="00BE3835">
        <w:rPr>
          <w:rFonts w:eastAsia="Times New Roman" w:cs="Times New Roman"/>
          <w:szCs w:val="24"/>
          <w:lang w:val="en-AU"/>
        </w:rPr>
        <w:t>,</w:t>
      </w:r>
      <w:r w:rsidRPr="00AC743A">
        <w:rPr>
          <w:rFonts w:eastAsia="Times New Roman" w:cs="Times New Roman"/>
          <w:szCs w:val="24"/>
          <w:lang w:val="en-AU"/>
        </w:rPr>
        <w:t xml:space="preserve"> and learning-centred approaches.</w:t>
      </w:r>
      <w:r w:rsidR="001D46E7">
        <w:rPr>
          <w:rFonts w:eastAsia="Times New Roman" w:cs="Times New Roman"/>
          <w:szCs w:val="24"/>
          <w:lang w:val="en-AU"/>
        </w:rPr>
        <w:t xml:space="preserve"> </w:t>
      </w:r>
      <w:r w:rsidRPr="00AC743A">
        <w:rPr>
          <w:rFonts w:eastAsia="Times New Roman" w:cs="Times New Roman"/>
          <w:szCs w:val="24"/>
          <w:lang w:val="en-AU"/>
        </w:rPr>
        <w:t xml:space="preserve">Building on lessons from the </w:t>
      </w:r>
      <w:proofErr w:type="spellStart"/>
      <w:r w:rsidRPr="00C5377B">
        <w:rPr>
          <w:rFonts w:eastAsia="Times New Roman" w:cs="Times New Roman"/>
          <w:szCs w:val="24"/>
          <w:lang w:val="en-AU"/>
        </w:rPr>
        <w:t>DemRes</w:t>
      </w:r>
      <w:proofErr w:type="spellEnd"/>
      <w:r w:rsidRPr="00AC743A">
        <w:rPr>
          <w:rFonts w:eastAsia="Times New Roman" w:cs="Times New Roman"/>
          <w:szCs w:val="24"/>
          <w:lang w:val="en-AU"/>
        </w:rPr>
        <w:t xml:space="preserve"> program, the MEL system will be grounded in adaptive practice and designed to enable continuous learning across the program’s life</w:t>
      </w:r>
      <w:r>
        <w:rPr>
          <w:rFonts w:eastAsia="Times New Roman" w:cs="Times New Roman"/>
          <w:szCs w:val="24"/>
          <w:lang w:val="en-AU"/>
        </w:rPr>
        <w:t>cycle</w:t>
      </w:r>
      <w:r w:rsidRPr="00AC743A">
        <w:rPr>
          <w:rFonts w:eastAsia="Times New Roman" w:cs="Times New Roman"/>
          <w:szCs w:val="24"/>
          <w:lang w:val="en-AU"/>
        </w:rPr>
        <w:t xml:space="preserve">. It will be underpinned by </w:t>
      </w:r>
      <w:r>
        <w:rPr>
          <w:rFonts w:eastAsia="Times New Roman" w:cs="Times New Roman"/>
          <w:szCs w:val="24"/>
          <w:lang w:val="en-AU"/>
        </w:rPr>
        <w:t>the</w:t>
      </w:r>
      <w:r w:rsidRPr="00AC743A">
        <w:rPr>
          <w:rFonts w:eastAsia="Times New Roman" w:cs="Times New Roman"/>
          <w:szCs w:val="24"/>
          <w:lang w:val="en-AU"/>
        </w:rPr>
        <w:t xml:space="preserve"> Theory of Change and aligned with DFAT’s</w:t>
      </w:r>
      <w:r>
        <w:rPr>
          <w:rFonts w:eastAsia="Times New Roman" w:cs="Times New Roman"/>
          <w:szCs w:val="24"/>
          <w:lang w:val="en-AU"/>
        </w:rPr>
        <w:t xml:space="preserve"> </w:t>
      </w:r>
      <w:r w:rsidRPr="00AC743A">
        <w:rPr>
          <w:rFonts w:eastAsia="Times New Roman" w:cs="Times New Roman"/>
          <w:szCs w:val="24"/>
          <w:lang w:val="en-AU"/>
        </w:rPr>
        <w:t xml:space="preserve">Design and MEL Standards, and relevant thematic strategies including the </w:t>
      </w:r>
      <w:r>
        <w:rPr>
          <w:rFonts w:eastAsia="Times New Roman" w:cs="Times New Roman"/>
          <w:szCs w:val="24"/>
          <w:lang w:val="en-AU"/>
        </w:rPr>
        <w:t>I</w:t>
      </w:r>
      <w:r w:rsidRPr="00AC743A">
        <w:rPr>
          <w:rFonts w:eastAsia="Times New Roman" w:cs="Times New Roman"/>
          <w:szCs w:val="24"/>
          <w:lang w:val="en-AU"/>
        </w:rPr>
        <w:t>GES</w:t>
      </w:r>
      <w:r>
        <w:rPr>
          <w:rFonts w:eastAsia="Times New Roman" w:cs="Times New Roman"/>
          <w:szCs w:val="24"/>
          <w:lang w:val="en-AU"/>
        </w:rPr>
        <w:t xml:space="preserve"> and </w:t>
      </w:r>
      <w:r w:rsidR="004D5F0E" w:rsidRPr="00C5377B">
        <w:rPr>
          <w:rFonts w:eastAsia="Times New Roman" w:cs="Times New Roman"/>
          <w:i/>
          <w:iCs/>
          <w:szCs w:val="24"/>
          <w:lang w:val="en-AU"/>
        </w:rPr>
        <w:t xml:space="preserve">Australia’s </w:t>
      </w:r>
      <w:r w:rsidRPr="00C5377B">
        <w:rPr>
          <w:rFonts w:eastAsia="Times New Roman" w:cs="Times New Roman"/>
          <w:i/>
          <w:iCs/>
          <w:szCs w:val="24"/>
          <w:lang w:val="en-AU"/>
        </w:rPr>
        <w:t>International Disability Equity and Rights Strategy</w:t>
      </w:r>
      <w:r>
        <w:rPr>
          <w:rFonts w:eastAsia="Times New Roman" w:cs="Times New Roman"/>
          <w:szCs w:val="24"/>
          <w:lang w:val="en-AU"/>
        </w:rPr>
        <w:t xml:space="preserve"> (IDERS</w:t>
      </w:r>
      <w:r w:rsidRPr="003201D3">
        <w:rPr>
          <w:rFonts w:eastAsia="Times New Roman" w:cs="Times New Roman"/>
          <w:szCs w:val="24"/>
          <w:lang w:val="en-AU"/>
        </w:rPr>
        <w:t>)</w:t>
      </w:r>
      <w:r w:rsidRPr="00AC743A">
        <w:rPr>
          <w:rFonts w:eastAsia="Times New Roman" w:cs="Times New Roman"/>
          <w:szCs w:val="24"/>
          <w:lang w:val="en-AU"/>
        </w:rPr>
        <w:t>.</w:t>
      </w:r>
    </w:p>
    <w:p w14:paraId="7A7A7694" w14:textId="13523D57" w:rsidR="00D822EA" w:rsidRPr="00D822EA" w:rsidRDefault="00D822EA" w:rsidP="00D822EA">
      <w:pPr>
        <w:tabs>
          <w:tab w:val="left" w:pos="284"/>
        </w:tabs>
        <w:suppressAutoHyphens w:val="0"/>
        <w:spacing w:line="280" w:lineRule="exact"/>
        <w:rPr>
          <w:rFonts w:eastAsia="Times New Roman" w:cs="Times New Roman"/>
          <w:szCs w:val="24"/>
          <w:lang w:val="en-AU"/>
        </w:rPr>
      </w:pPr>
      <w:r w:rsidRPr="129B4E48">
        <w:rPr>
          <w:rFonts w:eastAsia="Times New Roman" w:cs="Times New Roman"/>
          <w:lang w:val="en-AU"/>
        </w:rPr>
        <w:lastRenderedPageBreak/>
        <w:t xml:space="preserve">MEL under </w:t>
      </w:r>
      <w:proofErr w:type="spellStart"/>
      <w:r w:rsidRPr="007B5A20">
        <w:rPr>
          <w:rFonts w:eastAsia="Times New Roman" w:cs="Times New Roman"/>
          <w:iCs/>
          <w:lang w:val="en-AU"/>
        </w:rPr>
        <w:t>Partisipasi</w:t>
      </w:r>
      <w:proofErr w:type="spellEnd"/>
      <w:r w:rsidRPr="129B4E48">
        <w:rPr>
          <w:rFonts w:eastAsia="Times New Roman" w:cs="Times New Roman"/>
          <w:lang w:val="en-AU"/>
        </w:rPr>
        <w:t xml:space="preserve"> will shift away from compliance-driven monitoring toward</w:t>
      </w:r>
      <w:r>
        <w:rPr>
          <w:rFonts w:eastAsia="Times New Roman" w:cs="Times New Roman"/>
          <w:lang w:val="en-AU"/>
        </w:rPr>
        <w:t>s</w:t>
      </w:r>
      <w:r w:rsidRPr="129B4E48">
        <w:rPr>
          <w:rFonts w:eastAsia="Times New Roman" w:cs="Times New Roman"/>
          <w:lang w:val="en-AU"/>
        </w:rPr>
        <w:t xml:space="preserve"> a focus on contribution and learning. The system will support the program to assess progress towards intermediate and longer-term outcomes, including shifts in civic norms, institutional behaviour</w:t>
      </w:r>
      <w:r>
        <w:rPr>
          <w:rFonts w:eastAsia="Times New Roman" w:cs="Times New Roman"/>
          <w:lang w:val="en-AU"/>
        </w:rPr>
        <w:t>,</w:t>
      </w:r>
      <w:r w:rsidRPr="129B4E48">
        <w:rPr>
          <w:rFonts w:eastAsia="Times New Roman" w:cs="Times New Roman"/>
          <w:lang w:val="en-AU"/>
        </w:rPr>
        <w:t xml:space="preserve"> </w:t>
      </w:r>
      <w:r>
        <w:rPr>
          <w:rFonts w:eastAsia="Times New Roman" w:cs="Times New Roman"/>
          <w:lang w:val="en-AU"/>
        </w:rPr>
        <w:t>the strength of the eco-system,</w:t>
      </w:r>
      <w:r w:rsidRPr="129B4E48">
        <w:rPr>
          <w:rFonts w:eastAsia="Times New Roman" w:cs="Times New Roman"/>
          <w:lang w:val="en-AU"/>
        </w:rPr>
        <w:t xml:space="preserve"> and democratic discourse. Recognising that success in democratic participation and resilience </w:t>
      </w:r>
      <w:r>
        <w:rPr>
          <w:rFonts w:eastAsia="Times New Roman" w:cs="Times New Roman"/>
          <w:lang w:val="en-AU"/>
        </w:rPr>
        <w:t>can</w:t>
      </w:r>
      <w:r w:rsidRPr="129B4E48">
        <w:rPr>
          <w:rFonts w:eastAsia="Times New Roman" w:cs="Times New Roman"/>
          <w:lang w:val="en-AU"/>
        </w:rPr>
        <w:t xml:space="preserve"> entail stabilisation</w:t>
      </w:r>
      <w:r>
        <w:rPr>
          <w:rFonts w:eastAsia="Times New Roman" w:cs="Times New Roman"/>
          <w:lang w:val="en-AU"/>
        </w:rPr>
        <w:t xml:space="preserve"> </w:t>
      </w:r>
      <w:r w:rsidRPr="129B4E48">
        <w:rPr>
          <w:rFonts w:eastAsia="Times New Roman" w:cs="Times New Roman"/>
          <w:lang w:val="en-AU"/>
        </w:rPr>
        <w:t>or subtle shifts in power and participation, the MEL system will employ scenario-based outcome tracking</w:t>
      </w:r>
      <w:r>
        <w:rPr>
          <w:rFonts w:eastAsia="Times New Roman" w:cs="Times New Roman"/>
          <w:lang w:val="en-AU"/>
        </w:rPr>
        <w:t xml:space="preserve"> to measure success</w:t>
      </w:r>
      <w:r w:rsidRPr="129B4E48">
        <w:rPr>
          <w:rFonts w:eastAsia="Times New Roman" w:cs="Times New Roman"/>
          <w:lang w:val="en-AU"/>
        </w:rPr>
        <w:t xml:space="preserve">. </w:t>
      </w:r>
      <w:r w:rsidRPr="00AC743A">
        <w:rPr>
          <w:rFonts w:eastAsia="Times New Roman" w:cs="Times New Roman"/>
          <w:szCs w:val="24"/>
          <w:lang w:val="en-AU"/>
        </w:rPr>
        <w:t xml:space="preserve">The MEL system will support </w:t>
      </w:r>
      <w:r>
        <w:rPr>
          <w:rFonts w:eastAsia="Times New Roman" w:cs="Times New Roman"/>
          <w:szCs w:val="24"/>
          <w:lang w:val="en-AU"/>
        </w:rPr>
        <w:t>six-monthly</w:t>
      </w:r>
      <w:r w:rsidRPr="00AC743A">
        <w:rPr>
          <w:rFonts w:eastAsia="Times New Roman" w:cs="Times New Roman"/>
          <w:szCs w:val="24"/>
          <w:lang w:val="en-AU"/>
        </w:rPr>
        <w:t xml:space="preserve"> </w:t>
      </w:r>
      <w:r>
        <w:rPr>
          <w:rFonts w:eastAsia="Times New Roman" w:cs="Times New Roman"/>
          <w:szCs w:val="24"/>
          <w:lang w:val="en-AU"/>
        </w:rPr>
        <w:t>MEL</w:t>
      </w:r>
      <w:r w:rsidRPr="00AC743A">
        <w:rPr>
          <w:rFonts w:eastAsia="Times New Roman" w:cs="Times New Roman"/>
          <w:szCs w:val="24"/>
          <w:lang w:val="en-AU"/>
        </w:rPr>
        <w:t xml:space="preserve"> cycles, thematic learning products, and scenario-testing workshops</w:t>
      </w:r>
      <w:r>
        <w:rPr>
          <w:rFonts w:eastAsia="Times New Roman" w:cs="Times New Roman"/>
          <w:szCs w:val="24"/>
          <w:lang w:val="en-AU"/>
        </w:rPr>
        <w:t>,</w:t>
      </w:r>
      <w:r w:rsidRPr="00AC743A">
        <w:rPr>
          <w:rFonts w:eastAsia="Times New Roman" w:cs="Times New Roman"/>
          <w:szCs w:val="24"/>
          <w:lang w:val="en-AU"/>
        </w:rPr>
        <w:t xml:space="preserve"> involving both </w:t>
      </w:r>
      <w:r>
        <w:rPr>
          <w:rFonts w:eastAsia="Times New Roman" w:cs="Times New Roman"/>
          <w:szCs w:val="24"/>
          <w:lang w:val="en-AU"/>
        </w:rPr>
        <w:t>CSP</w:t>
      </w:r>
      <w:r w:rsidRPr="00AC743A">
        <w:rPr>
          <w:rFonts w:eastAsia="Times New Roman" w:cs="Times New Roman"/>
          <w:szCs w:val="24"/>
          <w:lang w:val="en-AU"/>
        </w:rPr>
        <w:t xml:space="preserve"> members and local partners.</w:t>
      </w:r>
      <w:r>
        <w:rPr>
          <w:rFonts w:eastAsia="Times New Roman" w:cs="Times New Roman"/>
          <w:szCs w:val="24"/>
          <w:lang w:val="en-AU"/>
        </w:rPr>
        <w:t xml:space="preserve"> </w:t>
      </w:r>
    </w:p>
    <w:p w14:paraId="72E8D14D" w14:textId="4CC2F9E2" w:rsidR="000F0855" w:rsidRDefault="00902F90" w:rsidP="00902F90">
      <w:pPr>
        <w:tabs>
          <w:tab w:val="left" w:pos="284"/>
        </w:tabs>
        <w:suppressAutoHyphens w:val="0"/>
        <w:spacing w:before="0" w:line="280" w:lineRule="exact"/>
        <w:rPr>
          <w:rFonts w:eastAsia="Times New Roman" w:cs="Times New Roman"/>
          <w:szCs w:val="21"/>
        </w:rPr>
      </w:pPr>
      <w:bookmarkStart w:id="244" w:name="_Toc206152414"/>
      <w:bookmarkStart w:id="245" w:name="_Toc206152561"/>
      <w:bookmarkStart w:id="246" w:name="_Toc206152735"/>
      <w:bookmarkStart w:id="247" w:name="_Toc206152917"/>
      <w:bookmarkStart w:id="248" w:name="_Toc206153076"/>
      <w:bookmarkStart w:id="249" w:name="_Toc206153234"/>
      <w:bookmarkStart w:id="250" w:name="_Toc206162123"/>
      <w:bookmarkStart w:id="251" w:name="_Toc206162300"/>
      <w:bookmarkStart w:id="252" w:name="_Toc206162674"/>
      <w:bookmarkStart w:id="253" w:name="_Toc206163736"/>
      <w:bookmarkStart w:id="254" w:name="_Toc206163912"/>
      <w:bookmarkEnd w:id="244"/>
      <w:bookmarkEnd w:id="245"/>
      <w:bookmarkEnd w:id="246"/>
      <w:bookmarkEnd w:id="247"/>
      <w:bookmarkEnd w:id="248"/>
      <w:bookmarkEnd w:id="249"/>
      <w:bookmarkEnd w:id="250"/>
      <w:bookmarkEnd w:id="251"/>
      <w:bookmarkEnd w:id="252"/>
      <w:bookmarkEnd w:id="253"/>
      <w:bookmarkEnd w:id="254"/>
      <w:r w:rsidRPr="00365F47">
        <w:rPr>
          <w:rFonts w:eastAsia="Times New Roman" w:cs="Times New Roman"/>
          <w:szCs w:val="21"/>
        </w:rPr>
        <w:t>The MEL system will operate through a ‘Hub-and-Spoke’ model.</w:t>
      </w:r>
      <w:r w:rsidRPr="00365F47">
        <w:t xml:space="preserve"> </w:t>
      </w:r>
      <w:r w:rsidRPr="00064A7B">
        <w:rPr>
          <w:rFonts w:eastAsia="Times New Roman" w:cs="Times New Roman"/>
          <w:szCs w:val="21"/>
        </w:rPr>
        <w:t xml:space="preserve">The MEL Hub </w:t>
      </w:r>
      <w:r w:rsidR="00BC56D9">
        <w:rPr>
          <w:rFonts w:eastAsia="Times New Roman" w:cs="Times New Roman"/>
          <w:szCs w:val="21"/>
        </w:rPr>
        <w:t xml:space="preserve">for the whole </w:t>
      </w:r>
      <w:proofErr w:type="spellStart"/>
      <w:r w:rsidR="00BC56D9">
        <w:rPr>
          <w:rFonts w:eastAsia="Times New Roman" w:cs="Times New Roman"/>
          <w:szCs w:val="21"/>
        </w:rPr>
        <w:t>Partisipasi</w:t>
      </w:r>
      <w:proofErr w:type="spellEnd"/>
      <w:r w:rsidR="00BC56D9">
        <w:rPr>
          <w:rFonts w:eastAsia="Times New Roman" w:cs="Times New Roman"/>
          <w:szCs w:val="21"/>
        </w:rPr>
        <w:t xml:space="preserve"> program </w:t>
      </w:r>
      <w:r w:rsidRPr="00064A7B">
        <w:rPr>
          <w:rFonts w:eastAsia="Times New Roman" w:cs="Times New Roman"/>
          <w:szCs w:val="21"/>
        </w:rPr>
        <w:t xml:space="preserve">will be hosted by the Convenor and </w:t>
      </w:r>
      <w:r w:rsidR="00591FDA">
        <w:rPr>
          <w:rFonts w:eastAsia="Times New Roman" w:cs="Times New Roman"/>
          <w:szCs w:val="21"/>
        </w:rPr>
        <w:t>will</w:t>
      </w:r>
      <w:r w:rsidR="00591FDA" w:rsidRPr="00064A7B">
        <w:rPr>
          <w:rFonts w:eastAsia="Times New Roman" w:cs="Times New Roman"/>
          <w:szCs w:val="21"/>
        </w:rPr>
        <w:t xml:space="preserve"> provide</w:t>
      </w:r>
      <w:r w:rsidRPr="00064A7B">
        <w:rPr>
          <w:rFonts w:eastAsia="Times New Roman" w:cs="Times New Roman"/>
          <w:szCs w:val="21"/>
        </w:rPr>
        <w:t xml:space="preserve"> program-wide synthesis and reporting across both components. </w:t>
      </w:r>
      <w:r w:rsidR="00090DF2">
        <w:rPr>
          <w:rFonts w:eastAsia="Times New Roman" w:cs="Times New Roman"/>
          <w:szCs w:val="21"/>
        </w:rPr>
        <w:t>Each partner managing activities (including the PSU, potentially the Convenor, and the Core Group Partners</w:t>
      </w:r>
      <w:r w:rsidR="00C65941">
        <w:rPr>
          <w:rFonts w:eastAsia="Times New Roman" w:cs="Times New Roman"/>
          <w:szCs w:val="21"/>
        </w:rPr>
        <w:t>)</w:t>
      </w:r>
      <w:r w:rsidR="00090DF2">
        <w:rPr>
          <w:rFonts w:eastAsia="Times New Roman" w:cs="Times New Roman"/>
          <w:szCs w:val="21"/>
        </w:rPr>
        <w:t>,</w:t>
      </w:r>
      <w:r w:rsidR="00D01462">
        <w:rPr>
          <w:rFonts w:eastAsia="Times New Roman" w:cs="Times New Roman"/>
          <w:szCs w:val="21"/>
        </w:rPr>
        <w:t xml:space="preserve"> will be responsible for the collection and collation of MEL data</w:t>
      </w:r>
      <w:r w:rsidR="00090DF2">
        <w:rPr>
          <w:rFonts w:eastAsia="Times New Roman" w:cs="Times New Roman"/>
          <w:szCs w:val="21"/>
        </w:rPr>
        <w:t xml:space="preserve"> - </w:t>
      </w:r>
      <w:r w:rsidR="00D01462">
        <w:rPr>
          <w:rFonts w:eastAsia="Times New Roman" w:cs="Times New Roman"/>
          <w:szCs w:val="21"/>
        </w:rPr>
        <w:t xml:space="preserve">these are the ‘spokes’ of the MEL model. </w:t>
      </w:r>
    </w:p>
    <w:p w14:paraId="60A099EF" w14:textId="69C04054" w:rsidR="00902F90" w:rsidRDefault="00D01462" w:rsidP="000F0855">
      <w:pPr>
        <w:rPr>
          <w:rFonts w:eastAsia="Times New Roman" w:cs="Times New Roman"/>
          <w:szCs w:val="24"/>
          <w:lang w:val="en-AU"/>
        </w:rPr>
      </w:pPr>
      <w:r>
        <w:rPr>
          <w:rFonts w:eastAsia="Times New Roman" w:cs="Times New Roman"/>
          <w:szCs w:val="21"/>
        </w:rPr>
        <w:t xml:space="preserve">The Hub will develop, in consultation with the </w:t>
      </w:r>
      <w:r w:rsidR="002943E8">
        <w:rPr>
          <w:rFonts w:eastAsia="Times New Roman" w:cs="Times New Roman"/>
          <w:szCs w:val="21"/>
        </w:rPr>
        <w:t xml:space="preserve">CSP </w:t>
      </w:r>
      <w:r>
        <w:rPr>
          <w:rFonts w:eastAsia="Times New Roman" w:cs="Times New Roman"/>
          <w:szCs w:val="21"/>
        </w:rPr>
        <w:t xml:space="preserve">partners and PSU (and drawing upon the MEL design in this IDD), the MEL </w:t>
      </w:r>
      <w:r w:rsidR="002256DF">
        <w:rPr>
          <w:rFonts w:eastAsia="Times New Roman" w:cs="Times New Roman"/>
          <w:szCs w:val="21"/>
        </w:rPr>
        <w:t>Framework</w:t>
      </w:r>
      <w:r w:rsidR="00C10C20">
        <w:rPr>
          <w:rFonts w:eastAsia="Times New Roman" w:cs="Times New Roman"/>
          <w:szCs w:val="21"/>
        </w:rPr>
        <w:t xml:space="preserve"> (incorporating </w:t>
      </w:r>
      <w:r w:rsidR="002256DF">
        <w:rPr>
          <w:rFonts w:eastAsia="Times New Roman" w:cs="Times New Roman"/>
          <w:szCs w:val="21"/>
        </w:rPr>
        <w:t>MEL roles</w:t>
      </w:r>
      <w:r>
        <w:rPr>
          <w:rFonts w:eastAsia="Times New Roman" w:cs="Times New Roman"/>
          <w:szCs w:val="21"/>
        </w:rPr>
        <w:t xml:space="preserve"> and toolkit</w:t>
      </w:r>
      <w:r w:rsidR="00C10C20">
        <w:rPr>
          <w:rFonts w:eastAsia="Times New Roman" w:cs="Times New Roman"/>
          <w:szCs w:val="21"/>
        </w:rPr>
        <w:t>)</w:t>
      </w:r>
      <w:r>
        <w:rPr>
          <w:rFonts w:eastAsia="Times New Roman" w:cs="Times New Roman"/>
          <w:szCs w:val="21"/>
        </w:rPr>
        <w:t xml:space="preserve">, </w:t>
      </w:r>
      <w:r w:rsidR="002943E8">
        <w:rPr>
          <w:rFonts w:eastAsia="Times New Roman" w:cs="Times New Roman"/>
          <w:szCs w:val="21"/>
        </w:rPr>
        <w:t xml:space="preserve">provide </w:t>
      </w:r>
      <w:r>
        <w:rPr>
          <w:rFonts w:eastAsia="Times New Roman" w:cs="Times New Roman"/>
          <w:szCs w:val="21"/>
        </w:rPr>
        <w:t xml:space="preserve">training to the M&amp;E officers </w:t>
      </w:r>
      <w:r w:rsidR="002943E8">
        <w:rPr>
          <w:rFonts w:eastAsia="Times New Roman" w:cs="Times New Roman"/>
          <w:szCs w:val="21"/>
        </w:rPr>
        <w:t>acting as the ‘spokes’</w:t>
      </w:r>
      <w:r>
        <w:rPr>
          <w:rFonts w:eastAsia="Times New Roman" w:cs="Times New Roman"/>
          <w:szCs w:val="21"/>
        </w:rPr>
        <w:t xml:space="preserve">, and </w:t>
      </w:r>
      <w:r w:rsidR="002943E8">
        <w:rPr>
          <w:rFonts w:eastAsia="Times New Roman" w:cs="Times New Roman"/>
          <w:szCs w:val="21"/>
        </w:rPr>
        <w:t xml:space="preserve">provide </w:t>
      </w:r>
      <w:r>
        <w:rPr>
          <w:rFonts w:eastAsia="Times New Roman" w:cs="Times New Roman"/>
          <w:szCs w:val="21"/>
        </w:rPr>
        <w:t xml:space="preserve">ongoing coordination and support in obtaining the data. The MEL Hub will collate the data to produce a single MEL report for DFAT and will coordinate and facilitate </w:t>
      </w:r>
      <w:r w:rsidR="003D3C35">
        <w:rPr>
          <w:rFonts w:eastAsia="Times New Roman" w:cs="Times New Roman"/>
          <w:szCs w:val="21"/>
        </w:rPr>
        <w:t>six-monthly</w:t>
      </w:r>
      <w:r>
        <w:rPr>
          <w:rFonts w:eastAsia="Times New Roman" w:cs="Times New Roman"/>
          <w:szCs w:val="21"/>
        </w:rPr>
        <w:t xml:space="preserve"> reflection workshops</w:t>
      </w:r>
      <w:r w:rsidR="00902F90" w:rsidRPr="00AC743A">
        <w:rPr>
          <w:rFonts w:eastAsia="Times New Roman" w:cs="Times New Roman"/>
          <w:szCs w:val="24"/>
          <w:lang w:val="en-AU"/>
        </w:rPr>
        <w:t>.</w:t>
      </w:r>
      <w:r w:rsidR="0009534C">
        <w:rPr>
          <w:rFonts w:eastAsia="Times New Roman" w:cs="Times New Roman"/>
          <w:szCs w:val="24"/>
          <w:lang w:val="en-AU"/>
        </w:rPr>
        <w:t xml:space="preserve"> </w:t>
      </w:r>
      <w:r w:rsidR="002E4FAB">
        <w:rPr>
          <w:lang w:val="en-AU" w:eastAsia="en-AU"/>
        </w:rPr>
        <w:t xml:space="preserve">This </w:t>
      </w:r>
      <w:r w:rsidR="002E4FAB" w:rsidRPr="008847A5">
        <w:rPr>
          <w:lang w:val="en-AU" w:eastAsia="en-AU"/>
        </w:rPr>
        <w:t xml:space="preserve">will bring together all core and downstream </w:t>
      </w:r>
      <w:r w:rsidR="002E4FAB">
        <w:rPr>
          <w:lang w:val="en-AU" w:eastAsia="en-AU"/>
        </w:rPr>
        <w:t xml:space="preserve">civil society </w:t>
      </w:r>
      <w:r w:rsidR="002E4FAB" w:rsidRPr="008847A5">
        <w:rPr>
          <w:lang w:val="en-AU" w:eastAsia="en-AU"/>
        </w:rPr>
        <w:t>partners to support collaborative learning, problem-solving and coordination between national and subnational actors</w:t>
      </w:r>
      <w:r w:rsidR="002E4FAB">
        <w:rPr>
          <w:lang w:val="en-AU" w:eastAsia="en-AU"/>
        </w:rPr>
        <w:t xml:space="preserve">, and </w:t>
      </w:r>
      <w:r w:rsidR="002E4FAB" w:rsidRPr="008847A5">
        <w:rPr>
          <w:lang w:val="en-AU" w:eastAsia="en-AU"/>
        </w:rPr>
        <w:t>will directly inform DFAT’s planning and performance cycles.</w:t>
      </w:r>
      <w:r w:rsidR="002E4FAB">
        <w:rPr>
          <w:lang w:val="en-AU" w:eastAsia="en-AU"/>
        </w:rPr>
        <w:t xml:space="preserve"> </w:t>
      </w:r>
      <w:r w:rsidR="000F0855" w:rsidRPr="084DF1A1">
        <w:rPr>
          <w:lang w:val="en-AU" w:eastAsia="en-AU"/>
        </w:rPr>
        <w:t xml:space="preserve">The MEL Hub will update the MEL </w:t>
      </w:r>
      <w:r w:rsidR="000F0855">
        <w:rPr>
          <w:lang w:val="en-AU" w:eastAsia="en-AU"/>
        </w:rPr>
        <w:t>Framework</w:t>
      </w:r>
      <w:r w:rsidR="000F0855" w:rsidRPr="084DF1A1">
        <w:rPr>
          <w:lang w:val="en-AU" w:eastAsia="en-AU"/>
        </w:rPr>
        <w:t xml:space="preserve">, as well as synthesise data, capture cross-component learning, and feed into DFAT’s investment-level monitoring, including </w:t>
      </w:r>
      <w:r w:rsidR="000F0855">
        <w:rPr>
          <w:lang w:val="en-AU" w:eastAsia="en-AU"/>
        </w:rPr>
        <w:t>I</w:t>
      </w:r>
      <w:r w:rsidR="000F0855" w:rsidRPr="084DF1A1">
        <w:rPr>
          <w:lang w:val="en-AU" w:eastAsia="en-AU"/>
        </w:rPr>
        <w:t xml:space="preserve">nvestment </w:t>
      </w:r>
      <w:r w:rsidR="000F0855">
        <w:rPr>
          <w:lang w:val="en-AU" w:eastAsia="en-AU"/>
        </w:rPr>
        <w:t>M</w:t>
      </w:r>
      <w:r w:rsidR="000F0855" w:rsidRPr="084DF1A1">
        <w:rPr>
          <w:lang w:val="en-AU" w:eastAsia="en-AU"/>
        </w:rPr>
        <w:t xml:space="preserve">onitoring </w:t>
      </w:r>
      <w:r w:rsidR="000F0855">
        <w:rPr>
          <w:lang w:val="en-AU" w:eastAsia="en-AU"/>
        </w:rPr>
        <w:t>R</w:t>
      </w:r>
      <w:r w:rsidR="000F0855" w:rsidRPr="084DF1A1">
        <w:rPr>
          <w:lang w:val="en-AU" w:eastAsia="en-AU"/>
        </w:rPr>
        <w:t xml:space="preserve">eports (IMRs), </w:t>
      </w:r>
      <w:r w:rsidR="000F0855">
        <w:rPr>
          <w:lang w:val="en-AU" w:eastAsia="en-AU"/>
        </w:rPr>
        <w:t>F</w:t>
      </w:r>
      <w:r w:rsidR="000F0855" w:rsidRPr="084DF1A1">
        <w:rPr>
          <w:lang w:val="en-AU" w:eastAsia="en-AU"/>
        </w:rPr>
        <w:t xml:space="preserve">inal </w:t>
      </w:r>
      <w:r w:rsidR="000F0855">
        <w:rPr>
          <w:lang w:val="en-AU" w:eastAsia="en-AU"/>
        </w:rPr>
        <w:t>I</w:t>
      </w:r>
      <w:r w:rsidR="000F0855" w:rsidRPr="084DF1A1">
        <w:rPr>
          <w:lang w:val="en-AU" w:eastAsia="en-AU"/>
        </w:rPr>
        <w:t xml:space="preserve">nvestment </w:t>
      </w:r>
      <w:r w:rsidR="000F0855">
        <w:rPr>
          <w:lang w:val="en-AU" w:eastAsia="en-AU"/>
        </w:rPr>
        <w:t>M</w:t>
      </w:r>
      <w:r w:rsidR="000F0855" w:rsidRPr="084DF1A1">
        <w:rPr>
          <w:lang w:val="en-AU" w:eastAsia="en-AU"/>
        </w:rPr>
        <w:t xml:space="preserve">onitoring </w:t>
      </w:r>
      <w:r w:rsidR="000F0855">
        <w:rPr>
          <w:lang w:val="en-AU" w:eastAsia="en-AU"/>
        </w:rPr>
        <w:t>R</w:t>
      </w:r>
      <w:r w:rsidR="000F0855" w:rsidRPr="084DF1A1">
        <w:rPr>
          <w:lang w:val="en-AU" w:eastAsia="en-AU"/>
        </w:rPr>
        <w:t xml:space="preserve">eports (FIMRs), and </w:t>
      </w:r>
      <w:r w:rsidR="000F0855">
        <w:rPr>
          <w:lang w:val="en-AU" w:eastAsia="en-AU"/>
        </w:rPr>
        <w:t>P</w:t>
      </w:r>
      <w:r w:rsidR="000F0855" w:rsidRPr="084DF1A1">
        <w:rPr>
          <w:lang w:val="en-AU" w:eastAsia="en-AU"/>
        </w:rPr>
        <w:t xml:space="preserve">erformance </w:t>
      </w:r>
      <w:r w:rsidR="000F0855">
        <w:rPr>
          <w:lang w:val="en-AU" w:eastAsia="en-AU"/>
        </w:rPr>
        <w:t>A</w:t>
      </w:r>
      <w:r w:rsidR="000F0855" w:rsidRPr="084DF1A1">
        <w:rPr>
          <w:lang w:val="en-AU" w:eastAsia="en-AU"/>
        </w:rPr>
        <w:t xml:space="preserve">ssessment </w:t>
      </w:r>
      <w:r w:rsidR="000F0855">
        <w:rPr>
          <w:lang w:val="en-AU" w:eastAsia="en-AU"/>
        </w:rPr>
        <w:t>F</w:t>
      </w:r>
      <w:r w:rsidR="000F0855" w:rsidRPr="084DF1A1">
        <w:rPr>
          <w:lang w:val="en-AU" w:eastAsia="en-AU"/>
        </w:rPr>
        <w:t xml:space="preserve">ramework (PAF) updates. The MEL </w:t>
      </w:r>
      <w:r w:rsidR="000F0855">
        <w:rPr>
          <w:lang w:val="en-AU" w:eastAsia="en-AU"/>
        </w:rPr>
        <w:t>Framework</w:t>
      </w:r>
      <w:r w:rsidR="000F0855" w:rsidRPr="084DF1A1">
        <w:rPr>
          <w:lang w:val="en-AU" w:eastAsia="en-AU"/>
        </w:rPr>
        <w:t xml:space="preserve"> will identify internal strategic reviews</w:t>
      </w:r>
      <w:r w:rsidR="000F0855">
        <w:rPr>
          <w:lang w:val="en-AU" w:eastAsia="en-AU"/>
        </w:rPr>
        <w:t>, with both</w:t>
      </w:r>
      <w:r w:rsidR="000F0855" w:rsidRPr="084DF1A1">
        <w:rPr>
          <w:lang w:val="en-AU" w:eastAsia="en-AU"/>
        </w:rPr>
        <w:t xml:space="preserve"> component</w:t>
      </w:r>
      <w:r w:rsidR="000F0855">
        <w:rPr>
          <w:lang w:val="en-AU" w:eastAsia="en-AU"/>
        </w:rPr>
        <w:t>s to</w:t>
      </w:r>
      <w:r w:rsidR="000F0855" w:rsidRPr="084DF1A1">
        <w:rPr>
          <w:lang w:val="en-AU" w:eastAsia="en-AU"/>
        </w:rPr>
        <w:t xml:space="preserve"> be convened to track progress, identify shared challenges and recalibrate approaches in response to evolving political contexts. </w:t>
      </w:r>
      <w:r w:rsidR="0009534C" w:rsidRPr="0009534C">
        <w:rPr>
          <w:rFonts w:eastAsia="Times New Roman" w:cs="Times New Roman"/>
          <w:szCs w:val="24"/>
          <w:lang w:val="en-AU"/>
        </w:rPr>
        <w:t>MEL responsibilities will be clearly defined</w:t>
      </w:r>
      <w:r w:rsidR="002E4FAB">
        <w:rPr>
          <w:rFonts w:eastAsia="Times New Roman" w:cs="Times New Roman"/>
          <w:szCs w:val="24"/>
          <w:lang w:val="en-AU"/>
        </w:rPr>
        <w:t xml:space="preserve"> in the Framework</w:t>
      </w:r>
      <w:r w:rsidR="0009534C" w:rsidRPr="0009534C">
        <w:rPr>
          <w:rFonts w:eastAsia="Times New Roman" w:cs="Times New Roman"/>
          <w:szCs w:val="24"/>
          <w:lang w:val="en-AU"/>
        </w:rPr>
        <w:t xml:space="preserve"> for all delivery partners – including government institutions, CSOs, contractors, the Convenor and PSU – with standardised data collection tools, mandatory reporting timelines, and shared access to the Monitoring Information System. </w:t>
      </w:r>
    </w:p>
    <w:p w14:paraId="7E5AAB0E" w14:textId="77777777" w:rsidR="00C875C7" w:rsidRDefault="00C875C7" w:rsidP="00C875C7">
      <w:pPr>
        <w:rPr>
          <w:lang w:val="en-AU" w:eastAsia="en-AU"/>
        </w:rPr>
      </w:pPr>
      <w:r w:rsidRPr="00C72857">
        <w:rPr>
          <w:lang w:val="en-AU" w:eastAsia="en-AU"/>
        </w:rPr>
        <w:t>Performance data and synthesis will be central to</w:t>
      </w:r>
      <w:r>
        <w:rPr>
          <w:lang w:val="en-AU" w:eastAsia="en-AU"/>
        </w:rPr>
        <w:t xml:space="preserve"> </w:t>
      </w:r>
      <w:proofErr w:type="spellStart"/>
      <w:r w:rsidRPr="00D84A7F">
        <w:rPr>
          <w:lang w:val="en-AU" w:eastAsia="en-AU"/>
        </w:rPr>
        <w:t>Partisipasi’s</w:t>
      </w:r>
      <w:proofErr w:type="spellEnd"/>
      <w:r w:rsidRPr="00C72857">
        <w:rPr>
          <w:lang w:val="en-AU" w:eastAsia="en-AU"/>
        </w:rPr>
        <w:t xml:space="preserve"> governance. The MEL Hub will provide feedback, scenario tracking, and outcome-level insights that will inform strategic decision-making, policy engagement, and broader learning.</w:t>
      </w:r>
      <w:r>
        <w:rPr>
          <w:lang w:val="en-AU" w:eastAsia="en-AU"/>
        </w:rPr>
        <w:t xml:space="preserve"> </w:t>
      </w:r>
      <w:r w:rsidRPr="008847A5">
        <w:rPr>
          <w:lang w:val="en-AU" w:eastAsia="en-AU"/>
        </w:rPr>
        <w:t xml:space="preserve">MEL findings will be translated into accessible learning products and disseminated through policy dialogues with </w:t>
      </w:r>
      <w:proofErr w:type="spellStart"/>
      <w:r w:rsidRPr="008847A5">
        <w:rPr>
          <w:lang w:val="en-AU" w:eastAsia="en-AU"/>
        </w:rPr>
        <w:t>GoI</w:t>
      </w:r>
      <w:proofErr w:type="spellEnd"/>
      <w:r w:rsidRPr="008847A5">
        <w:rPr>
          <w:lang w:val="en-AU" w:eastAsia="en-AU"/>
        </w:rPr>
        <w:t>, civil society, and development partners</w:t>
      </w:r>
      <w:r w:rsidRPr="00181C7D">
        <w:rPr>
          <w:lang w:val="en-AU" w:eastAsia="en-AU"/>
        </w:rPr>
        <w:t>.</w:t>
      </w:r>
      <w:r>
        <w:rPr>
          <w:lang w:val="en-AU" w:eastAsia="en-AU"/>
        </w:rPr>
        <w:t xml:space="preserve"> </w:t>
      </w:r>
    </w:p>
    <w:p w14:paraId="3CF1CBE4" w14:textId="0BB3D605" w:rsidR="00902F90" w:rsidRPr="00AC743A" w:rsidRDefault="00D822EA" w:rsidP="00902F90">
      <w:pPr>
        <w:tabs>
          <w:tab w:val="left" w:pos="284"/>
        </w:tabs>
        <w:suppressAutoHyphens w:val="0"/>
        <w:spacing w:before="0" w:line="280" w:lineRule="exact"/>
        <w:rPr>
          <w:rFonts w:eastAsia="Times New Roman" w:cs="Times New Roman"/>
          <w:szCs w:val="24"/>
          <w:lang w:val="en-AU"/>
        </w:rPr>
      </w:pPr>
      <w:r>
        <w:rPr>
          <w:rFonts w:eastAsia="Times New Roman" w:cs="Times New Roman"/>
          <w:szCs w:val="24"/>
          <w:lang w:val="en-AU"/>
        </w:rPr>
        <w:t xml:space="preserve">DFAT will commission an independent </w:t>
      </w:r>
      <w:r w:rsidR="00902F90" w:rsidRPr="00CB47FF">
        <w:rPr>
          <w:rFonts w:eastAsia="Times New Roman" w:cs="Times New Roman"/>
          <w:szCs w:val="24"/>
          <w:lang w:val="en-AU"/>
        </w:rPr>
        <w:t>end</w:t>
      </w:r>
      <w:r w:rsidR="0035135B">
        <w:rPr>
          <w:rFonts w:eastAsia="Times New Roman" w:cs="Times New Roman"/>
          <w:szCs w:val="24"/>
          <w:lang w:val="en-AU"/>
        </w:rPr>
        <w:t>-</w:t>
      </w:r>
      <w:r w:rsidR="00902F90" w:rsidRPr="00CB47FF">
        <w:rPr>
          <w:rFonts w:eastAsia="Times New Roman" w:cs="Times New Roman"/>
          <w:szCs w:val="24"/>
          <w:lang w:val="en-AU"/>
        </w:rPr>
        <w:t>of</w:t>
      </w:r>
      <w:r w:rsidR="0035135B">
        <w:rPr>
          <w:rFonts w:eastAsia="Times New Roman" w:cs="Times New Roman"/>
          <w:szCs w:val="24"/>
          <w:lang w:val="en-AU"/>
        </w:rPr>
        <w:t>-</w:t>
      </w:r>
      <w:r w:rsidR="00902F90" w:rsidRPr="00CB47FF">
        <w:rPr>
          <w:rFonts w:eastAsia="Times New Roman" w:cs="Times New Roman"/>
          <w:szCs w:val="24"/>
          <w:lang w:val="en-AU"/>
        </w:rPr>
        <w:t>phase review within the fourth year of</w:t>
      </w:r>
      <w:r w:rsidR="00902F90" w:rsidRPr="00AC743A">
        <w:rPr>
          <w:rFonts w:eastAsia="Times New Roman" w:cs="Times New Roman"/>
          <w:szCs w:val="24"/>
          <w:lang w:val="en-AU"/>
        </w:rPr>
        <w:t xml:space="preserve"> implementation</w:t>
      </w:r>
      <w:r w:rsidR="00AE4323">
        <w:rPr>
          <w:rFonts w:eastAsia="Times New Roman" w:cs="Times New Roman"/>
          <w:szCs w:val="24"/>
          <w:lang w:val="en-AU"/>
        </w:rPr>
        <w:t>,</w:t>
      </w:r>
      <w:r w:rsidR="00902F90" w:rsidRPr="00AC743A">
        <w:rPr>
          <w:rFonts w:eastAsia="Times New Roman" w:cs="Times New Roman"/>
          <w:szCs w:val="24"/>
          <w:lang w:val="en-AU"/>
        </w:rPr>
        <w:t xml:space="preserve"> to assess progress against the Program Logic</w:t>
      </w:r>
      <w:r w:rsidR="00C875C7">
        <w:rPr>
          <w:rFonts w:eastAsia="Times New Roman" w:cs="Times New Roman"/>
          <w:szCs w:val="24"/>
          <w:lang w:val="en-AU"/>
        </w:rPr>
        <w:t xml:space="preserve"> and </w:t>
      </w:r>
      <w:r w:rsidR="00C875C7">
        <w:rPr>
          <w:lang w:val="en-AU" w:eastAsia="en-AU"/>
        </w:rPr>
        <w:t>make recommendations for a potential second phase of the program.</w:t>
      </w:r>
      <w:r w:rsidR="00902F90" w:rsidRPr="00AC743A">
        <w:rPr>
          <w:rFonts w:eastAsia="Times New Roman" w:cs="Times New Roman"/>
          <w:szCs w:val="24"/>
          <w:lang w:val="en-AU"/>
        </w:rPr>
        <w:t xml:space="preserve"> The program will also be subject to independent assessments through DFAT’s quality assurance mechanisms</w:t>
      </w:r>
      <w:r w:rsidR="00902F90">
        <w:rPr>
          <w:rFonts w:eastAsia="Times New Roman" w:cs="Times New Roman"/>
          <w:szCs w:val="24"/>
          <w:lang w:val="en-AU"/>
        </w:rPr>
        <w:t xml:space="preserve"> (e.g. Jakarta Post’s existing Quality Investment Support Service)</w:t>
      </w:r>
      <w:r w:rsidR="00902F90" w:rsidRPr="00AC743A">
        <w:rPr>
          <w:rFonts w:eastAsia="Times New Roman" w:cs="Times New Roman"/>
          <w:szCs w:val="24"/>
          <w:lang w:val="en-AU"/>
        </w:rPr>
        <w:t xml:space="preserve">. Where appropriate, a </w:t>
      </w:r>
      <w:r w:rsidR="00902F90">
        <w:rPr>
          <w:rFonts w:eastAsia="Times New Roman" w:cs="Times New Roman"/>
          <w:szCs w:val="24"/>
          <w:lang w:val="en-AU"/>
        </w:rPr>
        <w:t>‘</w:t>
      </w:r>
      <w:r w:rsidR="00902F90" w:rsidRPr="00AC743A">
        <w:rPr>
          <w:rFonts w:eastAsia="Times New Roman" w:cs="Times New Roman"/>
          <w:szCs w:val="24"/>
          <w:lang w:val="en-AU"/>
        </w:rPr>
        <w:t>light-touch</w:t>
      </w:r>
      <w:r w:rsidR="00902F90">
        <w:rPr>
          <w:rFonts w:eastAsia="Times New Roman" w:cs="Times New Roman"/>
          <w:szCs w:val="24"/>
          <w:lang w:val="en-AU"/>
        </w:rPr>
        <w:t>’</w:t>
      </w:r>
      <w:r w:rsidR="00902F90" w:rsidRPr="00AC743A">
        <w:rPr>
          <w:rFonts w:eastAsia="Times New Roman" w:cs="Times New Roman"/>
          <w:szCs w:val="24"/>
          <w:lang w:val="en-AU"/>
        </w:rPr>
        <w:t xml:space="preserve"> impact evaluation will be considered for selected innovations (e.g. youth civic platforms or digital resilience pilots).</w:t>
      </w:r>
    </w:p>
    <w:p w14:paraId="0862C38B" w14:textId="0C3563C0" w:rsidR="009F6286" w:rsidRDefault="00216AE0" w:rsidP="00902F90">
      <w:pPr>
        <w:suppressAutoHyphens w:val="0"/>
        <w:spacing w:after="0" w:line="259" w:lineRule="auto"/>
        <w:rPr>
          <w:rFonts w:eastAsia="Times New Roman" w:cs="Times New Roman"/>
          <w:szCs w:val="24"/>
        </w:rPr>
      </w:pPr>
      <w:r>
        <w:rPr>
          <w:rFonts w:eastAsia="Times New Roman" w:cs="Times New Roman"/>
          <w:szCs w:val="24"/>
        </w:rPr>
        <w:t>Between</w:t>
      </w:r>
      <w:r w:rsidR="00902F90" w:rsidRPr="0009534C">
        <w:rPr>
          <w:rFonts w:eastAsia="Times New Roman" w:cs="Times New Roman"/>
          <w:szCs w:val="24"/>
        </w:rPr>
        <w:t xml:space="preserve"> </w:t>
      </w:r>
      <w:r>
        <w:rPr>
          <w:rFonts w:eastAsia="Times New Roman" w:cs="Times New Roman"/>
          <w:szCs w:val="24"/>
        </w:rPr>
        <w:t xml:space="preserve">7 - </w:t>
      </w:r>
      <w:r w:rsidR="00902F90" w:rsidRPr="0009534C">
        <w:rPr>
          <w:rFonts w:eastAsia="Times New Roman" w:cs="Times New Roman"/>
          <w:szCs w:val="24"/>
        </w:rPr>
        <w:t>10% of the overall budget will be allocated to MEL,</w:t>
      </w:r>
      <w:r w:rsidR="00902F90" w:rsidRPr="009553BD">
        <w:rPr>
          <w:rFonts w:eastAsia="Times New Roman" w:cs="Times New Roman"/>
          <w:b/>
          <w:bCs/>
          <w:szCs w:val="24"/>
        </w:rPr>
        <w:t xml:space="preserve"> </w:t>
      </w:r>
      <w:r w:rsidR="00902F90" w:rsidRPr="00641F94">
        <w:rPr>
          <w:rFonts w:eastAsia="Times New Roman" w:cs="Times New Roman"/>
          <w:szCs w:val="24"/>
        </w:rPr>
        <w:t xml:space="preserve">including partner capacity strengthening and independent assessments. </w:t>
      </w:r>
      <w:r w:rsidR="009F6286">
        <w:rPr>
          <w:rFonts w:eastAsia="Times New Roman" w:cs="Times New Roman"/>
          <w:szCs w:val="24"/>
        </w:rPr>
        <w:t>In sum, k</w:t>
      </w:r>
      <w:r w:rsidR="00902F90" w:rsidRPr="00641F94">
        <w:rPr>
          <w:rFonts w:eastAsia="Times New Roman" w:cs="Times New Roman"/>
          <w:szCs w:val="24"/>
        </w:rPr>
        <w:t>ey milestones include</w:t>
      </w:r>
      <w:r w:rsidR="0009534C">
        <w:rPr>
          <w:rFonts w:eastAsia="Times New Roman" w:cs="Times New Roman"/>
          <w:szCs w:val="24"/>
        </w:rPr>
        <w:t>:</w:t>
      </w:r>
      <w:r w:rsidR="00902F90" w:rsidRPr="00641F94">
        <w:rPr>
          <w:rFonts w:eastAsia="Times New Roman" w:cs="Times New Roman"/>
          <w:szCs w:val="24"/>
        </w:rPr>
        <w:t xml:space="preserve"> </w:t>
      </w:r>
    </w:p>
    <w:p w14:paraId="043C9A5F" w14:textId="0D497391" w:rsidR="009F6286" w:rsidRDefault="00902F90" w:rsidP="00504B06">
      <w:pPr>
        <w:pStyle w:val="ListParagraph"/>
        <w:numPr>
          <w:ilvl w:val="0"/>
          <w:numId w:val="98"/>
        </w:numPr>
        <w:suppressAutoHyphens w:val="0"/>
        <w:spacing w:after="0" w:line="259" w:lineRule="auto"/>
        <w:rPr>
          <w:rFonts w:eastAsia="Times New Roman" w:cs="Times New Roman"/>
          <w:szCs w:val="24"/>
        </w:rPr>
      </w:pPr>
      <w:r w:rsidRPr="009553BD">
        <w:rPr>
          <w:rFonts w:eastAsia="Times New Roman" w:cs="Times New Roman"/>
          <w:szCs w:val="24"/>
        </w:rPr>
        <w:t xml:space="preserve">a revised MEL Framework within </w:t>
      </w:r>
      <w:r w:rsidR="00300E50" w:rsidRPr="009553BD">
        <w:rPr>
          <w:rFonts w:eastAsia="Times New Roman" w:cs="Times New Roman"/>
          <w:szCs w:val="24"/>
        </w:rPr>
        <w:t xml:space="preserve">6 </w:t>
      </w:r>
      <w:r w:rsidRPr="009553BD">
        <w:rPr>
          <w:rFonts w:eastAsia="Times New Roman" w:cs="Times New Roman"/>
          <w:szCs w:val="24"/>
        </w:rPr>
        <w:t>months</w:t>
      </w:r>
      <w:r w:rsidR="009F6286">
        <w:rPr>
          <w:rFonts w:eastAsia="Times New Roman" w:cs="Times New Roman"/>
          <w:szCs w:val="24"/>
        </w:rPr>
        <w:t xml:space="preserve"> of commencement</w:t>
      </w:r>
    </w:p>
    <w:p w14:paraId="5B24EEFE" w14:textId="2B5D2F6F" w:rsidR="009F6286" w:rsidRDefault="00902F90" w:rsidP="00504B06">
      <w:pPr>
        <w:pStyle w:val="ListParagraph"/>
        <w:numPr>
          <w:ilvl w:val="0"/>
          <w:numId w:val="98"/>
        </w:numPr>
        <w:suppressAutoHyphens w:val="0"/>
        <w:spacing w:after="0" w:line="259" w:lineRule="auto"/>
        <w:rPr>
          <w:rFonts w:eastAsia="Times New Roman" w:cs="Times New Roman"/>
          <w:szCs w:val="24"/>
        </w:rPr>
      </w:pPr>
      <w:r w:rsidRPr="009553BD">
        <w:rPr>
          <w:rFonts w:eastAsia="Times New Roman" w:cs="Times New Roman"/>
          <w:szCs w:val="24"/>
        </w:rPr>
        <w:t xml:space="preserve">baseline and </w:t>
      </w:r>
      <w:r w:rsidR="00A03AC6">
        <w:rPr>
          <w:rFonts w:eastAsia="Times New Roman" w:cs="Times New Roman"/>
          <w:szCs w:val="24"/>
        </w:rPr>
        <w:t>Management</w:t>
      </w:r>
      <w:r w:rsidR="009A58C6">
        <w:rPr>
          <w:rFonts w:eastAsia="Times New Roman" w:cs="Times New Roman"/>
          <w:szCs w:val="24"/>
        </w:rPr>
        <w:t xml:space="preserve"> Information System (</w:t>
      </w:r>
      <w:r w:rsidRPr="009553BD">
        <w:rPr>
          <w:rFonts w:eastAsia="Times New Roman" w:cs="Times New Roman"/>
          <w:szCs w:val="24"/>
        </w:rPr>
        <w:t>MIS</w:t>
      </w:r>
      <w:r w:rsidR="009A58C6">
        <w:rPr>
          <w:rFonts w:eastAsia="Times New Roman" w:cs="Times New Roman"/>
          <w:szCs w:val="24"/>
        </w:rPr>
        <w:t>)</w:t>
      </w:r>
      <w:r w:rsidRPr="009553BD">
        <w:rPr>
          <w:rFonts w:eastAsia="Times New Roman" w:cs="Times New Roman"/>
          <w:szCs w:val="24"/>
        </w:rPr>
        <w:t xml:space="preserve"> established within 12</w:t>
      </w:r>
      <w:r w:rsidR="00C84C43" w:rsidRPr="009553BD">
        <w:rPr>
          <w:rFonts w:eastAsia="Times New Roman" w:cs="Times New Roman"/>
          <w:szCs w:val="24"/>
        </w:rPr>
        <w:t> </w:t>
      </w:r>
      <w:r w:rsidRPr="009553BD">
        <w:rPr>
          <w:rFonts w:eastAsia="Times New Roman" w:cs="Times New Roman"/>
          <w:szCs w:val="24"/>
        </w:rPr>
        <w:t>months</w:t>
      </w:r>
    </w:p>
    <w:p w14:paraId="7D00D072" w14:textId="0945EAF7" w:rsidR="009F6286" w:rsidRDefault="0009534C" w:rsidP="00504B06">
      <w:pPr>
        <w:pStyle w:val="ListParagraph"/>
        <w:numPr>
          <w:ilvl w:val="0"/>
          <w:numId w:val="98"/>
        </w:numPr>
        <w:suppressAutoHyphens w:val="0"/>
        <w:spacing w:after="0" w:line="259" w:lineRule="auto"/>
        <w:rPr>
          <w:rFonts w:eastAsia="Times New Roman" w:cs="Times New Roman"/>
          <w:szCs w:val="24"/>
        </w:rPr>
      </w:pPr>
      <w:r>
        <w:rPr>
          <w:rFonts w:eastAsia="Times New Roman" w:cs="Times New Roman"/>
          <w:szCs w:val="24"/>
        </w:rPr>
        <w:t>six-monthly MEL</w:t>
      </w:r>
      <w:r w:rsidR="00902F90" w:rsidRPr="009553BD">
        <w:rPr>
          <w:rFonts w:eastAsia="Times New Roman" w:cs="Times New Roman"/>
          <w:szCs w:val="24"/>
        </w:rPr>
        <w:t xml:space="preserve"> cycles</w:t>
      </w:r>
      <w:r>
        <w:rPr>
          <w:rFonts w:eastAsia="Times New Roman" w:cs="Times New Roman"/>
          <w:szCs w:val="24"/>
        </w:rPr>
        <w:t xml:space="preserve"> including </w:t>
      </w:r>
      <w:r w:rsidR="003272B1">
        <w:rPr>
          <w:rFonts w:eastAsia="Times New Roman" w:cs="Times New Roman"/>
          <w:szCs w:val="24"/>
        </w:rPr>
        <w:t>reports and reflection workshops,</w:t>
      </w:r>
      <w:r w:rsidR="00902F90" w:rsidRPr="009553BD">
        <w:rPr>
          <w:rFonts w:eastAsia="Times New Roman" w:cs="Times New Roman"/>
          <w:szCs w:val="24"/>
        </w:rPr>
        <w:t xml:space="preserve"> and</w:t>
      </w:r>
    </w:p>
    <w:p w14:paraId="2FEA2ACF" w14:textId="7BABF8E8" w:rsidR="00902F90" w:rsidRDefault="00902F90" w:rsidP="00504B06">
      <w:pPr>
        <w:pStyle w:val="ListParagraph"/>
        <w:numPr>
          <w:ilvl w:val="0"/>
          <w:numId w:val="98"/>
        </w:numPr>
        <w:suppressAutoHyphens w:val="0"/>
        <w:spacing w:after="0" w:line="259" w:lineRule="auto"/>
        <w:rPr>
          <w:rFonts w:eastAsia="Times New Roman" w:cs="Times New Roman"/>
          <w:szCs w:val="24"/>
        </w:rPr>
      </w:pPr>
      <w:r w:rsidRPr="009553BD">
        <w:rPr>
          <w:rFonts w:eastAsia="Times New Roman" w:cs="Times New Roman"/>
          <w:szCs w:val="24"/>
        </w:rPr>
        <w:t>an independent End-of-Phase Review in Year 4.</w:t>
      </w:r>
    </w:p>
    <w:p w14:paraId="45790B29" w14:textId="6F39A438" w:rsidR="00902F90" w:rsidRDefault="00AE4323" w:rsidP="00902F90">
      <w:pPr>
        <w:tabs>
          <w:tab w:val="left" w:pos="284"/>
        </w:tabs>
        <w:suppressAutoHyphens w:val="0"/>
        <w:spacing w:line="280" w:lineRule="exact"/>
        <w:rPr>
          <w:rFonts w:eastAsia="Times New Roman" w:cs="Times New Roman"/>
          <w:szCs w:val="24"/>
          <w:lang w:val="en-AU"/>
        </w:rPr>
      </w:pPr>
      <w:r>
        <w:rPr>
          <w:rFonts w:eastAsia="Times New Roman" w:cs="Times New Roman"/>
          <w:szCs w:val="24"/>
          <w:lang w:val="en-AU"/>
        </w:rPr>
        <w:t>S</w:t>
      </w:r>
      <w:r w:rsidR="00902F90">
        <w:rPr>
          <w:rFonts w:eastAsia="Times New Roman" w:cs="Times New Roman"/>
          <w:szCs w:val="24"/>
          <w:lang w:val="en-AU"/>
        </w:rPr>
        <w:t xml:space="preserve">ee </w:t>
      </w:r>
      <w:hyperlink w:anchor="AnnexH" w:history="1">
        <w:r w:rsidR="00902F90" w:rsidRPr="00A936E2">
          <w:rPr>
            <w:rStyle w:val="Hyperlink"/>
            <w:rFonts w:eastAsia="Times New Roman" w:cs="Times New Roman"/>
            <w:b/>
            <w:szCs w:val="24"/>
            <w:lang w:val="en-AU"/>
          </w:rPr>
          <w:t xml:space="preserve">Annex </w:t>
        </w:r>
        <w:r w:rsidR="008F5711">
          <w:rPr>
            <w:rStyle w:val="Hyperlink"/>
            <w:rFonts w:eastAsia="Times New Roman" w:cs="Times New Roman"/>
            <w:b/>
            <w:szCs w:val="24"/>
            <w:lang w:val="en-AU"/>
          </w:rPr>
          <w:t>H</w:t>
        </w:r>
      </w:hyperlink>
      <w:r w:rsidR="00902F90">
        <w:rPr>
          <w:rFonts w:eastAsia="Times New Roman" w:cs="Times New Roman"/>
          <w:szCs w:val="24"/>
          <w:lang w:val="en-AU"/>
        </w:rPr>
        <w:t xml:space="preserve"> for more detailed discussion on </w:t>
      </w:r>
      <w:r w:rsidR="008135AD">
        <w:rPr>
          <w:rFonts w:eastAsia="Times New Roman" w:cs="Times New Roman"/>
          <w:szCs w:val="24"/>
          <w:lang w:val="en-AU"/>
        </w:rPr>
        <w:t xml:space="preserve">the </w:t>
      </w:r>
      <w:proofErr w:type="spellStart"/>
      <w:r w:rsidR="00902F90">
        <w:rPr>
          <w:rFonts w:eastAsia="Times New Roman" w:cs="Times New Roman"/>
          <w:szCs w:val="24"/>
          <w:lang w:val="en-AU"/>
        </w:rPr>
        <w:t>Partisipasi</w:t>
      </w:r>
      <w:proofErr w:type="spellEnd"/>
      <w:r w:rsidR="00902F90">
        <w:rPr>
          <w:rFonts w:eastAsia="Times New Roman" w:cs="Times New Roman"/>
          <w:szCs w:val="24"/>
          <w:lang w:val="en-AU"/>
        </w:rPr>
        <w:t xml:space="preserve"> MEL System and Framework at design. </w:t>
      </w:r>
    </w:p>
    <w:p w14:paraId="4FADF411" w14:textId="6D069EE9" w:rsidR="00902F90" w:rsidRPr="003F4847" w:rsidRDefault="00902F90" w:rsidP="00C5377B">
      <w:pPr>
        <w:pStyle w:val="Heading1Numbered"/>
        <w:spacing w:before="360"/>
        <w:ind w:left="357" w:hanging="357"/>
      </w:pPr>
      <w:bookmarkStart w:id="255" w:name="_Toc208223956"/>
      <w:bookmarkStart w:id="256" w:name="_Toc232524284"/>
      <w:r w:rsidRPr="003F4847">
        <w:lastRenderedPageBreak/>
        <w:t xml:space="preserve">Gender Equality, Disability </w:t>
      </w:r>
      <w:r>
        <w:t>equity</w:t>
      </w:r>
      <w:r w:rsidRPr="003F4847">
        <w:t xml:space="preserve">, Climate Change, </w:t>
      </w:r>
      <w:r w:rsidR="0051224F">
        <w:t>AND</w:t>
      </w:r>
      <w:r w:rsidRPr="003F4847">
        <w:t xml:space="preserve"> Other Cross-Cutting Issues</w:t>
      </w:r>
      <w:bookmarkEnd w:id="255"/>
      <w:bookmarkEnd w:id="256"/>
      <w:r w:rsidR="006F078A">
        <w:t xml:space="preserve"> </w:t>
      </w:r>
    </w:p>
    <w:p w14:paraId="5F7917A6" w14:textId="69B03453" w:rsidR="00902F90" w:rsidRDefault="00902F90" w:rsidP="00902F90">
      <w:pPr>
        <w:rPr>
          <w:rFonts w:eastAsia="Times New Roman" w:cs="Times New Roman"/>
          <w:lang w:val="en-AU"/>
        </w:rPr>
      </w:pPr>
      <w:proofErr w:type="spellStart"/>
      <w:r w:rsidRPr="129B4E48">
        <w:rPr>
          <w:rFonts w:eastAsia="Times New Roman" w:cs="Times New Roman"/>
        </w:rPr>
        <w:t>Partisipasi</w:t>
      </w:r>
      <w:proofErr w:type="spellEnd"/>
      <w:r w:rsidRPr="129B4E48">
        <w:rPr>
          <w:rFonts w:eastAsia="Times New Roman" w:cs="Times New Roman"/>
        </w:rPr>
        <w:t xml:space="preserve"> treats GEDSI as foundational, recognising that Indonesia’s democracy is only as resilient as it is inclusive; measured by whose voices are amplified, whose priorities are represented, and whose rights are safeguarded. </w:t>
      </w:r>
      <w:r w:rsidR="00591FDA" w:rsidRPr="129B4E48">
        <w:rPr>
          <w:rFonts w:eastAsia="Times New Roman" w:cs="Times New Roman"/>
          <w:lang w:val="en-AU"/>
        </w:rPr>
        <w:t xml:space="preserve">Exclusion is not merely an equity issue, it corrodes democratic legitimacy, polarises civic coalitions, and </w:t>
      </w:r>
      <w:r w:rsidR="00653CE5">
        <w:rPr>
          <w:rFonts w:eastAsia="Times New Roman" w:cs="Times New Roman"/>
          <w:lang w:val="en-AU"/>
        </w:rPr>
        <w:t>can weaken</w:t>
      </w:r>
      <w:r w:rsidR="00591FDA" w:rsidRPr="129B4E48">
        <w:rPr>
          <w:rFonts w:eastAsia="Times New Roman" w:cs="Times New Roman"/>
          <w:lang w:val="en-AU"/>
        </w:rPr>
        <w:t xml:space="preserve"> institutions </w:t>
      </w:r>
      <w:r w:rsidR="00002B43">
        <w:rPr>
          <w:rFonts w:eastAsia="Times New Roman" w:cs="Times New Roman"/>
          <w:lang w:val="en-AU"/>
        </w:rPr>
        <w:t>i</w:t>
      </w:r>
      <w:r w:rsidR="00591FDA" w:rsidRPr="129B4E48">
        <w:rPr>
          <w:rFonts w:eastAsia="Times New Roman" w:cs="Times New Roman"/>
          <w:lang w:val="en-AU"/>
        </w:rPr>
        <w:t xml:space="preserve">n the face of growing pressures. </w:t>
      </w:r>
      <w:r w:rsidRPr="129B4E48">
        <w:rPr>
          <w:rFonts w:eastAsia="Times New Roman" w:cs="Times New Roman"/>
        </w:rPr>
        <w:t xml:space="preserve">Considering DFAT’s other global and bilateral investments such as INKLUSI, </w:t>
      </w:r>
      <w:proofErr w:type="spellStart"/>
      <w:r w:rsidRPr="129B4E48">
        <w:rPr>
          <w:rFonts w:eastAsia="Times New Roman" w:cs="Times New Roman"/>
        </w:rPr>
        <w:t>Partisipasi</w:t>
      </w:r>
      <w:proofErr w:type="spellEnd"/>
      <w:r w:rsidRPr="129B4E48">
        <w:rPr>
          <w:rFonts w:eastAsia="Times New Roman" w:cs="Times New Roman"/>
          <w:i/>
          <w:iCs/>
        </w:rPr>
        <w:t xml:space="preserve"> </w:t>
      </w:r>
      <w:r w:rsidRPr="129B4E48">
        <w:rPr>
          <w:rFonts w:eastAsia="Times New Roman" w:cs="Times New Roman"/>
        </w:rPr>
        <w:t xml:space="preserve">will focus on addressing under-representation </w:t>
      </w:r>
      <w:r w:rsidRPr="129B4E48">
        <w:rPr>
          <w:rFonts w:eastAsia="Times New Roman" w:cs="Times New Roman"/>
          <w:lang w:val="en-AU"/>
        </w:rPr>
        <w:t xml:space="preserve">of women, </w:t>
      </w:r>
      <w:r w:rsidR="00CD2916">
        <w:rPr>
          <w:rFonts w:eastAsia="Times New Roman" w:cs="Times New Roman"/>
          <w:lang w:val="en-AU"/>
        </w:rPr>
        <w:t>people</w:t>
      </w:r>
      <w:r w:rsidR="00CD2916" w:rsidRPr="129B4E48">
        <w:rPr>
          <w:rFonts w:eastAsia="Times New Roman" w:cs="Times New Roman"/>
          <w:lang w:val="en-AU"/>
        </w:rPr>
        <w:t xml:space="preserve"> </w:t>
      </w:r>
      <w:r w:rsidRPr="129B4E48">
        <w:rPr>
          <w:rFonts w:eastAsia="Times New Roman" w:cs="Times New Roman"/>
          <w:lang w:val="en-AU"/>
        </w:rPr>
        <w:t>with disabilities and youth</w:t>
      </w:r>
      <w:r w:rsidR="00CD2916">
        <w:rPr>
          <w:rFonts w:eastAsia="Times New Roman" w:cs="Times New Roman"/>
          <w:lang w:val="en-AU"/>
        </w:rPr>
        <w:t>s</w:t>
      </w:r>
      <w:r w:rsidRPr="129B4E48">
        <w:rPr>
          <w:rFonts w:eastAsia="Times New Roman" w:cs="Times New Roman"/>
          <w:lang w:val="en-AU"/>
        </w:rPr>
        <w:t xml:space="preserve"> in democratic institutions and processes. </w:t>
      </w:r>
    </w:p>
    <w:p w14:paraId="438D3596" w14:textId="16AC84A2" w:rsidR="00902F90" w:rsidRPr="001F59B2" w:rsidRDefault="00902F90" w:rsidP="00902F90">
      <w:pPr>
        <w:rPr>
          <w:rFonts w:eastAsia="Times New Roman" w:cs="Times New Roman"/>
          <w:szCs w:val="21"/>
        </w:rPr>
      </w:pPr>
      <w:proofErr w:type="spellStart"/>
      <w:r w:rsidRPr="00431CB6">
        <w:rPr>
          <w:rFonts w:eastAsia="Times New Roman" w:cs="Times New Roman"/>
          <w:iCs/>
          <w:szCs w:val="21"/>
        </w:rPr>
        <w:t>Partisipasi</w:t>
      </w:r>
      <w:r w:rsidRPr="00F104B8">
        <w:rPr>
          <w:rFonts w:eastAsia="Times New Roman" w:cs="Times New Roman"/>
          <w:iCs/>
          <w:szCs w:val="21"/>
        </w:rPr>
        <w:t>’s</w:t>
      </w:r>
      <w:proofErr w:type="spellEnd"/>
      <w:r>
        <w:rPr>
          <w:rFonts w:eastAsia="Times New Roman" w:cs="Times New Roman"/>
          <w:szCs w:val="21"/>
        </w:rPr>
        <w:t xml:space="preserve"> </w:t>
      </w:r>
      <w:r w:rsidRPr="00E651FF">
        <w:rPr>
          <w:rFonts w:eastAsia="Times New Roman" w:cs="Times New Roman"/>
          <w:szCs w:val="21"/>
        </w:rPr>
        <w:t xml:space="preserve">contribution lies in </w:t>
      </w:r>
      <w:r w:rsidR="00002B43">
        <w:rPr>
          <w:rFonts w:eastAsia="Times New Roman" w:cs="Times New Roman"/>
          <w:szCs w:val="21"/>
        </w:rPr>
        <w:t xml:space="preserve">supporting </w:t>
      </w:r>
      <w:r>
        <w:rPr>
          <w:rFonts w:eastAsia="Times New Roman" w:cs="Times New Roman"/>
          <w:szCs w:val="21"/>
        </w:rPr>
        <w:t xml:space="preserve">public </w:t>
      </w:r>
      <w:r w:rsidRPr="00E651FF">
        <w:rPr>
          <w:rFonts w:eastAsia="Times New Roman" w:cs="Times New Roman"/>
          <w:szCs w:val="21"/>
        </w:rPr>
        <w:t xml:space="preserve">spaces where inclusion can </w:t>
      </w:r>
      <w:r>
        <w:rPr>
          <w:rFonts w:eastAsia="Times New Roman" w:cs="Times New Roman"/>
          <w:szCs w:val="21"/>
        </w:rPr>
        <w:t xml:space="preserve">flourish. It will do so by </w:t>
      </w:r>
      <w:r w:rsidRPr="00E651FF">
        <w:rPr>
          <w:rFonts w:eastAsia="Times New Roman" w:cs="Times New Roman"/>
          <w:szCs w:val="21"/>
        </w:rPr>
        <w:t xml:space="preserve">supporting coalitions that connect civic voices with </w:t>
      </w:r>
      <w:r>
        <w:rPr>
          <w:rFonts w:eastAsia="Times New Roman" w:cs="Times New Roman"/>
          <w:szCs w:val="21"/>
        </w:rPr>
        <w:t xml:space="preserve">key </w:t>
      </w:r>
      <w:r w:rsidRPr="00E651FF">
        <w:rPr>
          <w:rFonts w:eastAsia="Times New Roman" w:cs="Times New Roman"/>
          <w:szCs w:val="21"/>
        </w:rPr>
        <w:t xml:space="preserve">state institutions, resourcing grassroots organisations to </w:t>
      </w:r>
      <w:r>
        <w:rPr>
          <w:rFonts w:eastAsia="Times New Roman" w:cs="Times New Roman"/>
          <w:szCs w:val="21"/>
        </w:rPr>
        <w:t xml:space="preserve">strengthen representation of </w:t>
      </w:r>
      <w:r w:rsidRPr="00E651FF">
        <w:rPr>
          <w:rFonts w:eastAsia="Times New Roman" w:cs="Times New Roman"/>
          <w:szCs w:val="21"/>
        </w:rPr>
        <w:t>marginalised perspectives and embedding inclusive practice</w:t>
      </w:r>
      <w:r>
        <w:rPr>
          <w:rFonts w:eastAsia="Times New Roman" w:cs="Times New Roman"/>
          <w:szCs w:val="21"/>
        </w:rPr>
        <w:t>s</w:t>
      </w:r>
      <w:r w:rsidRPr="00E651FF">
        <w:rPr>
          <w:rFonts w:eastAsia="Times New Roman" w:cs="Times New Roman"/>
          <w:szCs w:val="21"/>
        </w:rPr>
        <w:t xml:space="preserve"> in program governance and delivery. In this way, </w:t>
      </w:r>
      <w:proofErr w:type="spellStart"/>
      <w:r w:rsidRPr="00D84A7F">
        <w:rPr>
          <w:rFonts w:eastAsia="Times New Roman" w:cs="Times New Roman"/>
          <w:iCs/>
          <w:szCs w:val="21"/>
        </w:rPr>
        <w:t>Partisipasi</w:t>
      </w:r>
      <w:proofErr w:type="spellEnd"/>
      <w:r w:rsidRPr="00E651FF">
        <w:rPr>
          <w:rFonts w:eastAsia="Times New Roman" w:cs="Times New Roman"/>
          <w:szCs w:val="21"/>
        </w:rPr>
        <w:t xml:space="preserve"> positions inclusion not </w:t>
      </w:r>
      <w:r>
        <w:rPr>
          <w:rFonts w:eastAsia="Times New Roman" w:cs="Times New Roman"/>
          <w:szCs w:val="21"/>
        </w:rPr>
        <w:t>just as a cross-cutting theme,</w:t>
      </w:r>
      <w:r w:rsidRPr="00E651FF">
        <w:rPr>
          <w:rFonts w:eastAsia="Times New Roman" w:cs="Times New Roman"/>
          <w:szCs w:val="21"/>
        </w:rPr>
        <w:t xml:space="preserve"> but as</w:t>
      </w:r>
      <w:r>
        <w:rPr>
          <w:rFonts w:eastAsia="Times New Roman" w:cs="Times New Roman"/>
          <w:szCs w:val="21"/>
        </w:rPr>
        <w:t xml:space="preserve"> a critical</w:t>
      </w:r>
      <w:r w:rsidRPr="00E651FF">
        <w:rPr>
          <w:rFonts w:eastAsia="Times New Roman" w:cs="Times New Roman"/>
          <w:szCs w:val="21"/>
        </w:rPr>
        <w:t xml:space="preserve"> mechanism through which democratic resilience is built and maintained.</w:t>
      </w:r>
    </w:p>
    <w:p w14:paraId="7377A08D" w14:textId="1341D659" w:rsidR="00190F84" w:rsidRDefault="00902F90" w:rsidP="00902F90">
      <w:pPr>
        <w:rPr>
          <w:rFonts w:eastAsia="Times New Roman" w:cs="Times New Roman"/>
          <w:szCs w:val="21"/>
          <w:lang w:val="en-AU"/>
        </w:rPr>
      </w:pPr>
      <w:r>
        <w:rPr>
          <w:rFonts w:eastAsia="Times New Roman" w:cs="Times New Roman"/>
          <w:szCs w:val="21"/>
          <w:lang w:val="en-AU"/>
        </w:rPr>
        <w:t>Consistent</w:t>
      </w:r>
      <w:r w:rsidRPr="009210C3">
        <w:rPr>
          <w:rFonts w:eastAsia="Times New Roman" w:cs="Times New Roman"/>
          <w:szCs w:val="21"/>
          <w:lang w:val="en-AU"/>
        </w:rPr>
        <w:t xml:space="preserve"> with the commitments of Australia’s </w:t>
      </w:r>
      <w:r>
        <w:rPr>
          <w:rFonts w:eastAsia="Times New Roman" w:cs="Times New Roman"/>
          <w:szCs w:val="21"/>
          <w:lang w:val="en-AU"/>
        </w:rPr>
        <w:t xml:space="preserve">IDP, IGES, IDERS, and </w:t>
      </w:r>
      <w:r w:rsidRPr="009210C3">
        <w:rPr>
          <w:rFonts w:eastAsia="Times New Roman" w:cs="Times New Roman"/>
          <w:szCs w:val="21"/>
          <w:lang w:val="en-AU"/>
        </w:rPr>
        <w:t xml:space="preserve">Climate Change Strategies, </w:t>
      </w:r>
      <w:r>
        <w:rPr>
          <w:rFonts w:eastAsia="Times New Roman" w:cs="Times New Roman"/>
          <w:szCs w:val="21"/>
          <w:lang w:val="en-AU"/>
        </w:rPr>
        <w:t>i</w:t>
      </w:r>
      <w:r w:rsidRPr="001F59B2">
        <w:rPr>
          <w:rFonts w:eastAsia="Times New Roman" w:cs="Times New Roman"/>
          <w:szCs w:val="21"/>
          <w:lang w:val="en-AU"/>
        </w:rPr>
        <w:t xml:space="preserve">nclusive outcomes are intentionally embedded across </w:t>
      </w:r>
      <w:proofErr w:type="gramStart"/>
      <w:r w:rsidRPr="001F59B2">
        <w:rPr>
          <w:rFonts w:eastAsia="Times New Roman" w:cs="Times New Roman"/>
          <w:szCs w:val="21"/>
          <w:lang w:val="en-AU"/>
        </w:rPr>
        <w:t>all of</w:t>
      </w:r>
      <w:proofErr w:type="gramEnd"/>
      <w:r w:rsidRPr="001F59B2">
        <w:rPr>
          <w:rFonts w:eastAsia="Times New Roman" w:cs="Times New Roman"/>
          <w:szCs w:val="21"/>
          <w:lang w:val="en-AU"/>
        </w:rPr>
        <w:t xml:space="preserve"> the program’s EOPOs and I</w:t>
      </w:r>
      <w:r>
        <w:rPr>
          <w:rFonts w:eastAsia="Times New Roman" w:cs="Times New Roman"/>
          <w:szCs w:val="21"/>
          <w:lang w:val="en-AU"/>
        </w:rPr>
        <w:t>O</w:t>
      </w:r>
      <w:r w:rsidRPr="001F59B2">
        <w:rPr>
          <w:rFonts w:eastAsia="Times New Roman" w:cs="Times New Roman"/>
          <w:szCs w:val="21"/>
          <w:lang w:val="en-AU"/>
        </w:rPr>
        <w:t>s</w:t>
      </w:r>
      <w:r>
        <w:rPr>
          <w:rFonts w:eastAsia="Times New Roman" w:cs="Times New Roman"/>
          <w:szCs w:val="21"/>
          <w:lang w:val="en-AU"/>
        </w:rPr>
        <w:t xml:space="preserve">, with </w:t>
      </w:r>
      <w:r w:rsidR="003D1CBF">
        <w:rPr>
          <w:rFonts w:eastAsia="Times New Roman" w:cs="Times New Roman"/>
          <w:szCs w:val="21"/>
          <w:lang w:val="en-AU"/>
        </w:rPr>
        <w:t xml:space="preserve">a </w:t>
      </w:r>
      <w:r>
        <w:rPr>
          <w:rFonts w:eastAsia="Times New Roman" w:cs="Times New Roman"/>
          <w:szCs w:val="21"/>
          <w:lang w:val="en-AU"/>
        </w:rPr>
        <w:t>dedicated GEDSI outcome in IO2.</w:t>
      </w:r>
      <w:r w:rsidR="003D1CBF">
        <w:rPr>
          <w:rFonts w:eastAsia="Times New Roman" w:cs="Times New Roman"/>
          <w:szCs w:val="21"/>
          <w:lang w:val="en-AU"/>
        </w:rPr>
        <w:t>1</w:t>
      </w:r>
      <w:r>
        <w:rPr>
          <w:rFonts w:eastAsia="Times New Roman" w:cs="Times New Roman"/>
          <w:szCs w:val="21"/>
          <w:lang w:val="en-AU"/>
        </w:rPr>
        <w:t xml:space="preserve"> (see </w:t>
      </w:r>
      <w:hyperlink w:anchor="AnnexB" w:history="1">
        <w:r w:rsidRPr="00A936E2">
          <w:rPr>
            <w:rStyle w:val="Hyperlink"/>
            <w:rFonts w:eastAsia="Times New Roman" w:cs="Times New Roman"/>
            <w:b/>
            <w:szCs w:val="21"/>
            <w:lang w:val="en-AU"/>
          </w:rPr>
          <w:t xml:space="preserve">Annex </w:t>
        </w:r>
        <w:r w:rsidRPr="00A936E2">
          <w:rPr>
            <w:rStyle w:val="Hyperlink"/>
            <w:rFonts w:cstheme="minorBidi"/>
            <w:b/>
          </w:rPr>
          <w:t>B</w:t>
        </w:r>
      </w:hyperlink>
      <w:r w:rsidRPr="00BD4C50">
        <w:rPr>
          <w:rFonts w:eastAsia="Times New Roman" w:cs="Times New Roman"/>
          <w:szCs w:val="21"/>
          <w:lang w:val="en-AU"/>
        </w:rPr>
        <w:t>).</w:t>
      </w:r>
      <w:r w:rsidR="00AE5228">
        <w:rPr>
          <w:rFonts w:eastAsia="Times New Roman" w:cs="Times New Roman"/>
          <w:szCs w:val="21"/>
          <w:lang w:val="en-AU"/>
        </w:rPr>
        <w:t xml:space="preserve"> For f</w:t>
      </w:r>
      <w:r w:rsidR="00190F84" w:rsidRPr="009210C3">
        <w:rPr>
          <w:rFonts w:eastAsia="Times New Roman" w:cs="Times New Roman"/>
          <w:szCs w:val="21"/>
          <w:lang w:val="en-AU"/>
        </w:rPr>
        <w:t>urther detail</w:t>
      </w:r>
      <w:r w:rsidR="00190F84">
        <w:rPr>
          <w:rFonts w:eastAsia="Times New Roman" w:cs="Times New Roman"/>
          <w:szCs w:val="21"/>
          <w:lang w:val="en-AU"/>
        </w:rPr>
        <w:t xml:space="preserve"> regarding the intersection of GEDSI, climate change, innovation, localisation, and democratic participation</w:t>
      </w:r>
      <w:r w:rsidR="00190F84" w:rsidRPr="009210C3">
        <w:rPr>
          <w:rFonts w:eastAsia="Times New Roman" w:cs="Times New Roman"/>
          <w:szCs w:val="21"/>
          <w:lang w:val="en-AU"/>
        </w:rPr>
        <w:t>,</w:t>
      </w:r>
      <w:r w:rsidR="00190F84">
        <w:rPr>
          <w:rFonts w:eastAsia="Times New Roman" w:cs="Times New Roman"/>
          <w:szCs w:val="21"/>
          <w:lang w:val="en-AU"/>
        </w:rPr>
        <w:t xml:space="preserve"> </w:t>
      </w:r>
      <w:r w:rsidR="00F71D60">
        <w:rPr>
          <w:rFonts w:eastAsia="Times New Roman" w:cs="Times New Roman"/>
          <w:szCs w:val="21"/>
          <w:lang w:val="en-AU"/>
        </w:rPr>
        <w:t>as well as</w:t>
      </w:r>
      <w:r w:rsidR="00190F84">
        <w:rPr>
          <w:rFonts w:eastAsia="Times New Roman" w:cs="Times New Roman"/>
          <w:szCs w:val="21"/>
          <w:lang w:val="en-AU"/>
        </w:rPr>
        <w:t xml:space="preserve"> proposed mainstreamed and targeted activities for each cross-cutting theme, please</w:t>
      </w:r>
      <w:r w:rsidR="00190F84" w:rsidRPr="009210C3">
        <w:rPr>
          <w:rFonts w:eastAsia="Times New Roman" w:cs="Times New Roman"/>
          <w:szCs w:val="21"/>
          <w:lang w:val="en-AU"/>
        </w:rPr>
        <w:t xml:space="preserve"> </w:t>
      </w:r>
      <w:r w:rsidR="00190F84" w:rsidRPr="00BD4C50">
        <w:rPr>
          <w:rFonts w:eastAsia="Times New Roman" w:cs="Times New Roman"/>
          <w:szCs w:val="21"/>
          <w:lang w:val="en-AU"/>
        </w:rPr>
        <w:t xml:space="preserve">see </w:t>
      </w:r>
      <w:r w:rsidR="00190F84">
        <w:rPr>
          <w:rFonts w:eastAsia="Times New Roman" w:cs="Times New Roman"/>
          <w:szCs w:val="21"/>
          <w:lang w:val="en-AU"/>
        </w:rPr>
        <w:t xml:space="preserve">section 3 and </w:t>
      </w:r>
      <w:hyperlink w:anchor="AnnexI" w:history="1">
        <w:r w:rsidR="00190F84" w:rsidRPr="001C7D56">
          <w:rPr>
            <w:rStyle w:val="Hyperlink"/>
            <w:rFonts w:eastAsia="Times New Roman" w:cs="Times New Roman"/>
            <w:b/>
            <w:bCs/>
            <w:szCs w:val="21"/>
            <w:lang w:val="en-AU"/>
          </w:rPr>
          <w:t xml:space="preserve">Annex </w:t>
        </w:r>
        <w:r w:rsidR="00190F84" w:rsidRPr="001C7D56">
          <w:rPr>
            <w:rStyle w:val="Hyperlink"/>
            <w:rFonts w:cstheme="minorBidi"/>
          </w:rPr>
          <w:t>I</w:t>
        </w:r>
      </w:hyperlink>
      <w:r w:rsidR="00190F84" w:rsidRPr="00BD4C50">
        <w:rPr>
          <w:rFonts w:eastAsia="Times New Roman" w:cs="Times New Roman"/>
          <w:szCs w:val="21"/>
          <w:lang w:val="en-AU"/>
        </w:rPr>
        <w:t>.</w:t>
      </w:r>
      <w:r w:rsidR="00190F84" w:rsidRPr="009210C3">
        <w:rPr>
          <w:rFonts w:eastAsia="Times New Roman" w:cs="Times New Roman"/>
          <w:szCs w:val="21"/>
          <w:lang w:val="en-AU"/>
        </w:rPr>
        <w:t xml:space="preserve"> </w:t>
      </w:r>
    </w:p>
    <w:p w14:paraId="0CEA9296" w14:textId="77777777" w:rsidR="00902F90" w:rsidRPr="00B57CB6" w:rsidRDefault="00902F90" w:rsidP="00847DAB">
      <w:pPr>
        <w:pStyle w:val="Heading2Numbered"/>
      </w:pPr>
      <w:bookmarkStart w:id="257" w:name="_Toc232524285"/>
      <w:r w:rsidRPr="00B57CB6">
        <w:t>Gender Equality</w:t>
      </w:r>
      <w:bookmarkEnd w:id="257"/>
    </w:p>
    <w:p w14:paraId="1E063520" w14:textId="1797B2C9" w:rsidR="00902F90" w:rsidRDefault="007B5A20" w:rsidP="00902F90">
      <w:pPr>
        <w:rPr>
          <w:rFonts w:eastAsia="Times New Roman" w:cs="Times New Roman"/>
        </w:rPr>
      </w:pPr>
      <w:proofErr w:type="spellStart"/>
      <w:r w:rsidRPr="007B5A20">
        <w:rPr>
          <w:iCs/>
          <w:lang w:val="en-AU"/>
        </w:rPr>
        <w:t>Partisipasi</w:t>
      </w:r>
      <w:proofErr w:type="spellEnd"/>
      <w:r w:rsidR="00902F90" w:rsidRPr="4B61BD58">
        <w:rPr>
          <w:i/>
          <w:iCs/>
          <w:lang w:val="en-AU"/>
        </w:rPr>
        <w:t xml:space="preserve"> </w:t>
      </w:r>
      <w:r w:rsidR="00902F90" w:rsidRPr="4B61BD58">
        <w:rPr>
          <w:lang w:val="en-AU"/>
        </w:rPr>
        <w:t xml:space="preserve">is expected to qualify as a </w:t>
      </w:r>
      <w:r w:rsidR="00902F90" w:rsidRPr="009553BD">
        <w:rPr>
          <w:lang w:val="en-AU"/>
        </w:rPr>
        <w:t>gender equality</w:t>
      </w:r>
      <w:r w:rsidR="00902F90" w:rsidRPr="4B61BD58">
        <w:rPr>
          <w:b/>
          <w:bCs/>
          <w:lang w:val="en-AU"/>
        </w:rPr>
        <w:t xml:space="preserve"> significant </w:t>
      </w:r>
      <w:r w:rsidR="00902F90" w:rsidRPr="4B61BD58">
        <w:rPr>
          <w:lang w:val="en-AU"/>
        </w:rPr>
        <w:t>investment under the OECD DAC Gender Equality Policy Marker</w:t>
      </w:r>
      <w:r w:rsidR="00902F90" w:rsidRPr="4B61BD58">
        <w:rPr>
          <w:rFonts w:eastAsia="Times New Roman" w:cs="Times New Roman"/>
        </w:rPr>
        <w:t xml:space="preserve">. A gender equality </w:t>
      </w:r>
      <w:r w:rsidR="00902F90" w:rsidRPr="007858A5">
        <w:rPr>
          <w:rFonts w:eastAsia="Times New Roman" w:cs="Times New Roman"/>
        </w:rPr>
        <w:t>outcome (</w:t>
      </w:r>
      <w:r w:rsidR="00902F90" w:rsidRPr="009553BD">
        <w:rPr>
          <w:rFonts w:eastAsia="Times New Roman" w:cs="Times New Roman"/>
        </w:rPr>
        <w:t>IO2.1</w:t>
      </w:r>
      <w:r w:rsidR="00902F90" w:rsidRPr="007858A5">
        <w:rPr>
          <w:rFonts w:eastAsia="Times New Roman" w:cs="Times New Roman"/>
        </w:rPr>
        <w:t>) in</w:t>
      </w:r>
      <w:r w:rsidR="00902F90" w:rsidRPr="4B61BD58">
        <w:rPr>
          <w:rFonts w:eastAsia="Times New Roman" w:cs="Times New Roman"/>
        </w:rPr>
        <w:t xml:space="preserve"> the </w:t>
      </w:r>
      <w:r w:rsidR="00031FA1">
        <w:rPr>
          <w:rFonts w:eastAsia="Times New Roman" w:cs="Times New Roman"/>
        </w:rPr>
        <w:t>P</w:t>
      </w:r>
      <w:r w:rsidR="00902F90" w:rsidRPr="4B61BD58">
        <w:rPr>
          <w:rFonts w:eastAsia="Times New Roman" w:cs="Times New Roman"/>
        </w:rPr>
        <w:t xml:space="preserve">rogram </w:t>
      </w:r>
      <w:r w:rsidR="00031FA1">
        <w:rPr>
          <w:rFonts w:eastAsia="Times New Roman" w:cs="Times New Roman"/>
        </w:rPr>
        <w:t>L</w:t>
      </w:r>
      <w:r w:rsidR="00902F90" w:rsidRPr="4B61BD58">
        <w:rPr>
          <w:rFonts w:eastAsia="Times New Roman" w:cs="Times New Roman"/>
        </w:rPr>
        <w:t xml:space="preserve">ogic focuses on empowering civil society actors in reducing persistent gender gaps in voice, representation, leadership and decision-making, particularly in their work within civic coalitions, media, and electoral and parliamentary processes. It is important to note that gender equality in democratic processes and women’s political participation requires a collective effort beyond </w:t>
      </w:r>
      <w:proofErr w:type="spellStart"/>
      <w:r w:rsidRPr="007B5A20">
        <w:rPr>
          <w:rFonts w:eastAsia="Times New Roman" w:cs="Times New Roman"/>
          <w:iCs/>
        </w:rPr>
        <w:t>Partisipasi</w:t>
      </w:r>
      <w:proofErr w:type="spellEnd"/>
      <w:r w:rsidR="00902F90" w:rsidRPr="4B61BD58">
        <w:rPr>
          <w:rFonts w:eastAsia="Times New Roman" w:cs="Times New Roman"/>
        </w:rPr>
        <w:t xml:space="preserve">. While initiatives such as INKLUSI and SKALA prioritise inclusion through empowerment of marginalised groups, service delivery, and institutional reform, </w:t>
      </w:r>
      <w:proofErr w:type="spellStart"/>
      <w:r w:rsidR="00902F90" w:rsidRPr="00431CB6">
        <w:rPr>
          <w:rFonts w:eastAsia="Times New Roman" w:cs="Times New Roman"/>
        </w:rPr>
        <w:t>Partisipasi</w:t>
      </w:r>
      <w:proofErr w:type="spellEnd"/>
      <w:r w:rsidR="00902F90" w:rsidRPr="4B61BD58">
        <w:rPr>
          <w:rFonts w:eastAsia="Times New Roman" w:cs="Times New Roman"/>
        </w:rPr>
        <w:t xml:space="preserve"> complements these efforts by focusing on participation in democratic environments. This responds to evidence</w:t>
      </w:r>
      <w:r w:rsidR="0004049E">
        <w:rPr>
          <w:rFonts w:eastAsia="Times New Roman" w:cs="Times New Roman"/>
        </w:rPr>
        <w:t xml:space="preserve"> </w:t>
      </w:r>
      <w:r w:rsidR="00902F90" w:rsidRPr="4B61BD58">
        <w:rPr>
          <w:rFonts w:eastAsia="Times New Roman" w:cs="Times New Roman"/>
        </w:rPr>
        <w:t xml:space="preserve">that women in Indonesia continue to face structural barriers </w:t>
      </w:r>
      <w:r w:rsidR="002F1D07">
        <w:rPr>
          <w:rFonts w:eastAsia="Times New Roman" w:cs="Times New Roman"/>
        </w:rPr>
        <w:t>to political participation</w:t>
      </w:r>
      <w:r w:rsidR="00902F90" w:rsidRPr="4B61BD58">
        <w:rPr>
          <w:rFonts w:eastAsia="Times New Roman" w:cs="Times New Roman"/>
        </w:rPr>
        <w:t xml:space="preserve">. </w:t>
      </w:r>
    </w:p>
    <w:p w14:paraId="6F30BBAD" w14:textId="35C11026" w:rsidR="00902F90" w:rsidRPr="00996C03" w:rsidRDefault="007B5A20" w:rsidP="00902F90">
      <w:pPr>
        <w:rPr>
          <w:rFonts w:eastAsia="Times New Roman"/>
          <w:szCs w:val="21"/>
          <w:lang w:val="en-AU"/>
        </w:rPr>
      </w:pPr>
      <w:proofErr w:type="spellStart"/>
      <w:r w:rsidRPr="007B5A20">
        <w:rPr>
          <w:rFonts w:eastAsia="Times New Roman" w:cs="Times New Roman"/>
          <w:iCs/>
          <w:szCs w:val="21"/>
        </w:rPr>
        <w:t>Partisipasi</w:t>
      </w:r>
      <w:proofErr w:type="spellEnd"/>
      <w:r w:rsidR="00902F90" w:rsidRPr="00962D9D">
        <w:rPr>
          <w:rFonts w:eastAsia="Times New Roman" w:cs="Times New Roman"/>
          <w:szCs w:val="21"/>
        </w:rPr>
        <w:t xml:space="preserve"> </w:t>
      </w:r>
      <w:r w:rsidR="00902F90" w:rsidRPr="00996C03">
        <w:rPr>
          <w:rFonts w:eastAsia="Times New Roman" w:cs="Times New Roman"/>
          <w:szCs w:val="21"/>
        </w:rPr>
        <w:t xml:space="preserve">will integrate gender equality through a twin-track approach that </w:t>
      </w:r>
      <w:r w:rsidR="00902F90" w:rsidRPr="00996C03">
        <w:rPr>
          <w:rFonts w:eastAsia="Times New Roman"/>
          <w:szCs w:val="21"/>
          <w:lang w:val="en-AU"/>
        </w:rPr>
        <w:t>combines:</w:t>
      </w:r>
    </w:p>
    <w:p w14:paraId="3B9CDEBF" w14:textId="0BAF57E1" w:rsidR="00902F90" w:rsidRPr="00996C03" w:rsidRDefault="00902F90" w:rsidP="00504B06">
      <w:pPr>
        <w:numPr>
          <w:ilvl w:val="0"/>
          <w:numId w:val="87"/>
        </w:numPr>
        <w:rPr>
          <w:rFonts w:eastAsia="Times New Roman" w:cs="Times New Roman"/>
          <w:szCs w:val="21"/>
          <w:lang w:val="en-AU"/>
        </w:rPr>
      </w:pPr>
      <w:r w:rsidRPr="00C034B4">
        <w:rPr>
          <w:rFonts w:eastAsia="Times New Roman" w:cs="Times New Roman"/>
          <w:szCs w:val="21"/>
          <w:lang w:val="en-AU"/>
        </w:rPr>
        <w:t>Systematic mainstreaming of gender equality across all activities</w:t>
      </w:r>
    </w:p>
    <w:p w14:paraId="0C1A2BD1" w14:textId="6F67472D" w:rsidR="00902F90" w:rsidRPr="00996C03" w:rsidRDefault="00902F90" w:rsidP="00504B06">
      <w:pPr>
        <w:numPr>
          <w:ilvl w:val="0"/>
          <w:numId w:val="87"/>
        </w:numPr>
        <w:rPr>
          <w:rFonts w:eastAsia="Times New Roman" w:cs="Times New Roman"/>
          <w:szCs w:val="21"/>
          <w:lang w:val="en-AU"/>
        </w:rPr>
      </w:pPr>
      <w:r w:rsidRPr="00C034B4">
        <w:rPr>
          <w:rFonts w:eastAsia="Times New Roman" w:cs="Times New Roman"/>
          <w:szCs w:val="21"/>
          <w:lang w:val="en-AU"/>
        </w:rPr>
        <w:t>Targeted actions to expand women’s leadership and participation</w:t>
      </w:r>
      <w:r w:rsidRPr="00996C03">
        <w:rPr>
          <w:rFonts w:eastAsia="Times New Roman" w:cs="Times New Roman"/>
          <w:szCs w:val="21"/>
          <w:lang w:val="en-AU"/>
        </w:rPr>
        <w:t xml:space="preserve">, particularly for </w:t>
      </w:r>
      <w:r w:rsidRPr="00C034B4">
        <w:rPr>
          <w:rFonts w:eastAsia="Times New Roman" w:cs="Times New Roman"/>
          <w:szCs w:val="21"/>
          <w:lang w:val="en-AU"/>
        </w:rPr>
        <w:t>young women, rural women, women with disabilit</w:t>
      </w:r>
      <w:r w:rsidR="00420E83">
        <w:rPr>
          <w:rFonts w:eastAsia="Times New Roman" w:cs="Times New Roman"/>
          <w:szCs w:val="21"/>
          <w:lang w:val="en-AU"/>
        </w:rPr>
        <w:t>ies</w:t>
      </w:r>
      <w:r w:rsidRPr="00C034B4">
        <w:rPr>
          <w:rFonts w:eastAsia="Times New Roman" w:cs="Times New Roman"/>
          <w:szCs w:val="21"/>
          <w:lang w:val="en-AU"/>
        </w:rPr>
        <w:t>, and women vulnerable to climate and economic shocks.</w:t>
      </w:r>
    </w:p>
    <w:p w14:paraId="630FB003" w14:textId="59627A72" w:rsidR="00902F90" w:rsidRPr="00996C03" w:rsidRDefault="00902F90" w:rsidP="00902F90">
      <w:pPr>
        <w:rPr>
          <w:rFonts w:eastAsia="Times New Roman"/>
          <w:szCs w:val="21"/>
          <w:lang w:val="en-AU"/>
        </w:rPr>
      </w:pPr>
      <w:r w:rsidRPr="00C034B4">
        <w:rPr>
          <w:rFonts w:eastAsia="Times New Roman"/>
          <w:szCs w:val="21"/>
          <w:lang w:val="en-AU"/>
        </w:rPr>
        <w:t>Mainstreaming</w:t>
      </w:r>
      <w:r w:rsidRPr="00996C03">
        <w:rPr>
          <w:rFonts w:eastAsia="Times New Roman"/>
          <w:szCs w:val="21"/>
          <w:lang w:val="en-AU"/>
        </w:rPr>
        <w:t xml:space="preserve"> will ensure that institutional strengthening, </w:t>
      </w:r>
      <w:r w:rsidR="00591FDA">
        <w:rPr>
          <w:rFonts w:eastAsia="Times New Roman"/>
          <w:szCs w:val="21"/>
          <w:lang w:val="en-AU"/>
        </w:rPr>
        <w:t>civil society</w:t>
      </w:r>
      <w:r w:rsidR="00591FDA" w:rsidRPr="00996C03">
        <w:rPr>
          <w:rFonts w:eastAsia="Times New Roman"/>
          <w:szCs w:val="21"/>
          <w:lang w:val="en-AU"/>
        </w:rPr>
        <w:t xml:space="preserve"> </w:t>
      </w:r>
      <w:r w:rsidRPr="00996C03">
        <w:rPr>
          <w:rFonts w:eastAsia="Times New Roman"/>
          <w:szCs w:val="21"/>
          <w:lang w:val="en-AU"/>
        </w:rPr>
        <w:t xml:space="preserve">capacity development, media partnerships, and multi-stakeholder dialogue embed gender analysis, gender-sensitive design, and meaningful participation targets. </w:t>
      </w:r>
      <w:r w:rsidRPr="00C034B4">
        <w:rPr>
          <w:rFonts w:eastAsia="Times New Roman"/>
          <w:szCs w:val="21"/>
          <w:lang w:val="en-AU"/>
        </w:rPr>
        <w:t>Performance frameworks for key personnel</w:t>
      </w:r>
      <w:r w:rsidR="00DC1A37">
        <w:rPr>
          <w:rFonts w:eastAsia="Times New Roman"/>
          <w:szCs w:val="21"/>
          <w:lang w:val="en-AU"/>
        </w:rPr>
        <w:t xml:space="preserve"> – </w:t>
      </w:r>
      <w:r w:rsidRPr="00C034B4">
        <w:rPr>
          <w:rFonts w:eastAsia="Times New Roman"/>
          <w:szCs w:val="21"/>
          <w:lang w:val="en-AU"/>
        </w:rPr>
        <w:t xml:space="preserve">including the Convenor, PSU, and Core Group </w:t>
      </w:r>
      <w:r w:rsidR="00DC1A37">
        <w:rPr>
          <w:rFonts w:eastAsia="Times New Roman"/>
          <w:szCs w:val="21"/>
          <w:lang w:val="en-AU"/>
        </w:rPr>
        <w:t>P</w:t>
      </w:r>
      <w:r w:rsidRPr="00C034B4">
        <w:rPr>
          <w:rFonts w:eastAsia="Times New Roman"/>
          <w:szCs w:val="21"/>
          <w:lang w:val="en-AU"/>
        </w:rPr>
        <w:t>artners</w:t>
      </w:r>
      <w:r w:rsidR="00DC1A37">
        <w:rPr>
          <w:rFonts w:eastAsia="Times New Roman"/>
          <w:szCs w:val="21"/>
          <w:lang w:val="en-AU"/>
        </w:rPr>
        <w:t xml:space="preserve"> – </w:t>
      </w:r>
      <w:r w:rsidRPr="00C034B4">
        <w:rPr>
          <w:rFonts w:eastAsia="Times New Roman"/>
          <w:szCs w:val="21"/>
          <w:lang w:val="en-AU"/>
        </w:rPr>
        <w:t>will include mandatory gender equality responsibilities.</w:t>
      </w:r>
    </w:p>
    <w:p w14:paraId="6BE0610B" w14:textId="77777777" w:rsidR="00902F90" w:rsidRPr="00996C03" w:rsidRDefault="00902F90" w:rsidP="00902F90">
      <w:pPr>
        <w:rPr>
          <w:rFonts w:eastAsia="Times New Roman" w:cs="Times New Roman"/>
          <w:szCs w:val="21"/>
          <w:lang w:val="en-AU"/>
        </w:rPr>
      </w:pPr>
      <w:r w:rsidRPr="00C034B4">
        <w:rPr>
          <w:rFonts w:eastAsia="Times New Roman" w:cs="Times New Roman"/>
          <w:szCs w:val="21"/>
          <w:lang w:val="en-AU"/>
        </w:rPr>
        <w:t>Targeted actions</w:t>
      </w:r>
      <w:r w:rsidRPr="00996C03">
        <w:rPr>
          <w:rFonts w:eastAsia="Times New Roman" w:cs="Times New Roman"/>
          <w:szCs w:val="21"/>
          <w:lang w:val="en-AU"/>
        </w:rPr>
        <w:t xml:space="preserve"> will include women-led </w:t>
      </w:r>
      <w:r>
        <w:rPr>
          <w:rFonts w:eastAsia="Times New Roman" w:cs="Times New Roman"/>
          <w:szCs w:val="21"/>
          <w:lang w:val="en-AU"/>
        </w:rPr>
        <w:t>initiatives</w:t>
      </w:r>
      <w:r w:rsidRPr="00996C03">
        <w:rPr>
          <w:rFonts w:eastAsia="Times New Roman" w:cs="Times New Roman"/>
          <w:szCs w:val="21"/>
          <w:lang w:val="en-AU"/>
        </w:rPr>
        <w:t xml:space="preserve">, protection against online harassment and gendered disinformation, and leadership pathways for women in media, electoral institutions, and civic engagement platforms. </w:t>
      </w:r>
      <w:r w:rsidRPr="00C034B4">
        <w:rPr>
          <w:rFonts w:eastAsia="Times New Roman" w:cs="Times New Roman"/>
          <w:szCs w:val="21"/>
          <w:lang w:val="en-AU"/>
        </w:rPr>
        <w:t>A proportion of the program budget will be earmarked for gender equality advisers, targeted women’s leadership initiatives, and professional development for women across the program.</w:t>
      </w:r>
    </w:p>
    <w:p w14:paraId="19F7C9CD" w14:textId="6B5A64EA" w:rsidR="00902F90" w:rsidRPr="00996C03" w:rsidRDefault="00902F90" w:rsidP="00902F90">
      <w:pPr>
        <w:rPr>
          <w:rFonts w:eastAsia="Times New Roman" w:cs="Times New Roman"/>
          <w:szCs w:val="21"/>
          <w:lang w:val="en-AU"/>
        </w:rPr>
      </w:pPr>
      <w:r w:rsidRPr="00996C03">
        <w:rPr>
          <w:rFonts w:eastAsia="Times New Roman" w:cs="Times New Roman"/>
          <w:szCs w:val="21"/>
          <w:lang w:val="en-AU"/>
        </w:rPr>
        <w:t xml:space="preserve">Risk mitigation will go beyond harm prevention and actively anticipate risks of </w:t>
      </w:r>
      <w:r w:rsidRPr="00C034B4">
        <w:rPr>
          <w:rFonts w:eastAsia="Times New Roman" w:cs="Times New Roman"/>
          <w:szCs w:val="21"/>
          <w:lang w:val="en-AU"/>
        </w:rPr>
        <w:t>backlash, exclusion, gender-based violence, and online harassment</w:t>
      </w:r>
      <w:r w:rsidRPr="00996C03">
        <w:rPr>
          <w:rFonts w:eastAsia="Times New Roman" w:cs="Times New Roman"/>
          <w:szCs w:val="21"/>
          <w:lang w:val="en-AU"/>
        </w:rPr>
        <w:t xml:space="preserve">. </w:t>
      </w:r>
      <w:r w:rsidRPr="00C034B4">
        <w:rPr>
          <w:rFonts w:eastAsia="Times New Roman" w:cs="Times New Roman"/>
          <w:szCs w:val="21"/>
          <w:lang w:val="en-AU"/>
        </w:rPr>
        <w:t>Safeguarding measures and digital safety protocols</w:t>
      </w:r>
      <w:r w:rsidRPr="00996C03">
        <w:rPr>
          <w:rFonts w:eastAsia="Times New Roman" w:cs="Times New Roman"/>
          <w:szCs w:val="21"/>
          <w:lang w:val="en-AU"/>
        </w:rPr>
        <w:t xml:space="preserve"> will be required for all partners</w:t>
      </w:r>
      <w:r w:rsidR="00CD2916">
        <w:rPr>
          <w:rFonts w:eastAsia="Times New Roman" w:cs="Times New Roman"/>
          <w:szCs w:val="21"/>
          <w:lang w:val="en-AU"/>
        </w:rPr>
        <w:t>,</w:t>
      </w:r>
      <w:r w:rsidRPr="00996C03">
        <w:rPr>
          <w:rFonts w:eastAsia="Times New Roman" w:cs="Times New Roman"/>
          <w:szCs w:val="21"/>
          <w:lang w:val="en-AU"/>
        </w:rPr>
        <w:t xml:space="preserve"> and embedded in dialogue, media, and civic action activities.</w:t>
      </w:r>
    </w:p>
    <w:p w14:paraId="5205790A" w14:textId="77777777" w:rsidR="00902F90" w:rsidRPr="00B57CB6" w:rsidRDefault="00902F90" w:rsidP="00847DAB">
      <w:pPr>
        <w:pStyle w:val="Heading2Numbered"/>
      </w:pPr>
      <w:bookmarkStart w:id="258" w:name="_Toc232524286"/>
      <w:r w:rsidRPr="00B57CB6">
        <w:lastRenderedPageBreak/>
        <w:t xml:space="preserve">Disability </w:t>
      </w:r>
      <w:r>
        <w:t>Equity</w:t>
      </w:r>
      <w:bookmarkEnd w:id="258"/>
    </w:p>
    <w:p w14:paraId="37015DFC" w14:textId="2F7F9407" w:rsidR="00902F90" w:rsidRDefault="00902F90" w:rsidP="00902F90">
      <w:pPr>
        <w:rPr>
          <w:rFonts w:eastAsia="Times New Roman" w:cs="Times New Roman"/>
          <w:szCs w:val="21"/>
        </w:rPr>
      </w:pPr>
      <w:proofErr w:type="spellStart"/>
      <w:r w:rsidRPr="00D84A7F">
        <w:rPr>
          <w:rFonts w:eastAsia="Times New Roman" w:cs="Times New Roman"/>
          <w:iCs/>
          <w:szCs w:val="21"/>
        </w:rPr>
        <w:t>Partisipasi</w:t>
      </w:r>
      <w:proofErr w:type="spellEnd"/>
      <w:r w:rsidRPr="00780C1F">
        <w:rPr>
          <w:rFonts w:eastAsia="Times New Roman" w:cs="Times New Roman"/>
          <w:szCs w:val="21"/>
        </w:rPr>
        <w:t xml:space="preserve"> </w:t>
      </w:r>
      <w:r w:rsidR="00591FDA">
        <w:rPr>
          <w:rFonts w:eastAsia="Times New Roman" w:cs="Times New Roman"/>
          <w:szCs w:val="21"/>
        </w:rPr>
        <w:t>focuses on democratic inclusion and voice of people with a disability in ways that amplify their contribution to democratic resilience</w:t>
      </w:r>
      <w:r w:rsidRPr="00780C1F">
        <w:rPr>
          <w:rFonts w:eastAsia="Times New Roman" w:cs="Times New Roman"/>
          <w:szCs w:val="21"/>
        </w:rPr>
        <w:t xml:space="preserve">. </w:t>
      </w:r>
      <w:r w:rsidRPr="004A2F2C">
        <w:rPr>
          <w:rFonts w:eastAsia="Times New Roman" w:cs="Times New Roman"/>
          <w:szCs w:val="21"/>
        </w:rPr>
        <w:t xml:space="preserve">The program applies the OECD DAC Disability Inclusion Policy Marker as a </w:t>
      </w:r>
      <w:r w:rsidRPr="00B57CB6">
        <w:rPr>
          <w:rFonts w:eastAsia="Times New Roman" w:cs="Times New Roman"/>
          <w:b/>
          <w:bCs/>
          <w:szCs w:val="21"/>
        </w:rPr>
        <w:t xml:space="preserve">significant </w:t>
      </w:r>
      <w:r w:rsidRPr="004A2F2C">
        <w:rPr>
          <w:rFonts w:eastAsia="Times New Roman" w:cs="Times New Roman"/>
          <w:szCs w:val="21"/>
        </w:rPr>
        <w:t xml:space="preserve">objective under </w:t>
      </w:r>
      <w:r w:rsidRPr="00B57CB6">
        <w:rPr>
          <w:rFonts w:eastAsia="Times New Roman" w:cs="Times New Roman"/>
          <w:b/>
          <w:bCs/>
          <w:szCs w:val="21"/>
        </w:rPr>
        <w:t>IO2.1</w:t>
      </w:r>
      <w:r>
        <w:rPr>
          <w:rFonts w:eastAsia="Times New Roman" w:cs="Times New Roman"/>
          <w:szCs w:val="21"/>
        </w:rPr>
        <w:t xml:space="preserve">, </w:t>
      </w:r>
      <w:r w:rsidRPr="004A2F2C">
        <w:rPr>
          <w:rFonts w:eastAsia="Times New Roman" w:cs="Times New Roman"/>
          <w:szCs w:val="21"/>
        </w:rPr>
        <w:t>by ensuring that disability-led organisations are integrated into civic coalitions, leadership pipelines, and advocacy initiatives</w:t>
      </w:r>
      <w:r>
        <w:rPr>
          <w:rFonts w:eastAsia="Times New Roman" w:cs="Times New Roman"/>
          <w:szCs w:val="21"/>
        </w:rPr>
        <w:t>. This</w:t>
      </w:r>
      <w:r w:rsidRPr="004A2F2C">
        <w:rPr>
          <w:rFonts w:eastAsia="Times New Roman" w:cs="Times New Roman"/>
          <w:szCs w:val="21"/>
        </w:rPr>
        <w:t xml:space="preserve"> directly addres</w:t>
      </w:r>
      <w:r>
        <w:rPr>
          <w:rFonts w:eastAsia="Times New Roman" w:cs="Times New Roman"/>
          <w:szCs w:val="21"/>
        </w:rPr>
        <w:t>ses</w:t>
      </w:r>
      <w:r w:rsidRPr="004A2F2C">
        <w:rPr>
          <w:rFonts w:eastAsia="Times New Roman" w:cs="Times New Roman"/>
          <w:szCs w:val="21"/>
        </w:rPr>
        <w:t xml:space="preserve"> gaps in representation and influence of </w:t>
      </w:r>
      <w:r w:rsidR="00CD2916">
        <w:rPr>
          <w:rFonts w:eastAsia="Times New Roman" w:cs="Times New Roman"/>
          <w:szCs w:val="21"/>
        </w:rPr>
        <w:t>people</w:t>
      </w:r>
      <w:r w:rsidR="00CD2916" w:rsidRPr="004A2F2C">
        <w:rPr>
          <w:rFonts w:eastAsia="Times New Roman" w:cs="Times New Roman"/>
          <w:szCs w:val="21"/>
        </w:rPr>
        <w:t xml:space="preserve"> </w:t>
      </w:r>
      <w:r w:rsidRPr="004A2F2C">
        <w:rPr>
          <w:rFonts w:eastAsia="Times New Roman" w:cs="Times New Roman"/>
          <w:szCs w:val="21"/>
        </w:rPr>
        <w:t xml:space="preserve">with disabilities in democratic processes. </w:t>
      </w:r>
      <w:r w:rsidRPr="00780C1F">
        <w:rPr>
          <w:rFonts w:eastAsia="Times New Roman" w:cs="Times New Roman"/>
          <w:szCs w:val="21"/>
        </w:rPr>
        <w:t xml:space="preserve">The design has been informed by consultations with organisations of </w:t>
      </w:r>
      <w:r w:rsidR="00CD2916">
        <w:rPr>
          <w:rFonts w:eastAsia="Times New Roman" w:cs="Times New Roman"/>
          <w:szCs w:val="21"/>
        </w:rPr>
        <w:t>people</w:t>
      </w:r>
      <w:r w:rsidR="00CD2916" w:rsidRPr="00780C1F">
        <w:rPr>
          <w:rFonts w:eastAsia="Times New Roman" w:cs="Times New Roman"/>
          <w:szCs w:val="21"/>
        </w:rPr>
        <w:t xml:space="preserve"> </w:t>
      </w:r>
      <w:r w:rsidRPr="00780C1F">
        <w:rPr>
          <w:rFonts w:eastAsia="Times New Roman" w:cs="Times New Roman"/>
          <w:szCs w:val="21"/>
        </w:rPr>
        <w:t xml:space="preserve">with disabilities (OPDs), including HWDI, SIGAB, and CBM, with structured mechanisms for their ongoing engagement. </w:t>
      </w:r>
    </w:p>
    <w:p w14:paraId="4A7F4EDC" w14:textId="4FAC3BF2" w:rsidR="00902F90" w:rsidRDefault="00902F90" w:rsidP="00902F90">
      <w:pPr>
        <w:rPr>
          <w:rFonts w:eastAsia="Times New Roman" w:cs="Times New Roman"/>
          <w:szCs w:val="21"/>
        </w:rPr>
      </w:pPr>
      <w:r w:rsidRPr="00780C1F">
        <w:rPr>
          <w:rFonts w:eastAsia="Times New Roman" w:cs="Times New Roman"/>
          <w:szCs w:val="21"/>
        </w:rPr>
        <w:t>Disability inclusion will be pursued through mainstreaming across all EOPOs</w:t>
      </w:r>
      <w:r>
        <w:rPr>
          <w:rFonts w:eastAsia="Times New Roman" w:cs="Times New Roman"/>
          <w:szCs w:val="21"/>
        </w:rPr>
        <w:t xml:space="preserve">, </w:t>
      </w:r>
      <w:r w:rsidRPr="00780C1F">
        <w:rPr>
          <w:rFonts w:eastAsia="Times New Roman" w:cs="Times New Roman"/>
          <w:szCs w:val="21"/>
        </w:rPr>
        <w:t>IOs</w:t>
      </w:r>
      <w:r w:rsidR="00CD2916">
        <w:rPr>
          <w:rFonts w:eastAsia="Times New Roman" w:cs="Times New Roman"/>
          <w:szCs w:val="21"/>
        </w:rPr>
        <w:t>,</w:t>
      </w:r>
      <w:r w:rsidRPr="00780C1F">
        <w:rPr>
          <w:rFonts w:eastAsia="Times New Roman" w:cs="Times New Roman"/>
          <w:szCs w:val="21"/>
        </w:rPr>
        <w:t xml:space="preserve"> and targeted initiatives, guided by disability-specific strategies embedded in the </w:t>
      </w:r>
      <w:r w:rsidR="00096F74">
        <w:rPr>
          <w:rFonts w:eastAsia="Times New Roman" w:cs="Times New Roman"/>
          <w:szCs w:val="21"/>
        </w:rPr>
        <w:t>T</w:t>
      </w:r>
      <w:r w:rsidRPr="00780C1F">
        <w:rPr>
          <w:rFonts w:eastAsia="Times New Roman" w:cs="Times New Roman"/>
          <w:szCs w:val="21"/>
        </w:rPr>
        <w:t xml:space="preserve">heory of </w:t>
      </w:r>
      <w:r w:rsidR="00096F74">
        <w:rPr>
          <w:rFonts w:eastAsia="Times New Roman" w:cs="Times New Roman"/>
          <w:szCs w:val="21"/>
        </w:rPr>
        <w:t>C</w:t>
      </w:r>
      <w:r w:rsidRPr="00780C1F">
        <w:rPr>
          <w:rFonts w:eastAsia="Times New Roman" w:cs="Times New Roman"/>
          <w:szCs w:val="21"/>
        </w:rPr>
        <w:t xml:space="preserve">hange. The MEL </w:t>
      </w:r>
      <w:r w:rsidR="00031FA1">
        <w:rPr>
          <w:rFonts w:eastAsia="Times New Roman" w:cs="Times New Roman"/>
          <w:szCs w:val="21"/>
        </w:rPr>
        <w:t>F</w:t>
      </w:r>
      <w:r w:rsidRPr="00780C1F">
        <w:rPr>
          <w:rFonts w:eastAsia="Times New Roman" w:cs="Times New Roman"/>
          <w:szCs w:val="21"/>
        </w:rPr>
        <w:t xml:space="preserve">ramework will track disability </w:t>
      </w:r>
      <w:r w:rsidR="00591FDA">
        <w:rPr>
          <w:rFonts w:eastAsia="Times New Roman" w:cs="Times New Roman"/>
          <w:szCs w:val="21"/>
        </w:rPr>
        <w:t xml:space="preserve">equity and rights </w:t>
      </w:r>
      <w:r w:rsidRPr="00780C1F">
        <w:rPr>
          <w:rFonts w:eastAsia="Times New Roman" w:cs="Times New Roman"/>
          <w:szCs w:val="21"/>
        </w:rPr>
        <w:t xml:space="preserve">outcomes using tailored indicators, aligned with the OECD DAC Disability Inclusion Policy Marker, with OPDs engaged in monitoring and evaluation processes and supported to do so effectively. </w:t>
      </w:r>
    </w:p>
    <w:p w14:paraId="11011E40" w14:textId="7FC2892C" w:rsidR="00902F90" w:rsidRDefault="00902F90" w:rsidP="00902F90">
      <w:pPr>
        <w:rPr>
          <w:rFonts w:eastAsia="Times New Roman" w:cs="Times New Roman"/>
          <w:szCs w:val="21"/>
        </w:rPr>
      </w:pPr>
      <w:r w:rsidRPr="00DB5F18">
        <w:rPr>
          <w:rFonts w:eastAsia="Times New Roman" w:cs="Times New Roman"/>
          <w:szCs w:val="21"/>
        </w:rPr>
        <w:t xml:space="preserve">To ensure disability remains visible within </w:t>
      </w:r>
      <w:r>
        <w:rPr>
          <w:rFonts w:eastAsia="Times New Roman" w:cs="Times New Roman"/>
          <w:szCs w:val="21"/>
        </w:rPr>
        <w:t>program</w:t>
      </w:r>
      <w:r w:rsidRPr="00DB5F18">
        <w:rPr>
          <w:rFonts w:eastAsia="Times New Roman" w:cs="Times New Roman"/>
          <w:szCs w:val="21"/>
        </w:rPr>
        <w:t xml:space="preserve"> integration, the program will: (</w:t>
      </w:r>
      <w:proofErr w:type="spellStart"/>
      <w:r w:rsidRPr="00DB5F18">
        <w:rPr>
          <w:rFonts w:eastAsia="Times New Roman" w:cs="Times New Roman"/>
          <w:szCs w:val="21"/>
        </w:rPr>
        <w:t>i</w:t>
      </w:r>
      <w:proofErr w:type="spellEnd"/>
      <w:r w:rsidRPr="00DB5F18">
        <w:rPr>
          <w:rFonts w:eastAsia="Times New Roman" w:cs="Times New Roman"/>
          <w:szCs w:val="21"/>
        </w:rPr>
        <w:t xml:space="preserve">) explicitly address disability-specific constraints and opportunities in </w:t>
      </w:r>
      <w:r w:rsidR="00591FDA">
        <w:rPr>
          <w:rFonts w:eastAsia="Times New Roman" w:cs="Times New Roman"/>
          <w:szCs w:val="21"/>
        </w:rPr>
        <w:t>democratic participation</w:t>
      </w:r>
      <w:r w:rsidRPr="00DB5F18">
        <w:rPr>
          <w:rFonts w:eastAsia="Times New Roman" w:cs="Times New Roman"/>
          <w:szCs w:val="21"/>
        </w:rPr>
        <w:t xml:space="preserve">; (ii) include </w:t>
      </w:r>
      <w:r w:rsidR="0027793A">
        <w:rPr>
          <w:rFonts w:eastAsia="Times New Roman" w:cs="Times New Roman"/>
          <w:szCs w:val="21"/>
        </w:rPr>
        <w:t xml:space="preserve">a </w:t>
      </w:r>
      <w:r>
        <w:rPr>
          <w:rFonts w:eastAsia="Times New Roman" w:cs="Times New Roman"/>
          <w:szCs w:val="21"/>
        </w:rPr>
        <w:t xml:space="preserve">commitment to </w:t>
      </w:r>
      <w:r w:rsidRPr="00DB5F18">
        <w:rPr>
          <w:rFonts w:eastAsia="Times New Roman" w:cs="Times New Roman"/>
          <w:szCs w:val="21"/>
        </w:rPr>
        <w:t>disability inclusion as a grant</w:t>
      </w:r>
      <w:r w:rsidR="0035135B">
        <w:rPr>
          <w:rFonts w:eastAsia="Times New Roman" w:cs="Times New Roman"/>
          <w:szCs w:val="21"/>
        </w:rPr>
        <w:t xml:space="preserve"> </w:t>
      </w:r>
      <w:r w:rsidRPr="00DB5F18">
        <w:rPr>
          <w:rFonts w:eastAsia="Times New Roman" w:cs="Times New Roman"/>
          <w:szCs w:val="21"/>
        </w:rPr>
        <w:t xml:space="preserve">making criterion, with participation targets for people with disabilities and OPDs; and (iii) allocate budget for accessibility, reasonable accommodation, and OPD participation in governance and monitoring processes. </w:t>
      </w:r>
      <w:r>
        <w:rPr>
          <w:rFonts w:eastAsia="Times New Roman" w:cs="Times New Roman"/>
          <w:szCs w:val="21"/>
        </w:rPr>
        <w:t>Communication</w:t>
      </w:r>
      <w:r w:rsidRPr="00DB5F18">
        <w:rPr>
          <w:rFonts w:eastAsia="Times New Roman" w:cs="Times New Roman"/>
          <w:szCs w:val="21"/>
        </w:rPr>
        <w:t xml:space="preserve"> materials, meetings, decision-making forums and tools will be made accessible, with OPDs compensated for their time.</w:t>
      </w:r>
    </w:p>
    <w:p w14:paraId="72F225EF" w14:textId="6515546B" w:rsidR="00902F90" w:rsidRDefault="00902F90" w:rsidP="00902F90">
      <w:pPr>
        <w:rPr>
          <w:rFonts w:eastAsia="Times New Roman" w:cs="Times New Roman"/>
          <w:szCs w:val="21"/>
          <w:lang w:val="en-AU"/>
        </w:rPr>
      </w:pPr>
      <w:r w:rsidRPr="00780C1F">
        <w:rPr>
          <w:rFonts w:eastAsia="Times New Roman" w:cs="Times New Roman"/>
          <w:szCs w:val="21"/>
        </w:rPr>
        <w:t>Safeguard and risk mitigation mechanisms will be inclusive and intersectional, addressing threats such as online harassment, exclusion from political processes, and heightened risks faced by women and youth</w:t>
      </w:r>
      <w:r w:rsidR="00CD2916">
        <w:rPr>
          <w:rFonts w:eastAsia="Times New Roman" w:cs="Times New Roman"/>
          <w:szCs w:val="21"/>
        </w:rPr>
        <w:t>s</w:t>
      </w:r>
      <w:r w:rsidRPr="00780C1F">
        <w:rPr>
          <w:rFonts w:eastAsia="Times New Roman" w:cs="Times New Roman"/>
          <w:szCs w:val="21"/>
        </w:rPr>
        <w:t xml:space="preserve"> with disabilities. Through these measures, </w:t>
      </w:r>
      <w:proofErr w:type="spellStart"/>
      <w:r w:rsidRPr="00D84A7F">
        <w:rPr>
          <w:rFonts w:eastAsia="Times New Roman" w:cs="Times New Roman"/>
          <w:iCs/>
          <w:szCs w:val="21"/>
        </w:rPr>
        <w:t>Partisipasi</w:t>
      </w:r>
      <w:proofErr w:type="spellEnd"/>
      <w:r w:rsidRPr="00B57CB6">
        <w:rPr>
          <w:rFonts w:eastAsia="Times New Roman" w:cs="Times New Roman"/>
          <w:i/>
          <w:iCs/>
          <w:szCs w:val="21"/>
        </w:rPr>
        <w:t xml:space="preserve"> </w:t>
      </w:r>
      <w:r w:rsidRPr="00780C1F">
        <w:rPr>
          <w:rFonts w:eastAsia="Times New Roman" w:cs="Times New Roman"/>
          <w:szCs w:val="21"/>
        </w:rPr>
        <w:t xml:space="preserve">will model disability-inclusive governance and strengthen democratic resilience by ensuring the full participation and leadership of </w:t>
      </w:r>
      <w:r w:rsidR="00CD2916">
        <w:rPr>
          <w:rFonts w:eastAsia="Times New Roman" w:cs="Times New Roman"/>
          <w:szCs w:val="21"/>
        </w:rPr>
        <w:t>people</w:t>
      </w:r>
      <w:r w:rsidR="00CD2916" w:rsidRPr="00780C1F">
        <w:rPr>
          <w:rFonts w:eastAsia="Times New Roman" w:cs="Times New Roman"/>
          <w:szCs w:val="21"/>
        </w:rPr>
        <w:t xml:space="preserve"> </w:t>
      </w:r>
      <w:r w:rsidRPr="00780C1F">
        <w:rPr>
          <w:rFonts w:eastAsia="Times New Roman" w:cs="Times New Roman"/>
          <w:szCs w:val="21"/>
        </w:rPr>
        <w:t>with disabilities.</w:t>
      </w:r>
    </w:p>
    <w:p w14:paraId="4EA633DD" w14:textId="77777777" w:rsidR="00902F90" w:rsidRPr="00B57CB6" w:rsidRDefault="00902F90" w:rsidP="00847DAB">
      <w:pPr>
        <w:pStyle w:val="Heading2Numbered"/>
      </w:pPr>
      <w:bookmarkStart w:id="259" w:name="_Toc232524287"/>
      <w:r w:rsidRPr="00B57CB6">
        <w:t>Climate Change</w:t>
      </w:r>
      <w:bookmarkEnd w:id="259"/>
    </w:p>
    <w:p w14:paraId="592090CE" w14:textId="3D827DD5" w:rsidR="00902F90" w:rsidRDefault="00902F90" w:rsidP="00902F90">
      <w:pPr>
        <w:rPr>
          <w:rFonts w:eastAsia="Times New Roman" w:cs="Times New Roman"/>
          <w:szCs w:val="21"/>
          <w:lang w:val="en-AU"/>
        </w:rPr>
      </w:pPr>
      <w:proofErr w:type="spellStart"/>
      <w:r w:rsidRPr="00D84A7F">
        <w:rPr>
          <w:rFonts w:eastAsia="Times New Roman" w:cs="Times New Roman"/>
          <w:iCs/>
          <w:szCs w:val="21"/>
        </w:rPr>
        <w:t>Partisipasi</w:t>
      </w:r>
      <w:proofErr w:type="spellEnd"/>
      <w:r w:rsidRPr="004C2AE0">
        <w:rPr>
          <w:rFonts w:eastAsia="Times New Roman" w:cs="Times New Roman"/>
          <w:szCs w:val="21"/>
        </w:rPr>
        <w:t xml:space="preserve"> recognises the critical intersections between climate, disaster risk, and democratic resilience. Climate change and disasters can disrupt electoral processes, amplify disinformation, and erode trust in governance, making them relevant to democratic integrity and accountability. In line with DFAT’s Good Practice Guidance Note, climate and disaster considerations are mainstreamed across all EOPOs, with targeted entry points outlined in </w:t>
      </w:r>
      <w:r w:rsidR="00096F74">
        <w:rPr>
          <w:rFonts w:eastAsia="Times New Roman" w:cs="Times New Roman"/>
          <w:szCs w:val="21"/>
        </w:rPr>
        <w:t>s</w:t>
      </w:r>
      <w:r w:rsidRPr="004C2AE0">
        <w:rPr>
          <w:rFonts w:eastAsia="Times New Roman" w:cs="Times New Roman"/>
          <w:szCs w:val="21"/>
        </w:rPr>
        <w:t xml:space="preserve">ection 3 </w:t>
      </w:r>
      <w:r>
        <w:rPr>
          <w:rFonts w:eastAsia="Times New Roman" w:cs="Times New Roman"/>
          <w:szCs w:val="21"/>
        </w:rPr>
        <w:t xml:space="preserve">(see </w:t>
      </w:r>
      <w:r w:rsidR="00096F74">
        <w:rPr>
          <w:rFonts w:eastAsia="Times New Roman" w:cs="Times New Roman"/>
          <w:b/>
          <w:bCs/>
          <w:szCs w:val="21"/>
        </w:rPr>
        <w:t>s</w:t>
      </w:r>
      <w:r w:rsidRPr="00B57CB6">
        <w:rPr>
          <w:rFonts w:eastAsia="Times New Roman" w:cs="Times New Roman"/>
          <w:b/>
          <w:bCs/>
          <w:szCs w:val="21"/>
        </w:rPr>
        <w:t>ection 3.2.4</w:t>
      </w:r>
      <w:r>
        <w:rPr>
          <w:rFonts w:eastAsia="Times New Roman" w:cs="Times New Roman"/>
          <w:szCs w:val="21"/>
        </w:rPr>
        <w:t>).</w:t>
      </w:r>
      <w:r w:rsidRPr="004C2AE0">
        <w:rPr>
          <w:rFonts w:eastAsia="Times New Roman" w:cs="Times New Roman"/>
          <w:szCs w:val="21"/>
        </w:rPr>
        <w:t xml:space="preserve"> The program will allocate resources, including technical assistance and short-term expertise, to support practical integration</w:t>
      </w:r>
      <w:r w:rsidR="002F57CB">
        <w:rPr>
          <w:rFonts w:eastAsia="Times New Roman" w:cs="Times New Roman"/>
          <w:szCs w:val="21"/>
        </w:rPr>
        <w:t>;</w:t>
      </w:r>
      <w:r>
        <w:rPr>
          <w:rFonts w:eastAsia="Times New Roman" w:cs="Times New Roman"/>
          <w:szCs w:val="21"/>
        </w:rPr>
        <w:t xml:space="preserve"> </w:t>
      </w:r>
      <w:r w:rsidR="002F57CB">
        <w:rPr>
          <w:rFonts w:eastAsia="Times New Roman" w:cs="Times New Roman"/>
          <w:szCs w:val="21"/>
        </w:rPr>
        <w:t>f</w:t>
      </w:r>
      <w:r w:rsidRPr="004C2AE0">
        <w:rPr>
          <w:rFonts w:eastAsia="Times New Roman" w:cs="Times New Roman"/>
          <w:szCs w:val="21"/>
        </w:rPr>
        <w:t xml:space="preserve">or example, crisis-response planning with electoral bodies, or </w:t>
      </w:r>
      <w:r w:rsidR="00591FDA">
        <w:rPr>
          <w:rFonts w:eastAsia="Times New Roman" w:cs="Times New Roman"/>
          <w:szCs w:val="21"/>
        </w:rPr>
        <w:t xml:space="preserve">building </w:t>
      </w:r>
      <w:r w:rsidRPr="004C2AE0">
        <w:rPr>
          <w:rFonts w:eastAsia="Times New Roman" w:cs="Times New Roman"/>
          <w:szCs w:val="21"/>
        </w:rPr>
        <w:t xml:space="preserve">civil society coalitions </w:t>
      </w:r>
      <w:r w:rsidR="00591FDA" w:rsidRPr="00591FDA">
        <w:rPr>
          <w:rFonts w:eastAsia="Times New Roman" w:cs="Times New Roman"/>
          <w:szCs w:val="21"/>
        </w:rPr>
        <w:t>at the nexus between climate justice and democratic resilience</w:t>
      </w:r>
      <w:r w:rsidRPr="004C2AE0">
        <w:rPr>
          <w:rFonts w:eastAsia="Times New Roman" w:cs="Times New Roman"/>
          <w:szCs w:val="21"/>
        </w:rPr>
        <w:t xml:space="preserve">. Implementation will align with </w:t>
      </w:r>
      <w:r w:rsidRPr="009553BD">
        <w:rPr>
          <w:rFonts w:eastAsia="Times New Roman" w:cs="Times New Roman"/>
          <w:szCs w:val="21"/>
        </w:rPr>
        <w:t>Australia’s</w:t>
      </w:r>
      <w:r w:rsidRPr="00C5377B">
        <w:rPr>
          <w:rFonts w:eastAsia="Times New Roman" w:cs="Times New Roman"/>
          <w:i/>
          <w:iCs/>
          <w:szCs w:val="21"/>
        </w:rPr>
        <w:t xml:space="preserve"> International Development Policy</w:t>
      </w:r>
      <w:r w:rsidRPr="004C2AE0">
        <w:rPr>
          <w:rFonts w:eastAsia="Times New Roman" w:cs="Times New Roman"/>
          <w:szCs w:val="21"/>
        </w:rPr>
        <w:t xml:space="preserve"> (2023), particularly its commitments on climate resilience, and the </w:t>
      </w:r>
      <w:r w:rsidRPr="009553BD">
        <w:rPr>
          <w:rFonts w:eastAsia="Times New Roman" w:cs="Times New Roman"/>
          <w:i/>
          <w:iCs/>
          <w:szCs w:val="21"/>
        </w:rPr>
        <w:t>Australia–Indonesia Development Partnership Plan</w:t>
      </w:r>
      <w:r w:rsidRPr="004C2AE0">
        <w:rPr>
          <w:rFonts w:eastAsia="Times New Roman" w:cs="Times New Roman"/>
          <w:szCs w:val="21"/>
        </w:rPr>
        <w:t xml:space="preserve"> (2024–2028) Objective 2 on climate-resilient communities. At the national level, the design acknowledges Indonesia’s climate priorities, including the </w:t>
      </w:r>
      <w:r w:rsidRPr="009553BD">
        <w:rPr>
          <w:rFonts w:eastAsia="Times New Roman" w:cs="Times New Roman"/>
          <w:i/>
          <w:iCs/>
          <w:szCs w:val="21"/>
        </w:rPr>
        <w:t>National Adaptation Plan</w:t>
      </w:r>
      <w:r w:rsidRPr="004C2AE0">
        <w:rPr>
          <w:rFonts w:eastAsia="Times New Roman" w:cs="Times New Roman"/>
          <w:szCs w:val="21"/>
        </w:rPr>
        <w:t xml:space="preserve"> (2020) and the </w:t>
      </w:r>
      <w:r w:rsidRPr="009553BD">
        <w:rPr>
          <w:rFonts w:eastAsia="Times New Roman" w:cs="Times New Roman"/>
          <w:i/>
          <w:iCs/>
          <w:szCs w:val="21"/>
        </w:rPr>
        <w:t>RPJPN</w:t>
      </w:r>
      <w:r w:rsidRPr="004C2AE0">
        <w:rPr>
          <w:rFonts w:eastAsia="Times New Roman" w:cs="Times New Roman"/>
          <w:szCs w:val="21"/>
        </w:rPr>
        <w:t xml:space="preserve"> (2025–2045). Climate risks and projections </w:t>
      </w:r>
      <w:r w:rsidR="00C90FE4">
        <w:rPr>
          <w:rFonts w:eastAsia="Times New Roman" w:cs="Times New Roman"/>
          <w:szCs w:val="21"/>
        </w:rPr>
        <w:t>are</w:t>
      </w:r>
      <w:r w:rsidRPr="004C2AE0">
        <w:rPr>
          <w:rFonts w:eastAsia="Times New Roman" w:cs="Times New Roman"/>
          <w:szCs w:val="21"/>
        </w:rPr>
        <w:t xml:space="preserve"> further detailed in </w:t>
      </w:r>
      <w:hyperlink w:anchor="AnnexI" w:history="1">
        <w:r w:rsidRPr="00C90FE4">
          <w:rPr>
            <w:rStyle w:val="Hyperlink"/>
            <w:rFonts w:eastAsia="Times New Roman" w:cs="Times New Roman"/>
            <w:b/>
            <w:bCs/>
            <w:szCs w:val="21"/>
          </w:rPr>
          <w:t xml:space="preserve">Annex </w:t>
        </w:r>
        <w:r w:rsidR="00F43AAD">
          <w:rPr>
            <w:rStyle w:val="Hyperlink"/>
            <w:rFonts w:eastAsia="Times New Roman" w:cs="Times New Roman"/>
            <w:b/>
            <w:bCs/>
            <w:szCs w:val="21"/>
          </w:rPr>
          <w:t>I</w:t>
        </w:r>
      </w:hyperlink>
      <w:r w:rsidRPr="004C2AE0">
        <w:rPr>
          <w:rFonts w:eastAsia="Times New Roman" w:cs="Times New Roman"/>
          <w:szCs w:val="21"/>
        </w:rPr>
        <w:t>, drawing on resources such as the World Bank Climate Risk Profile for Indonesia, with explicit links to the GEDSI–climate nexus and safeguards in the program’s Risk Register. This approach ensures climate and disaster resilience is addressed where it most directly strengthens democratic governance and inclusive participation</w:t>
      </w:r>
      <w:r>
        <w:rPr>
          <w:rFonts w:eastAsia="Times New Roman" w:cs="Times New Roman"/>
          <w:szCs w:val="21"/>
        </w:rPr>
        <w:t>.</w:t>
      </w:r>
    </w:p>
    <w:p w14:paraId="516021C6" w14:textId="77777777" w:rsidR="00902F90" w:rsidRPr="00B57CB6" w:rsidRDefault="00902F90" w:rsidP="00847DAB">
      <w:pPr>
        <w:pStyle w:val="Heading2Numbered"/>
      </w:pPr>
      <w:bookmarkStart w:id="260" w:name="_Toc232524288"/>
      <w:r w:rsidRPr="00B57CB6">
        <w:t>Innovation</w:t>
      </w:r>
      <w:bookmarkEnd w:id="260"/>
    </w:p>
    <w:p w14:paraId="6FFC9B31" w14:textId="3BA7802D" w:rsidR="00902F90" w:rsidRDefault="00902F90" w:rsidP="00902F90">
      <w:pPr>
        <w:rPr>
          <w:rFonts w:eastAsia="Times New Roman" w:cs="Times New Roman"/>
          <w:szCs w:val="21"/>
          <w:lang w:val="en-AU"/>
        </w:rPr>
      </w:pPr>
      <w:proofErr w:type="spellStart"/>
      <w:r w:rsidRPr="00D84A7F">
        <w:rPr>
          <w:rFonts w:eastAsia="Times New Roman" w:cs="Times New Roman"/>
          <w:iCs/>
          <w:szCs w:val="21"/>
        </w:rPr>
        <w:t>Partisipasi</w:t>
      </w:r>
      <w:proofErr w:type="spellEnd"/>
      <w:r w:rsidRPr="00D5625A">
        <w:rPr>
          <w:rFonts w:eastAsia="Times New Roman" w:cs="Times New Roman"/>
          <w:szCs w:val="21"/>
        </w:rPr>
        <w:t xml:space="preserve"> will foster inclusive democratic innovation </w:t>
      </w:r>
      <w:r w:rsidR="00591FDA">
        <w:rPr>
          <w:rFonts w:eastAsia="Times New Roman" w:cs="Times New Roman"/>
          <w:szCs w:val="21"/>
        </w:rPr>
        <w:t xml:space="preserve">by providing grants to civil society groups that develop and utilise innovative ways </w:t>
      </w:r>
      <w:r w:rsidRPr="00D5625A">
        <w:rPr>
          <w:rFonts w:eastAsia="Times New Roman" w:cs="Times New Roman"/>
          <w:szCs w:val="21"/>
        </w:rPr>
        <w:t>to overcome structural barriers to participation, voice and influence, particularly for marginalised groups. Recognising that traditional models of engagement are often insufficient, the program will support community-driven</w:t>
      </w:r>
      <w:r>
        <w:rPr>
          <w:rFonts w:eastAsia="Times New Roman" w:cs="Times New Roman"/>
          <w:szCs w:val="21"/>
        </w:rPr>
        <w:t xml:space="preserve"> and</w:t>
      </w:r>
      <w:r w:rsidRPr="00D5625A">
        <w:rPr>
          <w:rFonts w:eastAsia="Times New Roman" w:cs="Times New Roman"/>
          <w:szCs w:val="21"/>
        </w:rPr>
        <w:t xml:space="preserve"> adaptive innovations that amplify the participation of young </w:t>
      </w:r>
      <w:r w:rsidRPr="00D5625A">
        <w:rPr>
          <w:rFonts w:eastAsia="Times New Roman" w:cs="Times New Roman"/>
          <w:szCs w:val="21"/>
        </w:rPr>
        <w:lastRenderedPageBreak/>
        <w:t>people, women</w:t>
      </w:r>
      <w:r w:rsidR="002F57CB">
        <w:rPr>
          <w:rFonts w:eastAsia="Times New Roman" w:cs="Times New Roman"/>
          <w:szCs w:val="21"/>
        </w:rPr>
        <w:t>,</w:t>
      </w:r>
      <w:r w:rsidRPr="00D5625A">
        <w:rPr>
          <w:rFonts w:eastAsia="Times New Roman" w:cs="Times New Roman"/>
          <w:szCs w:val="21"/>
        </w:rPr>
        <w:t xml:space="preserve"> and marginalised communities. Innovation will be embedded across program delivery through experimentation, iterative learning and user-centred design, with a focus on practical solutions that enhance democratic resilience. This includes bridging digital access gaps through targeted literacy programs, piloting participatory civic platforms and MEL approaches, co-designing locally led civic and media innovations, and supporting community-driven strategies to counter</w:t>
      </w:r>
      <w:r w:rsidR="0035135B">
        <w:rPr>
          <w:rFonts w:eastAsia="Times New Roman" w:cs="Times New Roman"/>
          <w:szCs w:val="21"/>
        </w:rPr>
        <w:t>-</w:t>
      </w:r>
      <w:r w:rsidRPr="00D5625A">
        <w:rPr>
          <w:rFonts w:eastAsia="Times New Roman" w:cs="Times New Roman"/>
          <w:szCs w:val="21"/>
        </w:rPr>
        <w:t xml:space="preserve">disinformation. </w:t>
      </w:r>
    </w:p>
    <w:p w14:paraId="48DAA714" w14:textId="347D7AD1" w:rsidR="00902F90" w:rsidRPr="00B57CB6" w:rsidRDefault="00902F90" w:rsidP="00847DAB">
      <w:pPr>
        <w:pStyle w:val="Heading2Numbered"/>
      </w:pPr>
      <w:bookmarkStart w:id="261" w:name="_Toc232524289"/>
      <w:r w:rsidRPr="00612FBF">
        <w:t>Locally</w:t>
      </w:r>
      <w:r w:rsidR="00F408F2">
        <w:t xml:space="preserve"> </w:t>
      </w:r>
      <w:r w:rsidR="00E31A10">
        <w:t>L</w:t>
      </w:r>
      <w:r w:rsidRPr="00612FBF">
        <w:t>ed</w:t>
      </w:r>
      <w:r w:rsidRPr="00B57CB6">
        <w:t xml:space="preserve"> Development</w:t>
      </w:r>
      <w:bookmarkEnd w:id="261"/>
    </w:p>
    <w:p w14:paraId="074882E9" w14:textId="77777777" w:rsidR="00902F90" w:rsidRDefault="00902F90" w:rsidP="00902F90">
      <w:pPr>
        <w:rPr>
          <w:rFonts w:eastAsia="Times New Roman" w:cs="Times New Roman"/>
          <w:szCs w:val="21"/>
        </w:rPr>
      </w:pPr>
      <w:proofErr w:type="spellStart"/>
      <w:r w:rsidRPr="00D84A7F">
        <w:rPr>
          <w:rFonts w:eastAsia="Times New Roman" w:cs="Times New Roman"/>
          <w:iCs/>
          <w:szCs w:val="21"/>
        </w:rPr>
        <w:t>Partisipasi</w:t>
      </w:r>
      <w:proofErr w:type="spellEnd"/>
      <w:r w:rsidRPr="008E2E52">
        <w:rPr>
          <w:rFonts w:eastAsia="Times New Roman" w:cs="Times New Roman"/>
          <w:szCs w:val="21"/>
        </w:rPr>
        <w:t xml:space="preserve"> embeds locally</w:t>
      </w:r>
      <w:r>
        <w:rPr>
          <w:rFonts w:eastAsia="Times New Roman" w:cs="Times New Roman"/>
          <w:szCs w:val="21"/>
        </w:rPr>
        <w:t xml:space="preserve"> led</w:t>
      </w:r>
      <w:r w:rsidRPr="008E2E52">
        <w:rPr>
          <w:rFonts w:eastAsia="Times New Roman" w:cs="Times New Roman"/>
          <w:szCs w:val="21"/>
        </w:rPr>
        <w:t xml:space="preserve"> development </w:t>
      </w:r>
      <w:r w:rsidRPr="00235F81">
        <w:rPr>
          <w:rFonts w:eastAsia="Times New Roman" w:cs="Times New Roman"/>
          <w:b/>
          <w:bCs/>
          <w:szCs w:val="21"/>
        </w:rPr>
        <w:t>as a core design principle, not only as a delivery modality.</w:t>
      </w:r>
      <w:r w:rsidRPr="00235F81">
        <w:rPr>
          <w:rFonts w:eastAsia="Times New Roman" w:cs="Times New Roman"/>
          <w:szCs w:val="21"/>
        </w:rPr>
        <w:t xml:space="preserve"> The program</w:t>
      </w:r>
      <w:r>
        <w:rPr>
          <w:rFonts w:eastAsia="Times New Roman" w:cs="Times New Roman"/>
          <w:szCs w:val="21"/>
        </w:rPr>
        <w:t xml:space="preserve"> places</w:t>
      </w:r>
      <w:r w:rsidRPr="008E2E52">
        <w:rPr>
          <w:rFonts w:eastAsia="Times New Roman" w:cs="Times New Roman"/>
          <w:szCs w:val="21"/>
        </w:rPr>
        <w:t xml:space="preserve"> Indonesian civil society, communities and institutions </w:t>
      </w:r>
      <w:r w:rsidRPr="00F56A47">
        <w:rPr>
          <w:rFonts w:eastAsia="Times New Roman" w:cs="Times New Roman"/>
          <w:szCs w:val="21"/>
        </w:rPr>
        <w:t>in decision-making and leadership roles, rather than as downstream implementers</w:t>
      </w:r>
      <w:r w:rsidRPr="008E2E52">
        <w:rPr>
          <w:rFonts w:eastAsia="Times New Roman" w:cs="Times New Roman"/>
          <w:szCs w:val="21"/>
        </w:rPr>
        <w:t xml:space="preserve">. </w:t>
      </w:r>
      <w:r w:rsidRPr="00310699">
        <w:rPr>
          <w:rFonts w:eastAsia="Times New Roman" w:cs="Times New Roman"/>
          <w:szCs w:val="21"/>
        </w:rPr>
        <w:t>The program fosters trust-based, long-term partnerships with local, subnational and informal actors, providing flexible funding, mentoring and accompaniment to enable adaptive responses to soci</w:t>
      </w:r>
      <w:r>
        <w:rPr>
          <w:rFonts w:eastAsia="Times New Roman" w:cs="Times New Roman"/>
          <w:szCs w:val="21"/>
        </w:rPr>
        <w:t>o-</w:t>
      </w:r>
      <w:r w:rsidRPr="00310699">
        <w:rPr>
          <w:rFonts w:eastAsia="Times New Roman" w:cs="Times New Roman"/>
          <w:szCs w:val="21"/>
        </w:rPr>
        <w:t xml:space="preserve">political and environmental changes. </w:t>
      </w:r>
    </w:p>
    <w:p w14:paraId="7B410F9E" w14:textId="05023870" w:rsidR="00CC64DC" w:rsidRDefault="00902F90" w:rsidP="00CC64DC">
      <w:pPr>
        <w:rPr>
          <w:rFonts w:eastAsia="Times New Roman" w:cs="Times New Roman"/>
          <w:szCs w:val="21"/>
          <w:lang w:val="en-AU"/>
        </w:rPr>
      </w:pPr>
      <w:r w:rsidRPr="00310699">
        <w:rPr>
          <w:rFonts w:eastAsia="Times New Roman" w:cs="Times New Roman"/>
          <w:szCs w:val="21"/>
        </w:rPr>
        <w:t>Local actors</w:t>
      </w:r>
      <w:r>
        <w:rPr>
          <w:rFonts w:eastAsia="Times New Roman" w:cs="Times New Roman"/>
          <w:szCs w:val="21"/>
        </w:rPr>
        <w:t xml:space="preserve">, </w:t>
      </w:r>
      <w:r w:rsidRPr="00310699">
        <w:rPr>
          <w:rFonts w:eastAsia="Times New Roman" w:cs="Times New Roman"/>
          <w:szCs w:val="21"/>
        </w:rPr>
        <w:t xml:space="preserve">including CSOs, </w:t>
      </w:r>
      <w:r w:rsidR="004F1756">
        <w:rPr>
          <w:rFonts w:eastAsia="Times New Roman" w:cs="Times New Roman"/>
          <w:szCs w:val="21"/>
        </w:rPr>
        <w:t>women’s rights organisations (</w:t>
      </w:r>
      <w:r w:rsidRPr="00310699">
        <w:rPr>
          <w:rFonts w:eastAsia="Times New Roman" w:cs="Times New Roman"/>
          <w:szCs w:val="21"/>
        </w:rPr>
        <w:t>WROs</w:t>
      </w:r>
      <w:r w:rsidR="004F1756">
        <w:rPr>
          <w:rFonts w:eastAsia="Times New Roman" w:cs="Times New Roman"/>
          <w:szCs w:val="21"/>
        </w:rPr>
        <w:t>)</w:t>
      </w:r>
      <w:r w:rsidRPr="00310699">
        <w:rPr>
          <w:rFonts w:eastAsia="Times New Roman" w:cs="Times New Roman"/>
          <w:szCs w:val="21"/>
        </w:rPr>
        <w:t>, OPDs, youth organisations</w:t>
      </w:r>
      <w:r>
        <w:rPr>
          <w:rFonts w:eastAsia="Times New Roman" w:cs="Times New Roman"/>
          <w:szCs w:val="21"/>
        </w:rPr>
        <w:t xml:space="preserve">, </w:t>
      </w:r>
      <w:r w:rsidRPr="00310699">
        <w:rPr>
          <w:rFonts w:eastAsia="Times New Roman" w:cs="Times New Roman"/>
          <w:szCs w:val="21"/>
        </w:rPr>
        <w:t>will be embedded in governance structures</w:t>
      </w:r>
      <w:r>
        <w:rPr>
          <w:rFonts w:eastAsia="Times New Roman" w:cs="Times New Roman"/>
          <w:szCs w:val="21"/>
        </w:rPr>
        <w:t xml:space="preserve"> and </w:t>
      </w:r>
      <w:r w:rsidR="009F00BB">
        <w:rPr>
          <w:rFonts w:eastAsia="Times New Roman" w:cs="Times New Roman"/>
          <w:szCs w:val="21"/>
        </w:rPr>
        <w:t>management arrangements</w:t>
      </w:r>
      <w:r w:rsidR="005D7998">
        <w:rPr>
          <w:rFonts w:eastAsia="Times New Roman" w:cs="Times New Roman"/>
          <w:szCs w:val="21"/>
        </w:rPr>
        <w:t xml:space="preserve"> where possible</w:t>
      </w:r>
      <w:r w:rsidRPr="00310699">
        <w:rPr>
          <w:rFonts w:eastAsia="Times New Roman" w:cs="Times New Roman"/>
          <w:szCs w:val="21"/>
        </w:rPr>
        <w:t xml:space="preserve">, </w:t>
      </w:r>
      <w:r w:rsidR="00A25088">
        <w:rPr>
          <w:rFonts w:eastAsia="Times New Roman" w:cs="Times New Roman"/>
          <w:szCs w:val="21"/>
        </w:rPr>
        <w:t xml:space="preserve">such as in </w:t>
      </w:r>
      <w:r w:rsidR="002234E6">
        <w:rPr>
          <w:rFonts w:eastAsia="Times New Roman" w:cs="Times New Roman"/>
          <w:szCs w:val="21"/>
        </w:rPr>
        <w:t>the CSP Steering Committee and among Core Group Partners</w:t>
      </w:r>
      <w:r w:rsidRPr="00671C8D">
        <w:rPr>
          <w:rFonts w:eastAsia="Times New Roman" w:cs="Times New Roman"/>
          <w:szCs w:val="21"/>
        </w:rPr>
        <w:t>.</w:t>
      </w:r>
      <w:r>
        <w:rPr>
          <w:rFonts w:eastAsia="Times New Roman" w:cs="Times New Roman"/>
          <w:szCs w:val="21"/>
        </w:rPr>
        <w:t xml:space="preserve"> </w:t>
      </w:r>
      <w:r w:rsidRPr="0072336B">
        <w:rPr>
          <w:rFonts w:eastAsia="Times New Roman" w:cs="Times New Roman"/>
          <w:szCs w:val="21"/>
        </w:rPr>
        <w:t>This ensures decisions reflect diverse civic voices and strengthens program legitimacy. To reduce structural barriers to participation, grant</w:t>
      </w:r>
      <w:r w:rsidR="0035135B">
        <w:rPr>
          <w:rFonts w:eastAsia="Times New Roman" w:cs="Times New Roman"/>
          <w:szCs w:val="21"/>
        </w:rPr>
        <w:t xml:space="preserve"> </w:t>
      </w:r>
      <w:r w:rsidRPr="0072336B">
        <w:rPr>
          <w:rFonts w:eastAsia="Times New Roman" w:cs="Times New Roman"/>
          <w:szCs w:val="21"/>
        </w:rPr>
        <w:t>making and capacity development approaches include simplified compliance, smaller grant windows, and organisational strengthening for emerging or grassroots organisations.</w:t>
      </w:r>
      <w:r w:rsidR="00CC64DC" w:rsidRPr="00CC64DC">
        <w:rPr>
          <w:rFonts w:eastAsia="Times New Roman" w:cs="Times New Roman"/>
          <w:szCs w:val="21"/>
        </w:rPr>
        <w:t xml:space="preserve"> </w:t>
      </w:r>
      <w:r w:rsidR="00CC64DC" w:rsidRPr="00310699">
        <w:rPr>
          <w:rFonts w:eastAsia="Times New Roman" w:cs="Times New Roman"/>
          <w:szCs w:val="21"/>
        </w:rPr>
        <w:t>Adaptive learning and outcomes monitoring will actively involve local partners in shaping, interpreting and applying evidence, and peer</w:t>
      </w:r>
      <w:r w:rsidR="00CC64DC">
        <w:rPr>
          <w:rFonts w:eastAsia="Times New Roman" w:cs="Times New Roman"/>
          <w:szCs w:val="21"/>
        </w:rPr>
        <w:t xml:space="preserve"> </w:t>
      </w:r>
      <w:r w:rsidR="00CC64DC" w:rsidRPr="00310699">
        <w:rPr>
          <w:rFonts w:eastAsia="Times New Roman" w:cs="Times New Roman"/>
          <w:szCs w:val="21"/>
        </w:rPr>
        <w:t>learning platforms will elevate locally developed democratic innovations, linking Indonesian actors to regional and international counterparts.</w:t>
      </w:r>
      <w:r w:rsidR="00CC64DC">
        <w:rPr>
          <w:rFonts w:eastAsia="Times New Roman" w:cs="Times New Roman"/>
          <w:szCs w:val="21"/>
        </w:rPr>
        <w:t xml:space="preserve"> </w:t>
      </w:r>
    </w:p>
    <w:p w14:paraId="073E74FA" w14:textId="5650E9A5" w:rsidR="00CE672B" w:rsidRPr="00966D66" w:rsidRDefault="0048112D" w:rsidP="00966D66">
      <w:pPr>
        <w:spacing w:after="240"/>
        <w:rPr>
          <w:rStyle w:val="Hyperlink"/>
          <w:rFonts w:eastAsia="Times New Roman" w:cs="Times New Roman"/>
          <w:color w:val="495965" w:themeColor="text2"/>
          <w:u w:val="none"/>
        </w:rPr>
      </w:pPr>
      <w:r>
        <w:rPr>
          <w:rFonts w:eastAsia="Times New Roman" w:cs="Times New Roman"/>
        </w:rPr>
        <w:t>During inception, the Convenor will develop a</w:t>
      </w:r>
      <w:r w:rsidR="00902F90" w:rsidRPr="129B4E48">
        <w:rPr>
          <w:rFonts w:eastAsia="Times New Roman" w:cs="Times New Roman"/>
        </w:rPr>
        <w:t xml:space="preserve"> Localisation Roadmap</w:t>
      </w:r>
      <w:r>
        <w:rPr>
          <w:rFonts w:eastAsia="Times New Roman" w:cs="Times New Roman"/>
        </w:rPr>
        <w:t xml:space="preserve"> to be included within </w:t>
      </w:r>
      <w:r w:rsidR="00902F90" w:rsidRPr="129B4E48">
        <w:rPr>
          <w:rFonts w:eastAsia="Times New Roman" w:cs="Times New Roman"/>
        </w:rPr>
        <w:t xml:space="preserve">the CSP Strategy, </w:t>
      </w:r>
      <w:r>
        <w:rPr>
          <w:rFonts w:eastAsia="Times New Roman" w:cs="Times New Roman"/>
        </w:rPr>
        <w:t xml:space="preserve">which </w:t>
      </w:r>
      <w:r w:rsidR="00902F90" w:rsidRPr="129B4E48">
        <w:rPr>
          <w:rFonts w:eastAsia="Times New Roman" w:cs="Times New Roman"/>
        </w:rPr>
        <w:t xml:space="preserve">will set clear benchmarks for Indonesian leadership, funding flows to local organisations, local subcontracting, and decision-making authority. The </w:t>
      </w:r>
      <w:r w:rsidR="00815ADB">
        <w:rPr>
          <w:rFonts w:eastAsia="Times New Roman" w:cs="Times New Roman"/>
        </w:rPr>
        <w:t>r</w:t>
      </w:r>
      <w:r w:rsidR="00902F90" w:rsidRPr="129B4E48">
        <w:rPr>
          <w:rFonts w:eastAsia="Times New Roman" w:cs="Times New Roman"/>
        </w:rPr>
        <w:t xml:space="preserve">oadmap will include monitoring benchmarks, capacity development plans, and roles for Indonesian partners in program governance. Multi-year grants, professional development, and mentoring pathways will support the sustainability of local CSOs and media collectives. For more discussion on </w:t>
      </w:r>
      <w:r w:rsidR="004F0C53">
        <w:rPr>
          <w:rFonts w:eastAsia="Times New Roman" w:cs="Times New Roman"/>
        </w:rPr>
        <w:t>the S</w:t>
      </w:r>
      <w:r w:rsidR="00902F90" w:rsidRPr="129B4E48">
        <w:rPr>
          <w:rFonts w:eastAsia="Times New Roman" w:cs="Times New Roman"/>
        </w:rPr>
        <w:t xml:space="preserve">ustainability </w:t>
      </w:r>
      <w:r w:rsidR="004F0C53">
        <w:rPr>
          <w:rFonts w:eastAsia="Times New Roman" w:cs="Times New Roman"/>
        </w:rPr>
        <w:t>F</w:t>
      </w:r>
      <w:r w:rsidR="00902F90" w:rsidRPr="129B4E48">
        <w:rPr>
          <w:rFonts w:eastAsia="Times New Roman" w:cs="Times New Roman"/>
        </w:rPr>
        <w:t>ramework at design</w:t>
      </w:r>
      <w:r w:rsidR="004F0C53">
        <w:rPr>
          <w:rFonts w:eastAsia="Times New Roman" w:cs="Times New Roman"/>
        </w:rPr>
        <w:t>,</w:t>
      </w:r>
      <w:r w:rsidR="00902F90" w:rsidRPr="129B4E48">
        <w:rPr>
          <w:rFonts w:eastAsia="Times New Roman" w:cs="Times New Roman"/>
        </w:rPr>
        <w:t xml:space="preserve"> see</w:t>
      </w:r>
      <w:r w:rsidR="007118A8">
        <w:rPr>
          <w:rFonts w:eastAsia="Times New Roman" w:cs="Times New Roman"/>
        </w:rPr>
        <w:t xml:space="preserve"> </w:t>
      </w:r>
      <w:hyperlink w:anchor="_Annex_J:_Sustainability" w:history="1">
        <w:r w:rsidR="007118A8" w:rsidRPr="006F5D58">
          <w:rPr>
            <w:rStyle w:val="Hyperlink"/>
            <w:rFonts w:eastAsia="Times New Roman" w:cs="Times New Roman"/>
            <w:b/>
            <w:bCs/>
          </w:rPr>
          <w:t>Annex J</w:t>
        </w:r>
      </w:hyperlink>
      <w:r w:rsidR="007118A8" w:rsidRPr="006F5D58">
        <w:rPr>
          <w:rFonts w:eastAsia="Times New Roman" w:cs="Times New Roman"/>
          <w:b/>
          <w:bCs/>
          <w:color w:val="auto"/>
        </w:rPr>
        <w:t>.</w:t>
      </w:r>
      <w:r w:rsidR="00902F90" w:rsidRPr="006F5D58">
        <w:rPr>
          <w:rFonts w:eastAsia="Times New Roman" w:cs="Times New Roman"/>
          <w:color w:val="auto"/>
        </w:rPr>
        <w:t xml:space="preserve"> </w:t>
      </w:r>
      <w:bookmarkStart w:id="262" w:name="_Toc208223964"/>
    </w:p>
    <w:p w14:paraId="7B77E77F" w14:textId="1284C06C" w:rsidR="00902F90" w:rsidRPr="007118A8" w:rsidRDefault="00902F90" w:rsidP="00381CA6">
      <w:pPr>
        <w:pStyle w:val="Heading1Numbered"/>
      </w:pPr>
      <w:bookmarkStart w:id="263" w:name="_Toc232524290"/>
      <w:r w:rsidRPr="007118A8">
        <w:t>Budget</w:t>
      </w:r>
      <w:r w:rsidR="009C689D" w:rsidRPr="007118A8">
        <w:t>,</w:t>
      </w:r>
      <w:r w:rsidRPr="007118A8">
        <w:t xml:space="preserve"> Resources</w:t>
      </w:r>
      <w:bookmarkEnd w:id="262"/>
      <w:r w:rsidRPr="007118A8">
        <w:t xml:space="preserve"> </w:t>
      </w:r>
      <w:r w:rsidR="009C689D" w:rsidRPr="007118A8">
        <w:t>and Scalability</w:t>
      </w:r>
      <w:bookmarkEnd w:id="263"/>
    </w:p>
    <w:p w14:paraId="41F8DC90" w14:textId="7F50E6EB" w:rsidR="00902F90" w:rsidRPr="00553A56" w:rsidRDefault="00902F90" w:rsidP="00902F90">
      <w:r>
        <w:t xml:space="preserve">The Australian Government </w:t>
      </w:r>
      <w:r w:rsidRPr="00553A56">
        <w:t>will invest</w:t>
      </w:r>
      <w:r>
        <w:t xml:space="preserve"> up to</w:t>
      </w:r>
      <w:r w:rsidRPr="00553A56">
        <w:t xml:space="preserve"> AUD30</w:t>
      </w:r>
      <w:r>
        <w:t xml:space="preserve"> million</w:t>
      </w:r>
      <w:r w:rsidRPr="00553A56">
        <w:t xml:space="preserve"> over </w:t>
      </w:r>
      <w:r w:rsidR="00815ADB">
        <w:t>4.5</w:t>
      </w:r>
      <w:r>
        <w:t xml:space="preserve"> </w:t>
      </w:r>
      <w:r w:rsidRPr="00553A56">
        <w:t>years (</w:t>
      </w:r>
      <w:r w:rsidR="00591FDA">
        <w:t xml:space="preserve">averaging </w:t>
      </w:r>
      <w:r w:rsidRPr="00553A56">
        <w:t>AUD</w:t>
      </w:r>
      <w:r>
        <w:t xml:space="preserve">6.7 </w:t>
      </w:r>
      <w:r w:rsidRPr="00553A56">
        <w:t>m</w:t>
      </w:r>
      <w:r>
        <w:t>illion</w:t>
      </w:r>
      <w:r w:rsidRPr="00553A56">
        <w:t xml:space="preserve"> per year) into the </w:t>
      </w:r>
      <w:proofErr w:type="spellStart"/>
      <w:r w:rsidRPr="00D84A7F">
        <w:rPr>
          <w:iCs/>
        </w:rPr>
        <w:t>Partisipasi</w:t>
      </w:r>
      <w:proofErr w:type="spellEnd"/>
      <w:r w:rsidRPr="00553A56">
        <w:t xml:space="preserve"> </w:t>
      </w:r>
      <w:r>
        <w:t>p</w:t>
      </w:r>
      <w:r w:rsidRPr="00553A56">
        <w:t xml:space="preserve">rogram. </w:t>
      </w:r>
      <w:r>
        <w:t>K</w:t>
      </w:r>
      <w:r w:rsidRPr="00553A56">
        <w:t xml:space="preserve">ey features </w:t>
      </w:r>
      <w:r>
        <w:t>include</w:t>
      </w:r>
      <w:r w:rsidRPr="00553A56">
        <w:t>:</w:t>
      </w:r>
    </w:p>
    <w:p w14:paraId="033249AC" w14:textId="05968D00" w:rsidR="00902F90" w:rsidRDefault="00902F90" w:rsidP="00D3558F">
      <w:pPr>
        <w:numPr>
          <w:ilvl w:val="0"/>
          <w:numId w:val="19"/>
        </w:numPr>
        <w:suppressAutoHyphens w:val="0"/>
        <w:spacing w:before="0" w:after="160" w:line="259" w:lineRule="auto"/>
      </w:pPr>
      <w:r>
        <w:t>The</w:t>
      </w:r>
      <w:r w:rsidR="00B615BA">
        <w:t xml:space="preserve"> indicative</w:t>
      </w:r>
      <w:r>
        <w:t xml:space="preserve"> activity budget total is AUD</w:t>
      </w:r>
      <w:r w:rsidR="00591FDA">
        <w:t>20.</w:t>
      </w:r>
      <w:r w:rsidR="009A39BD">
        <w:t>9</w:t>
      </w:r>
      <w:r>
        <w:t xml:space="preserve"> million</w:t>
      </w:r>
      <w:r w:rsidR="00B615BA">
        <w:t xml:space="preserve"> (</w:t>
      </w:r>
      <w:r w:rsidR="00742167">
        <w:t>70%)</w:t>
      </w:r>
      <w:r>
        <w:t xml:space="preserve">. </w:t>
      </w:r>
      <w:r w:rsidR="00742167">
        <w:t>This includes</w:t>
      </w:r>
      <w:r>
        <w:t xml:space="preserve"> </w:t>
      </w:r>
      <w:r w:rsidR="00F06D24">
        <w:t>AUD</w:t>
      </w:r>
      <w:r w:rsidR="00B71D45">
        <w:t>4.</w:t>
      </w:r>
      <w:r w:rsidR="003B1A18">
        <w:t>7</w:t>
      </w:r>
      <w:r w:rsidR="00B71D45">
        <w:t xml:space="preserve"> million for </w:t>
      </w:r>
      <w:r>
        <w:t>Component</w:t>
      </w:r>
      <w:r w:rsidR="0034281B">
        <w:t> </w:t>
      </w:r>
      <w:r w:rsidR="008F1740">
        <w:t xml:space="preserve">1 </w:t>
      </w:r>
      <w:r>
        <w:t xml:space="preserve">activities </w:t>
      </w:r>
      <w:r w:rsidR="003B1A18">
        <w:t xml:space="preserve">and </w:t>
      </w:r>
      <w:r w:rsidR="00F06D24">
        <w:t>AUD</w:t>
      </w:r>
      <w:r w:rsidR="00FE5625">
        <w:t>16.</w:t>
      </w:r>
      <w:r w:rsidR="003B1A18">
        <w:t>25</w:t>
      </w:r>
      <w:r w:rsidR="00FE5625">
        <w:t xml:space="preserve"> million for </w:t>
      </w:r>
      <w:r w:rsidR="00E61216">
        <w:t xml:space="preserve">Component </w:t>
      </w:r>
      <w:r w:rsidR="008F1740">
        <w:t xml:space="preserve">2 </w:t>
      </w:r>
      <w:r w:rsidR="00FE5625">
        <w:t>activities</w:t>
      </w:r>
      <w:r>
        <w:t xml:space="preserve">. Funds have been allocated </w:t>
      </w:r>
      <w:r w:rsidR="00C1534F">
        <w:t xml:space="preserve">so </w:t>
      </w:r>
      <w:r>
        <w:t xml:space="preserve">that peak grant distribution occurs </w:t>
      </w:r>
      <w:r w:rsidR="00591FDA">
        <w:t xml:space="preserve">from </w:t>
      </w:r>
      <w:r w:rsidR="00C84C43">
        <w:t>Y</w:t>
      </w:r>
      <w:r>
        <w:t xml:space="preserve">ear </w:t>
      </w:r>
      <w:r w:rsidR="00C84C43">
        <w:t>2</w:t>
      </w:r>
      <w:r>
        <w:t xml:space="preserve">, to enable grantees time and space to prepare for increasing funds, and time to expend those funds before the end of the program. </w:t>
      </w:r>
    </w:p>
    <w:p w14:paraId="3B40F84B" w14:textId="7BABF311" w:rsidR="00902F90" w:rsidRDefault="00902F90" w:rsidP="00D3558F">
      <w:pPr>
        <w:numPr>
          <w:ilvl w:val="0"/>
          <w:numId w:val="19"/>
        </w:numPr>
        <w:suppressAutoHyphens w:val="0"/>
        <w:spacing w:before="0" w:after="160" w:line="259" w:lineRule="auto"/>
      </w:pPr>
      <w:r w:rsidRPr="00553A56">
        <w:t xml:space="preserve">The </w:t>
      </w:r>
      <w:r w:rsidR="00D57BB7">
        <w:t>p</w:t>
      </w:r>
      <w:r w:rsidRPr="00553A56">
        <w:t xml:space="preserve">rogram </w:t>
      </w:r>
      <w:r w:rsidR="00D57BB7">
        <w:t>m</w:t>
      </w:r>
      <w:r w:rsidRPr="00553A56">
        <w:t xml:space="preserve">anagement </w:t>
      </w:r>
      <w:r w:rsidR="00D57BB7">
        <w:t>c</w:t>
      </w:r>
      <w:r w:rsidRPr="00553A56">
        <w:t xml:space="preserve">osts </w:t>
      </w:r>
      <w:r w:rsidR="006B22C7">
        <w:t xml:space="preserve">across the PSU, Convenor and DFAT </w:t>
      </w:r>
      <w:r w:rsidR="000D58E0">
        <w:t xml:space="preserve">are valued at 30% and </w:t>
      </w:r>
      <w:r w:rsidR="00D57BB7">
        <w:t>include staffing, operational cost</w:t>
      </w:r>
      <w:r w:rsidR="006B22C7">
        <w:t>s, as well as DFAT monitoring and independent review costs</w:t>
      </w:r>
      <w:r>
        <w:t xml:space="preserve">. </w:t>
      </w:r>
    </w:p>
    <w:p w14:paraId="4682208D" w14:textId="1733EBAC" w:rsidR="00902F90" w:rsidRPr="00B02EEB" w:rsidRDefault="00902F90" w:rsidP="00D3558F">
      <w:pPr>
        <w:numPr>
          <w:ilvl w:val="0"/>
          <w:numId w:val="19"/>
        </w:numPr>
        <w:suppressAutoHyphens w:val="0"/>
        <w:spacing w:before="0" w:after="160" w:line="259" w:lineRule="auto"/>
      </w:pPr>
      <w:r>
        <w:t>MEL expenditure within the program is</w:t>
      </w:r>
      <w:r w:rsidR="00D21872">
        <w:t xml:space="preserve"> targeted at 7-10% </w:t>
      </w:r>
      <w:r>
        <w:t xml:space="preserve">of the </w:t>
      </w:r>
      <w:r w:rsidR="00591FDA">
        <w:t xml:space="preserve">overall </w:t>
      </w:r>
      <w:r>
        <w:t xml:space="preserve">budget. This is because of the importance of risk monitoring, and shared learning. </w:t>
      </w:r>
    </w:p>
    <w:p w14:paraId="0927A0C3" w14:textId="3929239A" w:rsidR="00902F90" w:rsidRPr="004E0F29" w:rsidRDefault="00902F90" w:rsidP="00D3558F">
      <w:pPr>
        <w:numPr>
          <w:ilvl w:val="0"/>
          <w:numId w:val="19"/>
        </w:numPr>
        <w:suppressAutoHyphens w:val="0"/>
        <w:spacing w:before="0" w:after="160" w:line="259" w:lineRule="auto"/>
        <w:rPr>
          <w:lang w:val="en-AU"/>
        </w:rPr>
      </w:pPr>
      <w:r>
        <w:t xml:space="preserve">The program leverages resources from both </w:t>
      </w:r>
      <w:r w:rsidR="0034281B">
        <w:t>c</w:t>
      </w:r>
      <w:r>
        <w:t xml:space="preserve">ivil </w:t>
      </w:r>
      <w:r w:rsidR="0034281B">
        <w:t>s</w:t>
      </w:r>
      <w:r>
        <w:t xml:space="preserve">ociety groups and from </w:t>
      </w:r>
      <w:proofErr w:type="spellStart"/>
      <w:r>
        <w:t>GoI</w:t>
      </w:r>
      <w:proofErr w:type="spellEnd"/>
      <w:r w:rsidR="00F96AD3">
        <w:t>,</w:t>
      </w:r>
      <w:r>
        <w:t xml:space="preserve"> as both will be contributing in-kind to activities. In the </w:t>
      </w:r>
      <w:r w:rsidRPr="69B01520">
        <w:rPr>
          <w:rFonts w:eastAsia="Times New Roman" w:cs="Times New Roman"/>
          <w:lang w:val="en-AU"/>
        </w:rPr>
        <w:t>case</w:t>
      </w:r>
      <w:r>
        <w:t xml:space="preserve"> of </w:t>
      </w:r>
      <w:r w:rsidR="0034281B">
        <w:t>c</w:t>
      </w:r>
      <w:r>
        <w:t xml:space="preserve">ivil </w:t>
      </w:r>
      <w:r w:rsidR="0034281B">
        <w:t>s</w:t>
      </w:r>
      <w:r>
        <w:t xml:space="preserve">ociety groups, the program will draw upon their networks, knowledge, and existing organisational infrastructure to manage the activities. In the case of </w:t>
      </w:r>
      <w:proofErr w:type="spellStart"/>
      <w:r>
        <w:t>GoI</w:t>
      </w:r>
      <w:proofErr w:type="spellEnd"/>
      <w:r>
        <w:t xml:space="preserve">, the program will draw upon its time, knowledge and infrastructure to host activities. </w:t>
      </w:r>
    </w:p>
    <w:p w14:paraId="504EFCA8" w14:textId="149DEF78" w:rsidR="00902F90" w:rsidRPr="00E95247" w:rsidRDefault="005B7859" w:rsidP="00E95247">
      <w:pPr>
        <w:spacing w:before="0" w:after="160"/>
        <w:rPr>
          <w:rFonts w:ascii="Calibri Light" w:hAnsi="Calibri Light" w:cs="Calibri Light"/>
        </w:rPr>
      </w:pPr>
      <w:r>
        <w:rPr>
          <w:lang w:val="en-AU"/>
        </w:rPr>
        <w:lastRenderedPageBreak/>
        <w:t>The</w:t>
      </w:r>
      <w:r w:rsidR="007B236E">
        <w:rPr>
          <w:lang w:val="en-AU"/>
        </w:rPr>
        <w:t xml:space="preserve"> end-of-phase</w:t>
      </w:r>
      <w:r w:rsidR="00805640">
        <w:rPr>
          <w:lang w:val="en-AU"/>
        </w:rPr>
        <w:t xml:space="preserve"> review </w:t>
      </w:r>
      <w:r>
        <w:rPr>
          <w:lang w:val="en-AU"/>
        </w:rPr>
        <w:t xml:space="preserve">will examine whether the budget and scale of the program </w:t>
      </w:r>
      <w:r w:rsidR="00E95247">
        <w:rPr>
          <w:lang w:val="en-AU"/>
        </w:rPr>
        <w:t>is</w:t>
      </w:r>
      <w:r>
        <w:rPr>
          <w:lang w:val="en-AU"/>
        </w:rPr>
        <w:t xml:space="preserve"> </w:t>
      </w:r>
      <w:r w:rsidR="00E95247">
        <w:rPr>
          <w:lang w:val="en-AU"/>
        </w:rPr>
        <w:t>adequate</w:t>
      </w:r>
      <w:r w:rsidR="00FC01DE">
        <w:rPr>
          <w:lang w:val="en-AU"/>
        </w:rPr>
        <w:t>. If scale-up is recommended</w:t>
      </w:r>
      <w:r w:rsidR="00BB269D">
        <w:rPr>
          <w:lang w:val="en-AU"/>
        </w:rPr>
        <w:t xml:space="preserve"> in consultation with Indonesian stakeholders</w:t>
      </w:r>
      <w:r w:rsidR="002105AA">
        <w:rPr>
          <w:lang w:val="en-AU"/>
        </w:rPr>
        <w:t xml:space="preserve"> and </w:t>
      </w:r>
      <w:r w:rsidR="00902F90">
        <w:rPr>
          <w:lang w:val="en-AU"/>
        </w:rPr>
        <w:t xml:space="preserve">DFAT </w:t>
      </w:r>
      <w:r w:rsidR="00EC471C">
        <w:rPr>
          <w:lang w:val="en-AU"/>
        </w:rPr>
        <w:t>has additional budget available</w:t>
      </w:r>
      <w:r w:rsidR="00FC01DE">
        <w:rPr>
          <w:lang w:val="en-AU"/>
        </w:rPr>
        <w:t xml:space="preserve"> and </w:t>
      </w:r>
      <w:r w:rsidR="008A4E22">
        <w:rPr>
          <w:lang w:val="en-AU"/>
        </w:rPr>
        <w:t>approves</w:t>
      </w:r>
      <w:r w:rsidR="00FC01DE">
        <w:rPr>
          <w:lang w:val="en-AU"/>
        </w:rPr>
        <w:t xml:space="preserve"> this, </w:t>
      </w:r>
      <w:r w:rsidR="008A4E22">
        <w:rPr>
          <w:lang w:val="en-AU"/>
        </w:rPr>
        <w:t>it</w:t>
      </w:r>
      <w:r w:rsidR="00F445A7">
        <w:rPr>
          <w:lang w:val="en-AU"/>
        </w:rPr>
        <w:t xml:space="preserve"> could potentially occur during a second phase after 2030</w:t>
      </w:r>
      <w:r w:rsidR="00902F90">
        <w:rPr>
          <w:lang w:val="en-AU"/>
        </w:rPr>
        <w:t xml:space="preserve">. </w:t>
      </w:r>
      <w:r w:rsidR="008A4E22">
        <w:rPr>
          <w:lang w:val="en-AU"/>
        </w:rPr>
        <w:t xml:space="preserve">In this case, the design </w:t>
      </w:r>
      <w:r w:rsidR="00902F90">
        <w:rPr>
          <w:lang w:val="en-AU"/>
        </w:rPr>
        <w:t>recommend</w:t>
      </w:r>
      <w:r w:rsidR="008A4E22">
        <w:rPr>
          <w:lang w:val="en-AU"/>
        </w:rPr>
        <w:t>s</w:t>
      </w:r>
      <w:r w:rsidR="00902F90">
        <w:rPr>
          <w:lang w:val="en-AU"/>
        </w:rPr>
        <w:t xml:space="preserve"> that activities budgets be increased in proportion to their current ratios. However, the split between the </w:t>
      </w:r>
      <w:r w:rsidR="00BB269D">
        <w:rPr>
          <w:lang w:val="en-AU"/>
        </w:rPr>
        <w:t>two</w:t>
      </w:r>
      <w:r w:rsidR="008F1740">
        <w:rPr>
          <w:lang w:val="en-AU"/>
        </w:rPr>
        <w:t xml:space="preserve"> c</w:t>
      </w:r>
      <w:r w:rsidR="00902F90">
        <w:rPr>
          <w:lang w:val="en-AU"/>
        </w:rPr>
        <w:t>omponents should take account of MEL information</w:t>
      </w:r>
      <w:r w:rsidR="00A645EA">
        <w:rPr>
          <w:lang w:val="en-AU"/>
        </w:rPr>
        <w:t xml:space="preserve"> and risk</w:t>
      </w:r>
      <w:r w:rsidR="00902F90">
        <w:rPr>
          <w:lang w:val="en-AU"/>
        </w:rPr>
        <w:t xml:space="preserve">, shifting funds towards the most effective channels. </w:t>
      </w:r>
      <w:r w:rsidR="00E95247">
        <w:rPr>
          <w:rFonts w:ascii="Calibri Light" w:hAnsi="Calibri Light" w:cs="Calibri Light"/>
          <w:lang w:val="en-AU"/>
        </w:rPr>
        <w:t xml:space="preserve">In this scenario, the program could consider </w:t>
      </w:r>
      <w:r w:rsidR="00E95247" w:rsidRPr="00B57CB6">
        <w:rPr>
          <w:rFonts w:ascii="Calibri Light" w:hAnsi="Calibri Light" w:cs="Calibri Light"/>
        </w:rPr>
        <w:t xml:space="preserve">expanding successful </w:t>
      </w:r>
      <w:r w:rsidR="00E95247">
        <w:rPr>
          <w:rFonts w:ascii="Calibri Light" w:hAnsi="Calibri Light" w:cs="Calibri Light"/>
        </w:rPr>
        <w:t>activitie</w:t>
      </w:r>
      <w:r w:rsidR="00E95247" w:rsidRPr="00B57CB6">
        <w:rPr>
          <w:rFonts w:ascii="Calibri Light" w:hAnsi="Calibri Light" w:cs="Calibri Light"/>
        </w:rPr>
        <w:t>s to more regions and subregions</w:t>
      </w:r>
      <w:r w:rsidR="00E95247">
        <w:rPr>
          <w:rFonts w:ascii="Calibri Light" w:hAnsi="Calibri Light" w:cs="Calibri Light"/>
        </w:rPr>
        <w:t>, and/or expanding</w:t>
      </w:r>
      <w:r w:rsidR="00E95247" w:rsidRPr="00B57CB6">
        <w:rPr>
          <w:rFonts w:ascii="Calibri Light" w:hAnsi="Calibri Light" w:cs="Calibri Light"/>
        </w:rPr>
        <w:t xml:space="preserve"> technical cooperation between Indonesian and Australian state actors </w:t>
      </w:r>
      <w:r w:rsidR="00E95247">
        <w:rPr>
          <w:rFonts w:ascii="Calibri Light" w:hAnsi="Calibri Light" w:cs="Calibri Light"/>
        </w:rPr>
        <w:t>(noting that this may require more DFAT staffing resources)</w:t>
      </w:r>
      <w:r w:rsidR="00E95247" w:rsidRPr="00B57CB6">
        <w:rPr>
          <w:rFonts w:ascii="Calibri Light" w:hAnsi="Calibri Light" w:cs="Calibri Light"/>
        </w:rPr>
        <w:t>.</w:t>
      </w:r>
      <w:r w:rsidR="00E95247">
        <w:rPr>
          <w:rFonts w:ascii="Calibri Light" w:hAnsi="Calibri Light" w:cs="Calibri Light"/>
        </w:rPr>
        <w:t xml:space="preserve"> </w:t>
      </w:r>
      <w:r w:rsidR="00AF2E4D">
        <w:rPr>
          <w:lang w:val="en-AU"/>
        </w:rPr>
        <w:t>If during the investment’s lifetime</w:t>
      </w:r>
      <w:r w:rsidR="00902F90">
        <w:rPr>
          <w:lang w:val="en-AU"/>
        </w:rPr>
        <w:t>, the DFAT</w:t>
      </w:r>
      <w:r w:rsidR="00AF2E4D">
        <w:rPr>
          <w:lang w:val="en-AU"/>
        </w:rPr>
        <w:t xml:space="preserve"> budget</w:t>
      </w:r>
      <w:r w:rsidR="00902F90">
        <w:rPr>
          <w:lang w:val="en-AU"/>
        </w:rPr>
        <w:t xml:space="preserve"> allocation </w:t>
      </w:r>
      <w:r w:rsidR="00F96AD3">
        <w:rPr>
          <w:lang w:val="en-AU"/>
        </w:rPr>
        <w:t xml:space="preserve">is </w:t>
      </w:r>
      <w:r w:rsidR="00902F90">
        <w:rPr>
          <w:lang w:val="en-AU"/>
        </w:rPr>
        <w:t>reduced, decision</w:t>
      </w:r>
      <w:r w:rsidR="0035135B">
        <w:rPr>
          <w:lang w:val="en-AU"/>
        </w:rPr>
        <w:t>-</w:t>
      </w:r>
      <w:r w:rsidR="00902F90">
        <w:rPr>
          <w:lang w:val="en-AU"/>
        </w:rPr>
        <w:t xml:space="preserve">making regarding where to reduce should rely on the performance of activities. </w:t>
      </w:r>
    </w:p>
    <w:p w14:paraId="013F8C22" w14:textId="77777777" w:rsidR="00902F90" w:rsidRPr="002D5F11" w:rsidRDefault="00902F90" w:rsidP="00C5377B">
      <w:pPr>
        <w:pStyle w:val="Heading1Numbered"/>
        <w:spacing w:before="360"/>
        <w:ind w:left="357" w:hanging="357"/>
      </w:pPr>
      <w:bookmarkStart w:id="264" w:name="_Toc208223966"/>
      <w:bookmarkStart w:id="265" w:name="_Toc232524291"/>
      <w:r w:rsidRPr="001D215C">
        <w:t>Procurement</w:t>
      </w:r>
      <w:r w:rsidRPr="44DF8683">
        <w:t xml:space="preserve"> and Partnering</w:t>
      </w:r>
      <w:bookmarkEnd w:id="264"/>
      <w:bookmarkEnd w:id="265"/>
    </w:p>
    <w:p w14:paraId="7DEF9252" w14:textId="5EDFB36D" w:rsidR="00902F90" w:rsidRDefault="00902F90" w:rsidP="00902F90">
      <w:pPr>
        <w:tabs>
          <w:tab w:val="left" w:pos="284"/>
        </w:tabs>
        <w:suppressAutoHyphens w:val="0"/>
        <w:spacing w:before="0" w:line="280" w:lineRule="exact"/>
        <w:rPr>
          <w:rFonts w:eastAsia="Times New Roman" w:cs="Times New Roman"/>
          <w:szCs w:val="24"/>
          <w:lang w:val="en-AU"/>
        </w:rPr>
      </w:pPr>
      <w:r w:rsidRPr="008C22AF">
        <w:rPr>
          <w:rFonts w:eastAsia="Times New Roman" w:cs="Times New Roman"/>
          <w:szCs w:val="24"/>
          <w:lang w:val="en-AU"/>
        </w:rPr>
        <w:t xml:space="preserve">The </w:t>
      </w:r>
      <w:r>
        <w:rPr>
          <w:rFonts w:eastAsia="Times New Roman" w:cs="Times New Roman"/>
          <w:szCs w:val="24"/>
          <w:lang w:val="en-AU"/>
        </w:rPr>
        <w:t xml:space="preserve">options for procurement and partnering for </w:t>
      </w:r>
      <w:proofErr w:type="spellStart"/>
      <w:r>
        <w:rPr>
          <w:rFonts w:eastAsia="Times New Roman" w:cs="Times New Roman"/>
          <w:szCs w:val="24"/>
          <w:lang w:val="en-AU"/>
        </w:rPr>
        <w:t>Partisipasi</w:t>
      </w:r>
      <w:proofErr w:type="spellEnd"/>
      <w:r>
        <w:rPr>
          <w:rFonts w:eastAsia="Times New Roman" w:cs="Times New Roman"/>
          <w:szCs w:val="24"/>
          <w:lang w:val="en-AU"/>
        </w:rPr>
        <w:t xml:space="preserve"> have been extensively canvassed within DFAT and with external stakeholders. The </w:t>
      </w:r>
      <w:r w:rsidR="008F1740">
        <w:rPr>
          <w:rFonts w:eastAsia="Times New Roman" w:cs="Times New Roman"/>
          <w:szCs w:val="24"/>
          <w:lang w:val="en-AU"/>
        </w:rPr>
        <w:t xml:space="preserve">3 </w:t>
      </w:r>
      <w:r>
        <w:rPr>
          <w:rFonts w:eastAsia="Times New Roman" w:cs="Times New Roman"/>
          <w:szCs w:val="24"/>
          <w:lang w:val="en-AU"/>
        </w:rPr>
        <w:t>main options are as follows:</w:t>
      </w:r>
    </w:p>
    <w:p w14:paraId="6ACD46CE" w14:textId="46F341AD" w:rsidR="00902F90" w:rsidRDefault="00902F90" w:rsidP="00504B06">
      <w:pPr>
        <w:pStyle w:val="ListParagraph"/>
        <w:numPr>
          <w:ilvl w:val="0"/>
          <w:numId w:val="75"/>
        </w:numPr>
        <w:tabs>
          <w:tab w:val="left" w:pos="284"/>
        </w:tabs>
        <w:suppressAutoHyphens w:val="0"/>
        <w:spacing w:before="0" w:line="280" w:lineRule="exact"/>
        <w:rPr>
          <w:rFonts w:eastAsia="Times New Roman" w:cs="Times New Roman"/>
          <w:szCs w:val="24"/>
          <w:lang w:val="en-AU"/>
        </w:rPr>
      </w:pPr>
      <w:r>
        <w:rPr>
          <w:rFonts w:eastAsia="Times New Roman" w:cs="Times New Roman"/>
          <w:szCs w:val="24"/>
          <w:lang w:val="en-AU"/>
        </w:rPr>
        <w:t xml:space="preserve">New dedicated Managing Contractor to support both </w:t>
      </w:r>
      <w:r w:rsidR="000727B0">
        <w:rPr>
          <w:rFonts w:eastAsia="Times New Roman" w:cs="Times New Roman"/>
          <w:szCs w:val="24"/>
          <w:lang w:val="en-AU"/>
        </w:rPr>
        <w:t>G2G</w:t>
      </w:r>
      <w:r>
        <w:rPr>
          <w:rFonts w:eastAsia="Times New Roman" w:cs="Times New Roman"/>
          <w:szCs w:val="24"/>
          <w:lang w:val="en-AU"/>
        </w:rPr>
        <w:t xml:space="preserve"> partnerships and manage grants (like AIPJ3)</w:t>
      </w:r>
    </w:p>
    <w:p w14:paraId="60222B52" w14:textId="7D2B64F5" w:rsidR="00902F90" w:rsidRDefault="00902F90" w:rsidP="00504B06">
      <w:pPr>
        <w:pStyle w:val="ListParagraph"/>
        <w:numPr>
          <w:ilvl w:val="0"/>
          <w:numId w:val="75"/>
        </w:numPr>
        <w:tabs>
          <w:tab w:val="left" w:pos="284"/>
        </w:tabs>
        <w:suppressAutoHyphens w:val="0"/>
        <w:spacing w:before="0" w:line="280" w:lineRule="exact"/>
        <w:rPr>
          <w:rFonts w:eastAsia="Times New Roman" w:cs="Times New Roman"/>
          <w:szCs w:val="24"/>
          <w:lang w:val="en-AU"/>
        </w:rPr>
      </w:pPr>
      <w:r>
        <w:rPr>
          <w:rFonts w:eastAsia="Times New Roman" w:cs="Times New Roman"/>
          <w:szCs w:val="24"/>
          <w:lang w:val="en-AU"/>
        </w:rPr>
        <w:t xml:space="preserve">Direct DFAT management of several grants (expanded version of </w:t>
      </w:r>
      <w:proofErr w:type="spellStart"/>
      <w:r w:rsidRPr="00C5377B">
        <w:rPr>
          <w:rFonts w:eastAsia="Times New Roman" w:cs="Times New Roman"/>
          <w:szCs w:val="24"/>
          <w:lang w:val="en-AU"/>
        </w:rPr>
        <w:t>DemRes</w:t>
      </w:r>
      <w:proofErr w:type="spellEnd"/>
      <w:r>
        <w:rPr>
          <w:rFonts w:eastAsia="Times New Roman" w:cs="Times New Roman"/>
          <w:szCs w:val="24"/>
          <w:lang w:val="en-AU"/>
        </w:rPr>
        <w:t>)</w:t>
      </w:r>
    </w:p>
    <w:p w14:paraId="19E4C494" w14:textId="77777777" w:rsidR="00902F90" w:rsidRPr="00B57CB6" w:rsidRDefault="00902F90" w:rsidP="00504B06">
      <w:pPr>
        <w:pStyle w:val="ListParagraph"/>
        <w:numPr>
          <w:ilvl w:val="0"/>
          <w:numId w:val="75"/>
        </w:numPr>
        <w:tabs>
          <w:tab w:val="left" w:pos="284"/>
        </w:tabs>
        <w:suppressAutoHyphens w:val="0"/>
        <w:spacing w:before="0" w:line="280" w:lineRule="exact"/>
        <w:rPr>
          <w:rFonts w:eastAsia="Times New Roman" w:cs="Times New Roman"/>
          <w:szCs w:val="24"/>
          <w:lang w:val="en-AU"/>
        </w:rPr>
      </w:pPr>
      <w:r>
        <w:rPr>
          <w:rFonts w:eastAsia="Times New Roman" w:cs="Times New Roman"/>
          <w:szCs w:val="24"/>
          <w:lang w:val="en-AU"/>
        </w:rPr>
        <w:t xml:space="preserve">Hybrid model (DFAT manages some activities with support of PSU, plus grant mechanism) – </w:t>
      </w:r>
      <w:r w:rsidRPr="00C5377B">
        <w:rPr>
          <w:rFonts w:eastAsia="Times New Roman" w:cs="Times New Roman"/>
          <w:szCs w:val="24"/>
          <w:lang w:val="en-AU"/>
        </w:rPr>
        <w:t>selected.</w:t>
      </w:r>
    </w:p>
    <w:p w14:paraId="785628CB" w14:textId="7E2BCED2" w:rsidR="00902F90" w:rsidRDefault="00902F90" w:rsidP="00902F90">
      <w:pPr>
        <w:tabs>
          <w:tab w:val="left" w:pos="284"/>
        </w:tabs>
        <w:suppressAutoHyphens w:val="0"/>
        <w:spacing w:before="0" w:line="280" w:lineRule="exact"/>
        <w:rPr>
          <w:rFonts w:eastAsia="Times New Roman" w:cs="Times New Roman"/>
          <w:szCs w:val="24"/>
          <w:lang w:val="en-AU"/>
        </w:rPr>
      </w:pPr>
      <w:r>
        <w:rPr>
          <w:rFonts w:eastAsia="Times New Roman" w:cs="Times New Roman"/>
          <w:szCs w:val="24"/>
          <w:lang w:val="en-AU"/>
        </w:rPr>
        <w:t xml:space="preserve">The first </w:t>
      </w:r>
      <w:r w:rsidR="00A42137">
        <w:rPr>
          <w:rFonts w:eastAsia="Times New Roman" w:cs="Times New Roman"/>
          <w:szCs w:val="24"/>
          <w:lang w:val="en-AU"/>
        </w:rPr>
        <w:t xml:space="preserve">2 </w:t>
      </w:r>
      <w:r>
        <w:rPr>
          <w:rFonts w:eastAsia="Times New Roman" w:cs="Times New Roman"/>
          <w:szCs w:val="24"/>
          <w:lang w:val="en-AU"/>
        </w:rPr>
        <w:t xml:space="preserve">options are not considered suitable for </w:t>
      </w:r>
      <w:r w:rsidR="005C393A">
        <w:rPr>
          <w:rFonts w:eastAsia="Times New Roman" w:cs="Times New Roman"/>
          <w:szCs w:val="24"/>
          <w:lang w:val="en-AU"/>
        </w:rPr>
        <w:t>this Program</w:t>
      </w:r>
      <w:r w:rsidRPr="00581F2A">
        <w:rPr>
          <w:rFonts w:eastAsia="Times New Roman" w:cs="Times New Roman"/>
          <w:szCs w:val="24"/>
          <w:lang w:val="en-AU"/>
        </w:rPr>
        <w:t>.</w:t>
      </w:r>
      <w:r>
        <w:rPr>
          <w:rFonts w:eastAsia="Times New Roman" w:cs="Times New Roman"/>
          <w:szCs w:val="24"/>
          <w:lang w:val="en-AU"/>
        </w:rPr>
        <w:t xml:space="preserve"> The specific delivery mechanism is informed by several factors as outlined in </w:t>
      </w:r>
      <w:r w:rsidR="003E5C41">
        <w:rPr>
          <w:rFonts w:eastAsia="Times New Roman" w:cs="Times New Roman"/>
          <w:b/>
          <w:bCs/>
          <w:szCs w:val="24"/>
          <w:lang w:val="en-AU"/>
        </w:rPr>
        <w:t>section</w:t>
      </w:r>
      <w:r w:rsidR="003E5C41" w:rsidRPr="00B57CB6">
        <w:rPr>
          <w:rFonts w:eastAsia="Times New Roman" w:cs="Times New Roman"/>
          <w:b/>
          <w:bCs/>
          <w:szCs w:val="24"/>
          <w:lang w:val="en-AU"/>
        </w:rPr>
        <w:t xml:space="preserve"> </w:t>
      </w:r>
      <w:r w:rsidRPr="00B57CB6">
        <w:rPr>
          <w:rFonts w:eastAsia="Times New Roman" w:cs="Times New Roman"/>
          <w:b/>
          <w:bCs/>
          <w:szCs w:val="24"/>
          <w:lang w:val="en-AU"/>
        </w:rPr>
        <w:t>4</w:t>
      </w:r>
      <w:r>
        <w:rPr>
          <w:rFonts w:eastAsia="Times New Roman" w:cs="Times New Roman"/>
          <w:szCs w:val="24"/>
          <w:lang w:val="en-AU"/>
        </w:rPr>
        <w:t xml:space="preserve">. For details on the processes for procuring and engaging the Convenor and PSU, </w:t>
      </w:r>
      <w:r w:rsidR="00942C02">
        <w:rPr>
          <w:rFonts w:eastAsia="Times New Roman" w:cs="Times New Roman"/>
          <w:szCs w:val="24"/>
          <w:lang w:val="en-AU"/>
        </w:rPr>
        <w:t xml:space="preserve">as well as their roles, </w:t>
      </w:r>
      <w:r>
        <w:rPr>
          <w:rFonts w:eastAsia="Times New Roman" w:cs="Times New Roman"/>
          <w:szCs w:val="24"/>
          <w:lang w:val="en-AU"/>
        </w:rPr>
        <w:t xml:space="preserve">see </w:t>
      </w:r>
      <w:hyperlink w:anchor="AnnexC" w:history="1">
        <w:r w:rsidR="00B1187E" w:rsidRPr="0051224F">
          <w:rPr>
            <w:rStyle w:val="Hyperlink"/>
            <w:rFonts w:eastAsia="Times New Roman" w:cs="Times New Roman"/>
            <w:b/>
            <w:bCs/>
            <w:szCs w:val="24"/>
            <w:lang w:val="en-AU"/>
          </w:rPr>
          <w:t xml:space="preserve">Annex </w:t>
        </w:r>
        <w:r w:rsidR="00A20E68" w:rsidRPr="0051224F">
          <w:rPr>
            <w:rStyle w:val="Hyperlink"/>
            <w:rFonts w:eastAsia="Times New Roman" w:cs="Times New Roman"/>
            <w:b/>
            <w:bCs/>
            <w:szCs w:val="24"/>
            <w:lang w:val="en-AU"/>
          </w:rPr>
          <w:t>C</w:t>
        </w:r>
      </w:hyperlink>
      <w:r w:rsidR="00942C02" w:rsidRPr="0051224F">
        <w:rPr>
          <w:b/>
          <w:bCs/>
          <w:color w:val="7030A0"/>
        </w:rPr>
        <w:t xml:space="preserve">, </w:t>
      </w:r>
      <w:hyperlink w:anchor="AnnexD" w:history="1">
        <w:r w:rsidR="0051224F" w:rsidRPr="0051224F">
          <w:rPr>
            <w:rStyle w:val="Hyperlink"/>
            <w:rFonts w:cstheme="minorBidi"/>
            <w:b/>
            <w:bCs/>
          </w:rPr>
          <w:t xml:space="preserve">Annex </w:t>
        </w:r>
        <w:r w:rsidR="00942C02" w:rsidRPr="0051224F">
          <w:rPr>
            <w:rStyle w:val="Hyperlink"/>
            <w:rFonts w:cstheme="minorBidi"/>
            <w:b/>
            <w:bCs/>
          </w:rPr>
          <w:t>D</w:t>
        </w:r>
      </w:hyperlink>
      <w:r w:rsidR="002F44B0" w:rsidRPr="0051224F">
        <w:rPr>
          <w:b/>
          <w:bCs/>
          <w:color w:val="7030A0"/>
        </w:rPr>
        <w:t xml:space="preserve">, </w:t>
      </w:r>
      <w:hyperlink w:anchor="AnnexE" w:history="1">
        <w:r w:rsidR="0051224F" w:rsidRPr="0051224F">
          <w:rPr>
            <w:rStyle w:val="Hyperlink"/>
            <w:rFonts w:cstheme="minorBidi"/>
            <w:b/>
            <w:bCs/>
          </w:rPr>
          <w:t xml:space="preserve">Annex </w:t>
        </w:r>
        <w:r w:rsidR="002F44B0" w:rsidRPr="0051224F">
          <w:rPr>
            <w:rStyle w:val="Hyperlink"/>
            <w:rFonts w:cstheme="minorBidi"/>
            <w:b/>
            <w:bCs/>
          </w:rPr>
          <w:t>E</w:t>
        </w:r>
      </w:hyperlink>
      <w:r w:rsidR="002F44B0" w:rsidRPr="0051224F">
        <w:rPr>
          <w:b/>
          <w:bCs/>
          <w:color w:val="7030A0"/>
        </w:rPr>
        <w:t xml:space="preserve"> </w:t>
      </w:r>
      <w:r w:rsidR="002F44B0" w:rsidRPr="006F5D58">
        <w:rPr>
          <w:rFonts w:eastAsia="Times New Roman" w:cs="Times New Roman"/>
          <w:szCs w:val="24"/>
          <w:lang w:val="en-AU"/>
        </w:rPr>
        <w:t xml:space="preserve">and </w:t>
      </w:r>
      <w:hyperlink w:anchor="AnnexG" w:history="1">
        <w:r w:rsidR="0051224F" w:rsidRPr="0051224F">
          <w:rPr>
            <w:rStyle w:val="Hyperlink"/>
            <w:rFonts w:cstheme="minorBidi"/>
            <w:b/>
            <w:bCs/>
          </w:rPr>
          <w:t xml:space="preserve">Annex </w:t>
        </w:r>
        <w:r w:rsidR="002F44B0" w:rsidRPr="0051224F">
          <w:rPr>
            <w:rStyle w:val="Hyperlink"/>
            <w:rFonts w:cstheme="minorBidi"/>
            <w:b/>
            <w:bCs/>
          </w:rPr>
          <w:t>G</w:t>
        </w:r>
      </w:hyperlink>
      <w:r w:rsidR="002F44B0" w:rsidRPr="0051224F">
        <w:rPr>
          <w:b/>
          <w:bCs/>
          <w:color w:val="7030A0"/>
        </w:rPr>
        <w:t>.</w:t>
      </w:r>
      <w:r w:rsidRPr="007118A8">
        <w:rPr>
          <w:rFonts w:eastAsia="Times New Roman" w:cs="Times New Roman"/>
          <w:color w:val="7030A0"/>
          <w:szCs w:val="24"/>
          <w:lang w:val="en-AU"/>
        </w:rPr>
        <w:t xml:space="preserve"> </w:t>
      </w:r>
    </w:p>
    <w:p w14:paraId="1C67FB72" w14:textId="77777777" w:rsidR="00902F90" w:rsidRPr="002D5F11" w:rsidRDefault="00902F90" w:rsidP="00C5377B">
      <w:pPr>
        <w:pStyle w:val="Heading1Numbered"/>
        <w:spacing w:before="360"/>
        <w:ind w:left="357" w:hanging="357"/>
      </w:pPr>
      <w:bookmarkStart w:id="266" w:name="_Toc208223967"/>
      <w:bookmarkStart w:id="267" w:name="_Toc232524292"/>
      <w:r>
        <w:t>Risk Management and Safeguards</w:t>
      </w:r>
      <w:bookmarkEnd w:id="266"/>
      <w:bookmarkEnd w:id="267"/>
    </w:p>
    <w:p w14:paraId="389948A8" w14:textId="0D56CDF7" w:rsidR="00D74C3B" w:rsidRDefault="00902F90" w:rsidP="00D74C3B">
      <w:pPr>
        <w:spacing w:before="0" w:after="160"/>
        <w:rPr>
          <w:rFonts w:eastAsiaTheme="minorEastAsia"/>
          <w:color w:val="44546A"/>
          <w:lang w:val="en-AU"/>
        </w:rPr>
      </w:pPr>
      <w:proofErr w:type="spellStart"/>
      <w:r w:rsidRPr="00C034B4">
        <w:rPr>
          <w:rFonts w:eastAsiaTheme="minorEastAsia"/>
          <w:color w:val="44546A"/>
          <w:lang w:val="en-AU"/>
        </w:rPr>
        <w:t>Partisipasi</w:t>
      </w:r>
      <w:proofErr w:type="spellEnd"/>
      <w:r w:rsidRPr="00C034B4">
        <w:rPr>
          <w:rFonts w:eastAsiaTheme="minorEastAsia"/>
          <w:color w:val="44546A"/>
          <w:lang w:val="en-AU"/>
        </w:rPr>
        <w:t xml:space="preserve"> is an </w:t>
      </w:r>
      <w:r w:rsidR="00591FDA">
        <w:rPr>
          <w:rFonts w:eastAsiaTheme="minorEastAsia"/>
          <w:color w:val="44546A"/>
          <w:lang w:val="en-AU"/>
        </w:rPr>
        <w:t>extension and expansion of a</w:t>
      </w:r>
      <w:r w:rsidR="002D0A0D">
        <w:rPr>
          <w:rFonts w:eastAsiaTheme="minorEastAsia"/>
          <w:color w:val="44546A"/>
          <w:lang w:val="en-AU"/>
        </w:rPr>
        <w:t xml:space="preserve"> pilot</w:t>
      </w:r>
      <w:r w:rsidRPr="00C034B4">
        <w:rPr>
          <w:rFonts w:eastAsiaTheme="minorEastAsia"/>
          <w:color w:val="44546A"/>
          <w:lang w:val="en-AU"/>
        </w:rPr>
        <w:t xml:space="preserve"> program</w:t>
      </w:r>
      <w:r w:rsidR="00591FDA">
        <w:rPr>
          <w:rFonts w:eastAsiaTheme="minorEastAsia"/>
          <w:color w:val="44546A"/>
          <w:lang w:val="en-AU"/>
        </w:rPr>
        <w:t xml:space="preserve"> (</w:t>
      </w:r>
      <w:proofErr w:type="spellStart"/>
      <w:r w:rsidR="00591FDA">
        <w:rPr>
          <w:rFonts w:eastAsiaTheme="minorEastAsia"/>
          <w:color w:val="44546A"/>
          <w:lang w:val="en-AU"/>
        </w:rPr>
        <w:t>DemRes</w:t>
      </w:r>
      <w:proofErr w:type="spellEnd"/>
      <w:r w:rsidR="00591FDA">
        <w:rPr>
          <w:rFonts w:eastAsiaTheme="minorEastAsia"/>
          <w:color w:val="44546A"/>
          <w:lang w:val="en-AU"/>
        </w:rPr>
        <w:t>) and is expected to continue to be somewhat experimental</w:t>
      </w:r>
      <w:r w:rsidRPr="00C034B4">
        <w:rPr>
          <w:rFonts w:eastAsiaTheme="minorEastAsia"/>
          <w:color w:val="44546A"/>
          <w:lang w:val="en-AU"/>
        </w:rPr>
        <w:t xml:space="preserve">, with a modest scale that allows for learning and managed risk. The program will proceed based on a willingness to take calculated risks and learn from failure. </w:t>
      </w:r>
      <w:r w:rsidRPr="0C99E6FE">
        <w:rPr>
          <w:lang w:val="en-AU"/>
        </w:rPr>
        <w:t xml:space="preserve">The design includes a robust risk management framework that recognises the inherent political, fiduciary, and operational risks associated with supporting democratic </w:t>
      </w:r>
      <w:r w:rsidR="00C54CAD">
        <w:rPr>
          <w:lang w:val="en-AU"/>
        </w:rPr>
        <w:t>governance</w:t>
      </w:r>
      <w:r w:rsidR="00C54CAD" w:rsidRPr="0C99E6FE">
        <w:rPr>
          <w:lang w:val="en-AU"/>
        </w:rPr>
        <w:t xml:space="preserve"> </w:t>
      </w:r>
      <w:r w:rsidRPr="0C99E6FE">
        <w:rPr>
          <w:lang w:val="en-AU"/>
        </w:rPr>
        <w:t xml:space="preserve">in a rapidly evolving </w:t>
      </w:r>
      <w:r w:rsidR="002D0A0D">
        <w:rPr>
          <w:lang w:val="en-AU"/>
        </w:rPr>
        <w:t xml:space="preserve">global and </w:t>
      </w:r>
      <w:r w:rsidRPr="0C99E6FE">
        <w:rPr>
          <w:lang w:val="en-AU"/>
        </w:rPr>
        <w:t xml:space="preserve">Indonesian context. Risk management is embedded in program governance, MEL systems, and partner engagement mechanisms, with clear responsibilities for risk </w:t>
      </w:r>
      <w:r w:rsidRPr="00D74C3B">
        <w:rPr>
          <w:rFonts w:ascii="Calibri Light" w:hAnsi="Calibri Light" w:cs="Calibri Light"/>
        </w:rPr>
        <w:t>ownership</w:t>
      </w:r>
      <w:r w:rsidRPr="0C99E6FE">
        <w:rPr>
          <w:lang w:val="en-AU"/>
        </w:rPr>
        <w:t>, oversight and response.</w:t>
      </w:r>
      <w:bookmarkStart w:id="268" w:name="_Toc206151522"/>
      <w:bookmarkStart w:id="269" w:name="_Toc206152449"/>
      <w:bookmarkStart w:id="270" w:name="_Toc206152581"/>
      <w:bookmarkStart w:id="271" w:name="_Toc206152755"/>
      <w:bookmarkStart w:id="272" w:name="_Toc206152937"/>
      <w:bookmarkStart w:id="273" w:name="_Toc206153096"/>
      <w:bookmarkStart w:id="274" w:name="_Toc206153254"/>
      <w:bookmarkStart w:id="275" w:name="_Toc206162143"/>
      <w:bookmarkStart w:id="276" w:name="_Toc206162320"/>
      <w:bookmarkStart w:id="277" w:name="_Toc206162694"/>
      <w:bookmarkStart w:id="278" w:name="_Toc206163756"/>
      <w:bookmarkStart w:id="279" w:name="_Toc206163932"/>
      <w:bookmarkStart w:id="280" w:name="_Toc208223969"/>
      <w:bookmarkStart w:id="281" w:name="_Toc208223970"/>
      <w:bookmarkStart w:id="282" w:name="_Toc208223971"/>
      <w:bookmarkStart w:id="283" w:name="_Toc208223972"/>
      <w:bookmarkStart w:id="284" w:name="_Toc208223973"/>
      <w:bookmarkStart w:id="285" w:name="_Toc208223974"/>
      <w:bookmarkStart w:id="286" w:name="_Toc208223975"/>
      <w:bookmarkStart w:id="287" w:name="_Toc208223976"/>
      <w:bookmarkStart w:id="288" w:name="_Toc20822397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00912CD8">
        <w:rPr>
          <w:rFonts w:eastAsiaTheme="minorEastAsia"/>
          <w:color w:val="44546A"/>
          <w:lang w:val="en-AU"/>
        </w:rPr>
        <w:t xml:space="preserve"> </w:t>
      </w:r>
      <w:r w:rsidRPr="00FB5B81">
        <w:rPr>
          <w:rFonts w:cstheme="minorHAnsi"/>
          <w:szCs w:val="21"/>
          <w:lang w:val="en-AU"/>
        </w:rPr>
        <w:t xml:space="preserve">DFAT is the strategic risk owner for the </w:t>
      </w:r>
      <w:proofErr w:type="spellStart"/>
      <w:r w:rsidRPr="00D84A7F">
        <w:rPr>
          <w:rFonts w:cstheme="minorHAnsi"/>
          <w:iCs/>
          <w:szCs w:val="21"/>
          <w:lang w:val="en-AU"/>
        </w:rPr>
        <w:t>Partisipasi</w:t>
      </w:r>
      <w:proofErr w:type="spellEnd"/>
      <w:r w:rsidRPr="00D52B8E">
        <w:rPr>
          <w:rFonts w:cstheme="minorHAnsi"/>
          <w:i/>
          <w:iCs/>
          <w:szCs w:val="21"/>
          <w:lang w:val="en-AU"/>
        </w:rPr>
        <w:t xml:space="preserve"> </w:t>
      </w:r>
      <w:r w:rsidRPr="00FB5B81">
        <w:rPr>
          <w:rFonts w:cstheme="minorHAnsi"/>
          <w:szCs w:val="21"/>
          <w:lang w:val="en-AU"/>
        </w:rPr>
        <w:t>program</w:t>
      </w:r>
      <w:r w:rsidR="002D0A0D">
        <w:rPr>
          <w:rFonts w:cstheme="minorHAnsi"/>
          <w:szCs w:val="21"/>
          <w:lang w:val="en-AU"/>
        </w:rPr>
        <w:t xml:space="preserve">. </w:t>
      </w:r>
      <w:r w:rsidR="005F3CC1">
        <w:rPr>
          <w:rFonts w:cstheme="minorHAnsi"/>
          <w:szCs w:val="21"/>
          <w:lang w:val="en-AU"/>
        </w:rPr>
        <w:t>T</w:t>
      </w:r>
      <w:r w:rsidRPr="00FB5B81">
        <w:rPr>
          <w:rFonts w:cstheme="minorHAnsi"/>
          <w:szCs w:val="21"/>
          <w:lang w:val="en-AU"/>
        </w:rPr>
        <w:t xml:space="preserve">he </w:t>
      </w:r>
      <w:r w:rsidR="005F3CC1">
        <w:rPr>
          <w:rFonts w:cstheme="minorHAnsi"/>
          <w:szCs w:val="21"/>
          <w:lang w:val="en-AU"/>
        </w:rPr>
        <w:t xml:space="preserve">PSC </w:t>
      </w:r>
      <w:r w:rsidRPr="00FB5B81">
        <w:rPr>
          <w:rFonts w:cstheme="minorHAnsi"/>
          <w:szCs w:val="21"/>
          <w:lang w:val="en-AU"/>
        </w:rPr>
        <w:t xml:space="preserve">Minister Counsellor </w:t>
      </w:r>
      <w:r w:rsidRPr="1B0DD9B8">
        <w:rPr>
          <w:szCs w:val="21"/>
          <w:lang w:val="en-AU"/>
        </w:rPr>
        <w:t>will oversee the risks of our engagement in the sector</w:t>
      </w:r>
      <w:r w:rsidR="00044DCE">
        <w:rPr>
          <w:szCs w:val="21"/>
          <w:lang w:val="en-AU"/>
        </w:rPr>
        <w:t>,</w:t>
      </w:r>
      <w:r w:rsidRPr="1B0DD9B8">
        <w:rPr>
          <w:szCs w:val="21"/>
          <w:lang w:val="en-AU"/>
        </w:rPr>
        <w:t xml:space="preserve"> while the Political Counsellor and First Secretary will be </w:t>
      </w:r>
      <w:r w:rsidRPr="539C6410">
        <w:rPr>
          <w:szCs w:val="21"/>
          <w:lang w:val="en-AU"/>
        </w:rPr>
        <w:t>responsible for program</w:t>
      </w:r>
      <w:r w:rsidR="003D5AB7">
        <w:rPr>
          <w:szCs w:val="21"/>
          <w:lang w:val="en-AU"/>
        </w:rPr>
        <w:t>-</w:t>
      </w:r>
      <w:r w:rsidRPr="539C6410">
        <w:rPr>
          <w:szCs w:val="21"/>
          <w:lang w:val="en-AU"/>
        </w:rPr>
        <w:t>level risks.</w:t>
      </w:r>
      <w:r w:rsidRPr="787EF157">
        <w:rPr>
          <w:szCs w:val="21"/>
          <w:lang w:val="en-AU"/>
        </w:rPr>
        <w:t xml:space="preserve"> </w:t>
      </w:r>
    </w:p>
    <w:p w14:paraId="517C3AFB" w14:textId="54ECEBD9" w:rsidR="00902F90" w:rsidRPr="00D74C3B" w:rsidRDefault="00902F90" w:rsidP="00D74C3B">
      <w:pPr>
        <w:spacing w:before="0" w:after="160"/>
        <w:rPr>
          <w:rFonts w:eastAsiaTheme="minorEastAsia"/>
          <w:color w:val="44546A"/>
          <w:lang w:val="en-AU"/>
        </w:rPr>
      </w:pPr>
      <w:r w:rsidRPr="49A19B6B">
        <w:rPr>
          <w:szCs w:val="21"/>
          <w:lang w:val="en-AU"/>
        </w:rPr>
        <w:t>The PSU will compile</w:t>
      </w:r>
      <w:r w:rsidRPr="49A19B6B">
        <w:rPr>
          <w:szCs w:val="21"/>
        </w:rPr>
        <w:t xml:space="preserve"> a live, evidence-</w:t>
      </w:r>
      <w:r w:rsidR="00D74C3B">
        <w:rPr>
          <w:szCs w:val="21"/>
        </w:rPr>
        <w:t>based</w:t>
      </w:r>
      <w:r w:rsidRPr="49A19B6B">
        <w:rPr>
          <w:szCs w:val="21"/>
        </w:rPr>
        <w:t xml:space="preserve"> </w:t>
      </w:r>
      <w:r>
        <w:rPr>
          <w:szCs w:val="21"/>
        </w:rPr>
        <w:t xml:space="preserve">and whole-of-program </w:t>
      </w:r>
      <w:r w:rsidRPr="49A19B6B">
        <w:rPr>
          <w:szCs w:val="21"/>
        </w:rPr>
        <w:t xml:space="preserve">Risk Register </w:t>
      </w:r>
      <w:r>
        <w:rPr>
          <w:szCs w:val="21"/>
        </w:rPr>
        <w:t>that</w:t>
      </w:r>
      <w:r w:rsidRPr="49A19B6B">
        <w:rPr>
          <w:szCs w:val="21"/>
        </w:rPr>
        <w:t xml:space="preserve"> </w:t>
      </w:r>
      <w:r w:rsidR="00CB7859">
        <w:rPr>
          <w:szCs w:val="21"/>
        </w:rPr>
        <w:t xml:space="preserve">builds on the design, </w:t>
      </w:r>
      <w:r w:rsidRPr="49A19B6B">
        <w:rPr>
          <w:szCs w:val="21"/>
        </w:rPr>
        <w:t xml:space="preserve">meets DFAT standards, </w:t>
      </w:r>
      <w:r w:rsidR="005F3CC1">
        <w:rPr>
          <w:szCs w:val="21"/>
        </w:rPr>
        <w:t xml:space="preserve">is </w:t>
      </w:r>
      <w:r w:rsidRPr="49A19B6B">
        <w:rPr>
          <w:szCs w:val="21"/>
        </w:rPr>
        <w:t>reviewed with DFAT at least quarterly</w:t>
      </w:r>
      <w:r w:rsidR="00090F25">
        <w:rPr>
          <w:szCs w:val="21"/>
        </w:rPr>
        <w:t>,</w:t>
      </w:r>
      <w:r w:rsidRPr="49A19B6B">
        <w:rPr>
          <w:szCs w:val="21"/>
        </w:rPr>
        <w:t xml:space="preserve"> and updated through </w:t>
      </w:r>
      <w:r w:rsidR="00272393">
        <w:rPr>
          <w:szCs w:val="21"/>
        </w:rPr>
        <w:t xml:space="preserve">six-monthly </w:t>
      </w:r>
      <w:r w:rsidR="00B80567">
        <w:rPr>
          <w:szCs w:val="21"/>
        </w:rPr>
        <w:t>MEL</w:t>
      </w:r>
      <w:r w:rsidRPr="49A19B6B">
        <w:rPr>
          <w:szCs w:val="21"/>
        </w:rPr>
        <w:t xml:space="preserve"> cycles drawing on MEL data, stakeholder feedback</w:t>
      </w:r>
      <w:r w:rsidR="00090F25">
        <w:rPr>
          <w:szCs w:val="21"/>
        </w:rPr>
        <w:t>,</w:t>
      </w:r>
      <w:r w:rsidRPr="49A19B6B">
        <w:rPr>
          <w:szCs w:val="21"/>
        </w:rPr>
        <w:t xml:space="preserve"> and operational lessons. The Convenor will manage</w:t>
      </w:r>
      <w:r>
        <w:rPr>
          <w:szCs w:val="21"/>
        </w:rPr>
        <w:t xml:space="preserve"> </w:t>
      </w:r>
      <w:r w:rsidRPr="49A19B6B">
        <w:rPr>
          <w:szCs w:val="21"/>
        </w:rPr>
        <w:t xml:space="preserve">Component </w:t>
      </w:r>
      <w:r w:rsidR="008F1740">
        <w:rPr>
          <w:szCs w:val="21"/>
        </w:rPr>
        <w:t>2</w:t>
      </w:r>
      <w:r w:rsidR="008F1740" w:rsidRPr="49A19B6B">
        <w:rPr>
          <w:szCs w:val="21"/>
        </w:rPr>
        <w:t xml:space="preserve"> </w:t>
      </w:r>
      <w:r>
        <w:rPr>
          <w:szCs w:val="21"/>
        </w:rPr>
        <w:t>risks</w:t>
      </w:r>
      <w:r w:rsidRPr="49A19B6B">
        <w:rPr>
          <w:szCs w:val="21"/>
        </w:rPr>
        <w:t>, monitor</w:t>
      </w:r>
      <w:r>
        <w:rPr>
          <w:szCs w:val="21"/>
        </w:rPr>
        <w:t>ing</w:t>
      </w:r>
      <w:r w:rsidRPr="49A19B6B">
        <w:rPr>
          <w:szCs w:val="21"/>
        </w:rPr>
        <w:t xml:space="preserve"> and synthesis</w:t>
      </w:r>
      <w:r>
        <w:rPr>
          <w:szCs w:val="21"/>
        </w:rPr>
        <w:t>ing</w:t>
      </w:r>
      <w:r w:rsidRPr="49A19B6B">
        <w:rPr>
          <w:szCs w:val="21"/>
        </w:rPr>
        <w:t xml:space="preserve"> risks identified by Core </w:t>
      </w:r>
      <w:r w:rsidRPr="00D74C3B">
        <w:rPr>
          <w:rFonts w:ascii="Calibri Light" w:hAnsi="Calibri Light" w:cs="Calibri Light"/>
        </w:rPr>
        <w:t>Group</w:t>
      </w:r>
      <w:r w:rsidRPr="49A19B6B">
        <w:rPr>
          <w:szCs w:val="21"/>
        </w:rPr>
        <w:t xml:space="preserve"> </w:t>
      </w:r>
      <w:r w:rsidR="00DC1A37">
        <w:rPr>
          <w:szCs w:val="21"/>
        </w:rPr>
        <w:t>P</w:t>
      </w:r>
      <w:r w:rsidRPr="49A19B6B">
        <w:rPr>
          <w:szCs w:val="21"/>
        </w:rPr>
        <w:t xml:space="preserve">artners, and </w:t>
      </w:r>
      <w:r>
        <w:rPr>
          <w:szCs w:val="21"/>
        </w:rPr>
        <w:t>submitting for</w:t>
      </w:r>
      <w:r w:rsidRPr="49A19B6B">
        <w:rPr>
          <w:szCs w:val="21"/>
        </w:rPr>
        <w:t xml:space="preserve"> PSU to collate </w:t>
      </w:r>
      <w:r>
        <w:rPr>
          <w:szCs w:val="21"/>
        </w:rPr>
        <w:t xml:space="preserve">with Component </w:t>
      </w:r>
      <w:r w:rsidR="008F1740">
        <w:rPr>
          <w:szCs w:val="21"/>
        </w:rPr>
        <w:t xml:space="preserve">1 </w:t>
      </w:r>
      <w:r>
        <w:rPr>
          <w:szCs w:val="21"/>
        </w:rPr>
        <w:t>risks</w:t>
      </w:r>
      <w:r w:rsidRPr="49A19B6B">
        <w:rPr>
          <w:szCs w:val="21"/>
        </w:rPr>
        <w:t xml:space="preserve">. Risk will be a standing agenda item for regular meetings of the PSU and the Core Group with DFAT. </w:t>
      </w:r>
      <w:r w:rsidR="008F1740">
        <w:rPr>
          <w:szCs w:val="21"/>
        </w:rPr>
        <w:t>Both</w:t>
      </w:r>
      <w:r w:rsidRPr="49A19B6B">
        <w:rPr>
          <w:szCs w:val="21"/>
        </w:rPr>
        <w:t xml:space="preserve"> the PSU and Conven</w:t>
      </w:r>
      <w:r>
        <w:rPr>
          <w:szCs w:val="21"/>
        </w:rPr>
        <w:t>o</w:t>
      </w:r>
      <w:r w:rsidRPr="49A19B6B">
        <w:rPr>
          <w:szCs w:val="21"/>
        </w:rPr>
        <w:t>r will be assigned responsibility to monitor and report high risks to DFAT as they arise on an ad hoc basis. Quarterly risk reports will be submitted to DFAT</w:t>
      </w:r>
      <w:r>
        <w:rPr>
          <w:szCs w:val="21"/>
        </w:rPr>
        <w:t>’s Jakarta</w:t>
      </w:r>
      <w:r w:rsidRPr="49A19B6B">
        <w:rPr>
          <w:szCs w:val="21"/>
        </w:rPr>
        <w:t xml:space="preserve"> Post by the PSU, identifying any emerging risks, assessing treatment effectiveness, and recommending actions as required. DFAT will in turn update the </w:t>
      </w:r>
      <w:proofErr w:type="spellStart"/>
      <w:r w:rsidRPr="49A19B6B">
        <w:rPr>
          <w:szCs w:val="21"/>
        </w:rPr>
        <w:t>AidWorks</w:t>
      </w:r>
      <w:proofErr w:type="spellEnd"/>
      <w:r w:rsidRPr="49A19B6B">
        <w:rPr>
          <w:szCs w:val="21"/>
        </w:rPr>
        <w:t xml:space="preserve"> risk profile. </w:t>
      </w:r>
      <w:r w:rsidRPr="004C083F">
        <w:rPr>
          <w:rFonts w:cstheme="minorHAnsi"/>
          <w:szCs w:val="21"/>
          <w:lang w:val="en-AU"/>
        </w:rPr>
        <w:t xml:space="preserve">The design has identified key thematic risks that require proactive management to </w:t>
      </w:r>
      <w:r w:rsidR="00EB0B8C">
        <w:rPr>
          <w:rFonts w:cstheme="minorHAnsi"/>
          <w:szCs w:val="21"/>
          <w:lang w:val="en-AU"/>
        </w:rPr>
        <w:t>ensure the</w:t>
      </w:r>
      <w:r w:rsidR="00EB0B8C" w:rsidRPr="004C083F">
        <w:rPr>
          <w:rFonts w:cstheme="minorHAnsi"/>
          <w:szCs w:val="21"/>
          <w:lang w:val="en-AU"/>
        </w:rPr>
        <w:t xml:space="preserve"> </w:t>
      </w:r>
      <w:r w:rsidRPr="004C083F">
        <w:rPr>
          <w:rFonts w:cstheme="minorHAnsi"/>
          <w:szCs w:val="21"/>
          <w:lang w:val="en-AU"/>
        </w:rPr>
        <w:t xml:space="preserve">program </w:t>
      </w:r>
      <w:r w:rsidR="00EB0B8C">
        <w:rPr>
          <w:rFonts w:cstheme="minorHAnsi"/>
          <w:szCs w:val="21"/>
          <w:lang w:val="en-AU"/>
        </w:rPr>
        <w:t xml:space="preserve">achieves its </w:t>
      </w:r>
      <w:r w:rsidRPr="004C083F">
        <w:rPr>
          <w:rFonts w:cstheme="minorHAnsi"/>
          <w:szCs w:val="21"/>
          <w:lang w:val="en-AU"/>
        </w:rPr>
        <w:t>objectives. Each of these are discussed in turn below</w:t>
      </w:r>
      <w:r>
        <w:rPr>
          <w:szCs w:val="21"/>
          <w:lang w:val="en-AU"/>
        </w:rPr>
        <w:t>.</w:t>
      </w:r>
    </w:p>
    <w:p w14:paraId="25EF9D68" w14:textId="77777777" w:rsidR="00902F90" w:rsidRPr="009E41AE" w:rsidRDefault="00902F90" w:rsidP="00847DAB">
      <w:pPr>
        <w:pStyle w:val="Heading2Numbered"/>
      </w:pPr>
      <w:bookmarkStart w:id="289" w:name="_Toc232524293"/>
      <w:r w:rsidRPr="009E41AE">
        <w:lastRenderedPageBreak/>
        <w:t>Key Risks and Mitigations</w:t>
      </w:r>
      <w:bookmarkEnd w:id="289"/>
    </w:p>
    <w:p w14:paraId="747659AC" w14:textId="787F57F9" w:rsidR="00902F90" w:rsidRPr="002170BD" w:rsidRDefault="005048E9" w:rsidP="00902F90">
      <w:pPr>
        <w:tabs>
          <w:tab w:val="left" w:pos="284"/>
        </w:tabs>
        <w:suppressAutoHyphens w:val="0"/>
        <w:spacing w:before="0" w:line="280" w:lineRule="exact"/>
        <w:rPr>
          <w:szCs w:val="21"/>
          <w:lang w:val="en-AU"/>
        </w:rPr>
      </w:pPr>
      <w:r>
        <w:rPr>
          <w:szCs w:val="21"/>
          <w:lang w:val="en-AU"/>
        </w:rPr>
        <w:t>M</w:t>
      </w:r>
      <w:r w:rsidR="001049A5" w:rsidRPr="002170BD">
        <w:rPr>
          <w:szCs w:val="21"/>
          <w:lang w:val="en-AU"/>
        </w:rPr>
        <w:t>isperceptions may arise about the program’s objectives</w:t>
      </w:r>
      <w:r w:rsidR="003C299B" w:rsidRPr="002170BD">
        <w:rPr>
          <w:szCs w:val="21"/>
          <w:lang w:val="en-AU"/>
        </w:rPr>
        <w:t xml:space="preserve"> or approach</w:t>
      </w:r>
      <w:r w:rsidR="008C5176" w:rsidRPr="002170BD">
        <w:rPr>
          <w:szCs w:val="21"/>
          <w:lang w:val="en-AU"/>
        </w:rPr>
        <w:t xml:space="preserve">. </w:t>
      </w:r>
      <w:r w:rsidR="00902F90" w:rsidRPr="002170BD">
        <w:rPr>
          <w:szCs w:val="21"/>
          <w:lang w:val="en-AU"/>
        </w:rPr>
        <w:t>To mitigate this, the program has been designed to</w:t>
      </w:r>
      <w:r w:rsidR="009F13A3" w:rsidRPr="002170BD">
        <w:rPr>
          <w:szCs w:val="21"/>
          <w:lang w:val="en-AU"/>
        </w:rPr>
        <w:t xml:space="preserve"> be </w:t>
      </w:r>
      <w:proofErr w:type="gramStart"/>
      <w:r w:rsidR="009F13A3" w:rsidRPr="002170BD">
        <w:rPr>
          <w:szCs w:val="21"/>
          <w:lang w:val="en-AU"/>
        </w:rPr>
        <w:t>locally-led</w:t>
      </w:r>
      <w:proofErr w:type="gramEnd"/>
      <w:r w:rsidR="009F13A3" w:rsidRPr="002170BD">
        <w:rPr>
          <w:szCs w:val="21"/>
          <w:lang w:val="en-AU"/>
        </w:rPr>
        <w:t xml:space="preserve"> with regular consultation</w:t>
      </w:r>
      <w:r w:rsidR="0013109C" w:rsidRPr="002170BD">
        <w:rPr>
          <w:szCs w:val="21"/>
          <w:lang w:val="en-AU"/>
        </w:rPr>
        <w:t xml:space="preserve"> with</w:t>
      </w:r>
      <w:r w:rsidR="009F13A3" w:rsidRPr="002170BD">
        <w:rPr>
          <w:szCs w:val="21"/>
          <w:lang w:val="en-AU"/>
        </w:rPr>
        <w:t xml:space="preserve"> </w:t>
      </w:r>
      <w:r w:rsidR="0013109C" w:rsidRPr="002170BD">
        <w:rPr>
          <w:szCs w:val="21"/>
          <w:lang w:val="en-AU"/>
        </w:rPr>
        <w:t xml:space="preserve">and updates to </w:t>
      </w:r>
      <w:r w:rsidR="009F13A3" w:rsidRPr="002170BD">
        <w:rPr>
          <w:szCs w:val="21"/>
          <w:lang w:val="en-AU"/>
        </w:rPr>
        <w:t xml:space="preserve">both </w:t>
      </w:r>
      <w:proofErr w:type="spellStart"/>
      <w:r w:rsidR="009F13A3" w:rsidRPr="002170BD">
        <w:rPr>
          <w:szCs w:val="21"/>
          <w:lang w:val="en-AU"/>
        </w:rPr>
        <w:t>GoI</w:t>
      </w:r>
      <w:proofErr w:type="spellEnd"/>
      <w:r w:rsidR="009F13A3" w:rsidRPr="002170BD">
        <w:rPr>
          <w:szCs w:val="21"/>
          <w:lang w:val="en-AU"/>
        </w:rPr>
        <w:t xml:space="preserve"> and </w:t>
      </w:r>
      <w:proofErr w:type="spellStart"/>
      <w:r w:rsidR="009F13A3" w:rsidRPr="002170BD">
        <w:rPr>
          <w:szCs w:val="21"/>
          <w:lang w:val="en-AU"/>
        </w:rPr>
        <w:t>GoA</w:t>
      </w:r>
      <w:proofErr w:type="spellEnd"/>
      <w:r w:rsidR="009F13A3" w:rsidRPr="002170BD">
        <w:rPr>
          <w:szCs w:val="21"/>
          <w:lang w:val="en-AU"/>
        </w:rPr>
        <w:t xml:space="preserve"> representatives.</w:t>
      </w:r>
      <w:r w:rsidR="00902F90" w:rsidRPr="002170BD">
        <w:rPr>
          <w:szCs w:val="21"/>
          <w:lang w:val="en-AU"/>
        </w:rPr>
        <w:t xml:space="preserve"> </w:t>
      </w:r>
      <w:r w:rsidR="00DC0F95" w:rsidRPr="002170BD">
        <w:rPr>
          <w:szCs w:val="21"/>
          <w:lang w:val="en-AU"/>
        </w:rPr>
        <w:t>R</w:t>
      </w:r>
      <w:r w:rsidR="00902F90" w:rsidRPr="002170BD">
        <w:rPr>
          <w:szCs w:val="21"/>
          <w:lang w:val="en-AU"/>
        </w:rPr>
        <w:t xml:space="preserve">elevant line ministries </w:t>
      </w:r>
      <w:r w:rsidR="00DC0F95" w:rsidRPr="002170BD">
        <w:rPr>
          <w:szCs w:val="21"/>
          <w:lang w:val="en-AU"/>
        </w:rPr>
        <w:t xml:space="preserve">will be involved </w:t>
      </w:r>
      <w:r w:rsidR="00902F90" w:rsidRPr="002170BD">
        <w:rPr>
          <w:szCs w:val="21"/>
          <w:lang w:val="en-AU"/>
        </w:rPr>
        <w:t xml:space="preserve">as needed to ensure activities are aligned with government </w:t>
      </w:r>
      <w:r w:rsidR="00902F90" w:rsidRPr="002170BD">
        <w:rPr>
          <w:rFonts w:cstheme="minorHAnsi"/>
          <w:szCs w:val="21"/>
          <w:lang w:val="en-AU"/>
        </w:rPr>
        <w:t xml:space="preserve">priorities </w:t>
      </w:r>
      <w:r w:rsidR="00902F90" w:rsidRPr="002170BD">
        <w:rPr>
          <w:szCs w:val="21"/>
          <w:lang w:val="en-AU"/>
        </w:rPr>
        <w:t xml:space="preserve">and not liable to be construed as partisan. </w:t>
      </w:r>
      <w:r w:rsidR="00BB5E9F" w:rsidRPr="002170BD">
        <w:rPr>
          <w:szCs w:val="21"/>
          <w:lang w:val="en-AU"/>
        </w:rPr>
        <w:t xml:space="preserve">The program’s communications strategy will also </w:t>
      </w:r>
      <w:r w:rsidR="003B05B8" w:rsidRPr="002170BD">
        <w:rPr>
          <w:szCs w:val="21"/>
          <w:lang w:val="en-AU"/>
        </w:rPr>
        <w:t>support transparency about the program with the public</w:t>
      </w:r>
      <w:r w:rsidR="00BB5E9F" w:rsidRPr="002170BD">
        <w:rPr>
          <w:szCs w:val="21"/>
          <w:lang w:val="en-AU"/>
        </w:rPr>
        <w:t xml:space="preserve">. </w:t>
      </w:r>
    </w:p>
    <w:p w14:paraId="37AC4AE9" w14:textId="1FCEFBDB" w:rsidR="00902F90" w:rsidRPr="002170BD" w:rsidRDefault="00902F90" w:rsidP="00902F90">
      <w:pPr>
        <w:tabs>
          <w:tab w:val="left" w:pos="284"/>
        </w:tabs>
        <w:suppressAutoHyphens w:val="0"/>
        <w:spacing w:before="0" w:line="280" w:lineRule="exact"/>
        <w:rPr>
          <w:szCs w:val="21"/>
          <w:lang w:val="en-AU"/>
        </w:rPr>
      </w:pPr>
      <w:r w:rsidRPr="002170BD">
        <w:rPr>
          <w:szCs w:val="21"/>
          <w:lang w:val="en-AU"/>
        </w:rPr>
        <w:t xml:space="preserve">Management of </w:t>
      </w:r>
      <w:proofErr w:type="spellStart"/>
      <w:r w:rsidRPr="002170BD">
        <w:rPr>
          <w:iCs/>
          <w:szCs w:val="21"/>
          <w:lang w:val="en-AU"/>
        </w:rPr>
        <w:t>Partisipasi’s</w:t>
      </w:r>
      <w:proofErr w:type="spellEnd"/>
      <w:r w:rsidRPr="002170BD">
        <w:rPr>
          <w:szCs w:val="21"/>
          <w:lang w:val="en-AU"/>
        </w:rPr>
        <w:t xml:space="preserve"> complex, </w:t>
      </w:r>
      <w:r w:rsidR="003D5AB7" w:rsidRPr="002170BD">
        <w:rPr>
          <w:szCs w:val="21"/>
          <w:lang w:val="en-AU"/>
        </w:rPr>
        <w:t>2</w:t>
      </w:r>
      <w:r w:rsidRPr="002170BD">
        <w:rPr>
          <w:szCs w:val="21"/>
          <w:lang w:val="en-AU"/>
        </w:rPr>
        <w:t xml:space="preserve">-component program will require sustained coordination across workstreams and stakeholders, which may at times place considerable demands on DFAT staff. To mitigate this, this design makes provisions for the establishment of an embedded support function within the PSU to provide day-to-day coordination, synthesis of information, </w:t>
      </w:r>
      <w:r w:rsidR="0009774A" w:rsidRPr="002170BD">
        <w:rPr>
          <w:szCs w:val="21"/>
          <w:lang w:val="en-AU"/>
        </w:rPr>
        <w:t xml:space="preserve">a consolidated </w:t>
      </w:r>
      <w:r w:rsidR="00792BF0" w:rsidRPr="002170BD">
        <w:rPr>
          <w:szCs w:val="21"/>
          <w:lang w:val="en-AU"/>
        </w:rPr>
        <w:t>W</w:t>
      </w:r>
      <w:r w:rsidR="0009774A" w:rsidRPr="002170BD">
        <w:rPr>
          <w:szCs w:val="21"/>
          <w:lang w:val="en-AU"/>
        </w:rPr>
        <w:t xml:space="preserve">ork </w:t>
      </w:r>
      <w:r w:rsidR="00792BF0" w:rsidRPr="002170BD">
        <w:rPr>
          <w:szCs w:val="21"/>
          <w:lang w:val="en-AU"/>
        </w:rPr>
        <w:t>P</w:t>
      </w:r>
      <w:r w:rsidR="0009774A" w:rsidRPr="002170BD">
        <w:rPr>
          <w:szCs w:val="21"/>
          <w:lang w:val="en-AU"/>
        </w:rPr>
        <w:t xml:space="preserve">lan </w:t>
      </w:r>
      <w:r w:rsidR="008E3240" w:rsidRPr="002170BD">
        <w:rPr>
          <w:szCs w:val="21"/>
          <w:lang w:val="en-AU"/>
        </w:rPr>
        <w:t>and</w:t>
      </w:r>
      <w:r w:rsidRPr="002170BD">
        <w:rPr>
          <w:szCs w:val="21"/>
          <w:lang w:val="en-AU"/>
        </w:rPr>
        <w:t xml:space="preserve"> </w:t>
      </w:r>
      <w:r w:rsidR="00792BF0" w:rsidRPr="002170BD">
        <w:rPr>
          <w:szCs w:val="21"/>
          <w:lang w:val="en-AU"/>
        </w:rPr>
        <w:t>Risk Register</w:t>
      </w:r>
      <w:r w:rsidRPr="002170BD">
        <w:rPr>
          <w:szCs w:val="21"/>
          <w:lang w:val="en-AU"/>
        </w:rPr>
        <w:t xml:space="preserve">, and management of routine administrative requirements. In addition, the MEL Hub </w:t>
      </w:r>
      <w:r w:rsidR="00792BF0" w:rsidRPr="002170BD">
        <w:rPr>
          <w:szCs w:val="21"/>
          <w:lang w:val="en-AU"/>
        </w:rPr>
        <w:t xml:space="preserve">within the Convenor </w:t>
      </w:r>
      <w:r w:rsidRPr="002170BD">
        <w:rPr>
          <w:szCs w:val="21"/>
          <w:lang w:val="en-AU"/>
        </w:rPr>
        <w:t xml:space="preserve">will streamline reporting by consolidating monitoring and risk data from </w:t>
      </w:r>
      <w:r w:rsidR="00812932" w:rsidRPr="002170BD">
        <w:rPr>
          <w:szCs w:val="21"/>
          <w:lang w:val="en-AU"/>
        </w:rPr>
        <w:t>C</w:t>
      </w:r>
      <w:r w:rsidRPr="002170BD">
        <w:rPr>
          <w:szCs w:val="21"/>
          <w:lang w:val="en-AU"/>
        </w:rPr>
        <w:t xml:space="preserve">omponents </w:t>
      </w:r>
      <w:r w:rsidR="00A42137" w:rsidRPr="002170BD">
        <w:rPr>
          <w:szCs w:val="21"/>
          <w:lang w:val="en-AU"/>
        </w:rPr>
        <w:t xml:space="preserve">1 </w:t>
      </w:r>
      <w:r w:rsidRPr="002170BD">
        <w:rPr>
          <w:szCs w:val="21"/>
          <w:lang w:val="en-AU"/>
        </w:rPr>
        <w:t xml:space="preserve">and </w:t>
      </w:r>
      <w:r w:rsidR="00A42137" w:rsidRPr="002170BD">
        <w:rPr>
          <w:szCs w:val="21"/>
          <w:lang w:val="en-AU"/>
        </w:rPr>
        <w:t xml:space="preserve">2 </w:t>
      </w:r>
      <w:r w:rsidRPr="002170BD">
        <w:rPr>
          <w:szCs w:val="21"/>
          <w:lang w:val="en-AU"/>
        </w:rPr>
        <w:t xml:space="preserve">and developing user-friendly </w:t>
      </w:r>
      <w:r w:rsidR="0038561C">
        <w:rPr>
          <w:szCs w:val="21"/>
          <w:lang w:val="en-AU"/>
        </w:rPr>
        <w:t xml:space="preserve">reporting </w:t>
      </w:r>
      <w:r w:rsidRPr="002170BD">
        <w:rPr>
          <w:szCs w:val="21"/>
          <w:lang w:val="en-AU"/>
        </w:rPr>
        <w:t>formats.</w:t>
      </w:r>
    </w:p>
    <w:p w14:paraId="67C297F2" w14:textId="1841311A" w:rsidR="00902F90" w:rsidRPr="002170BD" w:rsidRDefault="00902F90" w:rsidP="00902F90">
      <w:pPr>
        <w:tabs>
          <w:tab w:val="left" w:pos="284"/>
        </w:tabs>
        <w:suppressAutoHyphens w:val="0"/>
        <w:spacing w:before="0" w:line="280" w:lineRule="exact"/>
        <w:rPr>
          <w:rFonts w:cstheme="minorHAnsi"/>
          <w:szCs w:val="21"/>
          <w:lang w:val="en-AU"/>
        </w:rPr>
      </w:pPr>
      <w:r w:rsidRPr="002170BD">
        <w:rPr>
          <w:rFonts w:cstheme="minorHAnsi"/>
          <w:szCs w:val="21"/>
          <w:lang w:val="en-AU"/>
        </w:rPr>
        <w:t xml:space="preserve">The complexity of working through multiple partners and funding channels could increase the risk of weak accountability, inconsistent governance, or misuse of resources. Potential vulnerabilities include inadequate financial controls at the </w:t>
      </w:r>
      <w:r w:rsidR="00C14D09" w:rsidRPr="002170BD">
        <w:rPr>
          <w:rFonts w:cstheme="minorHAnsi"/>
          <w:szCs w:val="21"/>
          <w:lang w:val="en-AU"/>
        </w:rPr>
        <w:t xml:space="preserve">CSP </w:t>
      </w:r>
      <w:r w:rsidRPr="002170BD">
        <w:rPr>
          <w:rFonts w:cstheme="minorHAnsi"/>
          <w:szCs w:val="21"/>
          <w:lang w:val="en-AU"/>
        </w:rPr>
        <w:t xml:space="preserve">partner level, mismanagement of funds, conflicts of interest, or procurement irregularities; all risks that may be heightened for smaller organisations operating in resource-constrained environments. The design of </w:t>
      </w:r>
      <w:proofErr w:type="spellStart"/>
      <w:r w:rsidRPr="002170BD">
        <w:rPr>
          <w:rFonts w:cstheme="minorHAnsi"/>
          <w:iCs/>
          <w:szCs w:val="21"/>
          <w:lang w:val="en-AU"/>
        </w:rPr>
        <w:t>Partisipasi</w:t>
      </w:r>
      <w:proofErr w:type="spellEnd"/>
      <w:r w:rsidRPr="002170BD">
        <w:rPr>
          <w:rFonts w:cstheme="minorHAnsi"/>
          <w:i/>
          <w:iCs/>
          <w:szCs w:val="21"/>
          <w:lang w:val="en-AU"/>
        </w:rPr>
        <w:t xml:space="preserve"> </w:t>
      </w:r>
      <w:r w:rsidRPr="002170BD">
        <w:rPr>
          <w:rFonts w:cstheme="minorHAnsi"/>
          <w:szCs w:val="21"/>
          <w:lang w:val="en-AU"/>
        </w:rPr>
        <w:t xml:space="preserve">mitigates these risks through the application of rigorous and proportionate due diligence consistent with DFAT's best practice standards across all phases of </w:t>
      </w:r>
      <w:proofErr w:type="spellStart"/>
      <w:r w:rsidRPr="002170BD">
        <w:rPr>
          <w:rFonts w:cstheme="minorHAnsi"/>
          <w:szCs w:val="21"/>
          <w:lang w:val="en-AU"/>
        </w:rPr>
        <w:t>Partisipasi's</w:t>
      </w:r>
      <w:proofErr w:type="spellEnd"/>
      <w:r w:rsidRPr="002170BD">
        <w:rPr>
          <w:rFonts w:cstheme="minorHAnsi"/>
          <w:szCs w:val="21"/>
          <w:lang w:val="en-AU"/>
        </w:rPr>
        <w:t xml:space="preserve"> lifecycle. </w:t>
      </w:r>
      <w:r w:rsidR="00591FDA" w:rsidRPr="002170BD">
        <w:rPr>
          <w:rFonts w:cstheme="minorHAnsi"/>
          <w:szCs w:val="21"/>
          <w:lang w:val="en-AU"/>
        </w:rPr>
        <w:t>The budget includes funds for the Convenor to employ a due diligence specialist to provide both upfront and ongoing training and support to the civil society partners.</w:t>
      </w:r>
    </w:p>
    <w:p w14:paraId="2F4C0DCF" w14:textId="4DA2A6DA" w:rsidR="00902F90" w:rsidRPr="002170BD" w:rsidRDefault="00902F90" w:rsidP="00902F90">
      <w:r w:rsidRPr="002170BD">
        <w:rPr>
          <w:rFonts w:cstheme="minorHAnsi"/>
        </w:rPr>
        <w:t xml:space="preserve">Fraud risk is recognised as ‘moderate’ given the scale and complexity of the program and the multiple downstream grantees. Drawing from lessons in </w:t>
      </w:r>
      <w:proofErr w:type="spellStart"/>
      <w:r w:rsidRPr="002170BD">
        <w:rPr>
          <w:rFonts w:cstheme="minorHAnsi"/>
        </w:rPr>
        <w:t>DemRes</w:t>
      </w:r>
      <w:proofErr w:type="spellEnd"/>
      <w:r w:rsidRPr="002170BD">
        <w:rPr>
          <w:rFonts w:cstheme="minorHAnsi"/>
        </w:rPr>
        <w:t xml:space="preserve"> and other DFAT programs, fraud mitigation will be implemented across</w:t>
      </w:r>
      <w:r w:rsidR="0077517C">
        <w:rPr>
          <w:rFonts w:cstheme="minorHAnsi"/>
        </w:rPr>
        <w:t xml:space="preserve"> three</w:t>
      </w:r>
      <w:r w:rsidR="00791F3A" w:rsidRPr="002170BD">
        <w:rPr>
          <w:rFonts w:cstheme="minorHAnsi"/>
        </w:rPr>
        <w:t xml:space="preserve"> </w:t>
      </w:r>
      <w:r w:rsidRPr="002170BD">
        <w:rPr>
          <w:rFonts w:cstheme="minorHAnsi"/>
        </w:rPr>
        <w:t>levels, namely:</w:t>
      </w:r>
    </w:p>
    <w:p w14:paraId="13BA9173" w14:textId="75649894" w:rsidR="00902F90" w:rsidRPr="002170BD" w:rsidRDefault="00902F90" w:rsidP="00504B06">
      <w:pPr>
        <w:numPr>
          <w:ilvl w:val="0"/>
          <w:numId w:val="85"/>
        </w:numPr>
        <w:suppressAutoHyphens w:val="0"/>
        <w:spacing w:before="0" w:after="160" w:line="259" w:lineRule="auto"/>
        <w:rPr>
          <w:rFonts w:cstheme="minorHAnsi"/>
          <w:szCs w:val="21"/>
          <w:lang w:val="en-AU"/>
        </w:rPr>
      </w:pPr>
      <w:r w:rsidRPr="002170BD">
        <w:rPr>
          <w:rFonts w:eastAsia="Times New Roman" w:cs="Times New Roman"/>
          <w:szCs w:val="21"/>
          <w:lang w:val="en-AU"/>
        </w:rPr>
        <w:t>Preventative controls:</w:t>
      </w:r>
      <w:r w:rsidRPr="002170BD">
        <w:rPr>
          <w:rFonts w:cstheme="minorHAnsi"/>
          <w:szCs w:val="21"/>
          <w:lang w:val="en-AU"/>
        </w:rPr>
        <w:t xml:space="preserve"> Mandatory fraud and financial training for all partners, risk-based due diligence, and inclusion of financial reporting conditions in all grants and contracts</w:t>
      </w:r>
      <w:r w:rsidR="00A00FC8" w:rsidRPr="002170BD">
        <w:rPr>
          <w:rFonts w:cstheme="minorHAnsi"/>
          <w:szCs w:val="21"/>
          <w:lang w:val="en-AU"/>
        </w:rPr>
        <w:t>.</w:t>
      </w:r>
    </w:p>
    <w:p w14:paraId="776A94AF" w14:textId="7B9D9A0E" w:rsidR="00902F90" w:rsidRPr="002170BD" w:rsidRDefault="00902F90" w:rsidP="00504B06">
      <w:pPr>
        <w:numPr>
          <w:ilvl w:val="0"/>
          <w:numId w:val="85"/>
        </w:numPr>
        <w:suppressAutoHyphens w:val="0"/>
        <w:spacing w:before="0" w:after="160" w:line="259" w:lineRule="auto"/>
        <w:rPr>
          <w:rFonts w:cstheme="minorHAnsi"/>
          <w:szCs w:val="21"/>
          <w:lang w:val="en-AU"/>
        </w:rPr>
      </w:pPr>
      <w:r w:rsidRPr="002170BD">
        <w:rPr>
          <w:rFonts w:eastAsia="Times New Roman" w:cs="Times New Roman"/>
          <w:szCs w:val="21"/>
          <w:lang w:val="en-AU"/>
        </w:rPr>
        <w:t>Detective controls:</w:t>
      </w:r>
      <w:r w:rsidRPr="002170BD">
        <w:rPr>
          <w:rFonts w:cstheme="minorHAnsi"/>
          <w:szCs w:val="21"/>
          <w:lang w:val="en-AU"/>
        </w:rPr>
        <w:t xml:space="preserve"> Regular financial audits, spot checks, and third-party verifications led by the Convenor’s operations team</w:t>
      </w:r>
      <w:r w:rsidR="00A00FC8" w:rsidRPr="002170BD">
        <w:rPr>
          <w:rFonts w:cstheme="minorHAnsi"/>
          <w:szCs w:val="21"/>
          <w:lang w:val="en-AU"/>
        </w:rPr>
        <w:t>.</w:t>
      </w:r>
    </w:p>
    <w:p w14:paraId="4ED6E859" w14:textId="77777777" w:rsidR="00902F90" w:rsidRPr="002170BD" w:rsidRDefault="00902F90" w:rsidP="00504B06">
      <w:pPr>
        <w:numPr>
          <w:ilvl w:val="0"/>
          <w:numId w:val="85"/>
        </w:numPr>
        <w:suppressAutoHyphens w:val="0"/>
        <w:spacing w:before="0" w:after="160" w:line="259" w:lineRule="auto"/>
        <w:rPr>
          <w:rFonts w:cstheme="minorHAnsi"/>
          <w:szCs w:val="21"/>
          <w:lang w:val="en-AU"/>
        </w:rPr>
      </w:pPr>
      <w:r w:rsidRPr="002170BD">
        <w:rPr>
          <w:rFonts w:eastAsia="Times New Roman" w:cs="Times New Roman"/>
          <w:szCs w:val="21"/>
          <w:lang w:val="en-AU"/>
        </w:rPr>
        <w:t>Corrective controls:</w:t>
      </w:r>
      <w:r w:rsidRPr="002170BD">
        <w:rPr>
          <w:rFonts w:cstheme="minorHAnsi"/>
          <w:szCs w:val="21"/>
          <w:lang w:val="en-AU"/>
        </w:rPr>
        <w:t xml:space="preserve"> DFAT and the Convening CSO will jointly manage responses to fraud allegations, including investigation, recovery, and reputational management protocols.</w:t>
      </w:r>
    </w:p>
    <w:p w14:paraId="259C7207" w14:textId="0E7B773A" w:rsidR="00902F90" w:rsidRPr="00FB5B81" w:rsidRDefault="00902F90" w:rsidP="00902F90">
      <w:pPr>
        <w:tabs>
          <w:tab w:val="left" w:pos="284"/>
        </w:tabs>
        <w:suppressAutoHyphens w:val="0"/>
        <w:spacing w:before="0" w:line="280" w:lineRule="exact"/>
        <w:rPr>
          <w:rFonts w:cstheme="minorHAnsi"/>
          <w:szCs w:val="21"/>
          <w:lang w:val="en-AU"/>
        </w:rPr>
      </w:pPr>
      <w:r w:rsidRPr="002170BD">
        <w:rPr>
          <w:rFonts w:cstheme="minorHAnsi"/>
          <w:szCs w:val="21"/>
          <w:lang w:val="en-AU"/>
        </w:rPr>
        <w:t>Governance of fraud risks will be overseen through quarterly DFAT</w:t>
      </w:r>
      <w:r w:rsidR="00090F25" w:rsidRPr="002170BD">
        <w:rPr>
          <w:rFonts w:cstheme="minorHAnsi"/>
          <w:szCs w:val="21"/>
          <w:lang w:val="en-AU"/>
        </w:rPr>
        <w:t>–</w:t>
      </w:r>
      <w:r w:rsidRPr="002170BD">
        <w:rPr>
          <w:rFonts w:cstheme="minorHAnsi"/>
          <w:szCs w:val="21"/>
          <w:lang w:val="en-AU"/>
        </w:rPr>
        <w:t>Convenor reviews, with standing agenda items on fiduciary risk and fraud. Risk insights will be integrated into DFAT Post’s program performance reporting and Annual Quality Checks.</w:t>
      </w:r>
    </w:p>
    <w:p w14:paraId="7DCF4C42" w14:textId="771709C4" w:rsidR="00902F90" w:rsidRPr="009E41AE" w:rsidRDefault="00902F90" w:rsidP="00847DAB">
      <w:pPr>
        <w:pStyle w:val="Heading2Numbered"/>
      </w:pPr>
      <w:r>
        <w:t xml:space="preserve"> </w:t>
      </w:r>
      <w:bookmarkStart w:id="290" w:name="_Toc232524294"/>
      <w:r w:rsidRPr="009E41AE">
        <w:t>Safeguards</w:t>
      </w:r>
      <w:bookmarkEnd w:id="290"/>
    </w:p>
    <w:p w14:paraId="43B3A850" w14:textId="73E7C70B" w:rsidR="002C271E" w:rsidRDefault="002C271E" w:rsidP="002C271E">
      <w:r w:rsidRPr="002170BD">
        <w:t xml:space="preserve">The </w:t>
      </w:r>
      <w:r w:rsidR="00E13257" w:rsidRPr="002170BD">
        <w:t>program</w:t>
      </w:r>
      <w:r w:rsidRPr="002170BD">
        <w:t xml:space="preserve"> will develop practica</w:t>
      </w:r>
      <w:r w:rsidR="00E13257" w:rsidRPr="002170BD">
        <w:t>l</w:t>
      </w:r>
      <w:r w:rsidRPr="002170BD">
        <w:t xml:space="preserve"> procedures </w:t>
      </w:r>
      <w:r w:rsidR="00E13257" w:rsidRPr="002170BD">
        <w:t xml:space="preserve">that </w:t>
      </w:r>
      <w:r w:rsidR="00D6615A" w:rsidRPr="002170BD">
        <w:t>align</w:t>
      </w:r>
      <w:r w:rsidRPr="002170BD">
        <w:t xml:space="preserve"> with DFAT’s Environmental and Social Safeguards, Child Protection and PSEAH Policies. All personnel and partners will be required to adhere to </w:t>
      </w:r>
      <w:r w:rsidR="00D6615A" w:rsidRPr="002170BD">
        <w:t>these</w:t>
      </w:r>
      <w:r w:rsidRPr="002170BD">
        <w:t xml:space="preserve"> policies, including by completing online mandatory training, reporting to DFAT’s criteria and conducting activity-specific risk assessments. </w:t>
      </w:r>
      <w:r w:rsidR="00464CE2" w:rsidRPr="002170BD">
        <w:t xml:space="preserve">The PSU is responsible for overseeing safeguard protocols </w:t>
      </w:r>
      <w:r w:rsidR="00B22BF3" w:rsidRPr="002170BD">
        <w:t xml:space="preserve">are implemented </w:t>
      </w:r>
      <w:r w:rsidR="00464CE2" w:rsidRPr="002170BD">
        <w:t xml:space="preserve">for the activities it manages (through the </w:t>
      </w:r>
      <w:r w:rsidR="00D74BD0">
        <w:t>PSU</w:t>
      </w:r>
      <w:r w:rsidR="00464CE2" w:rsidRPr="002170BD">
        <w:t xml:space="preserve"> Officer). </w:t>
      </w:r>
      <w:r w:rsidR="00230DEC" w:rsidRPr="002170BD">
        <w:t xml:space="preserve">PSU staff will undertake mandatory training and other requirements. </w:t>
      </w:r>
      <w:r w:rsidR="00464CE2" w:rsidRPr="002170BD">
        <w:t>The Convenor is responsible</w:t>
      </w:r>
      <w:r w:rsidR="00464CE2">
        <w:t xml:space="preserve"> for </w:t>
      </w:r>
      <w:r w:rsidR="00B22BF3">
        <w:t xml:space="preserve">ensuring safeguard protocols are implemented within the CSP. </w:t>
      </w:r>
      <w:r w:rsidRPr="00F666E3">
        <w:t xml:space="preserve">For Component </w:t>
      </w:r>
      <w:r>
        <w:t>2</w:t>
      </w:r>
      <w:r w:rsidRPr="00F666E3">
        <w:t xml:space="preserve">, all partners/grantees </w:t>
      </w:r>
      <w:r>
        <w:t xml:space="preserve">will </w:t>
      </w:r>
      <w:r w:rsidRPr="00F666E3">
        <w:t xml:space="preserve">need to comply with DFAT’s </w:t>
      </w:r>
      <w:r>
        <w:t xml:space="preserve">Child Protection and </w:t>
      </w:r>
      <w:r w:rsidRPr="00F666E3">
        <w:t xml:space="preserve">PSEAH Policies. Upstream partners (including the Convenor) </w:t>
      </w:r>
      <w:r w:rsidRPr="724E9615">
        <w:t xml:space="preserve">will </w:t>
      </w:r>
      <w:r w:rsidRPr="00F666E3">
        <w:t xml:space="preserve">be responsible for supporting and ensuring downstream partners’ </w:t>
      </w:r>
      <w:r w:rsidRPr="724E9615">
        <w:t xml:space="preserve">compliance </w:t>
      </w:r>
      <w:r w:rsidRPr="00F666E3">
        <w:t xml:space="preserve">with these policies. </w:t>
      </w:r>
      <w:r>
        <w:t xml:space="preserve">Funds to provide for expert inputs and ongoing training have been </w:t>
      </w:r>
      <w:r>
        <w:lastRenderedPageBreak/>
        <w:t xml:space="preserve">provided for in the </w:t>
      </w:r>
      <w:proofErr w:type="spellStart"/>
      <w:r w:rsidRPr="00D84A7F">
        <w:rPr>
          <w:iCs/>
        </w:rPr>
        <w:t>Partisipasi</w:t>
      </w:r>
      <w:proofErr w:type="spellEnd"/>
      <w:r w:rsidRPr="294702B8">
        <w:rPr>
          <w:i/>
          <w:iCs/>
        </w:rPr>
        <w:t xml:space="preserve"> </w:t>
      </w:r>
      <w:r>
        <w:t xml:space="preserve">budget for the Convenor. All partners in the program will be required to report any concerns immediately so that DFAT can enact its established handling procedure. </w:t>
      </w:r>
    </w:p>
    <w:p w14:paraId="768B7F8C" w14:textId="7D0B9618" w:rsidR="002170BD" w:rsidRPr="002F1D8A" w:rsidRDefault="002170BD" w:rsidP="002170BD">
      <w:pPr>
        <w:rPr>
          <w:lang w:val="en-AU"/>
        </w:rPr>
      </w:pPr>
      <w:r>
        <w:t>The Convenor will develop a</w:t>
      </w:r>
      <w:r w:rsidRPr="00C5377B">
        <w:rPr>
          <w:lang w:val="en-AU"/>
        </w:rPr>
        <w:t xml:space="preserve"> </w:t>
      </w:r>
      <w:r>
        <w:rPr>
          <w:lang w:val="en-AU"/>
        </w:rPr>
        <w:t>safeguards</w:t>
      </w:r>
      <w:r w:rsidRPr="007B26D1">
        <w:rPr>
          <w:lang w:val="en-AU"/>
        </w:rPr>
        <w:t xml:space="preserve"> management plan</w:t>
      </w:r>
      <w:r w:rsidRPr="00C5377B">
        <w:rPr>
          <w:lang w:val="en-AU"/>
        </w:rPr>
        <w:t xml:space="preserve"> during inception, aligned with DFAT’s requirements. The Convenor is responsible for ensuring partners’ compliance, while DFAT ensures the Convenor’s effectiveness in fulfilling this role. The program will guarantee protections for whistleblowers. Protection from PSEAH applies to all partners and participants, including DFAT staff.</w:t>
      </w:r>
      <w:r>
        <w:rPr>
          <w:lang w:val="en-AU"/>
        </w:rPr>
        <w:t xml:space="preserve"> </w:t>
      </w:r>
      <w:r w:rsidRPr="00C5377B">
        <w:rPr>
          <w:lang w:val="en-AU"/>
        </w:rPr>
        <w:t>The Convenor will ensure that a ‘do no harm’ approach is applied by all partners, supported by regular scenario planning and crisis simulations to anticipate and respond to complex risks.</w:t>
      </w:r>
    </w:p>
    <w:p w14:paraId="14AD7864" w14:textId="146E9D59" w:rsidR="00902F90" w:rsidRDefault="00902F90" w:rsidP="00902F90">
      <w:pPr>
        <w:tabs>
          <w:tab w:val="left" w:pos="284"/>
        </w:tabs>
        <w:spacing w:before="0" w:line="280" w:lineRule="exact"/>
        <w:rPr>
          <w:szCs w:val="21"/>
        </w:rPr>
      </w:pPr>
      <w:r w:rsidRPr="1F84FE0F">
        <w:rPr>
          <w:szCs w:val="21"/>
        </w:rPr>
        <w:t>The</w:t>
      </w:r>
      <w:r w:rsidRPr="2CFA8AE4">
        <w:rPr>
          <w:szCs w:val="21"/>
        </w:rPr>
        <w:t xml:space="preserve"> program will be delivered in accordance with </w:t>
      </w:r>
      <w:r w:rsidRPr="00697238">
        <w:rPr>
          <w:szCs w:val="21"/>
        </w:rPr>
        <w:t>DFAT’s</w:t>
      </w:r>
      <w:r w:rsidRPr="00B57CB6">
        <w:rPr>
          <w:b/>
          <w:bCs/>
          <w:szCs w:val="21"/>
        </w:rPr>
        <w:t xml:space="preserve"> </w:t>
      </w:r>
      <w:r w:rsidRPr="009553BD">
        <w:rPr>
          <w:szCs w:val="21"/>
        </w:rPr>
        <w:t>Environmental and Social Safeguards Policy</w:t>
      </w:r>
      <w:r w:rsidRPr="2CFA8AE4">
        <w:rPr>
          <w:szCs w:val="21"/>
        </w:rPr>
        <w:t xml:space="preserve"> and relevant operational procedures. While the investment is not expected to have significant direct environmental impacts, the social safeguards risks (particularly those that emerge from working with youth</w:t>
      </w:r>
      <w:r w:rsidR="0034493F">
        <w:rPr>
          <w:szCs w:val="21"/>
        </w:rPr>
        <w:t>s</w:t>
      </w:r>
      <w:r w:rsidRPr="2CFA8AE4">
        <w:rPr>
          <w:szCs w:val="21"/>
        </w:rPr>
        <w:t xml:space="preserve">, marginalised populations, and </w:t>
      </w:r>
      <w:r>
        <w:rPr>
          <w:szCs w:val="21"/>
        </w:rPr>
        <w:t>d</w:t>
      </w:r>
      <w:r w:rsidRPr="2CFA8AE4">
        <w:rPr>
          <w:szCs w:val="21"/>
        </w:rPr>
        <w:t xml:space="preserve">igital media) are </w:t>
      </w:r>
      <w:r>
        <w:rPr>
          <w:szCs w:val="21"/>
        </w:rPr>
        <w:t>‘</w:t>
      </w:r>
      <w:r w:rsidRPr="2CFA8AE4">
        <w:rPr>
          <w:szCs w:val="21"/>
        </w:rPr>
        <w:t>moderate</w:t>
      </w:r>
      <w:r>
        <w:rPr>
          <w:szCs w:val="21"/>
        </w:rPr>
        <w:t>’</w:t>
      </w:r>
      <w:r w:rsidRPr="2CFA8AE4">
        <w:rPr>
          <w:szCs w:val="21"/>
        </w:rPr>
        <w:t>.</w:t>
      </w:r>
    </w:p>
    <w:p w14:paraId="5DF043E8" w14:textId="76E68EAD" w:rsidR="00902F90" w:rsidRDefault="00902F90" w:rsidP="00902F90">
      <w:r>
        <w:t xml:space="preserve">Compliance with DFAT’s 2025 </w:t>
      </w:r>
      <w:r w:rsidRPr="009553BD">
        <w:t xml:space="preserve">Child Protection </w:t>
      </w:r>
      <w:r w:rsidR="008C5387" w:rsidRPr="009553BD">
        <w:t xml:space="preserve">Policy </w:t>
      </w:r>
      <w:r w:rsidRPr="009553BD">
        <w:t xml:space="preserve">and </w:t>
      </w:r>
      <w:r w:rsidR="008C5387" w:rsidRPr="009553BD">
        <w:t xml:space="preserve">Protection from </w:t>
      </w:r>
      <w:r w:rsidRPr="009553BD">
        <w:t>Sexual Exploitation</w:t>
      </w:r>
      <w:r w:rsidR="00E7745E" w:rsidRPr="009553BD">
        <w:t>, Abuse</w:t>
      </w:r>
      <w:r w:rsidRPr="009553BD">
        <w:t xml:space="preserve"> and Harassment</w:t>
      </w:r>
      <w:r w:rsidRPr="007B26D1">
        <w:t xml:space="preserve"> </w:t>
      </w:r>
      <w:r w:rsidRPr="009553BD">
        <w:t>(PSEAH) Policy</w:t>
      </w:r>
      <w:r>
        <w:t xml:space="preserve"> mitigates the risk posed by </w:t>
      </w:r>
      <w:proofErr w:type="spellStart"/>
      <w:r w:rsidRPr="00D84A7F">
        <w:rPr>
          <w:iCs/>
        </w:rPr>
        <w:t>Partisipasi’s</w:t>
      </w:r>
      <w:proofErr w:type="spellEnd"/>
      <w:r>
        <w:t xml:space="preserve"> engagement with youth</w:t>
      </w:r>
      <w:r w:rsidR="0034493F">
        <w:t>s</w:t>
      </w:r>
      <w:r>
        <w:t xml:space="preserve">, civil society actors, and community stakeholders including breaches of child protection and PSEAH standards, and digital safety threats. These risks may emerge in both physical and online settings, particularly where activities involve unequal power dynamics, public visibility of vulnerable groups, or insufficient supervision. </w:t>
      </w:r>
    </w:p>
    <w:p w14:paraId="0F414815" w14:textId="00A11944" w:rsidR="00902F90" w:rsidRDefault="00902F90" w:rsidP="00902F90">
      <w:r>
        <w:t xml:space="preserve">The Convenor’s implementation of due diligence checks on all downstream partners, sub-grantees, and vendors in line with DFAT’s </w:t>
      </w:r>
      <w:r w:rsidRPr="002170BD">
        <w:rPr>
          <w:i/>
          <w:iCs/>
        </w:rPr>
        <w:t>Counter-Terrorism Financing Guidelines</w:t>
      </w:r>
      <w:r>
        <w:t xml:space="preserve"> will mitigate the risk of inadvertent diversion of funds to prohibited entities.</w:t>
      </w:r>
      <w:r w:rsidRPr="46ACBC4E">
        <w:rPr>
          <w:caps/>
        </w:rPr>
        <w:t xml:space="preserve"> </w:t>
      </w:r>
    </w:p>
    <w:p w14:paraId="30C81F95" w14:textId="5DB7C1D3" w:rsidR="00902F90" w:rsidRDefault="00902F90" w:rsidP="00EA3B77">
      <w:pPr>
        <w:tabs>
          <w:tab w:val="left" w:pos="284"/>
        </w:tabs>
        <w:suppressAutoHyphens w:val="0"/>
        <w:spacing w:before="0" w:line="280" w:lineRule="exact"/>
        <w:rPr>
          <w:szCs w:val="21"/>
          <w:lang w:val="en-AU"/>
        </w:rPr>
      </w:pPr>
      <w:r>
        <w:rPr>
          <w:szCs w:val="21"/>
          <w:lang w:val="en-AU"/>
        </w:rPr>
        <w:br w:type="page"/>
      </w:r>
    </w:p>
    <w:p w14:paraId="08706356" w14:textId="77777777" w:rsidR="00902F90" w:rsidRDefault="00902F90" w:rsidP="00902F90">
      <w:pPr>
        <w:pStyle w:val="Heading1Numbered"/>
        <w:ind w:left="360" w:hanging="360"/>
      </w:pPr>
      <w:bookmarkStart w:id="291" w:name="_Toc232524295"/>
      <w:r>
        <w:lastRenderedPageBreak/>
        <w:t>ANNEXES</w:t>
      </w:r>
      <w:bookmarkEnd w:id="291"/>
    </w:p>
    <w:p w14:paraId="244B4BB7" w14:textId="6B17124A" w:rsidR="009A3D2D" w:rsidRPr="009A3D2D" w:rsidRDefault="009A3D2D" w:rsidP="009A3D2D">
      <w:pPr>
        <w:ind w:left="540" w:hanging="450"/>
        <w:rPr>
          <w:b/>
          <w:bCs/>
        </w:rPr>
      </w:pPr>
      <w:r w:rsidRPr="009A3D2D">
        <w:rPr>
          <w:b/>
          <w:bCs/>
        </w:rPr>
        <w:t>List of Annexes</w:t>
      </w:r>
    </w:p>
    <w:p w14:paraId="77A46420" w14:textId="77777777" w:rsidR="009A3D2D" w:rsidRDefault="009A3D2D" w:rsidP="006C305B">
      <w:pPr>
        <w:spacing w:after="120"/>
        <w:ind w:left="540" w:hanging="450"/>
      </w:pPr>
      <w:r>
        <w:t>A</w:t>
      </w:r>
      <w:r>
        <w:tab/>
        <w:t>Lessons Learned from Past and Current Programming</w:t>
      </w:r>
    </w:p>
    <w:p w14:paraId="78A205C0" w14:textId="77777777" w:rsidR="009A3D2D" w:rsidRDefault="009A3D2D" w:rsidP="006C305B">
      <w:pPr>
        <w:spacing w:after="120"/>
        <w:ind w:left="540" w:hanging="450"/>
      </w:pPr>
      <w:r>
        <w:t>B</w:t>
      </w:r>
      <w:r>
        <w:tab/>
        <w:t xml:space="preserve">Additional Detail for Program Logic </w:t>
      </w:r>
    </w:p>
    <w:p w14:paraId="7AC386C4" w14:textId="77777777" w:rsidR="009A3D2D" w:rsidRDefault="009A3D2D" w:rsidP="006C305B">
      <w:pPr>
        <w:spacing w:after="120"/>
        <w:ind w:left="540" w:hanging="450"/>
      </w:pPr>
      <w:r>
        <w:t>C</w:t>
      </w:r>
      <w:r>
        <w:tab/>
        <w:t>Program Support Unit Scope of Services</w:t>
      </w:r>
    </w:p>
    <w:p w14:paraId="3A15FC53" w14:textId="77777777" w:rsidR="009A3D2D" w:rsidRDefault="009A3D2D" w:rsidP="006C305B">
      <w:pPr>
        <w:spacing w:after="120"/>
        <w:ind w:left="540" w:hanging="450"/>
      </w:pPr>
      <w:r>
        <w:t>D</w:t>
      </w:r>
      <w:r>
        <w:tab/>
        <w:t>Convenor Tems of Reference</w:t>
      </w:r>
    </w:p>
    <w:p w14:paraId="787DBE03" w14:textId="77777777" w:rsidR="009A3D2D" w:rsidRDefault="009A3D2D" w:rsidP="006C305B">
      <w:pPr>
        <w:spacing w:after="120"/>
        <w:ind w:left="540" w:hanging="450"/>
      </w:pPr>
      <w:r>
        <w:t>E</w:t>
      </w:r>
      <w:r>
        <w:tab/>
        <w:t>Civil Society Partnership Selection Process</w:t>
      </w:r>
    </w:p>
    <w:p w14:paraId="0AEF6C55" w14:textId="77777777" w:rsidR="009A3D2D" w:rsidRDefault="009A3D2D" w:rsidP="006C305B">
      <w:pPr>
        <w:spacing w:after="120"/>
        <w:ind w:left="540" w:hanging="450"/>
      </w:pPr>
      <w:r>
        <w:t>F</w:t>
      </w:r>
      <w:r>
        <w:tab/>
        <w:t xml:space="preserve">Rationale for Geographic Focus </w:t>
      </w:r>
    </w:p>
    <w:p w14:paraId="1E1BBA72" w14:textId="77777777" w:rsidR="009A3D2D" w:rsidRDefault="009A3D2D" w:rsidP="006C305B">
      <w:pPr>
        <w:spacing w:after="120"/>
        <w:ind w:left="540" w:hanging="450"/>
      </w:pPr>
      <w:r>
        <w:t>G</w:t>
      </w:r>
      <w:r>
        <w:tab/>
        <w:t>Pre-Inception and Inception Workplan</w:t>
      </w:r>
    </w:p>
    <w:p w14:paraId="28CC586B" w14:textId="77777777" w:rsidR="009A3D2D" w:rsidRDefault="009A3D2D" w:rsidP="006C305B">
      <w:pPr>
        <w:spacing w:after="120"/>
        <w:ind w:left="540" w:hanging="450"/>
      </w:pPr>
      <w:r>
        <w:t>H</w:t>
      </w:r>
      <w:r>
        <w:tab/>
        <w:t>MEL System and Framework at Design</w:t>
      </w:r>
    </w:p>
    <w:p w14:paraId="4268D2C5" w14:textId="77777777" w:rsidR="009A3D2D" w:rsidRDefault="009A3D2D" w:rsidP="006C305B">
      <w:pPr>
        <w:spacing w:after="120"/>
        <w:ind w:left="540" w:hanging="450"/>
      </w:pPr>
      <w:r>
        <w:t>I</w:t>
      </w:r>
      <w:r>
        <w:tab/>
        <w:t>Cross-Cutting Themes Analysis</w:t>
      </w:r>
    </w:p>
    <w:p w14:paraId="4A6A977F" w14:textId="77777777" w:rsidR="009A3D2D" w:rsidRDefault="009A3D2D" w:rsidP="006C305B">
      <w:pPr>
        <w:spacing w:after="120"/>
        <w:ind w:left="540" w:hanging="450"/>
      </w:pPr>
      <w:r>
        <w:t>J</w:t>
      </w:r>
      <w:r>
        <w:tab/>
        <w:t xml:space="preserve">Sustainability and </w:t>
      </w:r>
      <w:proofErr w:type="gramStart"/>
      <w:r>
        <w:t>Locally-Led</w:t>
      </w:r>
      <w:proofErr w:type="gramEnd"/>
      <w:r>
        <w:t xml:space="preserve"> Development</w:t>
      </w:r>
    </w:p>
    <w:p w14:paraId="7642CB5C" w14:textId="77777777" w:rsidR="009A3D2D" w:rsidRDefault="009A3D2D" w:rsidP="006C305B">
      <w:pPr>
        <w:spacing w:after="120"/>
        <w:ind w:left="540" w:hanging="450"/>
      </w:pPr>
      <w:r>
        <w:t>K</w:t>
      </w:r>
      <w:r>
        <w:tab/>
        <w:t>Key Definitions</w:t>
      </w:r>
    </w:p>
    <w:p w14:paraId="6C6E518A" w14:textId="680028A7" w:rsidR="009A3D2D" w:rsidRDefault="009A3D2D" w:rsidP="006C305B">
      <w:pPr>
        <w:spacing w:after="120"/>
        <w:ind w:left="540" w:hanging="450"/>
      </w:pPr>
      <w:r>
        <w:t>L</w:t>
      </w:r>
      <w:r>
        <w:tab/>
        <w:t>Acronyms Glossary</w:t>
      </w:r>
    </w:p>
    <w:p w14:paraId="762C9284" w14:textId="5770C305" w:rsidR="009C5410" w:rsidRPr="009A3D2D" w:rsidRDefault="009C5410" w:rsidP="006C305B">
      <w:pPr>
        <w:spacing w:after="120"/>
        <w:ind w:left="540" w:hanging="450"/>
      </w:pPr>
      <w:r>
        <w:t>M</w:t>
      </w:r>
      <w:r>
        <w:tab/>
      </w:r>
      <w:r w:rsidR="00EF6F97">
        <w:t>Alternative Text for Diagrams</w:t>
      </w:r>
    </w:p>
    <w:p w14:paraId="482A841C" w14:textId="29382FF7" w:rsidR="00E73423" w:rsidRPr="007B6947" w:rsidRDefault="00E73423" w:rsidP="007B6947">
      <w:pPr>
        <w:pStyle w:val="Heading1Numbered"/>
        <w:numPr>
          <w:ilvl w:val="0"/>
          <w:numId w:val="0"/>
        </w:numPr>
        <w:ind w:left="567" w:hanging="567"/>
        <w:rPr>
          <w:rFonts w:asciiTheme="minorHAnsi" w:hAnsiTheme="minorHAnsi" w:cstheme="minorHAnsi"/>
          <w:sz w:val="22"/>
          <w:szCs w:val="22"/>
        </w:rPr>
      </w:pPr>
      <w:bookmarkStart w:id="292" w:name="AnnexA"/>
      <w:r w:rsidRPr="007B6947">
        <w:rPr>
          <w:rFonts w:asciiTheme="minorHAnsi" w:hAnsiTheme="minorHAnsi" w:cstheme="minorHAnsi"/>
          <w:sz w:val="22"/>
          <w:szCs w:val="22"/>
        </w:rPr>
        <w:br w:type="page"/>
      </w:r>
    </w:p>
    <w:p w14:paraId="73730645" w14:textId="5F90917E" w:rsidR="00902F90" w:rsidRDefault="00902F90" w:rsidP="001F4E2D">
      <w:pPr>
        <w:pStyle w:val="Heading2"/>
        <w:spacing w:before="240"/>
      </w:pPr>
      <w:bookmarkStart w:id="293" w:name="_Annex_A:_Lessons"/>
      <w:bookmarkStart w:id="294" w:name="_Toc232524296"/>
      <w:bookmarkEnd w:id="293"/>
      <w:r>
        <w:lastRenderedPageBreak/>
        <w:t>Annex A</w:t>
      </w:r>
      <w:bookmarkEnd w:id="292"/>
      <w:r>
        <w:t xml:space="preserve">: </w:t>
      </w:r>
      <w:r w:rsidRPr="00BF280B">
        <w:t>Lessons Learned from Past and Current Programming</w:t>
      </w:r>
      <w:bookmarkEnd w:id="294"/>
    </w:p>
    <w:p w14:paraId="0D1F9340" w14:textId="3DD077CA" w:rsidR="00FC1A56" w:rsidRDefault="00902F90" w:rsidP="00743624">
      <w:pPr>
        <w:rPr>
          <w:lang w:val="en-AU"/>
        </w:rPr>
      </w:pPr>
      <w:r w:rsidRPr="00544C10">
        <w:rPr>
          <w:lang w:val="en-AU"/>
        </w:rPr>
        <w:t xml:space="preserve">The </w:t>
      </w:r>
      <w:proofErr w:type="spellStart"/>
      <w:r w:rsidR="00F2394D">
        <w:rPr>
          <w:lang w:val="en-AU"/>
        </w:rPr>
        <w:t>Partisipasi</w:t>
      </w:r>
      <w:proofErr w:type="spellEnd"/>
      <w:r w:rsidR="00F2394D">
        <w:rPr>
          <w:lang w:val="en-AU"/>
        </w:rPr>
        <w:t xml:space="preserve"> design is informed by lessons </w:t>
      </w:r>
      <w:r w:rsidR="00DA1336">
        <w:rPr>
          <w:lang w:val="en-AU"/>
        </w:rPr>
        <w:t xml:space="preserve">learned from the </w:t>
      </w:r>
      <w:r w:rsidRPr="00544C10">
        <w:rPr>
          <w:lang w:val="en-AU"/>
        </w:rPr>
        <w:t>Democratic Resilience Pilot Program (</w:t>
      </w:r>
      <w:proofErr w:type="spellStart"/>
      <w:r w:rsidRPr="00C5377B">
        <w:rPr>
          <w:lang w:val="en-AU"/>
        </w:rPr>
        <w:t>DemRes</w:t>
      </w:r>
      <w:proofErr w:type="spellEnd"/>
      <w:r w:rsidRPr="00544C10">
        <w:rPr>
          <w:lang w:val="en-AU"/>
        </w:rPr>
        <w:t xml:space="preserve">), </w:t>
      </w:r>
      <w:r w:rsidR="00D717FC">
        <w:rPr>
          <w:lang w:val="en-AU"/>
        </w:rPr>
        <w:t>other</w:t>
      </w:r>
      <w:r w:rsidRPr="00544C10">
        <w:rPr>
          <w:lang w:val="en-AU"/>
        </w:rPr>
        <w:t xml:space="preserve"> DFAT investments</w:t>
      </w:r>
      <w:r w:rsidR="00D717FC">
        <w:rPr>
          <w:lang w:val="en-AU"/>
        </w:rPr>
        <w:t xml:space="preserve"> in Indonesia</w:t>
      </w:r>
      <w:r w:rsidRPr="00544C10">
        <w:rPr>
          <w:lang w:val="en-AU"/>
        </w:rPr>
        <w:t xml:space="preserve">, </w:t>
      </w:r>
      <w:r w:rsidR="00DA1336">
        <w:rPr>
          <w:lang w:val="en-AU"/>
        </w:rPr>
        <w:t>and an analysis of lessons from programs supporting democratic participation</w:t>
      </w:r>
      <w:r w:rsidR="00D717FC">
        <w:rPr>
          <w:lang w:val="en-AU"/>
        </w:rPr>
        <w:t xml:space="preserve"> in other countries</w:t>
      </w:r>
      <w:r w:rsidR="00DA1336">
        <w:rPr>
          <w:lang w:val="en-AU"/>
        </w:rPr>
        <w:t xml:space="preserve">. </w:t>
      </w:r>
      <w:r w:rsidRPr="00544C10">
        <w:rPr>
          <w:lang w:val="en-AU"/>
        </w:rPr>
        <w:t>These lessons go beyond conventional delivery models. They illuminate how democracy programming can remain relevant and resilient.</w:t>
      </w:r>
      <w:r w:rsidR="00F2394D">
        <w:rPr>
          <w:lang w:val="en-AU"/>
        </w:rPr>
        <w:t xml:space="preserve"> </w:t>
      </w:r>
      <w:r w:rsidR="00F2394D" w:rsidRPr="00F8571F">
        <w:rPr>
          <w:lang w:val="en-AU"/>
        </w:rPr>
        <w:t>The</w:t>
      </w:r>
      <w:r w:rsidR="00F2394D">
        <w:rPr>
          <w:lang w:val="en-AU"/>
        </w:rPr>
        <w:t xml:space="preserve"> above </w:t>
      </w:r>
      <w:r w:rsidR="00F2394D" w:rsidRPr="00F8571F">
        <w:rPr>
          <w:lang w:val="en-AU"/>
        </w:rPr>
        <w:t xml:space="preserve">lessons </w:t>
      </w:r>
      <w:r w:rsidR="00F2394D">
        <w:rPr>
          <w:lang w:val="en-AU"/>
        </w:rPr>
        <w:t xml:space="preserve">and recommendations </w:t>
      </w:r>
      <w:r w:rsidR="00F2394D" w:rsidRPr="00F8571F">
        <w:rPr>
          <w:lang w:val="en-AU"/>
        </w:rPr>
        <w:t>have been embedded not only in the</w:t>
      </w:r>
      <w:r w:rsidR="00F2394D">
        <w:rPr>
          <w:lang w:val="en-AU"/>
        </w:rPr>
        <w:t xml:space="preserve"> Program Logic</w:t>
      </w:r>
      <w:r w:rsidR="00F2394D" w:rsidRPr="00F8571F">
        <w:rPr>
          <w:lang w:val="en-AU"/>
        </w:rPr>
        <w:t xml:space="preserve"> but also in its delivery architecture.</w:t>
      </w:r>
    </w:p>
    <w:p w14:paraId="097515E4" w14:textId="6C6B5239" w:rsidR="00902F90" w:rsidRPr="006D5E43" w:rsidRDefault="00FE346E" w:rsidP="009553BD">
      <w:pPr>
        <w:pStyle w:val="Heading3"/>
        <w:numPr>
          <w:ilvl w:val="6"/>
          <w:numId w:val="7"/>
        </w:numPr>
        <w:spacing w:before="240"/>
        <w:ind w:left="426"/>
      </w:pPr>
      <w:r>
        <w:t xml:space="preserve">Existing DFAT Program: </w:t>
      </w:r>
      <w:proofErr w:type="spellStart"/>
      <w:r w:rsidR="00902F90" w:rsidRPr="00C5377B">
        <w:t>DemRes</w:t>
      </w:r>
      <w:proofErr w:type="spellEnd"/>
      <w:r>
        <w:t xml:space="preserve"> </w:t>
      </w:r>
    </w:p>
    <w:p w14:paraId="7CD6397F" w14:textId="571D4F8A" w:rsidR="00FE346E" w:rsidRPr="00544C10" w:rsidRDefault="00FE346E" w:rsidP="00FE346E">
      <w:pPr>
        <w:rPr>
          <w:lang w:val="en-AU"/>
        </w:rPr>
      </w:pPr>
      <w:proofErr w:type="spellStart"/>
      <w:r w:rsidRPr="00C5377B">
        <w:rPr>
          <w:lang w:val="en-AU"/>
        </w:rPr>
        <w:t>DemRes</w:t>
      </w:r>
      <w:proofErr w:type="spellEnd"/>
      <w:r w:rsidRPr="00544C10">
        <w:rPr>
          <w:lang w:val="en-AU"/>
        </w:rPr>
        <w:t xml:space="preserve"> underscored the importance of adaptive, politically informed programming that prioritises learning, agility, and civic legitimacy over linear impact. It also surfaced </w:t>
      </w:r>
      <w:r w:rsidR="00DA7CB4">
        <w:rPr>
          <w:lang w:val="en-AU"/>
        </w:rPr>
        <w:t>some</w:t>
      </w:r>
      <w:r w:rsidRPr="00544C10">
        <w:rPr>
          <w:lang w:val="en-AU"/>
        </w:rPr>
        <w:t xml:space="preserve"> gaps</w:t>
      </w:r>
      <w:r>
        <w:rPr>
          <w:lang w:val="en-AU"/>
        </w:rPr>
        <w:t xml:space="preserve">, </w:t>
      </w:r>
      <w:r w:rsidRPr="00544C10">
        <w:rPr>
          <w:lang w:val="en-AU"/>
        </w:rPr>
        <w:t>particularly in youth engagement, coalition sustainability, and strategic learning systems</w:t>
      </w:r>
      <w:r>
        <w:rPr>
          <w:lang w:val="en-AU"/>
        </w:rPr>
        <w:t xml:space="preserve">, </w:t>
      </w:r>
      <w:r w:rsidR="000C60C6" w:rsidRPr="00544C10">
        <w:rPr>
          <w:lang w:val="en-AU"/>
        </w:rPr>
        <w:t>which</w:t>
      </w:r>
      <w:r w:rsidRPr="00544C10">
        <w:rPr>
          <w:lang w:val="en-AU"/>
        </w:rPr>
        <w:t xml:space="preserve"> must be addressed in </w:t>
      </w:r>
      <w:r w:rsidR="00DA7CB4">
        <w:rPr>
          <w:lang w:val="en-AU"/>
        </w:rPr>
        <w:t>future programs</w:t>
      </w:r>
      <w:r w:rsidRPr="00544C10">
        <w:rPr>
          <w:lang w:val="en-AU"/>
        </w:rPr>
        <w:t xml:space="preserve">. These insights directly inform </w:t>
      </w:r>
      <w:proofErr w:type="spellStart"/>
      <w:r w:rsidRPr="00D84A7F">
        <w:rPr>
          <w:iCs/>
          <w:lang w:val="en-AU"/>
        </w:rPr>
        <w:t>Partisipasi</w:t>
      </w:r>
      <w:r w:rsidRPr="00544C10">
        <w:rPr>
          <w:lang w:val="en-AU"/>
        </w:rPr>
        <w:t>’s</w:t>
      </w:r>
      <w:proofErr w:type="spellEnd"/>
      <w:r w:rsidRPr="00544C10">
        <w:rPr>
          <w:lang w:val="en-AU"/>
        </w:rPr>
        <w:t xml:space="preserve"> </w:t>
      </w:r>
      <w:r>
        <w:rPr>
          <w:lang w:val="en-AU"/>
        </w:rPr>
        <w:t>P</w:t>
      </w:r>
      <w:r w:rsidRPr="00544C10">
        <w:rPr>
          <w:lang w:val="en-AU"/>
        </w:rPr>
        <w:t xml:space="preserve">rogram </w:t>
      </w:r>
      <w:r>
        <w:rPr>
          <w:lang w:val="en-AU"/>
        </w:rPr>
        <w:t>L</w:t>
      </w:r>
      <w:r w:rsidRPr="00544C10">
        <w:rPr>
          <w:lang w:val="en-AU"/>
        </w:rPr>
        <w:t>ogic.</w:t>
      </w:r>
    </w:p>
    <w:p w14:paraId="6BD57736" w14:textId="06C401D1" w:rsidR="00902F90" w:rsidRPr="00544C10" w:rsidRDefault="00902F90" w:rsidP="00902F90">
      <w:pPr>
        <w:pStyle w:val="Heading5"/>
      </w:pPr>
      <w:r w:rsidRPr="00544C10">
        <w:t>What Worked</w:t>
      </w:r>
    </w:p>
    <w:p w14:paraId="774B32F9" w14:textId="45C7A31C" w:rsidR="00902F90" w:rsidRPr="005B6A59" w:rsidRDefault="00902F90" w:rsidP="00D3558F">
      <w:pPr>
        <w:pStyle w:val="ListParagraph"/>
        <w:numPr>
          <w:ilvl w:val="0"/>
          <w:numId w:val="21"/>
        </w:numPr>
        <w:spacing w:after="120" w:line="240" w:lineRule="auto"/>
        <w:ind w:left="357" w:hanging="357"/>
        <w:contextualSpacing w:val="0"/>
        <w:rPr>
          <w:lang w:val="en-AU"/>
        </w:rPr>
      </w:pPr>
      <w:r w:rsidRPr="005B6A59">
        <w:rPr>
          <w:lang w:val="en-AU"/>
        </w:rPr>
        <w:t>Expanding support to informal civic actors beyond CSOs</w:t>
      </w:r>
    </w:p>
    <w:p w14:paraId="1AEF6B14" w14:textId="16C93587" w:rsidR="00902F90" w:rsidRPr="005B6A59" w:rsidRDefault="00902F90" w:rsidP="00D3558F">
      <w:pPr>
        <w:pStyle w:val="ListParagraph"/>
        <w:numPr>
          <w:ilvl w:val="0"/>
          <w:numId w:val="21"/>
        </w:numPr>
        <w:spacing w:after="120" w:line="240" w:lineRule="auto"/>
        <w:ind w:left="357" w:hanging="357"/>
        <w:contextualSpacing w:val="0"/>
        <w:rPr>
          <w:lang w:val="en-AU"/>
        </w:rPr>
      </w:pPr>
      <w:r w:rsidRPr="005B6A59">
        <w:rPr>
          <w:lang w:val="en-AU"/>
        </w:rPr>
        <w:t>Embedding democratic values in practice through education, advocacy, and trust-based engagement</w:t>
      </w:r>
    </w:p>
    <w:p w14:paraId="6DEB920A" w14:textId="4017330A" w:rsidR="00902F90" w:rsidRPr="005B6A59" w:rsidRDefault="00902F90" w:rsidP="00D3558F">
      <w:pPr>
        <w:pStyle w:val="ListParagraph"/>
        <w:numPr>
          <w:ilvl w:val="0"/>
          <w:numId w:val="21"/>
        </w:numPr>
        <w:spacing w:after="120" w:line="240" w:lineRule="auto"/>
        <w:ind w:left="357" w:hanging="357"/>
        <w:contextualSpacing w:val="0"/>
        <w:rPr>
          <w:lang w:val="en-AU"/>
        </w:rPr>
      </w:pPr>
      <w:r w:rsidRPr="005B6A59">
        <w:rPr>
          <w:lang w:val="en-AU"/>
        </w:rPr>
        <w:t>Aligning with citizen priorities</w:t>
      </w:r>
      <w:r>
        <w:rPr>
          <w:lang w:val="en-AU"/>
        </w:rPr>
        <w:t xml:space="preserve">, </w:t>
      </w:r>
      <w:r w:rsidRPr="005B6A59">
        <w:rPr>
          <w:lang w:val="en-AU"/>
        </w:rPr>
        <w:t>gender justice, religious tolerance, and inclusion</w:t>
      </w:r>
    </w:p>
    <w:p w14:paraId="014E772F" w14:textId="550DECE9" w:rsidR="00902F90" w:rsidRPr="005B6A59" w:rsidRDefault="00902F90" w:rsidP="00D3558F">
      <w:pPr>
        <w:pStyle w:val="ListParagraph"/>
        <w:numPr>
          <w:ilvl w:val="0"/>
          <w:numId w:val="21"/>
        </w:numPr>
        <w:spacing w:after="120" w:line="240" w:lineRule="auto"/>
        <w:ind w:left="357" w:hanging="357"/>
        <w:contextualSpacing w:val="0"/>
        <w:rPr>
          <w:lang w:val="en-AU"/>
        </w:rPr>
      </w:pPr>
      <w:r w:rsidRPr="005B6A59">
        <w:rPr>
          <w:lang w:val="en-AU"/>
        </w:rPr>
        <w:t>Strategic flexibility that enabled timely, context-responsive interventions</w:t>
      </w:r>
    </w:p>
    <w:p w14:paraId="3A3EE8C4" w14:textId="12467E2A" w:rsidR="00902F90" w:rsidRPr="00544C10" w:rsidRDefault="00902F90" w:rsidP="00902F90">
      <w:pPr>
        <w:pStyle w:val="Heading5"/>
      </w:pPr>
      <w:r w:rsidRPr="00544C10">
        <w:t>What Didn’t Work as Well</w:t>
      </w:r>
    </w:p>
    <w:p w14:paraId="1A7484DE" w14:textId="3562CABB" w:rsidR="00902F90" w:rsidRPr="005B6A59" w:rsidRDefault="00902F90" w:rsidP="00D3558F">
      <w:pPr>
        <w:pStyle w:val="ListParagraph"/>
        <w:numPr>
          <w:ilvl w:val="0"/>
          <w:numId w:val="21"/>
        </w:numPr>
        <w:spacing w:after="120" w:line="240" w:lineRule="auto"/>
        <w:ind w:left="357" w:hanging="357"/>
        <w:contextualSpacing w:val="0"/>
        <w:rPr>
          <w:lang w:val="en-AU"/>
        </w:rPr>
      </w:pPr>
      <w:r w:rsidRPr="005B6A59">
        <w:rPr>
          <w:lang w:val="en-AU"/>
        </w:rPr>
        <w:t>Sustaining formal coalitions, which struggled with fragmentation and competing agendas</w:t>
      </w:r>
    </w:p>
    <w:p w14:paraId="0319F98A" w14:textId="2A0827A0" w:rsidR="00902F90" w:rsidRPr="005B6A59" w:rsidRDefault="00902F90" w:rsidP="00D3558F">
      <w:pPr>
        <w:pStyle w:val="ListParagraph"/>
        <w:numPr>
          <w:ilvl w:val="0"/>
          <w:numId w:val="21"/>
        </w:numPr>
        <w:spacing w:after="120" w:line="240" w:lineRule="auto"/>
        <w:ind w:left="357" w:hanging="357"/>
        <w:contextualSpacing w:val="0"/>
        <w:rPr>
          <w:lang w:val="en-AU"/>
        </w:rPr>
      </w:pPr>
      <w:r w:rsidRPr="005B6A59">
        <w:rPr>
          <w:lang w:val="en-AU"/>
        </w:rPr>
        <w:t>Limited youth integration, highlighting the need for new digital and social modalities</w:t>
      </w:r>
    </w:p>
    <w:p w14:paraId="1686E226" w14:textId="15E4E7BD" w:rsidR="00902F90" w:rsidRDefault="00902F90" w:rsidP="00D3558F">
      <w:pPr>
        <w:pStyle w:val="ListParagraph"/>
        <w:numPr>
          <w:ilvl w:val="0"/>
          <w:numId w:val="21"/>
        </w:numPr>
        <w:spacing w:after="120" w:line="240" w:lineRule="auto"/>
        <w:ind w:left="357" w:hanging="357"/>
        <w:contextualSpacing w:val="0"/>
        <w:rPr>
          <w:lang w:val="en-AU"/>
        </w:rPr>
      </w:pPr>
      <w:r w:rsidRPr="005B6A59">
        <w:rPr>
          <w:lang w:val="en-AU"/>
        </w:rPr>
        <w:t>Underperformance of ME</w:t>
      </w:r>
      <w:r>
        <w:rPr>
          <w:lang w:val="en-AU"/>
        </w:rPr>
        <w:t>L</w:t>
      </w:r>
      <w:r w:rsidRPr="005B6A59">
        <w:rPr>
          <w:lang w:val="en-AU"/>
        </w:rPr>
        <w:t xml:space="preserve"> systems, which focused on output tracking rather than political and discursive outcomes</w:t>
      </w:r>
    </w:p>
    <w:p w14:paraId="4F9E9C6E" w14:textId="099B037F" w:rsidR="00902F90" w:rsidRPr="005B6A59" w:rsidRDefault="005C5A47" w:rsidP="00D3558F">
      <w:pPr>
        <w:pStyle w:val="ListParagraph"/>
        <w:numPr>
          <w:ilvl w:val="0"/>
          <w:numId w:val="21"/>
        </w:numPr>
        <w:spacing w:after="120" w:line="240" w:lineRule="auto"/>
        <w:ind w:left="357" w:hanging="357"/>
        <w:contextualSpacing w:val="0"/>
        <w:rPr>
          <w:lang w:val="en-AU"/>
        </w:rPr>
      </w:pPr>
      <w:r>
        <w:rPr>
          <w:lang w:val="en-AU"/>
        </w:rPr>
        <w:t>Missed opportunities for joint programming or further c</w:t>
      </w:r>
      <w:r w:rsidR="00902F90">
        <w:rPr>
          <w:lang w:val="en-AU"/>
        </w:rPr>
        <w:t>ollaboration with other DFAT programs</w:t>
      </w:r>
      <w:r w:rsidR="00CE0BF1">
        <w:rPr>
          <w:lang w:val="en-AU"/>
        </w:rPr>
        <w:t>.</w:t>
      </w:r>
    </w:p>
    <w:p w14:paraId="12E40387" w14:textId="1AE1DDB4" w:rsidR="00902F90" w:rsidRPr="00C86765" w:rsidRDefault="00902F90" w:rsidP="00902F90">
      <w:pPr>
        <w:pStyle w:val="Heading5"/>
      </w:pPr>
      <w:r w:rsidRPr="00C86765">
        <w:t>Effectiveness: Redefining Success in Volatile Contexts</w:t>
      </w:r>
    </w:p>
    <w:p w14:paraId="5068042B" w14:textId="5739D63A" w:rsidR="00902F90" w:rsidRPr="00544C10" w:rsidRDefault="00902F90" w:rsidP="00902F90">
      <w:pPr>
        <w:rPr>
          <w:lang w:val="en-AU"/>
        </w:rPr>
      </w:pPr>
      <w:proofErr w:type="spellStart"/>
      <w:r w:rsidRPr="00C5377B">
        <w:rPr>
          <w:lang w:val="en-AU"/>
        </w:rPr>
        <w:t>DemRes</w:t>
      </w:r>
      <w:proofErr w:type="spellEnd"/>
      <w:r w:rsidRPr="00544C10">
        <w:rPr>
          <w:lang w:val="en-AU"/>
        </w:rPr>
        <w:t xml:space="preserve"> was conceived not as a conventional delivery mechanism, but as a learning-oriented investment in a </w:t>
      </w:r>
      <w:r w:rsidR="2A3009BA" w:rsidRPr="7490C2DE">
        <w:rPr>
          <w:lang w:val="en-AU"/>
        </w:rPr>
        <w:t>complex</w:t>
      </w:r>
      <w:r w:rsidRPr="00544C10">
        <w:rPr>
          <w:lang w:val="en-AU"/>
        </w:rPr>
        <w:t xml:space="preserve"> environment. Its effectiveness is best understood through its capacity to generate, document, and position lessons for DFAT, implementing partners, and civic actors. </w:t>
      </w:r>
      <w:r w:rsidR="00C3403A">
        <w:rPr>
          <w:lang w:val="en-AU"/>
        </w:rPr>
        <w:t>A</w:t>
      </w:r>
      <w:r w:rsidR="00C3403A" w:rsidRPr="00544C10">
        <w:rPr>
          <w:lang w:val="en-AU"/>
        </w:rPr>
        <w:t xml:space="preserve"> </w:t>
      </w:r>
      <w:r w:rsidRPr="00544C10">
        <w:rPr>
          <w:lang w:val="en-AU"/>
        </w:rPr>
        <w:t xml:space="preserve">joint </w:t>
      </w:r>
      <w:r w:rsidR="0079531F">
        <w:rPr>
          <w:lang w:val="en-AU"/>
        </w:rPr>
        <w:t xml:space="preserve">lessons </w:t>
      </w:r>
      <w:r w:rsidR="00C3403A">
        <w:rPr>
          <w:lang w:val="en-AU"/>
        </w:rPr>
        <w:t xml:space="preserve">learned document and </w:t>
      </w:r>
      <w:r w:rsidRPr="00544C10">
        <w:rPr>
          <w:lang w:val="en-AU"/>
        </w:rPr>
        <w:t xml:space="preserve">dissemination </w:t>
      </w:r>
      <w:r w:rsidR="0079531F">
        <w:rPr>
          <w:lang w:val="en-AU"/>
        </w:rPr>
        <w:t>plan</w:t>
      </w:r>
      <w:r w:rsidR="0079531F">
        <w:t xml:space="preserve"> </w:t>
      </w:r>
      <w:r w:rsidR="00C3403A">
        <w:t>consolidated input from</w:t>
      </w:r>
      <w:r w:rsidRPr="00722F00">
        <w:t xml:space="preserve"> IFES, TAF, and</w:t>
      </w:r>
      <w:r w:rsidR="0098607E">
        <w:t xml:space="preserve"> was facilitated by DFAT Indonesia’s</w:t>
      </w:r>
      <w:r w:rsidRPr="00722F00">
        <w:t xml:space="preserve"> Q</w:t>
      </w:r>
      <w:r w:rsidR="0098607E">
        <w:t xml:space="preserve">uality </w:t>
      </w:r>
      <w:r w:rsidRPr="00722F00">
        <w:t>I</w:t>
      </w:r>
      <w:r w:rsidR="0098607E">
        <w:t xml:space="preserve">nvestment </w:t>
      </w:r>
      <w:r w:rsidRPr="00722F00">
        <w:t>S</w:t>
      </w:r>
      <w:r w:rsidR="0098607E">
        <w:t xml:space="preserve">upport </w:t>
      </w:r>
      <w:r w:rsidRPr="00722F00">
        <w:t>S</w:t>
      </w:r>
      <w:r w:rsidR="0098607E">
        <w:t>ervices (QISS)</w:t>
      </w:r>
      <w:r w:rsidR="00693DCB">
        <w:t>,</w:t>
      </w:r>
      <w:r w:rsidR="0098607E">
        <w:t xml:space="preserve"> </w:t>
      </w:r>
      <w:r w:rsidR="00693DCB" w:rsidRPr="00722F00">
        <w:t>underscoring the program’s learning-first approach</w:t>
      </w:r>
      <w:r w:rsidR="00693DCB" w:rsidRPr="00544C10">
        <w:rPr>
          <w:lang w:val="en-AU"/>
        </w:rPr>
        <w:t>.</w:t>
      </w:r>
      <w:r w:rsidR="00693DCB">
        <w:rPr>
          <w:lang w:val="en-AU"/>
        </w:rPr>
        <w:t xml:space="preserve"> </w:t>
      </w:r>
      <w:r w:rsidR="0098607E">
        <w:t>A</w:t>
      </w:r>
      <w:r w:rsidRPr="00722F00">
        <w:t xml:space="preserve">dditional lessons </w:t>
      </w:r>
      <w:r w:rsidR="0098607E">
        <w:t xml:space="preserve">were </w:t>
      </w:r>
      <w:r w:rsidRPr="00722F00">
        <w:t xml:space="preserve">captured </w:t>
      </w:r>
      <w:r w:rsidR="0098607E">
        <w:t>in variou</w:t>
      </w:r>
      <w:r w:rsidR="00693DCB">
        <w:t xml:space="preserve">s reviews, including DFAT’s Final Investment Monitoring Report. </w:t>
      </w:r>
    </w:p>
    <w:p w14:paraId="4174D351" w14:textId="22CF16E3" w:rsidR="00902F90" w:rsidRPr="00544C10" w:rsidRDefault="00902F90" w:rsidP="00902F90">
      <w:pPr>
        <w:rPr>
          <w:lang w:val="en-AU"/>
        </w:rPr>
      </w:pPr>
      <w:r w:rsidRPr="00544C10">
        <w:rPr>
          <w:lang w:val="en-AU"/>
        </w:rPr>
        <w:t xml:space="preserve">In a period of </w:t>
      </w:r>
      <w:r w:rsidR="4D4A0764" w:rsidRPr="68985B5C">
        <w:rPr>
          <w:lang w:val="en-AU"/>
        </w:rPr>
        <w:t xml:space="preserve">challenge for </w:t>
      </w:r>
      <w:r w:rsidR="4D4A0764" w:rsidRPr="1227540F">
        <w:rPr>
          <w:lang w:val="en-AU"/>
        </w:rPr>
        <w:t>democracy internationally,</w:t>
      </w:r>
      <w:r w:rsidRPr="00544C10">
        <w:rPr>
          <w:lang w:val="en-AU"/>
        </w:rPr>
        <w:t xml:space="preserve"> success was not measured by policy wins alone. Instead, </w:t>
      </w:r>
      <w:proofErr w:type="spellStart"/>
      <w:r w:rsidRPr="00C5377B">
        <w:rPr>
          <w:lang w:val="en-AU"/>
        </w:rPr>
        <w:t>DemRes</w:t>
      </w:r>
      <w:proofErr w:type="spellEnd"/>
      <w:r w:rsidRPr="00544C10">
        <w:rPr>
          <w:lang w:val="en-AU"/>
        </w:rPr>
        <w:t xml:space="preserve"> demonstrated the strategic value of </w:t>
      </w:r>
      <w:r w:rsidR="3F07B209" w:rsidRPr="755888D1">
        <w:rPr>
          <w:lang w:val="en-AU"/>
        </w:rPr>
        <w:t xml:space="preserve">consolidating </w:t>
      </w:r>
      <w:r w:rsidRPr="00544C10">
        <w:rPr>
          <w:lang w:val="en-AU"/>
        </w:rPr>
        <w:t>democratic norms. Localised</w:t>
      </w:r>
      <w:r w:rsidR="00240972">
        <w:rPr>
          <w:lang w:val="en-AU"/>
        </w:rPr>
        <w:t xml:space="preserve"> </w:t>
      </w:r>
      <w:r w:rsidR="14668C41" w:rsidRPr="755888D1">
        <w:rPr>
          <w:lang w:val="en-AU"/>
        </w:rPr>
        <w:t xml:space="preserve">support for </w:t>
      </w:r>
      <w:r w:rsidRPr="00544C10">
        <w:rPr>
          <w:lang w:val="en-AU"/>
        </w:rPr>
        <w:t xml:space="preserve">electoral integrity, civic </w:t>
      </w:r>
      <w:r w:rsidR="50A3E1CE" w:rsidRPr="755888D1">
        <w:rPr>
          <w:lang w:val="en-AU"/>
        </w:rPr>
        <w:t>participation</w:t>
      </w:r>
      <w:r w:rsidRPr="00544C10">
        <w:rPr>
          <w:lang w:val="en-AU"/>
        </w:rPr>
        <w:t>, and democratic discourse</w:t>
      </w:r>
      <w:r>
        <w:rPr>
          <w:lang w:val="en-AU"/>
        </w:rPr>
        <w:t xml:space="preserve">, </w:t>
      </w:r>
      <w:r w:rsidRPr="00544C10">
        <w:rPr>
          <w:lang w:val="en-AU"/>
        </w:rPr>
        <w:t xml:space="preserve">such as </w:t>
      </w:r>
      <w:r w:rsidRPr="00486F72">
        <w:rPr>
          <w:i/>
        </w:rPr>
        <w:t xml:space="preserve">Yayasan Lembaga </w:t>
      </w:r>
      <w:r>
        <w:rPr>
          <w:i/>
        </w:rPr>
        <w:t>Kajian</w:t>
      </w:r>
      <w:r w:rsidRPr="00486F72">
        <w:rPr>
          <w:i/>
        </w:rPr>
        <w:t xml:space="preserve"> </w:t>
      </w:r>
      <w:r>
        <w:rPr>
          <w:i/>
          <w:iCs/>
        </w:rPr>
        <w:t>Islam’s</w:t>
      </w:r>
      <w:r w:rsidRPr="00544C10">
        <w:rPr>
          <w:lang w:val="en-AU"/>
        </w:rPr>
        <w:t xml:space="preserve"> advocacy during the 2024 election</w:t>
      </w:r>
      <w:r>
        <w:rPr>
          <w:lang w:val="en-AU"/>
        </w:rPr>
        <w:t xml:space="preserve">, </w:t>
      </w:r>
      <w:r w:rsidRPr="00544C10">
        <w:rPr>
          <w:lang w:val="en-AU"/>
        </w:rPr>
        <w:t>were emblematic of this approach.</w:t>
      </w:r>
    </w:p>
    <w:p w14:paraId="39DBA145" w14:textId="22ABC841" w:rsidR="00902F90" w:rsidRPr="00D52B8E" w:rsidRDefault="00902F90" w:rsidP="00902F90">
      <w:r w:rsidRPr="129B4E48">
        <w:rPr>
          <w:lang w:val="en-AU"/>
        </w:rPr>
        <w:t xml:space="preserve">Standard metrics like capacity </w:t>
      </w:r>
      <w:r w:rsidRPr="00E11090">
        <w:rPr>
          <w:lang w:val="en-AU"/>
        </w:rPr>
        <w:t xml:space="preserve">building or policy reform proved insufficient. </w:t>
      </w:r>
      <w:proofErr w:type="spellStart"/>
      <w:r w:rsidRPr="00E11090">
        <w:rPr>
          <w:lang w:val="en-AU"/>
        </w:rPr>
        <w:t>DemRes</w:t>
      </w:r>
      <w:proofErr w:type="spellEnd"/>
      <w:r w:rsidRPr="00E11090">
        <w:rPr>
          <w:lang w:val="en-AU"/>
        </w:rPr>
        <w:t xml:space="preserve"> instead validated outcomes</w:t>
      </w:r>
      <w:r w:rsidR="4518E013" w:rsidRPr="00E11090">
        <w:rPr>
          <w:lang w:val="en-AU"/>
        </w:rPr>
        <w:t xml:space="preserve"> that focused on consolidation</w:t>
      </w:r>
      <w:r w:rsidRPr="00E11090">
        <w:rPr>
          <w:lang w:val="en-AU"/>
        </w:rPr>
        <w:t xml:space="preserve">: </w:t>
      </w:r>
      <w:r w:rsidR="00D962DA" w:rsidRPr="00E11090">
        <w:rPr>
          <w:lang w:val="en-AU"/>
        </w:rPr>
        <w:t xml:space="preserve">maintaining </w:t>
      </w:r>
      <w:r w:rsidRPr="00E11090">
        <w:rPr>
          <w:lang w:val="en-AU"/>
        </w:rPr>
        <w:t>civic space</w:t>
      </w:r>
      <w:r w:rsidR="00D962DA" w:rsidRPr="00E11090">
        <w:rPr>
          <w:lang w:val="en-AU"/>
        </w:rPr>
        <w:t xml:space="preserve"> and</w:t>
      </w:r>
      <w:r w:rsidRPr="00E11090">
        <w:rPr>
          <w:lang w:val="en-AU"/>
        </w:rPr>
        <w:t xml:space="preserve"> democratic</w:t>
      </w:r>
      <w:r w:rsidRPr="129B4E48">
        <w:rPr>
          <w:lang w:val="en-AU"/>
        </w:rPr>
        <w:t xml:space="preserve"> </w:t>
      </w:r>
      <w:r w:rsidR="00B153E0" w:rsidRPr="129B4E48">
        <w:rPr>
          <w:lang w:val="en-AU"/>
        </w:rPr>
        <w:t>norms and</w:t>
      </w:r>
      <w:r w:rsidRPr="129B4E48">
        <w:rPr>
          <w:lang w:val="en-AU"/>
        </w:rPr>
        <w:t xml:space="preserve"> enabling participation. These outcomes align directly with </w:t>
      </w:r>
      <w:proofErr w:type="spellStart"/>
      <w:r w:rsidRPr="129B4E48">
        <w:rPr>
          <w:lang w:val="en-AU"/>
        </w:rPr>
        <w:t>Partisipasi’s</w:t>
      </w:r>
      <w:proofErr w:type="spellEnd"/>
      <w:r w:rsidRPr="129B4E48">
        <w:rPr>
          <w:lang w:val="en-AU"/>
        </w:rPr>
        <w:t xml:space="preserve"> EOPOs, particularly EOPO1</w:t>
      </w:r>
      <w:r w:rsidR="00D962DA">
        <w:rPr>
          <w:lang w:val="en-AU"/>
        </w:rPr>
        <w:t xml:space="preserve"> </w:t>
      </w:r>
      <w:r w:rsidRPr="129B4E48">
        <w:rPr>
          <w:lang w:val="en-AU"/>
        </w:rPr>
        <w:t xml:space="preserve">and EOPO2. </w:t>
      </w:r>
      <w:r w:rsidR="00D962DA">
        <w:rPr>
          <w:lang w:val="en-AU"/>
        </w:rPr>
        <w:t>R</w:t>
      </w:r>
      <w:r w:rsidRPr="129B4E48">
        <w:rPr>
          <w:lang w:val="en-AU"/>
        </w:rPr>
        <w:t xml:space="preserve">eviews confirmed that </w:t>
      </w:r>
      <w:proofErr w:type="spellStart"/>
      <w:r w:rsidRPr="00C5377B">
        <w:rPr>
          <w:lang w:val="en-AU"/>
        </w:rPr>
        <w:t>DemRes</w:t>
      </w:r>
      <w:proofErr w:type="spellEnd"/>
      <w:r w:rsidRPr="129B4E48">
        <w:rPr>
          <w:lang w:val="en-AU"/>
        </w:rPr>
        <w:t xml:space="preserve">: </w:t>
      </w:r>
      <w:r w:rsidR="001524A0">
        <w:rPr>
          <w:lang w:val="en-AU"/>
        </w:rPr>
        <w:t>B</w:t>
      </w:r>
      <w:r w:rsidRPr="129B4E48">
        <w:rPr>
          <w:lang w:val="en-AU"/>
        </w:rPr>
        <w:t xml:space="preserve">uilt institutional capacity within KPU and </w:t>
      </w:r>
      <w:proofErr w:type="spellStart"/>
      <w:r w:rsidRPr="129B4E48">
        <w:rPr>
          <w:lang w:val="en-AU"/>
        </w:rPr>
        <w:t>Bawaslu</w:t>
      </w:r>
      <w:proofErr w:type="spellEnd"/>
      <w:r w:rsidRPr="129B4E48">
        <w:rPr>
          <w:lang w:val="en-AU"/>
        </w:rPr>
        <w:t xml:space="preserve">; </w:t>
      </w:r>
      <w:r w:rsidR="001524A0">
        <w:rPr>
          <w:lang w:val="en-AU"/>
        </w:rPr>
        <w:t>S</w:t>
      </w:r>
      <w:r w:rsidRPr="129B4E48">
        <w:rPr>
          <w:lang w:val="en-AU"/>
        </w:rPr>
        <w:t>upported over 110 CSOs and 30 coalitions, including emerging and under</w:t>
      </w:r>
      <w:r w:rsidR="005B37F2">
        <w:rPr>
          <w:lang w:val="en-AU"/>
        </w:rPr>
        <w:t>-</w:t>
      </w:r>
      <w:r w:rsidRPr="129B4E48">
        <w:rPr>
          <w:lang w:val="en-AU"/>
        </w:rPr>
        <w:t xml:space="preserve">represented actors; </w:t>
      </w:r>
      <w:r w:rsidR="001524A0">
        <w:rPr>
          <w:lang w:val="en-AU"/>
        </w:rPr>
        <w:t>I</w:t>
      </w:r>
      <w:r w:rsidRPr="129B4E48">
        <w:rPr>
          <w:lang w:val="en-AU"/>
        </w:rPr>
        <w:t>nfluenced regulatory change, public campaigns, and coalition</w:t>
      </w:r>
      <w:r w:rsidR="00B00E78">
        <w:rPr>
          <w:lang w:val="en-AU"/>
        </w:rPr>
        <w:t xml:space="preserve"> </w:t>
      </w:r>
      <w:r w:rsidRPr="129B4E48">
        <w:rPr>
          <w:lang w:val="en-AU"/>
        </w:rPr>
        <w:t>building</w:t>
      </w:r>
      <w:r w:rsidR="006B0F55">
        <w:rPr>
          <w:lang w:val="en-AU"/>
        </w:rPr>
        <w:t>;</w:t>
      </w:r>
      <w:r w:rsidRPr="129B4E48">
        <w:rPr>
          <w:lang w:val="en-AU"/>
        </w:rPr>
        <w:t xml:space="preserve"> and piloted adaptive delivery models, especially for sensitive or digital-first initiatives.</w:t>
      </w:r>
    </w:p>
    <w:p w14:paraId="39C69B8C" w14:textId="7AA6ED2E" w:rsidR="00902F90" w:rsidRPr="00544C10" w:rsidRDefault="00902F90" w:rsidP="00902F90">
      <w:pPr>
        <w:rPr>
          <w:lang w:val="en-AU"/>
        </w:rPr>
      </w:pPr>
      <w:r w:rsidRPr="00544C10">
        <w:rPr>
          <w:lang w:val="en-AU"/>
        </w:rPr>
        <w:lastRenderedPageBreak/>
        <w:t>However, limitations in upfront design</w:t>
      </w:r>
      <w:r>
        <w:rPr>
          <w:lang w:val="en-AU"/>
        </w:rPr>
        <w:t xml:space="preserve">, </w:t>
      </w:r>
      <w:r w:rsidRPr="00544C10">
        <w:rPr>
          <w:lang w:val="en-AU"/>
        </w:rPr>
        <w:t xml:space="preserve">particularly in </w:t>
      </w:r>
      <w:r w:rsidR="00031FA1">
        <w:rPr>
          <w:lang w:val="en-AU"/>
        </w:rPr>
        <w:t>P</w:t>
      </w:r>
      <w:r w:rsidRPr="00544C10">
        <w:rPr>
          <w:lang w:val="en-AU"/>
        </w:rPr>
        <w:t xml:space="preserve">rogram </w:t>
      </w:r>
      <w:r w:rsidR="00031FA1">
        <w:rPr>
          <w:lang w:val="en-AU"/>
        </w:rPr>
        <w:t>L</w:t>
      </w:r>
      <w:r w:rsidRPr="00544C10">
        <w:rPr>
          <w:lang w:val="en-AU"/>
        </w:rPr>
        <w:t>ogic and MEL systems</w:t>
      </w:r>
      <w:r>
        <w:rPr>
          <w:lang w:val="en-AU"/>
        </w:rPr>
        <w:t xml:space="preserve">, </w:t>
      </w:r>
      <w:r w:rsidRPr="00544C10">
        <w:rPr>
          <w:lang w:val="en-AU"/>
        </w:rPr>
        <w:t xml:space="preserve">led to fragmented implementation across provinces and policy levels. The </w:t>
      </w:r>
      <w:r w:rsidR="006B0F55">
        <w:rPr>
          <w:lang w:val="en-AU"/>
        </w:rPr>
        <w:t>six</w:t>
      </w:r>
      <w:r w:rsidR="00300E50" w:rsidRPr="00544C10">
        <w:rPr>
          <w:lang w:val="en-AU"/>
        </w:rPr>
        <w:t xml:space="preserve"> </w:t>
      </w:r>
      <w:r w:rsidRPr="00544C10">
        <w:rPr>
          <w:lang w:val="en-AU"/>
        </w:rPr>
        <w:t>flexible intervention packages provided agility but lacked a cohesive framework for scaling and strategic learning.</w:t>
      </w:r>
    </w:p>
    <w:p w14:paraId="134A2EA4" w14:textId="77777777" w:rsidR="00902F90" w:rsidRPr="00C86765" w:rsidRDefault="00902F90" w:rsidP="00902F90">
      <w:pPr>
        <w:pStyle w:val="Heading5"/>
      </w:pPr>
      <w:r w:rsidRPr="00C86765">
        <w:t>Efficiency: Strategic Adaptation Over Cost Minimisation</w:t>
      </w:r>
    </w:p>
    <w:p w14:paraId="549283B3" w14:textId="485ED21C" w:rsidR="00902F90" w:rsidRPr="00544C10" w:rsidRDefault="00902F90" w:rsidP="00902F90">
      <w:pPr>
        <w:rPr>
          <w:lang w:val="en-AU"/>
        </w:rPr>
      </w:pPr>
      <w:proofErr w:type="spellStart"/>
      <w:r w:rsidRPr="00C5377B">
        <w:rPr>
          <w:lang w:val="en-AU"/>
        </w:rPr>
        <w:t>DemRes</w:t>
      </w:r>
      <w:proofErr w:type="spellEnd"/>
      <w:r w:rsidRPr="00D52B8E">
        <w:rPr>
          <w:lang w:val="en-AU"/>
        </w:rPr>
        <w:t xml:space="preserve"> demonstrated that flexible extensions and iterative experimentation were essential to remain aligned with</w:t>
      </w:r>
      <w:r w:rsidRPr="00544C10">
        <w:rPr>
          <w:lang w:val="en-AU"/>
        </w:rPr>
        <w:t xml:space="preserve"> </w:t>
      </w:r>
      <w:r w:rsidR="006D35D6">
        <w:rPr>
          <w:lang w:val="en-AU"/>
        </w:rPr>
        <w:t>local</w:t>
      </w:r>
      <w:r w:rsidR="006D35D6" w:rsidRPr="00544C10">
        <w:rPr>
          <w:lang w:val="en-AU"/>
        </w:rPr>
        <w:t xml:space="preserve"> </w:t>
      </w:r>
      <w:r w:rsidRPr="00544C10">
        <w:rPr>
          <w:lang w:val="en-AU"/>
        </w:rPr>
        <w:t>needs.</w:t>
      </w:r>
      <w:r w:rsidR="0012039B">
        <w:rPr>
          <w:lang w:val="en-AU"/>
        </w:rPr>
        <w:t xml:space="preserve"> </w:t>
      </w:r>
      <w:r w:rsidRPr="00544C10">
        <w:rPr>
          <w:lang w:val="en-AU"/>
        </w:rPr>
        <w:t>Increased costs during critical periods</w:t>
      </w:r>
      <w:r>
        <w:rPr>
          <w:lang w:val="en-AU"/>
        </w:rPr>
        <w:t xml:space="preserve">, </w:t>
      </w:r>
      <w:r w:rsidRPr="00544C10">
        <w:rPr>
          <w:lang w:val="en-AU"/>
        </w:rPr>
        <w:t>such as the 2024 elections</w:t>
      </w:r>
      <w:r>
        <w:rPr>
          <w:lang w:val="en-AU"/>
        </w:rPr>
        <w:t xml:space="preserve">, </w:t>
      </w:r>
      <w:r w:rsidRPr="00544C10">
        <w:rPr>
          <w:lang w:val="en-AU"/>
        </w:rPr>
        <w:t xml:space="preserve">were not inefficiencies, but necessary investments to </w:t>
      </w:r>
      <w:r w:rsidR="467D834C" w:rsidRPr="5A26EBCF">
        <w:rPr>
          <w:lang w:val="en-AU"/>
        </w:rPr>
        <w:t xml:space="preserve">consolidate </w:t>
      </w:r>
      <w:r w:rsidR="006D35D6">
        <w:rPr>
          <w:lang w:val="en-AU"/>
        </w:rPr>
        <w:t>program achievement</w:t>
      </w:r>
      <w:r w:rsidR="0012039B">
        <w:rPr>
          <w:lang w:val="en-AU"/>
        </w:rPr>
        <w:t>s</w:t>
      </w:r>
      <w:r w:rsidRPr="00544C10">
        <w:rPr>
          <w:lang w:val="en-AU"/>
        </w:rPr>
        <w:t>. These short-term expenditures yielded long-term value.</w:t>
      </w:r>
      <w:r w:rsidR="0012039B">
        <w:rPr>
          <w:lang w:val="en-AU"/>
        </w:rPr>
        <w:t xml:space="preserve"> </w:t>
      </w:r>
      <w:r w:rsidRPr="00544C10">
        <w:rPr>
          <w:lang w:val="en-AU"/>
        </w:rPr>
        <w:t>The program’s complex and resource-intensive delivery structure enabled trust-building, localisation, and agility</w:t>
      </w:r>
      <w:r>
        <w:rPr>
          <w:lang w:val="en-AU"/>
        </w:rPr>
        <w:t xml:space="preserve">, </w:t>
      </w:r>
      <w:r w:rsidRPr="00544C10">
        <w:rPr>
          <w:lang w:val="en-AU"/>
        </w:rPr>
        <w:t xml:space="preserve">traits essential in a polarised and contested environment. </w:t>
      </w:r>
    </w:p>
    <w:p w14:paraId="13D34CB6" w14:textId="77777777" w:rsidR="00902F90" w:rsidRPr="00C86765" w:rsidRDefault="00902F90" w:rsidP="00902F90">
      <w:pPr>
        <w:pStyle w:val="Heading5"/>
      </w:pPr>
      <w:r w:rsidRPr="00C86765">
        <w:t>Sustainability: Investing in Civic Infrastructure</w:t>
      </w:r>
    </w:p>
    <w:p w14:paraId="2379F6DD" w14:textId="1A43B645" w:rsidR="00902F90" w:rsidRDefault="00902F90" w:rsidP="00902F90">
      <w:pPr>
        <w:rPr>
          <w:lang w:val="en-AU"/>
        </w:rPr>
      </w:pPr>
      <w:proofErr w:type="spellStart"/>
      <w:r w:rsidRPr="00C5377B">
        <w:rPr>
          <w:lang w:val="en-AU"/>
        </w:rPr>
        <w:t>DemRes</w:t>
      </w:r>
      <w:proofErr w:type="spellEnd"/>
      <w:r w:rsidRPr="129B4E48">
        <w:rPr>
          <w:lang w:val="en-AU"/>
        </w:rPr>
        <w:t xml:space="preserve"> challenged conventional assumptions about sustainability</w:t>
      </w:r>
      <w:r w:rsidR="00A23E2F">
        <w:rPr>
          <w:lang w:val="en-AU"/>
        </w:rPr>
        <w:t>. F</w:t>
      </w:r>
      <w:r w:rsidRPr="129B4E48">
        <w:rPr>
          <w:lang w:val="en-AU"/>
        </w:rPr>
        <w:t xml:space="preserve">ormal policy change </w:t>
      </w:r>
      <w:r w:rsidR="00A23E2F">
        <w:rPr>
          <w:lang w:val="en-AU"/>
        </w:rPr>
        <w:t>can be</w:t>
      </w:r>
      <w:r w:rsidR="00A23E2F" w:rsidRPr="129B4E48">
        <w:rPr>
          <w:lang w:val="en-AU"/>
        </w:rPr>
        <w:t xml:space="preserve"> </w:t>
      </w:r>
      <w:r w:rsidRPr="129B4E48">
        <w:rPr>
          <w:lang w:val="en-AU"/>
        </w:rPr>
        <w:t>fragile and easily reversed. More durable outcomes emerged from investments in civic literacy, embedded advocacy norms, and informal leadership networks.</w:t>
      </w:r>
      <w:r w:rsidR="0040311A">
        <w:rPr>
          <w:lang w:val="en-AU"/>
        </w:rPr>
        <w:t xml:space="preserve"> </w:t>
      </w:r>
      <w:r w:rsidRPr="00544C10">
        <w:rPr>
          <w:lang w:val="en-AU"/>
        </w:rPr>
        <w:t>Sustainability lies in supporting actors beyond formal CSOs</w:t>
      </w:r>
      <w:r>
        <w:rPr>
          <w:lang w:val="en-AU"/>
        </w:rPr>
        <w:t xml:space="preserve">, </w:t>
      </w:r>
      <w:r w:rsidR="00B07D01">
        <w:rPr>
          <w:lang w:val="en-AU"/>
        </w:rPr>
        <w:t xml:space="preserve">such as </w:t>
      </w:r>
      <w:r w:rsidRPr="00544C10">
        <w:rPr>
          <w:lang w:val="en-AU"/>
        </w:rPr>
        <w:t>youth groups, academic networks, digital communities, and neighbourhood coalitions. These actors operate outside traditional NGO models and are often more agile, trusted, and resilient.</w:t>
      </w:r>
      <w:r w:rsidR="00A24AF1">
        <w:rPr>
          <w:lang w:val="en-AU"/>
        </w:rPr>
        <w:t xml:space="preserve"> </w:t>
      </w:r>
      <w:r w:rsidRPr="00544C10">
        <w:rPr>
          <w:lang w:val="en-AU"/>
        </w:rPr>
        <w:t xml:space="preserve">The legacy of </w:t>
      </w:r>
      <w:proofErr w:type="spellStart"/>
      <w:r w:rsidRPr="00C5377B">
        <w:rPr>
          <w:lang w:val="en-AU"/>
        </w:rPr>
        <w:t>DemRes</w:t>
      </w:r>
      <w:proofErr w:type="spellEnd"/>
      <w:r w:rsidRPr="00544C10">
        <w:rPr>
          <w:lang w:val="en-AU"/>
        </w:rPr>
        <w:t xml:space="preserve"> is not institutional permanence, but distributed civic capacities</w:t>
      </w:r>
      <w:r>
        <w:rPr>
          <w:lang w:val="en-AU"/>
        </w:rPr>
        <w:t xml:space="preserve">, </w:t>
      </w:r>
      <w:r w:rsidRPr="00544C10">
        <w:rPr>
          <w:lang w:val="en-AU"/>
        </w:rPr>
        <w:t xml:space="preserve">the ability to </w:t>
      </w:r>
      <w:r w:rsidR="0040311A">
        <w:rPr>
          <w:lang w:val="en-AU"/>
        </w:rPr>
        <w:t>collaborate</w:t>
      </w:r>
      <w:r w:rsidRPr="00544C10">
        <w:rPr>
          <w:lang w:val="en-AU"/>
        </w:rPr>
        <w:t xml:space="preserve">, deliberate, and </w:t>
      </w:r>
      <w:r w:rsidR="2205C579" w:rsidRPr="5A26EBCF">
        <w:rPr>
          <w:lang w:val="en-AU"/>
        </w:rPr>
        <w:t>support</w:t>
      </w:r>
      <w:r w:rsidRPr="00544C10">
        <w:rPr>
          <w:lang w:val="en-AU"/>
        </w:rPr>
        <w:t xml:space="preserve"> democratic values in adaptive ways. This insight is foundational to </w:t>
      </w:r>
      <w:proofErr w:type="spellStart"/>
      <w:r w:rsidRPr="00D84A7F">
        <w:rPr>
          <w:iCs/>
          <w:lang w:val="en-AU"/>
        </w:rPr>
        <w:t>Partisipasi</w:t>
      </w:r>
      <w:r w:rsidRPr="00544C10">
        <w:rPr>
          <w:lang w:val="en-AU"/>
        </w:rPr>
        <w:t>’s</w:t>
      </w:r>
      <w:proofErr w:type="spellEnd"/>
      <w:r w:rsidRPr="00544C10">
        <w:rPr>
          <w:lang w:val="en-AU"/>
        </w:rPr>
        <w:t xml:space="preserve"> focus on strengthening civic actors and collaborative democratic action.</w:t>
      </w:r>
    </w:p>
    <w:p w14:paraId="7E9E7081" w14:textId="77777777" w:rsidR="009A4587" w:rsidRPr="00F8571F" w:rsidRDefault="009A4587" w:rsidP="009553BD">
      <w:pPr>
        <w:pStyle w:val="Heading3"/>
        <w:numPr>
          <w:ilvl w:val="6"/>
          <w:numId w:val="7"/>
        </w:numPr>
        <w:spacing w:before="240"/>
        <w:ind w:left="426"/>
      </w:pPr>
      <w:r>
        <w:t>Lessons from other DFAT Programs</w:t>
      </w:r>
      <w:r w:rsidRPr="00F8571F">
        <w:t xml:space="preserve"> </w:t>
      </w:r>
    </w:p>
    <w:p w14:paraId="1F4F04C5" w14:textId="77777777" w:rsidR="009A4587" w:rsidRPr="00F8571F" w:rsidRDefault="009A4587" w:rsidP="009A4587">
      <w:pPr>
        <w:rPr>
          <w:lang w:val="en-AU"/>
        </w:rPr>
      </w:pPr>
      <w:proofErr w:type="spellStart"/>
      <w:r w:rsidRPr="00D84A7F">
        <w:rPr>
          <w:iCs/>
          <w:lang w:val="en-AU"/>
        </w:rPr>
        <w:t>Partisipasi</w:t>
      </w:r>
      <w:proofErr w:type="spellEnd"/>
      <w:r w:rsidRPr="00F8571F">
        <w:rPr>
          <w:lang w:val="en-AU"/>
        </w:rPr>
        <w:t xml:space="preserve"> draws on cross-program learning to strengthen its strategic coherence:</w:t>
      </w:r>
    </w:p>
    <w:p w14:paraId="3576AF71" w14:textId="7D7FC00E" w:rsidR="009A4587" w:rsidRPr="00F8571F" w:rsidRDefault="009A4587" w:rsidP="00D3558F">
      <w:pPr>
        <w:numPr>
          <w:ilvl w:val="0"/>
          <w:numId w:val="22"/>
        </w:numPr>
        <w:spacing w:after="120" w:line="240" w:lineRule="auto"/>
        <w:rPr>
          <w:lang w:val="en-AU"/>
        </w:rPr>
      </w:pPr>
      <w:r w:rsidRPr="00F8571F">
        <w:rPr>
          <w:b/>
          <w:bCs/>
          <w:lang w:val="en-AU"/>
        </w:rPr>
        <w:t>AIPJ2</w:t>
      </w:r>
      <w:r w:rsidRPr="00F8571F">
        <w:rPr>
          <w:lang w:val="en-AU"/>
        </w:rPr>
        <w:t> demonstrated the value of multi-stakeholder coalitions</w:t>
      </w:r>
    </w:p>
    <w:p w14:paraId="25354C88" w14:textId="1A46F978" w:rsidR="009A4587" w:rsidRPr="00F8571F" w:rsidRDefault="009A4587" w:rsidP="00D3558F">
      <w:pPr>
        <w:numPr>
          <w:ilvl w:val="0"/>
          <w:numId w:val="22"/>
        </w:numPr>
        <w:spacing w:after="120" w:line="240" w:lineRule="auto"/>
        <w:rPr>
          <w:lang w:val="en-AU"/>
        </w:rPr>
      </w:pPr>
      <w:r w:rsidRPr="00F8571F">
        <w:rPr>
          <w:b/>
          <w:bCs/>
          <w:lang w:val="en-AU"/>
        </w:rPr>
        <w:t>INKLUSI</w:t>
      </w:r>
      <w:r w:rsidRPr="00F8571F">
        <w:rPr>
          <w:lang w:val="en-AU"/>
        </w:rPr>
        <w:t xml:space="preserve"> provided models for integrated GEDSI approaches, shaping the program’s inclusion strategies </w:t>
      </w:r>
    </w:p>
    <w:p w14:paraId="08C5C604" w14:textId="372EEFC5" w:rsidR="009A4587" w:rsidRPr="00F8571F" w:rsidRDefault="009A4587" w:rsidP="00D3558F">
      <w:pPr>
        <w:numPr>
          <w:ilvl w:val="0"/>
          <w:numId w:val="22"/>
        </w:numPr>
        <w:spacing w:after="120" w:line="240" w:lineRule="auto"/>
        <w:rPr>
          <w:lang w:val="en-AU"/>
        </w:rPr>
      </w:pPr>
      <w:r w:rsidRPr="00F8571F">
        <w:rPr>
          <w:b/>
          <w:bCs/>
          <w:lang w:val="en-AU"/>
        </w:rPr>
        <w:t>SKALA</w:t>
      </w:r>
      <w:r w:rsidRPr="00F8571F">
        <w:rPr>
          <w:lang w:val="en-AU"/>
        </w:rPr>
        <w:t xml:space="preserve"> highlighted decentralised reform pathways, reinforcing </w:t>
      </w:r>
      <w:proofErr w:type="spellStart"/>
      <w:r w:rsidRPr="00F8571F">
        <w:rPr>
          <w:lang w:val="en-AU"/>
        </w:rPr>
        <w:t>Partisipasi’s</w:t>
      </w:r>
      <w:proofErr w:type="spellEnd"/>
      <w:r w:rsidRPr="00F8571F">
        <w:rPr>
          <w:lang w:val="en-AU"/>
        </w:rPr>
        <w:t xml:space="preserve"> localised delivery.</w:t>
      </w:r>
    </w:p>
    <w:p w14:paraId="264A3B4E" w14:textId="77777777" w:rsidR="009A4587" w:rsidRDefault="009A4587" w:rsidP="009A4587">
      <w:pPr>
        <w:rPr>
          <w:rFonts w:eastAsia="Times New Roman" w:cs="Times New Roman"/>
          <w:szCs w:val="21"/>
          <w:lang w:val="en-AU"/>
        </w:rPr>
      </w:pPr>
      <w:r w:rsidRPr="00F8571F">
        <w:rPr>
          <w:lang w:val="en-AU"/>
        </w:rPr>
        <w:t xml:space="preserve">These insights ensure that </w:t>
      </w:r>
      <w:proofErr w:type="spellStart"/>
      <w:r w:rsidRPr="00D84A7F">
        <w:rPr>
          <w:iCs/>
          <w:lang w:val="en-AU"/>
        </w:rPr>
        <w:t>Partisipasi</w:t>
      </w:r>
      <w:proofErr w:type="spellEnd"/>
      <w:r w:rsidRPr="00F8571F">
        <w:rPr>
          <w:lang w:val="en-AU"/>
        </w:rPr>
        <w:t xml:space="preserve"> is not only grounded in evidence but also positioned to contribute to DFAT’s broader governance and inclusion portfolio.</w:t>
      </w:r>
      <w:r>
        <w:rPr>
          <w:rFonts w:eastAsia="Times New Roman" w:cs="Times New Roman"/>
          <w:szCs w:val="21"/>
          <w:lang w:val="en-AU"/>
        </w:rPr>
        <w:t xml:space="preserve"> </w:t>
      </w:r>
    </w:p>
    <w:p w14:paraId="19004E7C" w14:textId="32B42F96" w:rsidR="00902F90" w:rsidRPr="009553BD" w:rsidRDefault="00902F90" w:rsidP="009553BD">
      <w:pPr>
        <w:pStyle w:val="Heading3"/>
        <w:numPr>
          <w:ilvl w:val="6"/>
          <w:numId w:val="7"/>
        </w:numPr>
        <w:spacing w:before="240"/>
        <w:ind w:left="426"/>
        <w:rPr>
          <w:bCs w:val="0"/>
        </w:rPr>
      </w:pPr>
      <w:r w:rsidRPr="009553BD">
        <w:t xml:space="preserve">Global Lessons </w:t>
      </w:r>
    </w:p>
    <w:p w14:paraId="287F9B27" w14:textId="70C37F5E" w:rsidR="00902F90" w:rsidRPr="00865C44" w:rsidRDefault="09B5AAB8" w:rsidP="00902F90">
      <w:pPr>
        <w:rPr>
          <w:lang w:val="en-AU"/>
        </w:rPr>
      </w:pPr>
      <w:r w:rsidRPr="00BBF7E8">
        <w:rPr>
          <w:lang w:val="en-AU"/>
        </w:rPr>
        <w:t>Internationally</w:t>
      </w:r>
      <w:r w:rsidR="00902F90" w:rsidRPr="129B4E48">
        <w:rPr>
          <w:lang w:val="en-AU"/>
        </w:rPr>
        <w:t>, successful interventions have supported informal participation strategies</w:t>
      </w:r>
      <w:r w:rsidR="00615775">
        <w:rPr>
          <w:lang w:val="en-AU"/>
        </w:rPr>
        <w:t xml:space="preserve">, which </w:t>
      </w:r>
      <w:r w:rsidR="00902F90" w:rsidRPr="129B4E48">
        <w:rPr>
          <w:lang w:val="en-AU"/>
        </w:rPr>
        <w:t xml:space="preserve">have proven effective in contexts where </w:t>
      </w:r>
      <w:r w:rsidR="5381D344" w:rsidRPr="190E57AD">
        <w:rPr>
          <w:lang w:val="en-AU"/>
        </w:rPr>
        <w:t>changes in technology mean</w:t>
      </w:r>
      <w:r w:rsidR="00902F90" w:rsidRPr="129B4E48">
        <w:rPr>
          <w:lang w:val="en-AU"/>
        </w:rPr>
        <w:t xml:space="preserve"> democratic engagement increasingly occurs outside conventional civil society structures. </w:t>
      </w:r>
      <w:r w:rsidR="766CDAF1" w:rsidRPr="190E57AD">
        <w:rPr>
          <w:lang w:val="en-AU"/>
        </w:rPr>
        <w:t>International experience</w:t>
      </w:r>
      <w:r w:rsidR="00902F90" w:rsidRPr="129B4E48">
        <w:rPr>
          <w:lang w:val="en-AU"/>
        </w:rPr>
        <w:t xml:space="preserve"> also highlights the importance of decentralisation, subnational governance, and the role of independent commissions and media in sustaining democratic norms.</w:t>
      </w:r>
    </w:p>
    <w:p w14:paraId="426FF58B" w14:textId="45926203" w:rsidR="00902F90" w:rsidRPr="00544C10" w:rsidRDefault="00902F90" w:rsidP="00902F90">
      <w:pPr>
        <w:rPr>
          <w:lang w:val="en-AU"/>
        </w:rPr>
      </w:pPr>
      <w:r w:rsidRPr="129B4E48">
        <w:rPr>
          <w:lang w:val="en-AU"/>
        </w:rPr>
        <w:t xml:space="preserve">Critically, the global evidence points to the need for politically informed, adaptive programming that can respond to shifting power dynamics and civic demands. Programs must be designed to empower civil society, incentivise restraint, and support accountability mechanisms across horizontal, vertical, and diagonal dimensions. These insights directly inform </w:t>
      </w:r>
      <w:proofErr w:type="spellStart"/>
      <w:r w:rsidRPr="129B4E48">
        <w:rPr>
          <w:lang w:val="en-AU"/>
        </w:rPr>
        <w:t>Partisipasi’s</w:t>
      </w:r>
      <w:proofErr w:type="spellEnd"/>
      <w:r w:rsidRPr="129B4E48">
        <w:rPr>
          <w:lang w:val="en-AU"/>
        </w:rPr>
        <w:t xml:space="preserve"> orientation</w:t>
      </w:r>
      <w:r w:rsidR="00F54796">
        <w:rPr>
          <w:lang w:val="en-AU"/>
        </w:rPr>
        <w:t xml:space="preserve"> – </w:t>
      </w:r>
      <w:r w:rsidRPr="129B4E48">
        <w:rPr>
          <w:lang w:val="en-AU"/>
        </w:rPr>
        <w:t>emphasising civic agency, inclusive discourse, and resilience beyond procedural democracy.</w:t>
      </w:r>
    </w:p>
    <w:p w14:paraId="12EC882D" w14:textId="0D148F8C" w:rsidR="00902F90" w:rsidRPr="00544C10" w:rsidRDefault="00902F90" w:rsidP="00902F90">
      <w:pPr>
        <w:rPr>
          <w:lang w:val="en-AU"/>
        </w:rPr>
      </w:pPr>
      <w:r w:rsidRPr="00544C10">
        <w:rPr>
          <w:lang w:val="en-AU"/>
        </w:rPr>
        <w:t xml:space="preserve">To ensure </w:t>
      </w:r>
      <w:proofErr w:type="spellStart"/>
      <w:r w:rsidRPr="00D84A7F">
        <w:rPr>
          <w:iCs/>
          <w:lang w:val="en-AU"/>
        </w:rPr>
        <w:t>Partisipasi</w:t>
      </w:r>
      <w:proofErr w:type="spellEnd"/>
      <w:r w:rsidRPr="00544C10">
        <w:rPr>
          <w:lang w:val="en-AU"/>
        </w:rPr>
        <w:t xml:space="preserve"> is strategically positioned to </w:t>
      </w:r>
      <w:r w:rsidR="005048E9">
        <w:rPr>
          <w:lang w:val="en-AU"/>
        </w:rPr>
        <w:t>support</w:t>
      </w:r>
      <w:r w:rsidRPr="00544C10">
        <w:rPr>
          <w:lang w:val="en-AU"/>
        </w:rPr>
        <w:t xml:space="preserve"> Indonesia’s democratic </w:t>
      </w:r>
      <w:r w:rsidR="005048E9">
        <w:rPr>
          <w:lang w:val="en-AU"/>
        </w:rPr>
        <w:t>growth</w:t>
      </w:r>
      <w:r w:rsidRPr="00544C10">
        <w:rPr>
          <w:lang w:val="en-AU"/>
        </w:rPr>
        <w:t xml:space="preserve">, </w:t>
      </w:r>
      <w:r w:rsidR="003635C2">
        <w:rPr>
          <w:lang w:val="en-AU"/>
        </w:rPr>
        <w:t>global evidence includes the following recommendations</w:t>
      </w:r>
      <w:r w:rsidRPr="00544C10">
        <w:rPr>
          <w:lang w:val="en-AU"/>
        </w:rPr>
        <w:t>:</w:t>
      </w:r>
    </w:p>
    <w:p w14:paraId="1730E19E" w14:textId="1B35D297" w:rsidR="00902F90" w:rsidRPr="00544C10" w:rsidRDefault="00902F90" w:rsidP="00D3558F">
      <w:pPr>
        <w:numPr>
          <w:ilvl w:val="0"/>
          <w:numId w:val="20"/>
        </w:numPr>
        <w:spacing w:after="120" w:line="240" w:lineRule="auto"/>
        <w:rPr>
          <w:lang w:val="en-AU"/>
        </w:rPr>
      </w:pPr>
      <w:r w:rsidRPr="129B4E48">
        <w:rPr>
          <w:b/>
          <w:bCs/>
          <w:lang w:val="en-AU"/>
        </w:rPr>
        <w:t>Design Context-Specific Metrics:</w:t>
      </w:r>
      <w:r w:rsidR="005048E9">
        <w:rPr>
          <w:lang w:val="en-AU"/>
        </w:rPr>
        <w:t xml:space="preserve"> </w:t>
      </w:r>
      <w:r w:rsidRPr="129B4E48">
        <w:rPr>
          <w:lang w:val="en-AU"/>
        </w:rPr>
        <w:t>Define effectiveness, efficiency, and sustainability in terms of resilience, stabilisation, and civic participation, not linear policy impact</w:t>
      </w:r>
      <w:r w:rsidR="002C1EC9">
        <w:rPr>
          <w:lang w:val="en-AU"/>
        </w:rPr>
        <w:t>.</w:t>
      </w:r>
    </w:p>
    <w:p w14:paraId="494C37E0" w14:textId="4C6F3224" w:rsidR="00902F90" w:rsidRPr="00544C10" w:rsidRDefault="00902F90" w:rsidP="00D3558F">
      <w:pPr>
        <w:numPr>
          <w:ilvl w:val="0"/>
          <w:numId w:val="20"/>
        </w:numPr>
        <w:spacing w:after="120" w:line="240" w:lineRule="auto"/>
        <w:rPr>
          <w:lang w:val="en-AU"/>
        </w:rPr>
      </w:pPr>
      <w:r w:rsidRPr="00544C10">
        <w:rPr>
          <w:b/>
          <w:bCs/>
          <w:lang w:val="en-AU"/>
        </w:rPr>
        <w:lastRenderedPageBreak/>
        <w:t>Broaden Democratic Resilience:</w:t>
      </w:r>
      <w:r w:rsidRPr="00544C10">
        <w:rPr>
          <w:lang w:val="en-AU"/>
        </w:rPr>
        <w:t> Move beyond elections and formal accountability mechanisms to support civic agency, digital resilience, and inclusive public discourse</w:t>
      </w:r>
      <w:r w:rsidR="002C1EC9">
        <w:rPr>
          <w:lang w:val="en-AU"/>
        </w:rPr>
        <w:t>.</w:t>
      </w:r>
    </w:p>
    <w:p w14:paraId="0C085F2D" w14:textId="4A26122B" w:rsidR="00902F90" w:rsidRPr="00544C10" w:rsidRDefault="00902F90" w:rsidP="00D3558F">
      <w:pPr>
        <w:numPr>
          <w:ilvl w:val="0"/>
          <w:numId w:val="20"/>
        </w:numPr>
        <w:spacing w:after="120" w:line="240" w:lineRule="auto"/>
        <w:rPr>
          <w:lang w:val="en-AU"/>
        </w:rPr>
      </w:pPr>
      <w:r w:rsidRPr="00544C10">
        <w:rPr>
          <w:b/>
          <w:bCs/>
          <w:lang w:val="en-AU"/>
        </w:rPr>
        <w:t>Select Strategic Partners and Modalities:</w:t>
      </w:r>
      <w:r w:rsidRPr="00544C10">
        <w:rPr>
          <w:lang w:val="en-AU"/>
        </w:rPr>
        <w:t> Prioritise partners with agility, civic legitimacy, and local trust. Use arms-length, peer-based approaches with state actors to maintain credibility</w:t>
      </w:r>
      <w:r w:rsidR="002C1EC9">
        <w:rPr>
          <w:lang w:val="en-AU"/>
        </w:rPr>
        <w:t>.</w:t>
      </w:r>
    </w:p>
    <w:p w14:paraId="3837E9CF" w14:textId="3193E9FE" w:rsidR="00902F90" w:rsidRPr="00B35332" w:rsidRDefault="00902F90" w:rsidP="00D3558F">
      <w:pPr>
        <w:numPr>
          <w:ilvl w:val="0"/>
          <w:numId w:val="20"/>
        </w:numPr>
        <w:spacing w:after="120" w:line="240" w:lineRule="auto"/>
        <w:rPr>
          <w:lang w:val="en-AU"/>
        </w:rPr>
      </w:pPr>
      <w:r w:rsidRPr="00544C10">
        <w:rPr>
          <w:b/>
          <w:bCs/>
          <w:lang w:val="en-AU"/>
        </w:rPr>
        <w:t>Invest in Adaptive Learning:</w:t>
      </w:r>
      <w:r w:rsidRPr="00544C10">
        <w:rPr>
          <w:lang w:val="en-AU"/>
        </w:rPr>
        <w:t> Build MEL systems that integrate political analysis, civic mapping, qualitative tracking, and real-time feedback. Use these systems actively for program adaptation and decision-making</w:t>
      </w:r>
      <w:r w:rsidRPr="00B35332">
        <w:rPr>
          <w:lang w:val="en-AU"/>
        </w:rPr>
        <w:t>.</w:t>
      </w:r>
    </w:p>
    <w:p w14:paraId="54118756" w14:textId="06317C58" w:rsidR="00902F90" w:rsidRPr="005B6A59" w:rsidRDefault="00902F90" w:rsidP="009553BD">
      <w:pPr>
        <w:pStyle w:val="Heading3"/>
        <w:numPr>
          <w:ilvl w:val="6"/>
          <w:numId w:val="7"/>
        </w:numPr>
        <w:spacing w:before="240"/>
        <w:ind w:left="426"/>
      </w:pPr>
      <w:r w:rsidRPr="005B6A59">
        <w:t xml:space="preserve">Operationalising Lessons in </w:t>
      </w:r>
      <w:r w:rsidR="002561D2">
        <w:t xml:space="preserve">the </w:t>
      </w:r>
      <w:proofErr w:type="spellStart"/>
      <w:r w:rsidRPr="005B6A59">
        <w:t>Partisipasi</w:t>
      </w:r>
      <w:proofErr w:type="spellEnd"/>
      <w:r w:rsidR="002561D2">
        <w:t xml:space="preserve"> Design</w:t>
      </w:r>
    </w:p>
    <w:p w14:paraId="6FA0CDE9" w14:textId="77777777" w:rsidR="00902F90" w:rsidRPr="00F8571F" w:rsidRDefault="00902F90" w:rsidP="00902F90">
      <w:pPr>
        <w:pStyle w:val="Heading5"/>
      </w:pPr>
      <w:r w:rsidRPr="00F8571F">
        <w:t>Embedding Context-Specific Metrics and Adaptive Learning</w:t>
      </w:r>
    </w:p>
    <w:p w14:paraId="68A62518" w14:textId="4A27209A" w:rsidR="00902F90" w:rsidRPr="00F8571F" w:rsidRDefault="00902F90" w:rsidP="00902F90">
      <w:pPr>
        <w:rPr>
          <w:lang w:val="en-AU"/>
        </w:rPr>
      </w:pPr>
      <w:proofErr w:type="spellStart"/>
      <w:r w:rsidRPr="129B4E48">
        <w:rPr>
          <w:lang w:val="en-AU"/>
        </w:rPr>
        <w:t>Partisipasi</w:t>
      </w:r>
      <w:proofErr w:type="spellEnd"/>
      <w:r w:rsidRPr="129B4E48">
        <w:rPr>
          <w:lang w:val="en-AU"/>
        </w:rPr>
        <w:t xml:space="preserve"> adopts a resilience-oriented approach to effectiveness, efficiency, and sustainability. Rather than relying on linear policy outcomes, the program defines success through stability, civic participation, and the preservation of democratic norms. This is reflected in the EOPOs and IOs.</w:t>
      </w:r>
      <w:r w:rsidR="00E85FC0">
        <w:rPr>
          <w:lang w:val="en-AU"/>
        </w:rPr>
        <w:t xml:space="preserve"> </w:t>
      </w:r>
      <w:proofErr w:type="spellStart"/>
      <w:r w:rsidRPr="00F8571F">
        <w:rPr>
          <w:lang w:val="en-AU"/>
        </w:rPr>
        <w:t>Partisipasi</w:t>
      </w:r>
      <w:proofErr w:type="spellEnd"/>
      <w:r w:rsidRPr="00F8571F">
        <w:rPr>
          <w:lang w:val="en-AU"/>
        </w:rPr>
        <w:t xml:space="preserve"> integrates a politically informed </w:t>
      </w:r>
      <w:r>
        <w:rPr>
          <w:lang w:val="en-AU"/>
        </w:rPr>
        <w:t xml:space="preserve">MEL </w:t>
      </w:r>
      <w:r w:rsidRPr="00F8571F">
        <w:rPr>
          <w:lang w:val="en-AU"/>
        </w:rPr>
        <w:t>system. The system is designed to capture both tangible outputs and intangible shifts</w:t>
      </w:r>
      <w:r>
        <w:rPr>
          <w:lang w:val="en-AU"/>
        </w:rPr>
        <w:t xml:space="preserve">, </w:t>
      </w:r>
      <w:r w:rsidRPr="00F8571F">
        <w:rPr>
          <w:lang w:val="en-AU"/>
        </w:rPr>
        <w:t xml:space="preserve">such as changes in civic behaviour, discourse, and trust. It draws on lessons from </w:t>
      </w:r>
      <w:proofErr w:type="spellStart"/>
      <w:r w:rsidRPr="00C5377B">
        <w:rPr>
          <w:lang w:val="en-AU"/>
        </w:rPr>
        <w:t>DemRes</w:t>
      </w:r>
      <w:proofErr w:type="spellEnd"/>
      <w:r w:rsidRPr="00F8571F">
        <w:rPr>
          <w:lang w:val="en-AU"/>
        </w:rPr>
        <w:t>, which highlighted the limitations of output-centric ME</w:t>
      </w:r>
      <w:r>
        <w:rPr>
          <w:lang w:val="en-AU"/>
        </w:rPr>
        <w:t>L</w:t>
      </w:r>
      <w:r w:rsidRPr="00F8571F">
        <w:rPr>
          <w:lang w:val="en-AU"/>
        </w:rPr>
        <w:t xml:space="preserve"> and the need for real-time feedback loops and qualitative tracking.</w:t>
      </w:r>
    </w:p>
    <w:p w14:paraId="48EA0A25" w14:textId="47D528A8" w:rsidR="00902F90" w:rsidRPr="00F8571F" w:rsidRDefault="00E85FC0" w:rsidP="00902F90">
      <w:pPr>
        <w:pStyle w:val="Heading5"/>
      </w:pPr>
      <w:r>
        <w:t>Adjusting</w:t>
      </w:r>
      <w:r w:rsidRPr="00F8571F">
        <w:t xml:space="preserve"> </w:t>
      </w:r>
      <w:r w:rsidR="00902F90" w:rsidRPr="00F8571F">
        <w:t>the</w:t>
      </w:r>
      <w:r>
        <w:t xml:space="preserve"> Program’s</w:t>
      </w:r>
      <w:r w:rsidR="00902F90" w:rsidRPr="00F8571F">
        <w:t xml:space="preserve"> Scope </w:t>
      </w:r>
    </w:p>
    <w:p w14:paraId="2CD0D0D8" w14:textId="24849BFC" w:rsidR="00902F90" w:rsidRPr="00F8571F" w:rsidRDefault="00902F90" w:rsidP="00902F90">
      <w:pPr>
        <w:rPr>
          <w:lang w:val="en-AU"/>
        </w:rPr>
      </w:pPr>
      <w:r>
        <w:t xml:space="preserve">While </w:t>
      </w:r>
      <w:proofErr w:type="spellStart"/>
      <w:r>
        <w:t>DemRes</w:t>
      </w:r>
      <w:proofErr w:type="spellEnd"/>
      <w:r>
        <w:t xml:space="preserve"> was already focused on </w:t>
      </w:r>
      <w:r w:rsidRPr="129B4E48">
        <w:rPr>
          <w:lang w:val="en-AU"/>
        </w:rPr>
        <w:t xml:space="preserve">substantive democracy, </w:t>
      </w:r>
      <w:r>
        <w:t xml:space="preserve">its approach was intentionally broad given its pilot nature. </w:t>
      </w:r>
      <w:proofErr w:type="spellStart"/>
      <w:r>
        <w:t>Partisipasi</w:t>
      </w:r>
      <w:proofErr w:type="spellEnd"/>
      <w:r>
        <w:t xml:space="preserve"> narrows and deepens this focus, concentrating on specific areas of democratic practice where Australia’s support can be most strategic and catalytic</w:t>
      </w:r>
      <w:r w:rsidRPr="129B4E48">
        <w:rPr>
          <w:lang w:val="en-AU"/>
        </w:rPr>
        <w:t xml:space="preserve">. The </w:t>
      </w:r>
      <w:r w:rsidR="00031FA1">
        <w:rPr>
          <w:lang w:val="en-AU"/>
        </w:rPr>
        <w:t>P</w:t>
      </w:r>
      <w:r w:rsidRPr="129B4E48">
        <w:rPr>
          <w:lang w:val="en-AU"/>
        </w:rPr>
        <w:t xml:space="preserve">rogram </w:t>
      </w:r>
      <w:r w:rsidR="00031FA1">
        <w:rPr>
          <w:lang w:val="en-AU"/>
        </w:rPr>
        <w:t>L</w:t>
      </w:r>
      <w:r w:rsidRPr="129B4E48">
        <w:rPr>
          <w:lang w:val="en-AU"/>
        </w:rPr>
        <w:t>ogic reflects this shift, with IOs focused on civic participation and media engagement</w:t>
      </w:r>
      <w:r w:rsidR="00FA7A80">
        <w:rPr>
          <w:lang w:val="en-AU"/>
        </w:rPr>
        <w:t>, and fostering engagement between state and non-state actors</w:t>
      </w:r>
      <w:r w:rsidRPr="129B4E48">
        <w:rPr>
          <w:lang w:val="en-AU"/>
        </w:rPr>
        <w:t xml:space="preserve">. </w:t>
      </w:r>
      <w:r w:rsidR="0061427B">
        <w:rPr>
          <w:lang w:val="en-AU"/>
        </w:rPr>
        <w:t>F</w:t>
      </w:r>
      <w:r w:rsidRPr="129B4E48">
        <w:rPr>
          <w:lang w:val="en-AU"/>
        </w:rPr>
        <w:t xml:space="preserve">ocus areas </w:t>
      </w:r>
      <w:r>
        <w:t>are deliberately chosen to strengthen democratic resilience in a more targeted and sustainable way</w:t>
      </w:r>
      <w:r w:rsidRPr="129B4E48">
        <w:rPr>
          <w:lang w:val="en-AU"/>
        </w:rPr>
        <w:t>.</w:t>
      </w:r>
      <w:r w:rsidR="002561D2">
        <w:rPr>
          <w:lang w:val="en-AU"/>
        </w:rPr>
        <w:t xml:space="preserve"> </w:t>
      </w:r>
      <w:r w:rsidRPr="0008670E">
        <w:rPr>
          <w:lang w:val="en-AU"/>
        </w:rPr>
        <w:t xml:space="preserve">This approach is informed by </w:t>
      </w:r>
      <w:proofErr w:type="spellStart"/>
      <w:r w:rsidRPr="00C5377B">
        <w:rPr>
          <w:lang w:val="en-AU"/>
        </w:rPr>
        <w:t>DemRes</w:t>
      </w:r>
      <w:proofErr w:type="spellEnd"/>
      <w:r w:rsidRPr="00C5377B">
        <w:rPr>
          <w:lang w:val="en-AU"/>
        </w:rPr>
        <w:t>’</w:t>
      </w:r>
      <w:r w:rsidRPr="0008670E">
        <w:rPr>
          <w:lang w:val="en-AU"/>
        </w:rPr>
        <w:t xml:space="preserve"> success in supporting informal civic actors and issue-based coalitions. </w:t>
      </w:r>
    </w:p>
    <w:p w14:paraId="61E8BDD1" w14:textId="77777777" w:rsidR="00902F90" w:rsidRPr="00F8571F" w:rsidRDefault="00902F90" w:rsidP="00902F90">
      <w:pPr>
        <w:pStyle w:val="Heading5"/>
      </w:pPr>
      <w:r w:rsidRPr="00F8571F">
        <w:t>Strategic Partnering and Modalities</w:t>
      </w:r>
    </w:p>
    <w:p w14:paraId="40EB3D35" w14:textId="11E69986" w:rsidR="00902F90" w:rsidRPr="00F8571F" w:rsidRDefault="00902F90" w:rsidP="00902F90">
      <w:pPr>
        <w:rPr>
          <w:lang w:val="en-AU"/>
        </w:rPr>
      </w:pPr>
      <w:proofErr w:type="spellStart"/>
      <w:r w:rsidRPr="00F8571F">
        <w:rPr>
          <w:lang w:val="en-AU"/>
        </w:rPr>
        <w:t>Partisipasi</w:t>
      </w:r>
      <w:proofErr w:type="spellEnd"/>
      <w:r w:rsidRPr="00F8571F">
        <w:rPr>
          <w:lang w:val="en-AU"/>
        </w:rPr>
        <w:t xml:space="preserve"> prioritises partnerships with actors who demonstrate civic legitimacy, agility, and local trust. Drawing from </w:t>
      </w:r>
      <w:proofErr w:type="spellStart"/>
      <w:r w:rsidRPr="00C5377B">
        <w:rPr>
          <w:lang w:val="en-AU"/>
        </w:rPr>
        <w:t>DemRes</w:t>
      </w:r>
      <w:proofErr w:type="spellEnd"/>
      <w:r w:rsidRPr="00C5377B">
        <w:rPr>
          <w:lang w:val="en-AU"/>
        </w:rPr>
        <w:t>’</w:t>
      </w:r>
      <w:r w:rsidRPr="00F8571F">
        <w:rPr>
          <w:lang w:val="en-AU"/>
        </w:rPr>
        <w:t xml:space="preserve"> lessons on coalition fragility and the importance of embedded practice, the program uses flexible, context-sensitive modalities. These include peer-based engagement with state institutions, arms-length support for reform-minded actors, and tailored capacity</w:t>
      </w:r>
      <w:r w:rsidR="00B00E78">
        <w:rPr>
          <w:lang w:val="en-AU"/>
        </w:rPr>
        <w:t xml:space="preserve"> </w:t>
      </w:r>
      <w:r w:rsidRPr="00F8571F">
        <w:rPr>
          <w:lang w:val="en-AU"/>
        </w:rPr>
        <w:t>building for emerging civic leaders.</w:t>
      </w:r>
      <w:r w:rsidR="00B43E18">
        <w:rPr>
          <w:lang w:val="en-AU"/>
        </w:rPr>
        <w:t xml:space="preserve"> </w:t>
      </w:r>
      <w:r w:rsidRPr="00F8571F">
        <w:rPr>
          <w:lang w:val="en-AU"/>
        </w:rPr>
        <w:t>The intervention packages</w:t>
      </w:r>
      <w:r>
        <w:rPr>
          <w:lang w:val="en-AU"/>
        </w:rPr>
        <w:t xml:space="preserve">, </w:t>
      </w:r>
      <w:r w:rsidRPr="00F8571F">
        <w:rPr>
          <w:lang w:val="en-AU"/>
        </w:rPr>
        <w:t>ranging from technical assistance to coalition</w:t>
      </w:r>
      <w:r w:rsidR="00B00E78">
        <w:rPr>
          <w:lang w:val="en-AU"/>
        </w:rPr>
        <w:t xml:space="preserve"> </w:t>
      </w:r>
      <w:r w:rsidRPr="00F8571F">
        <w:rPr>
          <w:lang w:val="en-AU"/>
        </w:rPr>
        <w:t>building</w:t>
      </w:r>
      <w:r>
        <w:rPr>
          <w:lang w:val="en-AU"/>
        </w:rPr>
        <w:t xml:space="preserve">, </w:t>
      </w:r>
      <w:r w:rsidRPr="00F8571F">
        <w:rPr>
          <w:lang w:val="en-AU"/>
        </w:rPr>
        <w:t xml:space="preserve">are designed to be modular and adaptive, allowing for strategic pivots in response to political shifts or civic demand. This reflects </w:t>
      </w:r>
      <w:proofErr w:type="spellStart"/>
      <w:r w:rsidRPr="00C5377B">
        <w:rPr>
          <w:lang w:val="en-AU"/>
        </w:rPr>
        <w:t>DemRes</w:t>
      </w:r>
      <w:proofErr w:type="spellEnd"/>
      <w:r w:rsidRPr="00C5377B">
        <w:rPr>
          <w:lang w:val="en-AU"/>
        </w:rPr>
        <w:t>’</w:t>
      </w:r>
      <w:r w:rsidRPr="00F8571F">
        <w:rPr>
          <w:lang w:val="en-AU"/>
        </w:rPr>
        <w:t xml:space="preserve"> emphasis on agility and responsiveness as core traits of effective democracy programming.</w:t>
      </w:r>
    </w:p>
    <w:p w14:paraId="1B9800C2" w14:textId="77777777" w:rsidR="00902F90" w:rsidRPr="00F8571F" w:rsidRDefault="00902F90" w:rsidP="00902F90">
      <w:pPr>
        <w:pStyle w:val="Heading5"/>
      </w:pPr>
      <w:r w:rsidRPr="00F8571F">
        <w:t>Scaling Through Systems Thinking and Local Ownership</w:t>
      </w:r>
    </w:p>
    <w:p w14:paraId="11BCD33E" w14:textId="1123338C" w:rsidR="00902F90" w:rsidRPr="00F8571F" w:rsidRDefault="00902F90" w:rsidP="00902F90">
      <w:pPr>
        <w:rPr>
          <w:lang w:val="en-AU"/>
        </w:rPr>
      </w:pPr>
      <w:proofErr w:type="spellStart"/>
      <w:r w:rsidRPr="00D84A7F">
        <w:rPr>
          <w:iCs/>
          <w:lang w:val="en-AU"/>
        </w:rPr>
        <w:t>Partisipasi</w:t>
      </w:r>
      <w:proofErr w:type="spellEnd"/>
      <w:r w:rsidRPr="00F8571F">
        <w:rPr>
          <w:lang w:val="en-AU"/>
        </w:rPr>
        <w:t xml:space="preserve"> does not aim for replication but for scalable </w:t>
      </w:r>
      <w:r w:rsidR="003F41FC">
        <w:rPr>
          <w:lang w:val="en-AU"/>
        </w:rPr>
        <w:t>impact</w:t>
      </w:r>
      <w:r w:rsidRPr="00F8571F">
        <w:rPr>
          <w:lang w:val="en-AU"/>
        </w:rPr>
        <w:t>. The program identifies and supports models with high potential for contextual adoption</w:t>
      </w:r>
      <w:r>
        <w:rPr>
          <w:lang w:val="en-AU"/>
        </w:rPr>
        <w:t xml:space="preserve">, </w:t>
      </w:r>
      <w:r w:rsidRPr="00F8571F">
        <w:rPr>
          <w:lang w:val="en-AU"/>
        </w:rPr>
        <w:t>such as inclusive electoral practices, multi-stakeholder forums, and civic education platforms. These models are embedded early in the design, with clear pathways for institutional uptake and civic ownership.</w:t>
      </w:r>
      <w:r w:rsidR="003F41FC">
        <w:rPr>
          <w:lang w:val="en-AU"/>
        </w:rPr>
        <w:t xml:space="preserve"> </w:t>
      </w:r>
      <w:r w:rsidRPr="00F8571F">
        <w:rPr>
          <w:lang w:val="en-AU"/>
        </w:rPr>
        <w:t xml:space="preserve">Lessons from </w:t>
      </w:r>
      <w:proofErr w:type="spellStart"/>
      <w:r w:rsidRPr="00C5377B">
        <w:rPr>
          <w:lang w:val="en-AU"/>
        </w:rPr>
        <w:t>DemRes</w:t>
      </w:r>
      <w:proofErr w:type="spellEnd"/>
      <w:r w:rsidRPr="00D52B8E">
        <w:rPr>
          <w:i/>
          <w:iCs/>
          <w:lang w:val="en-AU"/>
        </w:rPr>
        <w:t xml:space="preserve"> </w:t>
      </w:r>
      <w:r w:rsidRPr="00F8571F">
        <w:rPr>
          <w:lang w:val="en-AU"/>
        </w:rPr>
        <w:t>on scalability</w:t>
      </w:r>
      <w:r>
        <w:rPr>
          <w:lang w:val="en-AU"/>
        </w:rPr>
        <w:t xml:space="preserve">, </w:t>
      </w:r>
      <w:r w:rsidRPr="00F8571F">
        <w:rPr>
          <w:lang w:val="en-AU"/>
        </w:rPr>
        <w:t>not scale</w:t>
      </w:r>
      <w:r>
        <w:rPr>
          <w:lang w:val="en-AU"/>
        </w:rPr>
        <w:t xml:space="preserve">, </w:t>
      </w:r>
      <w:r w:rsidRPr="00F8571F">
        <w:rPr>
          <w:lang w:val="en-AU"/>
        </w:rPr>
        <w:t xml:space="preserve">have informed this approach. </w:t>
      </w:r>
      <w:proofErr w:type="spellStart"/>
      <w:r w:rsidRPr="00F8571F">
        <w:rPr>
          <w:lang w:val="en-AU"/>
        </w:rPr>
        <w:t>Partisipasi</w:t>
      </w:r>
      <w:proofErr w:type="spellEnd"/>
      <w:r w:rsidRPr="00F8571F">
        <w:rPr>
          <w:lang w:val="en-AU"/>
        </w:rPr>
        <w:t xml:space="preserve"> invests in enabling conditions for scale, including legitimacy, alignment with local priorities, and support for locally driven innovation. </w:t>
      </w:r>
      <w:r w:rsidR="003F41FC">
        <w:rPr>
          <w:lang w:val="en-AU"/>
        </w:rPr>
        <w:t xml:space="preserve">Subject to the program’s achievements and resourcing, the </w:t>
      </w:r>
      <w:proofErr w:type="spellStart"/>
      <w:r w:rsidR="003F41FC">
        <w:rPr>
          <w:lang w:val="en-AU"/>
        </w:rPr>
        <w:t>Partisipasi</w:t>
      </w:r>
      <w:proofErr w:type="spellEnd"/>
      <w:r w:rsidR="003F41FC">
        <w:rPr>
          <w:lang w:val="en-AU"/>
        </w:rPr>
        <w:t xml:space="preserve"> will consider expanding its </w:t>
      </w:r>
      <w:r w:rsidR="00E94575">
        <w:rPr>
          <w:lang w:val="en-AU"/>
        </w:rPr>
        <w:t xml:space="preserve">scale in the later years of the program or during a possible extension phase, where it supports targeted activities for Indonesian state and non-state actors to </w:t>
      </w:r>
      <w:r w:rsidR="009D77F8">
        <w:rPr>
          <w:lang w:val="en-AU"/>
        </w:rPr>
        <w:t xml:space="preserve">share their lessons with their counterparts in </w:t>
      </w:r>
      <w:r w:rsidR="009A4587">
        <w:rPr>
          <w:lang w:val="en-AU"/>
        </w:rPr>
        <w:t>the Indo-Pacific region</w:t>
      </w:r>
      <w:r w:rsidR="009D77F8">
        <w:rPr>
          <w:lang w:val="en-AU"/>
        </w:rPr>
        <w:t>.</w:t>
      </w:r>
      <w:r w:rsidR="003F41FC">
        <w:rPr>
          <w:lang w:val="en-AU"/>
        </w:rPr>
        <w:t xml:space="preserve"> </w:t>
      </w:r>
    </w:p>
    <w:p w14:paraId="76AD1103" w14:textId="77777777" w:rsidR="00902F90" w:rsidRDefault="00902F90" w:rsidP="00902F90">
      <w:pPr>
        <w:rPr>
          <w:rFonts w:eastAsia="Times New Roman" w:cs="Times New Roman"/>
          <w:szCs w:val="21"/>
          <w:lang w:val="en-AU"/>
        </w:rPr>
        <w:sectPr w:rsidR="00902F90" w:rsidSect="00902F90">
          <w:footerReference w:type="first" r:id="rId26"/>
          <w:pgSz w:w="11906" w:h="16838" w:code="9"/>
          <w:pgMar w:top="1701" w:right="1134" w:bottom="1418" w:left="992" w:header="425" w:footer="493" w:gutter="0"/>
          <w:cols w:space="397"/>
          <w:titlePg/>
          <w:docGrid w:linePitch="360"/>
        </w:sectPr>
      </w:pPr>
    </w:p>
    <w:p w14:paraId="6872A9F5" w14:textId="3C645878" w:rsidR="00902F90" w:rsidRDefault="00902F90" w:rsidP="001F4E2D">
      <w:pPr>
        <w:pStyle w:val="Heading2"/>
        <w:spacing w:before="0"/>
      </w:pPr>
      <w:bookmarkStart w:id="295" w:name="_Toc232524297"/>
      <w:r>
        <w:lastRenderedPageBreak/>
        <w:t>Anne</w:t>
      </w:r>
      <w:bookmarkStart w:id="296" w:name="AnnexB"/>
      <w:bookmarkEnd w:id="296"/>
      <w:r>
        <w:t xml:space="preserve">x B: Additional Detail </w:t>
      </w:r>
      <w:r w:rsidR="00E31A10">
        <w:t>f</w:t>
      </w:r>
      <w:r>
        <w:t>or Program Logic</w:t>
      </w:r>
      <w:bookmarkEnd w:id="295"/>
    </w:p>
    <w:p w14:paraId="46349BA3" w14:textId="77777777" w:rsidR="00902F90" w:rsidRDefault="00902F90" w:rsidP="0039409E">
      <w:pPr>
        <w:pStyle w:val="Heading5"/>
      </w:pPr>
      <w:bookmarkStart w:id="297" w:name="_Toc208223981"/>
      <w:r w:rsidRPr="00B57CB6">
        <w:t>Outputs and Activities</w:t>
      </w:r>
      <w:bookmarkEnd w:id="297"/>
    </w:p>
    <w:p w14:paraId="6B43A783" w14:textId="6EA2CC27" w:rsidR="00902F90" w:rsidRPr="00C034B4" w:rsidRDefault="00902F90" w:rsidP="00902F90">
      <w:pPr>
        <w:rPr>
          <w:lang w:val="en-AU"/>
        </w:rPr>
      </w:pPr>
      <w:r w:rsidRPr="00C034B4">
        <w:rPr>
          <w:lang w:val="en-AU"/>
        </w:rPr>
        <w:t>Each activity has been designed to directly produce a named output, and each output directly contributes to one or more IOs and ultimately to the EOPOs. For example:</w:t>
      </w:r>
    </w:p>
    <w:p w14:paraId="1D7E2AA1" w14:textId="0B907291" w:rsidR="00902F90" w:rsidRPr="00C034B4" w:rsidRDefault="00902F90" w:rsidP="00504B06">
      <w:pPr>
        <w:numPr>
          <w:ilvl w:val="0"/>
          <w:numId w:val="94"/>
        </w:numPr>
        <w:rPr>
          <w:lang w:val="en-AU"/>
        </w:rPr>
      </w:pPr>
      <w:r w:rsidRPr="00C034B4">
        <w:rPr>
          <w:lang w:val="en-AU"/>
        </w:rPr>
        <w:t>Providing scenario</w:t>
      </w:r>
      <w:r w:rsidR="003D5AB7">
        <w:rPr>
          <w:lang w:val="en-AU"/>
        </w:rPr>
        <w:t xml:space="preserve"> </w:t>
      </w:r>
      <w:r w:rsidRPr="00C034B4">
        <w:rPr>
          <w:lang w:val="en-AU"/>
        </w:rPr>
        <w:t>planning training (activity) leads to scenario</w:t>
      </w:r>
      <w:r w:rsidR="003D5AB7">
        <w:rPr>
          <w:lang w:val="en-AU"/>
        </w:rPr>
        <w:t xml:space="preserve"> </w:t>
      </w:r>
      <w:r w:rsidRPr="00C034B4">
        <w:rPr>
          <w:lang w:val="en-AU"/>
        </w:rPr>
        <w:t>planning tools being adopted by EMBs (output), which strengthens institutional preparedness and accountability (IO1.</w:t>
      </w:r>
      <w:r w:rsidR="00A85A3B">
        <w:rPr>
          <w:lang w:val="en-AU"/>
        </w:rPr>
        <w:t>2</w:t>
      </w:r>
      <w:r w:rsidRPr="00C034B4">
        <w:rPr>
          <w:lang w:val="en-AU"/>
        </w:rPr>
        <w:t>), contributing to EOPO1.</w:t>
      </w:r>
    </w:p>
    <w:p w14:paraId="0C361478" w14:textId="3F87CB90" w:rsidR="00902F90" w:rsidRPr="00C034B4" w:rsidRDefault="00902F90" w:rsidP="00504B06">
      <w:pPr>
        <w:numPr>
          <w:ilvl w:val="0"/>
          <w:numId w:val="94"/>
        </w:numPr>
        <w:rPr>
          <w:lang w:val="en-AU"/>
        </w:rPr>
      </w:pPr>
      <w:r w:rsidRPr="00C034B4">
        <w:rPr>
          <w:lang w:val="en-AU"/>
        </w:rPr>
        <w:t>Funding locally led initiatives (activity) produces completed community actions (output), which strengthen civic coalitions (IO2.1) and contribute to EOPO2.</w:t>
      </w:r>
    </w:p>
    <w:p w14:paraId="11BBF8FE" w14:textId="77777777" w:rsidR="00902F90" w:rsidRPr="00C034B4" w:rsidRDefault="00902F90" w:rsidP="00902F90">
      <w:pPr>
        <w:rPr>
          <w:lang w:val="en-AU"/>
        </w:rPr>
      </w:pPr>
      <w:r w:rsidRPr="00C034B4">
        <w:rPr>
          <w:lang w:val="en-AU"/>
        </w:rPr>
        <w:t>These causal pathways will be tightened during the Inception Phase through:</w:t>
      </w:r>
    </w:p>
    <w:p w14:paraId="3921CAF9" w14:textId="5BFD8ECD" w:rsidR="00902F90" w:rsidRPr="00981CB7" w:rsidRDefault="00DD2F64" w:rsidP="00504B06">
      <w:pPr>
        <w:numPr>
          <w:ilvl w:val="0"/>
          <w:numId w:val="95"/>
        </w:numPr>
        <w:spacing w:before="0"/>
        <w:rPr>
          <w:lang w:val="en-AU"/>
        </w:rPr>
      </w:pPr>
      <w:r w:rsidRPr="00981CB7">
        <w:rPr>
          <w:lang w:val="en-AU"/>
        </w:rPr>
        <w:t>A</w:t>
      </w:r>
      <w:r w:rsidR="00902F90" w:rsidRPr="00981CB7">
        <w:rPr>
          <w:lang w:val="en-AU"/>
        </w:rPr>
        <w:t xml:space="preserve"> detailed MEL Framework</w:t>
      </w:r>
      <w:r w:rsidR="00981CB7" w:rsidRPr="00981CB7">
        <w:rPr>
          <w:lang w:val="en-AU"/>
        </w:rPr>
        <w:t xml:space="preserve">, which will include </w:t>
      </w:r>
      <w:r w:rsidR="00902F90" w:rsidRPr="00981CB7">
        <w:rPr>
          <w:lang w:val="en-AU"/>
        </w:rPr>
        <w:t>Output Indicators with baselines and targets</w:t>
      </w:r>
      <w:r w:rsidR="00981CB7">
        <w:rPr>
          <w:lang w:val="en-AU"/>
        </w:rPr>
        <w:t>, as well as c</w:t>
      </w:r>
      <w:r w:rsidR="00FD0C88" w:rsidRPr="00981CB7">
        <w:rPr>
          <w:lang w:val="en-AU"/>
        </w:rPr>
        <w:t>l</w:t>
      </w:r>
      <w:r w:rsidR="00902F90" w:rsidRPr="00981CB7">
        <w:rPr>
          <w:lang w:val="en-AU"/>
        </w:rPr>
        <w:t>ear contribution pathways per IO and EOPO</w:t>
      </w:r>
      <w:r w:rsidR="00F02A34">
        <w:rPr>
          <w:lang w:val="en-AU"/>
        </w:rPr>
        <w:t>;</w:t>
      </w:r>
      <w:r w:rsidR="00FD0C88" w:rsidRPr="00981CB7">
        <w:rPr>
          <w:lang w:val="en-AU"/>
        </w:rPr>
        <w:t xml:space="preserve"> and</w:t>
      </w:r>
    </w:p>
    <w:p w14:paraId="6074748B" w14:textId="0419DE1B" w:rsidR="00902F90" w:rsidRDefault="00FD0C88" w:rsidP="00504B06">
      <w:pPr>
        <w:numPr>
          <w:ilvl w:val="0"/>
          <w:numId w:val="95"/>
        </w:numPr>
        <w:spacing w:before="0"/>
        <w:rPr>
          <w:lang w:val="en-AU"/>
        </w:rPr>
      </w:pPr>
      <w:r>
        <w:rPr>
          <w:lang w:val="en-AU"/>
        </w:rPr>
        <w:t>A</w:t>
      </w:r>
      <w:r w:rsidR="00902F90" w:rsidRPr="00C034B4">
        <w:rPr>
          <w:lang w:val="en-AU"/>
        </w:rPr>
        <w:t xml:space="preserve"> results-tracking system linking every activity to measurable outputs.</w:t>
      </w:r>
    </w:p>
    <w:p w14:paraId="6EA7DA46" w14:textId="77777777" w:rsidR="00902F90" w:rsidRDefault="00902F90" w:rsidP="00902F90">
      <w:pPr>
        <w:suppressAutoHyphens w:val="0"/>
        <w:spacing w:before="0" w:after="120" w:line="440" w:lineRule="atLeast"/>
        <w:rPr>
          <w:lang w:val="en-AU"/>
        </w:rPr>
        <w:sectPr w:rsidR="00902F90" w:rsidSect="00902F90">
          <w:pgSz w:w="11906" w:h="16838" w:code="9"/>
          <w:pgMar w:top="1701" w:right="1134" w:bottom="1418" w:left="992" w:header="425" w:footer="493" w:gutter="0"/>
          <w:cols w:space="397"/>
          <w:titlePg/>
          <w:docGrid w:linePitch="360"/>
        </w:sectPr>
      </w:pPr>
    </w:p>
    <w:p w14:paraId="386DB135" w14:textId="52AFC2C0" w:rsidR="00902F90" w:rsidRDefault="00902F90" w:rsidP="00902F90">
      <w:pPr>
        <w:pStyle w:val="Caption"/>
        <w:keepNext/>
      </w:pPr>
      <w:r>
        <w:lastRenderedPageBreak/>
        <w:t xml:space="preserve">Table </w:t>
      </w:r>
      <w:r>
        <w:fldChar w:fldCharType="begin"/>
      </w:r>
      <w:r>
        <w:instrText xml:space="preserve"> SEQ Table \* ARABIC </w:instrText>
      </w:r>
      <w:r>
        <w:fldChar w:fldCharType="separate"/>
      </w:r>
      <w:r w:rsidR="005A2ACB">
        <w:rPr>
          <w:noProof/>
        </w:rPr>
        <w:t>2</w:t>
      </w:r>
      <w:r>
        <w:fldChar w:fldCharType="end"/>
      </w:r>
      <w:r>
        <w:t xml:space="preserve">: </w:t>
      </w:r>
      <w:r w:rsidR="001B0305">
        <w:t>Key</w:t>
      </w:r>
      <w:r w:rsidR="006B3E1A">
        <w:t xml:space="preserve"> </w:t>
      </w:r>
      <w:r>
        <w:t>Outputs and Activities</w:t>
      </w:r>
      <w:r w:rsidR="005474D7" w:rsidRPr="009553BD">
        <w:rPr>
          <w:b w:val="0"/>
          <w:bCs/>
        </w:rPr>
        <w:t xml:space="preserve"> (indicative, to be confirmed during inception phase)</w:t>
      </w:r>
    </w:p>
    <w:tbl>
      <w:tblPr>
        <w:tblStyle w:val="DFATTable1"/>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Key Outputs and Activities"/>
        <w:tblDescription w:val="Provides more details by intermediate outcome for potential activities and outputs"/>
      </w:tblPr>
      <w:tblGrid>
        <w:gridCol w:w="2627"/>
        <w:gridCol w:w="5913"/>
        <w:gridCol w:w="5352"/>
      </w:tblGrid>
      <w:tr w:rsidR="00902F90" w:rsidRPr="00DD1D0C" w14:paraId="53FC8AB4" w14:textId="77777777" w:rsidTr="0067283D">
        <w:trPr>
          <w:cnfStyle w:val="100000000000" w:firstRow="1" w:lastRow="0" w:firstColumn="0" w:lastColumn="0" w:oddVBand="0" w:evenVBand="0" w:oddHBand="0" w:evenHBand="0" w:firstRowFirstColumn="0" w:firstRowLastColumn="0" w:lastRowFirstColumn="0" w:lastRowLastColumn="0"/>
          <w:tblHeader/>
        </w:trPr>
        <w:tc>
          <w:tcPr>
            <w:tcW w:w="2627" w:type="dxa"/>
            <w:shd w:val="clear" w:color="auto" w:fill="C1E7E0" w:themeFill="accent1" w:themeFillTint="66"/>
            <w:hideMark/>
          </w:tcPr>
          <w:p w14:paraId="633408CE" w14:textId="77777777" w:rsidR="00902F90" w:rsidRPr="0067283D" w:rsidRDefault="00902F90">
            <w:pPr>
              <w:rPr>
                <w:rFonts w:asciiTheme="minorHAnsi" w:hAnsiTheme="minorHAnsi" w:cstheme="minorHAnsi"/>
                <w:b/>
                <w:bCs/>
                <w:color w:val="36424B" w:themeColor="text2" w:themeShade="BF"/>
                <w:sz w:val="20"/>
                <w:szCs w:val="20"/>
                <w:lang w:val="en-AU"/>
              </w:rPr>
            </w:pPr>
            <w:r w:rsidRPr="0067283D">
              <w:rPr>
                <w:rFonts w:cstheme="minorHAnsi"/>
                <w:b/>
                <w:color w:val="36424B" w:themeColor="text2" w:themeShade="BF"/>
                <w:sz w:val="20"/>
                <w:szCs w:val="20"/>
                <w:lang w:val="en-AU"/>
              </w:rPr>
              <w:t>Intermediate Outcomes</w:t>
            </w:r>
          </w:p>
        </w:tc>
        <w:tc>
          <w:tcPr>
            <w:tcW w:w="5913" w:type="dxa"/>
            <w:shd w:val="clear" w:color="auto" w:fill="C1E7E0" w:themeFill="accent1" w:themeFillTint="66"/>
            <w:hideMark/>
          </w:tcPr>
          <w:p w14:paraId="5E42BCC6" w14:textId="77777777" w:rsidR="00902F90" w:rsidRPr="0067283D" w:rsidRDefault="00902F90">
            <w:pPr>
              <w:rPr>
                <w:rFonts w:asciiTheme="minorHAnsi" w:hAnsiTheme="minorHAnsi" w:cstheme="minorHAnsi"/>
                <w:b/>
                <w:bCs/>
                <w:color w:val="36424B" w:themeColor="text2" w:themeShade="BF"/>
                <w:sz w:val="20"/>
                <w:szCs w:val="20"/>
                <w:lang w:val="en-AU"/>
              </w:rPr>
            </w:pPr>
            <w:r w:rsidRPr="0067283D">
              <w:rPr>
                <w:rFonts w:cstheme="minorHAnsi"/>
                <w:b/>
                <w:color w:val="36424B" w:themeColor="text2" w:themeShade="BF"/>
                <w:sz w:val="20"/>
                <w:szCs w:val="20"/>
                <w:lang w:val="en-AU"/>
              </w:rPr>
              <w:t>Key Activities (What the program does)</w:t>
            </w:r>
          </w:p>
        </w:tc>
        <w:tc>
          <w:tcPr>
            <w:tcW w:w="5352" w:type="dxa"/>
            <w:shd w:val="clear" w:color="auto" w:fill="C1E7E0" w:themeFill="accent1" w:themeFillTint="66"/>
            <w:hideMark/>
          </w:tcPr>
          <w:p w14:paraId="4150CE06" w14:textId="77777777" w:rsidR="00902F90" w:rsidRPr="0067283D" w:rsidRDefault="00902F90">
            <w:pPr>
              <w:rPr>
                <w:rFonts w:asciiTheme="minorHAnsi" w:hAnsiTheme="minorHAnsi" w:cstheme="minorHAnsi"/>
                <w:b/>
                <w:bCs/>
                <w:color w:val="36424B" w:themeColor="text2" w:themeShade="BF"/>
                <w:sz w:val="20"/>
                <w:szCs w:val="20"/>
                <w:lang w:val="en-AU"/>
              </w:rPr>
            </w:pPr>
            <w:r w:rsidRPr="0067283D">
              <w:rPr>
                <w:rFonts w:cstheme="minorHAnsi"/>
                <w:b/>
                <w:color w:val="36424B" w:themeColor="text2" w:themeShade="BF"/>
                <w:sz w:val="20"/>
                <w:szCs w:val="20"/>
                <w:lang w:val="en-AU"/>
              </w:rPr>
              <w:t>Key Outputs (What the program produces)</w:t>
            </w:r>
          </w:p>
        </w:tc>
      </w:tr>
      <w:tr w:rsidR="00BD1F82" w:rsidRPr="00DD1D0C" w14:paraId="1FD48B6A" w14:textId="77777777">
        <w:trPr>
          <w:trHeight w:val="1054"/>
        </w:trPr>
        <w:tc>
          <w:tcPr>
            <w:tcW w:w="2627" w:type="dxa"/>
            <w:hideMark/>
          </w:tcPr>
          <w:p w14:paraId="044E13BE" w14:textId="77777777" w:rsidR="00BD1F82" w:rsidRPr="00B57CB6" w:rsidRDefault="00BD1F82">
            <w:pPr>
              <w:spacing w:before="0" w:after="0"/>
              <w:rPr>
                <w:rFonts w:eastAsia="Times New Roman" w:cstheme="minorHAnsi"/>
                <w:lang w:val="en-AU"/>
              </w:rPr>
            </w:pPr>
            <w:r w:rsidRPr="002D3572">
              <w:rPr>
                <w:rFonts w:ascii="Calibri Light" w:hAnsi="Calibri Light" w:cs="Calibri Light"/>
                <w:sz w:val="20"/>
                <w:szCs w:val="20"/>
              </w:rPr>
              <w:t>IO1.</w:t>
            </w:r>
            <w:r>
              <w:rPr>
                <w:rFonts w:ascii="Calibri Light" w:hAnsi="Calibri Light" w:cs="Calibri Light"/>
                <w:sz w:val="20"/>
                <w:szCs w:val="20"/>
              </w:rPr>
              <w:t>1</w:t>
            </w:r>
            <w:r w:rsidRPr="002D3572">
              <w:rPr>
                <w:rFonts w:ascii="Calibri Light" w:hAnsi="Calibri Light" w:cs="Calibri Light"/>
                <w:sz w:val="20"/>
                <w:szCs w:val="20"/>
              </w:rPr>
              <w:t xml:space="preserve"> Key Indonesian and Australian state actors have improved linkages and shared learning to reinforce democratic practices.</w:t>
            </w:r>
          </w:p>
        </w:tc>
        <w:tc>
          <w:tcPr>
            <w:tcW w:w="5913" w:type="dxa"/>
            <w:hideMark/>
          </w:tcPr>
          <w:p w14:paraId="425804AA" w14:textId="7638D7B0" w:rsidR="00BD1F82" w:rsidRPr="00C034B4" w:rsidRDefault="00BD1F82"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 xml:space="preserve">Peer-to-peer exchanges between institutions (e.g. </w:t>
            </w:r>
            <w:r w:rsidR="00E14BF5">
              <w:rPr>
                <w:rFonts w:ascii="Calibri Light" w:hAnsi="Calibri Light" w:cs="Calibri Light"/>
                <w:sz w:val="20"/>
                <w:szCs w:val="20"/>
              </w:rPr>
              <w:t>election bodies,</w:t>
            </w:r>
            <w:r w:rsidRPr="00C034B4">
              <w:rPr>
                <w:rFonts w:ascii="Calibri Light" w:hAnsi="Calibri Light" w:cs="Calibri Light"/>
                <w:sz w:val="20"/>
                <w:szCs w:val="20"/>
              </w:rPr>
              <w:t xml:space="preserve"> parliaments)</w:t>
            </w:r>
          </w:p>
          <w:p w14:paraId="45B7C0C7" w14:textId="2BA14296" w:rsidR="00BD1F82" w:rsidRPr="00C034B4" w:rsidRDefault="00BD1F82"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Joint study visits and workshops</w:t>
            </w:r>
          </w:p>
          <w:p w14:paraId="356B7606" w14:textId="2213BAC2" w:rsidR="00BD1F82" w:rsidRDefault="00BD1F82"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Dialogue forums for parliamentarians and staff</w:t>
            </w:r>
          </w:p>
          <w:p w14:paraId="769B94F3" w14:textId="5C3152D8" w:rsidR="00BD1F82" w:rsidRPr="00C034B4" w:rsidRDefault="00BD1F82" w:rsidP="00504B06">
            <w:pPr>
              <w:pStyle w:val="ListParagraph"/>
              <w:numPr>
                <w:ilvl w:val="0"/>
                <w:numId w:val="96"/>
              </w:numPr>
              <w:rPr>
                <w:rFonts w:ascii="Calibri Light" w:hAnsi="Calibri Light" w:cs="Calibri Light"/>
                <w:sz w:val="20"/>
                <w:szCs w:val="20"/>
              </w:rPr>
            </w:pPr>
            <w:r w:rsidRPr="00874C49">
              <w:rPr>
                <w:rFonts w:ascii="Calibri Light" w:hAnsi="Calibri Light" w:cs="Calibri Light"/>
                <w:sz w:val="20"/>
                <w:szCs w:val="20"/>
              </w:rPr>
              <w:t>Knowledge exchanges with think tanks and CSOs</w:t>
            </w:r>
          </w:p>
          <w:p w14:paraId="49AE2723" w14:textId="77777777" w:rsidR="00BD1F82" w:rsidRPr="00B57CB6" w:rsidRDefault="00BD1F82">
            <w:pPr>
              <w:rPr>
                <w:rFonts w:eastAsia="Times New Roman"/>
                <w:lang w:val="en-AU"/>
              </w:rPr>
            </w:pPr>
          </w:p>
        </w:tc>
        <w:tc>
          <w:tcPr>
            <w:tcW w:w="5352" w:type="dxa"/>
            <w:hideMark/>
          </w:tcPr>
          <w:p w14:paraId="3920431B" w14:textId="6905FDD3" w:rsidR="00BD1F82" w:rsidRPr="00C034B4" w:rsidRDefault="00BD1F82"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Structured peer-to-peer exchanges completed</w:t>
            </w:r>
          </w:p>
          <w:p w14:paraId="25BB3109" w14:textId="0A3CE3D5" w:rsidR="00BD1F82" w:rsidRDefault="00BD1F82"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Jointly developed study visits/workshops implemented</w:t>
            </w:r>
          </w:p>
          <w:p w14:paraId="1954F206" w14:textId="24DF7F95" w:rsidR="00BD1F82" w:rsidRDefault="00BD1F82" w:rsidP="00504B06">
            <w:pPr>
              <w:pStyle w:val="ListParagraph"/>
              <w:numPr>
                <w:ilvl w:val="0"/>
                <w:numId w:val="96"/>
              </w:numPr>
              <w:rPr>
                <w:rFonts w:ascii="Calibri Light" w:hAnsi="Calibri Light" w:cs="Calibri Light"/>
                <w:sz w:val="20"/>
                <w:szCs w:val="20"/>
              </w:rPr>
            </w:pPr>
            <w:r w:rsidRPr="00874C49">
              <w:rPr>
                <w:rFonts w:ascii="Calibri Light" w:hAnsi="Calibri Light" w:cs="Calibri Light"/>
                <w:sz w:val="20"/>
                <w:szCs w:val="20"/>
              </w:rPr>
              <w:t>Dialogue forums held; knowledge briefs and policy notes produced</w:t>
            </w:r>
          </w:p>
          <w:p w14:paraId="6AD59C28" w14:textId="77777777" w:rsidR="00BD1F82" w:rsidRPr="00C034B4" w:rsidRDefault="00BD1F82">
            <w:pPr>
              <w:rPr>
                <w:rFonts w:ascii="Calibri Light" w:hAnsi="Calibri Light" w:cs="Calibri Light"/>
                <w:sz w:val="20"/>
                <w:szCs w:val="20"/>
              </w:rPr>
            </w:pPr>
          </w:p>
        </w:tc>
      </w:tr>
      <w:tr w:rsidR="00902F90" w:rsidRPr="00DD1D0C" w14:paraId="72EFDD9E" w14:textId="77777777" w:rsidTr="009553BD">
        <w:trPr>
          <w:trHeight w:val="2640"/>
        </w:trPr>
        <w:tc>
          <w:tcPr>
            <w:tcW w:w="2627" w:type="dxa"/>
            <w:hideMark/>
          </w:tcPr>
          <w:p w14:paraId="1A620305" w14:textId="24035524" w:rsidR="00902F90" w:rsidRPr="00B57CB6" w:rsidRDefault="00902F90">
            <w:pPr>
              <w:spacing w:before="0" w:after="0"/>
              <w:rPr>
                <w:rFonts w:eastAsia="Times New Roman" w:cstheme="minorHAnsi"/>
                <w:lang w:val="en-AU"/>
              </w:rPr>
            </w:pPr>
            <w:r w:rsidRPr="002D3572">
              <w:rPr>
                <w:rFonts w:ascii="Calibri Light" w:hAnsi="Calibri Light" w:cs="Calibri Light"/>
                <w:sz w:val="20"/>
                <w:szCs w:val="20"/>
              </w:rPr>
              <w:t>IO1.</w:t>
            </w:r>
            <w:r w:rsidR="00A85A3B">
              <w:rPr>
                <w:rFonts w:ascii="Calibri Light" w:hAnsi="Calibri Light" w:cs="Calibri Light"/>
                <w:sz w:val="20"/>
                <w:szCs w:val="20"/>
              </w:rPr>
              <w:t>2</w:t>
            </w:r>
            <w:r w:rsidRPr="002D3572">
              <w:rPr>
                <w:rFonts w:ascii="Calibri Light" w:hAnsi="Calibri Light" w:cs="Calibri Light"/>
                <w:sz w:val="20"/>
                <w:szCs w:val="20"/>
              </w:rPr>
              <w:t xml:space="preserve"> Key state actors demonstrate improved knowledge, skills, and practices that reinforce democratic processes and institutional integrity.</w:t>
            </w:r>
          </w:p>
        </w:tc>
        <w:tc>
          <w:tcPr>
            <w:tcW w:w="5913" w:type="dxa"/>
            <w:hideMark/>
          </w:tcPr>
          <w:p w14:paraId="3D1A924F" w14:textId="2EE6162E" w:rsidR="00902F90" w:rsidRPr="00C034B4"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Technical assistance for electoral processes, civic education, and institutional accountability</w:t>
            </w:r>
          </w:p>
          <w:p w14:paraId="3F6BC315" w14:textId="77777777" w:rsidR="00902F90" w:rsidRPr="00C034B4"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 xml:space="preserve">Short courses, study visits, and mentoring programs. </w:t>
            </w:r>
          </w:p>
          <w:p w14:paraId="2427C310" w14:textId="4BED9CDB" w:rsidR="00902F90"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Organisational development support including GEDSI audits and integrity frameworks</w:t>
            </w:r>
          </w:p>
          <w:p w14:paraId="24730CC3" w14:textId="75A75599" w:rsidR="00902F90" w:rsidRDefault="00902F90" w:rsidP="00504B06">
            <w:pPr>
              <w:pStyle w:val="ListParagraph"/>
              <w:numPr>
                <w:ilvl w:val="0"/>
                <w:numId w:val="96"/>
              </w:numPr>
              <w:rPr>
                <w:rFonts w:ascii="Calibri Light" w:hAnsi="Calibri Light" w:cs="Calibri Light"/>
                <w:sz w:val="20"/>
                <w:szCs w:val="20"/>
              </w:rPr>
            </w:pPr>
            <w:r w:rsidRPr="00611DAA">
              <w:rPr>
                <w:rFonts w:ascii="Calibri Light" w:hAnsi="Calibri Light" w:cs="Calibri Light"/>
                <w:sz w:val="20"/>
                <w:szCs w:val="20"/>
              </w:rPr>
              <w:t>Pilots for participatory policy development and citizen feedback</w:t>
            </w:r>
          </w:p>
          <w:p w14:paraId="3935076E" w14:textId="6F5555E5" w:rsidR="00902F90" w:rsidRPr="005474D7" w:rsidRDefault="00902F90" w:rsidP="00504B06">
            <w:pPr>
              <w:pStyle w:val="ListParagraph"/>
              <w:numPr>
                <w:ilvl w:val="0"/>
                <w:numId w:val="96"/>
              </w:numPr>
              <w:rPr>
                <w:lang w:val="en-AU"/>
              </w:rPr>
            </w:pPr>
            <w:r w:rsidRPr="00874C49">
              <w:rPr>
                <w:rFonts w:ascii="Calibri Light" w:hAnsi="Calibri Light" w:cs="Calibri Light"/>
                <w:sz w:val="20"/>
                <w:szCs w:val="20"/>
              </w:rPr>
              <w:t>Scenario-based planning and crisis-response training for elections and disinformation crises</w:t>
            </w:r>
          </w:p>
        </w:tc>
        <w:tc>
          <w:tcPr>
            <w:tcW w:w="5352" w:type="dxa"/>
            <w:hideMark/>
          </w:tcPr>
          <w:p w14:paraId="426ACA2C" w14:textId="37CD2116" w:rsidR="00902F90" w:rsidRPr="00C034B4"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Tailored technical assistance packages delivered to counterpart institutions</w:t>
            </w:r>
          </w:p>
          <w:p w14:paraId="15DAD134" w14:textId="537B1C3D" w:rsidR="00902F90" w:rsidRPr="00C034B4"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Short courses, workshops, and study visits completed (with targets for women, youth</w:t>
            </w:r>
            <w:r w:rsidR="0034493F">
              <w:rPr>
                <w:rFonts w:ascii="Calibri Light" w:hAnsi="Calibri Light" w:cs="Calibri Light"/>
                <w:sz w:val="20"/>
                <w:szCs w:val="20"/>
              </w:rPr>
              <w:t>s</w:t>
            </w:r>
            <w:r w:rsidRPr="00C034B4">
              <w:rPr>
                <w:rFonts w:ascii="Calibri Light" w:hAnsi="Calibri Light" w:cs="Calibri Light"/>
                <w:sz w:val="20"/>
                <w:szCs w:val="20"/>
              </w:rPr>
              <w:t>, and people with disabilities)</w:t>
            </w:r>
          </w:p>
          <w:p w14:paraId="06987BDB" w14:textId="34F7226F" w:rsidR="00902F90" w:rsidRPr="00C034B4"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GEDSI audits and integrity frameworks adopted by institutions</w:t>
            </w:r>
          </w:p>
          <w:p w14:paraId="22D42A5F" w14:textId="07F0C0BD" w:rsidR="00902F90"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Participatory policy pilots produced and tested</w:t>
            </w:r>
          </w:p>
          <w:p w14:paraId="4717B10B" w14:textId="64AD7174" w:rsidR="00902F90" w:rsidRPr="009553BD" w:rsidRDefault="00902F90" w:rsidP="00504B06">
            <w:pPr>
              <w:pStyle w:val="ListParagraph"/>
              <w:numPr>
                <w:ilvl w:val="0"/>
                <w:numId w:val="96"/>
              </w:numPr>
              <w:rPr>
                <w:rFonts w:ascii="Calibri Light" w:hAnsi="Calibri Light" w:cs="Calibri Light"/>
                <w:sz w:val="20"/>
                <w:szCs w:val="20"/>
              </w:rPr>
            </w:pPr>
            <w:r w:rsidRPr="00611DAA">
              <w:rPr>
                <w:rFonts w:ascii="Calibri Light" w:hAnsi="Calibri Light" w:cs="Calibri Light"/>
                <w:sz w:val="20"/>
                <w:szCs w:val="20"/>
              </w:rPr>
              <w:t>Scenario</w:t>
            </w:r>
            <w:r w:rsidR="003D5AB7">
              <w:rPr>
                <w:rFonts w:ascii="Calibri Light" w:hAnsi="Calibri Light" w:cs="Calibri Light"/>
                <w:sz w:val="20"/>
                <w:szCs w:val="20"/>
              </w:rPr>
              <w:t xml:space="preserve"> </w:t>
            </w:r>
            <w:r w:rsidRPr="00611DAA">
              <w:rPr>
                <w:rFonts w:ascii="Calibri Light" w:hAnsi="Calibri Light" w:cs="Calibri Light"/>
                <w:sz w:val="20"/>
                <w:szCs w:val="20"/>
              </w:rPr>
              <w:t>planning and crisis</w:t>
            </w:r>
            <w:r w:rsidR="003D5AB7">
              <w:rPr>
                <w:rFonts w:ascii="Calibri Light" w:hAnsi="Calibri Light" w:cs="Calibri Light"/>
                <w:sz w:val="20"/>
                <w:szCs w:val="20"/>
              </w:rPr>
              <w:t xml:space="preserve"> </w:t>
            </w:r>
            <w:r w:rsidRPr="00611DAA">
              <w:rPr>
                <w:rFonts w:ascii="Calibri Light" w:hAnsi="Calibri Light" w:cs="Calibri Light"/>
                <w:sz w:val="20"/>
                <w:szCs w:val="20"/>
              </w:rPr>
              <w:t>response tools in active use</w:t>
            </w:r>
          </w:p>
        </w:tc>
      </w:tr>
      <w:tr w:rsidR="00902F90" w:rsidRPr="00DD1D0C" w14:paraId="2E63C781" w14:textId="77777777" w:rsidTr="0067283D">
        <w:tc>
          <w:tcPr>
            <w:tcW w:w="2627" w:type="dxa"/>
            <w:hideMark/>
          </w:tcPr>
          <w:p w14:paraId="2EB0E91F" w14:textId="7B21154F" w:rsidR="00902F90" w:rsidRPr="00B57CB6" w:rsidRDefault="00902F90">
            <w:pPr>
              <w:spacing w:before="0" w:after="0"/>
              <w:rPr>
                <w:rFonts w:eastAsia="Times New Roman" w:cstheme="minorHAnsi"/>
                <w:lang w:val="en-AU"/>
              </w:rPr>
            </w:pPr>
            <w:r w:rsidRPr="002D3572">
              <w:rPr>
                <w:rFonts w:ascii="Calibri Light" w:hAnsi="Calibri Light" w:cs="Calibri Light"/>
                <w:sz w:val="20"/>
                <w:szCs w:val="20"/>
              </w:rPr>
              <w:t>IO2.1 Civil society actors are better equipped and increasingly collaborate to promote democratic resilience, including with youth</w:t>
            </w:r>
            <w:r w:rsidR="0034493F">
              <w:rPr>
                <w:rFonts w:ascii="Calibri Light" w:hAnsi="Calibri Light" w:cs="Calibri Light"/>
                <w:sz w:val="20"/>
                <w:szCs w:val="20"/>
              </w:rPr>
              <w:t>s</w:t>
            </w:r>
            <w:r w:rsidRPr="002D3572">
              <w:rPr>
                <w:rFonts w:ascii="Calibri Light" w:hAnsi="Calibri Light" w:cs="Calibri Light"/>
                <w:sz w:val="20"/>
                <w:szCs w:val="20"/>
              </w:rPr>
              <w:t>, women, people with disabilities, and for climate justice.</w:t>
            </w:r>
          </w:p>
        </w:tc>
        <w:tc>
          <w:tcPr>
            <w:tcW w:w="5913" w:type="dxa"/>
            <w:hideMark/>
          </w:tcPr>
          <w:p w14:paraId="53EC193C" w14:textId="38C4665B" w:rsidR="00902F90" w:rsidRPr="00C034B4"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Facilitation of inclusive coalitions (youth</w:t>
            </w:r>
            <w:r w:rsidR="0034493F">
              <w:rPr>
                <w:rFonts w:ascii="Calibri Light" w:hAnsi="Calibri Light" w:cs="Calibri Light"/>
                <w:sz w:val="20"/>
                <w:szCs w:val="20"/>
              </w:rPr>
              <w:t>s</w:t>
            </w:r>
            <w:r w:rsidRPr="00C034B4">
              <w:rPr>
                <w:rFonts w:ascii="Calibri Light" w:hAnsi="Calibri Light" w:cs="Calibri Light"/>
                <w:sz w:val="20"/>
                <w:szCs w:val="20"/>
              </w:rPr>
              <w:t>, women, OPDs, Adat)</w:t>
            </w:r>
          </w:p>
          <w:p w14:paraId="2390FDDF" w14:textId="61978221" w:rsidR="00902F90" w:rsidRPr="00C034B4"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Mentorship, civic academies, and leadership pipelines</w:t>
            </w:r>
          </w:p>
          <w:p w14:paraId="0C681D25" w14:textId="0C681A5C" w:rsidR="00902F90"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 xml:space="preserve">Microgrants and innovation funding for locally led initiatives </w:t>
            </w:r>
          </w:p>
          <w:p w14:paraId="1132D2B6" w14:textId="10C80441" w:rsidR="00902F90" w:rsidRPr="00C034B4" w:rsidRDefault="00902F90" w:rsidP="00504B06">
            <w:pPr>
              <w:pStyle w:val="ListParagraph"/>
              <w:numPr>
                <w:ilvl w:val="0"/>
                <w:numId w:val="96"/>
              </w:numPr>
              <w:rPr>
                <w:rFonts w:ascii="Calibri Light" w:hAnsi="Calibri Light" w:cs="Calibri Light"/>
                <w:sz w:val="20"/>
                <w:szCs w:val="20"/>
              </w:rPr>
            </w:pPr>
            <w:r w:rsidRPr="00874C49">
              <w:rPr>
                <w:rFonts w:ascii="Calibri Light" w:hAnsi="Calibri Light" w:cs="Calibri Light"/>
                <w:sz w:val="20"/>
                <w:szCs w:val="20"/>
              </w:rPr>
              <w:t>Scenario planning and adaptive governance training</w:t>
            </w:r>
          </w:p>
          <w:p w14:paraId="65CA416B" w14:textId="77777777" w:rsidR="00902F90" w:rsidRPr="00B57CB6" w:rsidRDefault="00902F90">
            <w:pPr>
              <w:rPr>
                <w:rFonts w:eastAsia="Times New Roman"/>
                <w:lang w:val="en-AU"/>
              </w:rPr>
            </w:pPr>
          </w:p>
        </w:tc>
        <w:tc>
          <w:tcPr>
            <w:tcW w:w="5352" w:type="dxa"/>
            <w:hideMark/>
          </w:tcPr>
          <w:p w14:paraId="1B3C93A5" w14:textId="77777777" w:rsidR="00902F90" w:rsidRPr="00C034B4"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 xml:space="preserve">Functional CSO coalitions with agreed governance structures. </w:t>
            </w:r>
          </w:p>
          <w:p w14:paraId="7DF8D863" w14:textId="24B1494F" w:rsidR="00902F90" w:rsidRPr="00C034B4"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Leadership development programs delivered</w:t>
            </w:r>
            <w:r>
              <w:rPr>
                <w:rFonts w:ascii="Calibri Light" w:hAnsi="Calibri Light" w:cs="Calibri Light"/>
                <w:sz w:val="20"/>
                <w:szCs w:val="20"/>
              </w:rPr>
              <w:t xml:space="preserve"> for youth</w:t>
            </w:r>
            <w:r w:rsidR="0034493F">
              <w:rPr>
                <w:rFonts w:ascii="Calibri Light" w:hAnsi="Calibri Light" w:cs="Calibri Light"/>
                <w:sz w:val="20"/>
                <w:szCs w:val="20"/>
              </w:rPr>
              <w:t>s</w:t>
            </w:r>
            <w:r>
              <w:rPr>
                <w:rFonts w:ascii="Calibri Light" w:hAnsi="Calibri Light" w:cs="Calibri Light"/>
                <w:sz w:val="20"/>
                <w:szCs w:val="20"/>
              </w:rPr>
              <w:t>, women and people with disability</w:t>
            </w:r>
            <w:r w:rsidRPr="00C034B4">
              <w:rPr>
                <w:rFonts w:ascii="Calibri Light" w:hAnsi="Calibri Light" w:cs="Calibri Light"/>
                <w:sz w:val="20"/>
                <w:szCs w:val="20"/>
              </w:rPr>
              <w:t xml:space="preserve">. </w:t>
            </w:r>
          </w:p>
          <w:p w14:paraId="4E9237B0" w14:textId="77777777" w:rsidR="00902F90"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 xml:space="preserve">Locally led initiatives funded and completed. </w:t>
            </w:r>
          </w:p>
          <w:p w14:paraId="78FD744E" w14:textId="383FDFE2" w:rsidR="00902F90" w:rsidRPr="009553BD" w:rsidRDefault="00902F90" w:rsidP="00504B06">
            <w:pPr>
              <w:pStyle w:val="ListParagraph"/>
              <w:numPr>
                <w:ilvl w:val="0"/>
                <w:numId w:val="96"/>
              </w:numPr>
              <w:rPr>
                <w:rFonts w:ascii="Calibri Light" w:hAnsi="Calibri Light" w:cs="Calibri Light"/>
                <w:sz w:val="20"/>
                <w:szCs w:val="20"/>
              </w:rPr>
            </w:pPr>
            <w:r w:rsidRPr="00874C49">
              <w:rPr>
                <w:rFonts w:ascii="Calibri Light" w:hAnsi="Calibri Light" w:cs="Calibri Light"/>
                <w:sz w:val="20"/>
                <w:szCs w:val="20"/>
              </w:rPr>
              <w:t xml:space="preserve">Scenario planning workshops delivered; </w:t>
            </w:r>
            <w:r>
              <w:rPr>
                <w:rFonts w:ascii="Calibri Light" w:hAnsi="Calibri Light" w:cs="Calibri Light"/>
                <w:sz w:val="20"/>
                <w:szCs w:val="20"/>
              </w:rPr>
              <w:t xml:space="preserve">adaptive </w:t>
            </w:r>
            <w:r w:rsidRPr="00874C49">
              <w:rPr>
                <w:rFonts w:ascii="Calibri Light" w:hAnsi="Calibri Light" w:cs="Calibri Light"/>
                <w:sz w:val="20"/>
                <w:szCs w:val="20"/>
              </w:rPr>
              <w:t>governance guidelines in use.</w:t>
            </w:r>
          </w:p>
        </w:tc>
      </w:tr>
      <w:tr w:rsidR="00902F90" w:rsidRPr="00DD1D0C" w14:paraId="2A8242D0" w14:textId="77777777" w:rsidTr="0067283D">
        <w:tc>
          <w:tcPr>
            <w:tcW w:w="2627" w:type="dxa"/>
            <w:hideMark/>
          </w:tcPr>
          <w:p w14:paraId="44E95A62" w14:textId="3F3B63F9" w:rsidR="00902F90" w:rsidRPr="00B57CB6" w:rsidRDefault="00902F90">
            <w:pPr>
              <w:spacing w:before="0" w:after="0"/>
              <w:rPr>
                <w:rFonts w:eastAsia="Times New Roman" w:cstheme="minorHAnsi"/>
                <w:lang w:val="en-AU"/>
              </w:rPr>
            </w:pPr>
            <w:r w:rsidRPr="002D3572">
              <w:rPr>
                <w:rFonts w:ascii="Calibri Light" w:hAnsi="Calibri Light" w:cs="Calibri Light"/>
                <w:sz w:val="20"/>
                <w:szCs w:val="20"/>
              </w:rPr>
              <w:t>IO2.2 The media are better able to deliver quality and independent journalism, uphold integrity, and counter mis/disinformation.</w:t>
            </w:r>
          </w:p>
        </w:tc>
        <w:tc>
          <w:tcPr>
            <w:tcW w:w="5913" w:type="dxa"/>
            <w:hideMark/>
          </w:tcPr>
          <w:p w14:paraId="473D361F" w14:textId="2D0C28BA" w:rsidR="00902F90" w:rsidRPr="00C034B4"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 xml:space="preserve">Media training </w:t>
            </w:r>
            <w:r w:rsidR="00112932">
              <w:rPr>
                <w:rFonts w:ascii="Calibri Light" w:hAnsi="Calibri Light" w:cs="Calibri Light"/>
                <w:sz w:val="20"/>
                <w:szCs w:val="20"/>
              </w:rPr>
              <w:t xml:space="preserve">e.g. </w:t>
            </w:r>
            <w:r w:rsidRPr="00C034B4">
              <w:rPr>
                <w:rFonts w:ascii="Calibri Light" w:hAnsi="Calibri Light" w:cs="Calibri Light"/>
                <w:sz w:val="20"/>
                <w:szCs w:val="20"/>
              </w:rPr>
              <w:t>on ethics, disinformation monitoring</w:t>
            </w:r>
          </w:p>
          <w:p w14:paraId="125218E8" w14:textId="4683435B" w:rsidR="00902F90" w:rsidRPr="00C034B4"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Support for watchdogs and fact-checking organisations</w:t>
            </w:r>
          </w:p>
          <w:p w14:paraId="7292475B" w14:textId="34BBE774" w:rsidR="00902F90"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Civic education campaigns on democratic norms</w:t>
            </w:r>
          </w:p>
          <w:p w14:paraId="70C86E68" w14:textId="22F0B810" w:rsidR="00902F90" w:rsidRPr="00C034B4" w:rsidRDefault="00902F90" w:rsidP="00504B06">
            <w:pPr>
              <w:pStyle w:val="ListParagraph"/>
              <w:numPr>
                <w:ilvl w:val="0"/>
                <w:numId w:val="96"/>
              </w:numPr>
              <w:rPr>
                <w:rFonts w:ascii="Calibri Light" w:hAnsi="Calibri Light" w:cs="Calibri Light"/>
                <w:sz w:val="20"/>
                <w:szCs w:val="20"/>
              </w:rPr>
            </w:pPr>
            <w:r w:rsidRPr="00277328">
              <w:rPr>
                <w:rFonts w:ascii="Calibri Light" w:hAnsi="Calibri Light" w:cs="Calibri Light"/>
                <w:sz w:val="20"/>
                <w:szCs w:val="20"/>
              </w:rPr>
              <w:t>Media literacy programs targeting youth</w:t>
            </w:r>
            <w:r w:rsidR="0034493F">
              <w:rPr>
                <w:rFonts w:ascii="Calibri Light" w:hAnsi="Calibri Light" w:cs="Calibri Light"/>
                <w:sz w:val="20"/>
                <w:szCs w:val="20"/>
              </w:rPr>
              <w:t>s</w:t>
            </w:r>
            <w:r w:rsidRPr="00277328">
              <w:rPr>
                <w:rFonts w:ascii="Calibri Light" w:hAnsi="Calibri Light" w:cs="Calibri Light"/>
                <w:sz w:val="20"/>
                <w:szCs w:val="20"/>
              </w:rPr>
              <w:t>, women, and marginalised groups.</w:t>
            </w:r>
          </w:p>
          <w:p w14:paraId="544091D4" w14:textId="77777777" w:rsidR="00902F90" w:rsidRPr="00B57CB6" w:rsidRDefault="00902F90">
            <w:pPr>
              <w:rPr>
                <w:rFonts w:eastAsia="Times New Roman"/>
                <w:lang w:val="en-AU"/>
              </w:rPr>
            </w:pPr>
          </w:p>
        </w:tc>
        <w:tc>
          <w:tcPr>
            <w:tcW w:w="5352" w:type="dxa"/>
            <w:hideMark/>
          </w:tcPr>
          <w:p w14:paraId="4C274A35" w14:textId="77777777" w:rsidR="00902F90" w:rsidRPr="00C034B4"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 xml:space="preserve">Trained media professionals with verified application of skills. </w:t>
            </w:r>
          </w:p>
          <w:p w14:paraId="1A56A514" w14:textId="77777777" w:rsidR="00902F90" w:rsidRPr="00C034B4"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 xml:space="preserve">Watchdog and fact-checking networks strengthened and operational. </w:t>
            </w:r>
          </w:p>
          <w:p w14:paraId="0907B13B" w14:textId="77777777" w:rsidR="00902F90"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 xml:space="preserve">Civic education products/campaigns produced and disseminated. </w:t>
            </w:r>
          </w:p>
          <w:p w14:paraId="7AFBD75F" w14:textId="01A96ADC" w:rsidR="00902F90" w:rsidRPr="009553BD" w:rsidRDefault="00902F90" w:rsidP="00504B06">
            <w:pPr>
              <w:pStyle w:val="ListParagraph"/>
              <w:numPr>
                <w:ilvl w:val="0"/>
                <w:numId w:val="96"/>
              </w:numPr>
              <w:rPr>
                <w:rFonts w:ascii="Calibri Light" w:hAnsi="Calibri Light" w:cs="Calibri Light"/>
                <w:sz w:val="20"/>
                <w:szCs w:val="20"/>
              </w:rPr>
            </w:pPr>
            <w:r w:rsidRPr="00874C49">
              <w:rPr>
                <w:rFonts w:ascii="Calibri Light" w:hAnsi="Calibri Light" w:cs="Calibri Light"/>
                <w:sz w:val="20"/>
                <w:szCs w:val="20"/>
              </w:rPr>
              <w:t>Media literacy programs delivered at target scale</w:t>
            </w:r>
          </w:p>
        </w:tc>
      </w:tr>
      <w:tr w:rsidR="00902F90" w:rsidRPr="00DD1D0C" w14:paraId="205742F2" w14:textId="77777777" w:rsidTr="0067283D">
        <w:tc>
          <w:tcPr>
            <w:tcW w:w="2627" w:type="dxa"/>
            <w:hideMark/>
          </w:tcPr>
          <w:p w14:paraId="6249DD3C" w14:textId="65FAD47B" w:rsidR="00902F90" w:rsidRPr="00B57CB6" w:rsidRDefault="00902F90">
            <w:pPr>
              <w:spacing w:before="0" w:after="0"/>
              <w:rPr>
                <w:rFonts w:eastAsia="Times New Roman" w:cstheme="minorHAnsi"/>
                <w:lang w:val="en-AU"/>
              </w:rPr>
            </w:pPr>
            <w:r w:rsidRPr="002D3572">
              <w:rPr>
                <w:rFonts w:ascii="Calibri Light" w:hAnsi="Calibri Light" w:cs="Calibri Light"/>
                <w:sz w:val="20"/>
                <w:szCs w:val="20"/>
              </w:rPr>
              <w:lastRenderedPageBreak/>
              <w:t xml:space="preserve">IO3.1 </w:t>
            </w:r>
            <w:r w:rsidR="00F70885">
              <w:rPr>
                <w:rFonts w:ascii="Calibri Light" w:hAnsi="Calibri Light" w:cs="Calibri Light"/>
                <w:sz w:val="20"/>
                <w:szCs w:val="20"/>
              </w:rPr>
              <w:t>Both s</w:t>
            </w:r>
            <w:r w:rsidRPr="002D3572">
              <w:rPr>
                <w:rFonts w:ascii="Calibri Light" w:hAnsi="Calibri Light" w:cs="Calibri Light"/>
                <w:sz w:val="20"/>
                <w:szCs w:val="20"/>
              </w:rPr>
              <w:t xml:space="preserve">tate and non-state actors </w:t>
            </w:r>
            <w:r w:rsidR="00294DA3">
              <w:rPr>
                <w:rFonts w:ascii="Calibri Light" w:hAnsi="Calibri Light" w:cs="Calibri Light"/>
                <w:sz w:val="20"/>
                <w:szCs w:val="20"/>
              </w:rPr>
              <w:t>are better equipped and actively engage</w:t>
            </w:r>
            <w:r w:rsidR="00294DA3" w:rsidRPr="002D3572">
              <w:rPr>
                <w:rFonts w:ascii="Calibri Light" w:hAnsi="Calibri Light" w:cs="Calibri Light"/>
                <w:sz w:val="20"/>
                <w:szCs w:val="20"/>
              </w:rPr>
              <w:t xml:space="preserve"> </w:t>
            </w:r>
            <w:r w:rsidRPr="002D3572">
              <w:rPr>
                <w:rFonts w:ascii="Calibri Light" w:hAnsi="Calibri Light" w:cs="Calibri Light"/>
                <w:sz w:val="20"/>
                <w:szCs w:val="20"/>
              </w:rPr>
              <w:t>in more sustained democratic dialogue with each other.</w:t>
            </w:r>
          </w:p>
        </w:tc>
        <w:tc>
          <w:tcPr>
            <w:tcW w:w="5913" w:type="dxa"/>
            <w:hideMark/>
          </w:tcPr>
          <w:p w14:paraId="46B91F10" w14:textId="77777777" w:rsidR="00902F90" w:rsidRPr="00C034B4" w:rsidRDefault="00902F90" w:rsidP="00504B06">
            <w:pPr>
              <w:pStyle w:val="ListParagraph"/>
              <w:numPr>
                <w:ilvl w:val="0"/>
                <w:numId w:val="96"/>
              </w:numPr>
              <w:spacing w:before="0" w:after="0"/>
              <w:rPr>
                <w:rFonts w:ascii="Calibri Light" w:hAnsi="Calibri Light" w:cs="Calibri Light"/>
                <w:sz w:val="20"/>
                <w:szCs w:val="20"/>
              </w:rPr>
            </w:pPr>
            <w:r w:rsidRPr="00C034B4">
              <w:rPr>
                <w:rFonts w:ascii="Calibri Light" w:hAnsi="Calibri Light" w:cs="Calibri Light"/>
                <w:sz w:val="20"/>
                <w:szCs w:val="20"/>
              </w:rPr>
              <w:t>Facilitation of multi-stakeholder forums and deliberative processes.</w:t>
            </w:r>
          </w:p>
          <w:p w14:paraId="46E9819A" w14:textId="7FB40772" w:rsidR="00902F90" w:rsidRDefault="00902F90" w:rsidP="00504B06">
            <w:pPr>
              <w:pStyle w:val="ListParagraph"/>
              <w:numPr>
                <w:ilvl w:val="0"/>
                <w:numId w:val="96"/>
              </w:numPr>
              <w:spacing w:before="0" w:after="0"/>
              <w:rPr>
                <w:rFonts w:ascii="Calibri Light" w:hAnsi="Calibri Light" w:cs="Calibri Light"/>
                <w:sz w:val="20"/>
                <w:szCs w:val="20"/>
              </w:rPr>
            </w:pPr>
            <w:r w:rsidRPr="00C034B4">
              <w:rPr>
                <w:rFonts w:ascii="Calibri Light" w:hAnsi="Calibri Light" w:cs="Calibri Light"/>
                <w:sz w:val="20"/>
                <w:szCs w:val="20"/>
              </w:rPr>
              <w:t>Facilitation of informal engagements between parliament members, government and civil society actors</w:t>
            </w:r>
            <w:r w:rsidR="00CA1DDC">
              <w:rPr>
                <w:rFonts w:ascii="Calibri Light" w:hAnsi="Calibri Light" w:cs="Calibri Light"/>
                <w:sz w:val="20"/>
                <w:szCs w:val="20"/>
              </w:rPr>
              <w:t>.</w:t>
            </w:r>
          </w:p>
          <w:p w14:paraId="1E60A287" w14:textId="62B66519" w:rsidR="00902F90" w:rsidRPr="00D7455F" w:rsidRDefault="00902F90" w:rsidP="00504B06">
            <w:pPr>
              <w:pStyle w:val="ListParagraph"/>
              <w:numPr>
                <w:ilvl w:val="0"/>
                <w:numId w:val="96"/>
              </w:numPr>
              <w:spacing w:before="0" w:after="0"/>
              <w:rPr>
                <w:lang w:val="en-AU"/>
              </w:rPr>
            </w:pPr>
            <w:r w:rsidRPr="00DB176B">
              <w:rPr>
                <w:rFonts w:ascii="Calibri Light" w:hAnsi="Calibri Light" w:cs="Calibri Light"/>
                <w:sz w:val="20"/>
                <w:szCs w:val="20"/>
              </w:rPr>
              <w:t>Support to community-driven dialogue platforms with safe</w:t>
            </w:r>
            <w:r w:rsidR="00D7455F">
              <w:rPr>
                <w:rFonts w:ascii="Calibri Light" w:hAnsi="Calibri Light" w:cs="Calibri Light"/>
                <w:sz w:val="20"/>
                <w:szCs w:val="20"/>
              </w:rPr>
              <w:t>guarding</w:t>
            </w:r>
            <w:r w:rsidR="00D7455F" w:rsidRPr="00DB176B">
              <w:rPr>
                <w:rFonts w:ascii="Calibri Light" w:hAnsi="Calibri Light" w:cs="Calibri Light"/>
                <w:sz w:val="20"/>
                <w:szCs w:val="20"/>
              </w:rPr>
              <w:t xml:space="preserve"> </w:t>
            </w:r>
            <w:r w:rsidRPr="00DB176B">
              <w:rPr>
                <w:rFonts w:ascii="Calibri Light" w:hAnsi="Calibri Light" w:cs="Calibri Light"/>
                <w:sz w:val="20"/>
                <w:szCs w:val="20"/>
              </w:rPr>
              <w:t>protocols.</w:t>
            </w:r>
          </w:p>
        </w:tc>
        <w:tc>
          <w:tcPr>
            <w:tcW w:w="5352" w:type="dxa"/>
            <w:hideMark/>
          </w:tcPr>
          <w:p w14:paraId="7C47DE05" w14:textId="17AD6582" w:rsidR="00902F90" w:rsidRPr="00C034B4"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Multi-stakeholder forums and deliberation platforms operational</w:t>
            </w:r>
          </w:p>
          <w:p w14:paraId="6C1D62DF" w14:textId="721BF714" w:rsidR="00902F90" w:rsidRDefault="00902F90" w:rsidP="00504B06">
            <w:pPr>
              <w:pStyle w:val="ListParagraph"/>
              <w:numPr>
                <w:ilvl w:val="0"/>
                <w:numId w:val="96"/>
              </w:numPr>
              <w:rPr>
                <w:rFonts w:ascii="Calibri Light" w:hAnsi="Calibri Light" w:cs="Calibri Light"/>
                <w:sz w:val="20"/>
                <w:szCs w:val="20"/>
              </w:rPr>
            </w:pPr>
            <w:r w:rsidRPr="00C034B4">
              <w:rPr>
                <w:rFonts w:ascii="Calibri Light" w:hAnsi="Calibri Light" w:cs="Calibri Light"/>
                <w:sz w:val="20"/>
                <w:szCs w:val="20"/>
              </w:rPr>
              <w:t>Community-driven dialogue outputs and agreements recorded</w:t>
            </w:r>
          </w:p>
          <w:p w14:paraId="3E66E4FF" w14:textId="0A5157F0" w:rsidR="00902F90" w:rsidRPr="00C034B4" w:rsidRDefault="00902F90" w:rsidP="00504B06">
            <w:pPr>
              <w:pStyle w:val="ListParagraph"/>
              <w:numPr>
                <w:ilvl w:val="0"/>
                <w:numId w:val="96"/>
              </w:numPr>
              <w:rPr>
                <w:rFonts w:ascii="Calibri Light" w:hAnsi="Calibri Light" w:cs="Calibri Light"/>
                <w:sz w:val="20"/>
                <w:szCs w:val="20"/>
              </w:rPr>
            </w:pPr>
            <w:r w:rsidRPr="00874C49">
              <w:rPr>
                <w:rFonts w:ascii="Calibri Light" w:hAnsi="Calibri Light" w:cs="Calibri Light"/>
                <w:sz w:val="20"/>
                <w:szCs w:val="20"/>
              </w:rPr>
              <w:t>Safe</w:t>
            </w:r>
            <w:r w:rsidR="00D7455F">
              <w:rPr>
                <w:rFonts w:ascii="Calibri Light" w:hAnsi="Calibri Light" w:cs="Calibri Light"/>
                <w:sz w:val="20"/>
                <w:szCs w:val="20"/>
              </w:rPr>
              <w:t>guarding</w:t>
            </w:r>
            <w:r w:rsidR="00D7455F" w:rsidRPr="00874C49">
              <w:rPr>
                <w:rFonts w:ascii="Calibri Light" w:hAnsi="Calibri Light" w:cs="Calibri Light"/>
                <w:sz w:val="20"/>
                <w:szCs w:val="20"/>
              </w:rPr>
              <w:t xml:space="preserve"> </w:t>
            </w:r>
            <w:r w:rsidRPr="00874C49">
              <w:rPr>
                <w:rFonts w:ascii="Calibri Light" w:hAnsi="Calibri Light" w:cs="Calibri Light"/>
                <w:sz w:val="20"/>
                <w:szCs w:val="20"/>
              </w:rPr>
              <w:t>and risk-mitigation measures adopted</w:t>
            </w:r>
          </w:p>
          <w:p w14:paraId="0C6BD857" w14:textId="77777777" w:rsidR="00902F90" w:rsidRPr="00C034B4" w:rsidRDefault="00902F90">
            <w:pPr>
              <w:rPr>
                <w:rFonts w:ascii="Calibri Light" w:hAnsi="Calibri Light" w:cs="Calibri Light"/>
                <w:sz w:val="20"/>
                <w:szCs w:val="20"/>
              </w:rPr>
            </w:pPr>
          </w:p>
        </w:tc>
      </w:tr>
    </w:tbl>
    <w:p w14:paraId="510B4122" w14:textId="77777777" w:rsidR="00902F90" w:rsidRPr="00182AE2" w:rsidRDefault="00902F90" w:rsidP="0039409E">
      <w:pPr>
        <w:pStyle w:val="Heading5"/>
      </w:pPr>
      <w:r w:rsidRPr="00182AE2">
        <w:t>If-Then Pathways and Assumptions</w:t>
      </w:r>
    </w:p>
    <w:p w14:paraId="37CEA286" w14:textId="3B6D682D" w:rsidR="00902F90" w:rsidRDefault="00902F90" w:rsidP="00902F90">
      <w:pPr>
        <w:pStyle w:val="Caption"/>
        <w:keepNext/>
      </w:pPr>
      <w:r>
        <w:t xml:space="preserve">Table </w:t>
      </w:r>
      <w:r>
        <w:fldChar w:fldCharType="begin"/>
      </w:r>
      <w:r>
        <w:instrText xml:space="preserve"> SEQ Table \* ARABIC </w:instrText>
      </w:r>
      <w:r>
        <w:fldChar w:fldCharType="separate"/>
      </w:r>
      <w:r w:rsidR="005A2ACB">
        <w:rPr>
          <w:noProof/>
        </w:rPr>
        <w:t>3</w:t>
      </w:r>
      <w:r>
        <w:fldChar w:fldCharType="end"/>
      </w:r>
      <w:r>
        <w:t>: If-Then Pathways and Key Assumptions</w:t>
      </w:r>
    </w:p>
    <w:tbl>
      <w:tblPr>
        <w:tblStyle w:val="DFATTable1"/>
        <w:tblW w:w="13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If-Then Pathways and Key Assumptions"/>
        <w:tblDescription w:val="Provides information by outcome for logic pathways and assumptions"/>
      </w:tblPr>
      <w:tblGrid>
        <w:gridCol w:w="2547"/>
        <w:gridCol w:w="5958"/>
        <w:gridCol w:w="5387"/>
      </w:tblGrid>
      <w:tr w:rsidR="00902F90" w:rsidRPr="00B57258" w14:paraId="104CF9E8" w14:textId="77777777" w:rsidTr="009553BD">
        <w:trPr>
          <w:cnfStyle w:val="100000000000" w:firstRow="1" w:lastRow="0" w:firstColumn="0" w:lastColumn="0" w:oddVBand="0" w:evenVBand="0" w:oddHBand="0" w:evenHBand="0" w:firstRowFirstColumn="0" w:firstRowLastColumn="0" w:lastRowFirstColumn="0" w:lastRowLastColumn="0"/>
          <w:tblHeader/>
        </w:trPr>
        <w:tc>
          <w:tcPr>
            <w:tcW w:w="2547" w:type="dxa"/>
            <w:shd w:val="clear" w:color="auto" w:fill="C1E7E0" w:themeFill="accent1" w:themeFillTint="66"/>
            <w:hideMark/>
          </w:tcPr>
          <w:p w14:paraId="0D3DBB1C" w14:textId="30631F11" w:rsidR="00902F90" w:rsidRPr="00B57258" w:rsidRDefault="00902F90">
            <w:pPr>
              <w:rPr>
                <w:rFonts w:asciiTheme="minorHAnsi" w:hAnsiTheme="minorHAnsi" w:cstheme="minorHAnsi"/>
                <w:b/>
                <w:bCs/>
                <w:color w:val="36424B" w:themeColor="text2" w:themeShade="BF"/>
                <w:sz w:val="20"/>
                <w:szCs w:val="20"/>
                <w:lang w:val="en-AU"/>
              </w:rPr>
            </w:pPr>
            <w:r w:rsidRPr="00B57258">
              <w:rPr>
                <w:rFonts w:asciiTheme="minorHAnsi" w:hAnsiTheme="minorHAnsi" w:cstheme="minorHAnsi"/>
                <w:b/>
                <w:bCs/>
                <w:color w:val="36424B" w:themeColor="text2" w:themeShade="BF"/>
                <w:sz w:val="20"/>
                <w:szCs w:val="20"/>
                <w:lang w:val="en-AU"/>
              </w:rPr>
              <w:t>EOPO/IO</w:t>
            </w:r>
          </w:p>
        </w:tc>
        <w:tc>
          <w:tcPr>
            <w:tcW w:w="5958" w:type="dxa"/>
            <w:shd w:val="clear" w:color="auto" w:fill="C1E7E0" w:themeFill="accent1" w:themeFillTint="66"/>
            <w:hideMark/>
          </w:tcPr>
          <w:p w14:paraId="143FDF24" w14:textId="77777777" w:rsidR="00902F90" w:rsidRPr="00B57258" w:rsidRDefault="00902F90">
            <w:pPr>
              <w:rPr>
                <w:rFonts w:asciiTheme="minorHAnsi" w:hAnsiTheme="minorHAnsi" w:cstheme="minorHAnsi"/>
                <w:b/>
                <w:bCs/>
                <w:color w:val="36424B" w:themeColor="text2" w:themeShade="BF"/>
                <w:sz w:val="20"/>
                <w:szCs w:val="20"/>
                <w:lang w:val="en-AU"/>
              </w:rPr>
            </w:pPr>
            <w:r w:rsidRPr="00B57258">
              <w:rPr>
                <w:rFonts w:asciiTheme="minorHAnsi" w:hAnsiTheme="minorHAnsi" w:cstheme="minorHAnsi"/>
                <w:b/>
                <w:bCs/>
                <w:color w:val="36424B" w:themeColor="text2" w:themeShade="BF"/>
                <w:sz w:val="20"/>
                <w:szCs w:val="20"/>
                <w:lang w:val="en-AU"/>
              </w:rPr>
              <w:t>If-Then Pathway</w:t>
            </w:r>
          </w:p>
        </w:tc>
        <w:tc>
          <w:tcPr>
            <w:tcW w:w="5387" w:type="dxa"/>
            <w:shd w:val="clear" w:color="auto" w:fill="C1E7E0" w:themeFill="accent1" w:themeFillTint="66"/>
            <w:hideMark/>
          </w:tcPr>
          <w:p w14:paraId="716023DE" w14:textId="77777777" w:rsidR="00902F90" w:rsidRPr="00B57258" w:rsidRDefault="00902F90">
            <w:pPr>
              <w:rPr>
                <w:rFonts w:asciiTheme="minorHAnsi" w:hAnsiTheme="minorHAnsi" w:cstheme="minorHAnsi"/>
                <w:b/>
                <w:bCs/>
                <w:color w:val="36424B" w:themeColor="text2" w:themeShade="BF"/>
                <w:sz w:val="20"/>
                <w:szCs w:val="20"/>
                <w:lang w:val="en-AU"/>
              </w:rPr>
            </w:pPr>
            <w:r w:rsidRPr="00B57258">
              <w:rPr>
                <w:rFonts w:asciiTheme="minorHAnsi" w:hAnsiTheme="minorHAnsi" w:cstheme="minorHAnsi"/>
                <w:b/>
                <w:bCs/>
                <w:color w:val="36424B" w:themeColor="text2" w:themeShade="BF"/>
                <w:sz w:val="20"/>
                <w:szCs w:val="20"/>
                <w:lang w:val="en-AU"/>
              </w:rPr>
              <w:t>Key Assumptions</w:t>
            </w:r>
          </w:p>
        </w:tc>
      </w:tr>
      <w:tr w:rsidR="00902F90" w:rsidRPr="00B57258" w14:paraId="27C29CA6" w14:textId="77777777" w:rsidTr="009553BD">
        <w:tc>
          <w:tcPr>
            <w:tcW w:w="2547" w:type="dxa"/>
            <w:hideMark/>
          </w:tcPr>
          <w:p w14:paraId="741BEF4D" w14:textId="65ABAB56" w:rsidR="00902F90" w:rsidRPr="00B57258" w:rsidRDefault="00902F90">
            <w:pPr>
              <w:rPr>
                <w:rFonts w:asciiTheme="minorHAnsi" w:hAnsiTheme="minorHAnsi" w:cstheme="minorHAnsi"/>
                <w:sz w:val="20"/>
                <w:szCs w:val="20"/>
                <w:lang w:val="en-AU"/>
              </w:rPr>
            </w:pPr>
            <w:r w:rsidRPr="00B57258">
              <w:rPr>
                <w:rFonts w:asciiTheme="minorHAnsi" w:hAnsiTheme="minorHAnsi" w:cstheme="minorHAnsi"/>
                <w:b/>
                <w:bCs/>
                <w:sz w:val="20"/>
                <w:szCs w:val="20"/>
                <w:lang w:val="en-AU"/>
              </w:rPr>
              <w:t>EOPO1 Strengthened Institutional Resilience</w:t>
            </w:r>
          </w:p>
        </w:tc>
        <w:tc>
          <w:tcPr>
            <w:tcW w:w="5958" w:type="dxa"/>
            <w:hideMark/>
          </w:tcPr>
          <w:p w14:paraId="6EB85BC0" w14:textId="77777777" w:rsidR="00902F90" w:rsidRPr="00F72872" w:rsidRDefault="00902F90">
            <w:pPr>
              <w:rPr>
                <w:rFonts w:asciiTheme="minorHAnsi" w:hAnsiTheme="minorHAnsi" w:cstheme="minorHAnsi"/>
                <w:sz w:val="20"/>
                <w:szCs w:val="20"/>
                <w:lang w:val="en-AU"/>
              </w:rPr>
            </w:pPr>
            <w:r w:rsidRPr="00F72872">
              <w:rPr>
                <w:rFonts w:asciiTheme="minorHAnsi" w:hAnsiTheme="minorHAnsi" w:cstheme="minorHAnsi"/>
                <w:sz w:val="20"/>
                <w:szCs w:val="20"/>
                <w:lang w:val="en-AU"/>
              </w:rPr>
              <w:t xml:space="preserve">If state actors receive politically smart technical assistance, short courses, GEDSI audits, integrity frameworks, and scenario-based planning tools </w:t>
            </w:r>
            <w:r w:rsidRPr="00F72872">
              <w:rPr>
                <w:rFonts w:cstheme="minorHAnsi"/>
                <w:sz w:val="20"/>
                <w:szCs w:val="20"/>
                <w:lang w:val="en-AU"/>
              </w:rPr>
              <w:t>(</w:t>
            </w:r>
            <w:r w:rsidRPr="00F72872">
              <w:rPr>
                <w:rFonts w:asciiTheme="minorHAnsi" w:hAnsiTheme="minorHAnsi" w:cstheme="minorHAnsi"/>
                <w:sz w:val="20"/>
                <w:szCs w:val="20"/>
                <w:lang w:val="en-AU"/>
              </w:rPr>
              <w:t>O1.1), and participate in peer-to-peer exchanges and joint study visits (</w:t>
            </w:r>
            <w:r w:rsidRPr="00F72872">
              <w:rPr>
                <w:rFonts w:cstheme="minorHAnsi"/>
                <w:sz w:val="20"/>
                <w:szCs w:val="20"/>
                <w:lang w:val="en-AU"/>
              </w:rPr>
              <w:t>O1.2</w:t>
            </w:r>
            <w:r w:rsidRPr="00F72872">
              <w:rPr>
                <w:rFonts w:asciiTheme="minorHAnsi" w:hAnsiTheme="minorHAnsi" w:cstheme="minorHAnsi"/>
                <w:sz w:val="20"/>
                <w:szCs w:val="20"/>
                <w:lang w:val="en-AU"/>
              </w:rPr>
              <w:t>), then they will improve access to knowledge, skills, and linkages, strengthening institutional resilience (IO1.1, IO1.2).</w:t>
            </w:r>
          </w:p>
        </w:tc>
        <w:tc>
          <w:tcPr>
            <w:tcW w:w="5387" w:type="dxa"/>
            <w:hideMark/>
          </w:tcPr>
          <w:p w14:paraId="31A4BB7A" w14:textId="7D0469DB"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State actors are willing to engage and apply learning</w:t>
            </w:r>
          </w:p>
          <w:p w14:paraId="17B9125C" w14:textId="2D5DFFC1"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Political environment allows institutional reforms</w:t>
            </w:r>
          </w:p>
          <w:p w14:paraId="32022180" w14:textId="0A295912"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Resources and expertise provided are relevant and timely</w:t>
            </w:r>
          </w:p>
          <w:p w14:paraId="16CBE952" w14:textId="6F4AC5BA"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GEDSI mainstreaming is effectively integrated</w:t>
            </w:r>
          </w:p>
        </w:tc>
      </w:tr>
      <w:tr w:rsidR="002802CA" w:rsidRPr="00B57258" w14:paraId="4AF12D7E" w14:textId="77777777" w:rsidTr="009553BD">
        <w:tc>
          <w:tcPr>
            <w:tcW w:w="2547" w:type="dxa"/>
            <w:hideMark/>
          </w:tcPr>
          <w:p w14:paraId="0D304A90" w14:textId="77777777" w:rsidR="002802CA" w:rsidRPr="00B57258" w:rsidRDefault="002802CA">
            <w:pPr>
              <w:rPr>
                <w:rFonts w:asciiTheme="minorHAnsi" w:hAnsiTheme="minorHAnsi" w:cstheme="minorHAnsi"/>
                <w:sz w:val="20"/>
                <w:szCs w:val="20"/>
                <w:lang w:val="en-AU"/>
              </w:rPr>
            </w:pPr>
            <w:r w:rsidRPr="00B57258">
              <w:rPr>
                <w:rFonts w:asciiTheme="minorHAnsi" w:hAnsiTheme="minorHAnsi" w:cstheme="minorHAnsi"/>
                <w:b/>
                <w:bCs/>
                <w:sz w:val="20"/>
                <w:szCs w:val="20"/>
                <w:lang w:val="en-AU"/>
              </w:rPr>
              <w:t>IO1.</w:t>
            </w:r>
            <w:r>
              <w:rPr>
                <w:rFonts w:asciiTheme="minorHAnsi" w:hAnsiTheme="minorHAnsi" w:cstheme="minorHAnsi"/>
                <w:b/>
                <w:bCs/>
                <w:sz w:val="20"/>
                <w:szCs w:val="20"/>
                <w:lang w:val="en-AU"/>
              </w:rPr>
              <w:t>1</w:t>
            </w:r>
            <w:r w:rsidRPr="00B57258">
              <w:rPr>
                <w:rFonts w:asciiTheme="minorHAnsi" w:hAnsiTheme="minorHAnsi" w:cstheme="minorHAnsi"/>
                <w:b/>
                <w:bCs/>
                <w:sz w:val="20"/>
                <w:szCs w:val="20"/>
                <w:lang w:val="en-AU"/>
              </w:rPr>
              <w:t xml:space="preserve"> Key Indonesian and Australian state actors </w:t>
            </w:r>
            <w:r>
              <w:rPr>
                <w:rFonts w:asciiTheme="minorHAnsi" w:hAnsiTheme="minorHAnsi" w:cstheme="minorHAnsi"/>
                <w:b/>
                <w:bCs/>
                <w:sz w:val="20"/>
                <w:szCs w:val="20"/>
                <w:lang w:val="en-AU"/>
              </w:rPr>
              <w:t>have improved linkages and shared learning to reinforce democratic principles</w:t>
            </w:r>
          </w:p>
        </w:tc>
        <w:tc>
          <w:tcPr>
            <w:tcW w:w="5958" w:type="dxa"/>
            <w:hideMark/>
          </w:tcPr>
          <w:p w14:paraId="10A93C73" w14:textId="77777777" w:rsidR="002802CA" w:rsidRPr="00F72872" w:rsidRDefault="002802CA">
            <w:pPr>
              <w:rPr>
                <w:rFonts w:asciiTheme="minorHAnsi" w:hAnsiTheme="minorHAnsi" w:cstheme="minorHAnsi"/>
                <w:sz w:val="20"/>
                <w:szCs w:val="20"/>
                <w:lang w:val="en-AU"/>
              </w:rPr>
            </w:pPr>
            <w:r w:rsidRPr="00F72872">
              <w:rPr>
                <w:rFonts w:asciiTheme="minorHAnsi" w:hAnsiTheme="minorHAnsi" w:cstheme="minorHAnsi"/>
                <w:sz w:val="20"/>
                <w:szCs w:val="20"/>
                <w:lang w:val="en-AU"/>
              </w:rPr>
              <w:t>If joint study visits, exchanges, and dialogue platforms are conducted, then institutions will establish networks and collaborative practices that reinforce democratic norms.</w:t>
            </w:r>
          </w:p>
        </w:tc>
        <w:tc>
          <w:tcPr>
            <w:tcW w:w="5387" w:type="dxa"/>
            <w:hideMark/>
          </w:tcPr>
          <w:p w14:paraId="4780BBDA" w14:textId="375A5A23" w:rsidR="002802CA" w:rsidRPr="00B57258" w:rsidRDefault="002802CA"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Australian counterparts engage effectively</w:t>
            </w:r>
          </w:p>
          <w:p w14:paraId="30B37D40" w14:textId="5740A91E" w:rsidR="002802CA" w:rsidRPr="00B57258" w:rsidRDefault="002802CA"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Knowledge is contextually adapted</w:t>
            </w:r>
          </w:p>
          <w:p w14:paraId="70D8DF08" w14:textId="2E053698" w:rsidR="002802CA" w:rsidRPr="00B57258" w:rsidRDefault="002802CA"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Communication channels remain open</w:t>
            </w:r>
          </w:p>
        </w:tc>
      </w:tr>
      <w:tr w:rsidR="00902F90" w:rsidRPr="00B57258" w14:paraId="268475B6" w14:textId="77777777" w:rsidTr="009553BD">
        <w:tc>
          <w:tcPr>
            <w:tcW w:w="2547" w:type="dxa"/>
            <w:hideMark/>
          </w:tcPr>
          <w:p w14:paraId="70004612" w14:textId="18E47D75" w:rsidR="00902F90" w:rsidRPr="00B57258" w:rsidRDefault="00902F90">
            <w:pPr>
              <w:rPr>
                <w:rFonts w:asciiTheme="minorHAnsi" w:hAnsiTheme="minorHAnsi" w:cstheme="minorHAnsi"/>
                <w:sz w:val="20"/>
                <w:szCs w:val="20"/>
                <w:lang w:val="en-AU"/>
              </w:rPr>
            </w:pPr>
            <w:r w:rsidRPr="00B57258">
              <w:rPr>
                <w:rFonts w:asciiTheme="minorHAnsi" w:hAnsiTheme="minorHAnsi" w:cstheme="minorHAnsi"/>
                <w:b/>
                <w:bCs/>
                <w:sz w:val="20"/>
                <w:szCs w:val="20"/>
                <w:lang w:val="en-AU"/>
              </w:rPr>
              <w:t>IO1.</w:t>
            </w:r>
            <w:r w:rsidR="00D71EAC">
              <w:rPr>
                <w:rFonts w:asciiTheme="minorHAnsi" w:hAnsiTheme="minorHAnsi" w:cstheme="minorHAnsi"/>
                <w:b/>
                <w:bCs/>
                <w:sz w:val="20"/>
                <w:szCs w:val="20"/>
                <w:lang w:val="en-AU"/>
              </w:rPr>
              <w:t>2</w:t>
            </w:r>
            <w:r w:rsidRPr="00B57258">
              <w:rPr>
                <w:rFonts w:asciiTheme="minorHAnsi" w:hAnsiTheme="minorHAnsi" w:cstheme="minorHAnsi"/>
                <w:b/>
                <w:bCs/>
                <w:sz w:val="20"/>
                <w:szCs w:val="20"/>
                <w:lang w:val="en-AU"/>
              </w:rPr>
              <w:t xml:space="preserve"> Key state actors </w:t>
            </w:r>
            <w:r w:rsidR="00D71EAC">
              <w:rPr>
                <w:rFonts w:asciiTheme="minorHAnsi" w:hAnsiTheme="minorHAnsi" w:cstheme="minorHAnsi"/>
                <w:b/>
                <w:bCs/>
                <w:sz w:val="20"/>
                <w:szCs w:val="20"/>
                <w:lang w:val="en-AU"/>
              </w:rPr>
              <w:t>demonstrate improved knowledge, skills and practices that reinforce democratic processes and institutional integrity</w:t>
            </w:r>
          </w:p>
        </w:tc>
        <w:tc>
          <w:tcPr>
            <w:tcW w:w="5958" w:type="dxa"/>
            <w:hideMark/>
          </w:tcPr>
          <w:p w14:paraId="558D2277" w14:textId="77777777" w:rsidR="00902F90" w:rsidRPr="00F72872" w:rsidRDefault="00902F90">
            <w:pPr>
              <w:rPr>
                <w:rFonts w:asciiTheme="minorHAnsi" w:hAnsiTheme="minorHAnsi" w:cstheme="minorHAnsi"/>
                <w:sz w:val="20"/>
                <w:szCs w:val="20"/>
                <w:lang w:val="en-AU"/>
              </w:rPr>
            </w:pPr>
            <w:r w:rsidRPr="00F72872">
              <w:rPr>
                <w:rFonts w:asciiTheme="minorHAnsi" w:hAnsiTheme="minorHAnsi" w:cstheme="minorHAnsi"/>
                <w:sz w:val="20"/>
                <w:szCs w:val="20"/>
                <w:lang w:val="en-AU"/>
              </w:rPr>
              <w:t>If training and technical assistance are tailored to local context and address institutional gaps, then key state actors will adopt better practices in electoral processes, civic education, and accountability.</w:t>
            </w:r>
          </w:p>
        </w:tc>
        <w:tc>
          <w:tcPr>
            <w:tcW w:w="5387" w:type="dxa"/>
            <w:hideMark/>
          </w:tcPr>
          <w:p w14:paraId="227007DF" w14:textId="10ADAF8C"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Staff have capacity to absorb and implement learning</w:t>
            </w:r>
          </w:p>
          <w:p w14:paraId="3EEACB48" w14:textId="7234509E"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Institutions are open to change and innovation</w:t>
            </w:r>
          </w:p>
          <w:p w14:paraId="508557C1" w14:textId="5C05B788"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Political dynamics do not block reforms</w:t>
            </w:r>
          </w:p>
        </w:tc>
      </w:tr>
      <w:tr w:rsidR="00902F90" w:rsidRPr="00B57258" w14:paraId="082C0058" w14:textId="77777777" w:rsidTr="009553BD">
        <w:tc>
          <w:tcPr>
            <w:tcW w:w="2547" w:type="dxa"/>
            <w:hideMark/>
          </w:tcPr>
          <w:p w14:paraId="22B06912" w14:textId="531C5EF7" w:rsidR="00902F90" w:rsidRPr="00B57258" w:rsidRDefault="00902F90">
            <w:pPr>
              <w:rPr>
                <w:rFonts w:asciiTheme="minorHAnsi" w:hAnsiTheme="minorHAnsi" w:cstheme="minorHAnsi"/>
                <w:sz w:val="20"/>
                <w:szCs w:val="20"/>
                <w:lang w:val="en-AU"/>
              </w:rPr>
            </w:pPr>
            <w:r w:rsidRPr="00B57258">
              <w:rPr>
                <w:rFonts w:asciiTheme="minorHAnsi" w:hAnsiTheme="minorHAnsi" w:cstheme="minorHAnsi"/>
                <w:b/>
                <w:bCs/>
                <w:sz w:val="20"/>
                <w:szCs w:val="20"/>
                <w:lang w:val="en-AU"/>
              </w:rPr>
              <w:t>EOPO2 Democratic Integrity</w:t>
            </w:r>
          </w:p>
        </w:tc>
        <w:tc>
          <w:tcPr>
            <w:tcW w:w="5958" w:type="dxa"/>
            <w:hideMark/>
          </w:tcPr>
          <w:p w14:paraId="64BB8DB6" w14:textId="0273FB7B" w:rsidR="00902F90" w:rsidRPr="00F72872" w:rsidRDefault="00902F90">
            <w:pPr>
              <w:rPr>
                <w:rFonts w:asciiTheme="minorHAnsi" w:hAnsiTheme="minorHAnsi" w:cstheme="minorHAnsi"/>
                <w:sz w:val="20"/>
                <w:szCs w:val="20"/>
                <w:lang w:val="en-AU"/>
              </w:rPr>
            </w:pPr>
            <w:r w:rsidRPr="00F72872">
              <w:rPr>
                <w:rFonts w:asciiTheme="minorHAnsi" w:hAnsiTheme="minorHAnsi" w:cstheme="minorHAnsi"/>
                <w:sz w:val="20"/>
                <w:szCs w:val="20"/>
                <w:lang w:val="en-AU"/>
              </w:rPr>
              <w:t>If CSOs and media actors receive coalition facilitation, inclusive leadership support, capacity</w:t>
            </w:r>
            <w:r w:rsidR="00B00E78" w:rsidRPr="00F72872">
              <w:rPr>
                <w:rFonts w:asciiTheme="minorHAnsi" w:hAnsiTheme="minorHAnsi" w:cstheme="minorHAnsi"/>
                <w:sz w:val="20"/>
                <w:szCs w:val="20"/>
                <w:lang w:val="en-AU"/>
              </w:rPr>
              <w:t xml:space="preserve"> </w:t>
            </w:r>
            <w:r w:rsidRPr="00F72872">
              <w:rPr>
                <w:rFonts w:asciiTheme="minorHAnsi" w:hAnsiTheme="minorHAnsi" w:cstheme="minorHAnsi"/>
                <w:sz w:val="20"/>
                <w:szCs w:val="20"/>
                <w:lang w:val="en-AU"/>
              </w:rPr>
              <w:t>building, microgrants, and scenario planning (</w:t>
            </w:r>
            <w:r w:rsidRPr="00F72872">
              <w:rPr>
                <w:rFonts w:cstheme="minorHAnsi"/>
                <w:sz w:val="20"/>
                <w:szCs w:val="20"/>
                <w:lang w:val="en-AU"/>
              </w:rPr>
              <w:t>O2.1</w:t>
            </w:r>
            <w:r w:rsidRPr="00F72872">
              <w:rPr>
                <w:rFonts w:asciiTheme="minorHAnsi" w:hAnsiTheme="minorHAnsi" w:cstheme="minorHAnsi"/>
                <w:sz w:val="20"/>
                <w:szCs w:val="20"/>
                <w:lang w:val="en-AU"/>
              </w:rPr>
              <w:t xml:space="preserve">, </w:t>
            </w:r>
            <w:r w:rsidRPr="00F72872">
              <w:rPr>
                <w:rFonts w:cstheme="minorHAnsi"/>
                <w:sz w:val="20"/>
                <w:szCs w:val="20"/>
                <w:lang w:val="en-AU"/>
              </w:rPr>
              <w:t>O2.2</w:t>
            </w:r>
            <w:r w:rsidRPr="00F72872">
              <w:rPr>
                <w:rFonts w:asciiTheme="minorHAnsi" w:hAnsiTheme="minorHAnsi" w:cstheme="minorHAnsi"/>
                <w:sz w:val="20"/>
                <w:szCs w:val="20"/>
                <w:lang w:val="en-AU"/>
              </w:rPr>
              <w:t xml:space="preserve">), then civil society and media actors will enhance </w:t>
            </w:r>
            <w:r w:rsidRPr="00F72872">
              <w:rPr>
                <w:rFonts w:asciiTheme="minorHAnsi" w:hAnsiTheme="minorHAnsi" w:cstheme="minorHAnsi"/>
                <w:sz w:val="20"/>
                <w:szCs w:val="20"/>
                <w:lang w:val="en-AU"/>
              </w:rPr>
              <w:lastRenderedPageBreak/>
              <w:t>public engagement, promote democratic integrity, and counter mis/disinformation (IO2.1, IO2.2).</w:t>
            </w:r>
          </w:p>
        </w:tc>
        <w:tc>
          <w:tcPr>
            <w:tcW w:w="5387" w:type="dxa"/>
            <w:hideMark/>
          </w:tcPr>
          <w:p w14:paraId="0A386579" w14:textId="0814D549"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lastRenderedPageBreak/>
              <w:t>CSOs and media are motivated to collaborate</w:t>
            </w:r>
          </w:p>
          <w:p w14:paraId="30998B14" w14:textId="224706CC"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Target groups (youth</w:t>
            </w:r>
            <w:r w:rsidR="0034493F">
              <w:rPr>
                <w:rFonts w:asciiTheme="minorHAnsi" w:hAnsiTheme="minorHAnsi" w:cstheme="minorHAnsi"/>
                <w:sz w:val="20"/>
                <w:szCs w:val="20"/>
                <w:lang w:val="en-AU"/>
              </w:rPr>
              <w:t>s</w:t>
            </w:r>
            <w:r w:rsidRPr="00B57258">
              <w:rPr>
                <w:rFonts w:asciiTheme="minorHAnsi" w:hAnsiTheme="minorHAnsi" w:cstheme="minorHAnsi"/>
                <w:sz w:val="20"/>
                <w:szCs w:val="20"/>
                <w:lang w:val="en-AU"/>
              </w:rPr>
              <w:t xml:space="preserve">, women, </w:t>
            </w:r>
            <w:r w:rsidRPr="004A3CBC">
              <w:rPr>
                <w:rFonts w:cstheme="minorHAnsi"/>
                <w:sz w:val="20"/>
                <w:szCs w:val="20"/>
                <w:lang w:val="en-AU"/>
              </w:rPr>
              <w:t>people with disabilit</w:t>
            </w:r>
            <w:r w:rsidR="00457ED6" w:rsidRPr="004A3CBC">
              <w:rPr>
                <w:rFonts w:cstheme="minorHAnsi"/>
                <w:sz w:val="20"/>
                <w:szCs w:val="20"/>
                <w:lang w:val="en-AU"/>
              </w:rPr>
              <w:t>ies</w:t>
            </w:r>
            <w:r w:rsidRPr="00B57258">
              <w:rPr>
                <w:rFonts w:asciiTheme="minorHAnsi" w:hAnsiTheme="minorHAnsi" w:cstheme="minorHAnsi"/>
                <w:sz w:val="20"/>
                <w:szCs w:val="20"/>
                <w:lang w:val="en-AU"/>
              </w:rPr>
              <w:t>) can participate fully</w:t>
            </w:r>
          </w:p>
          <w:p w14:paraId="0D7959FB" w14:textId="19DC7935"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Political or social backlash does not block activities</w:t>
            </w:r>
          </w:p>
          <w:p w14:paraId="037DB240" w14:textId="3A22A977"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lastRenderedPageBreak/>
              <w:t>Media freedom allows independent reporting</w:t>
            </w:r>
          </w:p>
        </w:tc>
      </w:tr>
      <w:tr w:rsidR="00902F90" w:rsidRPr="00B57258" w14:paraId="1127665B" w14:textId="77777777" w:rsidTr="009553BD">
        <w:tc>
          <w:tcPr>
            <w:tcW w:w="2547" w:type="dxa"/>
            <w:hideMark/>
          </w:tcPr>
          <w:p w14:paraId="1B15E133" w14:textId="0B8AED43" w:rsidR="00902F90" w:rsidRPr="00B57258" w:rsidRDefault="00902F90">
            <w:pPr>
              <w:rPr>
                <w:rFonts w:asciiTheme="minorHAnsi" w:hAnsiTheme="minorHAnsi" w:cstheme="minorHAnsi"/>
                <w:sz w:val="20"/>
                <w:szCs w:val="20"/>
                <w:lang w:val="en-AU"/>
              </w:rPr>
            </w:pPr>
            <w:r w:rsidRPr="00B57258">
              <w:rPr>
                <w:rFonts w:asciiTheme="minorHAnsi" w:hAnsiTheme="minorHAnsi" w:cstheme="minorHAnsi"/>
                <w:b/>
                <w:bCs/>
                <w:sz w:val="20"/>
                <w:szCs w:val="20"/>
                <w:lang w:val="en-AU"/>
              </w:rPr>
              <w:lastRenderedPageBreak/>
              <w:t xml:space="preserve">IO2.1 </w:t>
            </w:r>
            <w:r w:rsidR="004D6133" w:rsidRPr="004D6133">
              <w:rPr>
                <w:rFonts w:asciiTheme="minorHAnsi" w:hAnsiTheme="minorHAnsi" w:cstheme="minorHAnsi"/>
                <w:b/>
                <w:bCs/>
                <w:sz w:val="20"/>
                <w:szCs w:val="20"/>
              </w:rPr>
              <w:t xml:space="preserve">Civil society actors are better equipped, and increasingly </w:t>
            </w:r>
            <w:r w:rsidR="00B153E0" w:rsidRPr="004D6133">
              <w:rPr>
                <w:rFonts w:asciiTheme="minorHAnsi" w:hAnsiTheme="minorHAnsi" w:cstheme="minorHAnsi"/>
                <w:b/>
                <w:bCs/>
                <w:sz w:val="20"/>
                <w:szCs w:val="20"/>
              </w:rPr>
              <w:t>collaborate with</w:t>
            </w:r>
            <w:r w:rsidR="004D6133" w:rsidRPr="004D6133">
              <w:rPr>
                <w:rFonts w:asciiTheme="minorHAnsi" w:hAnsiTheme="minorHAnsi" w:cstheme="minorHAnsi"/>
                <w:b/>
                <w:bCs/>
                <w:sz w:val="20"/>
                <w:szCs w:val="20"/>
              </w:rPr>
              <w:t xml:space="preserve"> each other to promote democratic resilience, including with youths, women, people with disabilities, and for climate justice.</w:t>
            </w:r>
          </w:p>
        </w:tc>
        <w:tc>
          <w:tcPr>
            <w:tcW w:w="5958" w:type="dxa"/>
            <w:hideMark/>
          </w:tcPr>
          <w:p w14:paraId="316D21F8" w14:textId="77777777" w:rsidR="00902F90" w:rsidRPr="00B57258" w:rsidRDefault="00902F90">
            <w:pPr>
              <w:rPr>
                <w:rFonts w:asciiTheme="minorHAnsi" w:hAnsiTheme="minorHAnsi" w:cstheme="minorHAnsi"/>
                <w:sz w:val="20"/>
                <w:szCs w:val="20"/>
                <w:lang w:val="en-AU"/>
              </w:rPr>
            </w:pPr>
            <w:r w:rsidRPr="00B57258">
              <w:rPr>
                <w:rFonts w:asciiTheme="minorHAnsi" w:hAnsiTheme="minorHAnsi" w:cstheme="minorHAnsi"/>
                <w:sz w:val="20"/>
                <w:szCs w:val="20"/>
                <w:lang w:val="en-AU"/>
              </w:rPr>
              <w:t>If leadership pipelines, civic academies, mentorship, and funding for local initiatives are provided, then CSOs will strengthen coalition governance, inclusive leadership, and collaborative action for democratic resilience.</w:t>
            </w:r>
          </w:p>
        </w:tc>
        <w:tc>
          <w:tcPr>
            <w:tcW w:w="5387" w:type="dxa"/>
            <w:hideMark/>
          </w:tcPr>
          <w:p w14:paraId="42BCE2A9" w14:textId="55C62CBC"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CSOs have capacity to absorb resources and knowledge</w:t>
            </w:r>
          </w:p>
          <w:p w14:paraId="635056BE" w14:textId="2EAF1ED6"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Communities trust CSOs and engage in programs</w:t>
            </w:r>
          </w:p>
          <w:p w14:paraId="1C1C9FB3" w14:textId="0F3EB8DC"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Marginalised groups have access to initiatives</w:t>
            </w:r>
          </w:p>
        </w:tc>
      </w:tr>
      <w:tr w:rsidR="00902F90" w:rsidRPr="00B57258" w14:paraId="5E11598D" w14:textId="77777777" w:rsidTr="009553BD">
        <w:tc>
          <w:tcPr>
            <w:tcW w:w="2547" w:type="dxa"/>
            <w:hideMark/>
          </w:tcPr>
          <w:p w14:paraId="2F8E59BF" w14:textId="74467D7A" w:rsidR="00902F90" w:rsidRPr="00B57258" w:rsidRDefault="00902F90">
            <w:pPr>
              <w:rPr>
                <w:rFonts w:asciiTheme="minorHAnsi" w:hAnsiTheme="minorHAnsi" w:cstheme="minorHAnsi"/>
                <w:sz w:val="20"/>
                <w:szCs w:val="20"/>
                <w:lang w:val="en-AU"/>
              </w:rPr>
            </w:pPr>
            <w:r w:rsidRPr="00B57258">
              <w:rPr>
                <w:rFonts w:asciiTheme="minorHAnsi" w:hAnsiTheme="minorHAnsi" w:cstheme="minorHAnsi"/>
                <w:b/>
                <w:bCs/>
                <w:sz w:val="20"/>
                <w:szCs w:val="20"/>
                <w:lang w:val="en-AU"/>
              </w:rPr>
              <w:t xml:space="preserve">IO2.2 </w:t>
            </w:r>
            <w:r w:rsidR="004D6133" w:rsidRPr="004D6133">
              <w:rPr>
                <w:rFonts w:asciiTheme="minorHAnsi" w:hAnsiTheme="minorHAnsi" w:cstheme="minorHAnsi"/>
                <w:b/>
                <w:bCs/>
                <w:sz w:val="20"/>
                <w:szCs w:val="20"/>
              </w:rPr>
              <w:t>The media are better able to deliver quality and independent journalism, uphold integrity, and counter mis/disinformation.</w:t>
            </w:r>
          </w:p>
        </w:tc>
        <w:tc>
          <w:tcPr>
            <w:tcW w:w="5958" w:type="dxa"/>
            <w:hideMark/>
          </w:tcPr>
          <w:p w14:paraId="0315C011" w14:textId="77777777" w:rsidR="00902F90" w:rsidRPr="00B57258" w:rsidRDefault="00902F90">
            <w:pPr>
              <w:rPr>
                <w:rFonts w:asciiTheme="minorHAnsi" w:hAnsiTheme="minorHAnsi" w:cstheme="minorHAnsi"/>
                <w:sz w:val="20"/>
                <w:szCs w:val="20"/>
                <w:lang w:val="en-AU"/>
              </w:rPr>
            </w:pPr>
            <w:r w:rsidRPr="00B57258">
              <w:rPr>
                <w:rFonts w:asciiTheme="minorHAnsi" w:hAnsiTheme="minorHAnsi" w:cstheme="minorHAnsi"/>
                <w:sz w:val="20"/>
                <w:szCs w:val="20"/>
                <w:lang w:val="en-AU"/>
              </w:rPr>
              <w:t>If journalists and media outlets receive training, watchdog support, and media literacy programs, then reporting quality improves, mis/disinformation is countered, and citizens gain access to reliable information.</w:t>
            </w:r>
          </w:p>
        </w:tc>
        <w:tc>
          <w:tcPr>
            <w:tcW w:w="5387" w:type="dxa"/>
            <w:hideMark/>
          </w:tcPr>
          <w:p w14:paraId="7476112F" w14:textId="4F489BF1"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Journalists can operate freely without censorship</w:t>
            </w:r>
          </w:p>
          <w:p w14:paraId="707E1D14" w14:textId="2F9358AC"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Audiences engage with quality media</w:t>
            </w:r>
          </w:p>
          <w:p w14:paraId="312E737D" w14:textId="42BD9C72"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Funding and technical support are sufficient</w:t>
            </w:r>
          </w:p>
        </w:tc>
      </w:tr>
      <w:tr w:rsidR="00902F90" w:rsidRPr="00B57258" w14:paraId="14CE04F0" w14:textId="77777777" w:rsidTr="009553BD">
        <w:tc>
          <w:tcPr>
            <w:tcW w:w="2547" w:type="dxa"/>
            <w:hideMark/>
          </w:tcPr>
          <w:p w14:paraId="5AA55994" w14:textId="6A5F9E8E" w:rsidR="00902F90" w:rsidRPr="00B57258" w:rsidRDefault="00902F90">
            <w:pPr>
              <w:rPr>
                <w:rFonts w:asciiTheme="minorHAnsi" w:hAnsiTheme="minorHAnsi" w:cstheme="minorHAnsi"/>
                <w:sz w:val="20"/>
                <w:szCs w:val="20"/>
                <w:lang w:val="en-AU"/>
              </w:rPr>
            </w:pPr>
            <w:r w:rsidRPr="00B57258">
              <w:rPr>
                <w:rFonts w:asciiTheme="minorHAnsi" w:hAnsiTheme="minorHAnsi" w:cstheme="minorHAnsi"/>
                <w:b/>
                <w:bCs/>
                <w:sz w:val="20"/>
                <w:szCs w:val="20"/>
                <w:lang w:val="en-AU"/>
              </w:rPr>
              <w:t>EOPO3 Collaborative Democratic Action</w:t>
            </w:r>
          </w:p>
        </w:tc>
        <w:tc>
          <w:tcPr>
            <w:tcW w:w="5958" w:type="dxa"/>
            <w:hideMark/>
          </w:tcPr>
          <w:p w14:paraId="146A5710" w14:textId="69C1BFB6" w:rsidR="00902F90" w:rsidRPr="00B57258" w:rsidRDefault="00902F90">
            <w:pPr>
              <w:rPr>
                <w:rFonts w:asciiTheme="minorHAnsi" w:hAnsiTheme="minorHAnsi" w:cstheme="minorHAnsi"/>
                <w:sz w:val="20"/>
                <w:szCs w:val="20"/>
                <w:lang w:val="en-AU"/>
              </w:rPr>
            </w:pPr>
            <w:r w:rsidRPr="00B57258">
              <w:rPr>
                <w:rFonts w:asciiTheme="minorHAnsi" w:hAnsiTheme="minorHAnsi" w:cstheme="minorHAnsi"/>
                <w:sz w:val="20"/>
                <w:szCs w:val="20"/>
                <w:lang w:val="en-AU"/>
              </w:rPr>
              <w:t>If multi-stakeholder forums, subnational pilots, dialogue platforms, and regional knowledge exchanges are supported</w:t>
            </w:r>
            <w:r w:rsidRPr="00F72872">
              <w:rPr>
                <w:rFonts w:asciiTheme="minorHAnsi" w:hAnsiTheme="minorHAnsi" w:cstheme="minorHAnsi"/>
                <w:sz w:val="20"/>
                <w:szCs w:val="20"/>
                <w:lang w:val="en-AU"/>
              </w:rPr>
              <w:t>,</w:t>
            </w:r>
            <w:r w:rsidRPr="00B57258">
              <w:rPr>
                <w:rFonts w:asciiTheme="minorHAnsi" w:hAnsiTheme="minorHAnsi" w:cstheme="minorHAnsi"/>
                <w:sz w:val="20"/>
                <w:szCs w:val="20"/>
                <w:lang w:val="en-AU"/>
              </w:rPr>
              <w:t xml:space="preserve"> then state and non-state actors will engage effectively with each to strengthen democratic participation (IO3.1).</w:t>
            </w:r>
          </w:p>
        </w:tc>
        <w:tc>
          <w:tcPr>
            <w:tcW w:w="5387" w:type="dxa"/>
            <w:hideMark/>
          </w:tcPr>
          <w:p w14:paraId="4E9AC18D" w14:textId="7F2792B5"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Actors are willing to collaborate across sectors</w:t>
            </w:r>
          </w:p>
          <w:p w14:paraId="220015AB" w14:textId="68B0485F"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Safe</w:t>
            </w:r>
            <w:r w:rsidR="003219E2">
              <w:rPr>
                <w:rFonts w:asciiTheme="minorHAnsi" w:hAnsiTheme="minorHAnsi" w:cstheme="minorHAnsi"/>
                <w:sz w:val="20"/>
                <w:szCs w:val="20"/>
                <w:lang w:val="en-AU"/>
              </w:rPr>
              <w:t xml:space="preserve"> </w:t>
            </w:r>
            <w:r w:rsidRPr="00B57258">
              <w:rPr>
                <w:rFonts w:asciiTheme="minorHAnsi" w:hAnsiTheme="minorHAnsi" w:cstheme="minorHAnsi"/>
                <w:sz w:val="20"/>
                <w:szCs w:val="20"/>
                <w:lang w:val="en-AU"/>
              </w:rPr>
              <w:t>convening norms mitigate political or security risks</w:t>
            </w:r>
          </w:p>
          <w:p w14:paraId="784BF39F" w14:textId="4DD554C1"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Regional and international partners are responsive and engaged</w:t>
            </w:r>
          </w:p>
        </w:tc>
      </w:tr>
      <w:tr w:rsidR="00902F90" w:rsidRPr="00B57258" w14:paraId="6EC0EFEF" w14:textId="77777777" w:rsidTr="009553BD">
        <w:tc>
          <w:tcPr>
            <w:tcW w:w="2547" w:type="dxa"/>
            <w:hideMark/>
          </w:tcPr>
          <w:p w14:paraId="3EA02D80" w14:textId="0C214DB4" w:rsidR="00902F90" w:rsidRPr="00B57258" w:rsidRDefault="00902F90">
            <w:pPr>
              <w:rPr>
                <w:rFonts w:asciiTheme="minorHAnsi" w:hAnsiTheme="minorHAnsi" w:cstheme="minorHAnsi"/>
                <w:sz w:val="20"/>
                <w:szCs w:val="20"/>
                <w:lang w:val="en-AU"/>
              </w:rPr>
            </w:pPr>
            <w:r w:rsidRPr="00B57258">
              <w:rPr>
                <w:rFonts w:asciiTheme="minorHAnsi" w:hAnsiTheme="minorHAnsi" w:cstheme="minorHAnsi"/>
                <w:b/>
                <w:bCs/>
                <w:sz w:val="20"/>
                <w:szCs w:val="20"/>
                <w:lang w:val="en-AU"/>
              </w:rPr>
              <w:t xml:space="preserve">IO3.1 </w:t>
            </w:r>
            <w:r w:rsidR="009E00F3" w:rsidRPr="009E00F3">
              <w:rPr>
                <w:rFonts w:asciiTheme="minorHAnsi" w:hAnsiTheme="minorHAnsi" w:cstheme="minorHAnsi"/>
                <w:b/>
                <w:bCs/>
                <w:sz w:val="20"/>
                <w:szCs w:val="20"/>
              </w:rPr>
              <w:t>Both state and non-state actors are better equipped and actively engage in more sustained democratic dialogue with each other</w:t>
            </w:r>
          </w:p>
        </w:tc>
        <w:tc>
          <w:tcPr>
            <w:tcW w:w="5958" w:type="dxa"/>
            <w:hideMark/>
          </w:tcPr>
          <w:p w14:paraId="21FE57D3" w14:textId="77777777" w:rsidR="00902F90" w:rsidRPr="00B57258" w:rsidRDefault="00902F90">
            <w:pPr>
              <w:rPr>
                <w:rFonts w:asciiTheme="minorHAnsi" w:hAnsiTheme="minorHAnsi" w:cstheme="minorHAnsi"/>
                <w:sz w:val="20"/>
                <w:szCs w:val="20"/>
                <w:lang w:val="en-AU"/>
              </w:rPr>
            </w:pPr>
            <w:r w:rsidRPr="00B57258">
              <w:rPr>
                <w:rFonts w:asciiTheme="minorHAnsi" w:hAnsiTheme="minorHAnsi" w:cstheme="minorHAnsi"/>
                <w:sz w:val="20"/>
                <w:szCs w:val="20"/>
                <w:lang w:val="en-AU"/>
              </w:rPr>
              <w:t>If forums, dialogue platforms, and co-created reform pilots are implemented, then actors will increase opportunities for participatory dialogue and locally grounded democratic reforms.</w:t>
            </w:r>
          </w:p>
        </w:tc>
        <w:tc>
          <w:tcPr>
            <w:tcW w:w="5387" w:type="dxa"/>
            <w:hideMark/>
          </w:tcPr>
          <w:p w14:paraId="357C08B4" w14:textId="74AEA0D8"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 xml:space="preserve">Local communities and </w:t>
            </w:r>
            <w:r w:rsidR="00396790">
              <w:rPr>
                <w:rFonts w:asciiTheme="minorHAnsi" w:hAnsiTheme="minorHAnsi" w:cstheme="minorHAnsi"/>
                <w:sz w:val="20"/>
                <w:szCs w:val="20"/>
                <w:lang w:val="en-AU"/>
              </w:rPr>
              <w:t xml:space="preserve">government </w:t>
            </w:r>
            <w:r w:rsidRPr="00B57258">
              <w:rPr>
                <w:rFonts w:asciiTheme="minorHAnsi" w:hAnsiTheme="minorHAnsi" w:cstheme="minorHAnsi"/>
                <w:sz w:val="20"/>
                <w:szCs w:val="20"/>
                <w:lang w:val="en-AU"/>
              </w:rPr>
              <w:t>authorities support engagement</w:t>
            </w:r>
          </w:p>
          <w:p w14:paraId="7266AD11" w14:textId="6A5D6FFC"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Risk mitigation and safeguarding measures prevent exclusion or harm</w:t>
            </w:r>
          </w:p>
          <w:p w14:paraId="680A508C" w14:textId="1D9DF795" w:rsidR="00902F90" w:rsidRPr="00B57258" w:rsidRDefault="00902F90" w:rsidP="00504B06">
            <w:pPr>
              <w:pStyle w:val="ListParagraph"/>
              <w:numPr>
                <w:ilvl w:val="0"/>
                <w:numId w:val="83"/>
              </w:numPr>
              <w:ind w:left="209" w:hanging="228"/>
              <w:rPr>
                <w:rFonts w:asciiTheme="minorHAnsi" w:hAnsiTheme="minorHAnsi" w:cstheme="minorHAnsi"/>
                <w:sz w:val="20"/>
                <w:szCs w:val="20"/>
                <w:lang w:val="en-AU"/>
              </w:rPr>
            </w:pPr>
            <w:r w:rsidRPr="00B57258">
              <w:rPr>
                <w:rFonts w:asciiTheme="minorHAnsi" w:hAnsiTheme="minorHAnsi" w:cstheme="minorHAnsi"/>
                <w:sz w:val="20"/>
                <w:szCs w:val="20"/>
                <w:lang w:val="en-AU"/>
              </w:rPr>
              <w:t>Participants have capacity and incentives to act</w:t>
            </w:r>
          </w:p>
        </w:tc>
      </w:tr>
    </w:tbl>
    <w:p w14:paraId="7AC1A54C" w14:textId="77777777" w:rsidR="00902F90" w:rsidRDefault="00902F90" w:rsidP="00902F90">
      <w:pPr>
        <w:sectPr w:rsidR="00902F90" w:rsidSect="00902F90">
          <w:pgSz w:w="16838" w:h="11906" w:orient="landscape" w:code="9"/>
          <w:pgMar w:top="992" w:right="1701" w:bottom="1134" w:left="1418" w:header="425" w:footer="493" w:gutter="0"/>
          <w:cols w:space="397"/>
          <w:titlePg/>
          <w:docGrid w:linePitch="360"/>
        </w:sectPr>
      </w:pPr>
    </w:p>
    <w:p w14:paraId="2CEDE5FB" w14:textId="58CEB9E4" w:rsidR="00902F90" w:rsidRDefault="00902F90" w:rsidP="001F4E2D">
      <w:pPr>
        <w:pStyle w:val="Heading2"/>
        <w:spacing w:before="0"/>
      </w:pPr>
      <w:bookmarkStart w:id="298" w:name="_Annex_C:_Partisipasi’s"/>
      <w:bookmarkStart w:id="299" w:name="_Annex_D:_Delivery"/>
      <w:bookmarkStart w:id="300" w:name="_Annex_E:_Scope"/>
      <w:bookmarkStart w:id="301" w:name="_Annex_C:_Contractor"/>
      <w:bookmarkStart w:id="302" w:name="_Toc232524298"/>
      <w:bookmarkEnd w:id="298"/>
      <w:bookmarkEnd w:id="299"/>
      <w:bookmarkEnd w:id="300"/>
      <w:bookmarkEnd w:id="301"/>
      <w:r>
        <w:lastRenderedPageBreak/>
        <w:t>Anne</w:t>
      </w:r>
      <w:bookmarkStart w:id="303" w:name="AnnexC"/>
      <w:bookmarkEnd w:id="303"/>
      <w:r>
        <w:t>x</w:t>
      </w:r>
      <w:r w:rsidRPr="00C86765">
        <w:t xml:space="preserve"> </w:t>
      </w:r>
      <w:r w:rsidR="00316E7D">
        <w:t>C</w:t>
      </w:r>
      <w:r w:rsidRPr="00C86765">
        <w:t>:</w:t>
      </w:r>
      <w:r>
        <w:t xml:space="preserve"> </w:t>
      </w:r>
      <w:r w:rsidR="00F16CBC">
        <w:t>Contractor</w:t>
      </w:r>
      <w:r w:rsidR="00760470">
        <w:t xml:space="preserve"> Scope of Services</w:t>
      </w:r>
      <w:r w:rsidR="0003368F">
        <w:t xml:space="preserve"> (DRAFT)</w:t>
      </w:r>
      <w:bookmarkEnd w:id="302"/>
    </w:p>
    <w:p w14:paraId="42F5790E" w14:textId="77777777" w:rsidR="00100A65" w:rsidRPr="003346D1" w:rsidRDefault="00100A65" w:rsidP="00D3558F">
      <w:pPr>
        <w:pStyle w:val="ListParagraph"/>
        <w:numPr>
          <w:ilvl w:val="0"/>
          <w:numId w:val="27"/>
        </w:numPr>
        <w:suppressAutoHyphens w:val="0"/>
        <w:spacing w:before="0" w:after="160" w:line="278" w:lineRule="auto"/>
        <w:ind w:left="426"/>
        <w:rPr>
          <w:rFonts w:ascii="Calibri Light" w:hAnsi="Calibri Light" w:cs="Calibri Light"/>
          <w:b/>
          <w:bCs/>
        </w:rPr>
      </w:pPr>
      <w:r w:rsidRPr="003346D1">
        <w:rPr>
          <w:rFonts w:ascii="Calibri Light" w:hAnsi="Calibri Light" w:cs="Calibri Light"/>
          <w:b/>
          <w:bCs/>
        </w:rPr>
        <w:t>Purpose</w:t>
      </w:r>
      <w:r>
        <w:rPr>
          <w:rFonts w:ascii="Calibri Light" w:hAnsi="Calibri Light" w:cs="Calibri Light"/>
          <w:b/>
          <w:bCs/>
        </w:rPr>
        <w:t xml:space="preserve"> and Rationale</w:t>
      </w:r>
    </w:p>
    <w:p w14:paraId="3B6D9FB1" w14:textId="47C33380" w:rsidR="00241041" w:rsidRDefault="00226574" w:rsidP="00241041">
      <w:pPr>
        <w:spacing w:before="0" w:after="160" w:line="278" w:lineRule="auto"/>
        <w:rPr>
          <w:rFonts w:ascii="Calibri Light" w:hAnsi="Calibri Light" w:cs="Calibri Light"/>
        </w:rPr>
      </w:pPr>
      <w:r>
        <w:rPr>
          <w:rFonts w:ascii="Calibri Light" w:hAnsi="Calibri Light" w:cs="Calibri Light"/>
        </w:rPr>
        <w:t>A</w:t>
      </w:r>
      <w:r w:rsidR="008A3370">
        <w:rPr>
          <w:rFonts w:ascii="Calibri Light" w:hAnsi="Calibri Light" w:cs="Calibri Light"/>
        </w:rPr>
        <w:t>n existing</w:t>
      </w:r>
      <w:r>
        <w:rPr>
          <w:rFonts w:ascii="Calibri Light" w:hAnsi="Calibri Light" w:cs="Calibri Light"/>
        </w:rPr>
        <w:t xml:space="preserve"> Contractor</w:t>
      </w:r>
      <w:r w:rsidR="00F27456">
        <w:rPr>
          <w:rFonts w:ascii="Calibri Light" w:hAnsi="Calibri Light" w:cs="Calibri Light"/>
        </w:rPr>
        <w:t xml:space="preserve"> will </w:t>
      </w:r>
      <w:r w:rsidR="00100A65" w:rsidRPr="084DF1A1">
        <w:rPr>
          <w:rFonts w:ascii="Calibri Light" w:hAnsi="Calibri Light" w:cs="Calibri Light"/>
        </w:rPr>
        <w:t xml:space="preserve">provide support </w:t>
      </w:r>
      <w:r w:rsidR="001F1CEB">
        <w:rPr>
          <w:rFonts w:ascii="Calibri Light" w:hAnsi="Calibri Light" w:cs="Calibri Light"/>
        </w:rPr>
        <w:t xml:space="preserve">to DFAT </w:t>
      </w:r>
      <w:r w:rsidR="00100A65" w:rsidRPr="084DF1A1">
        <w:rPr>
          <w:rFonts w:ascii="Calibri Light" w:hAnsi="Calibri Light" w:cs="Calibri Light"/>
        </w:rPr>
        <w:t xml:space="preserve">for Component </w:t>
      </w:r>
      <w:r w:rsidR="00100A65">
        <w:rPr>
          <w:rFonts w:ascii="Calibri Light" w:hAnsi="Calibri Light" w:cs="Calibri Light"/>
        </w:rPr>
        <w:t>1</w:t>
      </w:r>
      <w:r w:rsidR="00100A65" w:rsidRPr="084DF1A1">
        <w:rPr>
          <w:rFonts w:ascii="Calibri Light" w:hAnsi="Calibri Light" w:cs="Calibri Light"/>
        </w:rPr>
        <w:t xml:space="preserve"> activities of </w:t>
      </w:r>
      <w:proofErr w:type="spellStart"/>
      <w:r w:rsidR="00100A65" w:rsidRPr="00D84A7F">
        <w:rPr>
          <w:rFonts w:ascii="Calibri Light" w:hAnsi="Calibri Light" w:cs="Calibri Light"/>
          <w:iCs/>
        </w:rPr>
        <w:t>Partisipasi</w:t>
      </w:r>
      <w:proofErr w:type="spellEnd"/>
      <w:r w:rsidR="00811D8C">
        <w:rPr>
          <w:rFonts w:ascii="Calibri Light" w:hAnsi="Calibri Light" w:cs="Calibri Light"/>
          <w:iCs/>
        </w:rPr>
        <w:t xml:space="preserve">, as well as </w:t>
      </w:r>
      <w:r w:rsidR="00100A65" w:rsidRPr="084DF1A1">
        <w:rPr>
          <w:rFonts w:ascii="Calibri Light" w:hAnsi="Calibri Light" w:cs="Calibri Light"/>
        </w:rPr>
        <w:t xml:space="preserve">targeted support services </w:t>
      </w:r>
      <w:r w:rsidR="00986225">
        <w:rPr>
          <w:rFonts w:ascii="Calibri Light" w:hAnsi="Calibri Light" w:cs="Calibri Light"/>
        </w:rPr>
        <w:t>across the</w:t>
      </w:r>
      <w:r w:rsidR="00100A65" w:rsidRPr="084DF1A1">
        <w:rPr>
          <w:rFonts w:ascii="Calibri Light" w:hAnsi="Calibri Light" w:cs="Calibri Light"/>
        </w:rPr>
        <w:t xml:space="preserve"> investment</w:t>
      </w:r>
      <w:r w:rsidR="00403970">
        <w:rPr>
          <w:rFonts w:ascii="Calibri Light" w:hAnsi="Calibri Light" w:cs="Calibri Light"/>
        </w:rPr>
        <w:t>.</w:t>
      </w:r>
      <w:r w:rsidR="004D72FA">
        <w:rPr>
          <w:rFonts w:ascii="Calibri Light" w:hAnsi="Calibri Light" w:cs="Calibri Light"/>
        </w:rPr>
        <w:t xml:space="preserve"> </w:t>
      </w:r>
      <w:r w:rsidR="00E7144B">
        <w:rPr>
          <w:rFonts w:ascii="Calibri Light" w:hAnsi="Calibri Light" w:cs="Calibri Light"/>
        </w:rPr>
        <w:t>The Contractor will do this by recruiting a Program Support Unit</w:t>
      </w:r>
      <w:r w:rsidR="00C33490">
        <w:rPr>
          <w:rFonts w:ascii="Calibri Light" w:hAnsi="Calibri Light" w:cs="Calibri Light"/>
        </w:rPr>
        <w:t xml:space="preserve"> </w:t>
      </w:r>
      <w:r w:rsidR="00DB5C7E">
        <w:rPr>
          <w:rFonts w:ascii="Calibri Light" w:hAnsi="Calibri Light" w:cs="Calibri Light"/>
        </w:rPr>
        <w:t xml:space="preserve">(PSU) </w:t>
      </w:r>
      <w:r w:rsidR="00C33490">
        <w:rPr>
          <w:rFonts w:ascii="Calibri Light" w:hAnsi="Calibri Light" w:cs="Calibri Light"/>
        </w:rPr>
        <w:t>and</w:t>
      </w:r>
      <w:r w:rsidR="00E7144B">
        <w:rPr>
          <w:rFonts w:ascii="Calibri Light" w:hAnsi="Calibri Light" w:cs="Calibri Light"/>
        </w:rPr>
        <w:t xml:space="preserve"> establishing a Technical Assistance Panel (TAP). </w:t>
      </w:r>
      <w:r w:rsidR="00241041">
        <w:rPr>
          <w:rFonts w:ascii="Calibri Light" w:hAnsi="Calibri Light" w:cs="Calibri Light"/>
        </w:rPr>
        <w:t>This arrangement</w:t>
      </w:r>
      <w:r w:rsidR="00241041" w:rsidRPr="084DF1A1">
        <w:rPr>
          <w:rFonts w:ascii="Calibri Light" w:hAnsi="Calibri Light" w:cs="Calibri Light"/>
        </w:rPr>
        <w:t xml:space="preserve"> will protect DFAT from being overstretched</w:t>
      </w:r>
      <w:r w:rsidR="00241041">
        <w:rPr>
          <w:rFonts w:ascii="Calibri Light" w:hAnsi="Calibri Light" w:cs="Calibri Light"/>
        </w:rPr>
        <w:t xml:space="preserve"> in its management role for </w:t>
      </w:r>
      <w:proofErr w:type="spellStart"/>
      <w:r w:rsidR="00B153E0">
        <w:rPr>
          <w:rFonts w:ascii="Calibri Light" w:hAnsi="Calibri Light" w:cs="Calibri Light"/>
        </w:rPr>
        <w:t>Partisipasi</w:t>
      </w:r>
      <w:proofErr w:type="spellEnd"/>
      <w:r w:rsidR="00B153E0">
        <w:rPr>
          <w:rFonts w:ascii="Calibri Light" w:hAnsi="Calibri Light" w:cs="Calibri Light"/>
        </w:rPr>
        <w:t xml:space="preserve"> and</w:t>
      </w:r>
      <w:r w:rsidR="00241041">
        <w:rPr>
          <w:rFonts w:ascii="Calibri Light" w:hAnsi="Calibri Light" w:cs="Calibri Light"/>
        </w:rPr>
        <w:t xml:space="preserve"> will support the overall quality of the investment. The PSU and TAP will report directly to </w:t>
      </w:r>
      <w:r w:rsidR="00241041" w:rsidRPr="003346D1">
        <w:rPr>
          <w:rFonts w:ascii="Calibri Light" w:hAnsi="Calibri Light" w:cs="Calibri Light"/>
        </w:rPr>
        <w:t>DFAT</w:t>
      </w:r>
      <w:r w:rsidR="00241041">
        <w:rPr>
          <w:rFonts w:ascii="Calibri Light" w:hAnsi="Calibri Light" w:cs="Calibri Light"/>
        </w:rPr>
        <w:t xml:space="preserve">. </w:t>
      </w:r>
    </w:p>
    <w:p w14:paraId="518A35E8" w14:textId="31DFD954" w:rsidR="00717570" w:rsidRDefault="00FE74F0" w:rsidP="00100A65">
      <w:pPr>
        <w:spacing w:before="0" w:after="160" w:line="278" w:lineRule="auto"/>
        <w:rPr>
          <w:rFonts w:ascii="Calibri Light" w:hAnsi="Calibri Light" w:cs="Calibri Light"/>
        </w:rPr>
      </w:pPr>
      <w:r w:rsidRPr="00476501">
        <w:rPr>
          <w:rFonts w:ascii="Calibri Light" w:hAnsi="Calibri Light" w:cs="Calibri Light"/>
        </w:rPr>
        <w:t xml:space="preserve">Component 1 focuses on strengthening democratic participation through partnerships with key Indonesian state institutions – with an initial focus on election management bodies and parliaments (nationally and potentially sub-nationally). </w:t>
      </w:r>
      <w:r w:rsidR="00717570" w:rsidRPr="00476501">
        <w:rPr>
          <w:rFonts w:ascii="Calibri Light" w:hAnsi="Calibri Light" w:cs="Calibri Light"/>
        </w:rPr>
        <w:t xml:space="preserve">For </w:t>
      </w:r>
      <w:r w:rsidR="00555407">
        <w:rPr>
          <w:rFonts w:ascii="Calibri Light" w:hAnsi="Calibri Light" w:cs="Calibri Light"/>
        </w:rPr>
        <w:t>these</w:t>
      </w:r>
      <w:r>
        <w:rPr>
          <w:rFonts w:ascii="Calibri Light" w:hAnsi="Calibri Light" w:cs="Calibri Light"/>
        </w:rPr>
        <w:t xml:space="preserve"> </w:t>
      </w:r>
      <w:r w:rsidR="00717570" w:rsidRPr="00476501">
        <w:rPr>
          <w:rFonts w:ascii="Calibri Light" w:hAnsi="Calibri Light" w:cs="Calibri Light"/>
        </w:rPr>
        <w:t xml:space="preserve">activities, DFAT will remain the lead actor in managing diplomatic relationships, overseeing </w:t>
      </w:r>
      <w:r w:rsidR="00555407">
        <w:rPr>
          <w:rFonts w:ascii="Calibri Light" w:hAnsi="Calibri Light" w:cs="Calibri Light"/>
        </w:rPr>
        <w:t xml:space="preserve">development of the workplan </w:t>
      </w:r>
      <w:r w:rsidR="00717570" w:rsidRPr="00476501">
        <w:rPr>
          <w:rFonts w:ascii="Calibri Light" w:hAnsi="Calibri Light" w:cs="Calibri Light"/>
        </w:rPr>
        <w:t xml:space="preserve">and performance of activities, managing risks, and ensuring alignment with DFAT’s objectives. </w:t>
      </w:r>
    </w:p>
    <w:p w14:paraId="71E73AFC" w14:textId="56406C57" w:rsidR="00100A65" w:rsidRPr="003346D1" w:rsidRDefault="00100A65" w:rsidP="00D3558F">
      <w:pPr>
        <w:pStyle w:val="ListParagraph"/>
        <w:numPr>
          <w:ilvl w:val="0"/>
          <w:numId w:val="27"/>
        </w:numPr>
        <w:suppressAutoHyphens w:val="0"/>
        <w:spacing w:before="0" w:after="160" w:line="278" w:lineRule="auto"/>
        <w:ind w:left="426"/>
        <w:rPr>
          <w:rFonts w:ascii="Calibri Light" w:hAnsi="Calibri Light" w:cs="Calibri Light"/>
          <w:b/>
          <w:bCs/>
        </w:rPr>
      </w:pPr>
      <w:r w:rsidRPr="003346D1">
        <w:rPr>
          <w:rFonts w:ascii="Calibri Light" w:hAnsi="Calibri Light" w:cs="Calibri Light"/>
          <w:b/>
          <w:bCs/>
        </w:rPr>
        <w:t>Scope of Services</w:t>
      </w:r>
    </w:p>
    <w:p w14:paraId="4ECEC5DD" w14:textId="2B8D3BCA" w:rsidR="00100A65" w:rsidRDefault="00100A65" w:rsidP="00100A65">
      <w:pPr>
        <w:rPr>
          <w:rFonts w:ascii="Calibri Light" w:hAnsi="Calibri Light" w:cs="Calibri Light"/>
        </w:rPr>
      </w:pPr>
      <w:r w:rsidRPr="084DF1A1">
        <w:rPr>
          <w:rFonts w:ascii="Calibri Light" w:hAnsi="Calibri Light" w:cs="Calibri Light"/>
        </w:rPr>
        <w:t xml:space="preserve">The </w:t>
      </w:r>
      <w:r w:rsidR="00E53402">
        <w:rPr>
          <w:rFonts w:ascii="Calibri Light" w:hAnsi="Calibri Light" w:cs="Calibri Light"/>
        </w:rPr>
        <w:t>Contractor</w:t>
      </w:r>
      <w:r w:rsidR="00E53402" w:rsidRPr="084DF1A1">
        <w:rPr>
          <w:rFonts w:ascii="Calibri Light" w:hAnsi="Calibri Light" w:cs="Calibri Light"/>
        </w:rPr>
        <w:t xml:space="preserve"> </w:t>
      </w:r>
      <w:r w:rsidRPr="084DF1A1">
        <w:rPr>
          <w:rFonts w:ascii="Calibri Light" w:hAnsi="Calibri Light" w:cs="Calibri Light"/>
        </w:rPr>
        <w:t xml:space="preserve">will </w:t>
      </w:r>
      <w:r>
        <w:rPr>
          <w:rFonts w:ascii="Calibri Light" w:hAnsi="Calibri Light" w:cs="Calibri Light"/>
        </w:rPr>
        <w:t>provide the following services to DFAT:</w:t>
      </w:r>
    </w:p>
    <w:p w14:paraId="58E2C214" w14:textId="02E88DA2" w:rsidR="00374D34" w:rsidRDefault="00374D34" w:rsidP="00504B06">
      <w:pPr>
        <w:pStyle w:val="ListParagraph"/>
        <w:numPr>
          <w:ilvl w:val="0"/>
          <w:numId w:val="108"/>
        </w:numPr>
        <w:rPr>
          <w:rFonts w:ascii="Calibri Light" w:hAnsi="Calibri Light" w:cs="Calibri Light"/>
        </w:rPr>
      </w:pPr>
      <w:r>
        <w:rPr>
          <w:rFonts w:ascii="Calibri Light" w:hAnsi="Calibri Light" w:cs="Calibri Light"/>
        </w:rPr>
        <w:t xml:space="preserve">Recruit the PSU in line with DFAT’s requirements in the </w:t>
      </w:r>
      <w:proofErr w:type="spellStart"/>
      <w:r>
        <w:rPr>
          <w:rFonts w:ascii="Calibri Light" w:hAnsi="Calibri Light" w:cs="Calibri Light"/>
        </w:rPr>
        <w:t>Partisipasi</w:t>
      </w:r>
      <w:proofErr w:type="spellEnd"/>
      <w:r>
        <w:rPr>
          <w:rFonts w:ascii="Calibri Light" w:hAnsi="Calibri Light" w:cs="Calibri Light"/>
        </w:rPr>
        <w:t xml:space="preserve"> design</w:t>
      </w:r>
      <w:r w:rsidR="00C75106">
        <w:rPr>
          <w:rFonts w:ascii="Calibri Light" w:hAnsi="Calibri Light" w:cs="Calibri Light"/>
        </w:rPr>
        <w:t>;</w:t>
      </w:r>
    </w:p>
    <w:p w14:paraId="5FFB478D" w14:textId="636465DF" w:rsidR="00241041" w:rsidRDefault="00C75106" w:rsidP="00504B06">
      <w:pPr>
        <w:pStyle w:val="ListParagraph"/>
        <w:numPr>
          <w:ilvl w:val="0"/>
          <w:numId w:val="108"/>
        </w:numPr>
        <w:rPr>
          <w:rFonts w:ascii="Calibri Light" w:hAnsi="Calibri Light" w:cs="Calibri Light"/>
        </w:rPr>
      </w:pPr>
      <w:r>
        <w:rPr>
          <w:rFonts w:ascii="Calibri Light" w:hAnsi="Calibri Light" w:cs="Calibri Light"/>
        </w:rPr>
        <w:t xml:space="preserve">Establish </w:t>
      </w:r>
      <w:r w:rsidRPr="00C75106">
        <w:rPr>
          <w:rFonts w:ascii="Calibri Light" w:hAnsi="Calibri Light" w:cs="Calibri Light"/>
        </w:rPr>
        <w:t xml:space="preserve">a Technical Assistance Panel (TAP) to provide </w:t>
      </w:r>
      <w:r w:rsidR="00623C75">
        <w:rPr>
          <w:rFonts w:ascii="Calibri Light" w:hAnsi="Calibri Light" w:cs="Calibri Light"/>
        </w:rPr>
        <w:t xml:space="preserve">short-term, </w:t>
      </w:r>
      <w:r w:rsidRPr="00C75106">
        <w:rPr>
          <w:rFonts w:ascii="Calibri Light" w:hAnsi="Calibri Light" w:cs="Calibri Light"/>
        </w:rPr>
        <w:t>specialist advice for the whole investment where required.</w:t>
      </w:r>
      <w:r w:rsidR="00623C75">
        <w:rPr>
          <w:rFonts w:ascii="Calibri Light" w:hAnsi="Calibri Light" w:cs="Calibri Light"/>
        </w:rPr>
        <w:t xml:space="preserve"> This may include</w:t>
      </w:r>
      <w:r w:rsidR="00623C75" w:rsidRPr="084DF1A1">
        <w:rPr>
          <w:rFonts w:ascii="Calibri Light" w:hAnsi="Calibri Light" w:cs="Calibri Light"/>
        </w:rPr>
        <w:t xml:space="preserve"> </w:t>
      </w:r>
      <w:r w:rsidR="00623C75">
        <w:rPr>
          <w:rFonts w:ascii="Calibri Light" w:hAnsi="Calibri Light" w:cs="Calibri Light"/>
        </w:rPr>
        <w:t>short-term advisers for</w:t>
      </w:r>
      <w:r w:rsidR="00623C75" w:rsidRPr="084DF1A1">
        <w:rPr>
          <w:rFonts w:ascii="Calibri Light" w:hAnsi="Calibri Light" w:cs="Calibri Light"/>
        </w:rPr>
        <w:t xml:space="preserve"> GEDSI, climate change</w:t>
      </w:r>
      <w:r w:rsidR="00623C75">
        <w:rPr>
          <w:rFonts w:ascii="Calibri Light" w:hAnsi="Calibri Light" w:cs="Calibri Light"/>
        </w:rPr>
        <w:t xml:space="preserve">, </w:t>
      </w:r>
      <w:r w:rsidR="00623C75" w:rsidRPr="084DF1A1">
        <w:rPr>
          <w:rFonts w:ascii="Calibri Light" w:hAnsi="Calibri Light" w:cs="Calibri Light"/>
        </w:rPr>
        <w:t>partnerships brokering</w:t>
      </w:r>
      <w:r w:rsidR="00623C75">
        <w:rPr>
          <w:rFonts w:ascii="Calibri Light" w:hAnsi="Calibri Light" w:cs="Calibri Light"/>
        </w:rPr>
        <w:t>, communications, and MEL</w:t>
      </w:r>
      <w:r w:rsidR="00623C75" w:rsidRPr="084DF1A1">
        <w:rPr>
          <w:rFonts w:ascii="Calibri Light" w:hAnsi="Calibri Light" w:cs="Calibri Light"/>
        </w:rPr>
        <w:t>.</w:t>
      </w:r>
      <w:r w:rsidR="00623C75">
        <w:rPr>
          <w:rFonts w:ascii="Calibri Light" w:hAnsi="Calibri Light" w:cs="Calibri Light"/>
        </w:rPr>
        <w:t xml:space="preserve"> These funds may be drawn from the activity budget.</w:t>
      </w:r>
      <w:r w:rsidRPr="00C75106">
        <w:rPr>
          <w:rFonts w:ascii="Calibri Light" w:hAnsi="Calibri Light" w:cs="Calibri Light"/>
        </w:rPr>
        <w:t xml:space="preserve"> </w:t>
      </w:r>
      <w:r w:rsidR="00197303">
        <w:rPr>
          <w:rFonts w:ascii="Calibri Light" w:hAnsi="Calibri Light" w:cs="Calibri Light"/>
        </w:rPr>
        <w:t>The</w:t>
      </w:r>
      <w:r w:rsidR="007262FD">
        <w:rPr>
          <w:rFonts w:ascii="Calibri Light" w:hAnsi="Calibri Light" w:cs="Calibri Light"/>
        </w:rPr>
        <w:t xml:space="preserve"> initial</w:t>
      </w:r>
      <w:r w:rsidR="00197303">
        <w:rPr>
          <w:rFonts w:ascii="Calibri Light" w:hAnsi="Calibri Light" w:cs="Calibri Light"/>
        </w:rPr>
        <w:t xml:space="preserve"> individuals and expertise required on the TAP will be </w:t>
      </w:r>
      <w:r w:rsidR="007262FD">
        <w:rPr>
          <w:rFonts w:ascii="Calibri Light" w:hAnsi="Calibri Light" w:cs="Calibri Light"/>
        </w:rPr>
        <w:t>agreed with DFAT during</w:t>
      </w:r>
      <w:r w:rsidR="00197303">
        <w:rPr>
          <w:rFonts w:ascii="Calibri Light" w:hAnsi="Calibri Light" w:cs="Calibri Light"/>
        </w:rPr>
        <w:t xml:space="preserve"> </w:t>
      </w:r>
      <w:r w:rsidR="007262FD">
        <w:rPr>
          <w:rFonts w:ascii="Calibri Light" w:hAnsi="Calibri Light" w:cs="Calibri Light"/>
        </w:rPr>
        <w:t>pre-</w:t>
      </w:r>
      <w:r w:rsidR="00197303">
        <w:rPr>
          <w:rFonts w:ascii="Calibri Light" w:hAnsi="Calibri Light" w:cs="Calibri Light"/>
        </w:rPr>
        <w:t>inception period</w:t>
      </w:r>
      <w:r w:rsidR="007262FD">
        <w:rPr>
          <w:rFonts w:ascii="Calibri Light" w:hAnsi="Calibri Light" w:cs="Calibri Light"/>
        </w:rPr>
        <w:t xml:space="preserve">, with additional expertise potentially added following consultations with the appointed </w:t>
      </w:r>
      <w:r w:rsidR="00197303">
        <w:rPr>
          <w:rFonts w:ascii="Calibri Light" w:hAnsi="Calibri Light" w:cs="Calibri Light"/>
        </w:rPr>
        <w:t>Convenor</w:t>
      </w:r>
      <w:r w:rsidR="001179BC">
        <w:rPr>
          <w:rFonts w:ascii="Calibri Light" w:hAnsi="Calibri Light" w:cs="Calibri Light"/>
        </w:rPr>
        <w:t>;</w:t>
      </w:r>
      <w:r w:rsidR="000E2DB6">
        <w:rPr>
          <w:rFonts w:ascii="Calibri Light" w:hAnsi="Calibri Light" w:cs="Calibri Light"/>
        </w:rPr>
        <w:t xml:space="preserve"> and</w:t>
      </w:r>
    </w:p>
    <w:p w14:paraId="7D366644" w14:textId="66735E94" w:rsidR="000F5D96" w:rsidRDefault="000F5D96" w:rsidP="00504B06">
      <w:pPr>
        <w:pStyle w:val="ListParagraph"/>
        <w:numPr>
          <w:ilvl w:val="0"/>
          <w:numId w:val="108"/>
        </w:numPr>
        <w:rPr>
          <w:rFonts w:ascii="Calibri Light" w:hAnsi="Calibri Light" w:cs="Calibri Light"/>
        </w:rPr>
      </w:pPr>
      <w:r>
        <w:rPr>
          <w:rFonts w:ascii="Calibri Light" w:hAnsi="Calibri Light" w:cs="Calibri Light"/>
        </w:rPr>
        <w:t xml:space="preserve">If required, provide corporate </w:t>
      </w:r>
      <w:r w:rsidR="000E2DB6">
        <w:rPr>
          <w:rFonts w:ascii="Calibri Light" w:hAnsi="Calibri Light" w:cs="Calibri Light"/>
        </w:rPr>
        <w:t>support to the PSU to assist them in performing their roles</w:t>
      </w:r>
      <w:r w:rsidR="00E72E0F">
        <w:rPr>
          <w:rFonts w:ascii="Calibri Light" w:hAnsi="Calibri Light" w:cs="Calibri Light"/>
        </w:rPr>
        <w:t xml:space="preserve"> (for example, providing access to </w:t>
      </w:r>
      <w:r w:rsidR="00675FA9">
        <w:rPr>
          <w:rFonts w:ascii="Calibri Light" w:hAnsi="Calibri Light" w:cs="Calibri Light"/>
        </w:rPr>
        <w:t>the contractor’s general</w:t>
      </w:r>
      <w:r w:rsidR="00E72E0F">
        <w:rPr>
          <w:rFonts w:ascii="Calibri Light" w:hAnsi="Calibri Light" w:cs="Calibri Light"/>
        </w:rPr>
        <w:t xml:space="preserve"> safeguard materials and trainin</w:t>
      </w:r>
      <w:r w:rsidR="00675FA9">
        <w:rPr>
          <w:rFonts w:ascii="Calibri Light" w:hAnsi="Calibri Light" w:cs="Calibri Light"/>
        </w:rPr>
        <w:t>g</w:t>
      </w:r>
      <w:r w:rsidR="00401D5D">
        <w:rPr>
          <w:rFonts w:ascii="Calibri Light" w:hAnsi="Calibri Light" w:cs="Calibri Light"/>
        </w:rPr>
        <w:t>, as well as travel booking service</w:t>
      </w:r>
      <w:r w:rsidR="00675FA9">
        <w:rPr>
          <w:rFonts w:ascii="Calibri Light" w:hAnsi="Calibri Light" w:cs="Calibri Light"/>
        </w:rPr>
        <w:t>)</w:t>
      </w:r>
      <w:r w:rsidR="000E2DB6">
        <w:rPr>
          <w:rFonts w:ascii="Calibri Light" w:hAnsi="Calibri Light" w:cs="Calibri Light"/>
        </w:rPr>
        <w:t>.</w:t>
      </w:r>
    </w:p>
    <w:p w14:paraId="3AA2D24D" w14:textId="77777777" w:rsidR="000F5D96" w:rsidRPr="000F5D96" w:rsidRDefault="000F5D96" w:rsidP="000F5D96">
      <w:pPr>
        <w:pStyle w:val="ListParagraph"/>
        <w:rPr>
          <w:rFonts w:ascii="Calibri Light" w:hAnsi="Calibri Light" w:cs="Calibri Light"/>
        </w:rPr>
      </w:pPr>
    </w:p>
    <w:p w14:paraId="6D8993E9" w14:textId="643B7C3D" w:rsidR="00100A65" w:rsidRPr="00241041" w:rsidRDefault="00C5466D" w:rsidP="00D3558F">
      <w:pPr>
        <w:pStyle w:val="ListParagraph"/>
        <w:numPr>
          <w:ilvl w:val="0"/>
          <w:numId w:val="28"/>
        </w:numPr>
        <w:suppressAutoHyphens w:val="0"/>
        <w:spacing w:before="0" w:after="160" w:line="278" w:lineRule="auto"/>
        <w:ind w:left="426"/>
        <w:rPr>
          <w:rFonts w:ascii="Calibri Light" w:hAnsi="Calibri Light" w:cs="Calibri Light"/>
          <w:u w:val="single"/>
        </w:rPr>
      </w:pPr>
      <w:proofErr w:type="spellStart"/>
      <w:r w:rsidRPr="00241041">
        <w:rPr>
          <w:rFonts w:ascii="Calibri Light" w:hAnsi="Calibri Light" w:cs="Calibri Light"/>
          <w:u w:val="single"/>
        </w:rPr>
        <w:t>Partisipasi</w:t>
      </w:r>
      <w:proofErr w:type="spellEnd"/>
      <w:r w:rsidRPr="00241041">
        <w:rPr>
          <w:rFonts w:ascii="Calibri Light" w:hAnsi="Calibri Light" w:cs="Calibri Light"/>
          <w:u w:val="single"/>
        </w:rPr>
        <w:t xml:space="preserve"> </w:t>
      </w:r>
      <w:r w:rsidR="000D6432" w:rsidRPr="00241041">
        <w:rPr>
          <w:rFonts w:ascii="Calibri Light" w:hAnsi="Calibri Light" w:cs="Calibri Light"/>
          <w:u w:val="single"/>
        </w:rPr>
        <w:t>Program Support Unit</w:t>
      </w:r>
    </w:p>
    <w:p w14:paraId="2BB5D4AD" w14:textId="62F283F4" w:rsidR="000D6432" w:rsidRPr="00BE31AE" w:rsidRDefault="000E2DB6" w:rsidP="00BE31AE">
      <w:pPr>
        <w:suppressAutoHyphens w:val="0"/>
        <w:spacing w:before="0" w:after="160" w:line="278" w:lineRule="auto"/>
        <w:rPr>
          <w:rFonts w:ascii="Calibri Light" w:hAnsi="Calibri Light" w:cs="Calibri Light"/>
        </w:rPr>
      </w:pPr>
      <w:r>
        <w:rPr>
          <w:rFonts w:ascii="Calibri Light" w:hAnsi="Calibri Light" w:cs="Calibri Light"/>
        </w:rPr>
        <w:t>The</w:t>
      </w:r>
      <w:r w:rsidR="00C5466D">
        <w:rPr>
          <w:rFonts w:ascii="Calibri Light" w:hAnsi="Calibri Light" w:cs="Calibri Light"/>
        </w:rPr>
        <w:t xml:space="preserve"> </w:t>
      </w:r>
      <w:r w:rsidR="000D6432">
        <w:rPr>
          <w:rFonts w:ascii="Calibri Light" w:hAnsi="Calibri Light" w:cs="Calibri Light"/>
        </w:rPr>
        <w:t>Program Support Unit</w:t>
      </w:r>
      <w:r>
        <w:rPr>
          <w:rFonts w:ascii="Calibri Light" w:hAnsi="Calibri Light" w:cs="Calibri Light"/>
        </w:rPr>
        <w:t xml:space="preserve"> will</w:t>
      </w:r>
      <w:r w:rsidR="000D6432">
        <w:rPr>
          <w:rFonts w:ascii="Calibri Light" w:hAnsi="Calibri Light" w:cs="Calibri Light"/>
        </w:rPr>
        <w:t>:</w:t>
      </w:r>
    </w:p>
    <w:p w14:paraId="51FC4FAC" w14:textId="244814FB" w:rsidR="00100A65" w:rsidRPr="003346D1" w:rsidRDefault="00100A65" w:rsidP="00504B06">
      <w:pPr>
        <w:pStyle w:val="ListParagraph"/>
        <w:numPr>
          <w:ilvl w:val="0"/>
          <w:numId w:val="58"/>
        </w:numPr>
        <w:rPr>
          <w:rFonts w:ascii="Calibri Light" w:hAnsi="Calibri Light" w:cs="Calibri Light"/>
        </w:rPr>
      </w:pPr>
      <w:r w:rsidRPr="00BE31AE">
        <w:rPr>
          <w:rFonts w:ascii="Calibri Light" w:hAnsi="Calibri Light" w:cs="Calibri Light"/>
          <w:b/>
          <w:bCs/>
        </w:rPr>
        <w:t xml:space="preserve">Provide on-demand support for all operational matters relevant to DFAT’s implementation of </w:t>
      </w:r>
      <w:proofErr w:type="spellStart"/>
      <w:r w:rsidRPr="00BE31AE">
        <w:rPr>
          <w:rFonts w:ascii="Calibri Light" w:hAnsi="Calibri Light" w:cs="Calibri Light"/>
          <w:b/>
          <w:bCs/>
        </w:rPr>
        <w:t>Partisipasi</w:t>
      </w:r>
      <w:proofErr w:type="spellEnd"/>
      <w:r w:rsidRPr="00BE31AE">
        <w:rPr>
          <w:rFonts w:ascii="Calibri Light" w:hAnsi="Calibri Light" w:cs="Calibri Light"/>
          <w:b/>
          <w:bCs/>
        </w:rPr>
        <w:t xml:space="preserve"> Component 1</w:t>
      </w:r>
      <w:r>
        <w:rPr>
          <w:rFonts w:ascii="Calibri Light" w:hAnsi="Calibri Light" w:cs="Calibri Light"/>
        </w:rPr>
        <w:t xml:space="preserve"> </w:t>
      </w:r>
      <w:r w:rsidRPr="00BE31AE">
        <w:t>including</w:t>
      </w:r>
      <w:r>
        <w:rPr>
          <w:rFonts w:ascii="Calibri Light" w:hAnsi="Calibri Light" w:cs="Calibri Light"/>
        </w:rPr>
        <w:t xml:space="preserve"> but not limited to</w:t>
      </w:r>
      <w:r w:rsidRPr="00ED2357">
        <w:rPr>
          <w:rFonts w:ascii="Calibri Light" w:hAnsi="Calibri Light" w:cs="Calibri Light"/>
        </w:rPr>
        <w:t xml:space="preserve"> manage</w:t>
      </w:r>
      <w:r>
        <w:rPr>
          <w:rFonts w:ascii="Calibri Light" w:hAnsi="Calibri Light" w:cs="Calibri Light"/>
        </w:rPr>
        <w:t>ment of</w:t>
      </w:r>
      <w:r w:rsidRPr="00ED2357">
        <w:rPr>
          <w:rFonts w:ascii="Calibri Light" w:hAnsi="Calibri Light" w:cs="Calibri Light"/>
        </w:rPr>
        <w:t xml:space="preserve"> the day-to-day administration of Component 1 activities</w:t>
      </w:r>
      <w:r>
        <w:rPr>
          <w:rFonts w:ascii="Calibri Light" w:hAnsi="Calibri Light" w:cs="Calibri Light"/>
        </w:rPr>
        <w:t xml:space="preserve"> to</w:t>
      </w:r>
      <w:r w:rsidRPr="00ED2357">
        <w:rPr>
          <w:rFonts w:ascii="Calibri Light" w:hAnsi="Calibri Light" w:cs="Calibri Light"/>
        </w:rPr>
        <w:t xml:space="preserve"> ensur</w:t>
      </w:r>
      <w:r>
        <w:rPr>
          <w:rFonts w:ascii="Calibri Light" w:hAnsi="Calibri Light" w:cs="Calibri Light"/>
        </w:rPr>
        <w:t>e</w:t>
      </w:r>
      <w:r w:rsidRPr="00ED2357">
        <w:rPr>
          <w:rFonts w:ascii="Calibri Light" w:hAnsi="Calibri Light" w:cs="Calibri Light"/>
        </w:rPr>
        <w:t xml:space="preserve"> seamless implementation</w:t>
      </w:r>
      <w:r>
        <w:rPr>
          <w:rFonts w:ascii="Calibri Light" w:hAnsi="Calibri Light" w:cs="Calibri Light"/>
        </w:rPr>
        <w:t xml:space="preserve">. </w:t>
      </w:r>
      <w:r w:rsidRPr="006717E6">
        <w:rPr>
          <w:rFonts w:ascii="Calibri Light" w:hAnsi="Calibri Light" w:cs="Calibri Light"/>
        </w:rPr>
        <w:t xml:space="preserve">This includes </w:t>
      </w:r>
      <w:r w:rsidR="006F74F6">
        <w:rPr>
          <w:rFonts w:ascii="Calibri Light" w:hAnsi="Calibri Light" w:cs="Calibri Light"/>
        </w:rPr>
        <w:t xml:space="preserve">supporting </w:t>
      </w:r>
      <w:r w:rsidRPr="006717E6">
        <w:rPr>
          <w:rFonts w:ascii="Calibri Light" w:hAnsi="Calibri Light" w:cs="Calibri Light"/>
        </w:rPr>
        <w:t>logistical arrangements for workshops, study tours, exchanges, and high-level visits/dialogues.</w:t>
      </w:r>
    </w:p>
    <w:p w14:paraId="175CB30A" w14:textId="64C0373A" w:rsidR="00891A8C" w:rsidRPr="006717E6" w:rsidRDefault="00891A8C" w:rsidP="00504B06">
      <w:pPr>
        <w:pStyle w:val="ListParagraph"/>
        <w:numPr>
          <w:ilvl w:val="0"/>
          <w:numId w:val="58"/>
        </w:numPr>
        <w:rPr>
          <w:rFonts w:ascii="Calibri Light" w:hAnsi="Calibri Light" w:cs="Calibri Light"/>
        </w:rPr>
      </w:pPr>
      <w:r w:rsidRPr="00BE31AE">
        <w:rPr>
          <w:rFonts w:ascii="Calibri Light" w:hAnsi="Calibri Light" w:cs="Calibri Light"/>
          <w:b/>
          <w:bCs/>
        </w:rPr>
        <w:t xml:space="preserve">Manage </w:t>
      </w:r>
      <w:proofErr w:type="spellStart"/>
      <w:r w:rsidRPr="00BE31AE">
        <w:rPr>
          <w:rFonts w:ascii="Calibri Light" w:hAnsi="Calibri Light" w:cs="Calibri Light"/>
          <w:b/>
          <w:bCs/>
        </w:rPr>
        <w:t>Partisipasi</w:t>
      </w:r>
      <w:proofErr w:type="spellEnd"/>
      <w:r w:rsidRPr="00BE31AE">
        <w:rPr>
          <w:rFonts w:ascii="Calibri Light" w:hAnsi="Calibri Light" w:cs="Calibri Light"/>
          <w:b/>
          <w:bCs/>
        </w:rPr>
        <w:t xml:space="preserve"> finances</w:t>
      </w:r>
      <w:r w:rsidR="009808A1">
        <w:rPr>
          <w:rFonts w:ascii="Calibri Light" w:hAnsi="Calibri Light" w:cs="Calibri Light"/>
          <w:b/>
          <w:bCs/>
        </w:rPr>
        <w:t xml:space="preserve"> and </w:t>
      </w:r>
      <w:r w:rsidR="00001ADA">
        <w:rPr>
          <w:rFonts w:ascii="Calibri Light" w:hAnsi="Calibri Light" w:cs="Calibri Light"/>
          <w:b/>
          <w:bCs/>
        </w:rPr>
        <w:t xml:space="preserve">book </w:t>
      </w:r>
      <w:r w:rsidR="009808A1">
        <w:rPr>
          <w:rFonts w:ascii="Calibri Light" w:hAnsi="Calibri Light" w:cs="Calibri Light"/>
          <w:b/>
          <w:bCs/>
        </w:rPr>
        <w:t xml:space="preserve">travel </w:t>
      </w:r>
      <w:r w:rsidRPr="00BE31AE">
        <w:rPr>
          <w:rFonts w:ascii="Calibri Light" w:hAnsi="Calibri Light" w:cs="Calibri Light"/>
          <w:b/>
          <w:bCs/>
        </w:rPr>
        <w:t xml:space="preserve">for </w:t>
      </w:r>
      <w:r w:rsidR="001E077F">
        <w:rPr>
          <w:rFonts w:ascii="Calibri Light" w:hAnsi="Calibri Light" w:cs="Calibri Light"/>
          <w:b/>
          <w:bCs/>
        </w:rPr>
        <w:t>relevant</w:t>
      </w:r>
      <w:r w:rsidR="009808A1">
        <w:rPr>
          <w:rFonts w:ascii="Calibri Light" w:hAnsi="Calibri Light" w:cs="Calibri Light"/>
          <w:b/>
          <w:bCs/>
        </w:rPr>
        <w:t xml:space="preserve"> government-to-government</w:t>
      </w:r>
      <w:r w:rsidRPr="00BE31AE">
        <w:rPr>
          <w:rFonts w:ascii="Calibri Light" w:hAnsi="Calibri Light" w:cs="Calibri Light"/>
          <w:b/>
          <w:bCs/>
        </w:rPr>
        <w:t xml:space="preserve"> </w:t>
      </w:r>
      <w:r w:rsidR="001E077F">
        <w:rPr>
          <w:rFonts w:ascii="Calibri Light" w:hAnsi="Calibri Light" w:cs="Calibri Light"/>
          <w:b/>
          <w:bCs/>
        </w:rPr>
        <w:t xml:space="preserve">(G2G) </w:t>
      </w:r>
      <w:r w:rsidRPr="00BE31AE">
        <w:rPr>
          <w:rFonts w:ascii="Calibri Light" w:hAnsi="Calibri Light" w:cs="Calibri Light"/>
          <w:b/>
          <w:bCs/>
        </w:rPr>
        <w:t>activities</w:t>
      </w:r>
      <w:r>
        <w:rPr>
          <w:rFonts w:ascii="Calibri Light" w:hAnsi="Calibri Light" w:cs="Calibri Light"/>
        </w:rPr>
        <w:t xml:space="preserve"> in accordance with DFAT policies and procedures. This includes managing </w:t>
      </w:r>
      <w:r w:rsidRPr="007D1B32">
        <w:t>reimbursable</w:t>
      </w:r>
      <w:r>
        <w:rPr>
          <w:rFonts w:ascii="Calibri Light" w:hAnsi="Calibri Light" w:cs="Calibri Light"/>
        </w:rPr>
        <w:t xml:space="preserve"> costs (e.g. for program travel, venue hire) and activity costs</w:t>
      </w:r>
      <w:r w:rsidR="00385C6E">
        <w:rPr>
          <w:rFonts w:ascii="Calibri Light" w:hAnsi="Calibri Light" w:cs="Calibri Light"/>
        </w:rPr>
        <w:t xml:space="preserve"> for parliamentary G2G activities</w:t>
      </w:r>
      <w:r>
        <w:rPr>
          <w:rFonts w:ascii="Calibri Light" w:hAnsi="Calibri Light" w:cs="Calibri Light"/>
        </w:rPr>
        <w:t>.</w:t>
      </w:r>
      <w:r w:rsidR="001E077F">
        <w:rPr>
          <w:rFonts w:ascii="Calibri Light" w:hAnsi="Calibri Light" w:cs="Calibri Light"/>
        </w:rPr>
        <w:t xml:space="preserve"> </w:t>
      </w:r>
      <w:r w:rsidR="0018411E">
        <w:rPr>
          <w:rFonts w:ascii="Calibri Light" w:hAnsi="Calibri Light" w:cs="Calibri Light"/>
        </w:rPr>
        <w:t xml:space="preserve">DFAT will </w:t>
      </w:r>
      <w:r w:rsidR="00137FD3">
        <w:rPr>
          <w:rFonts w:ascii="Calibri Light" w:hAnsi="Calibri Light" w:cs="Calibri Light"/>
        </w:rPr>
        <w:t>communicate with</w:t>
      </w:r>
      <w:r w:rsidR="0018411E">
        <w:rPr>
          <w:rFonts w:ascii="Calibri Light" w:hAnsi="Calibri Light" w:cs="Calibri Light"/>
        </w:rPr>
        <w:t xml:space="preserve"> parliamentarians about their travel entitlements</w:t>
      </w:r>
      <w:r w:rsidR="00807101">
        <w:rPr>
          <w:rFonts w:ascii="Calibri Light" w:hAnsi="Calibri Light" w:cs="Calibri Light"/>
        </w:rPr>
        <w:t xml:space="preserve">, including in cases where </w:t>
      </w:r>
      <w:r w:rsidR="00137FD3">
        <w:rPr>
          <w:rFonts w:ascii="Calibri Light" w:hAnsi="Calibri Light" w:cs="Calibri Light"/>
        </w:rPr>
        <w:t xml:space="preserve">unusual requests are </w:t>
      </w:r>
      <w:r w:rsidR="00997494">
        <w:rPr>
          <w:rFonts w:ascii="Calibri Light" w:hAnsi="Calibri Light" w:cs="Calibri Light"/>
        </w:rPr>
        <w:t>made</w:t>
      </w:r>
      <w:r w:rsidR="00807101">
        <w:rPr>
          <w:rFonts w:ascii="Calibri Light" w:hAnsi="Calibri Light" w:cs="Calibri Light"/>
        </w:rPr>
        <w:t xml:space="preserve"> to ensure adherence to DFAT policies</w:t>
      </w:r>
      <w:r w:rsidR="0018411E">
        <w:rPr>
          <w:rFonts w:ascii="Calibri Light" w:hAnsi="Calibri Light" w:cs="Calibri Light"/>
        </w:rPr>
        <w:t xml:space="preserve">. </w:t>
      </w:r>
      <w:r w:rsidR="00335BE6">
        <w:rPr>
          <w:rFonts w:ascii="Calibri Light" w:hAnsi="Calibri Light" w:cs="Calibri Light"/>
        </w:rPr>
        <w:t xml:space="preserve">Travel bookings and finances for the Australian Election Commission (AEC) </w:t>
      </w:r>
      <w:r w:rsidR="00001ADA">
        <w:rPr>
          <w:rFonts w:ascii="Calibri Light" w:hAnsi="Calibri Light" w:cs="Calibri Light"/>
        </w:rPr>
        <w:t>will</w:t>
      </w:r>
      <w:r w:rsidR="00335BE6">
        <w:rPr>
          <w:rFonts w:ascii="Calibri Light" w:hAnsi="Calibri Light" w:cs="Calibri Light"/>
        </w:rPr>
        <w:t xml:space="preserve"> be managed directly by the AEC.</w:t>
      </w:r>
    </w:p>
    <w:p w14:paraId="6B99397C" w14:textId="2C5F8354" w:rsidR="00F852B8" w:rsidRPr="00BE31AE" w:rsidRDefault="00891A8C" w:rsidP="00504B06">
      <w:pPr>
        <w:pStyle w:val="ListParagraph"/>
        <w:numPr>
          <w:ilvl w:val="0"/>
          <w:numId w:val="58"/>
        </w:numPr>
        <w:rPr>
          <w:rFonts w:ascii="Calibri Light" w:hAnsi="Calibri Light" w:cs="Calibri Light"/>
        </w:rPr>
      </w:pPr>
      <w:r w:rsidRPr="00BE31AE">
        <w:rPr>
          <w:rFonts w:ascii="Calibri Light" w:hAnsi="Calibri Light" w:cs="Calibri Light"/>
          <w:b/>
          <w:bCs/>
        </w:rPr>
        <w:t xml:space="preserve">For Component 1 activities, conduct due diligence on partners and activities, ensuring compliance with fiduciary and </w:t>
      </w:r>
      <w:r w:rsidRPr="00BE31AE">
        <w:rPr>
          <w:b/>
          <w:bCs/>
        </w:rPr>
        <w:t>safeguarding</w:t>
      </w:r>
      <w:r w:rsidRPr="00BE31AE">
        <w:rPr>
          <w:rFonts w:ascii="Calibri Light" w:hAnsi="Calibri Light" w:cs="Calibri Light"/>
          <w:b/>
          <w:bCs/>
        </w:rPr>
        <w:t xml:space="preserve"> standards, manage and monitor risks</w:t>
      </w:r>
      <w:r>
        <w:rPr>
          <w:rFonts w:ascii="Calibri Light" w:hAnsi="Calibri Light" w:cs="Calibri Light"/>
        </w:rPr>
        <w:t xml:space="preserve">, </w:t>
      </w:r>
      <w:r w:rsidRPr="00D773A5">
        <w:rPr>
          <w:rFonts w:ascii="Calibri Light" w:hAnsi="Calibri Light" w:cs="Calibri Light"/>
        </w:rPr>
        <w:t>provid</w:t>
      </w:r>
      <w:r>
        <w:rPr>
          <w:rFonts w:ascii="Calibri Light" w:hAnsi="Calibri Light" w:cs="Calibri Light"/>
        </w:rPr>
        <w:t>ing</w:t>
      </w:r>
      <w:r w:rsidRPr="00D773A5">
        <w:rPr>
          <w:rFonts w:ascii="Calibri Light" w:hAnsi="Calibri Light" w:cs="Calibri Light"/>
        </w:rPr>
        <w:t xml:space="preserve"> DFAT with</w:t>
      </w:r>
      <w:r>
        <w:rPr>
          <w:rFonts w:ascii="Calibri Light" w:hAnsi="Calibri Light" w:cs="Calibri Light"/>
        </w:rPr>
        <w:t xml:space="preserve"> timely risk updates, including through</w:t>
      </w:r>
      <w:r w:rsidRPr="00D773A5">
        <w:rPr>
          <w:rFonts w:ascii="Calibri Light" w:hAnsi="Calibri Light" w:cs="Calibri Light"/>
        </w:rPr>
        <w:t xml:space="preserve"> risk register updates.</w:t>
      </w:r>
      <w:r w:rsidR="00B5758B">
        <w:rPr>
          <w:rFonts w:ascii="Calibri Light" w:hAnsi="Calibri Light" w:cs="Calibri Light"/>
        </w:rPr>
        <w:t xml:space="preserve"> </w:t>
      </w:r>
      <w:r w:rsidR="00F852B8" w:rsidRPr="00BE31AE">
        <w:rPr>
          <w:rFonts w:ascii="Calibri Light" w:hAnsi="Calibri Light" w:cs="Calibri Light"/>
        </w:rPr>
        <w:t xml:space="preserve">Develop guidelines and deliver training and regular refresher on risk and safeguards to all </w:t>
      </w:r>
      <w:r w:rsidR="00F852B8" w:rsidRPr="005914A1">
        <w:t>component</w:t>
      </w:r>
      <w:r w:rsidR="00F852B8" w:rsidRPr="00BE31AE">
        <w:rPr>
          <w:rFonts w:ascii="Calibri Light" w:hAnsi="Calibri Light" w:cs="Calibri Light"/>
        </w:rPr>
        <w:t xml:space="preserve"> 1 partners.</w:t>
      </w:r>
    </w:p>
    <w:p w14:paraId="6F8B3782" w14:textId="613425FB" w:rsidR="00891A8C" w:rsidRDefault="006B0B95" w:rsidP="00504B06">
      <w:pPr>
        <w:pStyle w:val="ListParagraph"/>
        <w:numPr>
          <w:ilvl w:val="0"/>
          <w:numId w:val="58"/>
        </w:numPr>
        <w:rPr>
          <w:rFonts w:ascii="Calibri Light" w:hAnsi="Calibri Light" w:cs="Calibri Light"/>
        </w:rPr>
      </w:pPr>
      <w:r w:rsidRPr="007D2E75">
        <w:rPr>
          <w:rFonts w:ascii="Calibri Light" w:hAnsi="Calibri Light" w:cs="Calibri Light"/>
        </w:rPr>
        <w:t>In collaboration with</w:t>
      </w:r>
      <w:r w:rsidR="00757E61" w:rsidRPr="007D2E75">
        <w:rPr>
          <w:rFonts w:ascii="Calibri Light" w:hAnsi="Calibri Light" w:cs="Calibri Light"/>
        </w:rPr>
        <w:t xml:space="preserve"> the MEL Hub, DFAT, other Australian Government agencies and the TAP,</w:t>
      </w:r>
      <w:r w:rsidR="00757E61">
        <w:rPr>
          <w:rFonts w:ascii="Calibri Light" w:hAnsi="Calibri Light" w:cs="Calibri Light"/>
          <w:b/>
          <w:bCs/>
        </w:rPr>
        <w:t xml:space="preserve"> p</w:t>
      </w:r>
      <w:r w:rsidR="002F2B4C">
        <w:rPr>
          <w:rFonts w:ascii="Calibri Light" w:hAnsi="Calibri Light" w:cs="Calibri Light"/>
          <w:b/>
          <w:bCs/>
        </w:rPr>
        <w:t xml:space="preserve">rovide monitoring, evaluation and learning inputs </w:t>
      </w:r>
      <w:r w:rsidR="00F852B8" w:rsidRPr="00BE31AE">
        <w:rPr>
          <w:rFonts w:ascii="Calibri Light" w:hAnsi="Calibri Light" w:cs="Calibri Light"/>
          <w:b/>
          <w:bCs/>
        </w:rPr>
        <w:t>for Component 1</w:t>
      </w:r>
      <w:r w:rsidR="002F2B4C">
        <w:rPr>
          <w:rFonts w:ascii="Calibri Light" w:hAnsi="Calibri Light" w:cs="Calibri Light"/>
          <w:b/>
          <w:bCs/>
        </w:rPr>
        <w:t xml:space="preserve"> activities as the ‘Spoke’</w:t>
      </w:r>
      <w:r w:rsidR="00671F9B">
        <w:rPr>
          <w:rFonts w:ascii="Calibri Light" w:hAnsi="Calibri Light" w:cs="Calibri Light"/>
          <w:b/>
          <w:bCs/>
        </w:rPr>
        <w:t>,</w:t>
      </w:r>
      <w:r w:rsidR="002F2B4C">
        <w:rPr>
          <w:rFonts w:ascii="Calibri Light" w:hAnsi="Calibri Light" w:cs="Calibri Light"/>
          <w:b/>
          <w:bCs/>
        </w:rPr>
        <w:t xml:space="preserve"> line </w:t>
      </w:r>
      <w:r w:rsidR="002F2B4C">
        <w:rPr>
          <w:rFonts w:ascii="Calibri Light" w:hAnsi="Calibri Light" w:cs="Calibri Light"/>
          <w:b/>
          <w:bCs/>
        </w:rPr>
        <w:lastRenderedPageBreak/>
        <w:t xml:space="preserve">with the </w:t>
      </w:r>
      <w:r w:rsidR="00671F9B">
        <w:rPr>
          <w:rFonts w:ascii="Calibri Light" w:hAnsi="Calibri Light" w:cs="Calibri Light"/>
          <w:b/>
          <w:bCs/>
        </w:rPr>
        <w:t>agreed</w:t>
      </w:r>
      <w:r w:rsidR="002F2B4C">
        <w:rPr>
          <w:rFonts w:ascii="Calibri Light" w:hAnsi="Calibri Light" w:cs="Calibri Light"/>
          <w:b/>
          <w:bCs/>
        </w:rPr>
        <w:t xml:space="preserve"> MEL Framework. </w:t>
      </w:r>
      <w:r>
        <w:rPr>
          <w:rFonts w:ascii="Calibri Light" w:hAnsi="Calibri Light" w:cs="Calibri Light"/>
        </w:rPr>
        <w:t xml:space="preserve">This </w:t>
      </w:r>
      <w:r w:rsidR="00671F9B">
        <w:rPr>
          <w:rFonts w:ascii="Calibri Light" w:hAnsi="Calibri Light" w:cs="Calibri Light"/>
        </w:rPr>
        <w:t xml:space="preserve">will mainly involve coordinating the relevant data, lessons and analysis from </w:t>
      </w:r>
      <w:r w:rsidR="00354EE4">
        <w:rPr>
          <w:rFonts w:ascii="Calibri Light" w:hAnsi="Calibri Light" w:cs="Calibri Light"/>
        </w:rPr>
        <w:t xml:space="preserve">relevant partners, and ensuring they submit this to the PSU in a timely way. </w:t>
      </w:r>
    </w:p>
    <w:p w14:paraId="57896767" w14:textId="68A2E920" w:rsidR="00100A65" w:rsidRDefault="00100A65" w:rsidP="00504B06">
      <w:pPr>
        <w:pStyle w:val="ListParagraph"/>
        <w:numPr>
          <w:ilvl w:val="0"/>
          <w:numId w:val="58"/>
        </w:numPr>
        <w:rPr>
          <w:rFonts w:ascii="Calibri Light" w:hAnsi="Calibri Light" w:cs="Calibri Light"/>
        </w:rPr>
      </w:pPr>
      <w:r w:rsidRPr="00BE31AE">
        <w:rPr>
          <w:rFonts w:ascii="Calibri Light" w:hAnsi="Calibri Light" w:cs="Calibri Light"/>
          <w:b/>
          <w:bCs/>
        </w:rPr>
        <w:t xml:space="preserve">Collate a consolidated </w:t>
      </w:r>
      <w:proofErr w:type="spellStart"/>
      <w:r w:rsidRPr="00BE31AE">
        <w:rPr>
          <w:rFonts w:ascii="Calibri Light" w:hAnsi="Calibri Light" w:cs="Calibri Light"/>
          <w:b/>
          <w:bCs/>
        </w:rPr>
        <w:t>Partisipasi</w:t>
      </w:r>
      <w:proofErr w:type="spellEnd"/>
      <w:r w:rsidRPr="00BE31AE">
        <w:rPr>
          <w:rFonts w:ascii="Calibri Light" w:hAnsi="Calibri Light" w:cs="Calibri Light"/>
          <w:b/>
          <w:bCs/>
        </w:rPr>
        <w:t xml:space="preserve"> four-year work plan (including annual updates)</w:t>
      </w:r>
      <w:r>
        <w:rPr>
          <w:rFonts w:ascii="Calibri Light" w:hAnsi="Calibri Light" w:cs="Calibri Light"/>
        </w:rPr>
        <w:t xml:space="preserve"> across Component</w:t>
      </w:r>
      <w:r w:rsidR="006103C4">
        <w:rPr>
          <w:rFonts w:ascii="Calibri Light" w:hAnsi="Calibri Light" w:cs="Calibri Light"/>
        </w:rPr>
        <w:t>s</w:t>
      </w:r>
      <w:r>
        <w:rPr>
          <w:rFonts w:ascii="Calibri Light" w:hAnsi="Calibri Light" w:cs="Calibri Light"/>
        </w:rPr>
        <w:t xml:space="preserve"> 1 and 2. For Component 1 activities, </w:t>
      </w:r>
      <w:r w:rsidR="00925B85">
        <w:rPr>
          <w:rFonts w:ascii="Calibri Light" w:hAnsi="Calibri Light" w:cs="Calibri Light"/>
        </w:rPr>
        <w:t>DFAT</w:t>
      </w:r>
      <w:r w:rsidR="004C3B4D">
        <w:rPr>
          <w:rFonts w:ascii="Calibri Light" w:hAnsi="Calibri Light" w:cs="Calibri Light"/>
        </w:rPr>
        <w:t xml:space="preserve"> </w:t>
      </w:r>
      <w:r>
        <w:rPr>
          <w:rFonts w:ascii="Calibri Light" w:hAnsi="Calibri Light" w:cs="Calibri Light"/>
        </w:rPr>
        <w:t xml:space="preserve">will lead development of the workplan in </w:t>
      </w:r>
      <w:r w:rsidRPr="00BE31AE">
        <w:t>collaboration</w:t>
      </w:r>
      <w:r>
        <w:rPr>
          <w:rFonts w:ascii="Calibri Light" w:hAnsi="Calibri Light" w:cs="Calibri Light"/>
        </w:rPr>
        <w:t xml:space="preserve"> with </w:t>
      </w:r>
      <w:r w:rsidR="004C3B4D">
        <w:rPr>
          <w:rFonts w:ascii="Calibri Light" w:hAnsi="Calibri Light" w:cs="Calibri Light"/>
        </w:rPr>
        <w:t>PSU</w:t>
      </w:r>
      <w:r>
        <w:rPr>
          <w:rFonts w:ascii="Calibri Light" w:hAnsi="Calibri Light" w:cs="Calibri Light"/>
        </w:rPr>
        <w:t xml:space="preserve">, </w:t>
      </w:r>
      <w:proofErr w:type="spellStart"/>
      <w:r>
        <w:rPr>
          <w:rFonts w:ascii="Calibri Light" w:hAnsi="Calibri Light" w:cs="Calibri Light"/>
        </w:rPr>
        <w:t>GoA</w:t>
      </w:r>
      <w:proofErr w:type="spellEnd"/>
      <w:r>
        <w:rPr>
          <w:rFonts w:ascii="Calibri Light" w:hAnsi="Calibri Light" w:cs="Calibri Light"/>
        </w:rPr>
        <w:t xml:space="preserve"> and </w:t>
      </w:r>
      <w:proofErr w:type="spellStart"/>
      <w:r>
        <w:rPr>
          <w:rFonts w:ascii="Calibri Light" w:hAnsi="Calibri Light" w:cs="Calibri Light"/>
        </w:rPr>
        <w:t>GoI</w:t>
      </w:r>
      <w:proofErr w:type="spellEnd"/>
      <w:r>
        <w:rPr>
          <w:rFonts w:ascii="Calibri Light" w:hAnsi="Calibri Light" w:cs="Calibri Light"/>
        </w:rPr>
        <w:t xml:space="preserve"> partners, and </w:t>
      </w:r>
      <w:r w:rsidR="006103C4">
        <w:rPr>
          <w:rFonts w:ascii="Calibri Light" w:hAnsi="Calibri Light" w:cs="Calibri Light"/>
        </w:rPr>
        <w:t xml:space="preserve">in </w:t>
      </w:r>
      <w:r>
        <w:rPr>
          <w:rFonts w:ascii="Calibri Light" w:hAnsi="Calibri Light" w:cs="Calibri Light"/>
        </w:rPr>
        <w:t xml:space="preserve">consultation with the Convenor and Core Group Partners. </w:t>
      </w:r>
      <w:r w:rsidR="006103C4">
        <w:t>T</w:t>
      </w:r>
      <w:r w:rsidRPr="006717E6">
        <w:t>he Convenor will lead development of the Component 2</w:t>
      </w:r>
      <w:r w:rsidR="006103C4">
        <w:t xml:space="preserve"> (CSP) work plan and will</w:t>
      </w:r>
      <w:r w:rsidRPr="006717E6">
        <w:t xml:space="preserve"> submi</w:t>
      </w:r>
      <w:r w:rsidR="006103C4">
        <w:t>t</w:t>
      </w:r>
      <w:r w:rsidRPr="006717E6">
        <w:t xml:space="preserve"> to the PSU for integration into </w:t>
      </w:r>
      <w:r w:rsidR="004C3B4D">
        <w:t>the consolidated</w:t>
      </w:r>
      <w:r w:rsidRPr="006717E6">
        <w:t xml:space="preserve"> </w:t>
      </w:r>
      <w:proofErr w:type="spellStart"/>
      <w:r w:rsidR="008E1843">
        <w:t>Partisipasi</w:t>
      </w:r>
      <w:proofErr w:type="spellEnd"/>
      <w:r w:rsidR="008E1843">
        <w:t xml:space="preserve"> work plan </w:t>
      </w:r>
      <w:r w:rsidRPr="006717E6">
        <w:t>document.</w:t>
      </w:r>
      <w:r>
        <w:t xml:space="preserve"> The PSU may also be invited to observe or provide feedback on the Component 2 </w:t>
      </w:r>
      <w:r w:rsidR="008E1843">
        <w:t xml:space="preserve">work </w:t>
      </w:r>
      <w:r>
        <w:t>plan.</w:t>
      </w:r>
    </w:p>
    <w:p w14:paraId="4D50C62A" w14:textId="2868AA8D" w:rsidR="00100A65" w:rsidRDefault="00100A65" w:rsidP="00504B06">
      <w:pPr>
        <w:pStyle w:val="ListParagraph"/>
        <w:numPr>
          <w:ilvl w:val="0"/>
          <w:numId w:val="58"/>
        </w:numPr>
        <w:rPr>
          <w:rFonts w:ascii="Calibri Light" w:hAnsi="Calibri Light" w:cs="Calibri Light"/>
        </w:rPr>
      </w:pPr>
      <w:r w:rsidRPr="00BE31AE">
        <w:rPr>
          <w:rFonts w:ascii="Calibri Light" w:hAnsi="Calibri Light" w:cs="Calibri Light"/>
          <w:b/>
          <w:bCs/>
        </w:rPr>
        <w:t xml:space="preserve">Provide secretariat services for </w:t>
      </w:r>
      <w:r w:rsidR="006F5B46" w:rsidRPr="00BE31AE">
        <w:rPr>
          <w:rFonts w:ascii="Calibri Light" w:hAnsi="Calibri Light" w:cs="Calibri Light"/>
          <w:b/>
          <w:bCs/>
        </w:rPr>
        <w:t xml:space="preserve">relevant </w:t>
      </w:r>
      <w:proofErr w:type="spellStart"/>
      <w:r w:rsidR="006F5B46" w:rsidRPr="00BE31AE">
        <w:rPr>
          <w:rFonts w:ascii="Calibri Light" w:hAnsi="Calibri Light" w:cs="Calibri Light"/>
          <w:b/>
          <w:bCs/>
        </w:rPr>
        <w:t>Partisipasi</w:t>
      </w:r>
      <w:proofErr w:type="spellEnd"/>
      <w:r w:rsidRPr="00BE31AE">
        <w:rPr>
          <w:rFonts w:ascii="Calibri Light" w:hAnsi="Calibri Light" w:cs="Calibri Light"/>
          <w:b/>
          <w:bCs/>
        </w:rPr>
        <w:t xml:space="preserve"> governance and management arrangements</w:t>
      </w:r>
      <w:r w:rsidRPr="006717E6">
        <w:rPr>
          <w:rFonts w:ascii="Calibri Light" w:hAnsi="Calibri Light" w:cs="Calibri Light"/>
        </w:rPr>
        <w:t xml:space="preserve"> (e.g. arranging meetings, writing minutes, tracking action items)</w:t>
      </w:r>
      <w:r w:rsidR="006F5B46">
        <w:rPr>
          <w:rFonts w:ascii="Calibri Light" w:hAnsi="Calibri Light" w:cs="Calibri Light"/>
        </w:rPr>
        <w:t>, as directed by DFAT</w:t>
      </w:r>
      <w:r w:rsidRPr="006717E6">
        <w:rPr>
          <w:rFonts w:ascii="Calibri Light" w:hAnsi="Calibri Light" w:cs="Calibri Light"/>
        </w:rPr>
        <w:t xml:space="preserve">. </w:t>
      </w:r>
    </w:p>
    <w:p w14:paraId="665C8227" w14:textId="4AEA5324" w:rsidR="00B5758B" w:rsidRPr="00966D66" w:rsidRDefault="00F72FA4" w:rsidP="00504B06">
      <w:pPr>
        <w:pStyle w:val="ListParagraph"/>
        <w:numPr>
          <w:ilvl w:val="0"/>
          <w:numId w:val="58"/>
        </w:numPr>
        <w:rPr>
          <w:rFonts w:ascii="Calibri Light" w:hAnsi="Calibri Light" w:cs="Calibri Light"/>
        </w:rPr>
      </w:pPr>
      <w:r w:rsidRPr="00BE31AE">
        <w:rPr>
          <w:rFonts w:ascii="Calibri Light" w:hAnsi="Calibri Light" w:cs="Calibri Light"/>
          <w:b/>
          <w:bCs/>
        </w:rPr>
        <w:t>Collate a single program risk register matrix for DFAT</w:t>
      </w:r>
      <w:r>
        <w:rPr>
          <w:rFonts w:ascii="Calibri Light" w:hAnsi="Calibri Light" w:cs="Calibri Light"/>
        </w:rPr>
        <w:t>, receiving inputs from the Convenor for Component 2 activities.</w:t>
      </w:r>
    </w:p>
    <w:p w14:paraId="5A41AA90" w14:textId="646B20CF" w:rsidR="00100A65" w:rsidRPr="003E0267" w:rsidRDefault="00100A65" w:rsidP="00966D66">
      <w:pPr>
        <w:pStyle w:val="ListParagraph"/>
        <w:numPr>
          <w:ilvl w:val="0"/>
          <w:numId w:val="28"/>
        </w:numPr>
        <w:suppressAutoHyphens w:val="0"/>
        <w:spacing w:before="240" w:after="160" w:line="278" w:lineRule="auto"/>
        <w:ind w:left="360"/>
        <w:contextualSpacing w:val="0"/>
        <w:rPr>
          <w:rFonts w:ascii="Calibri Light" w:hAnsi="Calibri Light" w:cs="Calibri Light"/>
          <w:b/>
          <w:bCs/>
        </w:rPr>
      </w:pPr>
      <w:proofErr w:type="spellStart"/>
      <w:r w:rsidRPr="003E0267">
        <w:rPr>
          <w:rFonts w:ascii="Calibri Light" w:hAnsi="Calibri Light" w:cs="Calibri Light"/>
          <w:b/>
          <w:bCs/>
        </w:rPr>
        <w:t>Partisipasi</w:t>
      </w:r>
      <w:proofErr w:type="spellEnd"/>
      <w:r w:rsidRPr="003E0267">
        <w:rPr>
          <w:rFonts w:ascii="Calibri Light" w:hAnsi="Calibri Light" w:cs="Calibri Light"/>
          <w:b/>
          <w:bCs/>
        </w:rPr>
        <w:t xml:space="preserve"> Technical Advisory </w:t>
      </w:r>
      <w:r w:rsidR="00F7541D" w:rsidRPr="003E0267">
        <w:rPr>
          <w:rFonts w:ascii="Calibri Light" w:hAnsi="Calibri Light" w:cs="Calibri Light"/>
          <w:b/>
          <w:bCs/>
        </w:rPr>
        <w:t xml:space="preserve">Panel </w:t>
      </w:r>
    </w:p>
    <w:p w14:paraId="05AE367B" w14:textId="77777777" w:rsidR="008F7DE9" w:rsidRDefault="008F7DE9" w:rsidP="00504B06">
      <w:pPr>
        <w:pStyle w:val="ListParagraph"/>
        <w:numPr>
          <w:ilvl w:val="0"/>
          <w:numId w:val="58"/>
        </w:numPr>
        <w:rPr>
          <w:rFonts w:ascii="Calibri Light" w:hAnsi="Calibri Light" w:cs="Calibri Light"/>
        </w:rPr>
      </w:pPr>
      <w:r>
        <w:rPr>
          <w:rFonts w:ascii="Calibri Light" w:hAnsi="Calibri Light" w:cs="Calibri Light"/>
        </w:rPr>
        <w:t>Participate in meetings as directed by DFAT.</w:t>
      </w:r>
    </w:p>
    <w:p w14:paraId="076CBD64" w14:textId="77777777" w:rsidR="008F7DE9" w:rsidRDefault="008F7DE9" w:rsidP="00504B06">
      <w:pPr>
        <w:pStyle w:val="ListParagraph"/>
        <w:numPr>
          <w:ilvl w:val="0"/>
          <w:numId w:val="58"/>
        </w:numPr>
        <w:rPr>
          <w:rFonts w:ascii="Calibri Light" w:hAnsi="Calibri Light" w:cs="Calibri Light"/>
        </w:rPr>
      </w:pPr>
      <w:r>
        <w:rPr>
          <w:rFonts w:ascii="Calibri Light" w:hAnsi="Calibri Light" w:cs="Calibri Light"/>
        </w:rPr>
        <w:t xml:space="preserve">Establish productive working relationships with DFAT and </w:t>
      </w:r>
      <w:proofErr w:type="spellStart"/>
      <w:r>
        <w:rPr>
          <w:rFonts w:ascii="Calibri Light" w:hAnsi="Calibri Light" w:cs="Calibri Light"/>
        </w:rPr>
        <w:t>Partisipasi</w:t>
      </w:r>
      <w:proofErr w:type="spellEnd"/>
      <w:r>
        <w:rPr>
          <w:rFonts w:ascii="Calibri Light" w:hAnsi="Calibri Light" w:cs="Calibri Light"/>
        </w:rPr>
        <w:t xml:space="preserve"> stakeholders relevant to the task.</w:t>
      </w:r>
    </w:p>
    <w:p w14:paraId="63522A7A" w14:textId="51E36964" w:rsidR="008F7DE9" w:rsidRDefault="008F7DE9" w:rsidP="00504B06">
      <w:pPr>
        <w:pStyle w:val="ListParagraph"/>
        <w:numPr>
          <w:ilvl w:val="0"/>
          <w:numId w:val="58"/>
        </w:numPr>
        <w:rPr>
          <w:rFonts w:ascii="Calibri Light" w:hAnsi="Calibri Light" w:cs="Calibri Light"/>
        </w:rPr>
      </w:pPr>
      <w:r>
        <w:rPr>
          <w:rFonts w:ascii="Calibri Light" w:hAnsi="Calibri Light" w:cs="Calibri Light"/>
        </w:rPr>
        <w:t xml:space="preserve">Review </w:t>
      </w:r>
      <w:proofErr w:type="spellStart"/>
      <w:r>
        <w:rPr>
          <w:rFonts w:ascii="Calibri Light" w:hAnsi="Calibri Light" w:cs="Calibri Light"/>
        </w:rPr>
        <w:t>Partisipasi</w:t>
      </w:r>
      <w:proofErr w:type="spellEnd"/>
      <w:r>
        <w:rPr>
          <w:rFonts w:ascii="Calibri Light" w:hAnsi="Calibri Light" w:cs="Calibri Light"/>
        </w:rPr>
        <w:t xml:space="preserve"> program documents as directed by DFAT.</w:t>
      </w:r>
    </w:p>
    <w:p w14:paraId="18BDE49C" w14:textId="41B47FD2" w:rsidR="003E0267" w:rsidRDefault="005C4187" w:rsidP="00504B06">
      <w:pPr>
        <w:pStyle w:val="ListParagraph"/>
        <w:numPr>
          <w:ilvl w:val="0"/>
          <w:numId w:val="58"/>
        </w:numPr>
        <w:rPr>
          <w:rFonts w:ascii="Calibri Light" w:hAnsi="Calibri Light" w:cs="Calibri Light"/>
        </w:rPr>
      </w:pPr>
      <w:r>
        <w:rPr>
          <w:rFonts w:ascii="Calibri Light" w:hAnsi="Calibri Light" w:cs="Calibri Light"/>
        </w:rPr>
        <w:t>Provide</w:t>
      </w:r>
      <w:r w:rsidR="00A2339E">
        <w:rPr>
          <w:rFonts w:ascii="Calibri Light" w:hAnsi="Calibri Light" w:cs="Calibri Light"/>
        </w:rPr>
        <w:t xml:space="preserve"> verbal advice to DFAT</w:t>
      </w:r>
      <w:r w:rsidR="00B94322">
        <w:rPr>
          <w:rFonts w:ascii="Calibri Light" w:hAnsi="Calibri Light" w:cs="Calibri Light"/>
        </w:rPr>
        <w:t xml:space="preserve"> </w:t>
      </w:r>
      <w:r w:rsidR="00460930">
        <w:rPr>
          <w:rFonts w:ascii="Calibri Light" w:hAnsi="Calibri Light" w:cs="Calibri Light"/>
        </w:rPr>
        <w:t>and where relevant, CSP partners, a</w:t>
      </w:r>
      <w:r w:rsidR="00B94322">
        <w:rPr>
          <w:rFonts w:ascii="Calibri Light" w:hAnsi="Calibri Light" w:cs="Calibri Light"/>
        </w:rPr>
        <w:t>s directed by DFAT.</w:t>
      </w:r>
    </w:p>
    <w:p w14:paraId="5CB16FF8" w14:textId="6F5EBCB2" w:rsidR="008F7DE9" w:rsidRDefault="008F7DE9" w:rsidP="00504B06">
      <w:pPr>
        <w:pStyle w:val="ListParagraph"/>
        <w:numPr>
          <w:ilvl w:val="0"/>
          <w:numId w:val="58"/>
        </w:numPr>
        <w:rPr>
          <w:rFonts w:ascii="Calibri Light" w:hAnsi="Calibri Light" w:cs="Calibri Light"/>
        </w:rPr>
      </w:pPr>
      <w:r>
        <w:rPr>
          <w:rFonts w:ascii="Calibri Light" w:hAnsi="Calibri Light" w:cs="Calibri Light"/>
        </w:rPr>
        <w:t>Provide written advice in the form of a TAP technical advisory report, as directed by DFAT.</w:t>
      </w:r>
    </w:p>
    <w:p w14:paraId="764CA1FE" w14:textId="77777777" w:rsidR="00100A65" w:rsidRPr="003346D1" w:rsidRDefault="00100A65" w:rsidP="00966D66">
      <w:pPr>
        <w:pStyle w:val="ListParagraph"/>
        <w:numPr>
          <w:ilvl w:val="0"/>
          <w:numId w:val="27"/>
        </w:numPr>
        <w:suppressAutoHyphens w:val="0"/>
        <w:spacing w:before="240" w:after="160" w:line="278" w:lineRule="auto"/>
        <w:ind w:left="432"/>
        <w:contextualSpacing w:val="0"/>
        <w:rPr>
          <w:rFonts w:ascii="Calibri Light" w:hAnsi="Calibri Light" w:cs="Calibri Light"/>
          <w:b/>
          <w:bCs/>
        </w:rPr>
      </w:pPr>
      <w:r w:rsidRPr="003346D1">
        <w:rPr>
          <w:rFonts w:ascii="Calibri Light" w:hAnsi="Calibri Light" w:cs="Calibri Light"/>
          <w:b/>
          <w:bCs/>
        </w:rPr>
        <w:t>Key Deliverables</w:t>
      </w:r>
    </w:p>
    <w:p w14:paraId="74EF7E90" w14:textId="03E8F3F0" w:rsidR="00100A65" w:rsidRPr="003346D1" w:rsidRDefault="00A0728F" w:rsidP="00100A65">
      <w:pPr>
        <w:spacing w:before="0" w:after="160" w:line="278" w:lineRule="auto"/>
        <w:rPr>
          <w:rFonts w:ascii="Calibri Light" w:hAnsi="Calibri Light" w:cs="Calibri Light"/>
        </w:rPr>
      </w:pPr>
      <w:r>
        <w:rPr>
          <w:rFonts w:ascii="Calibri Light" w:hAnsi="Calibri Light" w:cs="Calibri Light"/>
        </w:rPr>
        <w:t xml:space="preserve">The </w:t>
      </w:r>
      <w:r w:rsidR="005C4187">
        <w:rPr>
          <w:rFonts w:ascii="Calibri Light" w:hAnsi="Calibri Light" w:cs="Calibri Light"/>
        </w:rPr>
        <w:t>Contractor</w:t>
      </w:r>
      <w:r w:rsidR="00134B2F">
        <w:rPr>
          <w:rFonts w:ascii="Calibri Light" w:hAnsi="Calibri Light" w:cs="Calibri Light"/>
        </w:rPr>
        <w:t xml:space="preserve"> </w:t>
      </w:r>
      <w:r w:rsidR="00100A65" w:rsidRPr="003346D1">
        <w:rPr>
          <w:rFonts w:ascii="Calibri Light" w:hAnsi="Calibri Light" w:cs="Calibri Light"/>
        </w:rPr>
        <w:t xml:space="preserve">will be accountable for </w:t>
      </w:r>
      <w:r w:rsidR="00100A65">
        <w:rPr>
          <w:rFonts w:ascii="Calibri Light" w:hAnsi="Calibri Light" w:cs="Calibri Light"/>
        </w:rPr>
        <w:t xml:space="preserve">delivery of </w:t>
      </w:r>
      <w:r w:rsidR="00100A65" w:rsidRPr="003346D1">
        <w:rPr>
          <w:rFonts w:ascii="Calibri Light" w:hAnsi="Calibri Light" w:cs="Calibri Light"/>
        </w:rPr>
        <w:t>the following outputs</w:t>
      </w:r>
      <w:r w:rsidR="005C4187">
        <w:rPr>
          <w:rFonts w:ascii="Calibri Light" w:hAnsi="Calibri Light" w:cs="Calibri Light"/>
        </w:rPr>
        <w:t xml:space="preserve"> through the PSU and TAP</w:t>
      </w:r>
      <w:r w:rsidR="00100A65" w:rsidRPr="003346D1">
        <w:rPr>
          <w:rFonts w:ascii="Calibri Light" w:hAnsi="Calibri Light" w:cs="Calibri Light"/>
        </w:rPr>
        <w:t>:</w:t>
      </w:r>
    </w:p>
    <w:p w14:paraId="22D74CBB" w14:textId="1AA3DDDF" w:rsidR="00100A65" w:rsidRPr="00517333" w:rsidRDefault="00100A65" w:rsidP="00504B06">
      <w:pPr>
        <w:pStyle w:val="ListParagraph"/>
        <w:numPr>
          <w:ilvl w:val="0"/>
          <w:numId w:val="58"/>
        </w:numPr>
      </w:pPr>
      <w:r w:rsidRPr="00990A4E">
        <w:t xml:space="preserve">Four-year </w:t>
      </w:r>
      <w:proofErr w:type="spellStart"/>
      <w:r w:rsidRPr="00990A4E">
        <w:t>Partisipasi</w:t>
      </w:r>
      <w:proofErr w:type="spellEnd"/>
      <w:r w:rsidRPr="00990A4E">
        <w:t xml:space="preserve"> work plan covering both components </w:t>
      </w:r>
      <w:r w:rsidRPr="00517333">
        <w:t>(updated annually, with more detailed activities for the year ahead).</w:t>
      </w:r>
      <w:r w:rsidRPr="00990A4E">
        <w:t xml:space="preserve"> </w:t>
      </w:r>
    </w:p>
    <w:p w14:paraId="51860542" w14:textId="700DF402" w:rsidR="0088399A" w:rsidRPr="00517333" w:rsidRDefault="00433251" w:rsidP="00504B06">
      <w:pPr>
        <w:pStyle w:val="ListParagraph"/>
        <w:numPr>
          <w:ilvl w:val="0"/>
          <w:numId w:val="58"/>
        </w:numPr>
      </w:pPr>
      <w:r w:rsidRPr="00990A4E">
        <w:t>Consolidated whole-of-program r</w:t>
      </w:r>
      <w:r w:rsidR="00100A65" w:rsidRPr="00990A4E">
        <w:t>isk register</w:t>
      </w:r>
      <w:r w:rsidR="0088399A" w:rsidRPr="00990A4E">
        <w:t xml:space="preserve"> </w:t>
      </w:r>
      <w:r w:rsidR="0088399A" w:rsidRPr="00517333">
        <w:t>(including quarterly updates)</w:t>
      </w:r>
      <w:r w:rsidR="00100A65" w:rsidRPr="00517333">
        <w:t xml:space="preserve"> to guide DFAT decision-making</w:t>
      </w:r>
      <w:bookmarkStart w:id="304" w:name="_Hlk214370658"/>
      <w:r w:rsidRPr="00517333">
        <w:t>.</w:t>
      </w:r>
    </w:p>
    <w:bookmarkEnd w:id="304"/>
    <w:p w14:paraId="017662AF" w14:textId="77777777" w:rsidR="0066513C" w:rsidRDefault="0066513C" w:rsidP="00504B06">
      <w:pPr>
        <w:pStyle w:val="ListParagraph"/>
        <w:numPr>
          <w:ilvl w:val="0"/>
          <w:numId w:val="58"/>
        </w:numPr>
      </w:pPr>
      <w:proofErr w:type="spellStart"/>
      <w:r w:rsidRPr="00517333">
        <w:t>Partisipasi</w:t>
      </w:r>
      <w:proofErr w:type="spellEnd"/>
      <w:r w:rsidRPr="00517333">
        <w:t xml:space="preserve"> communications strategy.</w:t>
      </w:r>
    </w:p>
    <w:p w14:paraId="1D51E4C3" w14:textId="767354A4" w:rsidR="00100A65" w:rsidRPr="00517333" w:rsidRDefault="005C4187" w:rsidP="00504B06">
      <w:pPr>
        <w:pStyle w:val="ListParagraph"/>
        <w:numPr>
          <w:ilvl w:val="0"/>
          <w:numId w:val="58"/>
        </w:numPr>
      </w:pPr>
      <w:r>
        <w:t>TAP t</w:t>
      </w:r>
      <w:r w:rsidR="00100A65" w:rsidRPr="00990A4E">
        <w:t>echnical advisory reports</w:t>
      </w:r>
      <w:r w:rsidR="00100A65" w:rsidRPr="00517333">
        <w:t>.</w:t>
      </w:r>
    </w:p>
    <w:p w14:paraId="4C0C71CB" w14:textId="62CE4A05" w:rsidR="00100A65" w:rsidRPr="003346D1" w:rsidRDefault="00100A65" w:rsidP="00966D66">
      <w:pPr>
        <w:pStyle w:val="ListParagraph"/>
        <w:numPr>
          <w:ilvl w:val="0"/>
          <w:numId w:val="27"/>
        </w:numPr>
        <w:suppressAutoHyphens w:val="0"/>
        <w:spacing w:before="240" w:after="160" w:line="278" w:lineRule="auto"/>
        <w:ind w:left="432"/>
        <w:contextualSpacing w:val="0"/>
        <w:rPr>
          <w:rFonts w:ascii="Calibri Light" w:hAnsi="Calibri Light" w:cs="Calibri Light"/>
          <w:b/>
          <w:bCs/>
        </w:rPr>
      </w:pPr>
      <w:r w:rsidRPr="004A1709">
        <w:rPr>
          <w:rFonts w:ascii="Calibri Light" w:hAnsi="Calibri Light" w:cs="Calibri Light"/>
          <w:b/>
          <w:bCs/>
        </w:rPr>
        <w:t>Proposed</w:t>
      </w:r>
      <w:r w:rsidRPr="003346D1">
        <w:rPr>
          <w:rFonts w:ascii="Calibri Light" w:hAnsi="Calibri Light" w:cs="Calibri Light"/>
          <w:b/>
          <w:bCs/>
        </w:rPr>
        <w:t xml:space="preserve"> </w:t>
      </w:r>
      <w:r w:rsidR="004A7923">
        <w:rPr>
          <w:rFonts w:ascii="Calibri Light" w:hAnsi="Calibri Light" w:cs="Calibri Light"/>
          <w:b/>
          <w:bCs/>
        </w:rPr>
        <w:t xml:space="preserve">PSU </w:t>
      </w:r>
      <w:r w:rsidRPr="003346D1">
        <w:rPr>
          <w:rFonts w:ascii="Calibri Light" w:hAnsi="Calibri Light" w:cs="Calibri Light"/>
          <w:b/>
          <w:bCs/>
        </w:rPr>
        <w:t xml:space="preserve">Staffing </w:t>
      </w:r>
    </w:p>
    <w:p w14:paraId="147645A0" w14:textId="3ED8593A" w:rsidR="00100A65" w:rsidRPr="003346D1" w:rsidRDefault="00100A65" w:rsidP="00100A65">
      <w:pPr>
        <w:spacing w:before="0" w:after="160" w:line="278" w:lineRule="auto"/>
        <w:rPr>
          <w:rFonts w:ascii="Calibri Light" w:hAnsi="Calibri Light" w:cs="Calibri Light"/>
        </w:rPr>
      </w:pPr>
      <w:r>
        <w:rPr>
          <w:rFonts w:ascii="Calibri Light" w:hAnsi="Calibri Light" w:cs="Calibri Light"/>
        </w:rPr>
        <w:t xml:space="preserve">It is proposed the PSU will have the following full-time positions, but the final structure will be confirmed </w:t>
      </w:r>
      <w:r w:rsidR="00674AD1">
        <w:rPr>
          <w:rFonts w:ascii="Calibri Light" w:hAnsi="Calibri Light" w:cs="Calibri Light"/>
        </w:rPr>
        <w:t xml:space="preserve">by DFAT </w:t>
      </w:r>
      <w:r>
        <w:rPr>
          <w:rFonts w:ascii="Calibri Light" w:hAnsi="Calibri Light" w:cs="Calibri Light"/>
        </w:rPr>
        <w:t xml:space="preserve">in consultation with </w:t>
      </w:r>
      <w:r w:rsidR="003300FB">
        <w:rPr>
          <w:rFonts w:ascii="Calibri Light" w:hAnsi="Calibri Light" w:cs="Calibri Light"/>
        </w:rPr>
        <w:t>the Contractor</w:t>
      </w:r>
      <w:r w:rsidR="00674AD1">
        <w:rPr>
          <w:rFonts w:ascii="Calibri Light" w:hAnsi="Calibri Light" w:cs="Calibri Light"/>
        </w:rPr>
        <w:t xml:space="preserve"> </w:t>
      </w:r>
      <w:r>
        <w:rPr>
          <w:rFonts w:ascii="Calibri Light" w:hAnsi="Calibri Light" w:cs="Calibri Light"/>
        </w:rPr>
        <w:t>during the pre-inception period:</w:t>
      </w:r>
    </w:p>
    <w:p w14:paraId="1859CC8A" w14:textId="46CEC4C3" w:rsidR="00100A65" w:rsidRDefault="00100A65" w:rsidP="00504B06">
      <w:pPr>
        <w:pStyle w:val="ListParagraph"/>
        <w:numPr>
          <w:ilvl w:val="0"/>
          <w:numId w:val="59"/>
        </w:numPr>
      </w:pPr>
      <w:r w:rsidRPr="084DF1A1">
        <w:rPr>
          <w:b/>
          <w:bCs/>
        </w:rPr>
        <w:t xml:space="preserve">PSU </w:t>
      </w:r>
      <w:r>
        <w:rPr>
          <w:b/>
          <w:bCs/>
        </w:rPr>
        <w:t>Manager</w:t>
      </w:r>
      <w:r>
        <w:t xml:space="preserve">: Provides overall leadership, coordination, and quality assurance; serves as DFAT’s primary interface; </w:t>
      </w:r>
      <w:r w:rsidR="00C210B5">
        <w:t xml:space="preserve">leads on Component 1 planning; </w:t>
      </w:r>
      <w:r w:rsidR="003E40C0">
        <w:t xml:space="preserve">provides governance secretariat services; </w:t>
      </w:r>
      <w:r>
        <w:t xml:space="preserve">supervises PSU staff and manages </w:t>
      </w:r>
      <w:r w:rsidR="00A90703">
        <w:t>TAP members</w:t>
      </w:r>
      <w:r>
        <w:t xml:space="preserve">. The PSU Manager </w:t>
      </w:r>
      <w:r w:rsidR="005573E5">
        <w:t>will</w:t>
      </w:r>
      <w:r>
        <w:t xml:space="preserve"> serve as a </w:t>
      </w:r>
      <w:r w:rsidR="005573E5">
        <w:t xml:space="preserve">contact point </w:t>
      </w:r>
      <w:r>
        <w:t xml:space="preserve">for public enquiries about </w:t>
      </w:r>
      <w:proofErr w:type="spellStart"/>
      <w:r>
        <w:t>Partisipasi</w:t>
      </w:r>
      <w:proofErr w:type="spellEnd"/>
      <w:r>
        <w:t xml:space="preserve">, directing the enquiry to the relevant person or agency. </w:t>
      </w:r>
    </w:p>
    <w:p w14:paraId="48089390" w14:textId="676E5C94" w:rsidR="00100A65" w:rsidRPr="003346D1" w:rsidRDefault="00517333" w:rsidP="00504B06">
      <w:pPr>
        <w:pStyle w:val="ListParagraph"/>
        <w:numPr>
          <w:ilvl w:val="0"/>
          <w:numId w:val="59"/>
        </w:numPr>
      </w:pPr>
      <w:r>
        <w:rPr>
          <w:b/>
          <w:bCs/>
        </w:rPr>
        <w:t>PSU</w:t>
      </w:r>
      <w:r w:rsidR="00100A65">
        <w:rPr>
          <w:b/>
          <w:bCs/>
        </w:rPr>
        <w:t xml:space="preserve"> Officer</w:t>
      </w:r>
      <w:r w:rsidR="00100A65" w:rsidRPr="00014505">
        <w:t>:</w:t>
      </w:r>
      <w:r w:rsidR="00100A65">
        <w:t xml:space="preserve"> </w:t>
      </w:r>
      <w:r w:rsidR="00C210B5">
        <w:t xml:space="preserve">supports the Manager as required; </w:t>
      </w:r>
      <w:r w:rsidR="00100A65">
        <w:t>lead</w:t>
      </w:r>
      <w:r w:rsidR="00C210B5">
        <w:t>s</w:t>
      </w:r>
      <w:r w:rsidR="00100A65">
        <w:t xml:space="preserve"> on </w:t>
      </w:r>
      <w:r w:rsidR="00EF573B">
        <w:t>risk and</w:t>
      </w:r>
      <w:r w:rsidR="00100A65">
        <w:t xml:space="preserve"> safeguards</w:t>
      </w:r>
      <w:r w:rsidR="00EF573B">
        <w:t xml:space="preserve"> procedures</w:t>
      </w:r>
      <w:r w:rsidR="00100A65">
        <w:t xml:space="preserve"> for component 1; </w:t>
      </w:r>
      <w:r w:rsidR="00126509">
        <w:t xml:space="preserve">manages Component 1 finances and logistics including event support; </w:t>
      </w:r>
      <w:r w:rsidR="00EF573B">
        <w:t>collates the whole-of-program Risk Register and Work Plan</w:t>
      </w:r>
      <w:r w:rsidR="00100A65">
        <w:t>; collect</w:t>
      </w:r>
      <w:r w:rsidR="00EF573B">
        <w:t>s required data and lessons for</w:t>
      </w:r>
      <w:r w:rsidR="00100A65" w:rsidRPr="008476AA">
        <w:t xml:space="preserve"> Component 1 activities and </w:t>
      </w:r>
      <w:r w:rsidR="00A234B7">
        <w:t>submit</w:t>
      </w:r>
      <w:r w:rsidR="00EF573B">
        <w:t>s</w:t>
      </w:r>
      <w:r w:rsidR="00A234B7">
        <w:t xml:space="preserve"> </w:t>
      </w:r>
      <w:r w:rsidR="00100A65">
        <w:t>it</w:t>
      </w:r>
      <w:r w:rsidR="00100A65" w:rsidRPr="008476AA">
        <w:t xml:space="preserve"> to the MEL</w:t>
      </w:r>
      <w:r w:rsidR="00100A65">
        <w:t>-</w:t>
      </w:r>
      <w:r w:rsidR="00100A65" w:rsidRPr="008476AA">
        <w:t>hub</w:t>
      </w:r>
      <w:r w:rsidR="00100A65">
        <w:t>.</w:t>
      </w:r>
    </w:p>
    <w:p w14:paraId="36BE33E0" w14:textId="77777777" w:rsidR="00902F90" w:rsidRDefault="00902F90" w:rsidP="00902F90">
      <w:pPr>
        <w:suppressAutoHyphens w:val="0"/>
        <w:spacing w:before="0" w:after="120" w:line="440" w:lineRule="atLeast"/>
        <w:rPr>
          <w:rFonts w:eastAsia="Times New Roman" w:cs="Times New Roman"/>
          <w:sz w:val="21"/>
          <w:szCs w:val="21"/>
          <w:lang w:val="en-AU"/>
        </w:rPr>
      </w:pPr>
      <w:r>
        <w:rPr>
          <w:rFonts w:eastAsia="Times New Roman" w:cs="Times New Roman"/>
          <w:sz w:val="21"/>
          <w:szCs w:val="21"/>
          <w:lang w:val="en-AU"/>
        </w:rPr>
        <w:br w:type="page"/>
      </w:r>
    </w:p>
    <w:p w14:paraId="39D8D8D0" w14:textId="5B1112F2" w:rsidR="00902F90" w:rsidRDefault="00902F90" w:rsidP="001F4E2D">
      <w:pPr>
        <w:pStyle w:val="Heading2"/>
        <w:spacing w:before="120"/>
      </w:pPr>
      <w:bookmarkStart w:id="305" w:name="_Annex_F:_Convenor"/>
      <w:bookmarkStart w:id="306" w:name="_Toc232524299"/>
      <w:bookmarkEnd w:id="305"/>
      <w:r w:rsidRPr="00A26C8E">
        <w:lastRenderedPageBreak/>
        <w:t>Anne</w:t>
      </w:r>
      <w:bookmarkStart w:id="307" w:name="AnnexD"/>
      <w:bookmarkEnd w:id="307"/>
      <w:r w:rsidRPr="00A26C8E">
        <w:t>x</w:t>
      </w:r>
      <w:r w:rsidRPr="00EA6BCE">
        <w:t xml:space="preserve"> </w:t>
      </w:r>
      <w:r w:rsidR="00316E7D">
        <w:t>D</w:t>
      </w:r>
      <w:r w:rsidRPr="00EA6BCE">
        <w:t>: Convenor Terms of Reference</w:t>
      </w:r>
      <w:r w:rsidR="0033212C">
        <w:t xml:space="preserve"> (DRAFT)</w:t>
      </w:r>
      <w:bookmarkEnd w:id="306"/>
    </w:p>
    <w:p w14:paraId="17DC0494" w14:textId="7B028F47" w:rsidR="002A78F5" w:rsidRDefault="002A78F5" w:rsidP="002A78F5">
      <w:pPr>
        <w:suppressAutoHyphens w:val="0"/>
        <w:spacing w:before="0" w:after="160"/>
        <w:rPr>
          <w:lang w:val="en-AU"/>
        </w:rPr>
      </w:pPr>
      <w:r>
        <w:rPr>
          <w:lang w:val="en-AU"/>
        </w:rPr>
        <w:t xml:space="preserve">This Annex should be read in conjunction with other relevant parts of the design document including sections 4.3 (overview of CSP) and 5.1 (management and governance arrangements), as well as </w:t>
      </w:r>
      <w:hyperlink w:anchor="_Annex_E:_Civil" w:history="1">
        <w:r w:rsidRPr="009D3551">
          <w:rPr>
            <w:rStyle w:val="Hyperlink"/>
            <w:rFonts w:cstheme="minorBidi"/>
            <w:b/>
            <w:bCs/>
            <w:lang w:val="en-AU"/>
          </w:rPr>
          <w:t>Annex E</w:t>
        </w:r>
      </w:hyperlink>
      <w:r w:rsidRPr="009D3551">
        <w:rPr>
          <w:color w:val="auto"/>
          <w:lang w:val="en-AU"/>
        </w:rPr>
        <w:t xml:space="preserve"> </w:t>
      </w:r>
      <w:r>
        <w:rPr>
          <w:lang w:val="en-AU"/>
        </w:rPr>
        <w:t>(CSP selection process and criteria).</w:t>
      </w:r>
    </w:p>
    <w:p w14:paraId="6EA84FB2" w14:textId="77777777" w:rsidR="002A78F5" w:rsidRPr="003E0267" w:rsidRDefault="002A78F5" w:rsidP="00504B06">
      <w:pPr>
        <w:pStyle w:val="ListParagraph"/>
        <w:numPr>
          <w:ilvl w:val="0"/>
          <w:numId w:val="106"/>
        </w:numPr>
        <w:suppressAutoHyphens w:val="0"/>
        <w:spacing w:before="0" w:after="160" w:line="278" w:lineRule="auto"/>
        <w:rPr>
          <w:rFonts w:ascii="Calibri Light" w:hAnsi="Calibri Light" w:cs="Calibri Light"/>
          <w:b/>
          <w:bCs/>
        </w:rPr>
      </w:pPr>
      <w:r w:rsidRPr="003E0267">
        <w:rPr>
          <w:rFonts w:ascii="Calibri Light" w:hAnsi="Calibri Light" w:cs="Calibri Light"/>
          <w:b/>
          <w:bCs/>
        </w:rPr>
        <w:t>Purpose and Rationale</w:t>
      </w:r>
    </w:p>
    <w:p w14:paraId="4A0646C4" w14:textId="77777777" w:rsidR="002A78F5" w:rsidRDefault="002A78F5" w:rsidP="002A78F5">
      <w:pPr>
        <w:suppressAutoHyphens w:val="0"/>
        <w:spacing w:before="0" w:after="120" w:line="240" w:lineRule="auto"/>
        <w:rPr>
          <w:lang w:val="en-AU"/>
        </w:rPr>
      </w:pPr>
      <w:proofErr w:type="spellStart"/>
      <w:r>
        <w:rPr>
          <w:lang w:val="en-AU"/>
        </w:rPr>
        <w:t>Partisipasi</w:t>
      </w:r>
      <w:proofErr w:type="spellEnd"/>
      <w:r>
        <w:rPr>
          <w:lang w:val="en-AU"/>
        </w:rPr>
        <w:t xml:space="preserve"> will be implemented through two components:</w:t>
      </w:r>
    </w:p>
    <w:p w14:paraId="6DD5A4A4" w14:textId="77777777" w:rsidR="002A78F5" w:rsidRDefault="002A78F5" w:rsidP="00504B06">
      <w:pPr>
        <w:pStyle w:val="ListParagraph"/>
        <w:numPr>
          <w:ilvl w:val="0"/>
          <w:numId w:val="99"/>
        </w:numPr>
        <w:suppressAutoHyphens w:val="0"/>
        <w:spacing w:before="0" w:after="120" w:line="240" w:lineRule="auto"/>
        <w:rPr>
          <w:lang w:val="en-AU"/>
        </w:rPr>
      </w:pPr>
      <w:r w:rsidRPr="005401C5">
        <w:rPr>
          <w:lang w:val="en-AU"/>
        </w:rPr>
        <w:t xml:space="preserve">Component 1 (State Institutional Partnerships), which </w:t>
      </w:r>
      <w:r>
        <w:rPr>
          <w:lang w:val="en-AU"/>
        </w:rPr>
        <w:t>will contribute to EOPO1 and be</w:t>
      </w:r>
      <w:r w:rsidRPr="005401C5">
        <w:rPr>
          <w:lang w:val="en-AU"/>
        </w:rPr>
        <w:t xml:space="preserve"> managed by DFAT with the support of a Program Support Unit (PSU)</w:t>
      </w:r>
      <w:r>
        <w:rPr>
          <w:lang w:val="en-AU"/>
        </w:rPr>
        <w:t>; and</w:t>
      </w:r>
    </w:p>
    <w:p w14:paraId="381A26CF" w14:textId="77777777" w:rsidR="002A78F5" w:rsidRPr="005401C5" w:rsidRDefault="002A78F5" w:rsidP="00504B06">
      <w:pPr>
        <w:pStyle w:val="ListParagraph"/>
        <w:numPr>
          <w:ilvl w:val="0"/>
          <w:numId w:val="99"/>
        </w:numPr>
        <w:suppressAutoHyphens w:val="0"/>
        <w:spacing w:before="0" w:after="120" w:line="240" w:lineRule="auto"/>
        <w:rPr>
          <w:lang w:val="en-AU"/>
        </w:rPr>
      </w:pPr>
      <w:r>
        <w:rPr>
          <w:lang w:val="en-AU"/>
        </w:rPr>
        <w:t xml:space="preserve">Component 2 (Civil Society Partnership – CSP), which will contribute to all three EOPOs, and be managed by a Convenor, in collaboration with Core Group Partners and Collaboration Partners. The term ‘CSP’ includes the Convenor, Core Group Partners and Collaboration Partners. </w:t>
      </w:r>
    </w:p>
    <w:p w14:paraId="5E4F9728" w14:textId="77777777" w:rsidR="002A78F5" w:rsidRPr="00801998" w:rsidRDefault="002A78F5" w:rsidP="002A78F5">
      <w:pPr>
        <w:spacing w:after="120"/>
        <w:rPr>
          <w:lang w:val="en-AU"/>
        </w:rPr>
      </w:pPr>
      <w:r w:rsidRPr="00A4642A">
        <w:rPr>
          <w:lang w:val="en-AU"/>
        </w:rPr>
        <w:t>The Convenor</w:t>
      </w:r>
      <w:r>
        <w:rPr>
          <w:lang w:val="en-AU"/>
        </w:rPr>
        <w:t xml:space="preserve"> is selected by DFAT through a ‘Request for Proposal’ process. Its </w:t>
      </w:r>
      <w:r w:rsidRPr="0062435B">
        <w:rPr>
          <w:lang w:val="en-AU"/>
        </w:rPr>
        <w:t xml:space="preserve">core purpose </w:t>
      </w:r>
      <w:r>
        <w:rPr>
          <w:lang w:val="en-AU"/>
        </w:rPr>
        <w:t xml:space="preserve">is </w:t>
      </w:r>
      <w:r w:rsidRPr="0062435B">
        <w:rPr>
          <w:lang w:val="en-AU"/>
        </w:rPr>
        <w:t xml:space="preserve">to </w:t>
      </w:r>
      <w:r>
        <w:rPr>
          <w:lang w:val="en-AU"/>
        </w:rPr>
        <w:t>facilitate</w:t>
      </w:r>
      <w:r w:rsidRPr="0062435B">
        <w:rPr>
          <w:lang w:val="en-AU"/>
        </w:rPr>
        <w:t xml:space="preserve"> diverse civil society actors to collaborate strategically and effectively in strengthening democratic participation and resilience</w:t>
      </w:r>
      <w:r>
        <w:rPr>
          <w:lang w:val="en-AU"/>
        </w:rPr>
        <w:t xml:space="preserve">, acting as a </w:t>
      </w:r>
      <w:r w:rsidRPr="0062435B">
        <w:rPr>
          <w:lang w:val="en-AU"/>
        </w:rPr>
        <w:t>neutral broker</w:t>
      </w:r>
      <w:r>
        <w:rPr>
          <w:lang w:val="en-AU"/>
        </w:rPr>
        <w:t xml:space="preserve">. Through its role within the broader CSP, the Convenor enables a </w:t>
      </w:r>
      <w:proofErr w:type="gramStart"/>
      <w:r>
        <w:rPr>
          <w:lang w:val="en-AU"/>
        </w:rPr>
        <w:t>locally-led</w:t>
      </w:r>
      <w:proofErr w:type="gramEnd"/>
      <w:r>
        <w:rPr>
          <w:lang w:val="en-AU"/>
        </w:rPr>
        <w:t xml:space="preserve"> and context-responsive mechanism for civil society partners in </w:t>
      </w:r>
      <w:proofErr w:type="spellStart"/>
      <w:r>
        <w:rPr>
          <w:lang w:val="en-AU"/>
        </w:rPr>
        <w:t>Partisipasi</w:t>
      </w:r>
      <w:proofErr w:type="spellEnd"/>
      <w:r>
        <w:rPr>
          <w:lang w:val="en-AU"/>
        </w:rPr>
        <w:t>. The Convenor will ensure space for diverse voices to be heard. T</w:t>
      </w:r>
      <w:r w:rsidRPr="009577EE">
        <w:rPr>
          <w:lang w:val="en-AU"/>
        </w:rPr>
        <w:t xml:space="preserve">he Convenor provides DFAT with a </w:t>
      </w:r>
      <w:r w:rsidRPr="006717E6">
        <w:rPr>
          <w:lang w:val="en-AU"/>
        </w:rPr>
        <w:t>single accountable partner</w:t>
      </w:r>
      <w:r w:rsidRPr="00945523">
        <w:rPr>
          <w:lang w:val="en-AU"/>
        </w:rPr>
        <w:t xml:space="preserve"> for managing multiple civil society grants, thereby reducing transaction costs, mitigating fiduciary risks, and ensuring coherence in delivery.</w:t>
      </w:r>
      <w:r w:rsidRPr="002D1051">
        <w:t xml:space="preserve"> </w:t>
      </w:r>
      <w:r w:rsidRPr="007D21C2">
        <w:t xml:space="preserve">To preserve credibility and neutrality, the Convenor operates under clear conflict-of-interest safeguards, ensuring it does not act as a gatekeeper between </w:t>
      </w:r>
      <w:r>
        <w:t>other Core Group Partners</w:t>
      </w:r>
      <w:r w:rsidRPr="007D21C2">
        <w:t xml:space="preserve"> and DFAT, influence decisions on its own funding, or interfere with partner operations.</w:t>
      </w:r>
    </w:p>
    <w:p w14:paraId="2E66D012" w14:textId="77777777" w:rsidR="002A78F5" w:rsidRDefault="002A78F5" w:rsidP="002A78F5">
      <w:pPr>
        <w:suppressAutoHyphens w:val="0"/>
        <w:spacing w:before="0" w:after="120" w:line="240" w:lineRule="auto"/>
        <w:rPr>
          <w:lang w:val="en-AU"/>
        </w:rPr>
      </w:pPr>
      <w:r w:rsidRPr="084DF1A1">
        <w:rPr>
          <w:lang w:val="en-AU"/>
        </w:rPr>
        <w:t xml:space="preserve">The Convenor will undertake responsibilities across </w:t>
      </w:r>
      <w:r>
        <w:rPr>
          <w:lang w:val="en-AU"/>
        </w:rPr>
        <w:t>five</w:t>
      </w:r>
      <w:r w:rsidRPr="084DF1A1">
        <w:rPr>
          <w:lang w:val="en-AU"/>
        </w:rPr>
        <w:t xml:space="preserve"> interrelated domains</w:t>
      </w:r>
      <w:r>
        <w:rPr>
          <w:lang w:val="en-AU"/>
        </w:rPr>
        <w:t xml:space="preserve"> (convening and coordination; grant management; monitoring, evaluation and learning; strategic engagement, risk and safeguards management). </w:t>
      </w:r>
    </w:p>
    <w:p w14:paraId="394903A7" w14:textId="77777777" w:rsidR="002A78F5" w:rsidRPr="003E0267" w:rsidRDefault="002A78F5" w:rsidP="00504B06">
      <w:pPr>
        <w:pStyle w:val="ListParagraph"/>
        <w:numPr>
          <w:ilvl w:val="0"/>
          <w:numId w:val="106"/>
        </w:numPr>
        <w:suppressAutoHyphens w:val="0"/>
        <w:spacing w:before="0" w:after="160" w:line="278" w:lineRule="auto"/>
        <w:rPr>
          <w:rFonts w:ascii="Calibri Light" w:hAnsi="Calibri Light" w:cs="Calibri Light"/>
          <w:b/>
          <w:bCs/>
        </w:rPr>
      </w:pPr>
      <w:r w:rsidRPr="003E0267">
        <w:rPr>
          <w:rFonts w:ascii="Calibri Light" w:hAnsi="Calibri Light" w:cs="Calibri Light"/>
          <w:b/>
          <w:bCs/>
        </w:rPr>
        <w:t>Responsibilities</w:t>
      </w:r>
    </w:p>
    <w:p w14:paraId="4B44BDE9" w14:textId="77777777" w:rsidR="003E0267" w:rsidRDefault="002A78F5" w:rsidP="003E0267">
      <w:pPr>
        <w:rPr>
          <w:lang w:val="en-AU"/>
        </w:rPr>
      </w:pPr>
      <w:r w:rsidRPr="001F03C2">
        <w:rPr>
          <w:lang w:val="en-AU"/>
        </w:rPr>
        <w:t>The Convenor will:</w:t>
      </w:r>
    </w:p>
    <w:p w14:paraId="34C9F21E" w14:textId="1174DCBB" w:rsidR="002A78F5" w:rsidRPr="003E0267" w:rsidRDefault="002A78F5" w:rsidP="003E0267">
      <w:pPr>
        <w:pStyle w:val="Heading5"/>
        <w:rPr>
          <w:lang w:val="en-AU"/>
        </w:rPr>
      </w:pPr>
      <w:r w:rsidRPr="003E0267">
        <w:rPr>
          <w:lang w:val="en-AU"/>
        </w:rPr>
        <w:t>Convening and Coordination</w:t>
      </w:r>
    </w:p>
    <w:p w14:paraId="425A2E95" w14:textId="77777777" w:rsidR="002A78F5" w:rsidRPr="00B407DE" w:rsidRDefault="002A78F5" w:rsidP="00504B06">
      <w:pPr>
        <w:pStyle w:val="ListParagraph"/>
        <w:numPr>
          <w:ilvl w:val="1"/>
          <w:numId w:val="103"/>
        </w:numPr>
        <w:rPr>
          <w:lang w:val="en-AU"/>
        </w:rPr>
      </w:pPr>
      <w:r>
        <w:rPr>
          <w:lang w:val="en-AU"/>
        </w:rPr>
        <w:t>Convene and support</w:t>
      </w:r>
      <w:r w:rsidRPr="00B407DE">
        <w:rPr>
          <w:lang w:val="en-AU"/>
        </w:rPr>
        <w:t xml:space="preserve"> the Core Group </w:t>
      </w:r>
      <w:r>
        <w:rPr>
          <w:lang w:val="en-AU"/>
        </w:rPr>
        <w:t xml:space="preserve">Partners, fostering collaboration and coherence of Component 2 within the </w:t>
      </w:r>
      <w:proofErr w:type="spellStart"/>
      <w:r>
        <w:rPr>
          <w:lang w:val="en-AU"/>
        </w:rPr>
        <w:t>Partisipasi</w:t>
      </w:r>
      <w:proofErr w:type="spellEnd"/>
      <w:r>
        <w:rPr>
          <w:lang w:val="en-AU"/>
        </w:rPr>
        <w:t xml:space="preserve"> program</w:t>
      </w:r>
      <w:r w:rsidRPr="00B407DE">
        <w:rPr>
          <w:lang w:val="en-AU"/>
        </w:rPr>
        <w:t xml:space="preserve">. </w:t>
      </w:r>
    </w:p>
    <w:p w14:paraId="18B9E120" w14:textId="77777777" w:rsidR="002A78F5" w:rsidRPr="00167DEE" w:rsidRDefault="002A78F5" w:rsidP="00504B06">
      <w:pPr>
        <w:pStyle w:val="ListParagraph"/>
        <w:numPr>
          <w:ilvl w:val="1"/>
          <w:numId w:val="103"/>
        </w:numPr>
        <w:rPr>
          <w:lang w:val="en-AU"/>
        </w:rPr>
      </w:pPr>
      <w:r>
        <w:rPr>
          <w:lang w:val="en-AU"/>
        </w:rPr>
        <w:t>Foster</w:t>
      </w:r>
      <w:r w:rsidRPr="006717E6">
        <w:rPr>
          <w:lang w:val="en-AU"/>
        </w:rPr>
        <w:t xml:space="preserve"> collaboration and networking across Core Group Partners</w:t>
      </w:r>
      <w:r w:rsidRPr="00167DEE">
        <w:rPr>
          <w:lang w:val="en-AU"/>
        </w:rPr>
        <w:t>, their Collaboration Partners and other relevant donor programs, including INKLUSI, AIPJ3 and SKALA.</w:t>
      </w:r>
    </w:p>
    <w:p w14:paraId="2DFE37AE" w14:textId="77777777" w:rsidR="002A78F5" w:rsidRPr="00C901D6" w:rsidRDefault="002A78F5" w:rsidP="00504B06">
      <w:pPr>
        <w:pStyle w:val="ListParagraph"/>
        <w:numPr>
          <w:ilvl w:val="1"/>
          <w:numId w:val="103"/>
        </w:numPr>
        <w:rPr>
          <w:lang w:val="en-AU"/>
        </w:rPr>
      </w:pPr>
      <w:r w:rsidRPr="006717E6">
        <w:rPr>
          <w:lang w:val="en-AU"/>
        </w:rPr>
        <w:t>Organise regular coordination meetings</w:t>
      </w:r>
      <w:r w:rsidRPr="00C901D6">
        <w:rPr>
          <w:lang w:val="en-AU"/>
        </w:rPr>
        <w:t xml:space="preserve"> among</w:t>
      </w:r>
      <w:r>
        <w:rPr>
          <w:lang w:val="en-AU"/>
        </w:rPr>
        <w:t xml:space="preserve"> CSP </w:t>
      </w:r>
      <w:r w:rsidRPr="00C901D6">
        <w:rPr>
          <w:lang w:val="en-AU"/>
        </w:rPr>
        <w:t>Partners.</w:t>
      </w:r>
    </w:p>
    <w:p w14:paraId="0CAAEAC0" w14:textId="77777777" w:rsidR="002A78F5" w:rsidRPr="00167DEE" w:rsidRDefault="002A78F5" w:rsidP="00504B06">
      <w:pPr>
        <w:pStyle w:val="ListParagraph"/>
        <w:numPr>
          <w:ilvl w:val="1"/>
          <w:numId w:val="103"/>
        </w:numPr>
        <w:rPr>
          <w:lang w:val="en-AU"/>
        </w:rPr>
      </w:pPr>
      <w:r w:rsidRPr="006717E6">
        <w:rPr>
          <w:lang w:val="en-AU"/>
        </w:rPr>
        <w:t>Ensur</w:t>
      </w:r>
      <w:r>
        <w:rPr>
          <w:lang w:val="en-AU"/>
        </w:rPr>
        <w:t>e</w:t>
      </w:r>
      <w:r w:rsidRPr="006717E6">
        <w:rPr>
          <w:lang w:val="en-AU"/>
        </w:rPr>
        <w:t xml:space="preserve"> pluralism, inclusivity, and transparency</w:t>
      </w:r>
      <w:r w:rsidRPr="00167DEE">
        <w:rPr>
          <w:lang w:val="en-AU"/>
        </w:rPr>
        <w:t xml:space="preserve"> in how civil society partners </w:t>
      </w:r>
      <w:r>
        <w:rPr>
          <w:lang w:val="en-AU"/>
        </w:rPr>
        <w:t>governance</w:t>
      </w:r>
      <w:r w:rsidRPr="00167DEE">
        <w:rPr>
          <w:lang w:val="en-AU"/>
        </w:rPr>
        <w:t xml:space="preserve"> and make decisions</w:t>
      </w:r>
      <w:r>
        <w:rPr>
          <w:lang w:val="en-AU"/>
        </w:rPr>
        <w:t xml:space="preserve"> for the </w:t>
      </w:r>
      <w:proofErr w:type="spellStart"/>
      <w:r>
        <w:rPr>
          <w:lang w:val="en-AU"/>
        </w:rPr>
        <w:t>Partisipasi</w:t>
      </w:r>
      <w:proofErr w:type="spellEnd"/>
      <w:r>
        <w:rPr>
          <w:lang w:val="en-AU"/>
        </w:rPr>
        <w:t xml:space="preserve"> program</w:t>
      </w:r>
      <w:r w:rsidRPr="00167DEE">
        <w:rPr>
          <w:lang w:val="en-AU"/>
        </w:rPr>
        <w:t xml:space="preserve">. At the outset, this </w:t>
      </w:r>
      <w:r>
        <w:rPr>
          <w:lang w:val="en-AU"/>
        </w:rPr>
        <w:t>may</w:t>
      </w:r>
      <w:r w:rsidRPr="00167DEE">
        <w:rPr>
          <w:lang w:val="en-AU"/>
        </w:rPr>
        <w:t xml:space="preserve"> require </w:t>
      </w:r>
      <w:r>
        <w:rPr>
          <w:lang w:val="en-AU"/>
        </w:rPr>
        <w:t xml:space="preserve">the assistance of </w:t>
      </w:r>
      <w:r w:rsidRPr="00167DEE">
        <w:rPr>
          <w:lang w:val="en-AU"/>
        </w:rPr>
        <w:t xml:space="preserve">partnership brokering </w:t>
      </w:r>
      <w:r>
        <w:rPr>
          <w:lang w:val="en-AU"/>
        </w:rPr>
        <w:t xml:space="preserve">processes or specialist advice, </w:t>
      </w:r>
      <w:r w:rsidRPr="00167DEE">
        <w:rPr>
          <w:lang w:val="en-AU"/>
        </w:rPr>
        <w:t xml:space="preserve">as well as diplomatic and respectful facilitation. </w:t>
      </w:r>
    </w:p>
    <w:p w14:paraId="13FC87BE" w14:textId="77777777" w:rsidR="002A78F5" w:rsidRPr="00167DEE" w:rsidRDefault="002A78F5" w:rsidP="00504B06">
      <w:pPr>
        <w:pStyle w:val="ListParagraph"/>
        <w:numPr>
          <w:ilvl w:val="1"/>
          <w:numId w:val="103"/>
        </w:numPr>
        <w:rPr>
          <w:lang w:val="en-AU"/>
        </w:rPr>
      </w:pPr>
      <w:r w:rsidRPr="006717E6">
        <w:rPr>
          <w:lang w:val="en-AU"/>
        </w:rPr>
        <w:t>Facilitat</w:t>
      </w:r>
      <w:r>
        <w:rPr>
          <w:lang w:val="en-AU"/>
        </w:rPr>
        <w:t xml:space="preserve">e </w:t>
      </w:r>
      <w:r w:rsidRPr="006717E6">
        <w:rPr>
          <w:lang w:val="en-AU"/>
        </w:rPr>
        <w:t xml:space="preserve">regular Core Group Steering Committee </w:t>
      </w:r>
      <w:r>
        <w:rPr>
          <w:lang w:val="en-AU"/>
        </w:rPr>
        <w:t xml:space="preserve">meetings </w:t>
      </w:r>
      <w:r w:rsidRPr="006717E6">
        <w:rPr>
          <w:lang w:val="en-AU"/>
        </w:rPr>
        <w:t>and other coordination mechanisms</w:t>
      </w:r>
      <w:r w:rsidRPr="00167DEE">
        <w:rPr>
          <w:lang w:val="en-AU"/>
        </w:rPr>
        <w:t>, supporting deliberation, joint decision-making, and consensus-building.</w:t>
      </w:r>
    </w:p>
    <w:p w14:paraId="59F03C25" w14:textId="78D9F994" w:rsidR="002A78F5" w:rsidRDefault="002A78F5" w:rsidP="00504B06">
      <w:pPr>
        <w:pStyle w:val="ListParagraph"/>
        <w:numPr>
          <w:ilvl w:val="1"/>
          <w:numId w:val="103"/>
        </w:numPr>
        <w:rPr>
          <w:lang w:val="en-AU"/>
        </w:rPr>
      </w:pPr>
      <w:r>
        <w:rPr>
          <w:lang w:val="en-AU"/>
        </w:rPr>
        <w:t>During the inception period, facilitate</w:t>
      </w:r>
      <w:r w:rsidRPr="006717E6">
        <w:rPr>
          <w:lang w:val="en-AU"/>
        </w:rPr>
        <w:t xml:space="preserve"> the co-design of a </w:t>
      </w:r>
      <w:r w:rsidR="00E33ECA">
        <w:rPr>
          <w:lang w:val="en-AU"/>
        </w:rPr>
        <w:t xml:space="preserve">four-year </w:t>
      </w:r>
      <w:r w:rsidRPr="006717E6">
        <w:rPr>
          <w:lang w:val="en-AU"/>
        </w:rPr>
        <w:t>Civil Society Partnership Strategy and</w:t>
      </w:r>
      <w:r>
        <w:rPr>
          <w:lang w:val="en-AU"/>
        </w:rPr>
        <w:t xml:space="preserve"> associated Work Plan for Component 2, which will be collated by the PSU into a single </w:t>
      </w:r>
      <w:proofErr w:type="spellStart"/>
      <w:r>
        <w:rPr>
          <w:lang w:val="en-AU"/>
        </w:rPr>
        <w:t>Partisipasi</w:t>
      </w:r>
      <w:proofErr w:type="spellEnd"/>
      <w:r>
        <w:rPr>
          <w:lang w:val="en-AU"/>
        </w:rPr>
        <w:t xml:space="preserve"> workplan. The Convenor will facilitate inputs from the CSP, PSU and DFAT into the Strategy and Workplan.</w:t>
      </w:r>
    </w:p>
    <w:p w14:paraId="70403327" w14:textId="77777777" w:rsidR="002A78F5" w:rsidRPr="00167DEE" w:rsidRDefault="002A78F5" w:rsidP="00504B06">
      <w:pPr>
        <w:pStyle w:val="ListParagraph"/>
        <w:numPr>
          <w:ilvl w:val="1"/>
          <w:numId w:val="103"/>
        </w:numPr>
        <w:rPr>
          <w:lang w:val="en-AU"/>
        </w:rPr>
      </w:pPr>
      <w:r>
        <w:rPr>
          <w:lang w:val="en-AU"/>
        </w:rPr>
        <w:t>Facilitate annual discussions and updates to the CSP Strategy and Workplan</w:t>
      </w:r>
      <w:r w:rsidRPr="00167DEE">
        <w:rPr>
          <w:lang w:val="en-AU"/>
        </w:rPr>
        <w:t>, ensuring these reflect a joined-up approach to achievement of</w:t>
      </w:r>
      <w:r w:rsidRPr="001F03C2">
        <w:rPr>
          <w:lang w:val="en-AU"/>
        </w:rPr>
        <w:t xml:space="preserve"> </w:t>
      </w:r>
      <w:proofErr w:type="spellStart"/>
      <w:r w:rsidRPr="002D487A">
        <w:rPr>
          <w:lang w:val="en-AU"/>
        </w:rPr>
        <w:t>Partisipasi</w:t>
      </w:r>
      <w:proofErr w:type="spellEnd"/>
      <w:r w:rsidRPr="001F03C2">
        <w:rPr>
          <w:lang w:val="en-AU"/>
        </w:rPr>
        <w:t xml:space="preserve"> </w:t>
      </w:r>
      <w:r w:rsidRPr="00167DEE">
        <w:rPr>
          <w:lang w:val="en-AU"/>
        </w:rPr>
        <w:t>outcomes</w:t>
      </w:r>
      <w:r>
        <w:rPr>
          <w:lang w:val="en-AU"/>
        </w:rPr>
        <w:t>, respond to DFAT</w:t>
      </w:r>
      <w:r w:rsidRPr="00167DEE">
        <w:rPr>
          <w:lang w:val="en-AU"/>
        </w:rPr>
        <w:t xml:space="preserve"> input, and are appropriate and useful in the evolving political and civic landscape.</w:t>
      </w:r>
    </w:p>
    <w:p w14:paraId="69F74598" w14:textId="77777777" w:rsidR="002A78F5" w:rsidRDefault="002A78F5" w:rsidP="00504B06">
      <w:pPr>
        <w:pStyle w:val="ListParagraph"/>
        <w:numPr>
          <w:ilvl w:val="1"/>
          <w:numId w:val="103"/>
        </w:numPr>
        <w:rPr>
          <w:lang w:val="en-AU"/>
        </w:rPr>
      </w:pPr>
      <w:r w:rsidRPr="006717E6">
        <w:rPr>
          <w:lang w:val="en-AU"/>
        </w:rPr>
        <w:lastRenderedPageBreak/>
        <w:t>Organis</w:t>
      </w:r>
      <w:r>
        <w:rPr>
          <w:lang w:val="en-AU"/>
        </w:rPr>
        <w:t>e</w:t>
      </w:r>
      <w:r w:rsidRPr="006717E6">
        <w:rPr>
          <w:lang w:val="en-AU"/>
        </w:rPr>
        <w:t xml:space="preserve"> cross-provincial</w:t>
      </w:r>
      <w:r w:rsidRPr="00167DEE">
        <w:rPr>
          <w:lang w:val="en-AU"/>
        </w:rPr>
        <w:t xml:space="preserve"> learning exchanges, ensuring that diverse voices from across Indonesia contribute to shared learning.</w:t>
      </w:r>
    </w:p>
    <w:p w14:paraId="4E35BDBF" w14:textId="77777777" w:rsidR="002A78F5" w:rsidRPr="00501893" w:rsidRDefault="002A78F5" w:rsidP="00504B06">
      <w:pPr>
        <w:pStyle w:val="ListParagraph"/>
        <w:numPr>
          <w:ilvl w:val="1"/>
          <w:numId w:val="63"/>
        </w:numPr>
        <w:ind w:left="792" w:hanging="432"/>
        <w:rPr>
          <w:lang w:val="en-AU"/>
        </w:rPr>
      </w:pPr>
      <w:r>
        <w:rPr>
          <w:lang w:val="en-AU"/>
        </w:rPr>
        <w:t xml:space="preserve">Participate in agreed </w:t>
      </w:r>
      <w:proofErr w:type="spellStart"/>
      <w:r>
        <w:rPr>
          <w:lang w:val="en-AU"/>
        </w:rPr>
        <w:t>Partisipasi</w:t>
      </w:r>
      <w:proofErr w:type="spellEnd"/>
      <w:r>
        <w:rPr>
          <w:lang w:val="en-AU"/>
        </w:rPr>
        <w:t xml:space="preserve"> management and governance arrangements, including the six-monthly joint reflection workshops, the annual Program Advisory Board, and the DFAT Civil Society Strategic Coordination meeting, Ways of Working workshops, among others. </w:t>
      </w:r>
    </w:p>
    <w:p w14:paraId="398BF498" w14:textId="77777777" w:rsidR="002A78F5" w:rsidRPr="003E0267" w:rsidRDefault="002A78F5" w:rsidP="003E0267">
      <w:pPr>
        <w:pStyle w:val="Heading5"/>
        <w:rPr>
          <w:lang w:val="en-AU"/>
        </w:rPr>
      </w:pPr>
      <w:r w:rsidRPr="003E0267">
        <w:rPr>
          <w:lang w:val="en-AU"/>
        </w:rPr>
        <w:t>Grant Management</w:t>
      </w:r>
    </w:p>
    <w:p w14:paraId="49334D99" w14:textId="77777777" w:rsidR="002A78F5" w:rsidRDefault="002A78F5" w:rsidP="00504B06">
      <w:pPr>
        <w:pStyle w:val="ListParagraph"/>
        <w:numPr>
          <w:ilvl w:val="1"/>
          <w:numId w:val="63"/>
        </w:numPr>
        <w:ind w:left="792" w:hanging="432"/>
        <w:rPr>
          <w:lang w:val="en-AU"/>
        </w:rPr>
      </w:pPr>
      <w:r>
        <w:rPr>
          <w:lang w:val="en-AU"/>
        </w:rPr>
        <w:t>B</w:t>
      </w:r>
      <w:r w:rsidRPr="00AC1BB3">
        <w:rPr>
          <w:lang w:val="en-AU"/>
        </w:rPr>
        <w:t xml:space="preserve">e responsible for ensuring transparent and accountable management of DFAT funds. </w:t>
      </w:r>
    </w:p>
    <w:p w14:paraId="5034D361" w14:textId="77777777" w:rsidR="002A78F5" w:rsidRDefault="002A78F5" w:rsidP="00504B06">
      <w:pPr>
        <w:pStyle w:val="ListParagraph"/>
        <w:numPr>
          <w:ilvl w:val="1"/>
          <w:numId w:val="63"/>
        </w:numPr>
        <w:ind w:left="792" w:hanging="432"/>
        <w:rPr>
          <w:lang w:val="en-AU"/>
        </w:rPr>
      </w:pPr>
      <w:r>
        <w:rPr>
          <w:lang w:val="en-AU"/>
        </w:rPr>
        <w:t xml:space="preserve">During the inception period, develop program guidelines including for grants, SOPs and a Code of Conduct. </w:t>
      </w:r>
    </w:p>
    <w:p w14:paraId="159E0031" w14:textId="77777777" w:rsidR="002A78F5" w:rsidRDefault="002A78F5" w:rsidP="00504B06">
      <w:pPr>
        <w:pStyle w:val="ListParagraph"/>
        <w:numPr>
          <w:ilvl w:val="1"/>
          <w:numId w:val="63"/>
        </w:numPr>
        <w:ind w:left="792" w:hanging="432"/>
        <w:rPr>
          <w:lang w:val="en-AU"/>
        </w:rPr>
      </w:pPr>
      <w:r>
        <w:rPr>
          <w:lang w:val="en-AU"/>
        </w:rPr>
        <w:t>During the inception period, develop and administer g</w:t>
      </w:r>
      <w:r w:rsidRPr="001F03C2">
        <w:rPr>
          <w:lang w:val="en-AU"/>
        </w:rPr>
        <w:t>rant agreements</w:t>
      </w:r>
      <w:r w:rsidRPr="00501893">
        <w:rPr>
          <w:lang w:val="en-AU"/>
        </w:rPr>
        <w:t xml:space="preserve"> </w:t>
      </w:r>
      <w:r>
        <w:rPr>
          <w:lang w:val="en-AU"/>
        </w:rPr>
        <w:t>with Core Group Partners</w:t>
      </w:r>
    </w:p>
    <w:p w14:paraId="697A0402" w14:textId="77777777" w:rsidR="002A78F5" w:rsidRPr="00191432" w:rsidRDefault="002A78F5" w:rsidP="00504B06">
      <w:pPr>
        <w:pStyle w:val="ListParagraph"/>
        <w:numPr>
          <w:ilvl w:val="1"/>
          <w:numId w:val="63"/>
        </w:numPr>
        <w:ind w:left="792" w:hanging="432"/>
        <w:rPr>
          <w:lang w:val="en-AU"/>
        </w:rPr>
      </w:pPr>
      <w:r w:rsidRPr="006717E6">
        <w:rPr>
          <w:lang w:val="en-AU"/>
        </w:rPr>
        <w:t>Develo</w:t>
      </w:r>
      <w:r>
        <w:rPr>
          <w:lang w:val="en-AU"/>
        </w:rPr>
        <w:t>p</w:t>
      </w:r>
      <w:r w:rsidRPr="006717E6">
        <w:rPr>
          <w:lang w:val="en-AU"/>
        </w:rPr>
        <w:t xml:space="preserve"> and apply funding allocation methodologies</w:t>
      </w:r>
      <w:r w:rsidRPr="00191432">
        <w:rPr>
          <w:lang w:val="en-AU"/>
        </w:rPr>
        <w:t>, agreed with the Steering Committee and DFAT, to ensure fairness and strategic alignment.</w:t>
      </w:r>
    </w:p>
    <w:p w14:paraId="08F8A103" w14:textId="77777777" w:rsidR="002A78F5" w:rsidRPr="00501893" w:rsidRDefault="002A78F5" w:rsidP="00504B06">
      <w:pPr>
        <w:pStyle w:val="ListParagraph"/>
        <w:numPr>
          <w:ilvl w:val="1"/>
          <w:numId w:val="63"/>
        </w:numPr>
        <w:ind w:left="792" w:hanging="432"/>
        <w:rPr>
          <w:lang w:val="en-AU"/>
        </w:rPr>
      </w:pPr>
      <w:r>
        <w:rPr>
          <w:lang w:val="en-AU"/>
        </w:rPr>
        <w:t xml:space="preserve">Provide </w:t>
      </w:r>
      <w:r w:rsidRPr="00501893">
        <w:rPr>
          <w:lang w:val="en-AU"/>
        </w:rPr>
        <w:t>compliance reports, including financial and safeguarding audits</w:t>
      </w:r>
      <w:r>
        <w:rPr>
          <w:lang w:val="en-AU"/>
        </w:rPr>
        <w:t>.</w:t>
      </w:r>
    </w:p>
    <w:p w14:paraId="4545B33A" w14:textId="77777777" w:rsidR="002A78F5" w:rsidRPr="00191432" w:rsidRDefault="002A78F5" w:rsidP="00504B06">
      <w:pPr>
        <w:pStyle w:val="ListParagraph"/>
        <w:numPr>
          <w:ilvl w:val="1"/>
          <w:numId w:val="63"/>
        </w:numPr>
        <w:ind w:left="792" w:hanging="432"/>
        <w:rPr>
          <w:lang w:val="en-AU"/>
        </w:rPr>
      </w:pPr>
      <w:r w:rsidRPr="006717E6">
        <w:rPr>
          <w:lang w:val="en-AU"/>
        </w:rPr>
        <w:t>Ensur</w:t>
      </w:r>
      <w:r>
        <w:rPr>
          <w:lang w:val="en-AU"/>
        </w:rPr>
        <w:t>e</w:t>
      </w:r>
      <w:r w:rsidRPr="006717E6">
        <w:rPr>
          <w:lang w:val="en-AU"/>
        </w:rPr>
        <w:t xml:space="preserve"> any sub-grantees comply with DFAT’s policies</w:t>
      </w:r>
      <w:r>
        <w:rPr>
          <w:lang w:val="en-AU"/>
        </w:rPr>
        <w:t xml:space="preserve"> and the terms of their grant agreement.</w:t>
      </w:r>
    </w:p>
    <w:p w14:paraId="1DF98852" w14:textId="77777777" w:rsidR="002A78F5" w:rsidRPr="00C901D6" w:rsidRDefault="002A78F5" w:rsidP="00504B06">
      <w:pPr>
        <w:pStyle w:val="ListParagraph"/>
        <w:numPr>
          <w:ilvl w:val="1"/>
          <w:numId w:val="63"/>
        </w:numPr>
        <w:ind w:left="792" w:hanging="432"/>
        <w:rPr>
          <w:lang w:val="en-AU"/>
        </w:rPr>
      </w:pPr>
      <w:r w:rsidRPr="006717E6">
        <w:rPr>
          <w:lang w:val="en-AU"/>
        </w:rPr>
        <w:t>Lead discussions on financial reporting and funding mechanisms</w:t>
      </w:r>
      <w:r w:rsidRPr="00C901D6">
        <w:rPr>
          <w:lang w:val="en-AU"/>
        </w:rPr>
        <w:t>, without making funding decisions reserved for DFAT.</w:t>
      </w:r>
    </w:p>
    <w:p w14:paraId="08EF79E0" w14:textId="77777777" w:rsidR="002A78F5" w:rsidRPr="00191432" w:rsidRDefault="002A78F5" w:rsidP="00504B06">
      <w:pPr>
        <w:pStyle w:val="ListParagraph"/>
        <w:numPr>
          <w:ilvl w:val="1"/>
          <w:numId w:val="63"/>
        </w:numPr>
        <w:ind w:left="792" w:hanging="432"/>
        <w:rPr>
          <w:lang w:val="en-AU"/>
        </w:rPr>
      </w:pPr>
      <w:r w:rsidRPr="006717E6">
        <w:rPr>
          <w:lang w:val="en-AU"/>
        </w:rPr>
        <w:t>Promot</w:t>
      </w:r>
      <w:r>
        <w:rPr>
          <w:lang w:val="en-AU"/>
        </w:rPr>
        <w:t>e</w:t>
      </w:r>
      <w:r w:rsidRPr="006717E6">
        <w:rPr>
          <w:lang w:val="en-AU"/>
        </w:rPr>
        <w:t xml:space="preserve"> compliance with DFAT’s financial, safeguarding, due diligence</w:t>
      </w:r>
      <w:r w:rsidRPr="00191432">
        <w:rPr>
          <w:lang w:val="en-AU"/>
        </w:rPr>
        <w:t xml:space="preserve">, and reporting requirements with all Core Group Partners that receive a grant through </w:t>
      </w:r>
      <w:proofErr w:type="spellStart"/>
      <w:r w:rsidRPr="00191432">
        <w:rPr>
          <w:lang w:val="en-AU"/>
        </w:rPr>
        <w:t>Partisipasi</w:t>
      </w:r>
      <w:proofErr w:type="spellEnd"/>
      <w:r>
        <w:rPr>
          <w:lang w:val="en-AU"/>
        </w:rPr>
        <w:t xml:space="preserve"> (see below for further details)</w:t>
      </w:r>
      <w:r w:rsidRPr="00191432">
        <w:rPr>
          <w:lang w:val="en-AU"/>
        </w:rPr>
        <w:t>.</w:t>
      </w:r>
    </w:p>
    <w:p w14:paraId="66232FCF" w14:textId="77777777" w:rsidR="002A78F5" w:rsidRPr="00C034B4" w:rsidRDefault="002A78F5" w:rsidP="00504B06">
      <w:pPr>
        <w:pStyle w:val="ListParagraph"/>
        <w:numPr>
          <w:ilvl w:val="1"/>
          <w:numId w:val="63"/>
        </w:numPr>
        <w:ind w:left="792" w:hanging="432"/>
        <w:rPr>
          <w:lang w:val="en-AU"/>
        </w:rPr>
      </w:pPr>
      <w:r w:rsidRPr="006717E6">
        <w:rPr>
          <w:lang w:val="en-AU"/>
        </w:rPr>
        <w:t>Monitor partner grant management and compliance</w:t>
      </w:r>
      <w:r w:rsidRPr="006D3B85">
        <w:rPr>
          <w:lang w:val="en-AU"/>
        </w:rPr>
        <w:t xml:space="preserve"> performance</w:t>
      </w:r>
      <w:r w:rsidRPr="00C034B4">
        <w:rPr>
          <w:lang w:val="en-AU"/>
        </w:rPr>
        <w:t xml:space="preserve"> and providing capacity building in risk management and </w:t>
      </w:r>
      <w:r>
        <w:rPr>
          <w:lang w:val="en-AU"/>
        </w:rPr>
        <w:t>due diligence</w:t>
      </w:r>
      <w:r w:rsidRPr="00C034B4">
        <w:rPr>
          <w:lang w:val="en-AU"/>
        </w:rPr>
        <w:t>.</w:t>
      </w:r>
    </w:p>
    <w:p w14:paraId="6EEE0332" w14:textId="77777777" w:rsidR="002A78F5" w:rsidRDefault="002A78F5" w:rsidP="00504B06">
      <w:pPr>
        <w:pStyle w:val="ListParagraph"/>
        <w:numPr>
          <w:ilvl w:val="1"/>
          <w:numId w:val="63"/>
        </w:numPr>
        <w:ind w:left="792" w:hanging="432"/>
        <w:rPr>
          <w:lang w:val="en-AU"/>
        </w:rPr>
      </w:pPr>
      <w:r w:rsidRPr="006717E6">
        <w:rPr>
          <w:lang w:val="en-AU"/>
        </w:rPr>
        <w:t>Collaborating with the PSU where relevant to avoid duplication</w:t>
      </w:r>
      <w:r>
        <w:rPr>
          <w:lang w:val="en-AU"/>
        </w:rPr>
        <w:t xml:space="preserve"> e.g. in the provision of training.</w:t>
      </w:r>
    </w:p>
    <w:p w14:paraId="3BFD7DB1" w14:textId="77777777" w:rsidR="002A78F5" w:rsidRPr="00F60051" w:rsidRDefault="002A78F5" w:rsidP="00504B06">
      <w:pPr>
        <w:pStyle w:val="ListParagraph"/>
        <w:numPr>
          <w:ilvl w:val="1"/>
          <w:numId w:val="63"/>
        </w:numPr>
        <w:ind w:left="792" w:hanging="432"/>
        <w:rPr>
          <w:lang w:val="en-AU"/>
        </w:rPr>
      </w:pPr>
      <w:r w:rsidRPr="006717E6">
        <w:rPr>
          <w:lang w:val="en-AU"/>
        </w:rPr>
        <w:t>Where the Convenor</w:t>
      </w:r>
      <w:r>
        <w:rPr>
          <w:lang w:val="en-AU"/>
        </w:rPr>
        <w:t xml:space="preserve"> also implements </w:t>
      </w:r>
      <w:proofErr w:type="spellStart"/>
      <w:r>
        <w:rPr>
          <w:lang w:val="en-AU"/>
        </w:rPr>
        <w:t>Partisipasi</w:t>
      </w:r>
      <w:proofErr w:type="spellEnd"/>
      <w:r>
        <w:rPr>
          <w:lang w:val="en-AU"/>
        </w:rPr>
        <w:t xml:space="preserve"> </w:t>
      </w:r>
      <w:r w:rsidRPr="006717E6">
        <w:rPr>
          <w:lang w:val="en-AU"/>
        </w:rPr>
        <w:t>activities</w:t>
      </w:r>
      <w:r>
        <w:rPr>
          <w:lang w:val="en-AU"/>
        </w:rPr>
        <w:t xml:space="preserve"> directly</w:t>
      </w:r>
      <w:r w:rsidRPr="00F60051">
        <w:rPr>
          <w:lang w:val="en-AU"/>
        </w:rPr>
        <w:t>, it will do so through separate staff and MEL resourcing, with DFAT-approved conflict-of-interest procedures</w:t>
      </w:r>
      <w:r>
        <w:rPr>
          <w:lang w:val="en-AU"/>
        </w:rPr>
        <w:t xml:space="preserve"> (see below)</w:t>
      </w:r>
      <w:r w:rsidRPr="00F60051">
        <w:rPr>
          <w:lang w:val="en-AU"/>
        </w:rPr>
        <w:t>.</w:t>
      </w:r>
    </w:p>
    <w:p w14:paraId="4F6F6419" w14:textId="77777777" w:rsidR="002A78F5" w:rsidRPr="006717E6" w:rsidRDefault="002A78F5" w:rsidP="003E0267">
      <w:pPr>
        <w:pStyle w:val="Heading5"/>
        <w:rPr>
          <w:rFonts w:ascii="Calibri Light" w:hAnsi="Calibri Light" w:cs="Calibri Light"/>
          <w:lang w:val="en-AU"/>
        </w:rPr>
      </w:pPr>
      <w:r w:rsidRPr="006717E6">
        <w:rPr>
          <w:lang w:val="en-AU"/>
        </w:rPr>
        <w:t xml:space="preserve">Monitoring, Evaluation and Learning </w:t>
      </w:r>
    </w:p>
    <w:p w14:paraId="7F600040" w14:textId="2F4126FA" w:rsidR="002A78F5" w:rsidRDefault="002A78F5" w:rsidP="00504B06">
      <w:pPr>
        <w:pStyle w:val="ListParagraph"/>
        <w:numPr>
          <w:ilvl w:val="1"/>
          <w:numId w:val="63"/>
        </w:numPr>
        <w:ind w:left="792" w:hanging="432"/>
        <w:rPr>
          <w:rFonts w:ascii="Calibri Light" w:hAnsi="Calibri Light" w:cs="Calibri Light"/>
          <w:lang w:val="en-AU"/>
        </w:rPr>
      </w:pPr>
      <w:r>
        <w:rPr>
          <w:rFonts w:ascii="Calibri Light" w:hAnsi="Calibri Light" w:cs="Calibri Light"/>
          <w:lang w:val="en-AU"/>
        </w:rPr>
        <w:t xml:space="preserve">The Convenor will sub-contract a relevant organisation to provide the services of a MEL Hub in line with the design (refer to section 6 and </w:t>
      </w:r>
      <w:hyperlink w:anchor="_Annex_H:_Monitoring," w:history="1">
        <w:r w:rsidRPr="007118A8">
          <w:rPr>
            <w:rStyle w:val="Hyperlink"/>
            <w:rFonts w:ascii="Calibri Light" w:hAnsi="Calibri Light" w:cs="Calibri Light"/>
            <w:b/>
            <w:bCs/>
            <w:color w:val="7030A0"/>
            <w:lang w:val="en-AU"/>
          </w:rPr>
          <w:t>Annex H</w:t>
        </w:r>
      </w:hyperlink>
      <w:r>
        <w:rPr>
          <w:rFonts w:ascii="Calibri Light" w:hAnsi="Calibri Light" w:cs="Calibri Light"/>
          <w:lang w:val="en-AU"/>
        </w:rPr>
        <w:t xml:space="preserve"> of the IDD for more details).</w:t>
      </w:r>
      <w:r w:rsidRPr="00E55871">
        <w:rPr>
          <w:rFonts w:ascii="Calibri Light" w:hAnsi="Calibri Light" w:cs="Calibri Light"/>
          <w:lang w:val="en-AU"/>
        </w:rPr>
        <w:t xml:space="preserve"> </w:t>
      </w:r>
      <w:r>
        <w:rPr>
          <w:rFonts w:ascii="Calibri Light" w:hAnsi="Calibri Light" w:cs="Calibri Light"/>
          <w:lang w:val="en-AU"/>
        </w:rPr>
        <w:t>The Convenor will ensure t</w:t>
      </w:r>
      <w:r w:rsidRPr="00B57CB6">
        <w:rPr>
          <w:rFonts w:ascii="Calibri Light" w:hAnsi="Calibri Light" w:cs="Calibri Light"/>
          <w:lang w:val="en-AU"/>
        </w:rPr>
        <w:t>he MEL Hub</w:t>
      </w:r>
      <w:r w:rsidRPr="00650F79">
        <w:rPr>
          <w:rFonts w:ascii="Calibri Light" w:hAnsi="Calibri Light" w:cs="Calibri Light"/>
          <w:lang w:val="en-AU"/>
        </w:rPr>
        <w:t xml:space="preserve"> </w:t>
      </w:r>
      <w:r>
        <w:rPr>
          <w:rFonts w:ascii="Calibri Light" w:hAnsi="Calibri Light" w:cs="Calibri Light"/>
          <w:lang w:val="en-AU"/>
        </w:rPr>
        <w:t xml:space="preserve">is </w:t>
      </w:r>
      <w:r w:rsidRPr="009E41AE">
        <w:rPr>
          <w:rFonts w:ascii="Calibri Light" w:hAnsi="Calibri Light" w:cs="Calibri Light"/>
          <w:lang w:val="en-AU"/>
        </w:rPr>
        <w:t>resourced by suitably qualified MEL experts, possess</w:t>
      </w:r>
      <w:r>
        <w:rPr>
          <w:rFonts w:ascii="Calibri Light" w:hAnsi="Calibri Light" w:cs="Calibri Light"/>
          <w:lang w:val="en-AU"/>
        </w:rPr>
        <w:t>es</w:t>
      </w:r>
      <w:r w:rsidRPr="009E41AE">
        <w:rPr>
          <w:rFonts w:ascii="Calibri Light" w:hAnsi="Calibri Light" w:cs="Calibri Light"/>
          <w:lang w:val="en-AU"/>
        </w:rPr>
        <w:t xml:space="preserve"> Indonesian experience and proven ability to report in a manner that meets DFAT </w:t>
      </w:r>
      <w:r>
        <w:rPr>
          <w:rFonts w:ascii="Calibri Light" w:hAnsi="Calibri Light" w:cs="Calibri Light"/>
          <w:lang w:val="en-AU"/>
        </w:rPr>
        <w:t xml:space="preserve">MEL </w:t>
      </w:r>
      <w:r w:rsidRPr="009E41AE">
        <w:rPr>
          <w:rFonts w:ascii="Calibri Light" w:hAnsi="Calibri Light" w:cs="Calibri Light"/>
          <w:lang w:val="en-AU"/>
        </w:rPr>
        <w:t>standards</w:t>
      </w:r>
      <w:r>
        <w:rPr>
          <w:rFonts w:ascii="Calibri Light" w:hAnsi="Calibri Light" w:cs="Calibri Light"/>
          <w:lang w:val="en-AU"/>
        </w:rPr>
        <w:t xml:space="preserve">, which are available at </w:t>
      </w:r>
      <w:hyperlink r:id="rId27" w:history="1">
        <w:r>
          <w:rPr>
            <w:rStyle w:val="Hyperlink"/>
            <w:rFonts w:ascii="Calibri Light" w:hAnsi="Calibri Light" w:cs="Calibri Light"/>
          </w:rPr>
          <w:t>https://www.dfat.gov.au/about-us/publications/dfat-design-monitoring-evaluation-learning-standards</w:t>
        </w:r>
      </w:hyperlink>
      <w:r w:rsidRPr="009E41AE">
        <w:rPr>
          <w:rFonts w:ascii="Calibri Light" w:hAnsi="Calibri Light" w:cs="Calibri Light"/>
          <w:lang w:val="en-AU"/>
        </w:rPr>
        <w:t>.</w:t>
      </w:r>
    </w:p>
    <w:p w14:paraId="20F68A0B" w14:textId="77777777" w:rsidR="002A78F5" w:rsidRPr="00501893" w:rsidRDefault="002A78F5" w:rsidP="00504B06">
      <w:pPr>
        <w:pStyle w:val="ListParagraph"/>
        <w:numPr>
          <w:ilvl w:val="0"/>
          <w:numId w:val="65"/>
        </w:numPr>
      </w:pPr>
      <w:r w:rsidRPr="084DF1A1">
        <w:rPr>
          <w:rFonts w:ascii="Calibri Light" w:hAnsi="Calibri Light" w:cs="Calibri Light"/>
          <w:lang w:val="en-AU"/>
        </w:rPr>
        <w:t xml:space="preserve">The Convenor will </w:t>
      </w:r>
      <w:r>
        <w:rPr>
          <w:rFonts w:ascii="Calibri Light" w:hAnsi="Calibri Light" w:cs="Calibri Light"/>
          <w:lang w:val="en-AU"/>
        </w:rPr>
        <w:t>host</w:t>
      </w:r>
      <w:r w:rsidRPr="084DF1A1">
        <w:rPr>
          <w:rFonts w:ascii="Calibri Light" w:hAnsi="Calibri Light" w:cs="Calibri Light"/>
          <w:lang w:val="en-AU"/>
        </w:rPr>
        <w:t xml:space="preserve"> the </w:t>
      </w:r>
      <w:r w:rsidRPr="006717E6">
        <w:rPr>
          <w:rFonts w:ascii="Calibri Light" w:hAnsi="Calibri Light" w:cs="Calibri Light"/>
          <w:lang w:val="en-AU"/>
        </w:rPr>
        <w:t>MEL Hub</w:t>
      </w:r>
      <w:r>
        <w:rPr>
          <w:rFonts w:ascii="Calibri Light" w:hAnsi="Calibri Light" w:cs="Calibri Light"/>
          <w:lang w:val="en-AU"/>
        </w:rPr>
        <w:t xml:space="preserve"> at its office where possible </w:t>
      </w:r>
      <w:r>
        <w:t xml:space="preserve">and will ensure the MEL Hub submits its agreed outputs to DFAT on time and to the agreed standard. </w:t>
      </w:r>
    </w:p>
    <w:p w14:paraId="2D1A85F7" w14:textId="77777777" w:rsidR="002A78F5" w:rsidRDefault="002A78F5" w:rsidP="00504B06">
      <w:pPr>
        <w:pStyle w:val="ListParagraph"/>
        <w:numPr>
          <w:ilvl w:val="1"/>
          <w:numId w:val="63"/>
        </w:numPr>
        <w:ind w:left="792" w:hanging="432"/>
        <w:rPr>
          <w:rFonts w:ascii="Calibri Light" w:hAnsi="Calibri Light" w:cs="Calibri Light"/>
          <w:lang w:val="en-AU"/>
        </w:rPr>
      </w:pPr>
      <w:r>
        <w:rPr>
          <w:rFonts w:ascii="Calibri Light" w:hAnsi="Calibri Light" w:cs="Calibri Light"/>
          <w:lang w:val="en-AU"/>
        </w:rPr>
        <w:t xml:space="preserve">The overall purpose of the MEL Hub is to provide MEL services for the whole </w:t>
      </w:r>
      <w:proofErr w:type="spellStart"/>
      <w:r>
        <w:rPr>
          <w:rFonts w:ascii="Calibri Light" w:hAnsi="Calibri Light" w:cs="Calibri Light"/>
          <w:lang w:val="en-AU"/>
        </w:rPr>
        <w:t>Partisipasi</w:t>
      </w:r>
      <w:proofErr w:type="spellEnd"/>
      <w:r>
        <w:rPr>
          <w:rFonts w:ascii="Calibri Light" w:hAnsi="Calibri Light" w:cs="Calibri Light"/>
          <w:lang w:val="en-AU"/>
        </w:rPr>
        <w:t xml:space="preserve"> program. The MEL Hub’s responsibilities include: </w:t>
      </w:r>
    </w:p>
    <w:p w14:paraId="6D921085" w14:textId="77777777" w:rsidR="002A78F5" w:rsidRPr="00C034B4" w:rsidRDefault="002A78F5" w:rsidP="00504B06">
      <w:pPr>
        <w:pStyle w:val="ListParagraph"/>
        <w:numPr>
          <w:ilvl w:val="0"/>
          <w:numId w:val="64"/>
        </w:numPr>
        <w:ind w:left="1276"/>
        <w:rPr>
          <w:lang w:val="en-AU"/>
        </w:rPr>
      </w:pPr>
      <w:r w:rsidRPr="006717E6">
        <w:rPr>
          <w:lang w:val="en-AU"/>
        </w:rPr>
        <w:t>Recruit and manag</w:t>
      </w:r>
      <w:r>
        <w:rPr>
          <w:lang w:val="en-AU"/>
        </w:rPr>
        <w:t>e</w:t>
      </w:r>
      <w:r w:rsidRPr="006717E6">
        <w:rPr>
          <w:lang w:val="en-AU"/>
        </w:rPr>
        <w:t xml:space="preserve"> MEL Hub staff</w:t>
      </w:r>
      <w:r>
        <w:rPr>
          <w:lang w:val="en-AU"/>
        </w:rPr>
        <w:t>,</w:t>
      </w:r>
      <w:r w:rsidRPr="00C034B4">
        <w:rPr>
          <w:lang w:val="en-AU"/>
        </w:rPr>
        <w:t xml:space="preserve"> ensuring a facilitative</w:t>
      </w:r>
      <w:r>
        <w:rPr>
          <w:lang w:val="en-AU"/>
        </w:rPr>
        <w:t xml:space="preserve"> and participatory</w:t>
      </w:r>
      <w:r w:rsidRPr="00C034B4">
        <w:rPr>
          <w:lang w:val="en-AU"/>
        </w:rPr>
        <w:t xml:space="preserve">—not top-down—approach with </w:t>
      </w:r>
      <w:r>
        <w:rPr>
          <w:lang w:val="en-AU"/>
        </w:rPr>
        <w:t>CSP partners;</w:t>
      </w:r>
    </w:p>
    <w:p w14:paraId="1790BC93" w14:textId="77777777" w:rsidR="002A78F5" w:rsidRPr="00C034B4" w:rsidRDefault="002A78F5" w:rsidP="00504B06">
      <w:pPr>
        <w:pStyle w:val="ListParagraph"/>
        <w:numPr>
          <w:ilvl w:val="0"/>
          <w:numId w:val="64"/>
        </w:numPr>
        <w:ind w:left="1276"/>
        <w:rPr>
          <w:lang w:val="en-AU"/>
        </w:rPr>
      </w:pPr>
      <w:r w:rsidRPr="006717E6">
        <w:rPr>
          <w:lang w:val="en-AU"/>
        </w:rPr>
        <w:t>Design</w:t>
      </w:r>
      <w:r>
        <w:rPr>
          <w:lang w:val="en-AU"/>
        </w:rPr>
        <w:t>, socialise</w:t>
      </w:r>
      <w:r w:rsidRPr="006717E6">
        <w:rPr>
          <w:lang w:val="en-AU"/>
        </w:rPr>
        <w:t xml:space="preserve"> and operationalis</w:t>
      </w:r>
      <w:r>
        <w:rPr>
          <w:lang w:val="en-AU"/>
        </w:rPr>
        <w:t>e</w:t>
      </w:r>
      <w:r w:rsidRPr="006717E6">
        <w:rPr>
          <w:lang w:val="en-AU"/>
        </w:rPr>
        <w:t xml:space="preserve"> the MEL Framework</w:t>
      </w:r>
      <w:r w:rsidRPr="00C034B4">
        <w:rPr>
          <w:lang w:val="en-AU"/>
        </w:rPr>
        <w:t xml:space="preserve"> and toolkit</w:t>
      </w:r>
      <w:r>
        <w:rPr>
          <w:lang w:val="en-AU"/>
        </w:rPr>
        <w:t xml:space="preserve"> in collaboration with CSP, PSU, and DFAT;</w:t>
      </w:r>
    </w:p>
    <w:p w14:paraId="269F096D" w14:textId="77777777" w:rsidR="002A78F5" w:rsidRDefault="002A78F5" w:rsidP="00504B06">
      <w:pPr>
        <w:pStyle w:val="ListParagraph"/>
        <w:numPr>
          <w:ilvl w:val="0"/>
          <w:numId w:val="64"/>
        </w:numPr>
        <w:ind w:left="1276"/>
        <w:rPr>
          <w:rFonts w:ascii="Calibri Light" w:hAnsi="Calibri Light" w:cs="Calibri Light"/>
          <w:lang w:val="en-AU"/>
        </w:rPr>
      </w:pPr>
      <w:r>
        <w:rPr>
          <w:rFonts w:ascii="Calibri Light" w:hAnsi="Calibri Light" w:cs="Calibri Light"/>
          <w:lang w:val="en-AU"/>
        </w:rPr>
        <w:t>Lead</w:t>
      </w:r>
      <w:r w:rsidRPr="009E41AE">
        <w:rPr>
          <w:rFonts w:ascii="Calibri Light" w:hAnsi="Calibri Light" w:cs="Calibri Light"/>
          <w:lang w:val="en-AU"/>
        </w:rPr>
        <w:t xml:space="preserve"> </w:t>
      </w:r>
      <w:r w:rsidRPr="006717E6">
        <w:rPr>
          <w:lang w:val="en-AU"/>
        </w:rPr>
        <w:t>program</w:t>
      </w:r>
      <w:r w:rsidRPr="009E41AE">
        <w:rPr>
          <w:rFonts w:ascii="Calibri Light" w:hAnsi="Calibri Light" w:cs="Calibri Light"/>
          <w:lang w:val="en-AU"/>
        </w:rPr>
        <w:t xml:space="preserve">-level </w:t>
      </w:r>
      <w:r>
        <w:rPr>
          <w:rFonts w:ascii="Calibri Light" w:hAnsi="Calibri Light" w:cs="Calibri Light"/>
          <w:lang w:val="en-AU"/>
        </w:rPr>
        <w:t>outcomes</w:t>
      </w:r>
      <w:r w:rsidRPr="009E41AE">
        <w:rPr>
          <w:rFonts w:ascii="Calibri Light" w:hAnsi="Calibri Light" w:cs="Calibri Light"/>
          <w:lang w:val="en-AU"/>
        </w:rPr>
        <w:t xml:space="preserve"> synthesis</w:t>
      </w:r>
      <w:r>
        <w:rPr>
          <w:rFonts w:ascii="Calibri Light" w:hAnsi="Calibri Light" w:cs="Calibri Light"/>
          <w:lang w:val="en-AU"/>
        </w:rPr>
        <w:t>, analysis, learning briefs and scenario tracking as required;</w:t>
      </w:r>
    </w:p>
    <w:p w14:paraId="3E397303" w14:textId="3A74BBA8" w:rsidR="002A78F5" w:rsidRDefault="002A78F5" w:rsidP="00504B06">
      <w:pPr>
        <w:pStyle w:val="ListParagraph"/>
        <w:numPr>
          <w:ilvl w:val="0"/>
          <w:numId w:val="64"/>
        </w:numPr>
        <w:ind w:left="1276"/>
        <w:rPr>
          <w:rFonts w:ascii="Calibri Light" w:hAnsi="Calibri Light" w:cs="Calibri Light"/>
          <w:lang w:val="en-AU"/>
        </w:rPr>
      </w:pPr>
      <w:r>
        <w:rPr>
          <w:rFonts w:ascii="Calibri Light" w:hAnsi="Calibri Light" w:cs="Calibri Light"/>
          <w:lang w:val="en-AU"/>
        </w:rPr>
        <w:t>F</w:t>
      </w:r>
      <w:r w:rsidRPr="009E41AE">
        <w:rPr>
          <w:rFonts w:ascii="Calibri Light" w:hAnsi="Calibri Light" w:cs="Calibri Light"/>
          <w:lang w:val="en-AU"/>
        </w:rPr>
        <w:t>acilitate</w:t>
      </w:r>
      <w:r>
        <w:rPr>
          <w:rFonts w:ascii="Calibri Light" w:hAnsi="Calibri Light" w:cs="Calibri Light"/>
          <w:lang w:val="en-AU"/>
        </w:rPr>
        <w:t xml:space="preserve"> joint </w:t>
      </w:r>
      <w:r w:rsidR="00B153E0">
        <w:rPr>
          <w:rFonts w:ascii="Calibri Light" w:hAnsi="Calibri Light" w:cs="Calibri Light"/>
          <w:lang w:val="en-AU"/>
        </w:rPr>
        <w:t>six-monthly</w:t>
      </w:r>
      <w:r>
        <w:rPr>
          <w:rFonts w:ascii="Calibri Light" w:hAnsi="Calibri Light" w:cs="Calibri Light"/>
          <w:lang w:val="en-AU"/>
        </w:rPr>
        <w:t xml:space="preserve"> reflection workshop processes, and any other agreed </w:t>
      </w:r>
      <w:r w:rsidRPr="009E41AE">
        <w:rPr>
          <w:rFonts w:ascii="Calibri Light" w:hAnsi="Calibri Light" w:cs="Calibri Light"/>
          <w:lang w:val="en-AU"/>
        </w:rPr>
        <w:t>learning processes</w:t>
      </w:r>
      <w:r>
        <w:rPr>
          <w:rFonts w:ascii="Calibri Light" w:hAnsi="Calibri Light" w:cs="Calibri Light"/>
          <w:lang w:val="en-AU"/>
        </w:rPr>
        <w:t xml:space="preserve"> in line with the MEL Framework;</w:t>
      </w:r>
    </w:p>
    <w:p w14:paraId="3CFE20D1" w14:textId="77777777" w:rsidR="002A78F5" w:rsidRPr="00C034B4" w:rsidRDefault="002A78F5" w:rsidP="00504B06">
      <w:pPr>
        <w:pStyle w:val="ListParagraph"/>
        <w:numPr>
          <w:ilvl w:val="0"/>
          <w:numId w:val="64"/>
        </w:numPr>
        <w:ind w:left="1276"/>
        <w:rPr>
          <w:lang w:val="en-AU"/>
        </w:rPr>
      </w:pPr>
      <w:r w:rsidRPr="006717E6">
        <w:rPr>
          <w:lang w:val="en-AU"/>
        </w:rPr>
        <w:t>Collat</w:t>
      </w:r>
      <w:r>
        <w:rPr>
          <w:lang w:val="en-AU"/>
        </w:rPr>
        <w:t>e</w:t>
      </w:r>
      <w:r w:rsidRPr="006717E6">
        <w:rPr>
          <w:lang w:val="en-AU"/>
        </w:rPr>
        <w:t xml:space="preserve"> </w:t>
      </w:r>
      <w:r>
        <w:rPr>
          <w:lang w:val="en-AU"/>
        </w:rPr>
        <w:t>implementing partner</w:t>
      </w:r>
      <w:r w:rsidRPr="006717E6">
        <w:rPr>
          <w:lang w:val="en-AU"/>
        </w:rPr>
        <w:t xml:space="preserve"> reports</w:t>
      </w:r>
      <w:r>
        <w:rPr>
          <w:lang w:val="en-AU"/>
        </w:rPr>
        <w:t xml:space="preserve"> across </w:t>
      </w:r>
      <w:proofErr w:type="spellStart"/>
      <w:r>
        <w:rPr>
          <w:lang w:val="en-AU"/>
        </w:rPr>
        <w:t>Partisipasi</w:t>
      </w:r>
      <w:proofErr w:type="spellEnd"/>
      <w:r>
        <w:rPr>
          <w:lang w:val="en-AU"/>
        </w:rPr>
        <w:t xml:space="preserve"> Components 1 and 2,</w:t>
      </w:r>
      <w:r w:rsidRPr="00C034B4">
        <w:rPr>
          <w:lang w:val="en-AU"/>
        </w:rPr>
        <w:t xml:space="preserve"> produc</w:t>
      </w:r>
      <w:r>
        <w:rPr>
          <w:lang w:val="en-AU"/>
        </w:rPr>
        <w:t>ing</w:t>
      </w:r>
      <w:r w:rsidRPr="00C034B4">
        <w:rPr>
          <w:lang w:val="en-AU"/>
        </w:rPr>
        <w:t xml:space="preserve"> </w:t>
      </w:r>
      <w:r>
        <w:rPr>
          <w:lang w:val="en-AU"/>
        </w:rPr>
        <w:t xml:space="preserve">integrated </w:t>
      </w:r>
      <w:proofErr w:type="spellStart"/>
      <w:r>
        <w:rPr>
          <w:lang w:val="en-AU"/>
        </w:rPr>
        <w:t>Partisipasi</w:t>
      </w:r>
      <w:proofErr w:type="spellEnd"/>
      <w:r>
        <w:rPr>
          <w:lang w:val="en-AU"/>
        </w:rPr>
        <w:t xml:space="preserve"> Performance </w:t>
      </w:r>
      <w:r w:rsidRPr="00C034B4">
        <w:rPr>
          <w:lang w:val="en-AU"/>
        </w:rPr>
        <w:t>Reports for DFAT</w:t>
      </w:r>
      <w:r>
        <w:rPr>
          <w:lang w:val="en-AU"/>
        </w:rPr>
        <w:t xml:space="preserve"> at six monthly intervals;</w:t>
      </w:r>
    </w:p>
    <w:p w14:paraId="7C3DCCE3" w14:textId="77777777" w:rsidR="002A78F5" w:rsidRDefault="002A78F5" w:rsidP="00504B06">
      <w:pPr>
        <w:pStyle w:val="ListParagraph"/>
        <w:numPr>
          <w:ilvl w:val="0"/>
          <w:numId w:val="64"/>
        </w:numPr>
        <w:ind w:left="1276"/>
        <w:rPr>
          <w:lang w:val="en-AU"/>
        </w:rPr>
      </w:pPr>
      <w:r w:rsidRPr="006717E6">
        <w:rPr>
          <w:lang w:val="en-AU"/>
        </w:rPr>
        <w:t>Support partners to implement outcome harvesting</w:t>
      </w:r>
      <w:r w:rsidRPr="00C034B4">
        <w:rPr>
          <w:lang w:val="en-AU"/>
        </w:rPr>
        <w:t>, scenario monitoring</w:t>
      </w:r>
      <w:r>
        <w:rPr>
          <w:lang w:val="en-AU"/>
        </w:rPr>
        <w:t xml:space="preserve"> and</w:t>
      </w:r>
      <w:r w:rsidRPr="00C034B4">
        <w:rPr>
          <w:lang w:val="en-AU"/>
        </w:rPr>
        <w:t xml:space="preserve"> GEDSI-sensitive data collection</w:t>
      </w:r>
      <w:r>
        <w:rPr>
          <w:lang w:val="en-AU"/>
        </w:rPr>
        <w:t>;</w:t>
      </w:r>
    </w:p>
    <w:p w14:paraId="69EA0DEF" w14:textId="77777777" w:rsidR="002A78F5" w:rsidRPr="00C034B4" w:rsidRDefault="002A78F5" w:rsidP="00504B06">
      <w:pPr>
        <w:pStyle w:val="ListParagraph"/>
        <w:numPr>
          <w:ilvl w:val="0"/>
          <w:numId w:val="64"/>
        </w:numPr>
        <w:ind w:left="1276"/>
        <w:rPr>
          <w:lang w:val="en-AU"/>
        </w:rPr>
      </w:pPr>
      <w:r>
        <w:rPr>
          <w:lang w:val="en-AU"/>
        </w:rPr>
        <w:lastRenderedPageBreak/>
        <w:t>Participate in relevant program management and governance meetings such as Ways of Working, coordination meetings, including with DFAT;</w:t>
      </w:r>
    </w:p>
    <w:p w14:paraId="53257233" w14:textId="77777777" w:rsidR="002A78F5" w:rsidRPr="00C034B4" w:rsidRDefault="002A78F5" w:rsidP="00504B06">
      <w:pPr>
        <w:pStyle w:val="ListParagraph"/>
        <w:numPr>
          <w:ilvl w:val="0"/>
          <w:numId w:val="64"/>
        </w:numPr>
        <w:ind w:left="1276"/>
        <w:rPr>
          <w:lang w:val="en-AU"/>
        </w:rPr>
      </w:pPr>
      <w:r w:rsidRPr="006717E6">
        <w:rPr>
          <w:lang w:val="en-AU"/>
        </w:rPr>
        <w:t>Provid</w:t>
      </w:r>
      <w:r>
        <w:rPr>
          <w:lang w:val="en-AU"/>
        </w:rPr>
        <w:t>e</w:t>
      </w:r>
      <w:r w:rsidRPr="006717E6">
        <w:rPr>
          <w:lang w:val="en-AU"/>
        </w:rPr>
        <w:t xml:space="preserve"> MEL Clinics and on-demand helpdesk support</w:t>
      </w:r>
      <w:r w:rsidRPr="00C034B4">
        <w:rPr>
          <w:lang w:val="en-AU"/>
        </w:rPr>
        <w:t xml:space="preserve"> </w:t>
      </w:r>
      <w:r>
        <w:rPr>
          <w:lang w:val="en-AU"/>
        </w:rPr>
        <w:t xml:space="preserve">for </w:t>
      </w:r>
      <w:proofErr w:type="spellStart"/>
      <w:r>
        <w:rPr>
          <w:lang w:val="en-AU"/>
        </w:rPr>
        <w:t>Partisipasi</w:t>
      </w:r>
      <w:proofErr w:type="spellEnd"/>
      <w:r>
        <w:rPr>
          <w:lang w:val="en-AU"/>
        </w:rPr>
        <w:t xml:space="preserve"> implementing partners to assist them in </w:t>
      </w:r>
      <w:r w:rsidRPr="00C034B4">
        <w:rPr>
          <w:lang w:val="en-AU"/>
        </w:rPr>
        <w:t>meet</w:t>
      </w:r>
      <w:r>
        <w:rPr>
          <w:lang w:val="en-AU"/>
        </w:rPr>
        <w:t>ing</w:t>
      </w:r>
      <w:r w:rsidRPr="00C034B4">
        <w:rPr>
          <w:lang w:val="en-AU"/>
        </w:rPr>
        <w:t xml:space="preserve"> reporting requirements without undue administrative burden</w:t>
      </w:r>
      <w:r>
        <w:rPr>
          <w:lang w:val="en-AU"/>
        </w:rPr>
        <w:t>; and</w:t>
      </w:r>
    </w:p>
    <w:p w14:paraId="5E9AE957" w14:textId="77777777" w:rsidR="002A78F5" w:rsidRPr="00C034B4" w:rsidRDefault="002A78F5" w:rsidP="00504B06">
      <w:pPr>
        <w:pStyle w:val="ListParagraph"/>
        <w:numPr>
          <w:ilvl w:val="0"/>
          <w:numId w:val="64"/>
        </w:numPr>
        <w:ind w:left="1276"/>
        <w:rPr>
          <w:lang w:val="en-AU"/>
        </w:rPr>
      </w:pPr>
      <w:r>
        <w:rPr>
          <w:lang w:val="en-AU"/>
        </w:rPr>
        <w:t>D</w:t>
      </w:r>
      <w:r w:rsidRPr="006717E6">
        <w:rPr>
          <w:lang w:val="en-AU"/>
        </w:rPr>
        <w:t xml:space="preserve">ocument lessons and best practices from </w:t>
      </w:r>
      <w:proofErr w:type="spellStart"/>
      <w:r w:rsidRPr="006717E6">
        <w:rPr>
          <w:lang w:val="en-AU"/>
        </w:rPr>
        <w:t>Partisipasi</w:t>
      </w:r>
      <w:proofErr w:type="spellEnd"/>
      <w:r w:rsidRPr="006717E6">
        <w:rPr>
          <w:lang w:val="en-AU"/>
        </w:rPr>
        <w:t xml:space="preserve"> implementation</w:t>
      </w:r>
      <w:r>
        <w:rPr>
          <w:lang w:val="en-AU"/>
        </w:rPr>
        <w:t>.</w:t>
      </w:r>
    </w:p>
    <w:p w14:paraId="48B7C542" w14:textId="77777777" w:rsidR="002A78F5" w:rsidRPr="006717E6" w:rsidRDefault="002A78F5" w:rsidP="003E0267">
      <w:pPr>
        <w:pStyle w:val="Heading5"/>
        <w:rPr>
          <w:lang w:val="en-AU"/>
        </w:rPr>
      </w:pPr>
      <w:r w:rsidRPr="00D76813">
        <w:rPr>
          <w:lang w:val="en-AU"/>
        </w:rPr>
        <w:t>Strategic Engagement, Risk Management and Safeguards</w:t>
      </w:r>
    </w:p>
    <w:p w14:paraId="4D174839" w14:textId="77777777" w:rsidR="002A78F5" w:rsidRPr="00AC1BB3" w:rsidRDefault="002A78F5" w:rsidP="00504B06">
      <w:pPr>
        <w:pStyle w:val="ListParagraph"/>
        <w:numPr>
          <w:ilvl w:val="1"/>
          <w:numId w:val="63"/>
        </w:numPr>
        <w:ind w:left="792" w:hanging="432"/>
        <w:rPr>
          <w:lang w:val="en-AU"/>
        </w:rPr>
      </w:pPr>
      <w:r w:rsidRPr="006717E6">
        <w:rPr>
          <w:lang w:val="en-AU"/>
        </w:rPr>
        <w:t xml:space="preserve">Maintain strong working relationships </w:t>
      </w:r>
      <w:r w:rsidRPr="00AC1BB3">
        <w:rPr>
          <w:lang w:val="en-AU"/>
        </w:rPr>
        <w:t xml:space="preserve">and regular communication </w:t>
      </w:r>
      <w:r w:rsidRPr="006717E6">
        <w:rPr>
          <w:lang w:val="en-AU"/>
        </w:rPr>
        <w:t>with DFAT</w:t>
      </w:r>
      <w:r>
        <w:rPr>
          <w:lang w:val="en-AU"/>
        </w:rPr>
        <w:t>, the PSU and MEL Hub</w:t>
      </w:r>
      <w:r w:rsidRPr="00AC1BB3">
        <w:rPr>
          <w:lang w:val="en-AU"/>
        </w:rPr>
        <w:t xml:space="preserve"> to promote alignment on priorities and a shared understanding regarding activity implementation.</w:t>
      </w:r>
    </w:p>
    <w:p w14:paraId="113A84FB" w14:textId="77777777" w:rsidR="002A78F5" w:rsidRPr="00AC1BB3" w:rsidRDefault="002A78F5" w:rsidP="00504B06">
      <w:pPr>
        <w:pStyle w:val="ListParagraph"/>
        <w:numPr>
          <w:ilvl w:val="1"/>
          <w:numId w:val="63"/>
        </w:numPr>
        <w:ind w:left="792" w:hanging="432"/>
        <w:rPr>
          <w:lang w:val="en-AU"/>
        </w:rPr>
      </w:pPr>
      <w:r>
        <w:rPr>
          <w:lang w:val="en-AU"/>
        </w:rPr>
        <w:t xml:space="preserve">Provide relevant information that is requested about </w:t>
      </w:r>
      <w:proofErr w:type="spellStart"/>
      <w:r>
        <w:rPr>
          <w:lang w:val="en-AU"/>
        </w:rPr>
        <w:t>Partisipasi</w:t>
      </w:r>
      <w:proofErr w:type="spellEnd"/>
      <w:r>
        <w:rPr>
          <w:lang w:val="en-AU"/>
        </w:rPr>
        <w:t xml:space="preserve"> to DFAT, the MEL Hub, the PSU and the PAB. This includes providing annual updates on the CSP workplan and quarterly risk updates to the PSU for collation into consolidated whole-of-program documents for </w:t>
      </w:r>
      <w:proofErr w:type="spellStart"/>
      <w:r>
        <w:rPr>
          <w:lang w:val="en-AU"/>
        </w:rPr>
        <w:t>Partisipasi</w:t>
      </w:r>
      <w:proofErr w:type="spellEnd"/>
      <w:r>
        <w:rPr>
          <w:lang w:val="en-AU"/>
        </w:rPr>
        <w:t>.</w:t>
      </w:r>
      <w:r w:rsidRPr="006717E6">
        <w:rPr>
          <w:lang w:val="en-AU"/>
        </w:rPr>
        <w:t xml:space="preserve"> </w:t>
      </w:r>
      <w:r>
        <w:rPr>
          <w:lang w:val="en-AU"/>
        </w:rPr>
        <w:t>In addition, the Convenor is to p</w:t>
      </w:r>
      <w:r w:rsidRPr="00AC1BB3">
        <w:rPr>
          <w:lang w:val="en-AU"/>
        </w:rPr>
        <w:t>rovide risks update</w:t>
      </w:r>
      <w:r>
        <w:rPr>
          <w:lang w:val="en-AU"/>
        </w:rPr>
        <w:t xml:space="preserve">s to DFAT </w:t>
      </w:r>
      <w:r w:rsidRPr="00AC1BB3">
        <w:rPr>
          <w:lang w:val="en-AU"/>
        </w:rPr>
        <w:t>on an ad hoc basis as required.</w:t>
      </w:r>
    </w:p>
    <w:p w14:paraId="0D0C5599" w14:textId="77777777" w:rsidR="002A78F5" w:rsidRPr="00B407DE" w:rsidRDefault="002A78F5" w:rsidP="00504B06">
      <w:pPr>
        <w:pStyle w:val="ListParagraph"/>
        <w:numPr>
          <w:ilvl w:val="1"/>
          <w:numId w:val="63"/>
        </w:numPr>
        <w:ind w:left="792" w:hanging="432"/>
        <w:rPr>
          <w:lang w:val="en-AU"/>
        </w:rPr>
      </w:pPr>
      <w:r>
        <w:rPr>
          <w:lang w:val="en-AU"/>
        </w:rPr>
        <w:t xml:space="preserve">Promote activities amongst the CSP that </w:t>
      </w:r>
      <w:r w:rsidRPr="00B407DE">
        <w:rPr>
          <w:lang w:val="en-AU"/>
        </w:rPr>
        <w:t>are politically informed, strategically positioned, and aligned with</w:t>
      </w:r>
      <w:r>
        <w:rPr>
          <w:lang w:val="en-AU"/>
        </w:rPr>
        <w:t xml:space="preserve"> the overall </w:t>
      </w:r>
      <w:proofErr w:type="spellStart"/>
      <w:r>
        <w:rPr>
          <w:lang w:val="en-AU"/>
        </w:rPr>
        <w:t>Partisipasi</w:t>
      </w:r>
      <w:proofErr w:type="spellEnd"/>
      <w:r>
        <w:rPr>
          <w:lang w:val="en-AU"/>
        </w:rPr>
        <w:t xml:space="preserve"> design and</w:t>
      </w:r>
      <w:r w:rsidRPr="00B407DE">
        <w:rPr>
          <w:lang w:val="en-AU"/>
        </w:rPr>
        <w:t xml:space="preserve"> broader reform efforts. </w:t>
      </w:r>
    </w:p>
    <w:p w14:paraId="2D3C7BD7" w14:textId="77777777" w:rsidR="002A78F5" w:rsidRPr="00AC1BB3" w:rsidRDefault="002A78F5" w:rsidP="00504B06">
      <w:pPr>
        <w:pStyle w:val="ListParagraph"/>
        <w:numPr>
          <w:ilvl w:val="1"/>
          <w:numId w:val="63"/>
        </w:numPr>
        <w:ind w:left="792" w:hanging="432"/>
        <w:rPr>
          <w:lang w:val="en-AU"/>
        </w:rPr>
      </w:pPr>
      <w:r w:rsidRPr="006717E6">
        <w:rPr>
          <w:lang w:val="en-AU"/>
        </w:rPr>
        <w:t>Support</w:t>
      </w:r>
      <w:r>
        <w:rPr>
          <w:lang w:val="en-AU"/>
        </w:rPr>
        <w:t xml:space="preserve"> the</w:t>
      </w:r>
      <w:r w:rsidRPr="006717E6">
        <w:rPr>
          <w:lang w:val="en-AU"/>
        </w:rPr>
        <w:t xml:space="preserve"> CSP to engage effectively with </w:t>
      </w:r>
      <w:proofErr w:type="spellStart"/>
      <w:r w:rsidRPr="006717E6">
        <w:rPr>
          <w:lang w:val="en-AU"/>
        </w:rPr>
        <w:t>GoI</w:t>
      </w:r>
      <w:proofErr w:type="spellEnd"/>
      <w:r w:rsidRPr="006717E6">
        <w:rPr>
          <w:lang w:val="en-AU"/>
        </w:rPr>
        <w:t xml:space="preserve"> counterparts</w:t>
      </w:r>
      <w:r w:rsidRPr="00AC1BB3">
        <w:rPr>
          <w:lang w:val="en-AU"/>
        </w:rPr>
        <w:t xml:space="preserve"> to build legitimacy for civil society contributions and support the CSP manage risks. </w:t>
      </w:r>
    </w:p>
    <w:p w14:paraId="0467B5DC" w14:textId="77777777" w:rsidR="002A78F5" w:rsidRPr="00AC1BB3" w:rsidRDefault="002A78F5" w:rsidP="00504B06">
      <w:pPr>
        <w:pStyle w:val="ListParagraph"/>
        <w:numPr>
          <w:ilvl w:val="1"/>
          <w:numId w:val="63"/>
        </w:numPr>
        <w:ind w:left="792" w:hanging="432"/>
        <w:rPr>
          <w:lang w:val="en-AU"/>
        </w:rPr>
      </w:pPr>
      <w:r w:rsidRPr="006717E6">
        <w:rPr>
          <w:lang w:val="en-AU"/>
        </w:rPr>
        <w:t>Support the CSP in activity implementation</w:t>
      </w:r>
      <w:r w:rsidRPr="00AC1BB3">
        <w:rPr>
          <w:lang w:val="en-AU"/>
        </w:rPr>
        <w:t xml:space="preserve"> that will, in turn, strengthen the capacity, voice, and legitimacy of civil society in shaping democratic participation and resilience at both national and subnational levels.</w:t>
      </w:r>
    </w:p>
    <w:p w14:paraId="19B868BB" w14:textId="77777777" w:rsidR="002A78F5" w:rsidRDefault="002A78F5" w:rsidP="00504B06">
      <w:pPr>
        <w:pStyle w:val="ListParagraph"/>
        <w:numPr>
          <w:ilvl w:val="1"/>
          <w:numId w:val="63"/>
        </w:numPr>
        <w:ind w:left="792" w:hanging="432"/>
        <w:rPr>
          <w:lang w:val="en-AU"/>
        </w:rPr>
      </w:pPr>
      <w:r w:rsidRPr="00AC1BB3">
        <w:rPr>
          <w:lang w:val="en-AU"/>
        </w:rPr>
        <w:t xml:space="preserve">Strengthen </w:t>
      </w:r>
      <w:r>
        <w:rPr>
          <w:lang w:val="en-AU"/>
        </w:rPr>
        <w:t>CSP</w:t>
      </w:r>
      <w:r w:rsidRPr="00AC1BB3">
        <w:rPr>
          <w:lang w:val="en-AU"/>
        </w:rPr>
        <w:t xml:space="preserve"> individual and collective capacity, ensuring their work is strategic, networked, and informed by evidence.</w:t>
      </w:r>
    </w:p>
    <w:p w14:paraId="52967D10" w14:textId="77777777" w:rsidR="002A78F5" w:rsidRDefault="002A78F5" w:rsidP="00504B06">
      <w:pPr>
        <w:pStyle w:val="ListParagraph"/>
        <w:numPr>
          <w:ilvl w:val="1"/>
          <w:numId w:val="63"/>
        </w:numPr>
        <w:ind w:left="792" w:hanging="432"/>
        <w:rPr>
          <w:lang w:val="en-AU"/>
        </w:rPr>
      </w:pPr>
      <w:r>
        <w:rPr>
          <w:lang w:val="en-AU"/>
        </w:rPr>
        <w:t xml:space="preserve">Ensure that agreed risk mitigations for </w:t>
      </w:r>
      <w:proofErr w:type="spellStart"/>
      <w:r>
        <w:rPr>
          <w:lang w:val="en-AU"/>
        </w:rPr>
        <w:t>Partisipasi</w:t>
      </w:r>
      <w:proofErr w:type="spellEnd"/>
      <w:r>
        <w:rPr>
          <w:lang w:val="en-AU"/>
        </w:rPr>
        <w:t xml:space="preserve"> are implemented by all CSP partners and that risk updates are informing program decision making and MEL, and that Component 2 complies with DFAT standards for risk management. </w:t>
      </w:r>
    </w:p>
    <w:p w14:paraId="7248B251" w14:textId="77777777" w:rsidR="002A78F5" w:rsidRPr="00C901D6" w:rsidRDefault="002A78F5" w:rsidP="00504B06">
      <w:pPr>
        <w:pStyle w:val="ListParagraph"/>
        <w:numPr>
          <w:ilvl w:val="1"/>
          <w:numId w:val="63"/>
        </w:numPr>
        <w:ind w:left="792" w:hanging="432"/>
        <w:rPr>
          <w:lang w:val="en-AU"/>
        </w:rPr>
      </w:pPr>
      <w:r w:rsidRPr="006717E6">
        <w:rPr>
          <w:lang w:val="en-AU"/>
        </w:rPr>
        <w:t>Coordinate shared risk ownership</w:t>
      </w:r>
      <w:r w:rsidRPr="00C901D6">
        <w:rPr>
          <w:lang w:val="en-AU"/>
        </w:rPr>
        <w:t>, maintain a Risk Register</w:t>
      </w:r>
      <w:r>
        <w:rPr>
          <w:lang w:val="en-AU"/>
        </w:rPr>
        <w:t xml:space="preserve"> for the CSP</w:t>
      </w:r>
      <w:r w:rsidRPr="00C901D6">
        <w:rPr>
          <w:lang w:val="en-AU"/>
        </w:rPr>
        <w:t>, and manage escalation and dispute resolution mechanisms.</w:t>
      </w:r>
    </w:p>
    <w:p w14:paraId="69EDAFA8" w14:textId="77777777" w:rsidR="002A78F5" w:rsidRDefault="002A78F5" w:rsidP="00504B06">
      <w:pPr>
        <w:pStyle w:val="ListParagraph"/>
        <w:numPr>
          <w:ilvl w:val="1"/>
          <w:numId w:val="63"/>
        </w:numPr>
        <w:ind w:left="792" w:hanging="432"/>
        <w:rPr>
          <w:lang w:val="en-AU"/>
        </w:rPr>
      </w:pPr>
      <w:r>
        <w:rPr>
          <w:lang w:val="en-AU"/>
        </w:rPr>
        <w:t>Develop a safeguards plan for the CSP, socialise this plan and provide regular safeguards training for all Component 2 partners.</w:t>
      </w:r>
    </w:p>
    <w:p w14:paraId="5E789EF7" w14:textId="77777777" w:rsidR="002A78F5" w:rsidRDefault="002A78F5" w:rsidP="00504B06">
      <w:pPr>
        <w:pStyle w:val="ListParagraph"/>
        <w:numPr>
          <w:ilvl w:val="1"/>
          <w:numId w:val="63"/>
        </w:numPr>
        <w:ind w:left="792" w:hanging="432"/>
        <w:rPr>
          <w:lang w:val="en-AU"/>
        </w:rPr>
      </w:pPr>
      <w:r>
        <w:rPr>
          <w:lang w:val="en-AU"/>
        </w:rPr>
        <w:t>Regularly monitor to ensure all CSP partners comply with DFAT relevant safeguard policies including PSEAH, child protection, counter terrorism and environmental safeguards.</w:t>
      </w:r>
    </w:p>
    <w:p w14:paraId="7F342086" w14:textId="77777777" w:rsidR="002A78F5" w:rsidRPr="006717E6" w:rsidRDefault="002A78F5" w:rsidP="003E0267">
      <w:pPr>
        <w:pStyle w:val="Heading5"/>
        <w:rPr>
          <w:lang w:val="en-AU"/>
        </w:rPr>
      </w:pPr>
      <w:r w:rsidRPr="00655954">
        <w:rPr>
          <w:lang w:val="en-AU"/>
        </w:rPr>
        <w:t xml:space="preserve">Activity Implementation </w:t>
      </w:r>
      <w:r w:rsidRPr="00655954">
        <w:t>and Conflict-of-Interest Management</w:t>
      </w:r>
    </w:p>
    <w:p w14:paraId="0DD0C2BF" w14:textId="77777777" w:rsidR="002A78F5" w:rsidRPr="003D181B" w:rsidRDefault="002A78F5" w:rsidP="00504B06">
      <w:pPr>
        <w:pStyle w:val="ListParagraph"/>
        <w:numPr>
          <w:ilvl w:val="1"/>
          <w:numId w:val="63"/>
        </w:numPr>
        <w:ind w:left="792" w:hanging="432"/>
        <w:rPr>
          <w:lang w:val="en-AU"/>
        </w:rPr>
      </w:pPr>
      <w:r w:rsidRPr="003D181B">
        <w:rPr>
          <w:lang w:val="en-AU"/>
        </w:rPr>
        <w:t xml:space="preserve">If agreed by DFAT, the Convenor may also implement its own program activities directly. In this case, during the inception period the Convenor will submit a Conflict-of-Interest Management Procedure to DFAT for approval, </w:t>
      </w:r>
      <w:r>
        <w:rPr>
          <w:lang w:val="en-AU"/>
        </w:rPr>
        <w:t>which will include (among other practices identified by the Convenor)</w:t>
      </w:r>
      <w:r w:rsidRPr="003D181B">
        <w:rPr>
          <w:lang w:val="en-AU"/>
        </w:rPr>
        <w:t>:</w:t>
      </w:r>
    </w:p>
    <w:p w14:paraId="1CCBDBDA" w14:textId="77777777" w:rsidR="002A78F5" w:rsidRPr="00C42E4D" w:rsidRDefault="002A78F5" w:rsidP="00504B06">
      <w:pPr>
        <w:pStyle w:val="ListParagraph"/>
        <w:numPr>
          <w:ilvl w:val="0"/>
          <w:numId w:val="64"/>
        </w:numPr>
        <w:ind w:left="1080"/>
        <w:rPr>
          <w:lang w:val="en-AU"/>
        </w:rPr>
      </w:pPr>
      <w:r w:rsidRPr="006717E6">
        <w:rPr>
          <w:lang w:val="en-AU"/>
        </w:rPr>
        <w:t>Clear separation of roles and staff</w:t>
      </w:r>
      <w:r w:rsidRPr="00C034B4">
        <w:rPr>
          <w:lang w:val="en-AU"/>
        </w:rPr>
        <w:t xml:space="preserve"> between </w:t>
      </w:r>
      <w:r>
        <w:rPr>
          <w:lang w:val="en-AU"/>
        </w:rPr>
        <w:t xml:space="preserve">those performing </w:t>
      </w:r>
      <w:r w:rsidRPr="00C034B4">
        <w:rPr>
          <w:lang w:val="en-AU"/>
        </w:rPr>
        <w:t xml:space="preserve">Convenor functions and </w:t>
      </w:r>
      <w:r>
        <w:rPr>
          <w:lang w:val="en-AU"/>
        </w:rPr>
        <w:t xml:space="preserve">those managing </w:t>
      </w:r>
      <w:r w:rsidRPr="00C034B4">
        <w:rPr>
          <w:lang w:val="en-AU"/>
        </w:rPr>
        <w:t>activity implementation.</w:t>
      </w:r>
    </w:p>
    <w:p w14:paraId="53BDF217" w14:textId="77777777" w:rsidR="002A78F5" w:rsidRPr="00C42E4D" w:rsidRDefault="002A78F5" w:rsidP="00504B06">
      <w:pPr>
        <w:pStyle w:val="ListParagraph"/>
        <w:numPr>
          <w:ilvl w:val="0"/>
          <w:numId w:val="64"/>
        </w:numPr>
        <w:ind w:left="1080"/>
        <w:rPr>
          <w:lang w:val="en-AU"/>
        </w:rPr>
      </w:pPr>
      <w:r w:rsidRPr="006717E6">
        <w:rPr>
          <w:lang w:val="en-AU"/>
        </w:rPr>
        <w:t>Transparent process and criteria for funding allocation and activity approval</w:t>
      </w:r>
      <w:r w:rsidRPr="00C034B4">
        <w:rPr>
          <w:lang w:val="en-AU"/>
        </w:rPr>
        <w:t xml:space="preserve"> to ensure the Convenor does not influence decisions affecting its own organisation.</w:t>
      </w:r>
    </w:p>
    <w:p w14:paraId="38FD4987" w14:textId="77777777" w:rsidR="002A78F5" w:rsidRPr="00C42E4D" w:rsidRDefault="002A78F5" w:rsidP="00504B06">
      <w:pPr>
        <w:pStyle w:val="ListParagraph"/>
        <w:numPr>
          <w:ilvl w:val="0"/>
          <w:numId w:val="64"/>
        </w:numPr>
        <w:ind w:left="1080"/>
        <w:rPr>
          <w:lang w:val="en-AU"/>
        </w:rPr>
      </w:pPr>
      <w:r w:rsidRPr="006717E6">
        <w:rPr>
          <w:lang w:val="en-AU"/>
        </w:rPr>
        <w:t>External/independent reviewers</w:t>
      </w:r>
      <w:r w:rsidRPr="00C034B4">
        <w:rPr>
          <w:lang w:val="en-AU"/>
        </w:rPr>
        <w:t xml:space="preserve"> </w:t>
      </w:r>
      <w:r>
        <w:rPr>
          <w:lang w:val="en-AU"/>
        </w:rPr>
        <w:t xml:space="preserve">(e.g. using </w:t>
      </w:r>
      <w:r w:rsidRPr="00C034B4">
        <w:rPr>
          <w:lang w:val="en-AU"/>
        </w:rPr>
        <w:t>Steering Committee</w:t>
      </w:r>
      <w:r>
        <w:rPr>
          <w:lang w:val="en-AU"/>
        </w:rPr>
        <w:t>’s mechanism and/or DFAT)</w:t>
      </w:r>
      <w:r w:rsidRPr="00C034B4">
        <w:rPr>
          <w:lang w:val="en-AU"/>
        </w:rPr>
        <w:t xml:space="preserve"> for any allocation of funds to the Convenor’s own activities.</w:t>
      </w:r>
    </w:p>
    <w:p w14:paraId="67FA8C78" w14:textId="77777777" w:rsidR="002A78F5" w:rsidRPr="00C42E4D" w:rsidRDefault="002A78F5" w:rsidP="00504B06">
      <w:pPr>
        <w:pStyle w:val="ListParagraph"/>
        <w:numPr>
          <w:ilvl w:val="0"/>
          <w:numId w:val="64"/>
        </w:numPr>
        <w:ind w:left="1080"/>
        <w:rPr>
          <w:lang w:val="en-AU"/>
        </w:rPr>
      </w:pPr>
      <w:r w:rsidRPr="006717E6">
        <w:rPr>
          <w:lang w:val="en-AU"/>
        </w:rPr>
        <w:t>Regular audit and disclosure of potential conflicts</w:t>
      </w:r>
      <w:r w:rsidRPr="00C034B4">
        <w:rPr>
          <w:lang w:val="en-AU"/>
        </w:rPr>
        <w:t xml:space="preserve"> and mitigation actions in reporting to DFAT and the PAB.</w:t>
      </w:r>
    </w:p>
    <w:p w14:paraId="11EBBBED" w14:textId="77777777" w:rsidR="002A78F5" w:rsidRPr="00C901D6" w:rsidRDefault="002A78F5" w:rsidP="00504B06">
      <w:pPr>
        <w:pStyle w:val="ListParagraph"/>
        <w:numPr>
          <w:ilvl w:val="1"/>
          <w:numId w:val="63"/>
        </w:numPr>
        <w:ind w:left="792" w:hanging="432"/>
        <w:rPr>
          <w:lang w:val="en-AU"/>
        </w:rPr>
      </w:pPr>
      <w:r w:rsidRPr="00C901D6">
        <w:rPr>
          <w:lang w:val="en-AU"/>
        </w:rPr>
        <w:t xml:space="preserve">The Convenor </w:t>
      </w:r>
      <w:r w:rsidRPr="003E0267">
        <w:rPr>
          <w:b/>
          <w:bCs/>
          <w:lang w:val="en-AU"/>
        </w:rPr>
        <w:t>will not:</w:t>
      </w:r>
    </w:p>
    <w:p w14:paraId="1B952EE5" w14:textId="77777777" w:rsidR="002A78F5" w:rsidRPr="00C901D6" w:rsidRDefault="002A78F5" w:rsidP="00504B06">
      <w:pPr>
        <w:pStyle w:val="ListParagraph"/>
        <w:numPr>
          <w:ilvl w:val="0"/>
          <w:numId w:val="64"/>
        </w:numPr>
        <w:ind w:left="1080"/>
        <w:rPr>
          <w:lang w:val="en-AU"/>
        </w:rPr>
      </w:pPr>
      <w:r w:rsidRPr="00C901D6">
        <w:rPr>
          <w:lang w:val="en-AU"/>
        </w:rPr>
        <w:t>Act as a gatekeeper between Core</w:t>
      </w:r>
      <w:r>
        <w:rPr>
          <w:lang w:val="en-AU"/>
        </w:rPr>
        <w:t xml:space="preserve"> Group</w:t>
      </w:r>
      <w:r w:rsidRPr="00C901D6">
        <w:rPr>
          <w:lang w:val="en-AU"/>
        </w:rPr>
        <w:t xml:space="preserve"> Partners and DFAT, nor block direct communication.</w:t>
      </w:r>
    </w:p>
    <w:p w14:paraId="4534B8B8" w14:textId="77777777" w:rsidR="002A78F5" w:rsidRPr="00990A4E" w:rsidRDefault="002A78F5" w:rsidP="00504B06">
      <w:pPr>
        <w:pStyle w:val="ListParagraph"/>
        <w:numPr>
          <w:ilvl w:val="0"/>
          <w:numId w:val="64"/>
        </w:numPr>
        <w:ind w:left="1080"/>
        <w:rPr>
          <w:lang w:val="en-AU"/>
        </w:rPr>
      </w:pPr>
      <w:r w:rsidRPr="00990A4E">
        <w:rPr>
          <w:lang w:val="en-AU"/>
        </w:rPr>
        <w:t>Interfere in Core Group Partner operations, sub-partner selection, or implementation approaches.</w:t>
      </w:r>
    </w:p>
    <w:p w14:paraId="129F4729" w14:textId="77777777" w:rsidR="002A78F5" w:rsidRPr="00C901D6" w:rsidRDefault="002A78F5" w:rsidP="00504B06">
      <w:pPr>
        <w:pStyle w:val="ListParagraph"/>
        <w:numPr>
          <w:ilvl w:val="0"/>
          <w:numId w:val="64"/>
        </w:numPr>
        <w:ind w:left="1080"/>
        <w:rPr>
          <w:lang w:val="en-AU"/>
        </w:rPr>
      </w:pPr>
      <w:r w:rsidRPr="00C901D6">
        <w:rPr>
          <w:lang w:val="en-AU"/>
        </w:rPr>
        <w:lastRenderedPageBreak/>
        <w:t>Engage in activity implementation in ways that create, or appear to create, preferential treatment or conflicts of interest.</w:t>
      </w:r>
    </w:p>
    <w:p w14:paraId="03799AFB" w14:textId="77777777" w:rsidR="002A78F5" w:rsidRDefault="002A78F5" w:rsidP="00504B06">
      <w:pPr>
        <w:pStyle w:val="ListParagraph"/>
        <w:numPr>
          <w:ilvl w:val="1"/>
          <w:numId w:val="63"/>
        </w:numPr>
        <w:ind w:left="792" w:hanging="432"/>
        <w:rPr>
          <w:lang w:val="en-AU"/>
        </w:rPr>
      </w:pPr>
      <w:r w:rsidRPr="00A72077">
        <w:rPr>
          <w:lang w:val="en-AU"/>
        </w:rPr>
        <w:t>Overall, these safeguards will ensure the Convenor is a facilitator and accountability mechanism—not a power broker—with credibility grounded in neutrality, transparency, and trust.</w:t>
      </w:r>
    </w:p>
    <w:p w14:paraId="5E05A1B5" w14:textId="77777777" w:rsidR="002A78F5" w:rsidRPr="003E0267" w:rsidRDefault="002A78F5" w:rsidP="00504B06">
      <w:pPr>
        <w:pStyle w:val="ListParagraph"/>
        <w:numPr>
          <w:ilvl w:val="0"/>
          <w:numId w:val="106"/>
        </w:numPr>
        <w:suppressAutoHyphens w:val="0"/>
        <w:spacing w:before="240" w:after="160" w:line="278" w:lineRule="auto"/>
        <w:contextualSpacing w:val="0"/>
        <w:rPr>
          <w:rFonts w:ascii="Calibri Light" w:hAnsi="Calibri Light" w:cs="Calibri Light"/>
          <w:b/>
          <w:bCs/>
        </w:rPr>
      </w:pPr>
      <w:r w:rsidRPr="003E0267">
        <w:rPr>
          <w:rFonts w:ascii="Calibri Light" w:hAnsi="Calibri Light" w:cs="Calibri Light"/>
          <w:b/>
          <w:bCs/>
        </w:rPr>
        <w:t>Reporting</w:t>
      </w:r>
    </w:p>
    <w:p w14:paraId="19198DD3" w14:textId="0828D487" w:rsidR="002A78F5" w:rsidRPr="00801998" w:rsidRDefault="002A78F5" w:rsidP="002A78F5">
      <w:pPr>
        <w:suppressAutoHyphens w:val="0"/>
        <w:spacing w:before="0"/>
        <w:rPr>
          <w:lang w:val="en-AU"/>
        </w:rPr>
      </w:pPr>
      <w:r w:rsidRPr="00801998">
        <w:rPr>
          <w:lang w:val="en-AU"/>
        </w:rPr>
        <w:t xml:space="preserve">The Convenor will be responsible for </w:t>
      </w:r>
      <w:r>
        <w:rPr>
          <w:lang w:val="en-AU"/>
        </w:rPr>
        <w:t>submitting</w:t>
      </w:r>
      <w:r w:rsidRPr="00801998">
        <w:rPr>
          <w:lang w:val="en-AU"/>
        </w:rPr>
        <w:t xml:space="preserve"> the following </w:t>
      </w:r>
      <w:r w:rsidR="00875ABD">
        <w:rPr>
          <w:lang w:val="en-AU"/>
        </w:rPr>
        <w:t>reports</w:t>
      </w:r>
      <w:r>
        <w:rPr>
          <w:lang w:val="en-AU"/>
        </w:rPr>
        <w:t xml:space="preserve"> in the agreed timeframes to DFAT</w:t>
      </w:r>
      <w:r w:rsidRPr="00801998">
        <w:rPr>
          <w:lang w:val="en-AU"/>
        </w:rPr>
        <w:t>:</w:t>
      </w:r>
    </w:p>
    <w:p w14:paraId="75939DAE" w14:textId="398D6D9D" w:rsidR="00441A68" w:rsidRDefault="00441A68" w:rsidP="00504B06">
      <w:pPr>
        <w:pStyle w:val="ListParagraph"/>
        <w:numPr>
          <w:ilvl w:val="0"/>
          <w:numId w:val="65"/>
        </w:numPr>
        <w:rPr>
          <w:lang w:val="en-AU"/>
        </w:rPr>
      </w:pPr>
      <w:r>
        <w:rPr>
          <w:lang w:val="en-AU"/>
        </w:rPr>
        <w:t xml:space="preserve">Inception report (including as attachments: CSP risk matrix, SOPs, safeguard </w:t>
      </w:r>
      <w:r w:rsidR="000B3B24">
        <w:rPr>
          <w:lang w:val="en-AU"/>
        </w:rPr>
        <w:t xml:space="preserve">and capacity building </w:t>
      </w:r>
      <w:r>
        <w:rPr>
          <w:lang w:val="en-AU"/>
        </w:rPr>
        <w:t xml:space="preserve">plan, CSP Steering Committee </w:t>
      </w:r>
      <w:proofErr w:type="spellStart"/>
      <w:r>
        <w:rPr>
          <w:lang w:val="en-AU"/>
        </w:rPr>
        <w:t>ToRs</w:t>
      </w:r>
      <w:proofErr w:type="spellEnd"/>
      <w:r>
        <w:rPr>
          <w:lang w:val="en-AU"/>
        </w:rPr>
        <w:t>);</w:t>
      </w:r>
    </w:p>
    <w:p w14:paraId="04628ECE" w14:textId="577F328A" w:rsidR="002A78F5" w:rsidRDefault="002A78F5" w:rsidP="00504B06">
      <w:pPr>
        <w:pStyle w:val="ListParagraph"/>
        <w:numPr>
          <w:ilvl w:val="0"/>
          <w:numId w:val="65"/>
        </w:numPr>
        <w:rPr>
          <w:lang w:val="en-AU"/>
        </w:rPr>
      </w:pPr>
      <w:r w:rsidRPr="00EE4FC0">
        <w:rPr>
          <w:lang w:val="en-AU"/>
        </w:rPr>
        <w:t xml:space="preserve">Civil Society Partnership Strategy, </w:t>
      </w:r>
      <w:r w:rsidR="00875ABD">
        <w:rPr>
          <w:lang w:val="en-AU"/>
        </w:rPr>
        <w:t xml:space="preserve">including relevant annexes </w:t>
      </w:r>
      <w:r w:rsidR="001A051B">
        <w:rPr>
          <w:lang w:val="en-AU"/>
        </w:rPr>
        <w:t>(</w:t>
      </w:r>
      <w:r w:rsidR="00B95FC0">
        <w:rPr>
          <w:lang w:val="en-AU"/>
        </w:rPr>
        <w:t xml:space="preserve">e.g. </w:t>
      </w:r>
      <w:r w:rsidR="00405535">
        <w:rPr>
          <w:lang w:val="en-AU"/>
        </w:rPr>
        <w:t>Cross-cutting issues</w:t>
      </w:r>
      <w:r w:rsidR="004C4F86">
        <w:rPr>
          <w:lang w:val="en-AU"/>
        </w:rPr>
        <w:t xml:space="preserve"> strate</w:t>
      </w:r>
      <w:r w:rsidR="00C377F9">
        <w:rPr>
          <w:lang w:val="en-AU"/>
        </w:rPr>
        <w:t>g</w:t>
      </w:r>
      <w:r w:rsidR="00B6484F">
        <w:rPr>
          <w:lang w:val="en-AU"/>
        </w:rPr>
        <w:t>y</w:t>
      </w:r>
      <w:r w:rsidR="006D2088">
        <w:rPr>
          <w:lang w:val="en-AU"/>
        </w:rPr>
        <w:t>, localisation and sustainability plan</w:t>
      </w:r>
      <w:r w:rsidR="00875ABD">
        <w:rPr>
          <w:lang w:val="en-AU"/>
        </w:rPr>
        <w:t>);</w:t>
      </w:r>
    </w:p>
    <w:p w14:paraId="50B73BA2" w14:textId="321CD3C2" w:rsidR="00181057" w:rsidRPr="00EE4FC0" w:rsidRDefault="00181057" w:rsidP="00504B06">
      <w:pPr>
        <w:pStyle w:val="ListParagraph"/>
        <w:numPr>
          <w:ilvl w:val="0"/>
          <w:numId w:val="65"/>
        </w:numPr>
        <w:rPr>
          <w:lang w:val="en-AU"/>
        </w:rPr>
      </w:pPr>
      <w:r>
        <w:rPr>
          <w:lang w:val="en-AU"/>
        </w:rPr>
        <w:t xml:space="preserve">Through the MEL Hub, the </w:t>
      </w:r>
      <w:proofErr w:type="spellStart"/>
      <w:r>
        <w:rPr>
          <w:lang w:val="en-AU"/>
        </w:rPr>
        <w:t>Partisipasi</w:t>
      </w:r>
      <w:proofErr w:type="spellEnd"/>
      <w:r>
        <w:rPr>
          <w:lang w:val="en-AU"/>
        </w:rPr>
        <w:t xml:space="preserve"> MEL Framework</w:t>
      </w:r>
      <w:r w:rsidR="00441A68">
        <w:rPr>
          <w:lang w:val="en-AU"/>
        </w:rPr>
        <w:t xml:space="preserve"> and agreed </w:t>
      </w:r>
      <w:proofErr w:type="spellStart"/>
      <w:r w:rsidR="00441A68">
        <w:rPr>
          <w:lang w:val="en-AU"/>
        </w:rPr>
        <w:t>Partisipasi</w:t>
      </w:r>
      <w:proofErr w:type="spellEnd"/>
      <w:r w:rsidR="00441A68">
        <w:rPr>
          <w:lang w:val="en-AU"/>
        </w:rPr>
        <w:t xml:space="preserve"> performance reports</w:t>
      </w:r>
      <w:r>
        <w:rPr>
          <w:lang w:val="en-AU"/>
        </w:rPr>
        <w:t>;</w:t>
      </w:r>
    </w:p>
    <w:p w14:paraId="16046B6E" w14:textId="518BCA10" w:rsidR="002A78F5" w:rsidRDefault="002A78F5" w:rsidP="00504B06">
      <w:pPr>
        <w:pStyle w:val="ListParagraph"/>
        <w:numPr>
          <w:ilvl w:val="0"/>
          <w:numId w:val="65"/>
        </w:numPr>
        <w:rPr>
          <w:lang w:val="en-AU"/>
        </w:rPr>
      </w:pPr>
      <w:r w:rsidRPr="00EE4FC0">
        <w:rPr>
          <w:lang w:val="en-AU"/>
        </w:rPr>
        <w:t>Four-Year CSP Workplan</w:t>
      </w:r>
      <w:r w:rsidR="00C377F9">
        <w:rPr>
          <w:lang w:val="en-AU"/>
        </w:rPr>
        <w:t xml:space="preserve"> (updated annually)</w:t>
      </w:r>
      <w:r w:rsidR="00990D2A">
        <w:rPr>
          <w:lang w:val="en-AU"/>
        </w:rPr>
        <w:t>;</w:t>
      </w:r>
    </w:p>
    <w:p w14:paraId="24BC4C08" w14:textId="5EDEDBE4" w:rsidR="00990D2A" w:rsidRDefault="00990D2A" w:rsidP="00504B06">
      <w:pPr>
        <w:pStyle w:val="ListParagraph"/>
        <w:numPr>
          <w:ilvl w:val="0"/>
          <w:numId w:val="65"/>
        </w:numPr>
        <w:rPr>
          <w:lang w:val="en-AU"/>
        </w:rPr>
      </w:pPr>
      <w:r>
        <w:rPr>
          <w:lang w:val="en-AU"/>
        </w:rPr>
        <w:t>Relevant audits and compliance reports;</w:t>
      </w:r>
    </w:p>
    <w:p w14:paraId="626A1709" w14:textId="01F701F1" w:rsidR="00990D2A" w:rsidRPr="00EE4FC0" w:rsidRDefault="00990D2A" w:rsidP="00504B06">
      <w:pPr>
        <w:pStyle w:val="ListParagraph"/>
        <w:numPr>
          <w:ilvl w:val="0"/>
          <w:numId w:val="65"/>
        </w:numPr>
        <w:rPr>
          <w:lang w:val="en-AU"/>
        </w:rPr>
      </w:pPr>
      <w:r>
        <w:rPr>
          <w:lang w:val="en-AU"/>
        </w:rPr>
        <w:t>Final report.</w:t>
      </w:r>
    </w:p>
    <w:p w14:paraId="2C2B64B9" w14:textId="77777777" w:rsidR="002A78F5" w:rsidRPr="003E0267" w:rsidRDefault="002A78F5" w:rsidP="00504B06">
      <w:pPr>
        <w:pStyle w:val="ListParagraph"/>
        <w:numPr>
          <w:ilvl w:val="0"/>
          <w:numId w:val="106"/>
        </w:numPr>
        <w:suppressAutoHyphens w:val="0"/>
        <w:spacing w:before="240" w:after="160" w:line="278" w:lineRule="auto"/>
        <w:contextualSpacing w:val="0"/>
        <w:rPr>
          <w:rFonts w:ascii="Calibri Light" w:hAnsi="Calibri Light" w:cs="Calibri Light"/>
          <w:b/>
          <w:bCs/>
        </w:rPr>
      </w:pPr>
      <w:r w:rsidRPr="003E0267">
        <w:rPr>
          <w:rFonts w:ascii="Calibri Light" w:hAnsi="Calibri Light" w:cs="Calibri Light"/>
          <w:b/>
          <w:bCs/>
        </w:rPr>
        <w:t xml:space="preserve">Proposed Reporting Line and Staffing </w:t>
      </w:r>
    </w:p>
    <w:p w14:paraId="17C3CCF9" w14:textId="77777777" w:rsidR="002A78F5" w:rsidRDefault="002A78F5" w:rsidP="002A78F5">
      <w:pPr>
        <w:suppressAutoHyphens w:val="0"/>
        <w:spacing w:before="0" w:after="160"/>
        <w:rPr>
          <w:lang w:val="en-AU"/>
        </w:rPr>
      </w:pPr>
      <w:r>
        <w:rPr>
          <w:lang w:val="en-AU"/>
        </w:rPr>
        <w:t>The Convenor will report d</w:t>
      </w:r>
      <w:r w:rsidRPr="00BE4FD1">
        <w:rPr>
          <w:lang w:val="en-AU"/>
        </w:rPr>
        <w:t xml:space="preserve">irectly to DFAT </w:t>
      </w:r>
      <w:r>
        <w:rPr>
          <w:lang w:val="en-AU"/>
        </w:rPr>
        <w:t>(</w:t>
      </w:r>
      <w:r w:rsidRPr="00BE4FD1">
        <w:rPr>
          <w:lang w:val="en-AU"/>
        </w:rPr>
        <w:t>Jakarta Post</w:t>
      </w:r>
      <w:r>
        <w:rPr>
          <w:lang w:val="en-AU"/>
        </w:rPr>
        <w:t xml:space="preserve">). </w:t>
      </w:r>
    </w:p>
    <w:p w14:paraId="4D9B3609" w14:textId="77777777" w:rsidR="002A78F5" w:rsidRPr="00801998" w:rsidRDefault="002A78F5" w:rsidP="002A78F5">
      <w:pPr>
        <w:suppressAutoHyphens w:val="0"/>
        <w:spacing w:before="0" w:after="160"/>
        <w:rPr>
          <w:lang w:val="en-AU"/>
        </w:rPr>
      </w:pPr>
      <w:r w:rsidRPr="00801998">
        <w:rPr>
          <w:lang w:val="en-AU"/>
        </w:rPr>
        <w:t xml:space="preserve">The Convenor will establish a small </w:t>
      </w:r>
      <w:r>
        <w:rPr>
          <w:lang w:val="en-AU"/>
        </w:rPr>
        <w:t>team</w:t>
      </w:r>
      <w:r w:rsidRPr="00801998">
        <w:rPr>
          <w:lang w:val="en-AU"/>
        </w:rPr>
        <w:t xml:space="preserve"> to deliver its mandate effectively</w:t>
      </w:r>
      <w:r>
        <w:rPr>
          <w:lang w:val="en-AU"/>
        </w:rPr>
        <w:t xml:space="preserve">, which will be separated from its staff managing implementation of specific </w:t>
      </w:r>
      <w:proofErr w:type="spellStart"/>
      <w:r>
        <w:rPr>
          <w:lang w:val="en-AU"/>
        </w:rPr>
        <w:t>Partisipasi</w:t>
      </w:r>
      <w:proofErr w:type="spellEnd"/>
      <w:r>
        <w:rPr>
          <w:lang w:val="en-AU"/>
        </w:rPr>
        <w:t xml:space="preserve"> activities. The indicative Convenor team</w:t>
      </w:r>
      <w:r w:rsidRPr="00801998">
        <w:rPr>
          <w:lang w:val="en-AU"/>
        </w:rPr>
        <w:t xml:space="preserve"> include</w:t>
      </w:r>
      <w:r>
        <w:rPr>
          <w:lang w:val="en-AU"/>
        </w:rPr>
        <w:t>s</w:t>
      </w:r>
      <w:r w:rsidRPr="00801998">
        <w:rPr>
          <w:lang w:val="en-AU"/>
        </w:rPr>
        <w:t>:</w:t>
      </w:r>
    </w:p>
    <w:p w14:paraId="5674DF58" w14:textId="77777777" w:rsidR="002A78F5" w:rsidRPr="00191432" w:rsidRDefault="002A78F5" w:rsidP="00504B06">
      <w:pPr>
        <w:pStyle w:val="ListParagraph"/>
        <w:numPr>
          <w:ilvl w:val="0"/>
          <w:numId w:val="66"/>
        </w:numPr>
        <w:suppressAutoHyphens w:val="0"/>
        <w:spacing w:before="0" w:after="120" w:line="240" w:lineRule="auto"/>
        <w:rPr>
          <w:lang w:val="en-AU"/>
        </w:rPr>
      </w:pPr>
      <w:r w:rsidRPr="084DF1A1">
        <w:rPr>
          <w:b/>
          <w:bCs/>
          <w:lang w:val="en-AU"/>
        </w:rPr>
        <w:t>Convenor Director</w:t>
      </w:r>
      <w:r w:rsidRPr="084DF1A1">
        <w:rPr>
          <w:lang w:val="en-AU"/>
        </w:rPr>
        <w:t xml:space="preserve">: Provides strategic leadership; serves as the interface with DFAT, </w:t>
      </w:r>
      <w:proofErr w:type="spellStart"/>
      <w:r w:rsidRPr="084DF1A1">
        <w:rPr>
          <w:lang w:val="en-AU"/>
        </w:rPr>
        <w:t>GoI</w:t>
      </w:r>
      <w:proofErr w:type="spellEnd"/>
      <w:r w:rsidRPr="084DF1A1">
        <w:rPr>
          <w:lang w:val="en-AU"/>
        </w:rPr>
        <w:t>, and the Program Advisory Board; oversees MEL hub, ensures pluralism and inclusive governance within the Steering Committee.</w:t>
      </w:r>
    </w:p>
    <w:p w14:paraId="5CA91845" w14:textId="77777777" w:rsidR="002A78F5" w:rsidRPr="00191432" w:rsidRDefault="002A78F5" w:rsidP="00504B06">
      <w:pPr>
        <w:pStyle w:val="ListParagraph"/>
        <w:numPr>
          <w:ilvl w:val="0"/>
          <w:numId w:val="66"/>
        </w:numPr>
        <w:suppressAutoHyphens w:val="0"/>
        <w:spacing w:before="0" w:after="120" w:line="240" w:lineRule="auto"/>
        <w:rPr>
          <w:lang w:val="en-AU"/>
        </w:rPr>
      </w:pPr>
      <w:r w:rsidRPr="0631FB14">
        <w:rPr>
          <w:b/>
          <w:bCs/>
          <w:lang w:val="en-AU"/>
        </w:rPr>
        <w:t>Grants Manager</w:t>
      </w:r>
      <w:r w:rsidRPr="0631FB14">
        <w:rPr>
          <w:lang w:val="en-AU"/>
        </w:rPr>
        <w:t>: Oversees civil society grant administration; ensures compliance with DFAT policies, risk and safeguarding standards; supports partner capacity</w:t>
      </w:r>
      <w:r>
        <w:rPr>
          <w:lang w:val="en-AU"/>
        </w:rPr>
        <w:t xml:space="preserve"> </w:t>
      </w:r>
      <w:r w:rsidRPr="0631FB14">
        <w:rPr>
          <w:lang w:val="en-AU"/>
        </w:rPr>
        <w:t>building in financial management.</w:t>
      </w:r>
    </w:p>
    <w:p w14:paraId="5E14FF15" w14:textId="77777777" w:rsidR="002A78F5" w:rsidRDefault="002A78F5" w:rsidP="00504B06">
      <w:pPr>
        <w:pStyle w:val="ListParagraph"/>
        <w:numPr>
          <w:ilvl w:val="0"/>
          <w:numId w:val="66"/>
        </w:numPr>
        <w:suppressAutoHyphens w:val="0"/>
        <w:spacing w:before="0" w:after="120" w:line="240" w:lineRule="auto"/>
        <w:rPr>
          <w:lang w:val="en-AU"/>
        </w:rPr>
      </w:pPr>
      <w:r w:rsidRPr="00191432">
        <w:rPr>
          <w:b/>
          <w:bCs/>
          <w:lang w:val="en-AU"/>
        </w:rPr>
        <w:t xml:space="preserve">Safeguarding </w:t>
      </w:r>
      <w:r>
        <w:rPr>
          <w:b/>
          <w:bCs/>
          <w:lang w:val="en-AU"/>
        </w:rPr>
        <w:t xml:space="preserve">Specialist </w:t>
      </w:r>
      <w:r w:rsidRPr="00191432">
        <w:rPr>
          <w:b/>
          <w:bCs/>
          <w:lang w:val="en-AU"/>
        </w:rPr>
        <w:t xml:space="preserve">(STA): </w:t>
      </w:r>
      <w:r w:rsidRPr="00191432">
        <w:rPr>
          <w:lang w:val="en-AU"/>
        </w:rPr>
        <w:t xml:space="preserve">provides advice, develops standards, and supports Core Group and Collaboration Partners to put in place systems, processes and practices that reflect DFAT standards. </w:t>
      </w:r>
    </w:p>
    <w:p w14:paraId="668AB7AC" w14:textId="77777777" w:rsidR="002A78F5" w:rsidRDefault="002A78F5" w:rsidP="00504B06">
      <w:pPr>
        <w:pStyle w:val="ListParagraph"/>
        <w:numPr>
          <w:ilvl w:val="0"/>
          <w:numId w:val="66"/>
        </w:numPr>
        <w:suppressAutoHyphens w:val="0"/>
        <w:spacing w:before="0" w:after="120" w:line="240" w:lineRule="auto"/>
        <w:rPr>
          <w:lang w:val="en-AU"/>
        </w:rPr>
      </w:pPr>
      <w:r w:rsidRPr="00191432">
        <w:rPr>
          <w:b/>
          <w:bCs/>
          <w:lang w:val="en-AU"/>
        </w:rPr>
        <w:t>Grants and Administrative Officers</w:t>
      </w:r>
      <w:r w:rsidRPr="00191432">
        <w:rPr>
          <w:lang w:val="en-AU"/>
        </w:rPr>
        <w:t xml:space="preserve">: Provides support to the grants manager and </w:t>
      </w:r>
      <w:r w:rsidRPr="00697E83">
        <w:rPr>
          <w:lang w:val="en-AU"/>
        </w:rPr>
        <w:t>Program Advisory Board</w:t>
      </w:r>
      <w:r w:rsidRPr="00801998">
        <w:rPr>
          <w:lang w:val="en-AU"/>
        </w:rPr>
        <w:t xml:space="preserve">, </w:t>
      </w:r>
      <w:r w:rsidRPr="00191432">
        <w:rPr>
          <w:lang w:val="en-AU"/>
        </w:rPr>
        <w:t xml:space="preserve">the </w:t>
      </w:r>
      <w:r>
        <w:rPr>
          <w:lang w:val="en-AU"/>
        </w:rPr>
        <w:t>Convenor</w:t>
      </w:r>
      <w:r w:rsidRPr="00191432">
        <w:rPr>
          <w:lang w:val="en-AU"/>
        </w:rPr>
        <w:t xml:space="preserve"> Director in administration, operations and logistics including travel, events, and reporting systems.</w:t>
      </w:r>
    </w:p>
    <w:p w14:paraId="72B522AA" w14:textId="77777777" w:rsidR="002A78F5" w:rsidRDefault="002A78F5" w:rsidP="00504B06">
      <w:pPr>
        <w:pStyle w:val="ListParagraph"/>
        <w:numPr>
          <w:ilvl w:val="0"/>
          <w:numId w:val="66"/>
        </w:numPr>
        <w:spacing w:before="0" w:after="120" w:line="240" w:lineRule="auto"/>
      </w:pPr>
      <w:r w:rsidRPr="084DF1A1">
        <w:rPr>
          <w:b/>
          <w:bCs/>
        </w:rPr>
        <w:t>MEL Hub</w:t>
      </w:r>
      <w:r>
        <w:rPr>
          <w:b/>
          <w:bCs/>
        </w:rPr>
        <w:t xml:space="preserve"> (subcontracted to Indonesian MEL provider)</w:t>
      </w:r>
      <w:r>
        <w:t>: Manages the Hub-and-Spoke MEL system, designs and operationalises the MEL Framework, consolidates data, produces program-level reports; builds MEL capacity of partners; and ensures evidence translates into policy insights.</w:t>
      </w:r>
    </w:p>
    <w:p w14:paraId="29FFC427" w14:textId="71420315" w:rsidR="002A78F5" w:rsidRPr="00BC3DB1" w:rsidRDefault="002A78F5" w:rsidP="00504B06">
      <w:pPr>
        <w:pStyle w:val="ListParagraph"/>
        <w:numPr>
          <w:ilvl w:val="0"/>
          <w:numId w:val="66"/>
        </w:numPr>
        <w:suppressAutoHyphens w:val="0"/>
        <w:spacing w:before="0" w:after="120" w:line="240" w:lineRule="auto"/>
        <w:rPr>
          <w:lang w:val="en-AU"/>
        </w:rPr>
      </w:pPr>
      <w:r>
        <w:rPr>
          <w:b/>
          <w:bCs/>
          <w:lang w:val="en-AU"/>
        </w:rPr>
        <w:t>MEL Advisor:</w:t>
      </w:r>
      <w:r>
        <w:rPr>
          <w:lang w:val="en-AU"/>
        </w:rPr>
        <w:t xml:space="preserve"> only if required to support the </w:t>
      </w:r>
      <w:r w:rsidR="00333B96">
        <w:rPr>
          <w:lang w:val="en-AU"/>
        </w:rPr>
        <w:t>MEL Hub and</w:t>
      </w:r>
      <w:r>
        <w:rPr>
          <w:lang w:val="en-AU"/>
        </w:rPr>
        <w:t xml:space="preserve"> could alternatively be recruited by the Technical Advisory </w:t>
      </w:r>
      <w:r w:rsidR="00FD6B64">
        <w:rPr>
          <w:lang w:val="en-AU"/>
        </w:rPr>
        <w:t>Panel</w:t>
      </w:r>
      <w:r>
        <w:rPr>
          <w:lang w:val="en-AU"/>
        </w:rPr>
        <w:t>. The need for this position will be reviewed in consultation with DFAT during the inception period.</w:t>
      </w:r>
    </w:p>
    <w:p w14:paraId="0E6CC3F0" w14:textId="0D5AF752" w:rsidR="00902F90" w:rsidRPr="008A6518" w:rsidRDefault="008A6518" w:rsidP="001F4E2D">
      <w:pPr>
        <w:pStyle w:val="Heading2"/>
        <w:spacing w:before="0"/>
        <w:rPr>
          <w:b/>
          <w:bCs/>
          <w:lang w:val="en-AU"/>
        </w:rPr>
      </w:pPr>
      <w:r>
        <w:rPr>
          <w:b/>
          <w:bCs/>
          <w:lang w:val="en-AU"/>
        </w:rPr>
        <w:br w:type="page"/>
      </w:r>
      <w:bookmarkStart w:id="308" w:name="_Annex_G:_Civil"/>
      <w:bookmarkStart w:id="309" w:name="_Annex_E:_Civil"/>
      <w:bookmarkStart w:id="310" w:name="AnnexE"/>
      <w:bookmarkStart w:id="311" w:name="_Toc232524300"/>
      <w:bookmarkEnd w:id="308"/>
      <w:bookmarkEnd w:id="309"/>
      <w:r w:rsidR="00902F90" w:rsidRPr="00E73DC4">
        <w:lastRenderedPageBreak/>
        <w:t xml:space="preserve">Annex </w:t>
      </w:r>
      <w:r w:rsidR="00316E7D">
        <w:t>E</w:t>
      </w:r>
      <w:bookmarkEnd w:id="310"/>
      <w:r w:rsidR="00902F90" w:rsidRPr="00E73DC4">
        <w:t xml:space="preserve">: </w:t>
      </w:r>
      <w:r w:rsidR="00902F90" w:rsidRPr="00640552">
        <w:t>Civil Society Partnership</w:t>
      </w:r>
      <w:r w:rsidR="00A2725D">
        <w:t xml:space="preserve"> </w:t>
      </w:r>
      <w:r w:rsidR="00902F90" w:rsidRPr="00640552">
        <w:t>Selection</w:t>
      </w:r>
      <w:r w:rsidR="00A2725D">
        <w:t xml:space="preserve"> process</w:t>
      </w:r>
      <w:bookmarkEnd w:id="311"/>
    </w:p>
    <w:p w14:paraId="0A686F7E" w14:textId="0620D1DE" w:rsidR="0007340D" w:rsidRDefault="0007340D" w:rsidP="0007340D">
      <w:pPr>
        <w:rPr>
          <w:lang w:val="en-AU"/>
        </w:rPr>
      </w:pPr>
      <w:bookmarkStart w:id="312" w:name="_Annex_H:_Rationale"/>
      <w:bookmarkEnd w:id="312"/>
      <w:r w:rsidRPr="004E7A39">
        <w:rPr>
          <w:lang w:val="en-AU"/>
        </w:rPr>
        <w:t xml:space="preserve">To </w:t>
      </w:r>
      <w:r>
        <w:rPr>
          <w:lang w:val="en-AU"/>
        </w:rPr>
        <w:t xml:space="preserve">select the Convenor and Core Group Partners, DFAT will manage a Request for Proposal (RFP) process in keeping with Commonwealth Grant Guidelines. This annex provides an overview of the selection process, </w:t>
      </w:r>
      <w:r w:rsidR="00D33DED">
        <w:rPr>
          <w:lang w:val="en-AU"/>
        </w:rPr>
        <w:t xml:space="preserve">draft </w:t>
      </w:r>
      <w:r>
        <w:rPr>
          <w:lang w:val="en-AU"/>
        </w:rPr>
        <w:t>selection criteria and proposed future grant agreements,</w:t>
      </w:r>
      <w:r w:rsidR="00914AAE">
        <w:rPr>
          <w:lang w:val="en-AU"/>
        </w:rPr>
        <w:t xml:space="preserve"> </w:t>
      </w:r>
      <w:r w:rsidR="00C03CDD">
        <w:rPr>
          <w:lang w:val="en-AU"/>
        </w:rPr>
        <w:t>with details to be</w:t>
      </w:r>
      <w:r w:rsidR="00914AAE">
        <w:rPr>
          <w:lang w:val="en-AU"/>
        </w:rPr>
        <w:t xml:space="preserve"> confirmed by DFAT during the pre-inception phase</w:t>
      </w:r>
      <w:r>
        <w:rPr>
          <w:lang w:val="en-AU"/>
        </w:rPr>
        <w:t xml:space="preserve">.  </w:t>
      </w:r>
    </w:p>
    <w:p w14:paraId="6389DC1C" w14:textId="77777777" w:rsidR="0007340D" w:rsidRPr="008A5A0A" w:rsidRDefault="0007340D" w:rsidP="0007340D">
      <w:pPr>
        <w:pStyle w:val="Heading5"/>
      </w:pPr>
      <w:r>
        <w:t>RFP Process</w:t>
      </w:r>
    </w:p>
    <w:p w14:paraId="3ACE05E0" w14:textId="66FC67E2" w:rsidR="0007340D" w:rsidRDefault="0007340D" w:rsidP="0007340D">
      <w:pPr>
        <w:rPr>
          <w:lang w:val="en-AU"/>
        </w:rPr>
      </w:pPr>
      <w:r>
        <w:rPr>
          <w:lang w:val="en-AU"/>
        </w:rPr>
        <w:t xml:space="preserve">DFAT will release the RFP to NGOs that have been identified with relevant experience and expertise. The RFP will ask organisations to demonstrate their capability against the selection criteria, and to deliver one or more of the </w:t>
      </w:r>
      <w:proofErr w:type="spellStart"/>
      <w:r>
        <w:rPr>
          <w:lang w:val="en-AU"/>
        </w:rPr>
        <w:t>Partisipasi</w:t>
      </w:r>
      <w:proofErr w:type="spellEnd"/>
      <w:r>
        <w:rPr>
          <w:lang w:val="en-AU"/>
        </w:rPr>
        <w:t xml:space="preserve"> ‘Focus Areas’. The NGOs may apply for:</w:t>
      </w:r>
    </w:p>
    <w:p w14:paraId="0CC424D7" w14:textId="73AEF0A2" w:rsidR="0007340D" w:rsidRPr="00F62E10" w:rsidRDefault="0007340D" w:rsidP="00504B06">
      <w:pPr>
        <w:pStyle w:val="ListParagraph"/>
        <w:numPr>
          <w:ilvl w:val="0"/>
          <w:numId w:val="69"/>
        </w:numPr>
        <w:spacing w:after="120" w:line="240" w:lineRule="auto"/>
        <w:rPr>
          <w:lang w:val="en-AU"/>
        </w:rPr>
      </w:pPr>
      <w:r w:rsidRPr="00F62E10">
        <w:rPr>
          <w:lang w:val="en-AU"/>
        </w:rPr>
        <w:t>Convenor</w:t>
      </w:r>
      <w:r w:rsidR="00C03CDD">
        <w:rPr>
          <w:lang w:val="en-AU"/>
        </w:rPr>
        <w:t xml:space="preserve"> role</w:t>
      </w:r>
      <w:r w:rsidRPr="00F62E10">
        <w:rPr>
          <w:lang w:val="en-AU"/>
        </w:rPr>
        <w:t>:</w:t>
      </w:r>
      <w:r w:rsidR="00C719D2" w:rsidRPr="00F62E10">
        <w:rPr>
          <w:lang w:val="en-AU"/>
        </w:rPr>
        <w:t xml:space="preserve"> </w:t>
      </w:r>
      <w:r w:rsidRPr="00F62E10">
        <w:rPr>
          <w:lang w:val="en-AU"/>
        </w:rPr>
        <w:t>OR</w:t>
      </w:r>
    </w:p>
    <w:p w14:paraId="5BC60400" w14:textId="4D08D5BC" w:rsidR="0007340D" w:rsidRPr="00F62E10" w:rsidRDefault="0007340D" w:rsidP="00504B06">
      <w:pPr>
        <w:pStyle w:val="ListParagraph"/>
        <w:numPr>
          <w:ilvl w:val="0"/>
          <w:numId w:val="69"/>
        </w:numPr>
        <w:spacing w:after="120" w:line="240" w:lineRule="auto"/>
        <w:rPr>
          <w:lang w:val="en-AU"/>
        </w:rPr>
      </w:pPr>
      <w:r w:rsidRPr="00F62E10">
        <w:rPr>
          <w:lang w:val="en-AU"/>
        </w:rPr>
        <w:t>Core Group Partner</w:t>
      </w:r>
      <w:r w:rsidR="00C03CDD">
        <w:rPr>
          <w:lang w:val="en-AU"/>
        </w:rPr>
        <w:t xml:space="preserve"> role</w:t>
      </w:r>
      <w:r w:rsidR="00E775AC" w:rsidRPr="00F62E10">
        <w:rPr>
          <w:lang w:val="en-AU"/>
        </w:rPr>
        <w:t>.</w:t>
      </w:r>
      <w:r w:rsidRPr="00F62E10">
        <w:rPr>
          <w:lang w:val="en-AU"/>
        </w:rPr>
        <w:t xml:space="preserve"> </w:t>
      </w:r>
    </w:p>
    <w:p w14:paraId="5694612B" w14:textId="4D2E4A7B" w:rsidR="0007340D" w:rsidRDefault="0007340D" w:rsidP="0007340D">
      <w:pPr>
        <w:tabs>
          <w:tab w:val="left" w:pos="2596"/>
        </w:tabs>
        <w:rPr>
          <w:lang w:val="en-AU"/>
        </w:rPr>
      </w:pPr>
      <w:r>
        <w:rPr>
          <w:lang w:val="en-AU"/>
        </w:rPr>
        <w:t xml:space="preserve">DFAT (Jakarta Post) will establish an Assessment Panel to review proposals, conduct due diligence in line with DFAT requirements, and recommend an outcome to the delegate. Once approved, DFAT will issue notices to all applicants and negotiate a contribution arrangement with the successful Convenor. The Convenor will undertake more detailed due diligence checks of the Core Group Partners with DFAT’s oversight. </w:t>
      </w:r>
    </w:p>
    <w:p w14:paraId="1560A16A" w14:textId="51C0E79A" w:rsidR="0007340D" w:rsidRDefault="00474B0A" w:rsidP="0007340D">
      <w:pPr>
        <w:pStyle w:val="Heading5"/>
      </w:pPr>
      <w:r>
        <w:t xml:space="preserve">Draft </w:t>
      </w:r>
      <w:r w:rsidR="0007340D">
        <w:t>Selection Criteria</w:t>
      </w:r>
    </w:p>
    <w:p w14:paraId="371D1D79" w14:textId="77777777" w:rsidR="0007340D" w:rsidRPr="00B041B5" w:rsidRDefault="0007340D" w:rsidP="0007340D">
      <w:pPr>
        <w:rPr>
          <w:lang w:val="en-AU"/>
        </w:rPr>
      </w:pPr>
      <w:r w:rsidRPr="004E7A39">
        <w:rPr>
          <w:lang w:val="en-AU"/>
        </w:rPr>
        <w:t xml:space="preserve">DFAT will apply </w:t>
      </w:r>
      <w:r>
        <w:rPr>
          <w:lang w:val="en-AU"/>
        </w:rPr>
        <w:t>selection</w:t>
      </w:r>
      <w:r w:rsidRPr="004E7A39">
        <w:rPr>
          <w:lang w:val="en-AU"/>
        </w:rPr>
        <w:t xml:space="preserve"> criteria</w:t>
      </w:r>
      <w:r>
        <w:rPr>
          <w:lang w:val="en-AU"/>
        </w:rPr>
        <w:t xml:space="preserve"> to assess proposals, which </w:t>
      </w:r>
      <w:r w:rsidRPr="004E7A39">
        <w:rPr>
          <w:lang w:val="en-AU"/>
        </w:rPr>
        <w:t xml:space="preserve">reflect </w:t>
      </w:r>
      <w:r w:rsidRPr="00B041B5">
        <w:rPr>
          <w:lang w:val="en-AU"/>
        </w:rPr>
        <w:t>the program’s goals, risk management needs and delivery model</w:t>
      </w:r>
      <w:r>
        <w:rPr>
          <w:lang w:val="en-AU"/>
        </w:rPr>
        <w:t xml:space="preserve"> (see tables below)</w:t>
      </w:r>
      <w:r w:rsidRPr="00B041B5">
        <w:rPr>
          <w:lang w:val="en-AU"/>
        </w:rPr>
        <w:t xml:space="preserve">. </w:t>
      </w:r>
    </w:p>
    <w:p w14:paraId="73008D1C" w14:textId="6CC5D062" w:rsidR="0007340D" w:rsidRDefault="0007340D" w:rsidP="0007340D">
      <w:pPr>
        <w:pStyle w:val="Caption"/>
        <w:keepNext/>
      </w:pPr>
      <w:r>
        <w:t>Table</w:t>
      </w:r>
      <w:r w:rsidR="008D4216">
        <w:t xml:space="preserve"> </w:t>
      </w:r>
      <w:r w:rsidR="00C16EDA">
        <w:t>4</w:t>
      </w:r>
      <w:r>
        <w:t xml:space="preserve">: </w:t>
      </w:r>
      <w:r w:rsidRPr="005E1D13">
        <w:t>Convenor Selection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5"/>
        <w:gridCol w:w="2800"/>
        <w:gridCol w:w="4017"/>
      </w:tblGrid>
      <w:tr w:rsidR="00E253B7" w:rsidRPr="00B510D7" w14:paraId="26B578F7" w14:textId="77777777" w:rsidTr="002246C6">
        <w:trPr>
          <w:tblHeader/>
          <w:tblCellSpacing w:w="15" w:type="dxa"/>
        </w:trPr>
        <w:tc>
          <w:tcPr>
            <w:tcW w:w="2760" w:type="dxa"/>
            <w:tcBorders>
              <w:top w:val="single" w:sz="6" w:space="0" w:color="E6E6E6"/>
              <w:left w:val="single" w:sz="6" w:space="0" w:color="E6E6E6"/>
              <w:bottom w:val="single" w:sz="6" w:space="0" w:color="E6E6E6"/>
              <w:right w:val="single" w:sz="6" w:space="0" w:color="E6E6E6"/>
            </w:tcBorders>
            <w:shd w:val="clear" w:color="auto" w:fill="C1E7E0" w:themeFill="accent1" w:themeFillTint="66"/>
            <w:tcMar>
              <w:top w:w="120" w:type="dxa"/>
              <w:left w:w="180" w:type="dxa"/>
              <w:bottom w:w="105" w:type="dxa"/>
              <w:right w:w="120" w:type="dxa"/>
            </w:tcMar>
            <w:hideMark/>
          </w:tcPr>
          <w:p w14:paraId="7732696C" w14:textId="77777777" w:rsidR="0007340D" w:rsidRPr="00C9661C" w:rsidRDefault="0007340D">
            <w:pPr>
              <w:spacing w:before="0" w:after="0"/>
              <w:rPr>
                <w:rFonts w:ascii="Times New Roman" w:hAnsi="Times New Roman" w:cs="Times New Roman"/>
                <w:b/>
                <w:bCs/>
                <w:color w:val="auto"/>
                <w:sz w:val="20"/>
                <w:szCs w:val="20"/>
              </w:rPr>
            </w:pPr>
            <w:r w:rsidRPr="00C9661C">
              <w:rPr>
                <w:rStyle w:val="Strong"/>
                <w:sz w:val="20"/>
                <w:szCs w:val="20"/>
              </w:rPr>
              <w:t>Criteria</w:t>
            </w:r>
          </w:p>
        </w:tc>
        <w:tc>
          <w:tcPr>
            <w:tcW w:w="2770" w:type="dxa"/>
            <w:tcBorders>
              <w:top w:val="single" w:sz="6" w:space="0" w:color="E6E6E6"/>
              <w:bottom w:val="single" w:sz="6" w:space="0" w:color="E6E6E6"/>
              <w:right w:val="single" w:sz="6" w:space="0" w:color="E6E6E6"/>
            </w:tcBorders>
            <w:shd w:val="clear" w:color="auto" w:fill="C1E7E0" w:themeFill="accent1" w:themeFillTint="66"/>
            <w:tcMar>
              <w:top w:w="120" w:type="dxa"/>
              <w:left w:w="180" w:type="dxa"/>
              <w:bottom w:w="105" w:type="dxa"/>
              <w:right w:w="120" w:type="dxa"/>
            </w:tcMar>
            <w:hideMark/>
          </w:tcPr>
          <w:p w14:paraId="640356FB" w14:textId="77777777" w:rsidR="0007340D" w:rsidRPr="00C9661C" w:rsidRDefault="0007340D">
            <w:pPr>
              <w:spacing w:before="0" w:after="0"/>
              <w:rPr>
                <w:b/>
                <w:bCs/>
                <w:sz w:val="20"/>
                <w:szCs w:val="20"/>
              </w:rPr>
            </w:pPr>
            <w:r w:rsidRPr="00C9661C">
              <w:rPr>
                <w:rStyle w:val="Strong"/>
                <w:sz w:val="20"/>
                <w:szCs w:val="20"/>
              </w:rPr>
              <w:t>Description</w:t>
            </w:r>
          </w:p>
        </w:tc>
        <w:tc>
          <w:tcPr>
            <w:tcW w:w="3972" w:type="dxa"/>
            <w:tcBorders>
              <w:top w:val="single" w:sz="6" w:space="0" w:color="E6E6E6"/>
              <w:bottom w:val="single" w:sz="6" w:space="0" w:color="E6E6E6"/>
              <w:right w:val="single" w:sz="6" w:space="0" w:color="E6E6E6"/>
            </w:tcBorders>
            <w:shd w:val="clear" w:color="auto" w:fill="C1E7E0" w:themeFill="accent1" w:themeFillTint="66"/>
            <w:tcMar>
              <w:top w:w="120" w:type="dxa"/>
              <w:left w:w="180" w:type="dxa"/>
              <w:bottom w:w="105" w:type="dxa"/>
              <w:right w:w="120" w:type="dxa"/>
            </w:tcMar>
            <w:hideMark/>
          </w:tcPr>
          <w:p w14:paraId="6F2CDA09" w14:textId="77777777" w:rsidR="0007340D" w:rsidRPr="00C9661C" w:rsidRDefault="0007340D">
            <w:pPr>
              <w:spacing w:before="0" w:after="0"/>
              <w:rPr>
                <w:b/>
                <w:bCs/>
                <w:sz w:val="20"/>
                <w:szCs w:val="20"/>
              </w:rPr>
            </w:pPr>
            <w:r w:rsidRPr="00C9661C">
              <w:rPr>
                <w:rStyle w:val="Strong"/>
                <w:sz w:val="20"/>
                <w:szCs w:val="20"/>
              </w:rPr>
              <w:t>Assessment Indicators</w:t>
            </w:r>
          </w:p>
        </w:tc>
      </w:tr>
      <w:tr w:rsidR="00E253B7" w:rsidRPr="00B510D7" w14:paraId="1654DB76" w14:textId="77777777" w:rsidTr="002246C6">
        <w:trPr>
          <w:tblCellSpacing w:w="15" w:type="dxa"/>
        </w:trPr>
        <w:tc>
          <w:tcPr>
            <w:tcW w:w="2760"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1AEE7293" w14:textId="609FDDF9" w:rsidR="0007340D" w:rsidRPr="00C9661C" w:rsidRDefault="004A3A4D" w:rsidP="00504B06">
            <w:pPr>
              <w:pStyle w:val="ListParagraph"/>
              <w:numPr>
                <w:ilvl w:val="0"/>
                <w:numId w:val="62"/>
              </w:numPr>
              <w:spacing w:before="0" w:after="0" w:line="240" w:lineRule="auto"/>
              <w:ind w:left="332"/>
              <w:rPr>
                <w:rStyle w:val="Strong"/>
                <w:sz w:val="20"/>
                <w:szCs w:val="20"/>
              </w:rPr>
            </w:pPr>
            <w:r>
              <w:rPr>
                <w:rStyle w:val="Strong"/>
                <w:sz w:val="20"/>
                <w:szCs w:val="20"/>
              </w:rPr>
              <w:t xml:space="preserve">Organisational </w:t>
            </w:r>
            <w:r w:rsidR="00F34BA2">
              <w:rPr>
                <w:rStyle w:val="Strong"/>
                <w:sz w:val="20"/>
                <w:szCs w:val="20"/>
              </w:rPr>
              <w:t>Effectiveness</w:t>
            </w:r>
            <w:r w:rsidR="003540F2">
              <w:rPr>
                <w:rStyle w:val="Strong"/>
                <w:sz w:val="20"/>
                <w:szCs w:val="20"/>
              </w:rPr>
              <w:t xml:space="preserve"> in this Sector</w:t>
            </w:r>
            <w:r w:rsidRPr="002246C6">
              <w:rPr>
                <w:rStyle w:val="Strong"/>
                <w:b w:val="0"/>
                <w:bCs w:val="0"/>
                <w:sz w:val="20"/>
                <w:szCs w:val="20"/>
              </w:rPr>
              <w:t xml:space="preserve"> </w:t>
            </w:r>
            <w:r w:rsidR="00924B81" w:rsidRPr="002246C6">
              <w:rPr>
                <w:rStyle w:val="Strong"/>
                <w:sz w:val="20"/>
                <w:szCs w:val="20"/>
              </w:rPr>
              <w:t>and Context</w:t>
            </w:r>
            <w:r w:rsidR="00924B81">
              <w:rPr>
                <w:rStyle w:val="Strong"/>
                <w:b w:val="0"/>
                <w:bCs w:val="0"/>
                <w:sz w:val="20"/>
                <w:szCs w:val="20"/>
              </w:rPr>
              <w:t xml:space="preserve"> </w:t>
            </w:r>
          </w:p>
        </w:tc>
        <w:tc>
          <w:tcPr>
            <w:tcW w:w="2770" w:type="dxa"/>
            <w:tcBorders>
              <w:bottom w:val="single" w:sz="6" w:space="0" w:color="E6E6E6"/>
              <w:right w:val="single" w:sz="6" w:space="0" w:color="E6E6E6"/>
            </w:tcBorders>
            <w:tcMar>
              <w:top w:w="120" w:type="dxa"/>
              <w:left w:w="180" w:type="dxa"/>
              <w:bottom w:w="105" w:type="dxa"/>
              <w:right w:w="120" w:type="dxa"/>
            </w:tcMar>
            <w:hideMark/>
          </w:tcPr>
          <w:p w14:paraId="6C06A490" w14:textId="7C482B5B" w:rsidR="00F745A5" w:rsidRPr="00F745A5" w:rsidRDefault="00F745A5">
            <w:pPr>
              <w:spacing w:before="0" w:after="0"/>
              <w:rPr>
                <w:sz w:val="20"/>
                <w:szCs w:val="20"/>
              </w:rPr>
            </w:pPr>
            <w:r w:rsidRPr="002246C6">
              <w:rPr>
                <w:sz w:val="20"/>
                <w:szCs w:val="20"/>
              </w:rPr>
              <w:t xml:space="preserve">Past performance/track record </w:t>
            </w:r>
            <w:r>
              <w:rPr>
                <w:sz w:val="20"/>
                <w:szCs w:val="20"/>
              </w:rPr>
              <w:t>supporting</w:t>
            </w:r>
            <w:r w:rsidRPr="002246C6">
              <w:rPr>
                <w:sz w:val="20"/>
                <w:szCs w:val="20"/>
              </w:rPr>
              <w:t xml:space="preserve"> democratic resilience</w:t>
            </w:r>
            <w:r>
              <w:rPr>
                <w:sz w:val="20"/>
                <w:szCs w:val="20"/>
              </w:rPr>
              <w:t xml:space="preserve"> and </w:t>
            </w:r>
            <w:r w:rsidRPr="002246C6">
              <w:rPr>
                <w:sz w:val="20"/>
                <w:szCs w:val="20"/>
              </w:rPr>
              <w:t xml:space="preserve">participation, including experience operating in a similar context as </w:t>
            </w:r>
            <w:proofErr w:type="spellStart"/>
            <w:r w:rsidRPr="002246C6">
              <w:rPr>
                <w:sz w:val="20"/>
                <w:szCs w:val="20"/>
              </w:rPr>
              <w:t>Partisipasi</w:t>
            </w:r>
            <w:proofErr w:type="spellEnd"/>
            <w:r w:rsidRPr="002246C6">
              <w:rPr>
                <w:sz w:val="20"/>
                <w:szCs w:val="20"/>
              </w:rPr>
              <w:t>.</w:t>
            </w:r>
          </w:p>
          <w:p w14:paraId="2D64B6ED" w14:textId="77777777" w:rsidR="00F745A5" w:rsidRDefault="00F745A5">
            <w:pPr>
              <w:spacing w:before="0" w:after="0"/>
              <w:rPr>
                <w:sz w:val="20"/>
                <w:szCs w:val="20"/>
              </w:rPr>
            </w:pPr>
          </w:p>
          <w:p w14:paraId="1E797FDF" w14:textId="77777777" w:rsidR="005350D5" w:rsidRDefault="005350D5">
            <w:pPr>
              <w:spacing w:before="0" w:after="0"/>
              <w:rPr>
                <w:sz w:val="20"/>
                <w:szCs w:val="20"/>
              </w:rPr>
            </w:pPr>
          </w:p>
          <w:p w14:paraId="5EC91AE1" w14:textId="46B538E9" w:rsidR="0007340D" w:rsidRPr="00C9661C" w:rsidRDefault="0007340D">
            <w:pPr>
              <w:spacing w:before="0" w:after="0"/>
              <w:rPr>
                <w:sz w:val="20"/>
                <w:szCs w:val="20"/>
              </w:rPr>
            </w:pPr>
          </w:p>
        </w:tc>
        <w:tc>
          <w:tcPr>
            <w:tcW w:w="3972" w:type="dxa"/>
            <w:tcBorders>
              <w:bottom w:val="single" w:sz="6" w:space="0" w:color="E6E6E6"/>
              <w:right w:val="single" w:sz="6" w:space="0" w:color="E6E6E6"/>
            </w:tcBorders>
            <w:tcMar>
              <w:top w:w="120" w:type="dxa"/>
              <w:left w:w="180" w:type="dxa"/>
              <w:bottom w:w="105" w:type="dxa"/>
              <w:right w:w="120" w:type="dxa"/>
            </w:tcMar>
            <w:hideMark/>
          </w:tcPr>
          <w:p w14:paraId="230183AE" w14:textId="5E80F562" w:rsidR="00692953" w:rsidRDefault="00692953" w:rsidP="00504B06">
            <w:pPr>
              <w:pStyle w:val="ListParagraph"/>
              <w:numPr>
                <w:ilvl w:val="0"/>
                <w:numId w:val="61"/>
              </w:numPr>
              <w:spacing w:before="0" w:after="0" w:line="240" w:lineRule="auto"/>
              <w:ind w:left="115" w:hanging="239"/>
              <w:rPr>
                <w:sz w:val="20"/>
                <w:szCs w:val="20"/>
              </w:rPr>
            </w:pPr>
            <w:r>
              <w:rPr>
                <w:sz w:val="20"/>
                <w:szCs w:val="20"/>
              </w:rPr>
              <w:t xml:space="preserve">Proven experience in implementing </w:t>
            </w:r>
            <w:r w:rsidR="008D0DC0">
              <w:rPr>
                <w:sz w:val="20"/>
                <w:szCs w:val="20"/>
              </w:rPr>
              <w:t>programs</w:t>
            </w:r>
            <w:r>
              <w:rPr>
                <w:sz w:val="20"/>
                <w:szCs w:val="20"/>
              </w:rPr>
              <w:t xml:space="preserve"> in areas that align with </w:t>
            </w:r>
            <w:proofErr w:type="spellStart"/>
            <w:r>
              <w:rPr>
                <w:sz w:val="20"/>
                <w:szCs w:val="20"/>
              </w:rPr>
              <w:t>Partisipasi’s</w:t>
            </w:r>
            <w:proofErr w:type="spellEnd"/>
            <w:r>
              <w:rPr>
                <w:sz w:val="20"/>
                <w:szCs w:val="20"/>
              </w:rPr>
              <w:t xml:space="preserve"> </w:t>
            </w:r>
            <w:r w:rsidR="00824224">
              <w:rPr>
                <w:sz w:val="20"/>
                <w:szCs w:val="20"/>
              </w:rPr>
              <w:t>EOPOs and</w:t>
            </w:r>
            <w:r>
              <w:rPr>
                <w:sz w:val="20"/>
                <w:szCs w:val="20"/>
              </w:rPr>
              <w:t xml:space="preserve"> ‘focus areas’</w:t>
            </w:r>
          </w:p>
          <w:p w14:paraId="2339A429" w14:textId="755B6B65" w:rsidR="001A7F9B" w:rsidRDefault="001A7F9B" w:rsidP="00504B06">
            <w:pPr>
              <w:pStyle w:val="ListParagraph"/>
              <w:numPr>
                <w:ilvl w:val="0"/>
                <w:numId w:val="61"/>
              </w:numPr>
              <w:spacing w:before="0" w:after="0" w:line="240" w:lineRule="auto"/>
              <w:ind w:left="115" w:hanging="239"/>
              <w:rPr>
                <w:sz w:val="20"/>
                <w:szCs w:val="20"/>
              </w:rPr>
            </w:pPr>
            <w:r>
              <w:rPr>
                <w:sz w:val="20"/>
                <w:szCs w:val="20"/>
              </w:rPr>
              <w:t>Track-record in ensuring activity effectiveness and value for money</w:t>
            </w:r>
          </w:p>
          <w:p w14:paraId="3E3F1D53" w14:textId="0399B31C" w:rsidR="0007340D" w:rsidRPr="009F4060" w:rsidRDefault="00FA555D" w:rsidP="00504B06">
            <w:pPr>
              <w:pStyle w:val="ListParagraph"/>
              <w:numPr>
                <w:ilvl w:val="0"/>
                <w:numId w:val="61"/>
              </w:numPr>
              <w:spacing w:before="0" w:after="0" w:line="240" w:lineRule="auto"/>
              <w:ind w:left="115" w:hanging="239"/>
              <w:rPr>
                <w:sz w:val="20"/>
                <w:szCs w:val="20"/>
              </w:rPr>
            </w:pPr>
            <w:r>
              <w:rPr>
                <w:sz w:val="20"/>
                <w:szCs w:val="20"/>
              </w:rPr>
              <w:t xml:space="preserve">Proven experience </w:t>
            </w:r>
            <w:r w:rsidR="00EE4AE6">
              <w:rPr>
                <w:sz w:val="20"/>
                <w:szCs w:val="20"/>
              </w:rPr>
              <w:t>in</w:t>
            </w:r>
            <w:r>
              <w:rPr>
                <w:sz w:val="20"/>
                <w:szCs w:val="20"/>
              </w:rPr>
              <w:t xml:space="preserve"> successfully</w:t>
            </w:r>
            <w:r w:rsidRPr="00C9661C">
              <w:rPr>
                <w:sz w:val="20"/>
                <w:szCs w:val="20"/>
              </w:rPr>
              <w:t xml:space="preserve"> navigating </w:t>
            </w:r>
            <w:r w:rsidR="00B403F6">
              <w:rPr>
                <w:sz w:val="20"/>
                <w:szCs w:val="20"/>
              </w:rPr>
              <w:t>sensitivities of this work</w:t>
            </w:r>
            <w:r>
              <w:rPr>
                <w:sz w:val="20"/>
                <w:szCs w:val="20"/>
              </w:rPr>
              <w:t xml:space="preserve"> </w:t>
            </w:r>
            <w:r w:rsidRPr="00C9661C">
              <w:rPr>
                <w:sz w:val="20"/>
                <w:szCs w:val="20"/>
              </w:rPr>
              <w:t>in Indonesia</w:t>
            </w:r>
            <w:r w:rsidR="009F4060">
              <w:rPr>
                <w:sz w:val="20"/>
                <w:szCs w:val="20"/>
              </w:rPr>
              <w:t>, including s</w:t>
            </w:r>
            <w:r w:rsidRPr="009F4060">
              <w:rPr>
                <w:sz w:val="20"/>
                <w:szCs w:val="20"/>
              </w:rPr>
              <w:t>ound relationships with</w:t>
            </w:r>
            <w:r w:rsidR="00B73423" w:rsidRPr="009F4060">
              <w:rPr>
                <w:sz w:val="20"/>
                <w:szCs w:val="20"/>
              </w:rPr>
              <w:t xml:space="preserve"> key</w:t>
            </w:r>
            <w:r w:rsidRPr="009F4060">
              <w:rPr>
                <w:sz w:val="20"/>
                <w:szCs w:val="20"/>
              </w:rPr>
              <w:t xml:space="preserve"> </w:t>
            </w:r>
            <w:r w:rsidR="00B73423" w:rsidRPr="009F4060">
              <w:rPr>
                <w:sz w:val="20"/>
                <w:szCs w:val="20"/>
              </w:rPr>
              <w:t>Indonesian state actors</w:t>
            </w:r>
          </w:p>
        </w:tc>
      </w:tr>
      <w:tr w:rsidR="00E253B7" w:rsidRPr="00B510D7" w14:paraId="2AED328E" w14:textId="77777777" w:rsidTr="002246C6">
        <w:trPr>
          <w:tblCellSpacing w:w="15" w:type="dxa"/>
        </w:trPr>
        <w:tc>
          <w:tcPr>
            <w:tcW w:w="2760"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5073FD55" w14:textId="77777777" w:rsidR="0007340D" w:rsidRPr="00C9661C" w:rsidRDefault="0007340D" w:rsidP="00504B06">
            <w:pPr>
              <w:pStyle w:val="ListParagraph"/>
              <w:numPr>
                <w:ilvl w:val="0"/>
                <w:numId w:val="62"/>
              </w:numPr>
              <w:spacing w:before="0" w:after="0" w:line="240" w:lineRule="auto"/>
              <w:ind w:left="332"/>
              <w:rPr>
                <w:rStyle w:val="Strong"/>
                <w:sz w:val="20"/>
                <w:szCs w:val="20"/>
              </w:rPr>
            </w:pPr>
            <w:r w:rsidRPr="00C9661C">
              <w:rPr>
                <w:rStyle w:val="Strong"/>
                <w:sz w:val="20"/>
                <w:szCs w:val="20"/>
              </w:rPr>
              <w:t>Convening</w:t>
            </w:r>
            <w:r>
              <w:rPr>
                <w:rStyle w:val="Strong"/>
                <w:sz w:val="20"/>
                <w:szCs w:val="20"/>
              </w:rPr>
              <w:t xml:space="preserve"> and Coordination</w:t>
            </w:r>
            <w:r w:rsidRPr="00C9661C">
              <w:rPr>
                <w:rStyle w:val="Strong"/>
                <w:sz w:val="20"/>
                <w:szCs w:val="20"/>
              </w:rPr>
              <w:t xml:space="preserve"> Capacity</w:t>
            </w:r>
          </w:p>
        </w:tc>
        <w:tc>
          <w:tcPr>
            <w:tcW w:w="2770" w:type="dxa"/>
            <w:tcBorders>
              <w:bottom w:val="single" w:sz="6" w:space="0" w:color="E6E6E6"/>
              <w:right w:val="single" w:sz="6" w:space="0" w:color="E6E6E6"/>
            </w:tcBorders>
            <w:tcMar>
              <w:top w:w="120" w:type="dxa"/>
              <w:left w:w="180" w:type="dxa"/>
              <w:bottom w:w="105" w:type="dxa"/>
              <w:right w:w="120" w:type="dxa"/>
            </w:tcMar>
            <w:hideMark/>
          </w:tcPr>
          <w:p w14:paraId="4EB53179" w14:textId="4C61FAE1" w:rsidR="0007340D" w:rsidRPr="00C9661C" w:rsidRDefault="0007340D" w:rsidP="00174DAD">
            <w:pPr>
              <w:spacing w:before="0" w:after="0"/>
              <w:rPr>
                <w:sz w:val="20"/>
                <w:szCs w:val="20"/>
              </w:rPr>
            </w:pPr>
            <w:r w:rsidRPr="00C9661C">
              <w:rPr>
                <w:sz w:val="20"/>
                <w:szCs w:val="20"/>
              </w:rPr>
              <w:t xml:space="preserve">Ability to facilitate and coordinate diverse </w:t>
            </w:r>
            <w:r w:rsidR="00971EDE">
              <w:rPr>
                <w:sz w:val="20"/>
                <w:szCs w:val="20"/>
              </w:rPr>
              <w:t>partners and work c</w:t>
            </w:r>
            <w:r>
              <w:rPr>
                <w:sz w:val="20"/>
                <w:szCs w:val="20"/>
              </w:rPr>
              <w:t xml:space="preserve">ollaboratively to achieve </w:t>
            </w:r>
            <w:r w:rsidR="008E0BA0">
              <w:rPr>
                <w:sz w:val="20"/>
                <w:szCs w:val="20"/>
              </w:rPr>
              <w:t>joint</w:t>
            </w:r>
            <w:r>
              <w:rPr>
                <w:sz w:val="20"/>
                <w:szCs w:val="20"/>
              </w:rPr>
              <w:t xml:space="preserve"> goals.</w:t>
            </w:r>
          </w:p>
        </w:tc>
        <w:tc>
          <w:tcPr>
            <w:tcW w:w="3972" w:type="dxa"/>
            <w:tcBorders>
              <w:bottom w:val="single" w:sz="6" w:space="0" w:color="E6E6E6"/>
              <w:right w:val="single" w:sz="6" w:space="0" w:color="E6E6E6"/>
            </w:tcBorders>
            <w:tcMar>
              <w:top w:w="120" w:type="dxa"/>
              <w:left w:w="180" w:type="dxa"/>
              <w:bottom w:w="105" w:type="dxa"/>
              <w:right w:w="120" w:type="dxa"/>
            </w:tcMar>
            <w:hideMark/>
          </w:tcPr>
          <w:p w14:paraId="1C0A8FF5" w14:textId="77777777" w:rsidR="00D92C57" w:rsidRDefault="00D92C57" w:rsidP="00504B06">
            <w:pPr>
              <w:pStyle w:val="ListParagraph"/>
              <w:numPr>
                <w:ilvl w:val="0"/>
                <w:numId w:val="61"/>
              </w:numPr>
              <w:spacing w:before="0" w:after="0" w:line="240" w:lineRule="auto"/>
              <w:ind w:left="115" w:hanging="239"/>
              <w:rPr>
                <w:sz w:val="20"/>
                <w:szCs w:val="20"/>
              </w:rPr>
            </w:pPr>
            <w:r>
              <w:rPr>
                <w:sz w:val="20"/>
                <w:szCs w:val="20"/>
              </w:rPr>
              <w:t>Strong networks with relevant non-state actors</w:t>
            </w:r>
          </w:p>
          <w:p w14:paraId="1837D2C4" w14:textId="23153315" w:rsidR="0007340D" w:rsidRDefault="0007340D" w:rsidP="00504B06">
            <w:pPr>
              <w:pStyle w:val="ListParagraph"/>
              <w:numPr>
                <w:ilvl w:val="0"/>
                <w:numId w:val="61"/>
              </w:numPr>
              <w:spacing w:before="0" w:after="0" w:line="240" w:lineRule="auto"/>
              <w:ind w:left="115" w:hanging="239"/>
              <w:rPr>
                <w:sz w:val="20"/>
                <w:szCs w:val="20"/>
              </w:rPr>
            </w:pPr>
            <w:r w:rsidRPr="00C9661C">
              <w:rPr>
                <w:sz w:val="20"/>
                <w:szCs w:val="20"/>
              </w:rPr>
              <w:t>Experience</w:t>
            </w:r>
            <w:r>
              <w:rPr>
                <w:sz w:val="20"/>
                <w:szCs w:val="20"/>
              </w:rPr>
              <w:t xml:space="preserve"> in</w:t>
            </w:r>
            <w:r w:rsidRPr="00C9661C">
              <w:rPr>
                <w:sz w:val="20"/>
                <w:szCs w:val="20"/>
              </w:rPr>
              <w:t xml:space="preserve"> </w:t>
            </w:r>
            <w:r w:rsidR="008C79DC">
              <w:rPr>
                <w:sz w:val="20"/>
                <w:szCs w:val="20"/>
              </w:rPr>
              <w:t>brokering or supporting collaboration</w:t>
            </w:r>
            <w:r w:rsidR="00D96123">
              <w:rPr>
                <w:sz w:val="20"/>
                <w:szCs w:val="20"/>
              </w:rPr>
              <w:t xml:space="preserve"> with diverse non-state actors in Indonesia</w:t>
            </w:r>
          </w:p>
          <w:p w14:paraId="1FA8D482" w14:textId="031FAE36" w:rsidR="0007340D" w:rsidRPr="002246C6" w:rsidRDefault="0007340D" w:rsidP="00504B06">
            <w:pPr>
              <w:pStyle w:val="ListParagraph"/>
              <w:numPr>
                <w:ilvl w:val="0"/>
                <w:numId w:val="61"/>
              </w:numPr>
              <w:spacing w:before="0" w:after="0" w:line="240" w:lineRule="auto"/>
              <w:ind w:left="115" w:hanging="239"/>
              <w:rPr>
                <w:sz w:val="20"/>
                <w:szCs w:val="20"/>
              </w:rPr>
            </w:pPr>
            <w:r>
              <w:rPr>
                <w:sz w:val="20"/>
                <w:szCs w:val="20"/>
              </w:rPr>
              <w:t>Experience in f</w:t>
            </w:r>
            <w:r w:rsidRPr="00C9661C">
              <w:rPr>
                <w:sz w:val="20"/>
                <w:szCs w:val="20"/>
              </w:rPr>
              <w:t>acilitat</w:t>
            </w:r>
            <w:r>
              <w:rPr>
                <w:sz w:val="20"/>
                <w:szCs w:val="20"/>
              </w:rPr>
              <w:t>ing</w:t>
            </w:r>
            <w:r w:rsidRPr="00C9661C">
              <w:rPr>
                <w:sz w:val="20"/>
                <w:szCs w:val="20"/>
              </w:rPr>
              <w:t xml:space="preserve"> strategic planning and joint decision-making</w:t>
            </w:r>
            <w:r>
              <w:rPr>
                <w:sz w:val="20"/>
                <w:szCs w:val="20"/>
              </w:rPr>
              <w:t xml:space="preserve"> process</w:t>
            </w:r>
            <w:r w:rsidR="00D96123">
              <w:rPr>
                <w:sz w:val="20"/>
                <w:szCs w:val="20"/>
              </w:rPr>
              <w:t>es that are inclusive</w:t>
            </w:r>
            <w:r>
              <w:rPr>
                <w:sz w:val="20"/>
                <w:szCs w:val="20"/>
              </w:rPr>
              <w:t>, including dispute management</w:t>
            </w:r>
            <w:r w:rsidR="00D96123">
              <w:rPr>
                <w:sz w:val="20"/>
                <w:szCs w:val="20"/>
              </w:rPr>
              <w:t xml:space="preserve"> where required</w:t>
            </w:r>
          </w:p>
        </w:tc>
      </w:tr>
      <w:tr w:rsidR="00E253B7" w:rsidRPr="00B510D7" w14:paraId="4BD9BC08" w14:textId="77777777" w:rsidTr="002246C6">
        <w:trPr>
          <w:tblCellSpacing w:w="15" w:type="dxa"/>
        </w:trPr>
        <w:tc>
          <w:tcPr>
            <w:tcW w:w="2760"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68B93552" w14:textId="77777777" w:rsidR="0007340D" w:rsidRPr="00C9661C" w:rsidRDefault="0007340D" w:rsidP="00504B06">
            <w:pPr>
              <w:pStyle w:val="ListParagraph"/>
              <w:numPr>
                <w:ilvl w:val="0"/>
                <w:numId w:val="62"/>
              </w:numPr>
              <w:spacing w:before="0" w:after="0" w:line="240" w:lineRule="auto"/>
              <w:ind w:left="332"/>
              <w:rPr>
                <w:rStyle w:val="Strong"/>
                <w:sz w:val="20"/>
                <w:szCs w:val="20"/>
              </w:rPr>
            </w:pPr>
            <w:r w:rsidRPr="00C9661C">
              <w:rPr>
                <w:rStyle w:val="Strong"/>
                <w:sz w:val="20"/>
                <w:szCs w:val="20"/>
              </w:rPr>
              <w:t>Grant Management Expertise</w:t>
            </w:r>
          </w:p>
        </w:tc>
        <w:tc>
          <w:tcPr>
            <w:tcW w:w="2770" w:type="dxa"/>
            <w:tcBorders>
              <w:bottom w:val="single" w:sz="6" w:space="0" w:color="E6E6E6"/>
              <w:right w:val="single" w:sz="6" w:space="0" w:color="E6E6E6"/>
            </w:tcBorders>
            <w:tcMar>
              <w:top w:w="120" w:type="dxa"/>
              <w:left w:w="180" w:type="dxa"/>
              <w:bottom w:w="105" w:type="dxa"/>
              <w:right w:w="120" w:type="dxa"/>
            </w:tcMar>
            <w:hideMark/>
          </w:tcPr>
          <w:p w14:paraId="243F6C6C" w14:textId="53F9A82C" w:rsidR="0007340D" w:rsidRPr="00C9661C" w:rsidRDefault="0007340D">
            <w:pPr>
              <w:spacing w:before="0" w:after="0"/>
              <w:rPr>
                <w:sz w:val="20"/>
                <w:szCs w:val="20"/>
              </w:rPr>
            </w:pPr>
            <w:r w:rsidRPr="00C9661C">
              <w:rPr>
                <w:sz w:val="20"/>
                <w:szCs w:val="20"/>
              </w:rPr>
              <w:t>Capacity to manage</w:t>
            </w:r>
            <w:r w:rsidR="006C51A9">
              <w:rPr>
                <w:sz w:val="20"/>
                <w:szCs w:val="20"/>
              </w:rPr>
              <w:t xml:space="preserve"> a large grant, including</w:t>
            </w:r>
            <w:r w:rsidRPr="00C9661C">
              <w:rPr>
                <w:sz w:val="20"/>
                <w:szCs w:val="20"/>
              </w:rPr>
              <w:t xml:space="preserve"> </w:t>
            </w:r>
            <w:r w:rsidR="002C47A4">
              <w:rPr>
                <w:sz w:val="20"/>
                <w:szCs w:val="20"/>
              </w:rPr>
              <w:t xml:space="preserve">capacity to provide </w:t>
            </w:r>
            <w:r w:rsidRPr="00C9661C">
              <w:rPr>
                <w:sz w:val="20"/>
                <w:szCs w:val="20"/>
              </w:rPr>
              <w:t>sub-grants and ensure compliance</w:t>
            </w:r>
            <w:r>
              <w:rPr>
                <w:sz w:val="20"/>
                <w:szCs w:val="20"/>
              </w:rPr>
              <w:t>.</w:t>
            </w:r>
          </w:p>
        </w:tc>
        <w:tc>
          <w:tcPr>
            <w:tcW w:w="3972" w:type="dxa"/>
            <w:tcBorders>
              <w:bottom w:val="single" w:sz="6" w:space="0" w:color="E6E6E6"/>
              <w:right w:val="single" w:sz="6" w:space="0" w:color="E6E6E6"/>
            </w:tcBorders>
            <w:tcMar>
              <w:top w:w="120" w:type="dxa"/>
              <w:left w:w="180" w:type="dxa"/>
              <w:bottom w:w="105" w:type="dxa"/>
              <w:right w:w="120" w:type="dxa"/>
            </w:tcMar>
            <w:hideMark/>
          </w:tcPr>
          <w:p w14:paraId="302F38B6" w14:textId="4784291E" w:rsidR="0007340D" w:rsidRDefault="0007340D" w:rsidP="00504B06">
            <w:pPr>
              <w:pStyle w:val="ListParagraph"/>
              <w:numPr>
                <w:ilvl w:val="0"/>
                <w:numId w:val="61"/>
              </w:numPr>
              <w:spacing w:before="0" w:after="0" w:line="240" w:lineRule="auto"/>
              <w:ind w:left="115" w:hanging="239"/>
              <w:rPr>
                <w:sz w:val="20"/>
                <w:szCs w:val="20"/>
              </w:rPr>
            </w:pPr>
            <w:r>
              <w:rPr>
                <w:sz w:val="20"/>
                <w:szCs w:val="20"/>
              </w:rPr>
              <w:t>Meet</w:t>
            </w:r>
            <w:r w:rsidR="00D704DC">
              <w:rPr>
                <w:sz w:val="20"/>
                <w:szCs w:val="20"/>
              </w:rPr>
              <w:t>s</w:t>
            </w:r>
            <w:r>
              <w:rPr>
                <w:sz w:val="20"/>
                <w:szCs w:val="20"/>
              </w:rPr>
              <w:t xml:space="preserve"> DFAT due diligen</w:t>
            </w:r>
            <w:r w:rsidR="00B57B5D">
              <w:rPr>
                <w:sz w:val="20"/>
                <w:szCs w:val="20"/>
              </w:rPr>
              <w:t>ce</w:t>
            </w:r>
            <w:r>
              <w:rPr>
                <w:sz w:val="20"/>
                <w:szCs w:val="20"/>
              </w:rPr>
              <w:t xml:space="preserve"> requirements </w:t>
            </w:r>
          </w:p>
          <w:p w14:paraId="1E9F70EA" w14:textId="3AE2AE0C" w:rsidR="0007340D" w:rsidRPr="00C9661C" w:rsidRDefault="0007340D" w:rsidP="00504B06">
            <w:pPr>
              <w:pStyle w:val="ListParagraph"/>
              <w:numPr>
                <w:ilvl w:val="0"/>
                <w:numId w:val="61"/>
              </w:numPr>
              <w:spacing w:before="0" w:after="0" w:line="240" w:lineRule="auto"/>
              <w:ind w:left="115" w:hanging="239"/>
              <w:rPr>
                <w:sz w:val="20"/>
                <w:szCs w:val="20"/>
              </w:rPr>
            </w:pPr>
            <w:r w:rsidRPr="00C9661C">
              <w:rPr>
                <w:sz w:val="20"/>
                <w:szCs w:val="20"/>
              </w:rPr>
              <w:t>Proven track record in administering donor programs</w:t>
            </w:r>
            <w:r w:rsidR="00D761A5">
              <w:rPr>
                <w:sz w:val="20"/>
                <w:szCs w:val="20"/>
              </w:rPr>
              <w:t xml:space="preserve"> with a similar budget</w:t>
            </w:r>
          </w:p>
          <w:p w14:paraId="5AD9C4D9" w14:textId="19BF3D64" w:rsidR="0028413B" w:rsidRDefault="0007340D" w:rsidP="00504B06">
            <w:pPr>
              <w:pStyle w:val="ListParagraph"/>
              <w:numPr>
                <w:ilvl w:val="0"/>
                <w:numId w:val="61"/>
              </w:numPr>
              <w:spacing w:before="0" w:after="0" w:line="240" w:lineRule="auto"/>
              <w:ind w:left="115" w:hanging="239"/>
              <w:rPr>
                <w:sz w:val="20"/>
                <w:szCs w:val="20"/>
              </w:rPr>
            </w:pPr>
            <w:r w:rsidRPr="00C9661C">
              <w:rPr>
                <w:sz w:val="20"/>
                <w:szCs w:val="20"/>
              </w:rPr>
              <w:lastRenderedPageBreak/>
              <w:t>Experience with downstream partner management</w:t>
            </w:r>
            <w:r w:rsidR="00FF11E0">
              <w:rPr>
                <w:sz w:val="20"/>
                <w:szCs w:val="20"/>
              </w:rPr>
              <w:t xml:space="preserve"> including evidence of </w:t>
            </w:r>
            <w:r w:rsidR="005E0BBB">
              <w:rPr>
                <w:sz w:val="20"/>
                <w:szCs w:val="20"/>
              </w:rPr>
              <w:t>sound grant monitoring mechanisms</w:t>
            </w:r>
          </w:p>
          <w:p w14:paraId="29EB8854" w14:textId="6A6A380E" w:rsidR="0007340D" w:rsidRPr="002246C6" w:rsidRDefault="0028413B" w:rsidP="00504B06">
            <w:pPr>
              <w:pStyle w:val="ListParagraph"/>
              <w:numPr>
                <w:ilvl w:val="0"/>
                <w:numId w:val="61"/>
              </w:numPr>
              <w:spacing w:before="0" w:after="0" w:line="240" w:lineRule="auto"/>
              <w:ind w:left="115" w:hanging="239"/>
              <w:rPr>
                <w:sz w:val="20"/>
                <w:szCs w:val="20"/>
              </w:rPr>
            </w:pPr>
            <w:r w:rsidRPr="00C9661C">
              <w:rPr>
                <w:sz w:val="20"/>
                <w:szCs w:val="20"/>
              </w:rPr>
              <w:t xml:space="preserve">Ability to establish </w:t>
            </w:r>
            <w:proofErr w:type="spellStart"/>
            <w:r w:rsidRPr="00C9661C">
              <w:rPr>
                <w:sz w:val="20"/>
                <w:szCs w:val="20"/>
              </w:rPr>
              <w:t>Partisipasi</w:t>
            </w:r>
            <w:proofErr w:type="spellEnd"/>
            <w:r w:rsidRPr="00C9661C">
              <w:rPr>
                <w:sz w:val="20"/>
                <w:szCs w:val="20"/>
              </w:rPr>
              <w:t xml:space="preserve"> operations and grants quickly</w:t>
            </w:r>
          </w:p>
        </w:tc>
      </w:tr>
      <w:tr w:rsidR="00E253B7" w:rsidRPr="00B510D7" w14:paraId="3E8E844F" w14:textId="77777777" w:rsidTr="002246C6">
        <w:trPr>
          <w:tblCellSpacing w:w="15" w:type="dxa"/>
        </w:trPr>
        <w:tc>
          <w:tcPr>
            <w:tcW w:w="2760"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7B0F5D9D" w14:textId="07EDBEF6" w:rsidR="0007340D" w:rsidRPr="00C9661C" w:rsidRDefault="008879ED" w:rsidP="00504B06">
            <w:pPr>
              <w:pStyle w:val="ListParagraph"/>
              <w:numPr>
                <w:ilvl w:val="0"/>
                <w:numId w:val="62"/>
              </w:numPr>
              <w:spacing w:before="0" w:after="0" w:line="240" w:lineRule="auto"/>
              <w:ind w:left="332"/>
              <w:rPr>
                <w:rStyle w:val="Strong"/>
                <w:sz w:val="20"/>
                <w:szCs w:val="20"/>
              </w:rPr>
            </w:pPr>
            <w:r>
              <w:rPr>
                <w:rStyle w:val="Strong"/>
                <w:sz w:val="20"/>
                <w:szCs w:val="20"/>
              </w:rPr>
              <w:lastRenderedPageBreak/>
              <w:t>M</w:t>
            </w:r>
            <w:r w:rsidRPr="002246C6">
              <w:rPr>
                <w:rStyle w:val="Strong"/>
                <w:sz w:val="20"/>
                <w:szCs w:val="20"/>
              </w:rPr>
              <w:t>onitoring, Evaluation and Learning</w:t>
            </w:r>
            <w:r w:rsidR="00F764B6" w:rsidRPr="002246C6">
              <w:rPr>
                <w:rStyle w:val="Strong"/>
                <w:sz w:val="20"/>
                <w:szCs w:val="20"/>
              </w:rPr>
              <w:t xml:space="preserve"> </w:t>
            </w:r>
          </w:p>
        </w:tc>
        <w:tc>
          <w:tcPr>
            <w:tcW w:w="2770" w:type="dxa"/>
            <w:tcBorders>
              <w:bottom w:val="single" w:sz="6" w:space="0" w:color="E6E6E6"/>
              <w:right w:val="single" w:sz="6" w:space="0" w:color="E6E6E6"/>
            </w:tcBorders>
            <w:tcMar>
              <w:top w:w="120" w:type="dxa"/>
              <w:left w:w="180" w:type="dxa"/>
              <w:bottom w:w="105" w:type="dxa"/>
              <w:right w:w="120" w:type="dxa"/>
            </w:tcMar>
            <w:hideMark/>
          </w:tcPr>
          <w:p w14:paraId="178740A8" w14:textId="0C7D2682" w:rsidR="0007340D" w:rsidRPr="00C9661C" w:rsidRDefault="0007340D">
            <w:pPr>
              <w:spacing w:before="0" w:after="0"/>
              <w:rPr>
                <w:sz w:val="20"/>
                <w:szCs w:val="20"/>
              </w:rPr>
            </w:pPr>
            <w:r w:rsidRPr="00C9661C">
              <w:rPr>
                <w:sz w:val="20"/>
                <w:szCs w:val="20"/>
              </w:rPr>
              <w:t xml:space="preserve">Ability to establish and </w:t>
            </w:r>
            <w:r w:rsidR="00616DAA">
              <w:rPr>
                <w:sz w:val="20"/>
                <w:szCs w:val="20"/>
              </w:rPr>
              <w:t xml:space="preserve">use </w:t>
            </w:r>
            <w:r w:rsidRPr="00C9661C">
              <w:rPr>
                <w:sz w:val="20"/>
                <w:szCs w:val="20"/>
              </w:rPr>
              <w:t>high</w:t>
            </w:r>
            <w:r>
              <w:rPr>
                <w:sz w:val="20"/>
                <w:szCs w:val="20"/>
              </w:rPr>
              <w:t>-</w:t>
            </w:r>
            <w:r w:rsidRPr="00C9661C">
              <w:rPr>
                <w:sz w:val="20"/>
                <w:szCs w:val="20"/>
              </w:rPr>
              <w:t>quality MEL system</w:t>
            </w:r>
            <w:r w:rsidR="00616DAA">
              <w:rPr>
                <w:sz w:val="20"/>
                <w:szCs w:val="20"/>
              </w:rPr>
              <w:t>s</w:t>
            </w:r>
            <w:r w:rsidR="00BC45A4">
              <w:rPr>
                <w:sz w:val="20"/>
                <w:szCs w:val="20"/>
              </w:rPr>
              <w:t xml:space="preserve"> to inform</w:t>
            </w:r>
            <w:r w:rsidRPr="00C9661C">
              <w:rPr>
                <w:sz w:val="20"/>
                <w:szCs w:val="20"/>
              </w:rPr>
              <w:t xml:space="preserve"> program</w:t>
            </w:r>
            <w:r w:rsidR="00BC45A4">
              <w:rPr>
                <w:sz w:val="20"/>
                <w:szCs w:val="20"/>
              </w:rPr>
              <w:t xml:space="preserve"> </w:t>
            </w:r>
            <w:r w:rsidR="00832DBD">
              <w:rPr>
                <w:sz w:val="20"/>
                <w:szCs w:val="20"/>
              </w:rPr>
              <w:t xml:space="preserve">reporting and program </w:t>
            </w:r>
            <w:r w:rsidR="00BC45A4">
              <w:rPr>
                <w:sz w:val="20"/>
                <w:szCs w:val="20"/>
              </w:rPr>
              <w:t>decisions</w:t>
            </w:r>
            <w:r>
              <w:rPr>
                <w:sz w:val="20"/>
                <w:szCs w:val="20"/>
              </w:rPr>
              <w:t>.</w:t>
            </w:r>
          </w:p>
        </w:tc>
        <w:tc>
          <w:tcPr>
            <w:tcW w:w="3972" w:type="dxa"/>
            <w:tcBorders>
              <w:bottom w:val="single" w:sz="6" w:space="0" w:color="E6E6E6"/>
              <w:right w:val="single" w:sz="6" w:space="0" w:color="E6E6E6"/>
            </w:tcBorders>
            <w:tcMar>
              <w:top w:w="120" w:type="dxa"/>
              <w:left w:w="180" w:type="dxa"/>
              <w:bottom w:w="105" w:type="dxa"/>
              <w:right w:w="120" w:type="dxa"/>
            </w:tcMar>
            <w:hideMark/>
          </w:tcPr>
          <w:p w14:paraId="3AC820CF" w14:textId="181AE2E8" w:rsidR="0007340D" w:rsidRDefault="008879ED" w:rsidP="00504B06">
            <w:pPr>
              <w:pStyle w:val="ListParagraph"/>
              <w:numPr>
                <w:ilvl w:val="0"/>
                <w:numId w:val="61"/>
              </w:numPr>
              <w:spacing w:before="0" w:after="0" w:line="240" w:lineRule="auto"/>
              <w:ind w:left="115" w:hanging="239"/>
              <w:rPr>
                <w:sz w:val="20"/>
                <w:szCs w:val="20"/>
              </w:rPr>
            </w:pPr>
            <w:r>
              <w:rPr>
                <w:sz w:val="20"/>
                <w:szCs w:val="20"/>
              </w:rPr>
              <w:t xml:space="preserve">Ability to </w:t>
            </w:r>
            <w:r w:rsidR="00464DBA">
              <w:rPr>
                <w:sz w:val="20"/>
                <w:szCs w:val="20"/>
              </w:rPr>
              <w:t>sub-contract MEL Hub and experience in managing similar mechanisms</w:t>
            </w:r>
          </w:p>
          <w:p w14:paraId="45D2AEF3" w14:textId="6D85B75F" w:rsidR="0007340D" w:rsidRPr="0048420A" w:rsidRDefault="00832DBD" w:rsidP="00504B06">
            <w:pPr>
              <w:pStyle w:val="ListParagraph"/>
              <w:numPr>
                <w:ilvl w:val="0"/>
                <w:numId w:val="61"/>
              </w:numPr>
              <w:spacing w:before="0" w:after="0" w:line="240" w:lineRule="auto"/>
              <w:ind w:left="115" w:hanging="239"/>
              <w:rPr>
                <w:sz w:val="20"/>
                <w:szCs w:val="20"/>
              </w:rPr>
            </w:pPr>
            <w:r>
              <w:rPr>
                <w:sz w:val="20"/>
                <w:szCs w:val="20"/>
              </w:rPr>
              <w:t>P</w:t>
            </w:r>
            <w:r w:rsidR="00BF0A06">
              <w:rPr>
                <w:sz w:val="20"/>
                <w:szCs w:val="20"/>
              </w:rPr>
              <w:t xml:space="preserve">roven experience in establishing </w:t>
            </w:r>
            <w:r w:rsidR="00285471">
              <w:rPr>
                <w:sz w:val="20"/>
                <w:szCs w:val="20"/>
              </w:rPr>
              <w:t>and implementing strong</w:t>
            </w:r>
            <w:r w:rsidR="00BF0A06">
              <w:rPr>
                <w:sz w:val="20"/>
                <w:szCs w:val="20"/>
              </w:rPr>
              <w:t xml:space="preserve"> </w:t>
            </w:r>
            <w:r w:rsidR="0007340D" w:rsidRPr="00C9661C">
              <w:rPr>
                <w:sz w:val="20"/>
                <w:szCs w:val="20"/>
              </w:rPr>
              <w:t>MEL systems</w:t>
            </w:r>
            <w:r w:rsidR="009B170C">
              <w:rPr>
                <w:sz w:val="20"/>
                <w:szCs w:val="20"/>
              </w:rPr>
              <w:t>, and in adaptive programming</w:t>
            </w:r>
          </w:p>
        </w:tc>
      </w:tr>
      <w:tr w:rsidR="00E253B7" w:rsidRPr="00B510D7" w14:paraId="39242447" w14:textId="77777777" w:rsidTr="002246C6">
        <w:trPr>
          <w:tblCellSpacing w:w="15" w:type="dxa"/>
        </w:trPr>
        <w:tc>
          <w:tcPr>
            <w:tcW w:w="2760"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7C7690FB" w14:textId="17C745C7" w:rsidR="0007340D" w:rsidRPr="00C9661C" w:rsidRDefault="00C1725E" w:rsidP="00504B06">
            <w:pPr>
              <w:pStyle w:val="ListParagraph"/>
              <w:numPr>
                <w:ilvl w:val="0"/>
                <w:numId w:val="62"/>
              </w:numPr>
              <w:spacing w:before="0" w:after="0" w:line="240" w:lineRule="auto"/>
              <w:ind w:left="332"/>
              <w:rPr>
                <w:rStyle w:val="Strong"/>
                <w:sz w:val="20"/>
                <w:szCs w:val="20"/>
              </w:rPr>
            </w:pPr>
            <w:r>
              <w:rPr>
                <w:rStyle w:val="Strong"/>
                <w:sz w:val="20"/>
                <w:szCs w:val="20"/>
              </w:rPr>
              <w:t xml:space="preserve">Cross-Cutting Issues, </w:t>
            </w:r>
            <w:r w:rsidR="00CF22E2">
              <w:rPr>
                <w:rStyle w:val="Strong"/>
                <w:sz w:val="20"/>
                <w:szCs w:val="20"/>
              </w:rPr>
              <w:t>Risk Management and Safeguards</w:t>
            </w:r>
          </w:p>
        </w:tc>
        <w:tc>
          <w:tcPr>
            <w:tcW w:w="2770" w:type="dxa"/>
            <w:tcBorders>
              <w:bottom w:val="single" w:sz="6" w:space="0" w:color="E6E6E6"/>
              <w:right w:val="single" w:sz="6" w:space="0" w:color="E6E6E6"/>
            </w:tcBorders>
            <w:tcMar>
              <w:top w:w="120" w:type="dxa"/>
              <w:left w:w="180" w:type="dxa"/>
              <w:bottom w:w="105" w:type="dxa"/>
              <w:right w:w="120" w:type="dxa"/>
            </w:tcMar>
            <w:hideMark/>
          </w:tcPr>
          <w:p w14:paraId="6BA4D58E" w14:textId="0EDD6870" w:rsidR="0007340D" w:rsidRPr="00C9661C" w:rsidRDefault="00720C0A" w:rsidP="00B64631">
            <w:pPr>
              <w:spacing w:before="0" w:after="0"/>
              <w:rPr>
                <w:sz w:val="20"/>
                <w:szCs w:val="20"/>
              </w:rPr>
            </w:pPr>
            <w:r>
              <w:rPr>
                <w:sz w:val="20"/>
                <w:szCs w:val="20"/>
              </w:rPr>
              <w:t xml:space="preserve">Proven experience in </w:t>
            </w:r>
            <w:r w:rsidR="00B64631">
              <w:rPr>
                <w:sz w:val="20"/>
                <w:szCs w:val="20"/>
              </w:rPr>
              <w:t>ensuring effective approaches to cross-cutting issues, risk management and safeguards</w:t>
            </w:r>
          </w:p>
        </w:tc>
        <w:tc>
          <w:tcPr>
            <w:tcW w:w="3972" w:type="dxa"/>
            <w:tcBorders>
              <w:bottom w:val="single" w:sz="6" w:space="0" w:color="E6E6E6"/>
              <w:right w:val="single" w:sz="6" w:space="0" w:color="E6E6E6"/>
            </w:tcBorders>
            <w:tcMar>
              <w:top w:w="120" w:type="dxa"/>
              <w:left w:w="180" w:type="dxa"/>
              <w:bottom w:w="105" w:type="dxa"/>
              <w:right w:w="120" w:type="dxa"/>
            </w:tcMar>
            <w:hideMark/>
          </w:tcPr>
          <w:p w14:paraId="0162E6BF" w14:textId="77777777" w:rsidR="000E0F47" w:rsidRDefault="000E0F47" w:rsidP="00504B06">
            <w:pPr>
              <w:pStyle w:val="ListParagraph"/>
              <w:numPr>
                <w:ilvl w:val="0"/>
                <w:numId w:val="61"/>
              </w:numPr>
              <w:spacing w:before="0" w:after="0" w:line="240" w:lineRule="auto"/>
              <w:ind w:left="115" w:hanging="239"/>
              <w:rPr>
                <w:sz w:val="20"/>
                <w:szCs w:val="20"/>
              </w:rPr>
            </w:pPr>
            <w:r>
              <w:rPr>
                <w:sz w:val="20"/>
                <w:szCs w:val="20"/>
              </w:rPr>
              <w:t>Experience in GEDSI mainstreaming</w:t>
            </w:r>
          </w:p>
          <w:p w14:paraId="22B7A1B7" w14:textId="5B1CFD0D" w:rsidR="004A3A4D" w:rsidRDefault="004A3A4D" w:rsidP="00504B06">
            <w:pPr>
              <w:pStyle w:val="ListParagraph"/>
              <w:numPr>
                <w:ilvl w:val="0"/>
                <w:numId w:val="61"/>
              </w:numPr>
              <w:spacing w:before="0" w:after="0" w:line="240" w:lineRule="auto"/>
              <w:ind w:left="115" w:hanging="239"/>
              <w:rPr>
                <w:sz w:val="20"/>
                <w:szCs w:val="20"/>
              </w:rPr>
            </w:pPr>
            <w:r>
              <w:rPr>
                <w:sz w:val="20"/>
                <w:szCs w:val="20"/>
              </w:rPr>
              <w:t xml:space="preserve">Experience in implementing </w:t>
            </w:r>
            <w:proofErr w:type="gramStart"/>
            <w:r>
              <w:rPr>
                <w:sz w:val="20"/>
                <w:szCs w:val="20"/>
              </w:rPr>
              <w:t>locally-led</w:t>
            </w:r>
            <w:proofErr w:type="gramEnd"/>
            <w:r>
              <w:rPr>
                <w:sz w:val="20"/>
                <w:szCs w:val="20"/>
              </w:rPr>
              <w:t xml:space="preserve"> approaches </w:t>
            </w:r>
            <w:r w:rsidR="003509C9">
              <w:rPr>
                <w:sz w:val="20"/>
                <w:szCs w:val="20"/>
              </w:rPr>
              <w:t xml:space="preserve">and </w:t>
            </w:r>
            <w:r w:rsidR="00EE134B">
              <w:rPr>
                <w:sz w:val="20"/>
                <w:szCs w:val="20"/>
              </w:rPr>
              <w:t>supporting</w:t>
            </w:r>
            <w:r w:rsidR="003509C9">
              <w:rPr>
                <w:sz w:val="20"/>
                <w:szCs w:val="20"/>
              </w:rPr>
              <w:t xml:space="preserve"> sustainability</w:t>
            </w:r>
          </w:p>
          <w:p w14:paraId="6BF1DFD0" w14:textId="628F2737" w:rsidR="0007340D" w:rsidRPr="00C9661C" w:rsidRDefault="0084601F" w:rsidP="00504B06">
            <w:pPr>
              <w:pStyle w:val="ListParagraph"/>
              <w:numPr>
                <w:ilvl w:val="0"/>
                <w:numId w:val="61"/>
              </w:numPr>
              <w:spacing w:before="0" w:after="0" w:line="240" w:lineRule="auto"/>
              <w:ind w:left="115" w:hanging="239"/>
            </w:pPr>
            <w:r w:rsidRPr="00F471E1">
              <w:rPr>
                <w:sz w:val="20"/>
                <w:szCs w:val="20"/>
              </w:rPr>
              <w:t xml:space="preserve">Strong </w:t>
            </w:r>
            <w:r w:rsidR="00F471E1" w:rsidRPr="00F471E1">
              <w:rPr>
                <w:sz w:val="20"/>
                <w:szCs w:val="20"/>
              </w:rPr>
              <w:t>risk management</w:t>
            </w:r>
            <w:r w:rsidRPr="00F471E1">
              <w:rPr>
                <w:sz w:val="20"/>
                <w:szCs w:val="20"/>
              </w:rPr>
              <w:t xml:space="preserve"> and safeguarding </w:t>
            </w:r>
            <w:r w:rsidR="00F471E1" w:rsidRPr="00F471E1">
              <w:rPr>
                <w:sz w:val="20"/>
                <w:szCs w:val="20"/>
              </w:rPr>
              <w:t>procedures</w:t>
            </w:r>
          </w:p>
        </w:tc>
      </w:tr>
    </w:tbl>
    <w:p w14:paraId="5BA78EEA" w14:textId="31B5B7ED" w:rsidR="0007340D" w:rsidRDefault="0007340D" w:rsidP="0007340D">
      <w:pPr>
        <w:pStyle w:val="Caption"/>
        <w:keepNext/>
      </w:pPr>
      <w:r>
        <w:t>Table</w:t>
      </w:r>
      <w:r w:rsidR="008D4216">
        <w:t xml:space="preserve"> </w:t>
      </w:r>
      <w:r w:rsidR="00C16EDA">
        <w:t>5</w:t>
      </w:r>
      <w:r>
        <w:t xml:space="preserve">: </w:t>
      </w:r>
      <w:r w:rsidRPr="00C31ED1">
        <w:t>Core Group Partner Selection Criteria</w:t>
      </w:r>
    </w:p>
    <w:tbl>
      <w:tblPr>
        <w:tblW w:w="9773" w:type="dxa"/>
        <w:tblCellSpacing w:w="0" w:type="dxa"/>
        <w:tblCellMar>
          <w:top w:w="15" w:type="dxa"/>
          <w:left w:w="15" w:type="dxa"/>
          <w:bottom w:w="15" w:type="dxa"/>
          <w:right w:w="15" w:type="dxa"/>
        </w:tblCellMar>
        <w:tblLook w:val="06A0" w:firstRow="1" w:lastRow="0" w:firstColumn="1" w:lastColumn="0" w:noHBand="1" w:noVBand="1"/>
      </w:tblPr>
      <w:tblGrid>
        <w:gridCol w:w="2686"/>
        <w:gridCol w:w="3050"/>
        <w:gridCol w:w="4037"/>
      </w:tblGrid>
      <w:tr w:rsidR="0007340D" w:rsidRPr="00960403" w14:paraId="7AD695B3" w14:textId="77777777" w:rsidTr="001B328F">
        <w:trPr>
          <w:tblHeader/>
          <w:tblCellSpacing w:w="0" w:type="dxa"/>
        </w:trPr>
        <w:tc>
          <w:tcPr>
            <w:tcW w:w="2686" w:type="dxa"/>
            <w:tcBorders>
              <w:top w:val="single" w:sz="6" w:space="0" w:color="E6E6E6"/>
              <w:left w:val="single" w:sz="6" w:space="0" w:color="E6E6E6"/>
              <w:bottom w:val="single" w:sz="6" w:space="0" w:color="E6E6E6"/>
              <w:right w:val="single" w:sz="6" w:space="0" w:color="E6E6E6"/>
            </w:tcBorders>
            <w:shd w:val="clear" w:color="auto" w:fill="C1E7E0" w:themeFill="accent1" w:themeFillTint="66"/>
            <w:tcMar>
              <w:top w:w="120" w:type="dxa"/>
              <w:left w:w="180" w:type="dxa"/>
              <w:bottom w:w="105" w:type="dxa"/>
              <w:right w:w="120" w:type="dxa"/>
            </w:tcMar>
            <w:hideMark/>
          </w:tcPr>
          <w:p w14:paraId="46229D9F" w14:textId="77777777" w:rsidR="0007340D" w:rsidRPr="009D6FA6" w:rsidRDefault="0007340D">
            <w:pPr>
              <w:spacing w:before="0" w:after="0"/>
              <w:contextualSpacing/>
              <w:rPr>
                <w:rFonts w:ascii="Times New Roman" w:hAnsi="Times New Roman" w:cs="Times New Roman"/>
                <w:b/>
                <w:bCs/>
                <w:color w:val="auto"/>
                <w:sz w:val="20"/>
                <w:szCs w:val="20"/>
              </w:rPr>
            </w:pPr>
            <w:r w:rsidRPr="009D6FA6">
              <w:rPr>
                <w:rStyle w:val="Strong"/>
                <w:sz w:val="20"/>
                <w:szCs w:val="20"/>
              </w:rPr>
              <w:t>Criteria</w:t>
            </w:r>
          </w:p>
        </w:tc>
        <w:tc>
          <w:tcPr>
            <w:tcW w:w="3050" w:type="dxa"/>
            <w:tcBorders>
              <w:top w:val="single" w:sz="6" w:space="0" w:color="E6E6E6"/>
              <w:bottom w:val="single" w:sz="6" w:space="0" w:color="E6E6E6"/>
              <w:right w:val="single" w:sz="6" w:space="0" w:color="E6E6E6"/>
            </w:tcBorders>
            <w:shd w:val="clear" w:color="auto" w:fill="C1E7E0" w:themeFill="accent1" w:themeFillTint="66"/>
            <w:tcMar>
              <w:top w:w="120" w:type="dxa"/>
              <w:left w:w="180" w:type="dxa"/>
              <w:bottom w:w="105" w:type="dxa"/>
              <w:right w:w="120" w:type="dxa"/>
            </w:tcMar>
            <w:hideMark/>
          </w:tcPr>
          <w:p w14:paraId="3905A4D8" w14:textId="77777777" w:rsidR="0007340D" w:rsidRPr="009D6FA6" w:rsidRDefault="0007340D">
            <w:pPr>
              <w:spacing w:before="0" w:after="0"/>
              <w:contextualSpacing/>
              <w:rPr>
                <w:b/>
                <w:bCs/>
                <w:sz w:val="20"/>
                <w:szCs w:val="20"/>
              </w:rPr>
            </w:pPr>
            <w:r w:rsidRPr="009D6FA6">
              <w:rPr>
                <w:rStyle w:val="Strong"/>
                <w:sz w:val="20"/>
                <w:szCs w:val="20"/>
              </w:rPr>
              <w:t>Description</w:t>
            </w:r>
          </w:p>
        </w:tc>
        <w:tc>
          <w:tcPr>
            <w:tcW w:w="4037" w:type="dxa"/>
            <w:tcBorders>
              <w:top w:val="single" w:sz="6" w:space="0" w:color="E6E6E6"/>
              <w:bottom w:val="single" w:sz="6" w:space="0" w:color="E6E6E6"/>
              <w:right w:val="single" w:sz="6" w:space="0" w:color="E6E6E6"/>
            </w:tcBorders>
            <w:shd w:val="clear" w:color="auto" w:fill="C1E7E0" w:themeFill="accent1" w:themeFillTint="66"/>
            <w:tcMar>
              <w:top w:w="120" w:type="dxa"/>
              <w:left w:w="180" w:type="dxa"/>
              <w:bottom w:w="105" w:type="dxa"/>
              <w:right w:w="120" w:type="dxa"/>
            </w:tcMar>
            <w:hideMark/>
          </w:tcPr>
          <w:p w14:paraId="2891C245" w14:textId="77777777" w:rsidR="0007340D" w:rsidRPr="009D6FA6" w:rsidRDefault="0007340D">
            <w:pPr>
              <w:spacing w:before="0" w:after="0"/>
              <w:contextualSpacing/>
              <w:rPr>
                <w:b/>
                <w:bCs/>
                <w:sz w:val="20"/>
                <w:szCs w:val="20"/>
              </w:rPr>
            </w:pPr>
            <w:r w:rsidRPr="009D6FA6">
              <w:rPr>
                <w:rStyle w:val="Strong"/>
                <w:sz w:val="20"/>
                <w:szCs w:val="20"/>
              </w:rPr>
              <w:t>Assessment Indicators</w:t>
            </w:r>
          </w:p>
        </w:tc>
      </w:tr>
      <w:tr w:rsidR="001B328F" w:rsidRPr="00960403" w14:paraId="58CF852D" w14:textId="77777777" w:rsidTr="001B328F">
        <w:trPr>
          <w:tblCellSpacing w:w="0" w:type="dxa"/>
        </w:trPr>
        <w:tc>
          <w:tcPr>
            <w:tcW w:w="2686" w:type="dxa"/>
            <w:tcBorders>
              <w:left w:val="single" w:sz="6" w:space="0" w:color="E6E6E6"/>
              <w:bottom w:val="single" w:sz="6" w:space="0" w:color="E6E6E6"/>
              <w:right w:val="single" w:sz="6" w:space="0" w:color="E6E6E6"/>
            </w:tcBorders>
            <w:tcMar>
              <w:top w:w="120" w:type="dxa"/>
              <w:left w:w="180" w:type="dxa"/>
              <w:bottom w:w="105" w:type="dxa"/>
              <w:right w:w="120" w:type="dxa"/>
            </w:tcMar>
          </w:tcPr>
          <w:p w14:paraId="3B565A18" w14:textId="6BFBC59D" w:rsidR="001B328F" w:rsidRPr="009D6FA6" w:rsidRDefault="001B328F" w:rsidP="00504B06">
            <w:pPr>
              <w:pStyle w:val="ListParagraph"/>
              <w:numPr>
                <w:ilvl w:val="0"/>
                <w:numId w:val="104"/>
              </w:numPr>
              <w:spacing w:before="0" w:after="0" w:line="240" w:lineRule="auto"/>
              <w:rPr>
                <w:rStyle w:val="Strong"/>
                <w:sz w:val="20"/>
                <w:szCs w:val="20"/>
              </w:rPr>
            </w:pPr>
            <w:r>
              <w:rPr>
                <w:rStyle w:val="Strong"/>
                <w:sz w:val="20"/>
                <w:szCs w:val="20"/>
              </w:rPr>
              <w:t>T</w:t>
            </w:r>
            <w:r w:rsidRPr="00863BA9">
              <w:rPr>
                <w:rStyle w:val="Strong"/>
                <w:sz w:val="20"/>
                <w:szCs w:val="20"/>
              </w:rPr>
              <w:t>hematic or Sector Expertise</w:t>
            </w:r>
          </w:p>
        </w:tc>
        <w:tc>
          <w:tcPr>
            <w:tcW w:w="3050" w:type="dxa"/>
            <w:tcBorders>
              <w:bottom w:val="single" w:sz="6" w:space="0" w:color="E6E6E6"/>
              <w:right w:val="single" w:sz="6" w:space="0" w:color="E6E6E6"/>
            </w:tcBorders>
            <w:tcMar>
              <w:top w:w="120" w:type="dxa"/>
              <w:left w:w="180" w:type="dxa"/>
              <w:bottom w:w="105" w:type="dxa"/>
              <w:right w:w="120" w:type="dxa"/>
            </w:tcMar>
          </w:tcPr>
          <w:p w14:paraId="4B47E633" w14:textId="77777777" w:rsidR="001B328F" w:rsidRDefault="001B328F" w:rsidP="001B328F">
            <w:pPr>
              <w:spacing w:before="0" w:after="0"/>
              <w:rPr>
                <w:sz w:val="20"/>
                <w:szCs w:val="20"/>
              </w:rPr>
            </w:pPr>
            <w:r>
              <w:rPr>
                <w:sz w:val="20"/>
                <w:szCs w:val="20"/>
              </w:rPr>
              <w:t xml:space="preserve">Alignment with </w:t>
            </w:r>
            <w:proofErr w:type="spellStart"/>
            <w:r>
              <w:rPr>
                <w:sz w:val="20"/>
                <w:szCs w:val="20"/>
              </w:rPr>
              <w:t>Partisipasi</w:t>
            </w:r>
            <w:proofErr w:type="spellEnd"/>
            <w:r>
              <w:rPr>
                <w:sz w:val="20"/>
                <w:szCs w:val="20"/>
              </w:rPr>
              <w:t xml:space="preserve"> EOPOs and focus areas, as well as experience in Indonesia</w:t>
            </w:r>
            <w:r w:rsidRPr="009D6FA6">
              <w:rPr>
                <w:sz w:val="20"/>
                <w:szCs w:val="20"/>
              </w:rPr>
              <w:t xml:space="preserve"> </w:t>
            </w:r>
          </w:p>
          <w:p w14:paraId="7ACB23F5" w14:textId="77777777" w:rsidR="001B328F" w:rsidRDefault="001B328F">
            <w:pPr>
              <w:spacing w:before="0" w:after="0"/>
              <w:contextualSpacing/>
              <w:rPr>
                <w:sz w:val="20"/>
                <w:szCs w:val="20"/>
              </w:rPr>
            </w:pPr>
          </w:p>
        </w:tc>
        <w:tc>
          <w:tcPr>
            <w:tcW w:w="4037" w:type="dxa"/>
            <w:tcBorders>
              <w:bottom w:val="single" w:sz="6" w:space="0" w:color="E6E6E6"/>
              <w:right w:val="single" w:sz="6" w:space="0" w:color="E6E6E6"/>
            </w:tcBorders>
            <w:tcMar>
              <w:top w:w="120" w:type="dxa"/>
              <w:left w:w="180" w:type="dxa"/>
              <w:bottom w:w="105" w:type="dxa"/>
              <w:right w:w="120" w:type="dxa"/>
            </w:tcMar>
          </w:tcPr>
          <w:p w14:paraId="0355B08E" w14:textId="77777777" w:rsidR="001B328F" w:rsidRDefault="001B328F" w:rsidP="00504B06">
            <w:pPr>
              <w:pStyle w:val="ListParagraph"/>
              <w:numPr>
                <w:ilvl w:val="0"/>
                <w:numId w:val="61"/>
              </w:numPr>
              <w:spacing w:before="0" w:after="0" w:line="240" w:lineRule="auto"/>
              <w:ind w:left="115" w:hanging="239"/>
              <w:rPr>
                <w:sz w:val="20"/>
                <w:szCs w:val="20"/>
              </w:rPr>
            </w:pPr>
            <w:r>
              <w:rPr>
                <w:sz w:val="20"/>
                <w:szCs w:val="20"/>
              </w:rPr>
              <w:t>Substantial working e</w:t>
            </w:r>
            <w:r w:rsidRPr="009D6FA6">
              <w:rPr>
                <w:sz w:val="20"/>
                <w:szCs w:val="20"/>
              </w:rPr>
              <w:t>xperience in democratic participation and resilience</w:t>
            </w:r>
          </w:p>
          <w:p w14:paraId="5E2F54A7" w14:textId="31160FD5" w:rsidR="001B328F" w:rsidRPr="000F61BA" w:rsidRDefault="001B328F" w:rsidP="00504B06">
            <w:pPr>
              <w:pStyle w:val="ListParagraph"/>
              <w:numPr>
                <w:ilvl w:val="0"/>
                <w:numId w:val="61"/>
              </w:numPr>
              <w:spacing w:before="0" w:after="0" w:line="240" w:lineRule="auto"/>
              <w:ind w:left="115" w:hanging="239"/>
              <w:rPr>
                <w:sz w:val="20"/>
                <w:szCs w:val="20"/>
              </w:rPr>
            </w:pPr>
            <w:r>
              <w:rPr>
                <w:sz w:val="20"/>
                <w:szCs w:val="20"/>
              </w:rPr>
              <w:t xml:space="preserve">Recognised expertise in one or more of the focus areas </w:t>
            </w:r>
          </w:p>
        </w:tc>
      </w:tr>
      <w:tr w:rsidR="0007340D" w:rsidRPr="00960403" w14:paraId="5664D5A4" w14:textId="77777777" w:rsidTr="001B328F">
        <w:trPr>
          <w:tblCellSpacing w:w="0" w:type="dxa"/>
        </w:trPr>
        <w:tc>
          <w:tcPr>
            <w:tcW w:w="2686"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165BE41C" w14:textId="385B1541" w:rsidR="0007340D" w:rsidRPr="009D6FA6" w:rsidRDefault="00BC4F69" w:rsidP="00504B06">
            <w:pPr>
              <w:pStyle w:val="ListParagraph"/>
              <w:numPr>
                <w:ilvl w:val="0"/>
                <w:numId w:val="104"/>
              </w:numPr>
              <w:spacing w:before="0" w:after="0" w:line="240" w:lineRule="auto"/>
              <w:ind w:left="332"/>
              <w:rPr>
                <w:sz w:val="20"/>
                <w:szCs w:val="20"/>
              </w:rPr>
            </w:pPr>
            <w:r>
              <w:rPr>
                <w:rStyle w:val="Strong"/>
                <w:sz w:val="20"/>
                <w:szCs w:val="20"/>
              </w:rPr>
              <w:t>Experience</w:t>
            </w:r>
            <w:r w:rsidR="0007340D">
              <w:rPr>
                <w:rStyle w:val="Strong"/>
                <w:sz w:val="20"/>
                <w:szCs w:val="20"/>
              </w:rPr>
              <w:t xml:space="preserve"> </w:t>
            </w:r>
            <w:r>
              <w:rPr>
                <w:rStyle w:val="Strong"/>
                <w:sz w:val="20"/>
                <w:szCs w:val="20"/>
              </w:rPr>
              <w:t>and Networks in Indonesia</w:t>
            </w:r>
          </w:p>
        </w:tc>
        <w:tc>
          <w:tcPr>
            <w:tcW w:w="3050" w:type="dxa"/>
            <w:tcBorders>
              <w:bottom w:val="single" w:sz="6" w:space="0" w:color="E6E6E6"/>
              <w:right w:val="single" w:sz="6" w:space="0" w:color="E6E6E6"/>
            </w:tcBorders>
            <w:tcMar>
              <w:top w:w="120" w:type="dxa"/>
              <w:left w:w="180" w:type="dxa"/>
              <w:bottom w:w="105" w:type="dxa"/>
              <w:right w:w="120" w:type="dxa"/>
            </w:tcMar>
            <w:hideMark/>
          </w:tcPr>
          <w:p w14:paraId="5E4AB7B3" w14:textId="703D9B64" w:rsidR="0007340D" w:rsidRPr="009D6FA6" w:rsidRDefault="0007340D">
            <w:pPr>
              <w:spacing w:before="0" w:after="0"/>
              <w:contextualSpacing/>
              <w:rPr>
                <w:sz w:val="20"/>
                <w:szCs w:val="20"/>
              </w:rPr>
            </w:pPr>
            <w:r>
              <w:rPr>
                <w:sz w:val="20"/>
                <w:szCs w:val="20"/>
              </w:rPr>
              <w:t>Constructive engagements</w:t>
            </w:r>
            <w:r w:rsidRPr="009D6FA6">
              <w:rPr>
                <w:sz w:val="20"/>
                <w:szCs w:val="20"/>
              </w:rPr>
              <w:t xml:space="preserve"> with broad range of</w:t>
            </w:r>
            <w:r w:rsidR="00897FBC">
              <w:rPr>
                <w:sz w:val="20"/>
                <w:szCs w:val="20"/>
              </w:rPr>
              <w:t xml:space="preserve"> state and non-state</w:t>
            </w:r>
            <w:r w:rsidRPr="009D6FA6">
              <w:rPr>
                <w:sz w:val="20"/>
                <w:szCs w:val="20"/>
              </w:rPr>
              <w:t xml:space="preserve"> </w:t>
            </w:r>
            <w:r>
              <w:rPr>
                <w:sz w:val="20"/>
                <w:szCs w:val="20"/>
              </w:rPr>
              <w:t>a</w:t>
            </w:r>
            <w:r w:rsidRPr="009D6FA6">
              <w:rPr>
                <w:sz w:val="20"/>
                <w:szCs w:val="20"/>
              </w:rPr>
              <w:t>ctors</w:t>
            </w:r>
            <w:r w:rsidR="00A61395">
              <w:rPr>
                <w:sz w:val="20"/>
                <w:szCs w:val="20"/>
              </w:rPr>
              <w:t xml:space="preserve"> in Indonesia</w:t>
            </w:r>
          </w:p>
        </w:tc>
        <w:tc>
          <w:tcPr>
            <w:tcW w:w="4037" w:type="dxa"/>
            <w:tcBorders>
              <w:bottom w:val="single" w:sz="6" w:space="0" w:color="E6E6E6"/>
              <w:right w:val="single" w:sz="6" w:space="0" w:color="E6E6E6"/>
            </w:tcBorders>
            <w:tcMar>
              <w:top w:w="120" w:type="dxa"/>
              <w:left w:w="180" w:type="dxa"/>
              <w:bottom w:w="105" w:type="dxa"/>
              <w:right w:w="120" w:type="dxa"/>
            </w:tcMar>
            <w:hideMark/>
          </w:tcPr>
          <w:p w14:paraId="6CCE813F" w14:textId="77777777" w:rsidR="000F61BA" w:rsidRDefault="000F61BA" w:rsidP="00504B06">
            <w:pPr>
              <w:pStyle w:val="ListParagraph"/>
              <w:numPr>
                <w:ilvl w:val="0"/>
                <w:numId w:val="61"/>
              </w:numPr>
              <w:spacing w:before="0" w:after="0" w:line="240" w:lineRule="auto"/>
              <w:ind w:left="115" w:hanging="239"/>
              <w:rPr>
                <w:sz w:val="20"/>
                <w:szCs w:val="20"/>
              </w:rPr>
            </w:pPr>
            <w:r>
              <w:rPr>
                <w:sz w:val="20"/>
                <w:szCs w:val="20"/>
              </w:rPr>
              <w:t>Proven experience implementing development activities in Indonesia</w:t>
            </w:r>
          </w:p>
          <w:p w14:paraId="7F3AD540" w14:textId="72F8BD0A" w:rsidR="00631983" w:rsidRPr="009D6FA6" w:rsidRDefault="00631983" w:rsidP="00504B06">
            <w:pPr>
              <w:pStyle w:val="ListParagraph"/>
              <w:numPr>
                <w:ilvl w:val="0"/>
                <w:numId w:val="61"/>
              </w:numPr>
              <w:spacing w:before="0" w:after="0" w:line="240" w:lineRule="auto"/>
              <w:ind w:left="115" w:hanging="239"/>
              <w:rPr>
                <w:sz w:val="20"/>
                <w:szCs w:val="20"/>
              </w:rPr>
            </w:pPr>
            <w:r>
              <w:rPr>
                <w:sz w:val="20"/>
                <w:szCs w:val="20"/>
              </w:rPr>
              <w:t>Solid</w:t>
            </w:r>
            <w:r w:rsidRPr="009D6FA6">
              <w:rPr>
                <w:sz w:val="20"/>
                <w:szCs w:val="20"/>
              </w:rPr>
              <w:t xml:space="preserve"> networks with </w:t>
            </w:r>
            <w:r w:rsidR="00031A51">
              <w:rPr>
                <w:sz w:val="20"/>
                <w:szCs w:val="20"/>
              </w:rPr>
              <w:t>relevant state and non-state actors</w:t>
            </w:r>
            <w:r w:rsidRPr="009D6FA6">
              <w:rPr>
                <w:sz w:val="20"/>
                <w:szCs w:val="20"/>
              </w:rPr>
              <w:t xml:space="preserve"> </w:t>
            </w:r>
          </w:p>
          <w:p w14:paraId="71975A01" w14:textId="5AAC23A9" w:rsidR="0007340D" w:rsidRPr="00E218D1" w:rsidRDefault="0007340D" w:rsidP="00504B06">
            <w:pPr>
              <w:pStyle w:val="ListParagraph"/>
              <w:numPr>
                <w:ilvl w:val="0"/>
                <w:numId w:val="61"/>
              </w:numPr>
              <w:spacing w:before="0" w:after="0" w:line="240" w:lineRule="auto"/>
              <w:ind w:left="115" w:hanging="239"/>
              <w:rPr>
                <w:sz w:val="20"/>
                <w:szCs w:val="20"/>
              </w:rPr>
            </w:pPr>
            <w:r w:rsidRPr="009D6FA6">
              <w:rPr>
                <w:sz w:val="20"/>
                <w:szCs w:val="20"/>
              </w:rPr>
              <w:t xml:space="preserve">History of collaboration with </w:t>
            </w:r>
            <w:proofErr w:type="spellStart"/>
            <w:r w:rsidRPr="009D6FA6">
              <w:rPr>
                <w:sz w:val="20"/>
                <w:szCs w:val="20"/>
              </w:rPr>
              <w:t>GoI</w:t>
            </w:r>
            <w:proofErr w:type="spellEnd"/>
            <w:r w:rsidRPr="009D6FA6">
              <w:rPr>
                <w:sz w:val="20"/>
                <w:szCs w:val="20"/>
              </w:rPr>
              <w:t xml:space="preserve"> </w:t>
            </w:r>
            <w:r w:rsidR="00111A63">
              <w:rPr>
                <w:sz w:val="20"/>
                <w:szCs w:val="20"/>
              </w:rPr>
              <w:t>and/or parliamentarians (national or subnational)</w:t>
            </w:r>
          </w:p>
        </w:tc>
      </w:tr>
      <w:tr w:rsidR="0007340D" w:rsidRPr="00960403" w14:paraId="0E3FD351" w14:textId="77777777" w:rsidTr="001B328F">
        <w:trPr>
          <w:tblCellSpacing w:w="0" w:type="dxa"/>
        </w:trPr>
        <w:tc>
          <w:tcPr>
            <w:tcW w:w="2686"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7564E963" w14:textId="1D689DFC" w:rsidR="0007340D" w:rsidRPr="002246C6" w:rsidRDefault="00400E8A" w:rsidP="00504B06">
            <w:pPr>
              <w:pStyle w:val="ListParagraph"/>
              <w:numPr>
                <w:ilvl w:val="0"/>
                <w:numId w:val="104"/>
              </w:numPr>
              <w:spacing w:before="0" w:after="0" w:line="240" w:lineRule="auto"/>
              <w:ind w:left="332"/>
              <w:rPr>
                <w:sz w:val="20"/>
                <w:szCs w:val="20"/>
              </w:rPr>
            </w:pPr>
            <w:r>
              <w:rPr>
                <w:rStyle w:val="Strong"/>
                <w:sz w:val="20"/>
                <w:szCs w:val="20"/>
              </w:rPr>
              <w:t>C</w:t>
            </w:r>
            <w:r w:rsidRPr="00D8180E">
              <w:rPr>
                <w:rStyle w:val="Strong"/>
                <w:sz w:val="20"/>
                <w:szCs w:val="20"/>
              </w:rPr>
              <w:t xml:space="preserve">ompliance with </w:t>
            </w:r>
            <w:r w:rsidR="00D20F96">
              <w:rPr>
                <w:rStyle w:val="Strong"/>
                <w:sz w:val="20"/>
                <w:szCs w:val="20"/>
              </w:rPr>
              <w:t xml:space="preserve">relevant </w:t>
            </w:r>
            <w:r w:rsidRPr="00D8180E">
              <w:rPr>
                <w:rStyle w:val="Strong"/>
                <w:sz w:val="20"/>
                <w:szCs w:val="20"/>
              </w:rPr>
              <w:t>DFAT policies</w:t>
            </w:r>
          </w:p>
        </w:tc>
        <w:tc>
          <w:tcPr>
            <w:tcW w:w="3050" w:type="dxa"/>
            <w:tcBorders>
              <w:bottom w:val="single" w:sz="6" w:space="0" w:color="E6E6E6"/>
              <w:right w:val="single" w:sz="6" w:space="0" w:color="E6E6E6"/>
            </w:tcBorders>
            <w:tcMar>
              <w:top w:w="120" w:type="dxa"/>
              <w:left w:w="180" w:type="dxa"/>
              <w:bottom w:w="105" w:type="dxa"/>
              <w:right w:w="120" w:type="dxa"/>
            </w:tcMar>
            <w:hideMark/>
          </w:tcPr>
          <w:p w14:paraId="3B5A81FC" w14:textId="1790BE39" w:rsidR="0007340D" w:rsidRPr="009D6FA6" w:rsidRDefault="008B2494">
            <w:pPr>
              <w:spacing w:before="0" w:after="0"/>
              <w:rPr>
                <w:sz w:val="20"/>
                <w:szCs w:val="20"/>
              </w:rPr>
            </w:pPr>
            <w:r>
              <w:rPr>
                <w:sz w:val="20"/>
                <w:szCs w:val="20"/>
              </w:rPr>
              <w:t>A</w:t>
            </w:r>
            <w:r w:rsidRPr="002246C6">
              <w:rPr>
                <w:sz w:val="20"/>
                <w:szCs w:val="20"/>
              </w:rPr>
              <w:t>bility to comply with DFAT policies for development programs, including for cross-cutting issues, risk management, and safeguards</w:t>
            </w:r>
            <w:r>
              <w:t xml:space="preserve"> </w:t>
            </w:r>
          </w:p>
        </w:tc>
        <w:tc>
          <w:tcPr>
            <w:tcW w:w="4037" w:type="dxa"/>
            <w:tcBorders>
              <w:bottom w:val="single" w:sz="6" w:space="0" w:color="E6E6E6"/>
              <w:right w:val="single" w:sz="6" w:space="0" w:color="E6E6E6"/>
            </w:tcBorders>
            <w:tcMar>
              <w:top w:w="120" w:type="dxa"/>
              <w:left w:w="180" w:type="dxa"/>
              <w:bottom w:w="105" w:type="dxa"/>
              <w:right w:w="120" w:type="dxa"/>
            </w:tcMar>
            <w:hideMark/>
          </w:tcPr>
          <w:p w14:paraId="1A3986AD" w14:textId="77777777" w:rsidR="0007340D" w:rsidRDefault="0007340D" w:rsidP="00504B06">
            <w:pPr>
              <w:pStyle w:val="ListParagraph"/>
              <w:numPr>
                <w:ilvl w:val="0"/>
                <w:numId w:val="61"/>
              </w:numPr>
              <w:spacing w:before="0" w:after="0" w:line="240" w:lineRule="auto"/>
              <w:ind w:left="115" w:hanging="239"/>
              <w:rPr>
                <w:sz w:val="20"/>
                <w:szCs w:val="20"/>
              </w:rPr>
            </w:pPr>
            <w:r>
              <w:rPr>
                <w:sz w:val="20"/>
                <w:szCs w:val="20"/>
              </w:rPr>
              <w:t>Meets DFAT due diligenc</w:t>
            </w:r>
            <w:r w:rsidRPr="00AA758F">
              <w:rPr>
                <w:sz w:val="20"/>
                <w:szCs w:val="20"/>
              </w:rPr>
              <w:t>e</w:t>
            </w:r>
            <w:r>
              <w:rPr>
                <w:sz w:val="20"/>
                <w:szCs w:val="20"/>
              </w:rPr>
              <w:t xml:space="preserve"> requirements </w:t>
            </w:r>
          </w:p>
          <w:p w14:paraId="2BF0646E" w14:textId="77777777" w:rsidR="0007340D" w:rsidRPr="00C9661C" w:rsidRDefault="0007340D" w:rsidP="00504B06">
            <w:pPr>
              <w:pStyle w:val="ListParagraph"/>
              <w:numPr>
                <w:ilvl w:val="0"/>
                <w:numId w:val="61"/>
              </w:numPr>
              <w:spacing w:before="0" w:after="0" w:line="240" w:lineRule="auto"/>
              <w:ind w:left="115" w:hanging="239"/>
              <w:rPr>
                <w:sz w:val="20"/>
                <w:szCs w:val="20"/>
              </w:rPr>
            </w:pPr>
            <w:r w:rsidRPr="00C9661C">
              <w:rPr>
                <w:sz w:val="20"/>
                <w:szCs w:val="20"/>
              </w:rPr>
              <w:t>Proven track record in administering donor programs</w:t>
            </w:r>
          </w:p>
          <w:p w14:paraId="404991AC" w14:textId="77777777" w:rsidR="0007340D" w:rsidRDefault="0007340D" w:rsidP="00504B06">
            <w:pPr>
              <w:pStyle w:val="ListParagraph"/>
              <w:numPr>
                <w:ilvl w:val="0"/>
                <w:numId w:val="61"/>
              </w:numPr>
              <w:spacing w:before="0" w:after="0" w:line="240" w:lineRule="auto"/>
              <w:ind w:left="115" w:hanging="239"/>
              <w:rPr>
                <w:sz w:val="20"/>
                <w:szCs w:val="20"/>
              </w:rPr>
            </w:pPr>
            <w:r w:rsidRPr="009D6FA6">
              <w:rPr>
                <w:sz w:val="20"/>
                <w:szCs w:val="20"/>
              </w:rPr>
              <w:t>Safeguarding and risk protocols</w:t>
            </w:r>
            <w:r>
              <w:rPr>
                <w:sz w:val="20"/>
                <w:szCs w:val="20"/>
              </w:rPr>
              <w:t xml:space="preserve"> in place</w:t>
            </w:r>
          </w:p>
          <w:p w14:paraId="2E69070A" w14:textId="7E07BD3C" w:rsidR="0007340D" w:rsidRPr="002246C6" w:rsidRDefault="0007340D" w:rsidP="00504B06">
            <w:pPr>
              <w:pStyle w:val="ListParagraph"/>
              <w:numPr>
                <w:ilvl w:val="0"/>
                <w:numId w:val="61"/>
              </w:numPr>
              <w:spacing w:before="0" w:after="0" w:line="240" w:lineRule="auto"/>
              <w:ind w:left="115" w:hanging="239"/>
              <w:rPr>
                <w:sz w:val="20"/>
                <w:szCs w:val="20"/>
              </w:rPr>
            </w:pPr>
            <w:r w:rsidRPr="00C9661C">
              <w:rPr>
                <w:sz w:val="20"/>
                <w:szCs w:val="20"/>
              </w:rPr>
              <w:t>Demonstrated commitment to GEDSI</w:t>
            </w:r>
          </w:p>
        </w:tc>
      </w:tr>
      <w:tr w:rsidR="0007340D" w:rsidRPr="00960403" w14:paraId="7EFFC4B0" w14:textId="77777777" w:rsidTr="001B328F">
        <w:trPr>
          <w:tblCellSpacing w:w="0" w:type="dxa"/>
        </w:trPr>
        <w:tc>
          <w:tcPr>
            <w:tcW w:w="2686" w:type="dxa"/>
            <w:tcBorders>
              <w:left w:val="single" w:sz="6" w:space="0" w:color="E6E6E6"/>
              <w:bottom w:val="single" w:sz="6" w:space="0" w:color="E6E6E6"/>
              <w:right w:val="single" w:sz="6" w:space="0" w:color="E6E6E6"/>
            </w:tcBorders>
            <w:tcMar>
              <w:top w:w="120" w:type="dxa"/>
              <w:left w:w="180" w:type="dxa"/>
              <w:bottom w:w="105" w:type="dxa"/>
              <w:right w:w="120" w:type="dxa"/>
            </w:tcMar>
            <w:hideMark/>
          </w:tcPr>
          <w:p w14:paraId="419A853F" w14:textId="47C3FCC1" w:rsidR="0007340D" w:rsidRPr="009D6FA6" w:rsidRDefault="00527F53" w:rsidP="00504B06">
            <w:pPr>
              <w:pStyle w:val="ListParagraph"/>
              <w:numPr>
                <w:ilvl w:val="0"/>
                <w:numId w:val="104"/>
              </w:numPr>
              <w:spacing w:before="0" w:after="0" w:line="240" w:lineRule="auto"/>
              <w:ind w:left="332"/>
              <w:rPr>
                <w:sz w:val="20"/>
                <w:szCs w:val="20"/>
              </w:rPr>
            </w:pPr>
            <w:r>
              <w:rPr>
                <w:rStyle w:val="Strong"/>
                <w:sz w:val="20"/>
                <w:szCs w:val="20"/>
              </w:rPr>
              <w:t>M</w:t>
            </w:r>
            <w:r w:rsidRPr="00BE31AE">
              <w:rPr>
                <w:rStyle w:val="Strong"/>
                <w:sz w:val="20"/>
                <w:szCs w:val="20"/>
              </w:rPr>
              <w:t>onitoring, Evaluation and Learning</w:t>
            </w:r>
            <w:r w:rsidRPr="009D6FA6">
              <w:rPr>
                <w:rStyle w:val="Strong"/>
                <w:sz w:val="20"/>
                <w:szCs w:val="20"/>
              </w:rPr>
              <w:t xml:space="preserve"> </w:t>
            </w:r>
          </w:p>
        </w:tc>
        <w:tc>
          <w:tcPr>
            <w:tcW w:w="3050" w:type="dxa"/>
            <w:tcBorders>
              <w:bottom w:val="single" w:sz="6" w:space="0" w:color="E6E6E6"/>
              <w:right w:val="single" w:sz="6" w:space="0" w:color="E6E6E6"/>
            </w:tcBorders>
            <w:tcMar>
              <w:top w:w="120" w:type="dxa"/>
              <w:left w:w="180" w:type="dxa"/>
              <w:bottom w:w="105" w:type="dxa"/>
              <w:right w:w="120" w:type="dxa"/>
            </w:tcMar>
            <w:hideMark/>
          </w:tcPr>
          <w:p w14:paraId="5FF68BEA" w14:textId="62018C44" w:rsidR="0007340D" w:rsidRPr="009D6FA6" w:rsidRDefault="0007340D">
            <w:pPr>
              <w:spacing w:before="0" w:after="0"/>
              <w:contextualSpacing/>
              <w:rPr>
                <w:sz w:val="20"/>
                <w:szCs w:val="20"/>
              </w:rPr>
            </w:pPr>
            <w:r w:rsidRPr="009D6FA6">
              <w:rPr>
                <w:sz w:val="20"/>
                <w:szCs w:val="20"/>
              </w:rPr>
              <w:t>Ability to implement and contribute to</w:t>
            </w:r>
            <w:r>
              <w:rPr>
                <w:sz w:val="20"/>
                <w:szCs w:val="20"/>
              </w:rPr>
              <w:t xml:space="preserve"> </w:t>
            </w:r>
            <w:r w:rsidR="00572836">
              <w:rPr>
                <w:sz w:val="20"/>
                <w:szCs w:val="20"/>
              </w:rPr>
              <w:t xml:space="preserve">strong </w:t>
            </w:r>
            <w:r w:rsidRPr="009D6FA6">
              <w:rPr>
                <w:sz w:val="20"/>
                <w:szCs w:val="20"/>
              </w:rPr>
              <w:t>MEL processes</w:t>
            </w:r>
            <w:r>
              <w:rPr>
                <w:sz w:val="20"/>
                <w:szCs w:val="20"/>
              </w:rPr>
              <w:t>.</w:t>
            </w:r>
          </w:p>
        </w:tc>
        <w:tc>
          <w:tcPr>
            <w:tcW w:w="4037" w:type="dxa"/>
            <w:tcBorders>
              <w:bottom w:val="single" w:sz="6" w:space="0" w:color="E6E6E6"/>
              <w:right w:val="single" w:sz="6" w:space="0" w:color="E6E6E6"/>
            </w:tcBorders>
            <w:tcMar>
              <w:top w:w="120" w:type="dxa"/>
              <w:left w:w="180" w:type="dxa"/>
              <w:bottom w:w="105" w:type="dxa"/>
              <w:right w:w="120" w:type="dxa"/>
            </w:tcMar>
            <w:hideMark/>
          </w:tcPr>
          <w:p w14:paraId="23CBF908" w14:textId="5A2046C5" w:rsidR="00527F53" w:rsidRDefault="00572836" w:rsidP="00504B06">
            <w:pPr>
              <w:pStyle w:val="ListParagraph"/>
              <w:numPr>
                <w:ilvl w:val="0"/>
                <w:numId w:val="61"/>
              </w:numPr>
              <w:spacing w:before="0" w:after="0" w:line="240" w:lineRule="auto"/>
              <w:ind w:left="115" w:hanging="239"/>
              <w:rPr>
                <w:sz w:val="20"/>
                <w:szCs w:val="20"/>
              </w:rPr>
            </w:pPr>
            <w:r>
              <w:rPr>
                <w:sz w:val="20"/>
                <w:szCs w:val="20"/>
              </w:rPr>
              <w:t>Experience meeting donor requirements for MEL</w:t>
            </w:r>
            <w:r w:rsidR="00527F53">
              <w:rPr>
                <w:sz w:val="20"/>
                <w:szCs w:val="20"/>
              </w:rPr>
              <w:t xml:space="preserve"> of activities</w:t>
            </w:r>
          </w:p>
          <w:p w14:paraId="313B2B39" w14:textId="105801B3" w:rsidR="00437BCB" w:rsidRPr="009D6FA6" w:rsidRDefault="0007340D" w:rsidP="00504B06">
            <w:pPr>
              <w:pStyle w:val="ListParagraph"/>
              <w:numPr>
                <w:ilvl w:val="0"/>
                <w:numId w:val="61"/>
              </w:numPr>
              <w:spacing w:before="0" w:after="0" w:line="240" w:lineRule="auto"/>
              <w:ind w:left="115" w:hanging="239"/>
              <w:rPr>
                <w:sz w:val="20"/>
                <w:szCs w:val="20"/>
              </w:rPr>
            </w:pPr>
            <w:r w:rsidRPr="009D6FA6">
              <w:rPr>
                <w:sz w:val="20"/>
                <w:szCs w:val="20"/>
              </w:rPr>
              <w:t xml:space="preserve">MEL </w:t>
            </w:r>
            <w:r>
              <w:rPr>
                <w:sz w:val="20"/>
                <w:szCs w:val="20"/>
              </w:rPr>
              <w:t>system and tools in place</w:t>
            </w:r>
          </w:p>
          <w:p w14:paraId="3A0F7B73" w14:textId="33FA2F55" w:rsidR="0007340D" w:rsidRPr="00527F53" w:rsidRDefault="00437BCB" w:rsidP="00504B06">
            <w:pPr>
              <w:pStyle w:val="ListParagraph"/>
              <w:numPr>
                <w:ilvl w:val="0"/>
                <w:numId w:val="61"/>
              </w:numPr>
              <w:spacing w:before="0" w:after="0" w:line="240" w:lineRule="auto"/>
              <w:ind w:left="115" w:hanging="239"/>
            </w:pPr>
            <w:r>
              <w:rPr>
                <w:sz w:val="20"/>
                <w:szCs w:val="20"/>
              </w:rPr>
              <w:t>Commitment to learning and continuous improvement for activities</w:t>
            </w:r>
          </w:p>
        </w:tc>
      </w:tr>
      <w:tr w:rsidR="0007340D" w:rsidRPr="00960403" w14:paraId="72593332" w14:textId="77777777" w:rsidTr="001B328F">
        <w:trPr>
          <w:tblCellSpacing w:w="0" w:type="dxa"/>
        </w:trPr>
        <w:tc>
          <w:tcPr>
            <w:tcW w:w="2686" w:type="dxa"/>
            <w:tcBorders>
              <w:left w:val="single" w:sz="6" w:space="0" w:color="E6E6E6"/>
              <w:bottom w:val="single" w:sz="6" w:space="0" w:color="E6E6E6"/>
              <w:right w:val="single" w:sz="6" w:space="0" w:color="E6E6E6"/>
            </w:tcBorders>
            <w:tcMar>
              <w:top w:w="120" w:type="dxa"/>
              <w:left w:w="180" w:type="dxa"/>
              <w:bottom w:w="105" w:type="dxa"/>
              <w:right w:w="120" w:type="dxa"/>
            </w:tcMar>
          </w:tcPr>
          <w:p w14:paraId="352992F1" w14:textId="561277D6" w:rsidR="0007340D" w:rsidRPr="009D6FA6" w:rsidRDefault="00414596" w:rsidP="00504B06">
            <w:pPr>
              <w:pStyle w:val="ListParagraph"/>
              <w:numPr>
                <w:ilvl w:val="0"/>
                <w:numId w:val="104"/>
              </w:numPr>
              <w:spacing w:before="0" w:after="0" w:line="240" w:lineRule="auto"/>
              <w:ind w:left="332"/>
              <w:rPr>
                <w:rStyle w:val="Strong"/>
                <w:sz w:val="20"/>
                <w:szCs w:val="20"/>
              </w:rPr>
            </w:pPr>
            <w:r>
              <w:rPr>
                <w:b/>
                <w:bCs/>
                <w:sz w:val="20"/>
                <w:szCs w:val="20"/>
              </w:rPr>
              <w:t xml:space="preserve">Ability to manage sub-grants </w:t>
            </w:r>
            <w:r w:rsidR="0007340D" w:rsidRPr="00AA758F">
              <w:rPr>
                <w:i/>
                <w:iCs/>
                <w:sz w:val="20"/>
                <w:szCs w:val="20"/>
              </w:rPr>
              <w:t>(only applicable for those seeking to provide sub-grants)</w:t>
            </w:r>
          </w:p>
        </w:tc>
        <w:tc>
          <w:tcPr>
            <w:tcW w:w="3050" w:type="dxa"/>
            <w:tcBorders>
              <w:bottom w:val="single" w:sz="6" w:space="0" w:color="E6E6E6"/>
              <w:right w:val="single" w:sz="6" w:space="0" w:color="E6E6E6"/>
            </w:tcBorders>
            <w:tcMar>
              <w:top w:w="120" w:type="dxa"/>
              <w:left w:w="180" w:type="dxa"/>
              <w:bottom w:w="105" w:type="dxa"/>
              <w:right w:w="120" w:type="dxa"/>
            </w:tcMar>
          </w:tcPr>
          <w:p w14:paraId="16F6FCE6" w14:textId="3A57A065" w:rsidR="0007340D" w:rsidRPr="009D6FA6" w:rsidRDefault="0007340D">
            <w:pPr>
              <w:spacing w:before="0" w:after="0"/>
              <w:contextualSpacing/>
              <w:rPr>
                <w:sz w:val="20"/>
                <w:szCs w:val="20"/>
              </w:rPr>
            </w:pPr>
            <w:r w:rsidRPr="007B1308">
              <w:rPr>
                <w:sz w:val="20"/>
                <w:szCs w:val="20"/>
              </w:rPr>
              <w:t xml:space="preserve">Capacity to manage sub-grants </w:t>
            </w:r>
            <w:r w:rsidR="00414596">
              <w:rPr>
                <w:sz w:val="20"/>
                <w:szCs w:val="20"/>
              </w:rPr>
              <w:t xml:space="preserve">effectively </w:t>
            </w:r>
            <w:r w:rsidRPr="007B1308">
              <w:rPr>
                <w:sz w:val="20"/>
                <w:szCs w:val="20"/>
              </w:rPr>
              <w:t>and ensure compliance.</w:t>
            </w:r>
          </w:p>
        </w:tc>
        <w:tc>
          <w:tcPr>
            <w:tcW w:w="4037" w:type="dxa"/>
            <w:tcBorders>
              <w:bottom w:val="single" w:sz="6" w:space="0" w:color="E6E6E6"/>
              <w:right w:val="single" w:sz="6" w:space="0" w:color="E6E6E6"/>
            </w:tcBorders>
            <w:tcMar>
              <w:top w:w="120" w:type="dxa"/>
              <w:left w:w="180" w:type="dxa"/>
              <w:bottom w:w="105" w:type="dxa"/>
              <w:right w:w="120" w:type="dxa"/>
            </w:tcMar>
          </w:tcPr>
          <w:p w14:paraId="1C50B2C3" w14:textId="77777777" w:rsidR="0007340D" w:rsidRPr="009D6FA6" w:rsidRDefault="0007340D" w:rsidP="00504B06">
            <w:pPr>
              <w:pStyle w:val="ListParagraph"/>
              <w:numPr>
                <w:ilvl w:val="0"/>
                <w:numId w:val="61"/>
              </w:numPr>
              <w:spacing w:before="0" w:after="0" w:line="240" w:lineRule="auto"/>
              <w:ind w:left="115" w:hanging="239"/>
              <w:rPr>
                <w:sz w:val="20"/>
                <w:szCs w:val="20"/>
              </w:rPr>
            </w:pPr>
            <w:r w:rsidRPr="009D6FA6">
              <w:rPr>
                <w:sz w:val="20"/>
                <w:szCs w:val="20"/>
              </w:rPr>
              <w:t>Grant management experience</w:t>
            </w:r>
            <w:r>
              <w:rPr>
                <w:sz w:val="20"/>
                <w:szCs w:val="20"/>
              </w:rPr>
              <w:t xml:space="preserve"> </w:t>
            </w:r>
          </w:p>
          <w:p w14:paraId="5EE6A6F3" w14:textId="1D8C2BC1" w:rsidR="0007340D" w:rsidRPr="00C9661C" w:rsidRDefault="0007340D" w:rsidP="00504B06">
            <w:pPr>
              <w:pStyle w:val="ListParagraph"/>
              <w:numPr>
                <w:ilvl w:val="0"/>
                <w:numId w:val="61"/>
              </w:numPr>
              <w:spacing w:before="0" w:after="0" w:line="240" w:lineRule="auto"/>
              <w:ind w:left="115" w:hanging="239"/>
              <w:rPr>
                <w:sz w:val="20"/>
                <w:szCs w:val="20"/>
              </w:rPr>
            </w:pPr>
            <w:r>
              <w:rPr>
                <w:sz w:val="20"/>
                <w:szCs w:val="20"/>
              </w:rPr>
              <w:t>Sound f</w:t>
            </w:r>
            <w:r w:rsidRPr="009D6FA6">
              <w:rPr>
                <w:sz w:val="20"/>
                <w:szCs w:val="20"/>
              </w:rPr>
              <w:t>inancial management systems</w:t>
            </w:r>
            <w:r w:rsidRPr="00C9661C">
              <w:rPr>
                <w:sz w:val="20"/>
                <w:szCs w:val="20"/>
              </w:rPr>
              <w:t xml:space="preserve"> </w:t>
            </w:r>
          </w:p>
          <w:p w14:paraId="519F9663" w14:textId="77777777" w:rsidR="0007340D" w:rsidRPr="009D6FA6" w:rsidRDefault="0007340D" w:rsidP="00504B06">
            <w:pPr>
              <w:pStyle w:val="ListParagraph"/>
              <w:numPr>
                <w:ilvl w:val="0"/>
                <w:numId w:val="61"/>
              </w:numPr>
              <w:spacing w:before="0" w:after="0" w:line="240" w:lineRule="auto"/>
              <w:ind w:left="115" w:hanging="239"/>
              <w:rPr>
                <w:sz w:val="20"/>
                <w:szCs w:val="20"/>
              </w:rPr>
            </w:pPr>
            <w:r w:rsidRPr="00C9661C">
              <w:rPr>
                <w:sz w:val="20"/>
                <w:szCs w:val="20"/>
              </w:rPr>
              <w:lastRenderedPageBreak/>
              <w:t>Experience with downstream partner management</w:t>
            </w:r>
            <w:r>
              <w:rPr>
                <w:sz w:val="20"/>
                <w:szCs w:val="20"/>
              </w:rPr>
              <w:t xml:space="preserve"> including monitoring and mentoring capability</w:t>
            </w:r>
          </w:p>
        </w:tc>
      </w:tr>
    </w:tbl>
    <w:p w14:paraId="2B2A61E5" w14:textId="77777777" w:rsidR="0007340D" w:rsidRDefault="0007340D" w:rsidP="0007340D">
      <w:pPr>
        <w:pStyle w:val="Heading5"/>
      </w:pPr>
      <w:r>
        <w:lastRenderedPageBreak/>
        <w:t>Contribution Arrangements (Grants)</w:t>
      </w:r>
    </w:p>
    <w:p w14:paraId="426728AE" w14:textId="51BF66D4" w:rsidR="008A6518" w:rsidRDefault="0007340D" w:rsidP="008A6518">
      <w:r>
        <w:rPr>
          <w:lang w:val="en-AU"/>
        </w:rPr>
        <w:t>DFAT will have a single grant agreement with the selected Convenor. This Agreement establishes the long-term arrangements and expectations between DFAT and the Convenor,</w:t>
      </w:r>
      <w:r w:rsidRPr="00C96FE7">
        <w:t xml:space="preserve"> including the Convenor’s role in managing and issuing grants to </w:t>
      </w:r>
      <w:r>
        <w:t xml:space="preserve">the </w:t>
      </w:r>
      <w:r w:rsidRPr="00C96FE7">
        <w:t xml:space="preserve">CSP. </w:t>
      </w:r>
      <w:r>
        <w:rPr>
          <w:lang w:val="en-AU"/>
        </w:rPr>
        <w:t xml:space="preserve">The Convenor will </w:t>
      </w:r>
      <w:proofErr w:type="gramStart"/>
      <w:r>
        <w:rPr>
          <w:lang w:val="en-AU"/>
        </w:rPr>
        <w:t>enter into</w:t>
      </w:r>
      <w:proofErr w:type="gramEnd"/>
      <w:r>
        <w:rPr>
          <w:lang w:val="en-AU"/>
        </w:rPr>
        <w:t xml:space="preserve"> arrangements with other CSP partners as required</w:t>
      </w:r>
      <w:r w:rsidR="008A6518">
        <w:rPr>
          <w:lang w:val="en-AU"/>
        </w:rPr>
        <w:t>.</w:t>
      </w:r>
      <w:bookmarkStart w:id="313" w:name="AnnexF"/>
      <w:r w:rsidR="008A6518">
        <w:br w:type="page"/>
      </w:r>
    </w:p>
    <w:p w14:paraId="77BCA5FF" w14:textId="156AEF33" w:rsidR="00902F90" w:rsidRPr="00121B5D" w:rsidRDefault="00902F90" w:rsidP="001F4E2D">
      <w:pPr>
        <w:pStyle w:val="Heading2"/>
        <w:spacing w:before="0"/>
      </w:pPr>
      <w:bookmarkStart w:id="314" w:name="_Toc232524301"/>
      <w:r w:rsidRPr="00121B5D">
        <w:lastRenderedPageBreak/>
        <w:t xml:space="preserve">Annex </w:t>
      </w:r>
      <w:r w:rsidR="00A64A42">
        <w:t>F</w:t>
      </w:r>
      <w:bookmarkEnd w:id="313"/>
      <w:r w:rsidRPr="00121B5D">
        <w:t>: Rationale for Geographic Focus</w:t>
      </w:r>
      <w:bookmarkEnd w:id="314"/>
    </w:p>
    <w:p w14:paraId="1B392598" w14:textId="556A2F20" w:rsidR="00902F90" w:rsidRDefault="00902F90" w:rsidP="00902F90">
      <w:pPr>
        <w:rPr>
          <w:lang w:val="en-AU"/>
        </w:rPr>
      </w:pPr>
      <w:r w:rsidRPr="7584C6A9">
        <w:rPr>
          <w:lang w:val="en-AU"/>
        </w:rPr>
        <w:t xml:space="preserve">The design recommends that </w:t>
      </w:r>
      <w:proofErr w:type="spellStart"/>
      <w:r w:rsidRPr="7584C6A9">
        <w:rPr>
          <w:lang w:val="en-AU"/>
        </w:rPr>
        <w:t>Partisipasi</w:t>
      </w:r>
      <w:proofErr w:type="spellEnd"/>
      <w:r w:rsidRPr="7584C6A9">
        <w:rPr>
          <w:lang w:val="en-AU"/>
        </w:rPr>
        <w:t xml:space="preserve"> prioritise engagement in </w:t>
      </w:r>
      <w:r w:rsidR="00DA49D4">
        <w:rPr>
          <w:lang w:val="en-AU"/>
        </w:rPr>
        <w:t>four</w:t>
      </w:r>
      <w:r w:rsidR="00791F3A" w:rsidRPr="7584C6A9">
        <w:rPr>
          <w:lang w:val="en-AU"/>
        </w:rPr>
        <w:t xml:space="preserve"> </w:t>
      </w:r>
      <w:r w:rsidRPr="7584C6A9">
        <w:rPr>
          <w:lang w:val="en-AU"/>
        </w:rPr>
        <w:t xml:space="preserve">core geographic hubs: </w:t>
      </w:r>
      <w:r w:rsidRPr="009553BD">
        <w:rPr>
          <w:bCs/>
          <w:lang w:val="en-AU"/>
        </w:rPr>
        <w:t>Jakarta, Yogyakarta, Makassar, and Aceh</w:t>
      </w:r>
      <w:r w:rsidRPr="00B44F9A">
        <w:rPr>
          <w:bCs/>
          <w:lang w:val="en-AU"/>
        </w:rPr>
        <w:t>. These locations are recommended based on their significan</w:t>
      </w:r>
      <w:r w:rsidRPr="7584C6A9">
        <w:rPr>
          <w:lang w:val="en-AU"/>
        </w:rPr>
        <w:t xml:space="preserve">ce, complementary civic and institutional ecosystems, and opportunities for deep, context-responsive programming. This ‘node-based’ approach reflects </w:t>
      </w:r>
      <w:proofErr w:type="spellStart"/>
      <w:r w:rsidRPr="7584C6A9">
        <w:rPr>
          <w:lang w:val="en-AU"/>
        </w:rPr>
        <w:t>Partisipasi’s</w:t>
      </w:r>
      <w:proofErr w:type="spellEnd"/>
      <w:r w:rsidRPr="7584C6A9">
        <w:rPr>
          <w:lang w:val="en-AU"/>
        </w:rPr>
        <w:t xml:space="preserve"> commitment to supporting reform coalitions</w:t>
      </w:r>
      <w:r w:rsidR="00C04D62">
        <w:rPr>
          <w:lang w:val="en-AU"/>
        </w:rPr>
        <w:t xml:space="preserve"> </w:t>
      </w:r>
      <w:r w:rsidRPr="7584C6A9">
        <w:rPr>
          <w:lang w:val="en-AU"/>
        </w:rPr>
        <w:t xml:space="preserve">and enabling adaptive, grounded learning across Indonesia’s diverse political geographies. Each location offers distinct entry points and comparative advantages in promoting democratic resilience. Together, they provide a platform for multi-level engagement </w:t>
      </w:r>
      <w:r>
        <w:t>with both municipal and provincial governments,</w:t>
      </w:r>
      <w:r w:rsidRPr="7584C6A9">
        <w:rPr>
          <w:lang w:val="en-AU"/>
        </w:rPr>
        <w:t xml:space="preserve"> local experimentation, and cross-program collaboration, while also offering operational feasibility and safeguarding considerations. </w:t>
      </w:r>
    </w:p>
    <w:p w14:paraId="7A63F8BB" w14:textId="659EB670" w:rsidR="00902F90" w:rsidRDefault="00902F90" w:rsidP="00902F90">
      <w:pPr>
        <w:rPr>
          <w:szCs w:val="21"/>
        </w:rPr>
      </w:pPr>
      <w:r w:rsidRPr="00122609">
        <w:rPr>
          <w:szCs w:val="21"/>
        </w:rPr>
        <w:t xml:space="preserve">While Jakarta anchors engagement with national-level institutions, the other hubs are intended primarily for subnational work, with the focus varying by context. </w:t>
      </w:r>
      <w:r w:rsidRPr="00B57CB6">
        <w:rPr>
          <w:szCs w:val="21"/>
        </w:rPr>
        <w:t>In Yogyakarta, the emphasis is largely at the city level (with universities, civic groups, and local government). In Aceh, the program will operate at the provincial level given the special autonomy status and the relevance of provincial institutions. In Makassar, the program will concentrate on the city as the core site of engagement—leveraging Makassar’s history of municipal innovation and open civic space—while also using it as a connector to civil society in South and West Sulawesi. This means that the program’s subnational engagement will be anchored in Makassar city, but with flexible reach into surrounding provinces where partnerships and opportunities emerge.</w:t>
      </w:r>
    </w:p>
    <w:p w14:paraId="1DCC2DF9" w14:textId="61BE4D4E" w:rsidR="005D09EC" w:rsidRDefault="005D09EC" w:rsidP="00902F90">
      <w:pPr>
        <w:rPr>
          <w:szCs w:val="21"/>
          <w:lang w:val="en-AU"/>
        </w:rPr>
      </w:pPr>
      <w:r>
        <w:rPr>
          <w:szCs w:val="21"/>
          <w:lang w:val="en-AU"/>
        </w:rPr>
        <w:t xml:space="preserve">Geographic focus areas will be confirmed by the Program Advisory Board, following further consultation with the Core Group Partners and </w:t>
      </w:r>
      <w:proofErr w:type="spellStart"/>
      <w:r>
        <w:rPr>
          <w:szCs w:val="21"/>
          <w:lang w:val="en-AU"/>
        </w:rPr>
        <w:t>Bappenas</w:t>
      </w:r>
      <w:proofErr w:type="spellEnd"/>
      <w:r>
        <w:rPr>
          <w:szCs w:val="21"/>
          <w:lang w:val="en-AU"/>
        </w:rPr>
        <w:t>.</w:t>
      </w:r>
    </w:p>
    <w:p w14:paraId="7AF4FE9B" w14:textId="2A96AE62" w:rsidR="00902F90" w:rsidRDefault="00902F90" w:rsidP="00902F90">
      <w:pPr>
        <w:pStyle w:val="Caption"/>
        <w:keepNext/>
      </w:pPr>
      <w:r>
        <w:t>Table</w:t>
      </w:r>
      <w:r w:rsidR="008D4216">
        <w:t xml:space="preserve"> </w:t>
      </w:r>
      <w:r w:rsidR="00FC764C">
        <w:t>6</w:t>
      </w:r>
      <w:r>
        <w:t xml:space="preserve">: </w:t>
      </w:r>
      <w:r w:rsidRPr="00C61AD7">
        <w:t xml:space="preserve">Rationale for Recommended </w:t>
      </w:r>
      <w:proofErr w:type="spellStart"/>
      <w:r w:rsidRPr="00C61AD7">
        <w:t>Partisipasi</w:t>
      </w:r>
      <w:proofErr w:type="spellEnd"/>
      <w:r w:rsidRPr="00C61AD7">
        <w:t xml:space="preserve"> Operating Locations</w:t>
      </w:r>
    </w:p>
    <w:tbl>
      <w:tblPr>
        <w:tblStyle w:val="DFAT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8525"/>
      </w:tblGrid>
      <w:tr w:rsidR="00902F90" w:rsidRPr="002F2B5F" w14:paraId="27771A42" w14:textId="77777777" w:rsidTr="009D6FA6">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C1E7E0" w:themeFill="accent1" w:themeFillTint="66"/>
            <w:hideMark/>
          </w:tcPr>
          <w:p w14:paraId="23D8695C" w14:textId="77777777" w:rsidR="00902F90" w:rsidRPr="00F666E3" w:rsidRDefault="00902F90">
            <w:pPr>
              <w:rPr>
                <w:rFonts w:asciiTheme="minorHAnsi" w:hAnsiTheme="minorHAnsi" w:cstheme="minorHAnsi"/>
                <w:b/>
                <w:bCs/>
                <w:color w:val="242C32" w:themeColor="text2" w:themeShade="80"/>
                <w:sz w:val="20"/>
                <w:szCs w:val="20"/>
                <w:lang w:val="en-AU"/>
              </w:rPr>
            </w:pPr>
            <w:r w:rsidRPr="00F666E3">
              <w:rPr>
                <w:rFonts w:asciiTheme="minorHAnsi" w:hAnsiTheme="minorHAnsi" w:cstheme="minorHAnsi"/>
                <w:b/>
                <w:bCs/>
                <w:color w:val="242C32" w:themeColor="text2" w:themeShade="80"/>
                <w:sz w:val="20"/>
                <w:szCs w:val="20"/>
                <w:lang w:val="en-AU"/>
              </w:rPr>
              <w:t>Location</w:t>
            </w:r>
          </w:p>
        </w:tc>
        <w:tc>
          <w:tcPr>
            <w:tcW w:w="0" w:type="auto"/>
            <w:shd w:val="clear" w:color="auto" w:fill="C1E7E0" w:themeFill="accent1" w:themeFillTint="66"/>
            <w:hideMark/>
          </w:tcPr>
          <w:p w14:paraId="404EBB60" w14:textId="77777777" w:rsidR="00902F90" w:rsidRPr="00F666E3" w:rsidRDefault="00902F90">
            <w:pPr>
              <w:rPr>
                <w:rFonts w:asciiTheme="minorHAnsi" w:hAnsiTheme="minorHAnsi" w:cstheme="minorHAnsi"/>
                <w:b/>
                <w:bCs/>
                <w:color w:val="242C32" w:themeColor="text2" w:themeShade="80"/>
                <w:sz w:val="20"/>
                <w:szCs w:val="20"/>
                <w:lang w:val="en-AU"/>
              </w:rPr>
            </w:pPr>
            <w:r w:rsidRPr="00F666E3">
              <w:rPr>
                <w:rFonts w:asciiTheme="minorHAnsi" w:hAnsiTheme="minorHAnsi" w:cstheme="minorHAnsi"/>
                <w:b/>
                <w:bCs/>
                <w:color w:val="242C32" w:themeColor="text2" w:themeShade="80"/>
                <w:sz w:val="20"/>
                <w:szCs w:val="20"/>
                <w:lang w:val="en-AU"/>
              </w:rPr>
              <w:t>Rationale</w:t>
            </w:r>
          </w:p>
        </w:tc>
      </w:tr>
      <w:tr w:rsidR="00902F90" w:rsidRPr="002F2B5F" w14:paraId="51080EEE" w14:textId="77777777" w:rsidTr="009D6FA6">
        <w:tc>
          <w:tcPr>
            <w:tcW w:w="0" w:type="auto"/>
            <w:hideMark/>
          </w:tcPr>
          <w:p w14:paraId="1F371B4A" w14:textId="77777777" w:rsidR="00902F90" w:rsidRPr="00F666E3" w:rsidRDefault="00902F90">
            <w:pPr>
              <w:rPr>
                <w:rFonts w:asciiTheme="minorHAnsi" w:hAnsiTheme="minorHAnsi" w:cstheme="minorHAnsi"/>
                <w:sz w:val="20"/>
                <w:szCs w:val="20"/>
                <w:lang w:val="en-AU"/>
              </w:rPr>
            </w:pPr>
            <w:r w:rsidRPr="00F666E3">
              <w:rPr>
                <w:rFonts w:asciiTheme="minorHAnsi" w:hAnsiTheme="minorHAnsi" w:cstheme="minorHAnsi"/>
                <w:b/>
                <w:bCs/>
                <w:sz w:val="20"/>
                <w:szCs w:val="20"/>
                <w:lang w:val="en-AU"/>
              </w:rPr>
              <w:t>Jakarta</w:t>
            </w:r>
          </w:p>
        </w:tc>
        <w:tc>
          <w:tcPr>
            <w:tcW w:w="0" w:type="auto"/>
            <w:hideMark/>
          </w:tcPr>
          <w:p w14:paraId="201E9A09" w14:textId="6B63309C" w:rsidR="00902F90" w:rsidRPr="00F666E3" w:rsidRDefault="00902F90">
            <w:pPr>
              <w:rPr>
                <w:rFonts w:asciiTheme="minorHAnsi" w:hAnsiTheme="minorHAnsi" w:cstheme="minorHAnsi"/>
                <w:sz w:val="20"/>
                <w:szCs w:val="20"/>
                <w:lang w:val="en-AU"/>
              </w:rPr>
            </w:pPr>
            <w:r w:rsidRPr="00F666E3">
              <w:rPr>
                <w:rFonts w:asciiTheme="minorHAnsi" w:hAnsiTheme="minorHAnsi" w:cstheme="minorHAnsi"/>
                <w:sz w:val="20"/>
                <w:szCs w:val="20"/>
                <w:lang w:val="en-AU"/>
              </w:rPr>
              <w:t xml:space="preserve">Jakarta serves as Indonesia’s political and media capital and is home to key democratic institutions—including KPU, </w:t>
            </w:r>
            <w:proofErr w:type="spellStart"/>
            <w:r w:rsidRPr="00F666E3">
              <w:rPr>
                <w:rFonts w:asciiTheme="minorHAnsi" w:hAnsiTheme="minorHAnsi" w:cstheme="minorHAnsi"/>
                <w:sz w:val="20"/>
                <w:szCs w:val="20"/>
                <w:lang w:val="en-AU"/>
              </w:rPr>
              <w:t>Bawaslu</w:t>
            </w:r>
            <w:proofErr w:type="spellEnd"/>
            <w:r w:rsidRPr="00F666E3">
              <w:rPr>
                <w:rFonts w:asciiTheme="minorHAnsi" w:hAnsiTheme="minorHAnsi" w:cstheme="minorHAnsi"/>
                <w:sz w:val="20"/>
                <w:szCs w:val="20"/>
                <w:lang w:val="en-AU"/>
              </w:rPr>
              <w:t>, DPR, and major governance and civil service ministries—as well as national media and digital platforms. It is the main policy</w:t>
            </w:r>
            <w:r w:rsidR="00C30E60">
              <w:rPr>
                <w:rFonts w:asciiTheme="minorHAnsi" w:hAnsiTheme="minorHAnsi" w:cstheme="minorHAnsi"/>
                <w:sz w:val="20"/>
                <w:szCs w:val="20"/>
                <w:lang w:val="en-AU"/>
              </w:rPr>
              <w:t xml:space="preserve"> advocacy</w:t>
            </w:r>
            <w:r w:rsidRPr="00F666E3">
              <w:rPr>
                <w:rFonts w:asciiTheme="minorHAnsi" w:hAnsiTheme="minorHAnsi" w:cstheme="minorHAnsi"/>
                <w:sz w:val="20"/>
                <w:szCs w:val="20"/>
                <w:lang w:val="en-AU"/>
              </w:rPr>
              <w:t xml:space="preserve"> hub for the program, anchoring engagement with national government and regulatory bodies. Jakarta-based CSO coalitions</w:t>
            </w:r>
            <w:r w:rsidR="00613160">
              <w:rPr>
                <w:rFonts w:asciiTheme="minorHAnsi" w:hAnsiTheme="minorHAnsi" w:cstheme="minorHAnsi"/>
                <w:sz w:val="20"/>
                <w:szCs w:val="20"/>
                <w:lang w:val="en-AU"/>
              </w:rPr>
              <w:t xml:space="preserve"> </w:t>
            </w:r>
            <w:r w:rsidRPr="00F666E3">
              <w:rPr>
                <w:rFonts w:asciiTheme="minorHAnsi" w:hAnsiTheme="minorHAnsi" w:cstheme="minorHAnsi"/>
                <w:sz w:val="20"/>
                <w:szCs w:val="20"/>
                <w:lang w:val="en-AU"/>
              </w:rPr>
              <w:t>and think tanks play a brokering role across the civic ecosystem. Its inclusion ensures alignment between subnational learning and national-level policy change.</w:t>
            </w:r>
          </w:p>
        </w:tc>
      </w:tr>
      <w:tr w:rsidR="00902F90" w:rsidRPr="002F2B5F" w14:paraId="5E2B1920" w14:textId="77777777" w:rsidTr="009D6FA6">
        <w:tc>
          <w:tcPr>
            <w:tcW w:w="0" w:type="auto"/>
            <w:hideMark/>
          </w:tcPr>
          <w:p w14:paraId="3D319B20" w14:textId="77777777" w:rsidR="00902F90" w:rsidRPr="00F666E3" w:rsidRDefault="00902F90">
            <w:pPr>
              <w:rPr>
                <w:rFonts w:asciiTheme="minorHAnsi" w:hAnsiTheme="minorHAnsi" w:cstheme="minorHAnsi"/>
                <w:sz w:val="20"/>
                <w:szCs w:val="20"/>
                <w:lang w:val="en-AU"/>
              </w:rPr>
            </w:pPr>
            <w:r w:rsidRPr="00F666E3">
              <w:rPr>
                <w:rFonts w:asciiTheme="minorHAnsi" w:hAnsiTheme="minorHAnsi" w:cstheme="minorHAnsi"/>
                <w:b/>
                <w:bCs/>
                <w:sz w:val="20"/>
                <w:szCs w:val="20"/>
                <w:lang w:val="en-AU"/>
              </w:rPr>
              <w:t>Yogyakarta</w:t>
            </w:r>
          </w:p>
        </w:tc>
        <w:tc>
          <w:tcPr>
            <w:tcW w:w="0" w:type="auto"/>
            <w:hideMark/>
          </w:tcPr>
          <w:p w14:paraId="3318EC39" w14:textId="011125A6" w:rsidR="00902F90" w:rsidRPr="00F666E3" w:rsidRDefault="00902F90">
            <w:pPr>
              <w:rPr>
                <w:rFonts w:asciiTheme="minorHAnsi" w:hAnsiTheme="minorHAnsi" w:cstheme="minorHAnsi"/>
                <w:sz w:val="20"/>
                <w:szCs w:val="20"/>
                <w:lang w:val="en-AU"/>
              </w:rPr>
            </w:pPr>
            <w:r w:rsidRPr="00F666E3">
              <w:rPr>
                <w:rFonts w:asciiTheme="minorHAnsi" w:hAnsiTheme="minorHAnsi" w:cstheme="minorHAnsi"/>
                <w:sz w:val="20"/>
                <w:szCs w:val="20"/>
                <w:lang w:val="en-AU"/>
              </w:rPr>
              <w:t xml:space="preserve">Yogyakarta functions as a civic innovation and thought leadership hub, known for its </w:t>
            </w:r>
            <w:r w:rsidR="002B52AD">
              <w:rPr>
                <w:rFonts w:asciiTheme="minorHAnsi" w:hAnsiTheme="minorHAnsi" w:cstheme="minorHAnsi"/>
                <w:sz w:val="20"/>
                <w:szCs w:val="20"/>
                <w:lang w:val="en-AU"/>
              </w:rPr>
              <w:t>universities</w:t>
            </w:r>
            <w:r w:rsidRPr="00F666E3">
              <w:rPr>
                <w:rFonts w:asciiTheme="minorHAnsi" w:hAnsiTheme="minorHAnsi" w:cstheme="minorHAnsi"/>
                <w:sz w:val="20"/>
                <w:szCs w:val="20"/>
                <w:lang w:val="en-AU"/>
              </w:rPr>
              <w:t>, civil society experimentation, and policy–academi</w:t>
            </w:r>
            <w:r w:rsidR="00A34B57">
              <w:rPr>
                <w:rFonts w:asciiTheme="minorHAnsi" w:hAnsiTheme="minorHAnsi" w:cstheme="minorHAnsi"/>
                <w:sz w:val="20"/>
                <w:szCs w:val="20"/>
                <w:lang w:val="en-AU"/>
              </w:rPr>
              <w:t>c-CSO</w:t>
            </w:r>
            <w:r w:rsidR="00A34B57" w:rsidRPr="00F666E3">
              <w:rPr>
                <w:rFonts w:asciiTheme="minorHAnsi" w:hAnsiTheme="minorHAnsi" w:cstheme="minorHAnsi"/>
                <w:sz w:val="20"/>
                <w:szCs w:val="20"/>
                <w:lang w:val="en-AU"/>
              </w:rPr>
              <w:t xml:space="preserve"> </w:t>
            </w:r>
            <w:r w:rsidRPr="00F666E3">
              <w:rPr>
                <w:rFonts w:asciiTheme="minorHAnsi" w:hAnsiTheme="minorHAnsi" w:cstheme="minorHAnsi"/>
                <w:sz w:val="20"/>
                <w:szCs w:val="20"/>
                <w:lang w:val="en-AU"/>
              </w:rPr>
              <w:t>linkages. The city hosts a dynamic mix of universities, arts collectives</w:t>
            </w:r>
            <w:r w:rsidR="0047441E">
              <w:rPr>
                <w:rFonts w:asciiTheme="minorHAnsi" w:hAnsiTheme="minorHAnsi" w:cstheme="minorHAnsi"/>
                <w:sz w:val="20"/>
                <w:szCs w:val="20"/>
                <w:lang w:val="en-AU"/>
              </w:rPr>
              <w:t xml:space="preserve"> </w:t>
            </w:r>
            <w:r w:rsidRPr="00F666E3">
              <w:rPr>
                <w:rFonts w:asciiTheme="minorHAnsi" w:hAnsiTheme="minorHAnsi" w:cstheme="minorHAnsi"/>
                <w:sz w:val="20"/>
                <w:szCs w:val="20"/>
                <w:lang w:val="en-AU"/>
              </w:rPr>
              <w:t xml:space="preserve">and independent media. The </w:t>
            </w:r>
            <w:proofErr w:type="spellStart"/>
            <w:r w:rsidRPr="00B56EF2">
              <w:rPr>
                <w:rFonts w:asciiTheme="minorHAnsi" w:hAnsiTheme="minorHAnsi" w:cstheme="minorHAnsi"/>
                <w:sz w:val="20"/>
                <w:szCs w:val="20"/>
                <w:lang w:val="en-AU"/>
              </w:rPr>
              <w:t>DemRe</w:t>
            </w:r>
            <w:r w:rsidRPr="00B56EF2">
              <w:rPr>
                <w:rFonts w:cstheme="minorHAnsi"/>
                <w:sz w:val="20"/>
                <w:szCs w:val="20"/>
                <w:lang w:val="en-AU"/>
              </w:rPr>
              <w:t>s</w:t>
            </w:r>
            <w:proofErr w:type="spellEnd"/>
            <w:r w:rsidRPr="00B56EF2">
              <w:rPr>
                <w:rFonts w:asciiTheme="minorHAnsi" w:hAnsiTheme="minorHAnsi" w:cstheme="minorHAnsi"/>
                <w:sz w:val="20"/>
                <w:szCs w:val="20"/>
                <w:lang w:val="en-AU"/>
              </w:rPr>
              <w:t xml:space="preserve"> </w:t>
            </w:r>
            <w:r w:rsidRPr="00F666E3">
              <w:rPr>
                <w:rFonts w:asciiTheme="minorHAnsi" w:hAnsiTheme="minorHAnsi" w:cstheme="minorHAnsi"/>
                <w:sz w:val="20"/>
                <w:szCs w:val="20"/>
                <w:lang w:val="en-AU"/>
              </w:rPr>
              <w:t xml:space="preserve">pilot and </w:t>
            </w:r>
            <w:r w:rsidR="00000E29">
              <w:rPr>
                <w:rFonts w:asciiTheme="minorHAnsi" w:hAnsiTheme="minorHAnsi" w:cstheme="minorHAnsi"/>
                <w:sz w:val="20"/>
                <w:szCs w:val="20"/>
                <w:lang w:val="en-AU"/>
              </w:rPr>
              <w:t>design</w:t>
            </w:r>
            <w:r w:rsidR="00000E29" w:rsidRPr="00F666E3">
              <w:rPr>
                <w:rFonts w:asciiTheme="minorHAnsi" w:hAnsiTheme="minorHAnsi" w:cstheme="minorHAnsi"/>
                <w:sz w:val="20"/>
                <w:szCs w:val="20"/>
                <w:lang w:val="en-AU"/>
              </w:rPr>
              <w:t xml:space="preserve"> </w:t>
            </w:r>
            <w:r w:rsidRPr="00F666E3">
              <w:rPr>
                <w:rFonts w:asciiTheme="minorHAnsi" w:hAnsiTheme="minorHAnsi" w:cstheme="minorHAnsi"/>
                <w:sz w:val="20"/>
                <w:szCs w:val="20"/>
                <w:lang w:val="en-AU"/>
              </w:rPr>
              <w:t>consultations point to Yogyakarta as a</w:t>
            </w:r>
            <w:r w:rsidR="0047441E">
              <w:rPr>
                <w:rFonts w:asciiTheme="minorHAnsi" w:hAnsiTheme="minorHAnsi" w:cstheme="minorHAnsi"/>
                <w:sz w:val="20"/>
                <w:szCs w:val="20"/>
                <w:lang w:val="en-AU"/>
              </w:rPr>
              <w:t xml:space="preserve">n innovation hub </w:t>
            </w:r>
            <w:r w:rsidRPr="00F666E3">
              <w:rPr>
                <w:rFonts w:asciiTheme="minorHAnsi" w:hAnsiTheme="minorHAnsi" w:cstheme="minorHAnsi"/>
                <w:sz w:val="20"/>
                <w:szCs w:val="20"/>
                <w:lang w:val="en-AU"/>
              </w:rPr>
              <w:t xml:space="preserve">for inclusive democratic practices, especially among youth, feminist, and digital rights movements. While its actors are well-networked, many remain under-resourced and require support to </w:t>
            </w:r>
            <w:r w:rsidR="00A37A1C">
              <w:rPr>
                <w:rFonts w:asciiTheme="minorHAnsi" w:hAnsiTheme="minorHAnsi" w:cstheme="minorHAnsi"/>
                <w:sz w:val="20"/>
                <w:szCs w:val="20"/>
                <w:lang w:val="en-AU"/>
              </w:rPr>
              <w:t xml:space="preserve">enhance their </w:t>
            </w:r>
            <w:r w:rsidRPr="00F666E3">
              <w:rPr>
                <w:rFonts w:asciiTheme="minorHAnsi" w:hAnsiTheme="minorHAnsi" w:cstheme="minorHAnsi"/>
                <w:sz w:val="20"/>
                <w:szCs w:val="20"/>
                <w:lang w:val="en-AU"/>
              </w:rPr>
              <w:t>impact.</w:t>
            </w:r>
          </w:p>
        </w:tc>
      </w:tr>
      <w:tr w:rsidR="00902F90" w:rsidRPr="002F2B5F" w14:paraId="7B533A42" w14:textId="77777777" w:rsidTr="009D6FA6">
        <w:tc>
          <w:tcPr>
            <w:tcW w:w="0" w:type="auto"/>
            <w:hideMark/>
          </w:tcPr>
          <w:p w14:paraId="366FD956" w14:textId="77777777" w:rsidR="00902F90" w:rsidRPr="00F666E3" w:rsidRDefault="00902F90">
            <w:pPr>
              <w:rPr>
                <w:rFonts w:asciiTheme="minorHAnsi" w:hAnsiTheme="minorHAnsi" w:cstheme="minorHAnsi"/>
                <w:sz w:val="20"/>
                <w:szCs w:val="20"/>
                <w:lang w:val="en-AU"/>
              </w:rPr>
            </w:pPr>
            <w:r w:rsidRPr="00F666E3">
              <w:rPr>
                <w:rFonts w:asciiTheme="minorHAnsi" w:hAnsiTheme="minorHAnsi" w:cstheme="minorHAnsi"/>
                <w:b/>
                <w:bCs/>
                <w:sz w:val="20"/>
                <w:szCs w:val="20"/>
                <w:lang w:val="en-AU"/>
              </w:rPr>
              <w:t>Makassar</w:t>
            </w:r>
          </w:p>
        </w:tc>
        <w:tc>
          <w:tcPr>
            <w:tcW w:w="0" w:type="auto"/>
            <w:hideMark/>
          </w:tcPr>
          <w:p w14:paraId="7BF1839E" w14:textId="672DDD55" w:rsidR="00902F90" w:rsidRPr="00F666E3" w:rsidRDefault="00902F90">
            <w:pPr>
              <w:rPr>
                <w:rFonts w:asciiTheme="minorHAnsi" w:hAnsiTheme="minorHAnsi" w:cstheme="minorHAnsi"/>
                <w:sz w:val="20"/>
                <w:szCs w:val="20"/>
                <w:lang w:val="en-AU"/>
              </w:rPr>
            </w:pPr>
            <w:r w:rsidRPr="00F666E3">
              <w:rPr>
                <w:rFonts w:asciiTheme="minorHAnsi" w:hAnsiTheme="minorHAnsi" w:cstheme="minorHAnsi"/>
                <w:sz w:val="20"/>
                <w:szCs w:val="20"/>
                <w:lang w:val="en-AU"/>
              </w:rPr>
              <w:t xml:space="preserve">As the largest city in Eastern Indonesia, it is </w:t>
            </w:r>
            <w:r w:rsidR="00D73194">
              <w:rPr>
                <w:rFonts w:asciiTheme="minorHAnsi" w:hAnsiTheme="minorHAnsi" w:cstheme="minorHAnsi"/>
                <w:sz w:val="20"/>
                <w:szCs w:val="20"/>
                <w:lang w:val="en-AU"/>
              </w:rPr>
              <w:t>well-</w:t>
            </w:r>
            <w:r w:rsidRPr="00F666E3">
              <w:rPr>
                <w:rFonts w:asciiTheme="minorHAnsi" w:hAnsiTheme="minorHAnsi" w:cstheme="minorHAnsi"/>
                <w:sz w:val="20"/>
                <w:szCs w:val="20"/>
                <w:lang w:val="en-AU"/>
              </w:rPr>
              <w:t xml:space="preserve">placed to support local governance innovation, budget transparency, and civil society collaboration at the municipal level. Its government has a history of public participation initiatives and </w:t>
            </w:r>
            <w:r w:rsidR="005911AF">
              <w:rPr>
                <w:rFonts w:asciiTheme="minorHAnsi" w:hAnsiTheme="minorHAnsi" w:cstheme="minorHAnsi"/>
                <w:sz w:val="20"/>
                <w:szCs w:val="20"/>
                <w:lang w:val="en-AU"/>
              </w:rPr>
              <w:t xml:space="preserve">an active </w:t>
            </w:r>
            <w:r w:rsidRPr="00F666E3">
              <w:rPr>
                <w:rFonts w:asciiTheme="minorHAnsi" w:hAnsiTheme="minorHAnsi" w:cstheme="minorHAnsi"/>
                <w:sz w:val="20"/>
                <w:szCs w:val="20"/>
                <w:lang w:val="en-AU"/>
              </w:rPr>
              <w:t>civic space. Makassar also acts as a connector to civil society in South and West Sulawesi.</w:t>
            </w:r>
          </w:p>
        </w:tc>
      </w:tr>
      <w:tr w:rsidR="00902F90" w:rsidRPr="00A309CF" w14:paraId="3679F063" w14:textId="77777777" w:rsidTr="009D6FA6">
        <w:tc>
          <w:tcPr>
            <w:tcW w:w="0" w:type="auto"/>
          </w:tcPr>
          <w:p w14:paraId="42EEEB8A" w14:textId="77777777" w:rsidR="00902F90" w:rsidRPr="00F666E3" w:rsidRDefault="00902F90">
            <w:pPr>
              <w:rPr>
                <w:rFonts w:asciiTheme="minorHAnsi" w:hAnsiTheme="minorHAnsi" w:cstheme="minorHAnsi"/>
                <w:b/>
                <w:bCs/>
                <w:sz w:val="20"/>
                <w:szCs w:val="20"/>
                <w:lang w:val="en-AU"/>
              </w:rPr>
            </w:pPr>
            <w:r w:rsidRPr="00F666E3">
              <w:rPr>
                <w:rFonts w:asciiTheme="minorHAnsi" w:hAnsiTheme="minorHAnsi" w:cstheme="minorHAnsi"/>
                <w:b/>
                <w:bCs/>
                <w:sz w:val="20"/>
                <w:szCs w:val="20"/>
                <w:lang w:val="en-AU"/>
              </w:rPr>
              <w:t>Aceh</w:t>
            </w:r>
          </w:p>
        </w:tc>
        <w:tc>
          <w:tcPr>
            <w:tcW w:w="0" w:type="auto"/>
          </w:tcPr>
          <w:p w14:paraId="62CEE6D2" w14:textId="0DC9E086" w:rsidR="00902F90" w:rsidRPr="00F666E3" w:rsidRDefault="00902F90">
            <w:pPr>
              <w:rPr>
                <w:rFonts w:asciiTheme="minorHAnsi" w:hAnsiTheme="minorHAnsi" w:cstheme="minorHAnsi"/>
                <w:sz w:val="20"/>
                <w:szCs w:val="20"/>
                <w:lang w:val="en-AU"/>
              </w:rPr>
            </w:pPr>
            <w:r w:rsidRPr="00F666E3">
              <w:rPr>
                <w:rFonts w:asciiTheme="minorHAnsi" w:hAnsiTheme="minorHAnsi" w:cstheme="minorHAnsi"/>
                <w:sz w:val="20"/>
                <w:szCs w:val="20"/>
                <w:lang w:val="en-AU"/>
              </w:rPr>
              <w:t>Aceh province presents unique governance and democratic challenges shaped by its special autonomy status, Islamic law implementation, and post-conflict institutional context</w:t>
            </w:r>
            <w:r w:rsidR="001B6AD6">
              <w:rPr>
                <w:rFonts w:asciiTheme="minorHAnsi" w:hAnsiTheme="minorHAnsi" w:cstheme="minorHAnsi"/>
                <w:sz w:val="20"/>
                <w:szCs w:val="20"/>
                <w:lang w:val="en-AU"/>
              </w:rPr>
              <w:t>, although it has demonstrated relative stability over the past two decades</w:t>
            </w:r>
            <w:r w:rsidRPr="00F666E3">
              <w:rPr>
                <w:rFonts w:asciiTheme="minorHAnsi" w:hAnsiTheme="minorHAnsi" w:cstheme="minorHAnsi"/>
                <w:sz w:val="20"/>
                <w:szCs w:val="20"/>
                <w:lang w:val="en-AU"/>
              </w:rPr>
              <w:t xml:space="preserve">. </w:t>
            </w:r>
            <w:r w:rsidR="00CA488B">
              <w:rPr>
                <w:rFonts w:asciiTheme="minorHAnsi" w:hAnsiTheme="minorHAnsi" w:cstheme="minorHAnsi"/>
                <w:sz w:val="20"/>
                <w:szCs w:val="20"/>
                <w:lang w:val="en-AU"/>
              </w:rPr>
              <w:t>Local</w:t>
            </w:r>
            <w:r w:rsidRPr="00F666E3">
              <w:rPr>
                <w:rFonts w:asciiTheme="minorHAnsi" w:hAnsiTheme="minorHAnsi" w:cstheme="minorHAnsi"/>
                <w:sz w:val="20"/>
                <w:szCs w:val="20"/>
                <w:lang w:val="en-AU"/>
              </w:rPr>
              <w:t xml:space="preserve"> CSOs demonstrate strong capacity, independence, and deep connections to political and governmental actors. Evidence from </w:t>
            </w:r>
            <w:proofErr w:type="spellStart"/>
            <w:r w:rsidRPr="0015781B">
              <w:rPr>
                <w:rFonts w:asciiTheme="minorHAnsi" w:hAnsiTheme="minorHAnsi" w:cstheme="minorHAnsi"/>
                <w:sz w:val="20"/>
                <w:szCs w:val="20"/>
                <w:lang w:val="en-AU"/>
              </w:rPr>
              <w:t>DemRes</w:t>
            </w:r>
            <w:proofErr w:type="spellEnd"/>
            <w:r w:rsidRPr="00F666E3">
              <w:rPr>
                <w:rFonts w:asciiTheme="minorHAnsi" w:hAnsiTheme="minorHAnsi" w:cstheme="minorHAnsi"/>
                <w:sz w:val="20"/>
                <w:szCs w:val="20"/>
                <w:lang w:val="en-AU"/>
              </w:rPr>
              <w:t xml:space="preserve"> shows that civic actors in Aceh </w:t>
            </w:r>
            <w:proofErr w:type="gramStart"/>
            <w:r w:rsidRPr="00F666E3">
              <w:rPr>
                <w:rFonts w:asciiTheme="minorHAnsi" w:hAnsiTheme="minorHAnsi" w:cstheme="minorHAnsi"/>
                <w:sz w:val="20"/>
                <w:szCs w:val="20"/>
                <w:lang w:val="en-AU"/>
              </w:rPr>
              <w:t xml:space="preserve">are capable of </w:t>
            </w:r>
            <w:r w:rsidR="00C96568">
              <w:rPr>
                <w:rFonts w:asciiTheme="minorHAnsi" w:hAnsiTheme="minorHAnsi" w:cstheme="minorHAnsi"/>
                <w:sz w:val="20"/>
                <w:szCs w:val="20"/>
                <w:lang w:val="en-AU"/>
              </w:rPr>
              <w:t>supporting</w:t>
            </w:r>
            <w:proofErr w:type="gramEnd"/>
            <w:r w:rsidR="00C96568" w:rsidRPr="00F666E3">
              <w:rPr>
                <w:rFonts w:asciiTheme="minorHAnsi" w:hAnsiTheme="minorHAnsi" w:cstheme="minorHAnsi"/>
                <w:sz w:val="20"/>
                <w:szCs w:val="20"/>
                <w:lang w:val="en-AU"/>
              </w:rPr>
              <w:t xml:space="preserve"> </w:t>
            </w:r>
            <w:r w:rsidRPr="00F666E3">
              <w:rPr>
                <w:rFonts w:asciiTheme="minorHAnsi" w:hAnsiTheme="minorHAnsi" w:cstheme="minorHAnsi"/>
                <w:sz w:val="20"/>
                <w:szCs w:val="20"/>
                <w:lang w:val="en-AU"/>
              </w:rPr>
              <w:t xml:space="preserve">reforms and maintaining political independence. </w:t>
            </w:r>
            <w:r w:rsidR="00C96568">
              <w:rPr>
                <w:rFonts w:asciiTheme="minorHAnsi" w:hAnsiTheme="minorHAnsi" w:cstheme="minorHAnsi"/>
                <w:sz w:val="20"/>
                <w:szCs w:val="20"/>
                <w:lang w:val="en-AU"/>
              </w:rPr>
              <w:t>M</w:t>
            </w:r>
            <w:r w:rsidRPr="00F666E3">
              <w:rPr>
                <w:rFonts w:asciiTheme="minorHAnsi" w:hAnsiTheme="minorHAnsi" w:cstheme="minorHAnsi"/>
                <w:sz w:val="20"/>
                <w:szCs w:val="20"/>
                <w:lang w:val="en-AU"/>
              </w:rPr>
              <w:t xml:space="preserve">ultiple DFAT-funded programs (AIPJ3, SKALA, INKLUSI, KONEKSI) operate in </w:t>
            </w:r>
            <w:r w:rsidR="00D76584">
              <w:rPr>
                <w:rFonts w:asciiTheme="minorHAnsi" w:hAnsiTheme="minorHAnsi" w:cstheme="minorHAnsi"/>
                <w:sz w:val="20"/>
                <w:szCs w:val="20"/>
                <w:lang w:val="en-AU"/>
              </w:rPr>
              <w:t>Aceh</w:t>
            </w:r>
            <w:r w:rsidRPr="00F666E3">
              <w:rPr>
                <w:rFonts w:asciiTheme="minorHAnsi" w:hAnsiTheme="minorHAnsi" w:cstheme="minorHAnsi"/>
                <w:sz w:val="20"/>
                <w:szCs w:val="20"/>
                <w:lang w:val="en-AU"/>
              </w:rPr>
              <w:t>, providing opportunities for cross-program collaboration.</w:t>
            </w:r>
          </w:p>
        </w:tc>
      </w:tr>
    </w:tbl>
    <w:p w14:paraId="3DBC4DF4" w14:textId="09DE13C5" w:rsidR="00614230" w:rsidRPr="00E73DC4" w:rsidRDefault="00614230" w:rsidP="00614230">
      <w:pPr>
        <w:pStyle w:val="Heading2"/>
      </w:pPr>
      <w:bookmarkStart w:id="315" w:name="_Annex_G:_Pre-inception"/>
      <w:bookmarkStart w:id="316" w:name="AnnexG"/>
      <w:bookmarkStart w:id="317" w:name="_Toc214021688"/>
      <w:bookmarkStart w:id="318" w:name="_Toc232524302"/>
      <w:bookmarkStart w:id="319" w:name="AnnexM"/>
      <w:bookmarkEnd w:id="315"/>
      <w:r w:rsidRPr="00E73DC4">
        <w:lastRenderedPageBreak/>
        <w:t xml:space="preserve">Annex </w:t>
      </w:r>
      <w:r>
        <w:t>G</w:t>
      </w:r>
      <w:bookmarkEnd w:id="316"/>
      <w:r w:rsidRPr="00E73DC4">
        <w:t xml:space="preserve">: </w:t>
      </w:r>
      <w:r>
        <w:t>Pre-inception and Inception Workplan</w:t>
      </w:r>
      <w:bookmarkEnd w:id="317"/>
      <w:bookmarkEnd w:id="318"/>
    </w:p>
    <w:p w14:paraId="7C075251" w14:textId="77777777" w:rsidR="00614230" w:rsidRDefault="00614230" w:rsidP="00614230">
      <w:r w:rsidRPr="00C24E82">
        <w:t xml:space="preserve">This annex sets out the indicative </w:t>
      </w:r>
      <w:r>
        <w:t xml:space="preserve">Pre-Inception Phase (January – February 2026), and Inception Phase (March–June 2026) </w:t>
      </w:r>
      <w:r w:rsidRPr="00C24E82">
        <w:t>activities and outputs for</w:t>
      </w:r>
      <w:r>
        <w:t xml:space="preserve"> </w:t>
      </w:r>
      <w:proofErr w:type="spellStart"/>
      <w:r>
        <w:t>Partisipasi</w:t>
      </w:r>
      <w:proofErr w:type="spellEnd"/>
      <w:r w:rsidRPr="00C24E82">
        <w:t>. A concurrent workplan and Gantt chart are also included to illustrate sequencing and overlaps.</w:t>
      </w:r>
    </w:p>
    <w:p w14:paraId="3FEDF4F9" w14:textId="77777777" w:rsidR="00614230" w:rsidRPr="002533ED" w:rsidRDefault="00614230" w:rsidP="00614230">
      <w:pPr>
        <w:pStyle w:val="Heading3"/>
      </w:pPr>
      <w:r w:rsidRPr="002533ED">
        <w:t xml:space="preserve">Pre-Inception Phase </w:t>
      </w:r>
    </w:p>
    <w:p w14:paraId="26DBBE90" w14:textId="77777777" w:rsidR="00614230" w:rsidRPr="00134CD6" w:rsidRDefault="00614230" w:rsidP="00614230">
      <w:pPr>
        <w:rPr>
          <w:lang w:val="en-AU"/>
        </w:rPr>
      </w:pPr>
      <w:r w:rsidRPr="00134CD6">
        <w:rPr>
          <w:lang w:val="en-AU"/>
        </w:rPr>
        <w:t xml:space="preserve">While </w:t>
      </w:r>
      <w:proofErr w:type="spellStart"/>
      <w:r w:rsidRPr="00134CD6">
        <w:rPr>
          <w:lang w:val="en-AU"/>
        </w:rPr>
        <w:t>Partisipasi’s</w:t>
      </w:r>
      <w:proofErr w:type="spellEnd"/>
      <w:r w:rsidRPr="00134CD6">
        <w:rPr>
          <w:lang w:val="en-AU"/>
        </w:rPr>
        <w:t xml:space="preserve"> </w:t>
      </w:r>
      <w:r>
        <w:rPr>
          <w:lang w:val="en-AU"/>
        </w:rPr>
        <w:t>I</w:t>
      </w:r>
      <w:r w:rsidRPr="00134CD6">
        <w:rPr>
          <w:lang w:val="en-AU"/>
        </w:rPr>
        <w:t xml:space="preserve">nception </w:t>
      </w:r>
      <w:r>
        <w:rPr>
          <w:lang w:val="en-AU"/>
        </w:rPr>
        <w:t>P</w:t>
      </w:r>
      <w:r w:rsidRPr="00134CD6">
        <w:rPr>
          <w:lang w:val="en-AU"/>
        </w:rPr>
        <w:t xml:space="preserve">hase </w:t>
      </w:r>
      <w:r>
        <w:rPr>
          <w:lang w:val="en-AU"/>
        </w:rPr>
        <w:t>is anticipated to formally commence on 1 March 2026</w:t>
      </w:r>
      <w:r w:rsidRPr="00134CD6">
        <w:rPr>
          <w:lang w:val="en-AU"/>
        </w:rPr>
        <w:t>, a discrete set of pre-i</w:t>
      </w:r>
      <w:r>
        <w:rPr>
          <w:lang w:val="en-AU"/>
        </w:rPr>
        <w:t>nception</w:t>
      </w:r>
      <w:r w:rsidRPr="00134CD6">
        <w:rPr>
          <w:lang w:val="en-AU"/>
        </w:rPr>
        <w:t xml:space="preserve"> activities will be required to ensure that governance, management, and delivery structures are in place and able to </w:t>
      </w:r>
      <w:r>
        <w:rPr>
          <w:lang w:val="en-AU"/>
        </w:rPr>
        <w:t>support effective program delivery from contract commencement</w:t>
      </w:r>
      <w:r w:rsidRPr="00134CD6">
        <w:rPr>
          <w:lang w:val="en-AU"/>
        </w:rPr>
        <w:t>. These preparatory steps</w:t>
      </w:r>
      <w:r>
        <w:rPr>
          <w:lang w:val="en-AU"/>
        </w:rPr>
        <w:t xml:space="preserve"> </w:t>
      </w:r>
      <w:r w:rsidRPr="00134CD6">
        <w:rPr>
          <w:lang w:val="en-AU"/>
        </w:rPr>
        <w:t xml:space="preserve">will establish the institutional scaffolding upon which the </w:t>
      </w:r>
      <w:r>
        <w:rPr>
          <w:lang w:val="en-AU"/>
        </w:rPr>
        <w:t>I</w:t>
      </w:r>
      <w:r w:rsidRPr="00134CD6">
        <w:rPr>
          <w:lang w:val="en-AU"/>
        </w:rPr>
        <w:t xml:space="preserve">nception </w:t>
      </w:r>
      <w:r>
        <w:rPr>
          <w:lang w:val="en-AU"/>
        </w:rPr>
        <w:t>P</w:t>
      </w:r>
      <w:r w:rsidRPr="00134CD6">
        <w:rPr>
          <w:lang w:val="en-AU"/>
        </w:rPr>
        <w:t>hase can build.</w:t>
      </w:r>
    </w:p>
    <w:p w14:paraId="572A6670" w14:textId="5BFB116C" w:rsidR="00614230" w:rsidRPr="002533ED" w:rsidRDefault="00CF4374" w:rsidP="00504B06">
      <w:pPr>
        <w:pStyle w:val="Heading5"/>
        <w:numPr>
          <w:ilvl w:val="1"/>
          <w:numId w:val="68"/>
        </w:numPr>
        <w:tabs>
          <w:tab w:val="num" w:pos="1440"/>
        </w:tabs>
        <w:ind w:left="426" w:hanging="284"/>
      </w:pPr>
      <w:r>
        <w:t>Mobilise</w:t>
      </w:r>
      <w:r w:rsidR="00614230" w:rsidRPr="002533ED">
        <w:t xml:space="preserve"> the Program Support Unit (PSU) </w:t>
      </w:r>
    </w:p>
    <w:p w14:paraId="10A8C582" w14:textId="1FD9FE77" w:rsidR="00614230" w:rsidRPr="00DA071D" w:rsidRDefault="00614230" w:rsidP="00614230">
      <w:r>
        <w:t>DFAT will work with the PSU</w:t>
      </w:r>
      <w:r w:rsidR="00A87743">
        <w:t xml:space="preserve"> Contractor to finalise the</w:t>
      </w:r>
      <w:r>
        <w:t xml:space="preserve"> scope of services (see draft at</w:t>
      </w:r>
      <w:r w:rsidR="007118A8">
        <w:t xml:space="preserve"> </w:t>
      </w:r>
      <w:hyperlink w:anchor="_Annex_C:_Contractor" w:history="1">
        <w:r w:rsidR="007118A8" w:rsidRPr="007118A8">
          <w:rPr>
            <w:rStyle w:val="Hyperlink"/>
            <w:rFonts w:cstheme="minorBidi"/>
            <w:b/>
            <w:bCs/>
          </w:rPr>
          <w:t>Annex C</w:t>
        </w:r>
      </w:hyperlink>
      <w:r>
        <w:t xml:space="preserve">) as well as the individual roles. </w:t>
      </w:r>
      <w:r w:rsidR="00A87743">
        <w:t>The Contractor</w:t>
      </w:r>
      <w:r>
        <w:t xml:space="preserve"> will then competitively recruit or sub-contract the PSU. </w:t>
      </w:r>
      <w:r w:rsidR="00A87743">
        <w:rPr>
          <w:lang w:val="en-AU"/>
        </w:rPr>
        <w:t>The</w:t>
      </w:r>
      <w:r w:rsidRPr="00DA071D">
        <w:rPr>
          <w:lang w:val="en-AU"/>
        </w:rPr>
        <w:t xml:space="preserve"> PSU must demonstrate capacity in quality:</w:t>
      </w:r>
    </w:p>
    <w:p w14:paraId="35ADD881" w14:textId="77777777" w:rsidR="00614230" w:rsidRPr="00640DB2" w:rsidRDefault="00614230" w:rsidP="00504B06">
      <w:pPr>
        <w:pStyle w:val="ListParagraph"/>
        <w:numPr>
          <w:ilvl w:val="0"/>
          <w:numId w:val="29"/>
        </w:numPr>
        <w:rPr>
          <w:lang w:val="en-AU"/>
        </w:rPr>
      </w:pPr>
      <w:r w:rsidRPr="00640DB2">
        <w:rPr>
          <w:lang w:val="en-AU"/>
        </w:rPr>
        <w:t>Program management and adaptive delivery</w:t>
      </w:r>
    </w:p>
    <w:p w14:paraId="6957A341" w14:textId="77777777" w:rsidR="00614230" w:rsidRPr="00640DB2" w:rsidRDefault="00614230" w:rsidP="00504B06">
      <w:pPr>
        <w:pStyle w:val="ListParagraph"/>
        <w:numPr>
          <w:ilvl w:val="0"/>
          <w:numId w:val="29"/>
        </w:numPr>
        <w:rPr>
          <w:lang w:val="en-AU"/>
        </w:rPr>
      </w:pPr>
      <w:r w:rsidRPr="00640DB2">
        <w:rPr>
          <w:lang w:val="en-AU"/>
        </w:rPr>
        <w:t>Secretariat and administrative services</w:t>
      </w:r>
    </w:p>
    <w:p w14:paraId="6B183F4F" w14:textId="77777777" w:rsidR="00224513" w:rsidRDefault="00224513" w:rsidP="00504B06">
      <w:pPr>
        <w:pStyle w:val="ListParagraph"/>
        <w:numPr>
          <w:ilvl w:val="0"/>
          <w:numId w:val="29"/>
        </w:numPr>
        <w:rPr>
          <w:lang w:val="en-AU"/>
        </w:rPr>
      </w:pPr>
      <w:r>
        <w:rPr>
          <w:lang w:val="en-AU"/>
        </w:rPr>
        <w:t>MEL</w:t>
      </w:r>
    </w:p>
    <w:p w14:paraId="621EDF02" w14:textId="75702A6B" w:rsidR="00614230" w:rsidRPr="00640DB2" w:rsidRDefault="00614230" w:rsidP="00504B06">
      <w:pPr>
        <w:pStyle w:val="ListParagraph"/>
        <w:numPr>
          <w:ilvl w:val="0"/>
          <w:numId w:val="29"/>
        </w:numPr>
        <w:rPr>
          <w:lang w:val="en-AU"/>
        </w:rPr>
      </w:pPr>
      <w:r w:rsidRPr="00640DB2">
        <w:rPr>
          <w:lang w:val="en-AU"/>
        </w:rPr>
        <w:t>Risk management and fiduciary oversight</w:t>
      </w:r>
    </w:p>
    <w:p w14:paraId="555E4D3B" w14:textId="77777777" w:rsidR="00614230" w:rsidRPr="00640DB2" w:rsidRDefault="00614230" w:rsidP="00504B06">
      <w:pPr>
        <w:pStyle w:val="ListParagraph"/>
        <w:numPr>
          <w:ilvl w:val="0"/>
          <w:numId w:val="29"/>
        </w:numPr>
        <w:rPr>
          <w:lang w:val="en-AU"/>
        </w:rPr>
      </w:pPr>
      <w:r w:rsidRPr="084DF1A1">
        <w:rPr>
          <w:lang w:val="en-AU"/>
        </w:rPr>
        <w:t>Compliance with DFAT or equivalent policies on PSEAH, Child Protection, environmental and social safeguards</w:t>
      </w:r>
    </w:p>
    <w:p w14:paraId="1DC5B3CA" w14:textId="3E78F769" w:rsidR="00614230" w:rsidRPr="002533ED" w:rsidRDefault="00CF4374" w:rsidP="00504B06">
      <w:pPr>
        <w:pStyle w:val="Heading5"/>
        <w:numPr>
          <w:ilvl w:val="1"/>
          <w:numId w:val="68"/>
        </w:numPr>
        <w:tabs>
          <w:tab w:val="num" w:pos="1440"/>
        </w:tabs>
        <w:ind w:left="426" w:hanging="284"/>
      </w:pPr>
      <w:r>
        <w:t>Select the Convenor and</w:t>
      </w:r>
      <w:r w:rsidR="00614230">
        <w:t xml:space="preserve"> Core Group Partners </w:t>
      </w:r>
    </w:p>
    <w:p w14:paraId="448F20AD" w14:textId="20B39721" w:rsidR="00614230" w:rsidRPr="00E06B24" w:rsidRDefault="00614230" w:rsidP="00614230">
      <w:r>
        <w:t xml:space="preserve">DFAT will manage a targeted competitive grant process to select these partners </w:t>
      </w:r>
      <w:r w:rsidRPr="00C216E9">
        <w:rPr>
          <w:lang w:val="en-AU"/>
        </w:rPr>
        <w:t>(</w:t>
      </w:r>
      <w:hyperlink w:anchor="_Annex_G:_Civil" w:history="1">
        <w:r w:rsidRPr="00486F72">
          <w:rPr>
            <w:rStyle w:val="Hyperlink"/>
            <w:rFonts w:cstheme="minorBidi"/>
            <w:u w:val="none"/>
            <w:lang w:val="en-AU"/>
          </w:rPr>
          <w:t xml:space="preserve">see </w:t>
        </w:r>
        <w:r w:rsidRPr="00486F72">
          <w:rPr>
            <w:rStyle w:val="Hyperlink"/>
            <w:rFonts w:cstheme="minorBidi"/>
            <w:b/>
            <w:lang w:val="en-AU"/>
          </w:rPr>
          <w:t xml:space="preserve">Annex </w:t>
        </w:r>
        <w:r w:rsidR="00950A44">
          <w:rPr>
            <w:rStyle w:val="Hyperlink"/>
            <w:rFonts w:cstheme="minorBidi"/>
            <w:b/>
            <w:lang w:val="en-AU"/>
          </w:rPr>
          <w:t>E</w:t>
        </w:r>
        <w:r w:rsidRPr="00486F72">
          <w:rPr>
            <w:rStyle w:val="Hyperlink"/>
            <w:rFonts w:cstheme="minorBidi"/>
            <w:u w:val="none"/>
            <w:lang w:val="en-AU"/>
          </w:rPr>
          <w:t>)</w:t>
        </w:r>
      </w:hyperlink>
      <w:r>
        <w:t>. Steps include:</w:t>
      </w:r>
    </w:p>
    <w:p w14:paraId="41E573F3" w14:textId="77777777" w:rsidR="00614230" w:rsidRPr="00C216E9" w:rsidRDefault="00614230" w:rsidP="00504B06">
      <w:pPr>
        <w:pStyle w:val="ListParagraph"/>
        <w:numPr>
          <w:ilvl w:val="0"/>
          <w:numId w:val="29"/>
        </w:numPr>
        <w:rPr>
          <w:lang w:val="en-AU"/>
        </w:rPr>
      </w:pPr>
      <w:r>
        <w:rPr>
          <w:lang w:val="en-AU"/>
        </w:rPr>
        <w:t>S</w:t>
      </w:r>
      <w:r w:rsidRPr="00C216E9">
        <w:rPr>
          <w:lang w:val="en-AU"/>
        </w:rPr>
        <w:t xml:space="preserve">election criteria for Core Group and Convenor </w:t>
      </w:r>
      <w:r>
        <w:rPr>
          <w:lang w:val="en-AU"/>
        </w:rPr>
        <w:t>finalised by DFAT.</w:t>
      </w:r>
    </w:p>
    <w:p w14:paraId="1A9E08B9" w14:textId="77777777" w:rsidR="00614230" w:rsidRPr="00C216E9" w:rsidRDefault="00614230" w:rsidP="00504B06">
      <w:pPr>
        <w:pStyle w:val="ListParagraph"/>
        <w:numPr>
          <w:ilvl w:val="0"/>
          <w:numId w:val="29"/>
        </w:numPr>
        <w:rPr>
          <w:lang w:val="en-AU"/>
        </w:rPr>
      </w:pPr>
      <w:r>
        <w:rPr>
          <w:lang w:val="en-AU"/>
        </w:rPr>
        <w:t xml:space="preserve">RFP is released, any questions answered, and </w:t>
      </w:r>
      <w:r w:rsidRPr="00C216E9">
        <w:rPr>
          <w:lang w:val="en-AU"/>
        </w:rPr>
        <w:t>shortlist of eligible organisations assessed and documented.</w:t>
      </w:r>
    </w:p>
    <w:p w14:paraId="3BC153B6" w14:textId="77777777" w:rsidR="00614230" w:rsidRDefault="00614230" w:rsidP="00504B06">
      <w:pPr>
        <w:pStyle w:val="ListParagraph"/>
        <w:numPr>
          <w:ilvl w:val="0"/>
          <w:numId w:val="29"/>
        </w:numPr>
        <w:rPr>
          <w:lang w:val="en-AU"/>
        </w:rPr>
      </w:pPr>
      <w:r>
        <w:rPr>
          <w:lang w:val="en-AU"/>
        </w:rPr>
        <w:t xml:space="preserve">Core Group Partners and </w:t>
      </w:r>
      <w:r w:rsidRPr="00C216E9">
        <w:rPr>
          <w:lang w:val="en-AU"/>
        </w:rPr>
        <w:t>Convenor selected</w:t>
      </w:r>
      <w:r>
        <w:rPr>
          <w:lang w:val="en-AU"/>
        </w:rPr>
        <w:t xml:space="preserve"> following evaluation process and due diligence checks</w:t>
      </w:r>
    </w:p>
    <w:p w14:paraId="02B530EE" w14:textId="77777777" w:rsidR="00614230" w:rsidRDefault="00614230" w:rsidP="00504B06">
      <w:pPr>
        <w:pStyle w:val="ListParagraph"/>
        <w:numPr>
          <w:ilvl w:val="0"/>
          <w:numId w:val="29"/>
        </w:numPr>
        <w:rPr>
          <w:lang w:val="en-AU"/>
        </w:rPr>
      </w:pPr>
      <w:r>
        <w:rPr>
          <w:lang w:val="en-AU"/>
        </w:rPr>
        <w:t>DFAT negotiates and signs</w:t>
      </w:r>
      <w:r w:rsidRPr="00C216E9">
        <w:rPr>
          <w:lang w:val="en-AU"/>
        </w:rPr>
        <w:t xml:space="preserve"> </w:t>
      </w:r>
      <w:r>
        <w:rPr>
          <w:lang w:val="en-AU"/>
        </w:rPr>
        <w:t>grant agreement with Convenor.</w:t>
      </w:r>
    </w:p>
    <w:p w14:paraId="4070BE38" w14:textId="7F3E47D5" w:rsidR="007547EB" w:rsidRPr="00C216E9" w:rsidRDefault="007547EB" w:rsidP="00504B06">
      <w:pPr>
        <w:pStyle w:val="ListParagraph"/>
        <w:numPr>
          <w:ilvl w:val="0"/>
          <w:numId w:val="29"/>
        </w:numPr>
        <w:rPr>
          <w:lang w:val="en-AU"/>
        </w:rPr>
      </w:pPr>
      <w:r>
        <w:rPr>
          <w:lang w:val="en-AU"/>
        </w:rPr>
        <w:t xml:space="preserve">DFAT </w:t>
      </w:r>
      <w:r w:rsidRPr="00C216E9">
        <w:rPr>
          <w:lang w:val="en-AU"/>
        </w:rPr>
        <w:t xml:space="preserve">and </w:t>
      </w:r>
      <w:r>
        <w:rPr>
          <w:lang w:val="en-AU"/>
        </w:rPr>
        <w:t xml:space="preserve">the </w:t>
      </w:r>
      <w:r w:rsidRPr="00C216E9">
        <w:rPr>
          <w:lang w:val="en-AU"/>
        </w:rPr>
        <w:t>Convenor agree</w:t>
      </w:r>
      <w:r>
        <w:rPr>
          <w:lang w:val="en-AU"/>
        </w:rPr>
        <w:t xml:space="preserve"> the</w:t>
      </w:r>
      <w:r w:rsidRPr="00C216E9">
        <w:rPr>
          <w:lang w:val="en-AU"/>
        </w:rPr>
        <w:t xml:space="preserve"> </w:t>
      </w:r>
      <w:r>
        <w:rPr>
          <w:lang w:val="en-AU"/>
        </w:rPr>
        <w:t>t</w:t>
      </w:r>
      <w:r w:rsidRPr="00C216E9">
        <w:rPr>
          <w:lang w:val="en-AU"/>
        </w:rPr>
        <w:t xml:space="preserve">imeline and sequencing for onboarding </w:t>
      </w:r>
      <w:r>
        <w:rPr>
          <w:lang w:val="en-AU"/>
        </w:rPr>
        <w:t>the</w:t>
      </w:r>
      <w:r w:rsidRPr="00C216E9">
        <w:rPr>
          <w:lang w:val="en-AU"/>
        </w:rPr>
        <w:t xml:space="preserve"> Core Group </w:t>
      </w:r>
      <w:r>
        <w:rPr>
          <w:lang w:val="en-AU"/>
        </w:rPr>
        <w:t>P</w:t>
      </w:r>
      <w:r w:rsidRPr="00C216E9">
        <w:rPr>
          <w:lang w:val="en-AU"/>
        </w:rPr>
        <w:t xml:space="preserve">artners, enabling </w:t>
      </w:r>
      <w:r w:rsidR="00333B96">
        <w:rPr>
          <w:lang w:val="en-AU"/>
        </w:rPr>
        <w:t xml:space="preserve">a </w:t>
      </w:r>
      <w:r w:rsidRPr="00C216E9">
        <w:rPr>
          <w:lang w:val="en-AU"/>
        </w:rPr>
        <w:t xml:space="preserve">smooth transition into Inception </w:t>
      </w:r>
      <w:r>
        <w:rPr>
          <w:lang w:val="en-AU"/>
        </w:rPr>
        <w:t>p</w:t>
      </w:r>
      <w:r w:rsidRPr="00C216E9">
        <w:rPr>
          <w:lang w:val="en-AU"/>
        </w:rPr>
        <w:t xml:space="preserve">hase. </w:t>
      </w:r>
    </w:p>
    <w:p w14:paraId="317201C7" w14:textId="77777777" w:rsidR="00614230" w:rsidRPr="002533ED" w:rsidRDefault="00614230" w:rsidP="00504B06">
      <w:pPr>
        <w:pStyle w:val="Heading5"/>
        <w:numPr>
          <w:ilvl w:val="1"/>
          <w:numId w:val="68"/>
        </w:numPr>
        <w:tabs>
          <w:tab w:val="num" w:pos="1440"/>
        </w:tabs>
        <w:ind w:left="567" w:hanging="283"/>
      </w:pPr>
      <w:r w:rsidRPr="002533ED">
        <w:t>DFAT and Partner Readiness</w:t>
      </w:r>
    </w:p>
    <w:p w14:paraId="7DBAF187" w14:textId="65526FC9" w:rsidR="00614230" w:rsidRPr="004731C0" w:rsidRDefault="00614230" w:rsidP="00614230">
      <w:pPr>
        <w:rPr>
          <w:lang w:val="en-AU"/>
        </w:rPr>
      </w:pPr>
      <w:r>
        <w:rPr>
          <w:lang w:val="en-AU"/>
        </w:rPr>
        <w:t xml:space="preserve">During pre-inception, DFAT will undertake a range of activities that ensure partner readiness, this includes the potential CSO partners, the </w:t>
      </w:r>
      <w:r w:rsidR="00F63593">
        <w:rPr>
          <w:lang w:val="en-AU"/>
        </w:rPr>
        <w:t>Contractor of the PSU and TAP</w:t>
      </w:r>
      <w:r>
        <w:rPr>
          <w:lang w:val="en-AU"/>
        </w:rPr>
        <w:t xml:space="preserve">, key </w:t>
      </w:r>
      <w:proofErr w:type="spellStart"/>
      <w:r>
        <w:rPr>
          <w:lang w:val="en-AU"/>
        </w:rPr>
        <w:t>GoI</w:t>
      </w:r>
      <w:proofErr w:type="spellEnd"/>
      <w:r>
        <w:rPr>
          <w:lang w:val="en-AU"/>
        </w:rPr>
        <w:t xml:space="preserve"> stakeholders. Investing time to engage early and meaningfully will build a shared understanding of the program and progress of implementation, thereby minimising the risk of mis-aligned expectations and confusion. </w:t>
      </w:r>
    </w:p>
    <w:p w14:paraId="07D0B7C4" w14:textId="77777777" w:rsidR="00614230" w:rsidRPr="00C216E9" w:rsidRDefault="00614230" w:rsidP="00504B06">
      <w:pPr>
        <w:pStyle w:val="ListParagraph"/>
        <w:numPr>
          <w:ilvl w:val="0"/>
          <w:numId w:val="30"/>
        </w:numPr>
        <w:rPr>
          <w:lang w:val="en-AU"/>
        </w:rPr>
      </w:pPr>
      <w:r w:rsidRPr="00C216E9">
        <w:rPr>
          <w:lang w:val="en-AU"/>
        </w:rPr>
        <w:t xml:space="preserve">Confirm DFAT internal resourcing arrangements for oversight of procurement, contracting, </w:t>
      </w:r>
      <w:r>
        <w:rPr>
          <w:lang w:val="en-AU"/>
        </w:rPr>
        <w:t xml:space="preserve">due diligence checking </w:t>
      </w:r>
      <w:r w:rsidRPr="00C216E9">
        <w:rPr>
          <w:lang w:val="en-AU"/>
        </w:rPr>
        <w:t>and risk management during the transition period (including roles of the Justice and Political teams).</w:t>
      </w:r>
    </w:p>
    <w:p w14:paraId="3250DA44" w14:textId="77777777" w:rsidR="00614230" w:rsidRPr="00C216E9" w:rsidRDefault="00614230" w:rsidP="00504B06">
      <w:pPr>
        <w:pStyle w:val="ListParagraph"/>
        <w:numPr>
          <w:ilvl w:val="0"/>
          <w:numId w:val="30"/>
        </w:numPr>
        <w:rPr>
          <w:lang w:val="en-AU"/>
        </w:rPr>
      </w:pPr>
      <w:r>
        <w:rPr>
          <w:lang w:val="en-AU"/>
        </w:rPr>
        <w:t>The timeline for onboarding the CSP is agreed.</w:t>
      </w:r>
    </w:p>
    <w:p w14:paraId="62D21DF8" w14:textId="77777777" w:rsidR="00614230" w:rsidRPr="00A262AD" w:rsidRDefault="00614230" w:rsidP="00614230">
      <w:pPr>
        <w:pStyle w:val="Heading3"/>
      </w:pPr>
      <w:r w:rsidRPr="00A262AD">
        <w:lastRenderedPageBreak/>
        <w:t xml:space="preserve">Inception Phase </w:t>
      </w:r>
    </w:p>
    <w:p w14:paraId="31D4A6EF" w14:textId="251C3C8A" w:rsidR="00614230" w:rsidRPr="004B2ACF" w:rsidRDefault="00614230" w:rsidP="00614230">
      <w:pPr>
        <w:rPr>
          <w:lang w:val="en-AU"/>
        </w:rPr>
      </w:pPr>
      <w:r>
        <w:rPr>
          <w:lang w:val="en-AU"/>
        </w:rPr>
        <w:t xml:space="preserve">The Inception Phase is expected to begin in March 2026 and last for 3 months. During inception, the implementing partners and DFAT establish all the foundations necessary for effective and efficient implementation. This includes agreed on the operational and administrative business process, as well as the relationship building and expectation setting aspects that will support the partnerships across different organisations and stakeholders. </w:t>
      </w:r>
    </w:p>
    <w:p w14:paraId="2C862F96" w14:textId="51A638AC" w:rsidR="00614230" w:rsidRPr="00CE4FAE" w:rsidRDefault="00614230" w:rsidP="00504B06">
      <w:pPr>
        <w:pStyle w:val="Heading5"/>
        <w:numPr>
          <w:ilvl w:val="1"/>
          <w:numId w:val="100"/>
        </w:numPr>
        <w:ind w:left="567" w:hanging="283"/>
      </w:pPr>
      <w:r w:rsidRPr="00CE4FAE">
        <w:t xml:space="preserve">Onboard </w:t>
      </w:r>
      <w:r w:rsidR="007B07DE">
        <w:t>implementing</w:t>
      </w:r>
      <w:r w:rsidRPr="00CE4FAE">
        <w:t xml:space="preserve"> partners (</w:t>
      </w:r>
      <w:r w:rsidR="007B07DE">
        <w:t xml:space="preserve">PSU, Convenor, </w:t>
      </w:r>
      <w:r w:rsidRPr="00CE4FAE">
        <w:t>Core Group</w:t>
      </w:r>
      <w:r w:rsidR="007B07DE">
        <w:t xml:space="preserve"> Partners</w:t>
      </w:r>
      <w:r w:rsidRPr="00CE4FAE">
        <w:t>)</w:t>
      </w:r>
    </w:p>
    <w:p w14:paraId="32DC6AA1" w14:textId="77777777" w:rsidR="00614230" w:rsidRPr="00B85757" w:rsidRDefault="00614230" w:rsidP="00614230">
      <w:pPr>
        <w:rPr>
          <w:lang w:val="en-AU"/>
        </w:rPr>
      </w:pPr>
      <w:r>
        <w:rPr>
          <w:lang w:val="en-AU"/>
        </w:rPr>
        <w:t xml:space="preserve">Onboarding is a critical step in ensuring all partners are fully aware of their obligations of compliance with DFAT policies and procedures, particularly in relation to risk management and safeguarding. Funds have been set aside in the budget to support the Convenor and the CSO Core Group to draw upon a specialist who can assist with establishment and ongoing monitoring of compliance. </w:t>
      </w:r>
    </w:p>
    <w:p w14:paraId="32B0A2CD" w14:textId="1FEFE0F0" w:rsidR="00614230" w:rsidRDefault="00614230" w:rsidP="00504B06">
      <w:pPr>
        <w:pStyle w:val="ListParagraph"/>
        <w:numPr>
          <w:ilvl w:val="0"/>
          <w:numId w:val="32"/>
        </w:numPr>
        <w:rPr>
          <w:lang w:val="en-AU"/>
        </w:rPr>
      </w:pPr>
      <w:r>
        <w:rPr>
          <w:lang w:val="en-AU"/>
        </w:rPr>
        <w:t>The selected Conven</w:t>
      </w:r>
      <w:r w:rsidR="00BF5733">
        <w:rPr>
          <w:lang w:val="en-AU"/>
        </w:rPr>
        <w:t>o</w:t>
      </w:r>
      <w:r>
        <w:rPr>
          <w:lang w:val="en-AU"/>
        </w:rPr>
        <w:t xml:space="preserve">r to sign the grant agreement with selected </w:t>
      </w:r>
      <w:r w:rsidR="00376A9B">
        <w:rPr>
          <w:lang w:val="en-AU"/>
        </w:rPr>
        <w:t>Core Group Partners</w:t>
      </w:r>
      <w:r>
        <w:rPr>
          <w:lang w:val="en-AU"/>
        </w:rPr>
        <w:t xml:space="preserve"> and the timeline and activities for the inception period agreed.</w:t>
      </w:r>
    </w:p>
    <w:p w14:paraId="3D62712F" w14:textId="05A0B591" w:rsidR="00614230" w:rsidRPr="00FB5E1E" w:rsidRDefault="00614230" w:rsidP="00504B06">
      <w:pPr>
        <w:pStyle w:val="ListParagraph"/>
        <w:numPr>
          <w:ilvl w:val="0"/>
          <w:numId w:val="32"/>
        </w:numPr>
        <w:rPr>
          <w:lang w:val="en-AU"/>
        </w:rPr>
      </w:pPr>
      <w:r>
        <w:rPr>
          <w:lang w:val="en-AU"/>
        </w:rPr>
        <w:t>The PSU h</w:t>
      </w:r>
      <w:r w:rsidRPr="00FB5E1E">
        <w:rPr>
          <w:lang w:val="en-AU"/>
        </w:rPr>
        <w:t>old tailored induction on DFAT standards</w:t>
      </w:r>
      <w:r>
        <w:rPr>
          <w:lang w:val="en-AU"/>
        </w:rPr>
        <w:t xml:space="preserve"> to the selected Conven</w:t>
      </w:r>
      <w:r w:rsidR="00BF5733">
        <w:rPr>
          <w:lang w:val="en-AU"/>
        </w:rPr>
        <w:t>o</w:t>
      </w:r>
      <w:r>
        <w:rPr>
          <w:lang w:val="en-AU"/>
        </w:rPr>
        <w:t>r and CSPs</w:t>
      </w:r>
      <w:r w:rsidRPr="00FB5E1E">
        <w:rPr>
          <w:lang w:val="en-AU"/>
        </w:rPr>
        <w:t xml:space="preserve">, covering </w:t>
      </w:r>
      <w:r>
        <w:rPr>
          <w:lang w:val="en-AU"/>
        </w:rPr>
        <w:t xml:space="preserve">amongst others </w:t>
      </w:r>
      <w:r w:rsidRPr="00FB5E1E">
        <w:rPr>
          <w:lang w:val="en-AU"/>
        </w:rPr>
        <w:t xml:space="preserve">fiduciary management, financial accountability, reporting, </w:t>
      </w:r>
      <w:r>
        <w:rPr>
          <w:lang w:val="en-AU"/>
        </w:rPr>
        <w:t xml:space="preserve">risk management, </w:t>
      </w:r>
      <w:r w:rsidRPr="00FB5E1E">
        <w:rPr>
          <w:lang w:val="en-AU"/>
        </w:rPr>
        <w:t>and compliance with PSEAH and Child Protection</w:t>
      </w:r>
      <w:r>
        <w:rPr>
          <w:lang w:val="en-AU"/>
        </w:rPr>
        <w:t>.</w:t>
      </w:r>
    </w:p>
    <w:p w14:paraId="049CE255" w14:textId="77777777" w:rsidR="00614230" w:rsidRPr="00FB5E1E" w:rsidRDefault="00614230" w:rsidP="00504B06">
      <w:pPr>
        <w:pStyle w:val="ListParagraph"/>
        <w:numPr>
          <w:ilvl w:val="0"/>
          <w:numId w:val="32"/>
        </w:numPr>
        <w:rPr>
          <w:lang w:val="en-AU"/>
        </w:rPr>
      </w:pPr>
      <w:r w:rsidRPr="00FB5E1E">
        <w:rPr>
          <w:lang w:val="en-AU"/>
        </w:rPr>
        <w:t>Operationalise safeguarding systems by appointing safeguarding focal points across partners, developing referral pathways, and defining survivor-centred reporting protocols</w:t>
      </w:r>
      <w:r>
        <w:rPr>
          <w:lang w:val="en-AU"/>
        </w:rPr>
        <w:t>.</w:t>
      </w:r>
    </w:p>
    <w:p w14:paraId="11A38A95" w14:textId="77777777" w:rsidR="00614230" w:rsidRDefault="00614230" w:rsidP="00504B06">
      <w:pPr>
        <w:pStyle w:val="ListParagraph"/>
        <w:numPr>
          <w:ilvl w:val="0"/>
          <w:numId w:val="32"/>
        </w:numPr>
        <w:rPr>
          <w:lang w:val="en-AU"/>
        </w:rPr>
      </w:pPr>
      <w:r w:rsidRPr="00FB5E1E">
        <w:rPr>
          <w:lang w:val="en-AU"/>
        </w:rPr>
        <w:t>Conduct team building and vision-setting workshop(s) to build trust, align expectations, and establish an inclusive program culture across partners.</w:t>
      </w:r>
    </w:p>
    <w:p w14:paraId="11CA7D11" w14:textId="3C97DC3F" w:rsidR="00B812CD" w:rsidRPr="00CE4FAE" w:rsidRDefault="00B812CD" w:rsidP="00504B06">
      <w:pPr>
        <w:pStyle w:val="Heading5"/>
        <w:numPr>
          <w:ilvl w:val="1"/>
          <w:numId w:val="100"/>
        </w:numPr>
        <w:ind w:left="567" w:hanging="283"/>
      </w:pPr>
      <w:r w:rsidRPr="00CE4FAE">
        <w:t>Define roles and shared operating systems</w:t>
      </w:r>
    </w:p>
    <w:p w14:paraId="202CA6DB" w14:textId="77777777" w:rsidR="00B812CD" w:rsidRDefault="00B812CD" w:rsidP="00B812CD">
      <w:pPr>
        <w:rPr>
          <w:lang w:val="en-AU"/>
        </w:rPr>
      </w:pPr>
      <w:r w:rsidRPr="00BB5BE2">
        <w:rPr>
          <w:lang w:val="en-AU"/>
        </w:rPr>
        <w:t xml:space="preserve">The PSU and the Convenor, together with DFAT, will need to work proactively in defining roles and responsibilities and </w:t>
      </w:r>
      <w:r w:rsidRPr="052CCA0C">
        <w:rPr>
          <w:lang w:val="en-AU"/>
        </w:rPr>
        <w:t>formally establish ways of working.</w:t>
      </w:r>
      <w:r w:rsidRPr="00BB5BE2">
        <w:rPr>
          <w:lang w:val="en-AU"/>
        </w:rPr>
        <w:t xml:space="preserve"> So too, DFAT, the Conven</w:t>
      </w:r>
      <w:r>
        <w:rPr>
          <w:lang w:val="en-AU"/>
        </w:rPr>
        <w:t>or</w:t>
      </w:r>
      <w:r w:rsidRPr="00BB5BE2">
        <w:rPr>
          <w:lang w:val="en-AU"/>
        </w:rPr>
        <w:t xml:space="preserve"> and the Core Group of CS partners will need to nurture their partnership from its earliest days by defining roles, responsibilities, expectations (individually and collectively), protocols, and ways of working. </w:t>
      </w:r>
    </w:p>
    <w:p w14:paraId="6C09E371" w14:textId="77777777" w:rsidR="00B812CD" w:rsidRPr="002069F5" w:rsidRDefault="00B812CD" w:rsidP="36BD3B83">
      <w:pPr>
        <w:rPr>
          <w:lang w:eastAsia="en-AU"/>
        </w:rPr>
      </w:pPr>
      <w:r w:rsidRPr="36BD3B83">
        <w:t xml:space="preserve">In consultation with DFAT and the Convenor, the PSU may engage a partnership broker to facilitate this process at inception, and on an ongoing basis to conduct health checks on ‘ways of working’. </w:t>
      </w:r>
      <w:r w:rsidRPr="36BD3B83">
        <w:rPr>
          <w:lang w:eastAsia="en-AU"/>
        </w:rPr>
        <w:t>Activities will include:</w:t>
      </w:r>
    </w:p>
    <w:p w14:paraId="5267559E" w14:textId="77777777" w:rsidR="00B812CD" w:rsidRPr="00EA258E" w:rsidRDefault="00B812CD" w:rsidP="002575E5">
      <w:pPr>
        <w:pStyle w:val="Heading6"/>
        <w:rPr>
          <w:color w:val="495965" w:themeColor="text2"/>
        </w:rPr>
      </w:pPr>
      <w:r w:rsidRPr="00EA258E">
        <w:rPr>
          <w:color w:val="495965" w:themeColor="text2"/>
        </w:rPr>
        <w:t>Team building</w:t>
      </w:r>
    </w:p>
    <w:p w14:paraId="614C7A12" w14:textId="77777777" w:rsidR="00B812CD" w:rsidRPr="00FB5E1E" w:rsidRDefault="00B812CD" w:rsidP="00504B06">
      <w:pPr>
        <w:pStyle w:val="ListParagraph"/>
        <w:numPr>
          <w:ilvl w:val="0"/>
          <w:numId w:val="33"/>
        </w:numPr>
        <w:rPr>
          <w:lang w:val="en-AU"/>
        </w:rPr>
      </w:pPr>
      <w:r w:rsidRPr="00FB5E1E">
        <w:rPr>
          <w:lang w:val="en-AU"/>
        </w:rPr>
        <w:t>Facilitate structured</w:t>
      </w:r>
      <w:r>
        <w:rPr>
          <w:lang w:val="en-AU"/>
        </w:rPr>
        <w:t xml:space="preserve"> team</w:t>
      </w:r>
      <w:r w:rsidRPr="00FB5E1E">
        <w:rPr>
          <w:lang w:val="en-AU"/>
        </w:rPr>
        <w:t xml:space="preserve"> planning to delineate role boundaries, accountability lines, and coordination arrangements across Components </w:t>
      </w:r>
      <w:r>
        <w:rPr>
          <w:lang w:val="en-AU"/>
        </w:rPr>
        <w:t>1</w:t>
      </w:r>
      <w:r w:rsidRPr="00FB5E1E">
        <w:rPr>
          <w:lang w:val="en-AU"/>
        </w:rPr>
        <w:t xml:space="preserve"> and </w:t>
      </w:r>
      <w:r>
        <w:rPr>
          <w:lang w:val="en-AU"/>
        </w:rPr>
        <w:t>2.</w:t>
      </w:r>
    </w:p>
    <w:p w14:paraId="4DF3DF0D" w14:textId="77777777" w:rsidR="00B812CD" w:rsidRDefault="00B812CD" w:rsidP="00504B06">
      <w:pPr>
        <w:pStyle w:val="ListParagraph"/>
        <w:numPr>
          <w:ilvl w:val="0"/>
          <w:numId w:val="33"/>
        </w:numPr>
        <w:rPr>
          <w:lang w:val="en-AU"/>
        </w:rPr>
      </w:pPr>
      <w:r w:rsidRPr="00FB5E1E">
        <w:rPr>
          <w:lang w:val="en-AU"/>
        </w:rPr>
        <w:t xml:space="preserve">Conduct partnership brokering for the CS Partnership with a qualified specialist to build the foundations for effective ways of working moving forward. </w:t>
      </w:r>
    </w:p>
    <w:p w14:paraId="1FC0DFC0" w14:textId="77777777" w:rsidR="00B812CD" w:rsidRPr="00EA258E" w:rsidRDefault="00B812CD" w:rsidP="002575E5">
      <w:pPr>
        <w:pStyle w:val="Heading6"/>
        <w:rPr>
          <w:color w:val="495965" w:themeColor="text2"/>
        </w:rPr>
      </w:pPr>
      <w:r w:rsidRPr="00EA258E">
        <w:rPr>
          <w:color w:val="495965" w:themeColor="text2"/>
        </w:rPr>
        <w:t>Strategic and Work Planning</w:t>
      </w:r>
    </w:p>
    <w:p w14:paraId="45547D0D" w14:textId="77777777" w:rsidR="00B812CD" w:rsidRDefault="00B812CD" w:rsidP="00504B06">
      <w:pPr>
        <w:pStyle w:val="ListParagraph"/>
        <w:numPr>
          <w:ilvl w:val="0"/>
          <w:numId w:val="33"/>
        </w:numPr>
        <w:rPr>
          <w:lang w:val="en-AU"/>
        </w:rPr>
      </w:pPr>
      <w:r>
        <w:rPr>
          <w:lang w:val="en-AU"/>
        </w:rPr>
        <w:t xml:space="preserve">Facilitate </w:t>
      </w:r>
      <w:r w:rsidRPr="00FB5E1E">
        <w:rPr>
          <w:lang w:val="en-AU"/>
        </w:rPr>
        <w:t xml:space="preserve">the Core Group–led co-design process for development of the </w:t>
      </w:r>
      <w:proofErr w:type="spellStart"/>
      <w:r w:rsidRPr="00FB5E1E">
        <w:rPr>
          <w:lang w:val="en-AU"/>
        </w:rPr>
        <w:t>Partisipasi</w:t>
      </w:r>
      <w:proofErr w:type="spellEnd"/>
      <w:r w:rsidRPr="00FB5E1E">
        <w:rPr>
          <w:lang w:val="en-AU"/>
        </w:rPr>
        <w:t xml:space="preserve"> Civil Society Strategy, ensuring alignment with DFAT’s overall program objectives. </w:t>
      </w:r>
    </w:p>
    <w:p w14:paraId="554E2D52" w14:textId="77777777" w:rsidR="00B812CD" w:rsidRDefault="00B812CD" w:rsidP="00504B06">
      <w:pPr>
        <w:pStyle w:val="ListParagraph"/>
        <w:numPr>
          <w:ilvl w:val="0"/>
          <w:numId w:val="33"/>
        </w:numPr>
        <w:rPr>
          <w:lang w:val="en-AU"/>
        </w:rPr>
      </w:pPr>
      <w:r>
        <w:rPr>
          <w:lang w:val="en-AU"/>
        </w:rPr>
        <w:t>T</w:t>
      </w:r>
      <w:r w:rsidRPr="00FB5E1E">
        <w:rPr>
          <w:lang w:val="en-AU"/>
        </w:rPr>
        <w:t xml:space="preserve">ogether </w:t>
      </w:r>
      <w:r>
        <w:rPr>
          <w:lang w:val="en-AU"/>
        </w:rPr>
        <w:t xml:space="preserve">with </w:t>
      </w:r>
      <w:r w:rsidRPr="00FB5E1E">
        <w:rPr>
          <w:lang w:val="en-AU"/>
        </w:rPr>
        <w:t xml:space="preserve">DFAT, the Convenor, and </w:t>
      </w:r>
      <w:r>
        <w:rPr>
          <w:lang w:val="en-AU"/>
        </w:rPr>
        <w:t xml:space="preserve">the </w:t>
      </w:r>
      <w:r w:rsidRPr="00FB5E1E">
        <w:rPr>
          <w:lang w:val="en-AU"/>
        </w:rPr>
        <w:t xml:space="preserve">Core Group </w:t>
      </w:r>
      <w:r>
        <w:rPr>
          <w:lang w:val="en-AU"/>
        </w:rPr>
        <w:t>P</w:t>
      </w:r>
      <w:r w:rsidRPr="00FB5E1E">
        <w:rPr>
          <w:lang w:val="en-AU"/>
        </w:rPr>
        <w:t xml:space="preserve">artners to co-design the methodology for activity development, proposal submission, and prioritisation. </w:t>
      </w:r>
      <w:r>
        <w:rPr>
          <w:lang w:val="en-AU"/>
        </w:rPr>
        <w:t xml:space="preserve">To Note: </w:t>
      </w:r>
      <w:r w:rsidRPr="00FB5E1E">
        <w:rPr>
          <w:lang w:val="en-AU"/>
        </w:rPr>
        <w:t>DFAT will retain final decision-making authority</w:t>
      </w:r>
      <w:r>
        <w:rPr>
          <w:lang w:val="en-AU"/>
        </w:rPr>
        <w:t xml:space="preserve"> on annual budget allocation</w:t>
      </w:r>
      <w:r w:rsidRPr="00FB5E1E">
        <w:rPr>
          <w:lang w:val="en-AU"/>
        </w:rPr>
        <w:t xml:space="preserve">, </w:t>
      </w:r>
      <w:r>
        <w:rPr>
          <w:lang w:val="en-AU"/>
        </w:rPr>
        <w:t>to</w:t>
      </w:r>
      <w:r w:rsidRPr="00FB5E1E">
        <w:rPr>
          <w:lang w:val="en-AU"/>
        </w:rPr>
        <w:t xml:space="preserve"> ensur</w:t>
      </w:r>
      <w:r>
        <w:rPr>
          <w:lang w:val="en-AU"/>
        </w:rPr>
        <w:t>e</w:t>
      </w:r>
      <w:r w:rsidRPr="00FB5E1E">
        <w:rPr>
          <w:lang w:val="en-AU"/>
        </w:rPr>
        <w:t xml:space="preserve"> </w:t>
      </w:r>
      <w:r>
        <w:rPr>
          <w:lang w:val="en-AU"/>
        </w:rPr>
        <w:t>the</w:t>
      </w:r>
      <w:r w:rsidRPr="00FB5E1E">
        <w:rPr>
          <w:lang w:val="en-AU"/>
        </w:rPr>
        <w:t xml:space="preserve"> consensus-building among Core Group </w:t>
      </w:r>
      <w:r>
        <w:rPr>
          <w:lang w:val="en-AU"/>
        </w:rPr>
        <w:t>P</w:t>
      </w:r>
      <w:r w:rsidRPr="00FB5E1E">
        <w:rPr>
          <w:lang w:val="en-AU"/>
        </w:rPr>
        <w:t>artners remains central.</w:t>
      </w:r>
    </w:p>
    <w:p w14:paraId="332D7536" w14:textId="77777777" w:rsidR="00B812CD" w:rsidRPr="00FB5E1E" w:rsidRDefault="00B812CD" w:rsidP="00504B06">
      <w:pPr>
        <w:pStyle w:val="ListParagraph"/>
        <w:numPr>
          <w:ilvl w:val="0"/>
          <w:numId w:val="33"/>
        </w:numPr>
      </w:pPr>
      <w:r w:rsidRPr="3ECC587B">
        <w:t xml:space="preserve">Provide ongoing support to Core Groups partners in the development of their Annual Work Plan (AWP) and reporting.  </w:t>
      </w:r>
    </w:p>
    <w:p w14:paraId="71F66AF6" w14:textId="77777777" w:rsidR="00B812CD" w:rsidRPr="00EA258E" w:rsidRDefault="00B812CD" w:rsidP="002575E5">
      <w:pPr>
        <w:pStyle w:val="Heading6"/>
        <w:rPr>
          <w:b w:val="0"/>
          <w:bCs w:val="0"/>
          <w:lang w:val="en-AU"/>
        </w:rPr>
      </w:pPr>
      <w:r w:rsidRPr="00EA258E">
        <w:rPr>
          <w:color w:val="495965" w:themeColor="text2"/>
        </w:rPr>
        <w:lastRenderedPageBreak/>
        <w:t>Business Process and Operating System</w:t>
      </w:r>
    </w:p>
    <w:p w14:paraId="1572511C" w14:textId="77777777" w:rsidR="00B812CD" w:rsidRPr="00FB5E1E" w:rsidRDefault="00B812CD" w:rsidP="00504B06">
      <w:pPr>
        <w:pStyle w:val="ListParagraph"/>
        <w:numPr>
          <w:ilvl w:val="0"/>
          <w:numId w:val="33"/>
        </w:numPr>
        <w:rPr>
          <w:lang w:val="en-AU"/>
        </w:rPr>
      </w:pPr>
      <w:r w:rsidRPr="00FB5E1E">
        <w:rPr>
          <w:lang w:val="en-AU"/>
        </w:rPr>
        <w:t>Co-develop standard operating procedures</w:t>
      </w:r>
      <w:r>
        <w:rPr>
          <w:lang w:val="en-AU"/>
        </w:rPr>
        <w:t xml:space="preserve"> (SOP)</w:t>
      </w:r>
      <w:r w:rsidRPr="00FB5E1E">
        <w:rPr>
          <w:lang w:val="en-AU"/>
        </w:rPr>
        <w:t xml:space="preserve"> for annual work planning, financial and MEL reporting, and adaptive management across the </w:t>
      </w:r>
      <w:r>
        <w:rPr>
          <w:lang w:val="en-AU"/>
        </w:rPr>
        <w:t>2</w:t>
      </w:r>
      <w:r w:rsidRPr="00FB5E1E">
        <w:rPr>
          <w:lang w:val="en-AU"/>
        </w:rPr>
        <w:t xml:space="preserve"> components</w:t>
      </w:r>
      <w:r>
        <w:rPr>
          <w:lang w:val="en-AU"/>
        </w:rPr>
        <w:t>.</w:t>
      </w:r>
    </w:p>
    <w:p w14:paraId="5D9E6ED2" w14:textId="77777777" w:rsidR="00B812CD" w:rsidRPr="00FB5E1E" w:rsidRDefault="00B812CD" w:rsidP="00504B06">
      <w:pPr>
        <w:pStyle w:val="ListParagraph"/>
        <w:numPr>
          <w:ilvl w:val="0"/>
          <w:numId w:val="33"/>
        </w:numPr>
        <w:rPr>
          <w:lang w:val="en-AU"/>
        </w:rPr>
      </w:pPr>
      <w:r w:rsidRPr="00FB5E1E">
        <w:rPr>
          <w:lang w:val="en-AU"/>
        </w:rPr>
        <w:t xml:space="preserve">Develop a consolidated </w:t>
      </w:r>
      <w:r>
        <w:rPr>
          <w:lang w:val="en-AU"/>
        </w:rPr>
        <w:t>R</w:t>
      </w:r>
      <w:r w:rsidRPr="00FB5E1E">
        <w:rPr>
          <w:lang w:val="en-AU"/>
        </w:rPr>
        <w:t xml:space="preserve">isk </w:t>
      </w:r>
      <w:r>
        <w:rPr>
          <w:lang w:val="en-AU"/>
        </w:rPr>
        <w:t>R</w:t>
      </w:r>
      <w:r w:rsidRPr="00FB5E1E">
        <w:rPr>
          <w:lang w:val="en-AU"/>
        </w:rPr>
        <w:t>egister format that integrates partner-level and program-level risks into a single dashboard</w:t>
      </w:r>
      <w:r>
        <w:rPr>
          <w:lang w:val="en-AU"/>
        </w:rPr>
        <w:t>.</w:t>
      </w:r>
    </w:p>
    <w:p w14:paraId="220E4B5A" w14:textId="77777777" w:rsidR="00B812CD" w:rsidRPr="00FB5E1E" w:rsidRDefault="00B812CD" w:rsidP="00504B06">
      <w:pPr>
        <w:pStyle w:val="ListParagraph"/>
        <w:numPr>
          <w:ilvl w:val="0"/>
          <w:numId w:val="33"/>
        </w:numPr>
        <w:rPr>
          <w:lang w:val="en-AU"/>
        </w:rPr>
      </w:pPr>
      <w:r w:rsidRPr="084DF1A1">
        <w:rPr>
          <w:lang w:val="en-AU"/>
        </w:rPr>
        <w:t>Establish MEL data-sharing protocols between the Convenor (hub)</w:t>
      </w:r>
      <w:r>
        <w:rPr>
          <w:lang w:val="en-AU"/>
        </w:rPr>
        <w:t>,</w:t>
      </w:r>
      <w:r w:rsidRPr="084DF1A1">
        <w:rPr>
          <w:lang w:val="en-AU"/>
        </w:rPr>
        <w:t xml:space="preserve"> </w:t>
      </w:r>
      <w:r>
        <w:rPr>
          <w:lang w:val="en-AU"/>
        </w:rPr>
        <w:t xml:space="preserve">and </w:t>
      </w:r>
      <w:r w:rsidRPr="084DF1A1">
        <w:rPr>
          <w:lang w:val="en-AU"/>
        </w:rPr>
        <w:t xml:space="preserve">the PSU </w:t>
      </w:r>
      <w:r>
        <w:rPr>
          <w:lang w:val="en-AU"/>
        </w:rPr>
        <w:t>+</w:t>
      </w:r>
      <w:r w:rsidRPr="084DF1A1">
        <w:rPr>
          <w:lang w:val="en-AU"/>
        </w:rPr>
        <w:t xml:space="preserve"> </w:t>
      </w:r>
      <w:r>
        <w:rPr>
          <w:lang w:val="en-AU"/>
        </w:rPr>
        <w:t xml:space="preserve">the </w:t>
      </w:r>
      <w:r w:rsidRPr="084DF1A1">
        <w:rPr>
          <w:lang w:val="en-AU"/>
        </w:rPr>
        <w:t>CS partners (spokes)</w:t>
      </w:r>
      <w:r>
        <w:rPr>
          <w:lang w:val="en-AU"/>
        </w:rPr>
        <w:t>.</w:t>
      </w:r>
    </w:p>
    <w:p w14:paraId="196D861A" w14:textId="77777777" w:rsidR="00B812CD" w:rsidRPr="00FB5E1E" w:rsidRDefault="00B812CD" w:rsidP="00504B06">
      <w:pPr>
        <w:pStyle w:val="ListParagraph"/>
        <w:numPr>
          <w:ilvl w:val="0"/>
          <w:numId w:val="33"/>
        </w:numPr>
        <w:rPr>
          <w:lang w:val="en-AU"/>
        </w:rPr>
      </w:pPr>
      <w:r w:rsidRPr="00FB5E1E">
        <w:rPr>
          <w:lang w:val="en-AU"/>
        </w:rPr>
        <w:t xml:space="preserve">Agree </w:t>
      </w:r>
      <w:r>
        <w:rPr>
          <w:lang w:val="en-AU"/>
        </w:rPr>
        <w:t xml:space="preserve">on </w:t>
      </w:r>
      <w:r w:rsidRPr="00FB5E1E">
        <w:rPr>
          <w:lang w:val="en-AU"/>
        </w:rPr>
        <w:t xml:space="preserve">escalation and dispute resolution processes among </w:t>
      </w:r>
      <w:r>
        <w:rPr>
          <w:lang w:val="en-AU"/>
        </w:rPr>
        <w:t xml:space="preserve">CS </w:t>
      </w:r>
      <w:r w:rsidRPr="00FB5E1E">
        <w:rPr>
          <w:lang w:val="en-AU"/>
        </w:rPr>
        <w:t>partners, Convenor, PSU, and DFAT.</w:t>
      </w:r>
    </w:p>
    <w:p w14:paraId="4A083658" w14:textId="76F00333" w:rsidR="00614230" w:rsidRPr="002533ED" w:rsidRDefault="00614230" w:rsidP="00504B06">
      <w:pPr>
        <w:pStyle w:val="Heading5"/>
        <w:numPr>
          <w:ilvl w:val="1"/>
          <w:numId w:val="100"/>
        </w:numPr>
        <w:ind w:left="567" w:hanging="283"/>
      </w:pPr>
      <w:r w:rsidRPr="002533ED">
        <w:t>Stand up governance</w:t>
      </w:r>
      <w:r w:rsidR="000E4FCC">
        <w:t xml:space="preserve">, management </w:t>
      </w:r>
      <w:r w:rsidRPr="002533ED">
        <w:t>and coordination mechanisms</w:t>
      </w:r>
    </w:p>
    <w:p w14:paraId="495BF7FC" w14:textId="571C85BA" w:rsidR="00614230" w:rsidRPr="00FB5E1E" w:rsidRDefault="00614230" w:rsidP="00504B06">
      <w:pPr>
        <w:pStyle w:val="ListParagraph"/>
        <w:numPr>
          <w:ilvl w:val="0"/>
          <w:numId w:val="31"/>
        </w:numPr>
        <w:rPr>
          <w:lang w:val="en-AU"/>
        </w:rPr>
      </w:pPr>
      <w:r w:rsidRPr="0221C9AE">
        <w:rPr>
          <w:lang w:val="en-AU"/>
        </w:rPr>
        <w:t xml:space="preserve">Establish the </w:t>
      </w:r>
      <w:r>
        <w:rPr>
          <w:lang w:val="en-AU"/>
        </w:rPr>
        <w:t>Program Advisory Board (PAB)</w:t>
      </w:r>
      <w:r w:rsidR="0078122C">
        <w:rPr>
          <w:lang w:val="en-AU"/>
        </w:rPr>
        <w:t>, Civil Society Strategic Coordination Mee</w:t>
      </w:r>
      <w:r w:rsidR="000F3AC6">
        <w:rPr>
          <w:lang w:val="en-AU"/>
        </w:rPr>
        <w:t xml:space="preserve">ting and DFAT </w:t>
      </w:r>
      <w:proofErr w:type="spellStart"/>
      <w:r w:rsidR="000F3AC6">
        <w:rPr>
          <w:lang w:val="en-AU"/>
        </w:rPr>
        <w:t>Partisipasi</w:t>
      </w:r>
      <w:proofErr w:type="spellEnd"/>
      <w:r w:rsidR="000F3AC6">
        <w:rPr>
          <w:lang w:val="en-AU"/>
        </w:rPr>
        <w:t xml:space="preserve"> Reference Group </w:t>
      </w:r>
      <w:r w:rsidR="00C00A3F">
        <w:rPr>
          <w:lang w:val="en-AU"/>
        </w:rPr>
        <w:t>(includ</w:t>
      </w:r>
      <w:r w:rsidR="000F3AC6">
        <w:rPr>
          <w:lang w:val="en-AU"/>
        </w:rPr>
        <w:t>es</w:t>
      </w:r>
      <w:r w:rsidR="00C00A3F">
        <w:rPr>
          <w:lang w:val="en-AU"/>
        </w:rPr>
        <w:t xml:space="preserve"> Terms of Reference</w:t>
      </w:r>
      <w:r w:rsidR="00340858">
        <w:rPr>
          <w:lang w:val="en-AU"/>
        </w:rPr>
        <w:t xml:space="preserve"> where needed</w:t>
      </w:r>
      <w:r w:rsidR="00C00A3F">
        <w:rPr>
          <w:lang w:val="en-AU"/>
        </w:rPr>
        <w:t xml:space="preserve">) </w:t>
      </w:r>
      <w:r w:rsidRPr="0221C9AE">
        <w:rPr>
          <w:lang w:val="en-AU"/>
        </w:rPr>
        <w:t>and hold the inaugural meeting</w:t>
      </w:r>
      <w:r w:rsidR="0078122C">
        <w:rPr>
          <w:lang w:val="en-AU"/>
        </w:rPr>
        <w:t>s</w:t>
      </w:r>
      <w:r>
        <w:rPr>
          <w:lang w:val="en-AU"/>
        </w:rPr>
        <w:t>.</w:t>
      </w:r>
    </w:p>
    <w:p w14:paraId="68456618" w14:textId="7DFA688B" w:rsidR="00614230" w:rsidRPr="00FB5E1E" w:rsidRDefault="00614230" w:rsidP="00504B06">
      <w:pPr>
        <w:pStyle w:val="ListParagraph"/>
        <w:numPr>
          <w:ilvl w:val="0"/>
          <w:numId w:val="31"/>
        </w:numPr>
        <w:rPr>
          <w:lang w:val="en-AU"/>
        </w:rPr>
      </w:pPr>
      <w:r w:rsidRPr="00FB5E1E">
        <w:rPr>
          <w:lang w:val="en-AU"/>
        </w:rPr>
        <w:t xml:space="preserve">Finalise </w:t>
      </w:r>
      <w:proofErr w:type="spellStart"/>
      <w:r w:rsidR="000E4AFA">
        <w:rPr>
          <w:lang w:val="en-AU"/>
        </w:rPr>
        <w:t>Partisipasi</w:t>
      </w:r>
      <w:proofErr w:type="spellEnd"/>
      <w:r w:rsidR="00C00A3F">
        <w:rPr>
          <w:lang w:val="en-AU"/>
        </w:rPr>
        <w:t xml:space="preserve"> management arrangements</w:t>
      </w:r>
      <w:r w:rsidR="000E4AFA">
        <w:rPr>
          <w:lang w:val="en-AU"/>
        </w:rPr>
        <w:t xml:space="preserve"> including</w:t>
      </w:r>
      <w:r w:rsidRPr="00FB5E1E">
        <w:rPr>
          <w:lang w:val="en-AU"/>
        </w:rPr>
        <w:t xml:space="preserve"> escalation pathways and meeting frequency</w:t>
      </w:r>
      <w:r>
        <w:rPr>
          <w:lang w:val="en-AU"/>
        </w:rPr>
        <w:t>.</w:t>
      </w:r>
    </w:p>
    <w:p w14:paraId="496AA7F8" w14:textId="77777777" w:rsidR="00614230" w:rsidRPr="00FB5E1E" w:rsidRDefault="00614230" w:rsidP="00504B06">
      <w:pPr>
        <w:pStyle w:val="ListParagraph"/>
        <w:numPr>
          <w:ilvl w:val="0"/>
          <w:numId w:val="31"/>
        </w:numPr>
        <w:rPr>
          <w:lang w:val="en-AU"/>
        </w:rPr>
      </w:pPr>
      <w:r w:rsidRPr="00FB5E1E">
        <w:rPr>
          <w:lang w:val="en-AU"/>
        </w:rPr>
        <w:t xml:space="preserve">Initiate early engagement with </w:t>
      </w:r>
      <w:proofErr w:type="spellStart"/>
      <w:r w:rsidRPr="00FB5E1E">
        <w:rPr>
          <w:lang w:val="en-AU"/>
        </w:rPr>
        <w:t>Bappenas</w:t>
      </w:r>
      <w:proofErr w:type="spellEnd"/>
      <w:r w:rsidRPr="00FB5E1E">
        <w:rPr>
          <w:lang w:val="en-AU"/>
        </w:rPr>
        <w:t xml:space="preserve"> and relevant line ministries</w:t>
      </w:r>
      <w:r>
        <w:rPr>
          <w:lang w:val="en-AU"/>
        </w:rPr>
        <w:t>/agencies</w:t>
      </w:r>
      <w:r w:rsidRPr="00FB5E1E">
        <w:rPr>
          <w:lang w:val="en-AU"/>
        </w:rPr>
        <w:t xml:space="preserve"> to agree</w:t>
      </w:r>
      <w:r>
        <w:rPr>
          <w:lang w:val="en-AU"/>
        </w:rPr>
        <w:t xml:space="preserve"> on</w:t>
      </w:r>
      <w:r w:rsidRPr="00FB5E1E">
        <w:rPr>
          <w:lang w:val="en-AU"/>
        </w:rPr>
        <w:t xml:space="preserve"> coordination mechanisms and secure alignment with national priorities</w:t>
      </w:r>
      <w:r>
        <w:rPr>
          <w:lang w:val="en-AU"/>
        </w:rPr>
        <w:t>.</w:t>
      </w:r>
    </w:p>
    <w:p w14:paraId="1BBABB99" w14:textId="77777777" w:rsidR="00614230" w:rsidRPr="00FB5E1E" w:rsidRDefault="00614230" w:rsidP="00504B06">
      <w:pPr>
        <w:pStyle w:val="ListParagraph"/>
        <w:numPr>
          <w:ilvl w:val="0"/>
          <w:numId w:val="31"/>
        </w:numPr>
        <w:rPr>
          <w:lang w:val="en-AU"/>
        </w:rPr>
      </w:pPr>
      <w:r w:rsidRPr="00FB5E1E">
        <w:rPr>
          <w:lang w:val="en-AU"/>
        </w:rPr>
        <w:t xml:space="preserve">Establish routine reporting templates and a calendar for </w:t>
      </w:r>
      <w:r>
        <w:rPr>
          <w:lang w:val="en-AU"/>
        </w:rPr>
        <w:t xml:space="preserve">governance and management arrangements, including monitoring visits and </w:t>
      </w:r>
      <w:proofErr w:type="spellStart"/>
      <w:r>
        <w:rPr>
          <w:lang w:val="en-AU"/>
        </w:rPr>
        <w:t>GoI</w:t>
      </w:r>
      <w:proofErr w:type="spellEnd"/>
      <w:r>
        <w:rPr>
          <w:lang w:val="en-AU"/>
        </w:rPr>
        <w:t xml:space="preserve"> meetings.</w:t>
      </w:r>
    </w:p>
    <w:p w14:paraId="65BBA2A3" w14:textId="2C509884" w:rsidR="00614230" w:rsidRDefault="00614230" w:rsidP="00504B06">
      <w:pPr>
        <w:pStyle w:val="ListParagraph"/>
        <w:numPr>
          <w:ilvl w:val="0"/>
          <w:numId w:val="31"/>
        </w:numPr>
        <w:rPr>
          <w:lang w:val="en-AU"/>
        </w:rPr>
      </w:pPr>
      <w:r w:rsidRPr="00FB5E1E">
        <w:rPr>
          <w:lang w:val="en-AU"/>
        </w:rPr>
        <w:t xml:space="preserve">Define DFAT’s role as strategic risk owner </w:t>
      </w:r>
      <w:r>
        <w:rPr>
          <w:lang w:val="en-AU"/>
        </w:rPr>
        <w:t xml:space="preserve">of the program </w:t>
      </w:r>
      <w:r w:rsidRPr="00FB5E1E">
        <w:rPr>
          <w:lang w:val="en-AU"/>
        </w:rPr>
        <w:t xml:space="preserve">and clarify how the </w:t>
      </w:r>
      <w:r>
        <w:rPr>
          <w:lang w:val="en-AU"/>
        </w:rPr>
        <w:t>PSU, the Conven</w:t>
      </w:r>
      <w:r w:rsidR="00BF5733">
        <w:rPr>
          <w:lang w:val="en-AU"/>
        </w:rPr>
        <w:t>o</w:t>
      </w:r>
      <w:r>
        <w:rPr>
          <w:lang w:val="en-AU"/>
        </w:rPr>
        <w:t>r and the CSPs</w:t>
      </w:r>
      <w:r w:rsidRPr="00FB5E1E">
        <w:rPr>
          <w:lang w:val="en-AU"/>
        </w:rPr>
        <w:t xml:space="preserve"> will interact with </w:t>
      </w:r>
      <w:r>
        <w:rPr>
          <w:lang w:val="en-AU"/>
        </w:rPr>
        <w:t>DFAT</w:t>
      </w:r>
      <w:r w:rsidR="000E4AFA">
        <w:rPr>
          <w:lang w:val="en-AU"/>
        </w:rPr>
        <w:t>’s JDG Unit and</w:t>
      </w:r>
      <w:r>
        <w:rPr>
          <w:lang w:val="en-AU"/>
        </w:rPr>
        <w:t xml:space="preserve"> </w:t>
      </w:r>
      <w:r w:rsidRPr="00FB5E1E">
        <w:rPr>
          <w:lang w:val="en-AU"/>
        </w:rPr>
        <w:t>other DFAT program</w:t>
      </w:r>
      <w:r>
        <w:rPr>
          <w:lang w:val="en-AU"/>
        </w:rPr>
        <w:t>s</w:t>
      </w:r>
      <w:r w:rsidRPr="00FB5E1E">
        <w:rPr>
          <w:lang w:val="en-AU"/>
        </w:rPr>
        <w:t>.</w:t>
      </w:r>
    </w:p>
    <w:p w14:paraId="47ED26AC" w14:textId="50E5BD63" w:rsidR="001D7DFA" w:rsidRPr="00FB5E1E" w:rsidRDefault="001D7DFA" w:rsidP="00504B06">
      <w:pPr>
        <w:pStyle w:val="ListParagraph"/>
        <w:numPr>
          <w:ilvl w:val="0"/>
          <w:numId w:val="35"/>
        </w:numPr>
        <w:rPr>
          <w:lang w:val="en-AU"/>
        </w:rPr>
      </w:pPr>
      <w:r w:rsidRPr="00FB5E1E">
        <w:rPr>
          <w:lang w:val="en-AU"/>
        </w:rPr>
        <w:t>Convenor</w:t>
      </w:r>
      <w:r w:rsidR="005403E0">
        <w:rPr>
          <w:lang w:val="en-AU"/>
        </w:rPr>
        <w:t xml:space="preserve"> and</w:t>
      </w:r>
      <w:r w:rsidRPr="00FB5E1E">
        <w:rPr>
          <w:lang w:val="en-AU"/>
        </w:rPr>
        <w:t xml:space="preserve"> Core Group Partners to establish </w:t>
      </w:r>
      <w:r w:rsidR="005403E0">
        <w:rPr>
          <w:lang w:val="en-AU"/>
        </w:rPr>
        <w:t xml:space="preserve">coordination </w:t>
      </w:r>
      <w:r w:rsidRPr="00FB5E1E">
        <w:rPr>
          <w:lang w:val="en-AU"/>
        </w:rPr>
        <w:t xml:space="preserve">mechanisms </w:t>
      </w:r>
      <w:r w:rsidR="005403E0">
        <w:rPr>
          <w:lang w:val="en-AU"/>
        </w:rPr>
        <w:t>with each other and with Collaboration</w:t>
      </w:r>
      <w:r w:rsidRPr="00FB5E1E">
        <w:rPr>
          <w:lang w:val="en-AU"/>
        </w:rPr>
        <w:t xml:space="preserve"> </w:t>
      </w:r>
      <w:r>
        <w:rPr>
          <w:lang w:val="en-AU"/>
        </w:rPr>
        <w:t>P</w:t>
      </w:r>
      <w:r w:rsidRPr="00FB5E1E">
        <w:rPr>
          <w:lang w:val="en-AU"/>
        </w:rPr>
        <w:t xml:space="preserve">artners </w:t>
      </w:r>
      <w:r w:rsidR="007730F5">
        <w:rPr>
          <w:lang w:val="en-AU"/>
        </w:rPr>
        <w:t xml:space="preserve">and </w:t>
      </w:r>
      <w:r w:rsidR="005403E0">
        <w:rPr>
          <w:lang w:val="en-AU"/>
        </w:rPr>
        <w:t xml:space="preserve">other relevant DFAT programs, </w:t>
      </w:r>
      <w:r w:rsidRPr="00FB5E1E">
        <w:rPr>
          <w:lang w:val="en-AU"/>
        </w:rPr>
        <w:t xml:space="preserve">at national and subnational levels. </w:t>
      </w:r>
    </w:p>
    <w:p w14:paraId="18A74849" w14:textId="77777777" w:rsidR="00614230" w:rsidRPr="00CE4FAE" w:rsidRDefault="00614230" w:rsidP="00504B06">
      <w:pPr>
        <w:pStyle w:val="Heading5"/>
        <w:numPr>
          <w:ilvl w:val="1"/>
          <w:numId w:val="100"/>
        </w:numPr>
        <w:ind w:left="567" w:hanging="283"/>
      </w:pPr>
      <w:r w:rsidRPr="00CE4FAE">
        <w:t>Operationalise MEL and risk frameworks</w:t>
      </w:r>
    </w:p>
    <w:p w14:paraId="648CE146" w14:textId="1356A773" w:rsidR="00614230" w:rsidRDefault="00614230" w:rsidP="00614230">
      <w:pPr>
        <w:rPr>
          <w:lang w:val="en-AU"/>
        </w:rPr>
      </w:pPr>
      <w:r w:rsidRPr="084DF1A1">
        <w:rPr>
          <w:lang w:val="en-AU"/>
        </w:rPr>
        <w:t xml:space="preserve">The MEL function for </w:t>
      </w:r>
      <w:r>
        <w:rPr>
          <w:lang w:val="en-AU"/>
        </w:rPr>
        <w:t>both component</w:t>
      </w:r>
      <w:r w:rsidR="00333B96">
        <w:rPr>
          <w:lang w:val="en-AU"/>
        </w:rPr>
        <w:t>s</w:t>
      </w:r>
      <w:r>
        <w:rPr>
          <w:lang w:val="en-AU"/>
        </w:rPr>
        <w:t xml:space="preserve"> of </w:t>
      </w:r>
      <w:proofErr w:type="spellStart"/>
      <w:r w:rsidRPr="00D84A7F">
        <w:rPr>
          <w:lang w:val="en-AU"/>
        </w:rPr>
        <w:t>Partisipasi</w:t>
      </w:r>
      <w:proofErr w:type="spellEnd"/>
      <w:r w:rsidRPr="00B57CB6">
        <w:rPr>
          <w:i/>
          <w:lang w:val="en-AU"/>
        </w:rPr>
        <w:t xml:space="preserve"> </w:t>
      </w:r>
      <w:r w:rsidRPr="084DF1A1">
        <w:rPr>
          <w:lang w:val="en-AU"/>
        </w:rPr>
        <w:t xml:space="preserve">will be managed by the Convenor. </w:t>
      </w:r>
      <w:r>
        <w:rPr>
          <w:lang w:val="en-AU"/>
        </w:rPr>
        <w:t>A b</w:t>
      </w:r>
      <w:r w:rsidRPr="084DF1A1">
        <w:rPr>
          <w:lang w:val="en-AU"/>
        </w:rPr>
        <w:t>udget is provided for a small MEL team</w:t>
      </w:r>
      <w:r>
        <w:rPr>
          <w:lang w:val="en-AU"/>
        </w:rPr>
        <w:t xml:space="preserve"> (a.k.a. MEL-hub) selected by and sit under the Convenor</w:t>
      </w:r>
      <w:r w:rsidRPr="084DF1A1">
        <w:rPr>
          <w:lang w:val="en-AU"/>
        </w:rPr>
        <w:t xml:space="preserve">. </w:t>
      </w:r>
      <w:r>
        <w:rPr>
          <w:lang w:val="en-AU"/>
        </w:rPr>
        <w:t xml:space="preserve">Each of the CSP </w:t>
      </w:r>
      <w:proofErr w:type="gramStart"/>
      <w:r>
        <w:rPr>
          <w:lang w:val="en-AU"/>
        </w:rPr>
        <w:t>and also</w:t>
      </w:r>
      <w:proofErr w:type="gramEnd"/>
      <w:r>
        <w:rPr>
          <w:lang w:val="en-AU"/>
        </w:rPr>
        <w:t xml:space="preserve"> the PSU will have one MEL officer (a.k.a. </w:t>
      </w:r>
      <w:proofErr w:type="spellStart"/>
      <w:r>
        <w:rPr>
          <w:lang w:val="en-AU"/>
        </w:rPr>
        <w:t>the</w:t>
      </w:r>
      <w:proofErr w:type="spellEnd"/>
      <w:r>
        <w:rPr>
          <w:lang w:val="en-AU"/>
        </w:rPr>
        <w:t xml:space="preserve"> spoke</w:t>
      </w:r>
      <w:proofErr w:type="gramStart"/>
      <w:r>
        <w:rPr>
          <w:lang w:val="en-AU"/>
        </w:rPr>
        <w:t>)</w:t>
      </w:r>
      <w:proofErr w:type="gramEnd"/>
      <w:r>
        <w:rPr>
          <w:lang w:val="en-AU"/>
        </w:rPr>
        <w:t xml:space="preserve"> and they will work with the MEL-Hub in developing the report for DFAT</w:t>
      </w:r>
      <w:r w:rsidRPr="084DF1A1">
        <w:rPr>
          <w:lang w:val="en-AU"/>
        </w:rPr>
        <w:t xml:space="preserve">. </w:t>
      </w:r>
      <w:r w:rsidR="0078122C">
        <w:rPr>
          <w:lang w:val="en-AU"/>
        </w:rPr>
        <w:t>Activities will include:</w:t>
      </w:r>
    </w:p>
    <w:p w14:paraId="3F5A740A" w14:textId="77777777" w:rsidR="00614230" w:rsidRDefault="00614230" w:rsidP="00504B06">
      <w:pPr>
        <w:pStyle w:val="ListParagraph"/>
        <w:numPr>
          <w:ilvl w:val="0"/>
          <w:numId w:val="34"/>
        </w:numPr>
        <w:rPr>
          <w:lang w:val="en-AU"/>
        </w:rPr>
      </w:pPr>
      <w:r>
        <w:rPr>
          <w:lang w:val="en-AU"/>
        </w:rPr>
        <w:t>Convenor, with inputs from DFAT and PSU, to recruit the MEL-hub and make sure the team is ready to support the inception process.</w:t>
      </w:r>
    </w:p>
    <w:p w14:paraId="0C22692B" w14:textId="77777777" w:rsidR="00614230" w:rsidRPr="00FB5E1E" w:rsidRDefault="00614230" w:rsidP="00504B06">
      <w:pPr>
        <w:pStyle w:val="ListParagraph"/>
        <w:numPr>
          <w:ilvl w:val="0"/>
          <w:numId w:val="34"/>
        </w:numPr>
        <w:rPr>
          <w:lang w:val="en-AU"/>
        </w:rPr>
      </w:pPr>
      <w:r>
        <w:rPr>
          <w:lang w:val="en-AU"/>
        </w:rPr>
        <w:t xml:space="preserve">The MEL-hub will draft </w:t>
      </w:r>
      <w:r w:rsidRPr="00FB5E1E">
        <w:rPr>
          <w:lang w:val="en-AU"/>
        </w:rPr>
        <w:t xml:space="preserve">and finalise program-wide MEL </w:t>
      </w:r>
      <w:r>
        <w:rPr>
          <w:lang w:val="en-AU"/>
        </w:rPr>
        <w:t>F</w:t>
      </w:r>
      <w:r w:rsidRPr="00FB5E1E">
        <w:rPr>
          <w:lang w:val="en-AU"/>
        </w:rPr>
        <w:t>ramework and corresponding toolkit</w:t>
      </w:r>
      <w:r>
        <w:rPr>
          <w:lang w:val="en-AU"/>
        </w:rPr>
        <w:t>s</w:t>
      </w:r>
      <w:r w:rsidRPr="00FB5E1E">
        <w:rPr>
          <w:lang w:val="en-AU"/>
        </w:rPr>
        <w:t xml:space="preserve">, utilising a co-design approach with the Convenor and Core Group </w:t>
      </w:r>
      <w:r>
        <w:rPr>
          <w:lang w:val="en-AU"/>
        </w:rPr>
        <w:t>P</w:t>
      </w:r>
      <w:r w:rsidRPr="00FB5E1E">
        <w:rPr>
          <w:lang w:val="en-AU"/>
        </w:rPr>
        <w:t xml:space="preserve">artners. </w:t>
      </w:r>
    </w:p>
    <w:p w14:paraId="1F295FAE" w14:textId="77777777" w:rsidR="00614230" w:rsidRPr="00FB5E1E" w:rsidRDefault="00614230" w:rsidP="00504B06">
      <w:pPr>
        <w:pStyle w:val="ListParagraph"/>
        <w:numPr>
          <w:ilvl w:val="0"/>
          <w:numId w:val="34"/>
        </w:numPr>
        <w:rPr>
          <w:lang w:val="en-AU"/>
        </w:rPr>
      </w:pPr>
      <w:r>
        <w:rPr>
          <w:lang w:val="en-AU"/>
        </w:rPr>
        <w:t xml:space="preserve">The MEL-Hub, together with </w:t>
      </w:r>
      <w:r w:rsidRPr="00FB5E1E">
        <w:rPr>
          <w:lang w:val="en-AU"/>
        </w:rPr>
        <w:t>the Convenor</w:t>
      </w:r>
      <w:r>
        <w:rPr>
          <w:lang w:val="en-AU"/>
        </w:rPr>
        <w:t>, the CSPs</w:t>
      </w:r>
      <w:r w:rsidRPr="00FB5E1E">
        <w:rPr>
          <w:lang w:val="en-AU"/>
        </w:rPr>
        <w:t xml:space="preserve"> and </w:t>
      </w:r>
      <w:r>
        <w:rPr>
          <w:lang w:val="en-AU"/>
        </w:rPr>
        <w:t>the PSU, will</w:t>
      </w:r>
      <w:r w:rsidRPr="00FB5E1E">
        <w:rPr>
          <w:lang w:val="en-AU"/>
        </w:rPr>
        <w:t xml:space="preserve"> collect baseline data disaggregated by gender, disability, and other relevant identity status</w:t>
      </w:r>
      <w:r>
        <w:rPr>
          <w:lang w:val="en-AU"/>
        </w:rPr>
        <w:t xml:space="preserve">, and based on that submitted </w:t>
      </w:r>
      <w:proofErr w:type="spellStart"/>
      <w:r>
        <w:rPr>
          <w:lang w:val="en-AU"/>
        </w:rPr>
        <w:t>Partisipasi</w:t>
      </w:r>
      <w:proofErr w:type="spellEnd"/>
      <w:r w:rsidRPr="00FB5E1E">
        <w:rPr>
          <w:lang w:val="en-AU"/>
        </w:rPr>
        <w:t xml:space="preserve"> baseline report</w:t>
      </w:r>
      <w:r>
        <w:rPr>
          <w:lang w:val="en-AU"/>
        </w:rPr>
        <w:t xml:space="preserve"> to DFAT.</w:t>
      </w:r>
    </w:p>
    <w:p w14:paraId="11484D83" w14:textId="77777777" w:rsidR="00614230" w:rsidRPr="00FB5E1E" w:rsidRDefault="00614230" w:rsidP="00504B06">
      <w:pPr>
        <w:pStyle w:val="ListParagraph"/>
        <w:numPr>
          <w:ilvl w:val="0"/>
          <w:numId w:val="34"/>
        </w:numPr>
        <w:rPr>
          <w:lang w:val="en-AU"/>
        </w:rPr>
      </w:pPr>
      <w:r w:rsidRPr="00FB5E1E">
        <w:rPr>
          <w:lang w:val="en-AU"/>
        </w:rPr>
        <w:t xml:space="preserve">Socialisation of the MEL </w:t>
      </w:r>
      <w:r>
        <w:rPr>
          <w:lang w:val="en-AU"/>
        </w:rPr>
        <w:t xml:space="preserve">Framework and </w:t>
      </w:r>
      <w:r w:rsidRPr="00FB5E1E">
        <w:rPr>
          <w:lang w:val="en-AU"/>
        </w:rPr>
        <w:t xml:space="preserve">Toolkit </w:t>
      </w:r>
      <w:r>
        <w:rPr>
          <w:lang w:val="en-AU"/>
        </w:rPr>
        <w:t>to</w:t>
      </w:r>
      <w:r w:rsidRPr="00FB5E1E">
        <w:rPr>
          <w:lang w:val="en-AU"/>
        </w:rPr>
        <w:t xml:space="preserve"> Core Group </w:t>
      </w:r>
      <w:r>
        <w:rPr>
          <w:lang w:val="en-AU"/>
        </w:rPr>
        <w:t>P</w:t>
      </w:r>
      <w:r w:rsidRPr="00FB5E1E">
        <w:rPr>
          <w:lang w:val="en-AU"/>
        </w:rPr>
        <w:t xml:space="preserve">artners and provide support for Core Group </w:t>
      </w:r>
      <w:r>
        <w:rPr>
          <w:lang w:val="en-AU"/>
        </w:rPr>
        <w:t>P</w:t>
      </w:r>
      <w:r w:rsidRPr="00FB5E1E">
        <w:rPr>
          <w:lang w:val="en-AU"/>
        </w:rPr>
        <w:t xml:space="preserve">artners to do likewise with their collaboration partners. </w:t>
      </w:r>
    </w:p>
    <w:p w14:paraId="1DD25004" w14:textId="77777777" w:rsidR="00614230" w:rsidRPr="00FB5E1E" w:rsidRDefault="00614230" w:rsidP="00504B06">
      <w:pPr>
        <w:pStyle w:val="ListParagraph"/>
        <w:numPr>
          <w:ilvl w:val="0"/>
          <w:numId w:val="34"/>
        </w:numPr>
        <w:rPr>
          <w:lang w:val="en-AU"/>
        </w:rPr>
      </w:pPr>
      <w:r>
        <w:rPr>
          <w:lang w:val="en-AU"/>
        </w:rPr>
        <w:t>Regularly u</w:t>
      </w:r>
      <w:r w:rsidRPr="00FB5E1E">
        <w:rPr>
          <w:lang w:val="en-AU"/>
        </w:rPr>
        <w:t xml:space="preserve">pdate program </w:t>
      </w:r>
      <w:r>
        <w:rPr>
          <w:lang w:val="en-AU"/>
        </w:rPr>
        <w:t>R</w:t>
      </w:r>
      <w:r w:rsidRPr="00FB5E1E">
        <w:rPr>
          <w:lang w:val="en-AU"/>
        </w:rPr>
        <w:t xml:space="preserve">isk </w:t>
      </w:r>
      <w:r>
        <w:rPr>
          <w:lang w:val="en-AU"/>
        </w:rPr>
        <w:t>R</w:t>
      </w:r>
      <w:r w:rsidRPr="00FB5E1E">
        <w:rPr>
          <w:lang w:val="en-AU"/>
        </w:rPr>
        <w:t>egister</w:t>
      </w:r>
      <w:r>
        <w:rPr>
          <w:lang w:val="en-AU"/>
        </w:rPr>
        <w:t xml:space="preserve"> and submit a</w:t>
      </w:r>
      <w:r w:rsidRPr="00FB5E1E">
        <w:rPr>
          <w:lang w:val="en-AU"/>
        </w:rPr>
        <w:t xml:space="preserve"> consolidat</w:t>
      </w:r>
      <w:r>
        <w:rPr>
          <w:lang w:val="en-AU"/>
        </w:rPr>
        <w:t xml:space="preserve">ed </w:t>
      </w:r>
      <w:r w:rsidRPr="00FB5E1E">
        <w:rPr>
          <w:lang w:val="en-AU"/>
        </w:rPr>
        <w:t xml:space="preserve">risk report </w:t>
      </w:r>
      <w:r>
        <w:rPr>
          <w:lang w:val="en-AU"/>
        </w:rPr>
        <w:t>to DFAT</w:t>
      </w:r>
      <w:r w:rsidRPr="00FB5E1E">
        <w:rPr>
          <w:lang w:val="en-AU"/>
        </w:rPr>
        <w:t>.</w:t>
      </w:r>
    </w:p>
    <w:p w14:paraId="2854707D" w14:textId="77777777" w:rsidR="00614230" w:rsidRPr="00FB5E1E" w:rsidRDefault="00614230" w:rsidP="00504B06">
      <w:pPr>
        <w:pStyle w:val="ListParagraph"/>
        <w:numPr>
          <w:ilvl w:val="0"/>
          <w:numId w:val="34"/>
        </w:numPr>
        <w:rPr>
          <w:lang w:val="en-AU"/>
        </w:rPr>
      </w:pPr>
      <w:r>
        <w:rPr>
          <w:lang w:val="en-AU"/>
        </w:rPr>
        <w:t>Before the end of the inception phase to c</w:t>
      </w:r>
      <w:r w:rsidRPr="00FB5E1E">
        <w:rPr>
          <w:lang w:val="en-AU"/>
        </w:rPr>
        <w:t>onvene first quarterly reflection cycle to test MEL and risk systems.</w:t>
      </w:r>
    </w:p>
    <w:p w14:paraId="4A6C2661" w14:textId="77777777" w:rsidR="00614230" w:rsidRPr="00192C3A" w:rsidRDefault="00614230" w:rsidP="00504B06">
      <w:pPr>
        <w:pStyle w:val="Heading5"/>
        <w:numPr>
          <w:ilvl w:val="1"/>
          <w:numId w:val="100"/>
        </w:numPr>
        <w:ind w:left="426" w:hanging="284"/>
      </w:pPr>
      <w:r w:rsidRPr="00192C3A">
        <w:t xml:space="preserve">Develop and finalise </w:t>
      </w:r>
      <w:proofErr w:type="spellStart"/>
      <w:r w:rsidRPr="00192C3A">
        <w:t>Partisipasi</w:t>
      </w:r>
      <w:proofErr w:type="spellEnd"/>
      <w:r w:rsidRPr="00192C3A">
        <w:t xml:space="preserve"> CSP Strategy</w:t>
      </w:r>
    </w:p>
    <w:p w14:paraId="32092F35" w14:textId="0F256F9F" w:rsidR="00614230" w:rsidRPr="00C034B4" w:rsidRDefault="004028E7" w:rsidP="00614230">
      <w:r>
        <w:rPr>
          <w:lang w:val="en-AU"/>
        </w:rPr>
        <w:t>T</w:t>
      </w:r>
      <w:r w:rsidR="00614230">
        <w:rPr>
          <w:lang w:val="en-AU"/>
        </w:rPr>
        <w:t>he</w:t>
      </w:r>
      <w:r w:rsidR="00614230" w:rsidRPr="00C034B4">
        <w:rPr>
          <w:lang w:val="en-AU"/>
        </w:rPr>
        <w:t xml:space="preserve"> Convenor and Core </w:t>
      </w:r>
      <w:r>
        <w:rPr>
          <w:lang w:val="en-AU"/>
        </w:rPr>
        <w:t xml:space="preserve">Group </w:t>
      </w:r>
      <w:r w:rsidR="00614230" w:rsidRPr="00C034B4">
        <w:rPr>
          <w:lang w:val="en-AU"/>
        </w:rPr>
        <w:t>Partners</w:t>
      </w:r>
      <w:r>
        <w:rPr>
          <w:lang w:val="en-AU"/>
        </w:rPr>
        <w:t xml:space="preserve"> are responsible </w:t>
      </w:r>
      <w:r w:rsidR="00614230" w:rsidRPr="00192C3A">
        <w:rPr>
          <w:lang w:val="en-AU"/>
        </w:rPr>
        <w:t xml:space="preserve">for </w:t>
      </w:r>
      <w:r w:rsidR="00614230" w:rsidRPr="00C034B4">
        <w:rPr>
          <w:lang w:val="en-AU"/>
        </w:rPr>
        <w:t>co-developing the CSP Strategy</w:t>
      </w:r>
      <w:r w:rsidR="00EB02C1">
        <w:rPr>
          <w:lang w:val="en-AU"/>
        </w:rPr>
        <w:t xml:space="preserve"> in consultation with relevant stakeholders, partners and </w:t>
      </w:r>
      <w:r w:rsidR="00510495">
        <w:rPr>
          <w:lang w:val="en-AU"/>
        </w:rPr>
        <w:t>representative organisation (e.g. OPDs, WROs)</w:t>
      </w:r>
      <w:r>
        <w:rPr>
          <w:lang w:val="en-AU"/>
        </w:rPr>
        <w:t xml:space="preserve">, which will include </w:t>
      </w:r>
      <w:r w:rsidR="00405535">
        <w:rPr>
          <w:lang w:val="en-AU"/>
        </w:rPr>
        <w:t>various annexes (see above).</w:t>
      </w:r>
    </w:p>
    <w:p w14:paraId="108B961A" w14:textId="77777777" w:rsidR="00614230" w:rsidRDefault="00614230" w:rsidP="00614230">
      <w:pPr>
        <w:rPr>
          <w:lang w:val="en-AU"/>
        </w:rPr>
        <w:sectPr w:rsidR="00614230" w:rsidSect="00614230">
          <w:footerReference w:type="first" r:id="rId28"/>
          <w:pgSz w:w="11906" w:h="16838" w:code="9"/>
          <w:pgMar w:top="1701" w:right="1134" w:bottom="1418" w:left="1134" w:header="425" w:footer="493" w:gutter="0"/>
          <w:cols w:space="397"/>
          <w:docGrid w:linePitch="360"/>
        </w:sectPr>
      </w:pPr>
    </w:p>
    <w:p w14:paraId="560A1054" w14:textId="1526C1A4" w:rsidR="00614230" w:rsidRDefault="00614230" w:rsidP="00614230">
      <w:pPr>
        <w:pStyle w:val="Caption"/>
        <w:keepNext/>
        <w:ind w:left="-142"/>
      </w:pPr>
      <w:r>
        <w:lastRenderedPageBreak/>
        <w:t>Figure</w:t>
      </w:r>
      <w:r w:rsidR="00B44BB5">
        <w:t xml:space="preserve"> </w:t>
      </w:r>
      <w:r w:rsidR="008D4216">
        <w:t>4</w:t>
      </w:r>
      <w:r>
        <w:t>: Indicative Workplan during Inception</w:t>
      </w:r>
      <w:r w:rsidRPr="00C04714">
        <w:rPr>
          <w:noProof/>
        </w:rPr>
        <w:drawing>
          <wp:inline distT="0" distB="0" distL="0" distR="0" wp14:anchorId="248C61CB" wp14:editId="43F6FC5D">
            <wp:extent cx="9404296" cy="5747658"/>
            <wp:effectExtent l="0" t="0" r="6985" b="5715"/>
            <wp:docPr id="3" name="Picture 2" descr="Figure 4 describes the indicative workplan during inception. It comprises key tasks for the pre-inception phase and the inception phase, as described in Annex G.">
              <a:extLst xmlns:a="http://schemas.openxmlformats.org/drawingml/2006/main">
                <a:ext uri="{FF2B5EF4-FFF2-40B4-BE49-F238E27FC236}">
                  <a16:creationId xmlns:a16="http://schemas.microsoft.com/office/drawing/2014/main" id="{DE8CDF0B-952F-E37F-EED2-7E60A90F1D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igure 4 describes the indicative workplan during inception. It comprises key tasks for the pre-inception phase and the inception phase, as described in Annex G.">
                      <a:extLst>
                        <a:ext uri="{FF2B5EF4-FFF2-40B4-BE49-F238E27FC236}">
                          <a16:creationId xmlns:a16="http://schemas.microsoft.com/office/drawing/2014/main" id="{DE8CDF0B-952F-E37F-EED2-7E60A90F1DAD}"/>
                        </a:ext>
                      </a:extLst>
                    </pic:cNvPr>
                    <pic:cNvPicPr>
                      <a:picLocks noChangeAspect="1"/>
                    </pic:cNvPicPr>
                  </pic:nvPicPr>
                  <pic:blipFill>
                    <a:blip r:embed="rId29"/>
                    <a:stretch>
                      <a:fillRect/>
                    </a:stretch>
                  </pic:blipFill>
                  <pic:spPr>
                    <a:xfrm>
                      <a:off x="0" y="0"/>
                      <a:ext cx="9417111" cy="5755490"/>
                    </a:xfrm>
                    <a:prstGeom prst="rect">
                      <a:avLst/>
                    </a:prstGeom>
                  </pic:spPr>
                </pic:pic>
              </a:graphicData>
            </a:graphic>
          </wp:inline>
        </w:drawing>
      </w:r>
    </w:p>
    <w:p w14:paraId="5B2138C9" w14:textId="77777777" w:rsidR="00614230" w:rsidRDefault="00614230" w:rsidP="00614230">
      <w:pPr>
        <w:jc w:val="both"/>
        <w:rPr>
          <w:lang w:val="en-AU"/>
        </w:rPr>
        <w:sectPr w:rsidR="00614230" w:rsidSect="00614230">
          <w:headerReference w:type="first" r:id="rId30"/>
          <w:pgSz w:w="16838" w:h="11906" w:orient="landscape" w:code="9"/>
          <w:pgMar w:top="720" w:right="720" w:bottom="720" w:left="720" w:header="425" w:footer="493" w:gutter="0"/>
          <w:cols w:space="397"/>
          <w:titlePg/>
          <w:docGrid w:linePitch="360"/>
        </w:sectPr>
      </w:pPr>
    </w:p>
    <w:p w14:paraId="15E6EB16" w14:textId="19AC0410" w:rsidR="00902F90" w:rsidRPr="007537A2" w:rsidRDefault="00902F90" w:rsidP="008A6518">
      <w:pPr>
        <w:pStyle w:val="Heading2"/>
        <w:spacing w:before="0"/>
      </w:pPr>
      <w:bookmarkStart w:id="320" w:name="_Annex_H:_Monitoring,"/>
      <w:bookmarkStart w:id="321" w:name="AnnexH"/>
      <w:bookmarkStart w:id="322" w:name="_Toc232524303"/>
      <w:bookmarkEnd w:id="320"/>
      <w:r w:rsidRPr="007537A2">
        <w:lastRenderedPageBreak/>
        <w:t>A</w:t>
      </w:r>
      <w:r>
        <w:t>nnex</w:t>
      </w:r>
      <w:r w:rsidRPr="007537A2">
        <w:t xml:space="preserve"> </w:t>
      </w:r>
      <w:r w:rsidR="00DA29FD">
        <w:t>H</w:t>
      </w:r>
      <w:bookmarkEnd w:id="321"/>
      <w:r w:rsidRPr="007537A2">
        <w:t>: Monitoring, Evaluation and Learning (MEL) Framework at Design</w:t>
      </w:r>
      <w:bookmarkEnd w:id="322"/>
    </w:p>
    <w:bookmarkEnd w:id="319"/>
    <w:p w14:paraId="56D5649C" w14:textId="1FCF7ECA" w:rsidR="00902F90" w:rsidRPr="00FA698D" w:rsidRDefault="00BA7134" w:rsidP="00500EA6">
      <w:pPr>
        <w:pStyle w:val="Heading3"/>
        <w:spacing w:before="240"/>
      </w:pPr>
      <w:r>
        <w:t>Overall Approach</w:t>
      </w:r>
    </w:p>
    <w:p w14:paraId="4DC36462" w14:textId="37901134" w:rsidR="00CD4211" w:rsidRDefault="00266F6C" w:rsidP="009553BD">
      <w:pPr>
        <w:pStyle w:val="Heading5"/>
        <w:rPr>
          <w:lang w:val="en-AU" w:eastAsia="en-AU"/>
        </w:rPr>
      </w:pPr>
      <w:r>
        <w:rPr>
          <w:lang w:val="en-AU" w:eastAsia="en-AU"/>
        </w:rPr>
        <w:t>Purpose</w:t>
      </w:r>
      <w:r w:rsidR="00BA7134">
        <w:rPr>
          <w:lang w:val="en-AU" w:eastAsia="en-AU"/>
        </w:rPr>
        <w:t xml:space="preserve"> and Scope</w:t>
      </w:r>
    </w:p>
    <w:p w14:paraId="5381A8A9" w14:textId="763FBD82" w:rsidR="00902F90" w:rsidRPr="00FA698D" w:rsidRDefault="00902F90" w:rsidP="00902F90">
      <w:pPr>
        <w:rPr>
          <w:lang w:val="en-AU" w:eastAsia="en-AU"/>
        </w:rPr>
      </w:pPr>
      <w:r w:rsidRPr="00FA698D">
        <w:rPr>
          <w:lang w:val="en-AU" w:eastAsia="en-AU"/>
        </w:rPr>
        <w:t xml:space="preserve">The MEL system for </w:t>
      </w:r>
      <w:proofErr w:type="spellStart"/>
      <w:r w:rsidR="007B5A20" w:rsidRPr="007B5A20">
        <w:rPr>
          <w:lang w:val="en-AU" w:eastAsia="en-AU"/>
        </w:rPr>
        <w:t>Partisipasi</w:t>
      </w:r>
      <w:proofErr w:type="spellEnd"/>
      <w:r w:rsidRPr="00FA698D">
        <w:rPr>
          <w:lang w:val="en-AU" w:eastAsia="en-AU"/>
        </w:rPr>
        <w:t xml:space="preserve"> is designed to enable adaptive learning, evidence-informed decision-making, and accountability for results across the program’s </w:t>
      </w:r>
      <w:r w:rsidR="00136409">
        <w:rPr>
          <w:lang w:val="en-AU" w:eastAsia="en-AU"/>
        </w:rPr>
        <w:t>three</w:t>
      </w:r>
      <w:r w:rsidR="00791F3A" w:rsidRPr="00FA698D">
        <w:rPr>
          <w:lang w:val="en-AU" w:eastAsia="en-AU"/>
        </w:rPr>
        <w:t xml:space="preserve"> </w:t>
      </w:r>
      <w:r w:rsidRPr="00FA698D">
        <w:rPr>
          <w:lang w:val="en-AU" w:eastAsia="en-AU"/>
        </w:rPr>
        <w:t>End</w:t>
      </w:r>
      <w:r w:rsidR="0035135B">
        <w:rPr>
          <w:lang w:val="en-AU" w:eastAsia="en-AU"/>
        </w:rPr>
        <w:t xml:space="preserve"> </w:t>
      </w:r>
      <w:r w:rsidRPr="00FA698D">
        <w:rPr>
          <w:lang w:val="en-AU" w:eastAsia="en-AU"/>
        </w:rPr>
        <w:t>of</w:t>
      </w:r>
      <w:r w:rsidR="0035135B">
        <w:rPr>
          <w:lang w:val="en-AU" w:eastAsia="en-AU"/>
        </w:rPr>
        <w:t xml:space="preserve"> </w:t>
      </w:r>
      <w:r w:rsidRPr="00FA698D">
        <w:rPr>
          <w:lang w:val="en-AU" w:eastAsia="en-AU"/>
        </w:rPr>
        <w:t>Program Outcomes (EOPOs). It will:</w:t>
      </w:r>
    </w:p>
    <w:p w14:paraId="30303C21" w14:textId="065611ED" w:rsidR="00902F90" w:rsidRPr="00607D97" w:rsidRDefault="00902F90" w:rsidP="00504B06">
      <w:pPr>
        <w:pStyle w:val="ListParagraph"/>
        <w:numPr>
          <w:ilvl w:val="0"/>
          <w:numId w:val="44"/>
        </w:numPr>
        <w:rPr>
          <w:lang w:val="en-AU" w:eastAsia="en-AU"/>
        </w:rPr>
      </w:pPr>
      <w:r w:rsidRPr="00607D97">
        <w:rPr>
          <w:lang w:val="en-AU" w:eastAsia="en-AU"/>
        </w:rPr>
        <w:t>Track progress toward EOPOs and Intermediate Outcomes (IOs) through outcome-focused, scenario-based approaches</w:t>
      </w:r>
    </w:p>
    <w:p w14:paraId="457F8492" w14:textId="2EFA6194" w:rsidR="00902F90" w:rsidRPr="00607D97" w:rsidRDefault="00902F90" w:rsidP="00504B06">
      <w:pPr>
        <w:pStyle w:val="ListParagraph"/>
        <w:numPr>
          <w:ilvl w:val="0"/>
          <w:numId w:val="44"/>
        </w:numPr>
        <w:rPr>
          <w:lang w:val="en-AU" w:eastAsia="en-AU"/>
        </w:rPr>
      </w:pPr>
      <w:r w:rsidRPr="00607D97">
        <w:rPr>
          <w:lang w:val="en-AU" w:eastAsia="en-AU"/>
        </w:rPr>
        <w:t>Provide timely feedback loops for program adaptation and risk management</w:t>
      </w:r>
      <w:r>
        <w:rPr>
          <w:lang w:val="en-AU" w:eastAsia="en-AU"/>
        </w:rPr>
        <w:t>, informed by political economy analysis</w:t>
      </w:r>
    </w:p>
    <w:p w14:paraId="480DB2ED" w14:textId="567E323F" w:rsidR="00902F90" w:rsidRPr="00607D97" w:rsidRDefault="00902F90" w:rsidP="00504B06">
      <w:pPr>
        <w:pStyle w:val="ListParagraph"/>
        <w:numPr>
          <w:ilvl w:val="0"/>
          <w:numId w:val="44"/>
        </w:numPr>
        <w:rPr>
          <w:lang w:val="en-AU" w:eastAsia="en-AU"/>
        </w:rPr>
      </w:pPr>
      <w:r w:rsidRPr="00607D97">
        <w:rPr>
          <w:lang w:val="en-AU" w:eastAsia="en-AU"/>
        </w:rPr>
        <w:t>Support the Convenor, implementing partners, DFAT, and local stakeholders to learn from practice and course-correct</w:t>
      </w:r>
    </w:p>
    <w:p w14:paraId="5095F86D" w14:textId="77777777" w:rsidR="00902F90" w:rsidRPr="00607D97" w:rsidRDefault="00902F90" w:rsidP="00504B06">
      <w:pPr>
        <w:pStyle w:val="ListParagraph"/>
        <w:numPr>
          <w:ilvl w:val="0"/>
          <w:numId w:val="44"/>
        </w:numPr>
        <w:rPr>
          <w:lang w:val="en-AU" w:eastAsia="en-AU"/>
        </w:rPr>
      </w:pPr>
      <w:r w:rsidRPr="00607D97">
        <w:rPr>
          <w:lang w:val="en-AU" w:eastAsia="en-AU"/>
        </w:rPr>
        <w:t>Generate knowledge products and learning insights that contribute to broader democratic resilience efforts in Indonesia and the region.</w:t>
      </w:r>
    </w:p>
    <w:p w14:paraId="24684EA2" w14:textId="53F5E8F3" w:rsidR="00902F90" w:rsidRDefault="00902F90" w:rsidP="00902F90">
      <w:pPr>
        <w:rPr>
          <w:lang w:val="en-AU" w:eastAsia="en-AU"/>
        </w:rPr>
      </w:pPr>
      <w:r w:rsidRPr="00FA698D">
        <w:rPr>
          <w:lang w:val="en-AU" w:eastAsia="en-AU"/>
        </w:rPr>
        <w:t xml:space="preserve">The MEL system applies across all components and delivery modalities of </w:t>
      </w:r>
      <w:proofErr w:type="spellStart"/>
      <w:r w:rsidR="007B5A20" w:rsidRPr="007B5A20">
        <w:rPr>
          <w:lang w:val="en-AU" w:eastAsia="en-AU"/>
        </w:rPr>
        <w:t>Partisipasi</w:t>
      </w:r>
      <w:proofErr w:type="spellEnd"/>
      <w:r>
        <w:rPr>
          <w:lang w:val="en-AU" w:eastAsia="en-AU"/>
        </w:rPr>
        <w:t xml:space="preserve">, </w:t>
      </w:r>
      <w:r w:rsidRPr="00FA698D">
        <w:rPr>
          <w:lang w:val="en-AU" w:eastAsia="en-AU"/>
        </w:rPr>
        <w:t xml:space="preserve">including civil society support, </w:t>
      </w:r>
      <w:r w:rsidR="000727B0">
        <w:rPr>
          <w:lang w:val="en-AU" w:eastAsia="en-AU"/>
        </w:rPr>
        <w:t>G2G</w:t>
      </w:r>
      <w:r w:rsidRPr="00FA698D">
        <w:rPr>
          <w:lang w:val="en-AU" w:eastAsia="en-AU"/>
        </w:rPr>
        <w:t xml:space="preserve"> engagement and </w:t>
      </w:r>
      <w:r w:rsidR="00136409">
        <w:rPr>
          <w:lang w:val="en-AU" w:eastAsia="en-AU"/>
        </w:rPr>
        <w:t>subnational activities</w:t>
      </w:r>
      <w:r>
        <w:rPr>
          <w:lang w:val="en-AU" w:eastAsia="en-AU"/>
        </w:rPr>
        <w:t xml:space="preserve">, </w:t>
      </w:r>
      <w:r w:rsidRPr="00FA698D">
        <w:rPr>
          <w:lang w:val="en-AU" w:eastAsia="en-AU"/>
        </w:rPr>
        <w:t>and will inc</w:t>
      </w:r>
      <w:r>
        <w:rPr>
          <w:lang w:val="en-AU" w:eastAsia="en-AU"/>
        </w:rPr>
        <w:t>orporate</w:t>
      </w:r>
      <w:r w:rsidRPr="00FA698D">
        <w:rPr>
          <w:lang w:val="en-AU" w:eastAsia="en-AU"/>
        </w:rPr>
        <w:t xml:space="preserve"> both quantitative and qualitative data sources.</w:t>
      </w:r>
    </w:p>
    <w:p w14:paraId="61F43440" w14:textId="5C7EC06E" w:rsidR="00902F90" w:rsidRPr="00C034B4" w:rsidRDefault="005767AB" w:rsidP="009553BD">
      <w:pPr>
        <w:pStyle w:val="Heading5"/>
        <w:rPr>
          <w:lang w:val="en-AU" w:eastAsia="en-AU"/>
        </w:rPr>
      </w:pPr>
      <w:r>
        <w:rPr>
          <w:lang w:val="en-AU" w:eastAsia="en-AU"/>
        </w:rPr>
        <w:t>Hub-and-Spoke Model</w:t>
      </w:r>
    </w:p>
    <w:p w14:paraId="7085748E" w14:textId="30EDB886" w:rsidR="00902F90" w:rsidRPr="009B1B55" w:rsidRDefault="00902F90" w:rsidP="00902F90">
      <w:pPr>
        <w:spacing w:after="120"/>
        <w:rPr>
          <w:lang w:val="en-AU" w:eastAsia="en-AU"/>
        </w:rPr>
      </w:pPr>
      <w:proofErr w:type="spellStart"/>
      <w:r w:rsidRPr="009B1B55">
        <w:rPr>
          <w:lang w:val="en-AU" w:eastAsia="en-AU"/>
        </w:rPr>
        <w:t>Partisipasi</w:t>
      </w:r>
      <w:proofErr w:type="spellEnd"/>
      <w:r w:rsidRPr="009B1B55">
        <w:rPr>
          <w:lang w:val="en-AU" w:eastAsia="en-AU"/>
        </w:rPr>
        <w:t xml:space="preserve"> will use a </w:t>
      </w:r>
      <w:r w:rsidR="000D5B25">
        <w:rPr>
          <w:lang w:val="en-AU" w:eastAsia="en-AU"/>
        </w:rPr>
        <w:t>H</w:t>
      </w:r>
      <w:r w:rsidRPr="009B1B55">
        <w:rPr>
          <w:lang w:val="en-AU" w:eastAsia="en-AU"/>
        </w:rPr>
        <w:t>ub-and-</w:t>
      </w:r>
      <w:r w:rsidR="000D5B25">
        <w:rPr>
          <w:lang w:val="en-AU" w:eastAsia="en-AU"/>
        </w:rPr>
        <w:t>S</w:t>
      </w:r>
      <w:r w:rsidRPr="009B1B55">
        <w:rPr>
          <w:lang w:val="en-AU" w:eastAsia="en-AU"/>
        </w:rPr>
        <w:t xml:space="preserve">poke MEL </w:t>
      </w:r>
      <w:r w:rsidR="00B24A26">
        <w:rPr>
          <w:lang w:val="en-AU" w:eastAsia="en-AU"/>
        </w:rPr>
        <w:t>model</w:t>
      </w:r>
      <w:r w:rsidR="00B24A26" w:rsidRPr="009B1B55">
        <w:rPr>
          <w:lang w:val="en-AU" w:eastAsia="en-AU"/>
        </w:rPr>
        <w:t xml:space="preserve"> </w:t>
      </w:r>
      <w:r w:rsidRPr="009B1B55">
        <w:rPr>
          <w:lang w:val="en-AU" w:eastAsia="en-AU"/>
        </w:rPr>
        <w:t xml:space="preserve">that ensures coherence across components while allowing contextual flexibility. </w:t>
      </w:r>
      <w:r w:rsidR="00457D59">
        <w:rPr>
          <w:lang w:val="en-AU" w:eastAsia="en-AU"/>
        </w:rPr>
        <w:t>Following an open</w:t>
      </w:r>
      <w:r w:rsidR="00746CAF">
        <w:rPr>
          <w:lang w:val="en-AU" w:eastAsia="en-AU"/>
        </w:rPr>
        <w:t xml:space="preserve"> and</w:t>
      </w:r>
      <w:r w:rsidR="00457D59">
        <w:rPr>
          <w:lang w:val="en-AU" w:eastAsia="en-AU"/>
        </w:rPr>
        <w:t xml:space="preserve"> competitive process, t</w:t>
      </w:r>
      <w:r w:rsidRPr="009B1B55">
        <w:rPr>
          <w:lang w:val="en-AU" w:eastAsia="en-AU"/>
        </w:rPr>
        <w:t xml:space="preserve">he Convenor </w:t>
      </w:r>
      <w:r w:rsidR="00B24A26">
        <w:rPr>
          <w:lang w:val="en-AU" w:eastAsia="en-AU"/>
        </w:rPr>
        <w:t xml:space="preserve">will </w:t>
      </w:r>
      <w:r w:rsidR="00B014AB">
        <w:rPr>
          <w:lang w:val="en-AU" w:eastAsia="en-AU"/>
        </w:rPr>
        <w:t>contract</w:t>
      </w:r>
      <w:r w:rsidRPr="009B1B55">
        <w:rPr>
          <w:lang w:val="en-AU" w:eastAsia="en-AU"/>
        </w:rPr>
        <w:t xml:space="preserve"> a </w:t>
      </w:r>
      <w:proofErr w:type="gramStart"/>
      <w:r w:rsidRPr="009B1B55">
        <w:rPr>
          <w:lang w:val="en-AU" w:eastAsia="en-AU"/>
        </w:rPr>
        <w:t>locally</w:t>
      </w:r>
      <w:r w:rsidR="00B24A26">
        <w:rPr>
          <w:lang w:val="en-AU" w:eastAsia="en-AU"/>
        </w:rPr>
        <w:t>-</w:t>
      </w:r>
      <w:r w:rsidRPr="009B1B55">
        <w:rPr>
          <w:lang w:val="en-AU" w:eastAsia="en-AU"/>
        </w:rPr>
        <w:t>based</w:t>
      </w:r>
      <w:proofErr w:type="gramEnd"/>
      <w:r w:rsidRPr="009B1B55">
        <w:rPr>
          <w:lang w:val="en-AU" w:eastAsia="en-AU"/>
        </w:rPr>
        <w:t xml:space="preserve"> organisation</w:t>
      </w:r>
      <w:r w:rsidR="00B24A26">
        <w:rPr>
          <w:lang w:val="en-AU" w:eastAsia="en-AU"/>
        </w:rPr>
        <w:t xml:space="preserve"> </w:t>
      </w:r>
      <w:r w:rsidR="00F90B24">
        <w:rPr>
          <w:lang w:val="en-AU" w:eastAsia="en-AU"/>
        </w:rPr>
        <w:t>to provide a MEL Hub</w:t>
      </w:r>
      <w:r w:rsidR="00E640AA">
        <w:rPr>
          <w:lang w:val="en-AU" w:eastAsia="en-AU"/>
        </w:rPr>
        <w:t xml:space="preserve"> for the program</w:t>
      </w:r>
      <w:r w:rsidR="00F90B24">
        <w:rPr>
          <w:lang w:val="en-AU" w:eastAsia="en-AU"/>
        </w:rPr>
        <w:t>. By contracting out this function</w:t>
      </w:r>
      <w:r w:rsidR="00746CAF">
        <w:rPr>
          <w:lang w:val="en-AU" w:eastAsia="en-AU"/>
        </w:rPr>
        <w:t xml:space="preserve"> to an experience</w:t>
      </w:r>
      <w:r w:rsidR="00B014AB">
        <w:rPr>
          <w:lang w:val="en-AU" w:eastAsia="en-AU"/>
        </w:rPr>
        <w:t>d</w:t>
      </w:r>
      <w:r w:rsidR="00746CAF">
        <w:rPr>
          <w:lang w:val="en-AU" w:eastAsia="en-AU"/>
        </w:rPr>
        <w:t xml:space="preserve"> </w:t>
      </w:r>
      <w:r w:rsidR="006A0854">
        <w:rPr>
          <w:lang w:val="en-AU" w:eastAsia="en-AU"/>
        </w:rPr>
        <w:t xml:space="preserve">local </w:t>
      </w:r>
      <w:r w:rsidR="00746CAF">
        <w:rPr>
          <w:lang w:val="en-AU" w:eastAsia="en-AU"/>
        </w:rPr>
        <w:t>MEL organisation</w:t>
      </w:r>
      <w:r w:rsidR="00F90B24">
        <w:rPr>
          <w:lang w:val="en-AU" w:eastAsia="en-AU"/>
        </w:rPr>
        <w:t xml:space="preserve">, it </w:t>
      </w:r>
      <w:r w:rsidRPr="009B1B55">
        <w:rPr>
          <w:lang w:val="en-AU" w:eastAsia="en-AU"/>
        </w:rPr>
        <w:t>ensur</w:t>
      </w:r>
      <w:r w:rsidR="00F90B24">
        <w:rPr>
          <w:lang w:val="en-AU" w:eastAsia="en-AU"/>
        </w:rPr>
        <w:t>es</w:t>
      </w:r>
      <w:r w:rsidRPr="009B1B55">
        <w:rPr>
          <w:lang w:val="en-AU" w:eastAsia="en-AU"/>
        </w:rPr>
        <w:t xml:space="preserve"> independence, contextual knowledge, and credibility </w:t>
      </w:r>
      <w:r w:rsidR="00561B0A">
        <w:rPr>
          <w:lang w:val="en-AU" w:eastAsia="en-AU"/>
        </w:rPr>
        <w:t>among all implementing partners</w:t>
      </w:r>
      <w:r w:rsidRPr="009B1B55">
        <w:rPr>
          <w:lang w:val="en-AU" w:eastAsia="en-AU"/>
        </w:rPr>
        <w:t xml:space="preserve">. Operating as a semi-autonomous mechanism, the </w:t>
      </w:r>
      <w:r w:rsidR="00B014AB">
        <w:rPr>
          <w:lang w:val="en-AU" w:eastAsia="en-AU"/>
        </w:rPr>
        <w:t>H</w:t>
      </w:r>
      <w:r w:rsidRPr="009B1B55">
        <w:rPr>
          <w:lang w:val="en-AU" w:eastAsia="en-AU"/>
        </w:rPr>
        <w:t xml:space="preserve">ub will be responsible for program-wide synthesis, outcome tracking, analysis, capacity strengthening, and consolidated reporting to DFAT. </w:t>
      </w:r>
      <w:r w:rsidR="00F61ED3">
        <w:rPr>
          <w:lang w:val="en-AU" w:eastAsia="en-AU"/>
        </w:rPr>
        <w:t>If possible, the Hub will be co-located with the Convenor</w:t>
      </w:r>
      <w:r w:rsidR="00B96300">
        <w:rPr>
          <w:lang w:val="en-AU" w:eastAsia="en-AU"/>
        </w:rPr>
        <w:t xml:space="preserve">. </w:t>
      </w:r>
      <w:r w:rsidRPr="009B1B55">
        <w:rPr>
          <w:lang w:val="en-AU" w:eastAsia="en-AU"/>
        </w:rPr>
        <w:t xml:space="preserve">The </w:t>
      </w:r>
      <w:r w:rsidR="00B96300">
        <w:rPr>
          <w:lang w:val="en-AU" w:eastAsia="en-AU"/>
        </w:rPr>
        <w:t xml:space="preserve">Hub </w:t>
      </w:r>
      <w:r w:rsidRPr="009B1B55">
        <w:rPr>
          <w:lang w:val="en-AU" w:eastAsia="en-AU"/>
        </w:rPr>
        <w:t>team will be suitably qualified, have deep Indonesian experience, and produce reporting aligned with DFAT standards.</w:t>
      </w:r>
    </w:p>
    <w:p w14:paraId="4AD56EB6" w14:textId="19015B34" w:rsidR="00902F90" w:rsidRPr="009B1B55" w:rsidRDefault="00902F90" w:rsidP="00902F90">
      <w:pPr>
        <w:spacing w:after="120"/>
        <w:rPr>
          <w:lang w:val="en-AU" w:eastAsia="en-AU"/>
        </w:rPr>
      </w:pPr>
      <w:r w:rsidRPr="009B1B55">
        <w:rPr>
          <w:lang w:val="en-AU" w:eastAsia="en-AU"/>
        </w:rPr>
        <w:t xml:space="preserve">Within this system, MEL </w:t>
      </w:r>
      <w:r w:rsidR="008F1740">
        <w:rPr>
          <w:lang w:val="en-AU" w:eastAsia="en-AU"/>
        </w:rPr>
        <w:t>‘</w:t>
      </w:r>
      <w:r w:rsidRPr="009B1B55">
        <w:rPr>
          <w:lang w:val="en-AU" w:eastAsia="en-AU"/>
        </w:rPr>
        <w:t>spokes</w:t>
      </w:r>
      <w:r w:rsidR="008F1740">
        <w:rPr>
          <w:lang w:val="en-AU" w:eastAsia="en-AU"/>
        </w:rPr>
        <w:t>’</w:t>
      </w:r>
      <w:r w:rsidRPr="009B1B55">
        <w:rPr>
          <w:lang w:val="en-AU" w:eastAsia="en-AU"/>
        </w:rPr>
        <w:t xml:space="preserve"> will be embedded in relevant delivery teams:</w:t>
      </w:r>
    </w:p>
    <w:p w14:paraId="79051128" w14:textId="09005AFF" w:rsidR="00902F90" w:rsidRPr="009B1B55" w:rsidRDefault="00902F90" w:rsidP="00504B06">
      <w:pPr>
        <w:numPr>
          <w:ilvl w:val="0"/>
          <w:numId w:val="92"/>
        </w:numPr>
        <w:spacing w:after="120"/>
        <w:rPr>
          <w:lang w:val="en-AU" w:eastAsia="en-AU"/>
        </w:rPr>
      </w:pPr>
      <w:r w:rsidRPr="009B1B55">
        <w:rPr>
          <w:b/>
          <w:bCs/>
          <w:lang w:val="en-AU" w:eastAsia="en-AU"/>
        </w:rPr>
        <w:t xml:space="preserve">Component </w:t>
      </w:r>
      <w:r w:rsidR="008F1740">
        <w:rPr>
          <w:b/>
          <w:bCs/>
          <w:lang w:val="en-AU" w:eastAsia="en-AU"/>
        </w:rPr>
        <w:t>1</w:t>
      </w:r>
      <w:r w:rsidR="008F1740" w:rsidRPr="009B1B55">
        <w:rPr>
          <w:b/>
          <w:bCs/>
          <w:lang w:val="en-AU" w:eastAsia="en-AU"/>
        </w:rPr>
        <w:t xml:space="preserve"> </w:t>
      </w:r>
      <w:r w:rsidRPr="009B1B55">
        <w:rPr>
          <w:b/>
          <w:bCs/>
          <w:lang w:val="en-AU" w:eastAsia="en-AU"/>
        </w:rPr>
        <w:t>spoke</w:t>
      </w:r>
      <w:r w:rsidRPr="009B1B55">
        <w:rPr>
          <w:lang w:val="en-AU" w:eastAsia="en-AU"/>
        </w:rPr>
        <w:t xml:space="preserve"> will sit within the PSU and support government-facing work, including tracking institutional change, policy shifts, and dialogue outcomes.</w:t>
      </w:r>
    </w:p>
    <w:p w14:paraId="05F3B3EB" w14:textId="511BD877" w:rsidR="00AA0547" w:rsidRPr="00FB2276" w:rsidRDefault="00902F90" w:rsidP="00504B06">
      <w:pPr>
        <w:numPr>
          <w:ilvl w:val="0"/>
          <w:numId w:val="92"/>
        </w:numPr>
        <w:spacing w:after="120"/>
        <w:rPr>
          <w:lang w:val="en-AU" w:eastAsia="en-AU"/>
        </w:rPr>
      </w:pPr>
      <w:r w:rsidRPr="009B1B55">
        <w:rPr>
          <w:b/>
          <w:bCs/>
          <w:lang w:val="en-AU" w:eastAsia="en-AU"/>
        </w:rPr>
        <w:t xml:space="preserve">Component </w:t>
      </w:r>
      <w:r w:rsidR="000F328E">
        <w:rPr>
          <w:b/>
          <w:bCs/>
          <w:lang w:val="en-AU" w:eastAsia="en-AU"/>
        </w:rPr>
        <w:t>2</w:t>
      </w:r>
      <w:r w:rsidR="008F1740" w:rsidRPr="009B1B55">
        <w:rPr>
          <w:b/>
          <w:bCs/>
          <w:lang w:val="en-AU" w:eastAsia="en-AU"/>
        </w:rPr>
        <w:t xml:space="preserve"> </w:t>
      </w:r>
      <w:r w:rsidRPr="009B1B55">
        <w:rPr>
          <w:b/>
          <w:bCs/>
          <w:lang w:val="en-AU" w:eastAsia="en-AU"/>
        </w:rPr>
        <w:t>spokes</w:t>
      </w:r>
      <w:r w:rsidRPr="009B1B55">
        <w:rPr>
          <w:lang w:val="en-AU" w:eastAsia="en-AU"/>
        </w:rPr>
        <w:t xml:space="preserve"> will sit within the </w:t>
      </w:r>
      <w:r w:rsidR="00483E3D">
        <w:rPr>
          <w:lang w:val="en-AU" w:eastAsia="en-AU"/>
        </w:rPr>
        <w:t>CSP</w:t>
      </w:r>
      <w:r w:rsidR="00FB2276">
        <w:rPr>
          <w:lang w:val="en-AU" w:eastAsia="en-AU"/>
        </w:rPr>
        <w:t xml:space="preserve"> </w:t>
      </w:r>
      <w:r w:rsidRPr="009B1B55">
        <w:rPr>
          <w:lang w:val="en-AU" w:eastAsia="en-AU"/>
        </w:rPr>
        <w:t>Partners, supporting outcome harvesting, GEDSI-inclusive data capture, and community-level learning practices.</w:t>
      </w:r>
      <w:r w:rsidR="00FB2276">
        <w:rPr>
          <w:lang w:val="en-AU" w:eastAsia="en-AU"/>
        </w:rPr>
        <w:t xml:space="preserve"> </w:t>
      </w:r>
    </w:p>
    <w:p w14:paraId="03D6D081" w14:textId="3220BAE8" w:rsidR="00C346EF" w:rsidRDefault="00070F10" w:rsidP="00070F10">
      <w:pPr>
        <w:rPr>
          <w:lang w:val="en-AU" w:eastAsia="en-AU"/>
        </w:rPr>
      </w:pPr>
      <w:r w:rsidDel="00583032">
        <w:t>Each implementing partner will be responsible for maintaining a dedicated MEL focal point (</w:t>
      </w:r>
      <w:r w:rsidR="0092232D">
        <w:t>s</w:t>
      </w:r>
      <w:r w:rsidDel="00583032">
        <w:t xml:space="preserve">poke) within their organisation. These focal points will co-develop MEL tools with the hub, submit quarterly Partner Reflection Notes, and participate in MEL Clinics. </w:t>
      </w:r>
      <w:r w:rsidR="00EE4249" w:rsidRPr="009B1B55" w:rsidDel="00583032">
        <w:rPr>
          <w:lang w:val="en-AU" w:eastAsia="en-AU"/>
        </w:rPr>
        <w:t xml:space="preserve">These focal points will localise data collection and interpretation, adapt MEL tools to their operating contexts, and translate indicators and reflection processes into partner-led systems. </w:t>
      </w:r>
      <w:r w:rsidR="00C346EF">
        <w:rPr>
          <w:lang w:val="en-AU" w:eastAsia="en-AU"/>
        </w:rPr>
        <w:t xml:space="preserve">If the Convenor implements activities directly, </w:t>
      </w:r>
      <w:r w:rsidR="00C346EF" w:rsidRPr="00FB2276">
        <w:rPr>
          <w:lang w:val="en-AU" w:eastAsia="en-AU"/>
        </w:rPr>
        <w:t>the spoke may be in the form of an internal MEL officer</w:t>
      </w:r>
      <w:r w:rsidR="00C346EF">
        <w:rPr>
          <w:lang w:val="en-AU" w:eastAsia="en-AU"/>
        </w:rPr>
        <w:t xml:space="preserve">, which </w:t>
      </w:r>
      <w:r w:rsidR="00C346EF" w:rsidRPr="00FB2276">
        <w:rPr>
          <w:lang w:val="en-AU" w:eastAsia="en-AU"/>
        </w:rPr>
        <w:t>adhere</w:t>
      </w:r>
      <w:r w:rsidR="00C346EF">
        <w:rPr>
          <w:lang w:val="en-AU" w:eastAsia="en-AU"/>
        </w:rPr>
        <w:t>s</w:t>
      </w:r>
      <w:r w:rsidR="00C346EF" w:rsidRPr="00FB2276">
        <w:rPr>
          <w:lang w:val="en-AU" w:eastAsia="en-AU"/>
        </w:rPr>
        <w:t xml:space="preserve"> to the same data-sharing protocols as other </w:t>
      </w:r>
      <w:r w:rsidR="00C346EF">
        <w:rPr>
          <w:lang w:val="en-AU" w:eastAsia="en-AU"/>
        </w:rPr>
        <w:t xml:space="preserve">CSP </w:t>
      </w:r>
      <w:r w:rsidR="00C346EF" w:rsidRPr="00FB2276">
        <w:rPr>
          <w:lang w:val="en-AU" w:eastAsia="en-AU"/>
        </w:rPr>
        <w:t>partners and report</w:t>
      </w:r>
      <w:r w:rsidR="00C346EF">
        <w:rPr>
          <w:lang w:val="en-AU" w:eastAsia="en-AU"/>
        </w:rPr>
        <w:t>s</w:t>
      </w:r>
      <w:r w:rsidR="00C346EF" w:rsidRPr="00FB2276">
        <w:rPr>
          <w:lang w:val="en-AU" w:eastAsia="en-AU"/>
        </w:rPr>
        <w:t xml:space="preserve"> into the MEL Hub.</w:t>
      </w:r>
    </w:p>
    <w:p w14:paraId="2A8E85C9" w14:textId="77777777" w:rsidR="008D72C6" w:rsidRPr="00C034B4" w:rsidRDefault="008D72C6" w:rsidP="008D72C6">
      <w:pPr>
        <w:spacing w:after="120"/>
        <w:rPr>
          <w:lang w:val="en-AU" w:eastAsia="en-AU"/>
        </w:rPr>
      </w:pPr>
      <w:r w:rsidRPr="009B1B55">
        <w:rPr>
          <w:lang w:val="en-AU" w:eastAsia="en-AU"/>
        </w:rPr>
        <w:t xml:space="preserve">This </w:t>
      </w:r>
      <w:r>
        <w:rPr>
          <w:lang w:val="en-AU" w:eastAsia="en-AU"/>
        </w:rPr>
        <w:t xml:space="preserve">MEL governance structure </w:t>
      </w:r>
      <w:r w:rsidRPr="009B1B55">
        <w:rPr>
          <w:lang w:val="en-AU" w:eastAsia="en-AU"/>
        </w:rPr>
        <w:t>ensures both quality assurance and operational independence, while maintaining a unified line of accountability to DFAT.</w:t>
      </w:r>
      <w:r w:rsidRPr="00A0491E">
        <w:rPr>
          <w:lang w:val="en-AU" w:eastAsia="en-AU"/>
        </w:rPr>
        <w:t xml:space="preserve"> </w:t>
      </w:r>
      <w:r w:rsidRPr="009B1B55">
        <w:rPr>
          <w:lang w:val="en-AU" w:eastAsia="en-AU"/>
        </w:rPr>
        <w:t xml:space="preserve">Coherence across components will be maintained through a joint MEL calendar, shared indicator sets, consolidated reporting formats, and shared access to the </w:t>
      </w:r>
      <w:r w:rsidRPr="00550385">
        <w:rPr>
          <w:lang w:val="en-AU" w:eastAsia="en-AU"/>
        </w:rPr>
        <w:t>Monitoring Information System (MIS</w:t>
      </w:r>
      <w:r w:rsidRPr="009B1B55">
        <w:rPr>
          <w:lang w:val="en-AU" w:eastAsia="en-AU"/>
        </w:rPr>
        <w:t xml:space="preserve">). </w:t>
      </w:r>
      <w:r>
        <w:rPr>
          <w:lang w:val="en-AU" w:eastAsia="en-AU"/>
        </w:rPr>
        <w:t>MEL o</w:t>
      </w:r>
      <w:r w:rsidRPr="009B1B55">
        <w:rPr>
          <w:lang w:val="en-AU" w:eastAsia="en-AU"/>
        </w:rPr>
        <w:t>versight will remain with the Convenor, and DFAT will receive consolidated reporting.</w:t>
      </w:r>
      <w:r>
        <w:rPr>
          <w:lang w:val="en-AU" w:eastAsia="en-AU"/>
        </w:rPr>
        <w:t xml:space="preserve"> </w:t>
      </w:r>
      <w:r w:rsidRPr="009B1B55">
        <w:rPr>
          <w:lang w:val="en-AU" w:eastAsia="en-AU"/>
        </w:rPr>
        <w:t>To ensure alignment between the MEL Hub</w:t>
      </w:r>
      <w:r>
        <w:rPr>
          <w:lang w:val="en-AU" w:eastAsia="en-AU"/>
        </w:rPr>
        <w:t xml:space="preserve"> and Spokes</w:t>
      </w:r>
      <w:r w:rsidRPr="009B1B55">
        <w:rPr>
          <w:lang w:val="en-AU" w:eastAsia="en-AU"/>
        </w:rPr>
        <w:t xml:space="preserve">, coordination </w:t>
      </w:r>
      <w:r w:rsidRPr="009B1B55">
        <w:rPr>
          <w:lang w:val="en-AU" w:eastAsia="en-AU"/>
        </w:rPr>
        <w:lastRenderedPageBreak/>
        <w:t>protocols will include</w:t>
      </w:r>
      <w:r>
        <w:rPr>
          <w:lang w:val="en-AU" w:eastAsia="en-AU"/>
        </w:rPr>
        <w:t>:</w:t>
      </w:r>
      <w:r w:rsidRPr="009B1B55">
        <w:rPr>
          <w:lang w:val="en-AU" w:eastAsia="en-AU"/>
        </w:rPr>
        <w:t xml:space="preserve"> (a) consolidated reporting formats</w:t>
      </w:r>
      <w:r>
        <w:rPr>
          <w:lang w:val="en-AU" w:eastAsia="en-AU"/>
        </w:rPr>
        <w:t>;</w:t>
      </w:r>
      <w:r w:rsidRPr="009B1B55">
        <w:rPr>
          <w:lang w:val="en-AU" w:eastAsia="en-AU"/>
        </w:rPr>
        <w:t xml:space="preserve"> (b) shared access to MIS</w:t>
      </w:r>
      <w:r>
        <w:rPr>
          <w:lang w:val="en-AU" w:eastAsia="en-AU"/>
        </w:rPr>
        <w:t>;</w:t>
      </w:r>
      <w:r w:rsidRPr="009B1B55">
        <w:rPr>
          <w:lang w:val="en-AU" w:eastAsia="en-AU"/>
        </w:rPr>
        <w:t xml:space="preserve"> (c) monthly coordination meetings</w:t>
      </w:r>
      <w:r>
        <w:rPr>
          <w:lang w:val="en-AU" w:eastAsia="en-AU"/>
        </w:rPr>
        <w:t>;</w:t>
      </w:r>
      <w:r w:rsidRPr="009B1B55">
        <w:rPr>
          <w:lang w:val="en-AU" w:eastAsia="en-AU"/>
        </w:rPr>
        <w:t xml:space="preserve"> and (d) joint </w:t>
      </w:r>
      <w:r>
        <w:rPr>
          <w:lang w:val="en-AU" w:eastAsia="en-AU"/>
        </w:rPr>
        <w:t>reflection workshops</w:t>
      </w:r>
      <w:r w:rsidRPr="009B1B55">
        <w:rPr>
          <w:lang w:val="en-AU" w:eastAsia="en-AU"/>
        </w:rPr>
        <w:t>.</w:t>
      </w:r>
    </w:p>
    <w:p w14:paraId="70B7C0DA" w14:textId="722801B7" w:rsidR="00070F10" w:rsidDel="00583032" w:rsidRDefault="00070F10" w:rsidP="00070F10">
      <w:r w:rsidDel="00583032">
        <w:t>Partners will ensure that data is ethically collected, disaggregated, and contextually relevant. Data sharing will be facilitated through a central digital repository managed by the MEL Hub, with standardised formats and timelines to ensure comparability and synthesis. While partners retain ownership of raw data collected within their projects, the MEL Hub and the Convenor will have rights to use aggregated and anonymised data for program-level analysis and reporting. This approach balances local ownership with program-wide coherence, ensuring that data is both usable and ethically managed.</w:t>
      </w:r>
    </w:p>
    <w:p w14:paraId="6E2AF0D1" w14:textId="77777777" w:rsidR="00484F7E" w:rsidRPr="008F6D6E" w:rsidRDefault="00484F7E" w:rsidP="00484F7E">
      <w:pPr>
        <w:pStyle w:val="Heading5"/>
      </w:pPr>
      <w:r w:rsidRPr="008F6D6E">
        <w:t>Implementing Partners and Sub-Partners: Enabling Local Learning</w:t>
      </w:r>
    </w:p>
    <w:p w14:paraId="3D451163" w14:textId="77777777" w:rsidR="00DC42BA" w:rsidRPr="00B71F3F" w:rsidRDefault="00DC42BA" w:rsidP="00DC42BA">
      <w:pPr>
        <w:rPr>
          <w:lang w:val="en-AU"/>
        </w:rPr>
      </w:pPr>
      <w:r w:rsidRPr="008F6D6E">
        <w:rPr>
          <w:lang w:val="en-AU"/>
        </w:rPr>
        <w:t xml:space="preserve">Implementing </w:t>
      </w:r>
      <w:r w:rsidRPr="00B71F3F">
        <w:rPr>
          <w:lang w:val="en-AU"/>
        </w:rPr>
        <w:t>partners are responsible for embedding learning within their operational teams and sub-partner organisations, using methods appropriate to their capacity, risk profiles, and operating contexts. Strategies may include:</w:t>
      </w:r>
    </w:p>
    <w:p w14:paraId="1DB8D2EA" w14:textId="77777777" w:rsidR="00DC42BA" w:rsidRPr="00952630" w:rsidRDefault="00DC42BA" w:rsidP="00504B06">
      <w:pPr>
        <w:pStyle w:val="ListParagraph"/>
        <w:numPr>
          <w:ilvl w:val="0"/>
          <w:numId w:val="56"/>
        </w:numPr>
        <w:rPr>
          <w:lang w:val="en-AU"/>
        </w:rPr>
      </w:pPr>
      <w:r w:rsidRPr="00952630">
        <w:rPr>
          <w:lang w:val="en-AU"/>
        </w:rPr>
        <w:t>Mini-MEL Labs hosted by local partners quarterly to surface insights and dilemmas.</w:t>
      </w:r>
    </w:p>
    <w:p w14:paraId="56802D94" w14:textId="77777777" w:rsidR="00DC42BA" w:rsidRPr="00952630" w:rsidRDefault="00DC42BA" w:rsidP="00504B06">
      <w:pPr>
        <w:pStyle w:val="ListParagraph"/>
        <w:numPr>
          <w:ilvl w:val="0"/>
          <w:numId w:val="56"/>
        </w:numPr>
        <w:rPr>
          <w:lang w:val="en-AU"/>
        </w:rPr>
      </w:pPr>
      <w:r w:rsidRPr="00952630">
        <w:rPr>
          <w:lang w:val="en-AU"/>
        </w:rPr>
        <w:t>Peer-to-peer coaching across partners on adaptive management (facilitated or brokered by the MEL Hub)</w:t>
      </w:r>
      <w:r>
        <w:rPr>
          <w:lang w:val="en-AU"/>
        </w:rPr>
        <w:t>.</w:t>
      </w:r>
    </w:p>
    <w:p w14:paraId="0E61670D" w14:textId="77777777" w:rsidR="00DC42BA" w:rsidRPr="00952630" w:rsidRDefault="00DC42BA" w:rsidP="00504B06">
      <w:pPr>
        <w:pStyle w:val="ListParagraph"/>
        <w:numPr>
          <w:ilvl w:val="0"/>
          <w:numId w:val="56"/>
        </w:numPr>
        <w:rPr>
          <w:lang w:val="en-AU"/>
        </w:rPr>
      </w:pPr>
      <w:r w:rsidRPr="00952630">
        <w:rPr>
          <w:lang w:val="en-AU"/>
        </w:rPr>
        <w:t>Learning mentoring: spokes MEL staff act as facilitators for their partners’ reflective practice.</w:t>
      </w:r>
    </w:p>
    <w:p w14:paraId="49BB20DC" w14:textId="77777777" w:rsidR="00DC42BA" w:rsidRPr="00952630" w:rsidRDefault="00DC42BA" w:rsidP="00504B06">
      <w:pPr>
        <w:pStyle w:val="ListParagraph"/>
        <w:numPr>
          <w:ilvl w:val="0"/>
          <w:numId w:val="56"/>
        </w:numPr>
        <w:rPr>
          <w:lang w:val="en-AU"/>
        </w:rPr>
      </w:pPr>
      <w:r w:rsidRPr="00952630">
        <w:rPr>
          <w:lang w:val="en-AU"/>
        </w:rPr>
        <w:t xml:space="preserve">Subnational </w:t>
      </w:r>
      <w:r>
        <w:rPr>
          <w:lang w:val="en-AU"/>
        </w:rPr>
        <w:t>‘</w:t>
      </w:r>
      <w:r w:rsidRPr="00952630">
        <w:rPr>
          <w:lang w:val="en-AU"/>
        </w:rPr>
        <w:t>Democracy Fairs</w:t>
      </w:r>
      <w:r>
        <w:rPr>
          <w:lang w:val="en-AU"/>
        </w:rPr>
        <w:t>’</w:t>
      </w:r>
      <w:r w:rsidRPr="00952630">
        <w:rPr>
          <w:lang w:val="en-AU"/>
        </w:rPr>
        <w:t xml:space="preserve"> where partners showcase innovations, lessons, and outcomes from their work.</w:t>
      </w:r>
    </w:p>
    <w:p w14:paraId="2AE8682C" w14:textId="77777777" w:rsidR="00DC42BA" w:rsidRDefault="00DC42BA" w:rsidP="00DC42BA">
      <w:pPr>
        <w:rPr>
          <w:lang w:val="en-AU"/>
        </w:rPr>
      </w:pPr>
      <w:r w:rsidRPr="00B71F3F">
        <w:rPr>
          <w:lang w:val="en-AU"/>
        </w:rPr>
        <w:t>These approaches will also feed into formal program reviews and support locally led analysis, rather than extractive reporting.</w:t>
      </w:r>
    </w:p>
    <w:p w14:paraId="704FF43E" w14:textId="77777777" w:rsidR="00FE31DD" w:rsidRPr="00F574C0" w:rsidRDefault="00FE31DD" w:rsidP="00FE31DD">
      <w:r w:rsidRPr="00F574C0">
        <w:t xml:space="preserve">The MEL system is grounded in local leadership. However, DFAT may consider engaging </w:t>
      </w:r>
      <w:r w:rsidRPr="00F574C0">
        <w:rPr>
          <w:rStyle w:val="Strong"/>
          <w:rFonts w:cstheme="minorHAnsi"/>
          <w:b w:val="0"/>
          <w:bCs w:val="0"/>
          <w:sz w:val="21"/>
          <w:szCs w:val="21"/>
        </w:rPr>
        <w:t>Short-Term Advisers (STAs)</w:t>
      </w:r>
      <w:r w:rsidRPr="00F574C0">
        <w:t>, particularly during the start-up phase or for deep-dive evaluations, to provide targeted support for capacity building and quality assurance, especially in monitoring complex civic outcomes. STAs could also assist CSO partners and MEL spokes with refining MEL tools, integrating GEDSI lenses, or conducting independent outcome verification.</w:t>
      </w:r>
    </w:p>
    <w:p w14:paraId="3240858B" w14:textId="1FC6FFBF" w:rsidR="00FE31DD" w:rsidRPr="00FE31DD" w:rsidRDefault="00FE31DD" w:rsidP="00DC42BA">
      <w:r w:rsidRPr="00F574C0">
        <w:t>Operating in politically sensitive environments entails risks not only for local partners but also for implementing agencies. In recognition of this, the MEL system will incorporate ethical safeguards and risk mitigation protocols. Implementing partners and DFAT program managers will share responsibility for managing these risks. Measures may include anonymised reporting, safe spaces for learning dialogues, and regular risk mapping to ensure MEL activities do not endanger participants or expose sensitive information.</w:t>
      </w:r>
    </w:p>
    <w:p w14:paraId="588349FD" w14:textId="77777777" w:rsidR="005767AB" w:rsidRPr="00E75D78" w:rsidRDefault="005767AB" w:rsidP="005767AB">
      <w:pPr>
        <w:pStyle w:val="Heading5"/>
        <w:rPr>
          <w:lang w:val="en-AU" w:eastAsia="en-AU"/>
        </w:rPr>
      </w:pPr>
      <w:r w:rsidRPr="00E75D78">
        <w:rPr>
          <w:lang w:val="en-AU" w:eastAsia="en-AU"/>
        </w:rPr>
        <w:t>Resourcing and Capacity Strengthening</w:t>
      </w:r>
    </w:p>
    <w:p w14:paraId="0EB1B1D8" w14:textId="7494AC95" w:rsidR="005048E9" w:rsidRDefault="005767AB" w:rsidP="005048E9">
      <w:pPr>
        <w:rPr>
          <w:lang w:val="en-AU" w:eastAsia="en-AU"/>
        </w:rPr>
      </w:pPr>
      <w:r w:rsidRPr="00E75D78">
        <w:rPr>
          <w:lang w:val="en-AU" w:eastAsia="en-AU"/>
        </w:rPr>
        <w:t xml:space="preserve">The program will retain a dedicated </w:t>
      </w:r>
      <w:r w:rsidRPr="004A05A1">
        <w:rPr>
          <w:lang w:val="en-AU" w:eastAsia="en-AU"/>
        </w:rPr>
        <w:t>7-10% MEL allocation</w:t>
      </w:r>
      <w:r w:rsidRPr="00E75D78">
        <w:rPr>
          <w:lang w:val="en-AU" w:eastAsia="en-AU"/>
        </w:rPr>
        <w:t xml:space="preserve">, including staffing, technology, research, and partner capacity building. Component </w:t>
      </w:r>
      <w:r>
        <w:rPr>
          <w:lang w:val="en-AU" w:eastAsia="en-AU"/>
        </w:rPr>
        <w:t>1</w:t>
      </w:r>
      <w:r w:rsidRPr="00E75D78">
        <w:rPr>
          <w:lang w:val="en-AU" w:eastAsia="en-AU"/>
        </w:rPr>
        <w:t xml:space="preserve"> government partners and Component </w:t>
      </w:r>
      <w:r>
        <w:rPr>
          <w:lang w:val="en-AU" w:eastAsia="en-AU"/>
        </w:rPr>
        <w:t>2</w:t>
      </w:r>
      <w:r w:rsidRPr="00E75D78">
        <w:rPr>
          <w:lang w:val="en-AU" w:eastAsia="en-AU"/>
        </w:rPr>
        <w:t xml:space="preserve"> CSOs will have access to MEL training, coaching, data literacy support, and digital tools. Funding is also earmarked for independent studies and light-touch impact evaluations.</w:t>
      </w:r>
    </w:p>
    <w:p w14:paraId="5B4B65A5" w14:textId="3B177A0A" w:rsidR="005767AB" w:rsidRPr="00E75D78" w:rsidRDefault="005767AB" w:rsidP="00500EA6">
      <w:pPr>
        <w:pStyle w:val="Heading3"/>
        <w:spacing w:before="240"/>
        <w:rPr>
          <w:lang w:val="en-AU" w:eastAsia="en-AU"/>
        </w:rPr>
      </w:pPr>
      <w:r>
        <w:rPr>
          <w:lang w:val="en-AU" w:eastAsia="en-AU"/>
        </w:rPr>
        <w:t xml:space="preserve">Roles and </w:t>
      </w:r>
      <w:r w:rsidRPr="00500EA6">
        <w:t>Responsibilities</w:t>
      </w:r>
    </w:p>
    <w:p w14:paraId="31BF1B4A" w14:textId="06457CC2" w:rsidR="00902F90" w:rsidRDefault="00902F90" w:rsidP="00902F90">
      <w:pPr>
        <w:pStyle w:val="Caption"/>
        <w:keepNext/>
      </w:pPr>
      <w:r>
        <w:t>Table</w:t>
      </w:r>
      <w:r w:rsidR="008D4216">
        <w:t xml:space="preserve"> </w:t>
      </w:r>
      <w:r w:rsidR="00FC764C">
        <w:t>7</w:t>
      </w:r>
      <w:r>
        <w:t xml:space="preserve">: </w:t>
      </w:r>
      <w:r w:rsidRPr="002F77F4">
        <w:t>MEL Roles and Responsibilities</w:t>
      </w:r>
    </w:p>
    <w:tbl>
      <w:tblPr>
        <w:tblStyle w:val="DFAT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2786"/>
        <w:gridCol w:w="2789"/>
        <w:gridCol w:w="2480"/>
      </w:tblGrid>
      <w:tr w:rsidR="00182098" w:rsidRPr="00D905B3" w14:paraId="2C52A96F" w14:textId="77777777" w:rsidTr="00E378C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C1E7E0" w:themeFill="accent1" w:themeFillTint="66"/>
            <w:hideMark/>
          </w:tcPr>
          <w:p w14:paraId="0B86C1E6" w14:textId="77777777" w:rsidR="00902F90" w:rsidRPr="00902F90" w:rsidRDefault="00902F90">
            <w:pPr>
              <w:spacing w:after="120"/>
              <w:rPr>
                <w:rFonts w:asciiTheme="minorHAnsi" w:hAnsiTheme="minorHAnsi" w:cstheme="minorHAnsi"/>
                <w:b/>
                <w:bCs/>
                <w:color w:val="36424B" w:themeColor="text2" w:themeShade="BF"/>
                <w:sz w:val="20"/>
                <w:szCs w:val="20"/>
                <w:lang w:val="en-AU" w:eastAsia="en-AU"/>
              </w:rPr>
            </w:pPr>
            <w:r w:rsidRPr="00902F90">
              <w:rPr>
                <w:rFonts w:cstheme="minorHAnsi"/>
                <w:b/>
                <w:color w:val="36424B" w:themeColor="text2" w:themeShade="BF"/>
                <w:sz w:val="20"/>
                <w:szCs w:val="20"/>
                <w:lang w:val="en-AU" w:eastAsia="en-AU"/>
              </w:rPr>
              <w:t>MEL Function</w:t>
            </w:r>
          </w:p>
        </w:tc>
        <w:tc>
          <w:tcPr>
            <w:tcW w:w="0" w:type="auto"/>
            <w:shd w:val="clear" w:color="auto" w:fill="C1E7E0" w:themeFill="accent1" w:themeFillTint="66"/>
            <w:hideMark/>
          </w:tcPr>
          <w:p w14:paraId="4BC94A21" w14:textId="42A2710E" w:rsidR="00902F90" w:rsidRPr="00902F90" w:rsidRDefault="00902F90">
            <w:pPr>
              <w:spacing w:after="120"/>
              <w:rPr>
                <w:rFonts w:asciiTheme="minorHAnsi" w:hAnsiTheme="minorHAnsi" w:cstheme="minorHAnsi"/>
                <w:b/>
                <w:bCs/>
                <w:color w:val="36424B" w:themeColor="text2" w:themeShade="BF"/>
                <w:sz w:val="20"/>
                <w:szCs w:val="20"/>
                <w:lang w:val="en-AU" w:eastAsia="en-AU"/>
              </w:rPr>
            </w:pPr>
            <w:r w:rsidRPr="00902F90">
              <w:rPr>
                <w:rFonts w:cstheme="minorHAnsi"/>
                <w:b/>
                <w:color w:val="36424B" w:themeColor="text2" w:themeShade="BF"/>
                <w:sz w:val="20"/>
                <w:szCs w:val="20"/>
                <w:lang w:val="en-AU" w:eastAsia="en-AU"/>
              </w:rPr>
              <w:t xml:space="preserve">MEL Hub </w:t>
            </w:r>
          </w:p>
        </w:tc>
        <w:tc>
          <w:tcPr>
            <w:tcW w:w="0" w:type="auto"/>
            <w:shd w:val="clear" w:color="auto" w:fill="C1E7E0" w:themeFill="accent1" w:themeFillTint="66"/>
            <w:hideMark/>
          </w:tcPr>
          <w:p w14:paraId="042DA8F6" w14:textId="33C74CB0" w:rsidR="00902F90" w:rsidRPr="00902F90" w:rsidRDefault="00902F90">
            <w:pPr>
              <w:spacing w:after="120"/>
              <w:rPr>
                <w:rFonts w:asciiTheme="minorHAnsi" w:hAnsiTheme="minorHAnsi" w:cstheme="minorHAnsi"/>
                <w:b/>
                <w:bCs/>
                <w:color w:val="36424B" w:themeColor="text2" w:themeShade="BF"/>
                <w:sz w:val="20"/>
                <w:szCs w:val="20"/>
                <w:lang w:val="en-AU" w:eastAsia="en-AU"/>
              </w:rPr>
            </w:pPr>
            <w:r w:rsidRPr="00902F90">
              <w:rPr>
                <w:rFonts w:cstheme="minorHAnsi"/>
                <w:b/>
                <w:color w:val="36424B" w:themeColor="text2" w:themeShade="BF"/>
                <w:sz w:val="20"/>
                <w:szCs w:val="20"/>
                <w:lang w:val="en-AU" w:eastAsia="en-AU"/>
              </w:rPr>
              <w:t xml:space="preserve">Component </w:t>
            </w:r>
            <w:r w:rsidR="008F1740">
              <w:rPr>
                <w:rFonts w:cstheme="minorHAnsi"/>
                <w:b/>
                <w:color w:val="36424B" w:themeColor="text2" w:themeShade="BF"/>
                <w:sz w:val="20"/>
                <w:szCs w:val="20"/>
                <w:lang w:val="en-AU" w:eastAsia="en-AU"/>
              </w:rPr>
              <w:t>1</w:t>
            </w:r>
            <w:r w:rsidR="008F1740" w:rsidRPr="00902F90">
              <w:rPr>
                <w:rFonts w:cstheme="minorHAnsi"/>
                <w:b/>
                <w:color w:val="36424B" w:themeColor="text2" w:themeShade="BF"/>
                <w:sz w:val="20"/>
                <w:szCs w:val="20"/>
                <w:lang w:val="en-AU" w:eastAsia="en-AU"/>
              </w:rPr>
              <w:t xml:space="preserve"> </w:t>
            </w:r>
            <w:r w:rsidRPr="00902F90">
              <w:rPr>
                <w:rFonts w:cstheme="minorHAnsi"/>
                <w:b/>
                <w:color w:val="36424B" w:themeColor="text2" w:themeShade="BF"/>
                <w:sz w:val="20"/>
                <w:szCs w:val="20"/>
                <w:lang w:val="en-AU" w:eastAsia="en-AU"/>
              </w:rPr>
              <w:t xml:space="preserve">Spoke </w:t>
            </w:r>
          </w:p>
        </w:tc>
        <w:tc>
          <w:tcPr>
            <w:tcW w:w="0" w:type="auto"/>
            <w:shd w:val="clear" w:color="auto" w:fill="C1E7E0" w:themeFill="accent1" w:themeFillTint="66"/>
            <w:hideMark/>
          </w:tcPr>
          <w:p w14:paraId="66B79817" w14:textId="14030B83" w:rsidR="00902F90" w:rsidRPr="00902F90" w:rsidRDefault="00902F90">
            <w:pPr>
              <w:spacing w:after="120"/>
              <w:rPr>
                <w:rFonts w:asciiTheme="minorHAnsi" w:hAnsiTheme="minorHAnsi" w:cstheme="minorHAnsi"/>
                <w:b/>
                <w:bCs/>
                <w:color w:val="36424B" w:themeColor="text2" w:themeShade="BF"/>
                <w:sz w:val="20"/>
                <w:szCs w:val="20"/>
                <w:lang w:val="en-AU" w:eastAsia="en-AU"/>
              </w:rPr>
            </w:pPr>
            <w:r w:rsidRPr="00902F90">
              <w:rPr>
                <w:rFonts w:cstheme="minorHAnsi"/>
                <w:b/>
                <w:color w:val="36424B" w:themeColor="text2" w:themeShade="BF"/>
                <w:sz w:val="20"/>
                <w:szCs w:val="20"/>
                <w:lang w:val="en-AU" w:eastAsia="en-AU"/>
              </w:rPr>
              <w:t xml:space="preserve">Component </w:t>
            </w:r>
            <w:r w:rsidR="008F1740">
              <w:rPr>
                <w:rFonts w:cstheme="minorHAnsi"/>
                <w:b/>
                <w:color w:val="36424B" w:themeColor="text2" w:themeShade="BF"/>
                <w:sz w:val="20"/>
                <w:szCs w:val="20"/>
                <w:lang w:val="en-AU" w:eastAsia="en-AU"/>
              </w:rPr>
              <w:t>2</w:t>
            </w:r>
            <w:r w:rsidR="008F1740" w:rsidRPr="00902F90">
              <w:rPr>
                <w:rFonts w:cstheme="minorHAnsi"/>
                <w:b/>
                <w:color w:val="36424B" w:themeColor="text2" w:themeShade="BF"/>
                <w:sz w:val="20"/>
                <w:szCs w:val="20"/>
                <w:lang w:val="en-AU" w:eastAsia="en-AU"/>
              </w:rPr>
              <w:t xml:space="preserve"> </w:t>
            </w:r>
            <w:r w:rsidRPr="00902F90">
              <w:rPr>
                <w:rFonts w:cstheme="minorHAnsi"/>
                <w:b/>
                <w:color w:val="36424B" w:themeColor="text2" w:themeShade="BF"/>
                <w:sz w:val="20"/>
                <w:szCs w:val="20"/>
                <w:lang w:val="en-AU" w:eastAsia="en-AU"/>
              </w:rPr>
              <w:t xml:space="preserve">Spokes </w:t>
            </w:r>
          </w:p>
        </w:tc>
      </w:tr>
      <w:tr w:rsidR="00182098" w:rsidRPr="00D905B3" w14:paraId="75E5C793" w14:textId="77777777" w:rsidTr="0067283D">
        <w:tc>
          <w:tcPr>
            <w:tcW w:w="0" w:type="auto"/>
            <w:hideMark/>
          </w:tcPr>
          <w:p w14:paraId="7A3AE38F"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Overall responsibility</w:t>
            </w:r>
          </w:p>
        </w:tc>
        <w:tc>
          <w:tcPr>
            <w:tcW w:w="0" w:type="auto"/>
            <w:hideMark/>
          </w:tcPr>
          <w:p w14:paraId="4038D5CB"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Program-wide MEL coordination; synthesis; quality assurance; DFAT reporting</w:t>
            </w:r>
          </w:p>
        </w:tc>
        <w:tc>
          <w:tcPr>
            <w:tcW w:w="0" w:type="auto"/>
            <w:hideMark/>
          </w:tcPr>
          <w:p w14:paraId="5F6E9580" w14:textId="6224681E"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 xml:space="preserve">Implementation of MEL with government partners under Component </w:t>
            </w:r>
            <w:r w:rsidR="008F1740">
              <w:rPr>
                <w:rFonts w:cstheme="minorHAnsi"/>
                <w:sz w:val="20"/>
                <w:szCs w:val="20"/>
                <w:lang w:val="en-AU" w:eastAsia="en-AU"/>
              </w:rPr>
              <w:t>1</w:t>
            </w:r>
          </w:p>
        </w:tc>
        <w:tc>
          <w:tcPr>
            <w:tcW w:w="0" w:type="auto"/>
            <w:hideMark/>
          </w:tcPr>
          <w:p w14:paraId="306A37A7" w14:textId="0B00830B"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 xml:space="preserve">Activity-level MEL for Component </w:t>
            </w:r>
            <w:r w:rsidR="008F1740">
              <w:rPr>
                <w:rFonts w:cstheme="minorHAnsi"/>
                <w:sz w:val="20"/>
                <w:szCs w:val="20"/>
                <w:lang w:val="en-AU" w:eastAsia="en-AU"/>
              </w:rPr>
              <w:t>2</w:t>
            </w:r>
            <w:r w:rsidR="008F1740" w:rsidRPr="00C034B4">
              <w:rPr>
                <w:rFonts w:cstheme="minorHAnsi"/>
                <w:sz w:val="20"/>
                <w:szCs w:val="20"/>
                <w:lang w:val="en-AU" w:eastAsia="en-AU"/>
              </w:rPr>
              <w:t xml:space="preserve"> </w:t>
            </w:r>
            <w:r w:rsidRPr="00C034B4">
              <w:rPr>
                <w:rFonts w:cstheme="minorHAnsi"/>
                <w:sz w:val="20"/>
                <w:szCs w:val="20"/>
                <w:lang w:val="en-AU" w:eastAsia="en-AU"/>
              </w:rPr>
              <w:t>and CSO partners</w:t>
            </w:r>
          </w:p>
        </w:tc>
      </w:tr>
      <w:tr w:rsidR="00182098" w:rsidRPr="00D905B3" w14:paraId="4A761F3E" w14:textId="77777777" w:rsidTr="0067283D">
        <w:tc>
          <w:tcPr>
            <w:tcW w:w="0" w:type="auto"/>
            <w:hideMark/>
          </w:tcPr>
          <w:p w14:paraId="0B263E4D"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lastRenderedPageBreak/>
              <w:t>Data collection</w:t>
            </w:r>
          </w:p>
        </w:tc>
        <w:tc>
          <w:tcPr>
            <w:tcW w:w="0" w:type="auto"/>
            <w:hideMark/>
          </w:tcPr>
          <w:p w14:paraId="5530D907"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Consolidates data from all spokes; oversees quality</w:t>
            </w:r>
          </w:p>
        </w:tc>
        <w:tc>
          <w:tcPr>
            <w:tcW w:w="0" w:type="auto"/>
            <w:hideMark/>
          </w:tcPr>
          <w:p w14:paraId="4E02BF34"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Collects project-level data using standardised tools</w:t>
            </w:r>
          </w:p>
        </w:tc>
        <w:tc>
          <w:tcPr>
            <w:tcW w:w="0" w:type="auto"/>
            <w:hideMark/>
          </w:tcPr>
          <w:p w14:paraId="5A6E09AD"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Collects activity- and partner-level data; GEDSI-focused methods</w:t>
            </w:r>
          </w:p>
        </w:tc>
      </w:tr>
      <w:tr w:rsidR="00182098" w:rsidRPr="00D905B3" w14:paraId="6F1C3D85" w14:textId="77777777" w:rsidTr="0067283D">
        <w:tc>
          <w:tcPr>
            <w:tcW w:w="0" w:type="auto"/>
            <w:hideMark/>
          </w:tcPr>
          <w:p w14:paraId="30996EDB"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Outcome tracking</w:t>
            </w:r>
          </w:p>
        </w:tc>
        <w:tc>
          <w:tcPr>
            <w:tcW w:w="0" w:type="auto"/>
            <w:hideMark/>
          </w:tcPr>
          <w:p w14:paraId="093E9F87" w14:textId="2BF8CCE0"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 xml:space="preserve">Scenario-based tracking; outcome harvesting; </w:t>
            </w:r>
            <w:r w:rsidR="00182098">
              <w:rPr>
                <w:rFonts w:cstheme="minorHAnsi"/>
                <w:sz w:val="20"/>
                <w:szCs w:val="20"/>
                <w:lang w:val="en-AU" w:eastAsia="en-AU"/>
              </w:rPr>
              <w:t>democracy context monitoring</w:t>
            </w:r>
          </w:p>
        </w:tc>
        <w:tc>
          <w:tcPr>
            <w:tcW w:w="0" w:type="auto"/>
            <w:hideMark/>
          </w:tcPr>
          <w:p w14:paraId="427ABAF6"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Tracks institutional change, policy shifts, dialogue outcomes</w:t>
            </w:r>
          </w:p>
        </w:tc>
        <w:tc>
          <w:tcPr>
            <w:tcW w:w="0" w:type="auto"/>
            <w:hideMark/>
          </w:tcPr>
          <w:p w14:paraId="79633CB1"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Tracks community-level outcomes, innovation, adaptation</w:t>
            </w:r>
          </w:p>
        </w:tc>
      </w:tr>
      <w:tr w:rsidR="00182098" w:rsidRPr="00D905B3" w14:paraId="35F2CBF1" w14:textId="77777777" w:rsidTr="0067283D">
        <w:tc>
          <w:tcPr>
            <w:tcW w:w="0" w:type="auto"/>
            <w:hideMark/>
          </w:tcPr>
          <w:p w14:paraId="297114D3"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Reporting</w:t>
            </w:r>
          </w:p>
        </w:tc>
        <w:tc>
          <w:tcPr>
            <w:tcW w:w="0" w:type="auto"/>
            <w:hideMark/>
          </w:tcPr>
          <w:p w14:paraId="72389FB7"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Biannual synthesis reports; annual learning reviews; PSC inputs</w:t>
            </w:r>
          </w:p>
        </w:tc>
        <w:tc>
          <w:tcPr>
            <w:tcW w:w="0" w:type="auto"/>
            <w:hideMark/>
          </w:tcPr>
          <w:p w14:paraId="0154311C" w14:textId="2DAFED2D"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 xml:space="preserve">Quarterly reporting to </w:t>
            </w:r>
            <w:r w:rsidR="004D0A77">
              <w:rPr>
                <w:rFonts w:cstheme="minorHAnsi"/>
                <w:sz w:val="20"/>
                <w:szCs w:val="20"/>
                <w:lang w:val="en-AU" w:eastAsia="en-AU"/>
              </w:rPr>
              <w:t>h</w:t>
            </w:r>
            <w:r w:rsidRPr="00C034B4">
              <w:rPr>
                <w:rFonts w:cstheme="minorHAnsi"/>
                <w:sz w:val="20"/>
                <w:szCs w:val="20"/>
                <w:lang w:val="en-AU" w:eastAsia="en-AU"/>
              </w:rPr>
              <w:t>ub; documentation of lessons</w:t>
            </w:r>
          </w:p>
        </w:tc>
        <w:tc>
          <w:tcPr>
            <w:tcW w:w="0" w:type="auto"/>
            <w:hideMark/>
          </w:tcPr>
          <w:p w14:paraId="15ECBBF1" w14:textId="512AA952"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 xml:space="preserve">Quarterly reporting to </w:t>
            </w:r>
            <w:r w:rsidR="004D0A77">
              <w:rPr>
                <w:rFonts w:cstheme="minorHAnsi"/>
                <w:sz w:val="20"/>
                <w:szCs w:val="20"/>
                <w:lang w:val="en-AU" w:eastAsia="en-AU"/>
              </w:rPr>
              <w:t>h</w:t>
            </w:r>
            <w:r w:rsidRPr="00C034B4">
              <w:rPr>
                <w:rFonts w:cstheme="minorHAnsi"/>
                <w:sz w:val="20"/>
                <w:szCs w:val="20"/>
                <w:lang w:val="en-AU" w:eastAsia="en-AU"/>
              </w:rPr>
              <w:t>ub; consolidation from CSO partners</w:t>
            </w:r>
          </w:p>
        </w:tc>
      </w:tr>
      <w:tr w:rsidR="00182098" w:rsidRPr="00D905B3" w14:paraId="1279B8DB" w14:textId="77777777" w:rsidTr="0067283D">
        <w:tc>
          <w:tcPr>
            <w:tcW w:w="0" w:type="auto"/>
            <w:hideMark/>
          </w:tcPr>
          <w:p w14:paraId="3E86B527"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Capacity support</w:t>
            </w:r>
          </w:p>
        </w:tc>
        <w:tc>
          <w:tcPr>
            <w:tcW w:w="0" w:type="auto"/>
            <w:hideMark/>
          </w:tcPr>
          <w:p w14:paraId="50E07E2C" w14:textId="6CAE7DB0"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 xml:space="preserve">Training, coaching, tools, MEL </w:t>
            </w:r>
            <w:r w:rsidR="004D0A77">
              <w:rPr>
                <w:rFonts w:cstheme="minorHAnsi"/>
                <w:sz w:val="20"/>
                <w:szCs w:val="20"/>
                <w:lang w:val="en-AU" w:eastAsia="en-AU"/>
              </w:rPr>
              <w:t>C</w:t>
            </w:r>
            <w:r w:rsidRPr="00C034B4">
              <w:rPr>
                <w:rFonts w:cstheme="minorHAnsi"/>
                <w:sz w:val="20"/>
                <w:szCs w:val="20"/>
                <w:lang w:val="en-AU" w:eastAsia="en-AU"/>
              </w:rPr>
              <w:t xml:space="preserve">linics for CSOs and </w:t>
            </w:r>
            <w:proofErr w:type="spellStart"/>
            <w:r w:rsidRPr="00C034B4">
              <w:rPr>
                <w:rFonts w:cstheme="minorHAnsi"/>
                <w:sz w:val="20"/>
                <w:szCs w:val="20"/>
                <w:lang w:val="en-AU" w:eastAsia="en-AU"/>
              </w:rPr>
              <w:t>GoI</w:t>
            </w:r>
            <w:proofErr w:type="spellEnd"/>
            <w:r w:rsidRPr="00C034B4">
              <w:rPr>
                <w:rFonts w:cstheme="minorHAnsi"/>
                <w:sz w:val="20"/>
                <w:szCs w:val="20"/>
                <w:lang w:val="en-AU" w:eastAsia="en-AU"/>
              </w:rPr>
              <w:t xml:space="preserve"> partners</w:t>
            </w:r>
          </w:p>
        </w:tc>
        <w:tc>
          <w:tcPr>
            <w:tcW w:w="0" w:type="auto"/>
            <w:hideMark/>
          </w:tcPr>
          <w:p w14:paraId="4F553221"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Supports PSU engagement and safeguarding compliance</w:t>
            </w:r>
          </w:p>
        </w:tc>
        <w:tc>
          <w:tcPr>
            <w:tcW w:w="0" w:type="auto"/>
            <w:hideMark/>
          </w:tcPr>
          <w:p w14:paraId="1270F528" w14:textId="1780F138"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 xml:space="preserve">Supports </w:t>
            </w:r>
            <w:r w:rsidR="00031FA1">
              <w:rPr>
                <w:rFonts w:cstheme="minorHAnsi"/>
                <w:sz w:val="20"/>
                <w:szCs w:val="20"/>
                <w:lang w:val="en-AU" w:eastAsia="en-AU"/>
              </w:rPr>
              <w:t>P</w:t>
            </w:r>
            <w:r w:rsidRPr="00C034B4">
              <w:rPr>
                <w:rFonts w:cstheme="minorHAnsi"/>
                <w:sz w:val="20"/>
                <w:szCs w:val="20"/>
                <w:lang w:val="en-AU" w:eastAsia="en-AU"/>
              </w:rPr>
              <w:t xml:space="preserve">artner </w:t>
            </w:r>
            <w:r w:rsidR="00031FA1">
              <w:rPr>
                <w:rFonts w:cstheme="minorHAnsi"/>
                <w:sz w:val="20"/>
                <w:szCs w:val="20"/>
                <w:lang w:val="en-AU" w:eastAsia="en-AU"/>
              </w:rPr>
              <w:t>R</w:t>
            </w:r>
            <w:r w:rsidRPr="00C034B4">
              <w:rPr>
                <w:rFonts w:cstheme="minorHAnsi"/>
                <w:sz w:val="20"/>
                <w:szCs w:val="20"/>
                <w:lang w:val="en-AU" w:eastAsia="en-AU"/>
              </w:rPr>
              <w:t xml:space="preserve">eflection </w:t>
            </w:r>
            <w:r w:rsidR="00031FA1">
              <w:rPr>
                <w:rFonts w:cstheme="minorHAnsi"/>
                <w:sz w:val="20"/>
                <w:szCs w:val="20"/>
                <w:lang w:val="en-AU" w:eastAsia="en-AU"/>
              </w:rPr>
              <w:t>N</w:t>
            </w:r>
            <w:r w:rsidRPr="00C034B4">
              <w:rPr>
                <w:rFonts w:cstheme="minorHAnsi"/>
                <w:sz w:val="20"/>
                <w:szCs w:val="20"/>
                <w:lang w:val="en-AU" w:eastAsia="en-AU"/>
              </w:rPr>
              <w:t>otes and learning events</w:t>
            </w:r>
          </w:p>
        </w:tc>
      </w:tr>
      <w:tr w:rsidR="00182098" w:rsidRPr="00D905B3" w14:paraId="14008890" w14:textId="77777777" w:rsidTr="0067283D">
        <w:tc>
          <w:tcPr>
            <w:tcW w:w="0" w:type="auto"/>
            <w:hideMark/>
          </w:tcPr>
          <w:p w14:paraId="62B55B4F" w14:textId="48B2AD23"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 xml:space="preserve">Safeguarding </w:t>
            </w:r>
            <w:r w:rsidR="00031FA1">
              <w:rPr>
                <w:rFonts w:cstheme="minorHAnsi"/>
                <w:sz w:val="20"/>
                <w:szCs w:val="20"/>
                <w:lang w:val="en-AU" w:eastAsia="en-AU"/>
              </w:rPr>
              <w:t>and</w:t>
            </w:r>
            <w:r w:rsidR="00031FA1" w:rsidRPr="00C034B4">
              <w:rPr>
                <w:rFonts w:cstheme="minorHAnsi"/>
                <w:sz w:val="20"/>
                <w:szCs w:val="20"/>
                <w:lang w:val="en-AU" w:eastAsia="en-AU"/>
              </w:rPr>
              <w:t xml:space="preserve"> </w:t>
            </w:r>
            <w:r w:rsidRPr="00C034B4">
              <w:rPr>
                <w:rFonts w:cstheme="minorHAnsi"/>
                <w:sz w:val="20"/>
                <w:szCs w:val="20"/>
                <w:lang w:val="en-AU" w:eastAsia="en-AU"/>
              </w:rPr>
              <w:t>GEDSI</w:t>
            </w:r>
          </w:p>
        </w:tc>
        <w:tc>
          <w:tcPr>
            <w:tcW w:w="0" w:type="auto"/>
            <w:hideMark/>
          </w:tcPr>
          <w:p w14:paraId="627CD6EA"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Quality assurance and ethical oversight</w:t>
            </w:r>
          </w:p>
        </w:tc>
        <w:tc>
          <w:tcPr>
            <w:tcW w:w="0" w:type="auto"/>
            <w:hideMark/>
          </w:tcPr>
          <w:p w14:paraId="6A4DBA74" w14:textId="09A8EF9C"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 xml:space="preserve">Ensures safeguarding </w:t>
            </w:r>
            <w:r w:rsidR="00B8227F">
              <w:rPr>
                <w:rFonts w:cstheme="minorHAnsi"/>
                <w:sz w:val="20"/>
                <w:szCs w:val="20"/>
                <w:lang w:val="en-AU" w:eastAsia="en-AU"/>
              </w:rPr>
              <w:t>and</w:t>
            </w:r>
            <w:r w:rsidR="00B8227F" w:rsidRPr="00C034B4">
              <w:rPr>
                <w:rFonts w:cstheme="minorHAnsi"/>
                <w:sz w:val="20"/>
                <w:szCs w:val="20"/>
                <w:lang w:val="en-AU" w:eastAsia="en-AU"/>
              </w:rPr>
              <w:t xml:space="preserve"> </w:t>
            </w:r>
            <w:r w:rsidRPr="00C034B4">
              <w:rPr>
                <w:rFonts w:cstheme="minorHAnsi"/>
                <w:sz w:val="20"/>
                <w:szCs w:val="20"/>
                <w:lang w:val="en-AU" w:eastAsia="en-AU"/>
              </w:rPr>
              <w:t>GEDSI reporting for government-facing work</w:t>
            </w:r>
          </w:p>
        </w:tc>
        <w:tc>
          <w:tcPr>
            <w:tcW w:w="0" w:type="auto"/>
            <w:hideMark/>
          </w:tcPr>
          <w:p w14:paraId="42F6E01D"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Maintains GEDSI data capture and ethical collection practices</w:t>
            </w:r>
          </w:p>
        </w:tc>
      </w:tr>
      <w:tr w:rsidR="00182098" w:rsidRPr="00D905B3" w14:paraId="7ADA8EEA" w14:textId="77777777" w:rsidTr="0067283D">
        <w:tc>
          <w:tcPr>
            <w:tcW w:w="0" w:type="auto"/>
            <w:hideMark/>
          </w:tcPr>
          <w:p w14:paraId="7383AF7C"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Coordination mechanism</w:t>
            </w:r>
          </w:p>
        </w:tc>
        <w:tc>
          <w:tcPr>
            <w:tcW w:w="0" w:type="auto"/>
            <w:hideMark/>
          </w:tcPr>
          <w:p w14:paraId="1DF02A93"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Leads standardised formats; MIS oversight; learning reviews</w:t>
            </w:r>
          </w:p>
        </w:tc>
        <w:tc>
          <w:tcPr>
            <w:tcW w:w="0" w:type="auto"/>
            <w:hideMark/>
          </w:tcPr>
          <w:p w14:paraId="219E0D11"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Interfaces with PSU and government institutions</w:t>
            </w:r>
          </w:p>
        </w:tc>
        <w:tc>
          <w:tcPr>
            <w:tcW w:w="0" w:type="auto"/>
            <w:hideMark/>
          </w:tcPr>
          <w:p w14:paraId="4767F97A" w14:textId="77777777" w:rsidR="00902F90" w:rsidRPr="00C034B4" w:rsidRDefault="00902F90">
            <w:pPr>
              <w:spacing w:after="120"/>
              <w:rPr>
                <w:rFonts w:asciiTheme="minorHAnsi" w:hAnsiTheme="minorHAnsi" w:cstheme="minorHAnsi"/>
                <w:sz w:val="20"/>
                <w:szCs w:val="20"/>
                <w:lang w:val="en-AU" w:eastAsia="en-AU"/>
              </w:rPr>
            </w:pPr>
            <w:r w:rsidRPr="00C034B4">
              <w:rPr>
                <w:rFonts w:cstheme="minorHAnsi"/>
                <w:sz w:val="20"/>
                <w:szCs w:val="20"/>
                <w:lang w:val="en-AU" w:eastAsia="en-AU"/>
              </w:rPr>
              <w:t>Participates in technical meetings, learning workshops, TAG</w:t>
            </w:r>
          </w:p>
        </w:tc>
      </w:tr>
    </w:tbl>
    <w:p w14:paraId="07E4029D" w14:textId="72AC72CB" w:rsidR="00A85603" w:rsidRPr="00484F7E" w:rsidRDefault="00A85603" w:rsidP="00A85603">
      <w:pPr>
        <w:pStyle w:val="Heading5"/>
      </w:pPr>
      <w:r w:rsidRPr="00484F7E">
        <w:t>Summary of MEL Roles</w:t>
      </w:r>
    </w:p>
    <w:p w14:paraId="5144E560" w14:textId="766F5B3A" w:rsidR="00A85603" w:rsidRPr="009B1B55" w:rsidRDefault="00A85603" w:rsidP="00504B06">
      <w:pPr>
        <w:numPr>
          <w:ilvl w:val="0"/>
          <w:numId w:val="93"/>
        </w:numPr>
        <w:spacing w:after="120"/>
        <w:rPr>
          <w:lang w:val="en-AU" w:eastAsia="en-AU"/>
        </w:rPr>
      </w:pPr>
      <w:r w:rsidRPr="009B1B55">
        <w:rPr>
          <w:b/>
          <w:bCs/>
          <w:lang w:val="en-AU" w:eastAsia="en-AU"/>
        </w:rPr>
        <w:t>MEL Hub</w:t>
      </w:r>
      <w:r>
        <w:rPr>
          <w:b/>
          <w:bCs/>
          <w:lang w:val="en-AU" w:eastAsia="en-AU"/>
        </w:rPr>
        <w:t xml:space="preserve"> and potential adviser (through Convenor)</w:t>
      </w:r>
      <w:r w:rsidRPr="009B1B55">
        <w:rPr>
          <w:b/>
          <w:bCs/>
          <w:lang w:val="en-AU" w:eastAsia="en-AU"/>
        </w:rPr>
        <w:t>:</w:t>
      </w:r>
    </w:p>
    <w:p w14:paraId="5B207162" w14:textId="77777777" w:rsidR="00A85603" w:rsidRPr="00B11216" w:rsidRDefault="00A85603" w:rsidP="00504B06">
      <w:pPr>
        <w:numPr>
          <w:ilvl w:val="1"/>
          <w:numId w:val="93"/>
        </w:numPr>
        <w:rPr>
          <w:lang w:val="en-AU" w:eastAsia="en-AU"/>
        </w:rPr>
      </w:pPr>
      <w:r w:rsidRPr="00B11216">
        <w:rPr>
          <w:lang w:val="en-AU" w:eastAsia="en-AU"/>
        </w:rPr>
        <w:t>Provide strategic oversight of the MEL system</w:t>
      </w:r>
    </w:p>
    <w:p w14:paraId="06AAB0D2" w14:textId="77777777" w:rsidR="00A85603" w:rsidRPr="009B1B55" w:rsidRDefault="00A85603" w:rsidP="00504B06">
      <w:pPr>
        <w:numPr>
          <w:ilvl w:val="1"/>
          <w:numId w:val="93"/>
        </w:numPr>
        <w:spacing w:after="120"/>
        <w:rPr>
          <w:lang w:val="en-AU" w:eastAsia="en-AU"/>
        </w:rPr>
      </w:pPr>
      <w:r w:rsidRPr="009B1B55">
        <w:rPr>
          <w:lang w:val="en-AU" w:eastAsia="en-AU"/>
        </w:rPr>
        <w:t xml:space="preserve">Program-wide outcome harvesting, scenario-based outcome tracking, </w:t>
      </w:r>
      <w:r>
        <w:rPr>
          <w:lang w:val="en-AU" w:eastAsia="en-AU"/>
        </w:rPr>
        <w:t>and contextual</w:t>
      </w:r>
      <w:r w:rsidRPr="009B1B55">
        <w:rPr>
          <w:lang w:val="en-AU" w:eastAsia="en-AU"/>
        </w:rPr>
        <w:t xml:space="preserve"> updates</w:t>
      </w:r>
    </w:p>
    <w:p w14:paraId="5D4E1133" w14:textId="77777777" w:rsidR="00A85603" w:rsidRPr="009B1B55" w:rsidRDefault="00A85603" w:rsidP="00504B06">
      <w:pPr>
        <w:numPr>
          <w:ilvl w:val="1"/>
          <w:numId w:val="93"/>
        </w:numPr>
        <w:spacing w:after="120"/>
        <w:rPr>
          <w:lang w:val="en-AU" w:eastAsia="en-AU"/>
        </w:rPr>
      </w:pPr>
      <w:r w:rsidRPr="009B1B55">
        <w:rPr>
          <w:lang w:val="en-AU" w:eastAsia="en-AU"/>
        </w:rPr>
        <w:t>Biannual synthesis reports and annual learning reviews</w:t>
      </w:r>
    </w:p>
    <w:p w14:paraId="16F6B21D" w14:textId="77777777" w:rsidR="00A85603" w:rsidRPr="009B1B55" w:rsidRDefault="00A85603" w:rsidP="00504B06">
      <w:pPr>
        <w:numPr>
          <w:ilvl w:val="1"/>
          <w:numId w:val="93"/>
        </w:numPr>
        <w:spacing w:after="120"/>
        <w:rPr>
          <w:lang w:val="en-AU" w:eastAsia="en-AU"/>
        </w:rPr>
      </w:pPr>
      <w:r w:rsidRPr="009B1B55">
        <w:rPr>
          <w:lang w:val="en-AU" w:eastAsia="en-AU"/>
        </w:rPr>
        <w:t>Capacity strengthening for government bodies and CSOs</w:t>
      </w:r>
    </w:p>
    <w:p w14:paraId="111BBB2F" w14:textId="77777777" w:rsidR="00A85603" w:rsidRDefault="00A85603" w:rsidP="00504B06">
      <w:pPr>
        <w:numPr>
          <w:ilvl w:val="1"/>
          <w:numId w:val="93"/>
        </w:numPr>
        <w:spacing w:after="120"/>
        <w:rPr>
          <w:lang w:val="en-AU" w:eastAsia="en-AU"/>
        </w:rPr>
      </w:pPr>
      <w:r w:rsidRPr="009B1B55">
        <w:rPr>
          <w:lang w:val="en-AU" w:eastAsia="en-AU"/>
        </w:rPr>
        <w:t>Quality assurance of all learning products and evidence</w:t>
      </w:r>
    </w:p>
    <w:p w14:paraId="6FE8B9D6" w14:textId="77777777" w:rsidR="00A85603" w:rsidRPr="007C4F1B" w:rsidRDefault="00A85603" w:rsidP="00504B06">
      <w:pPr>
        <w:numPr>
          <w:ilvl w:val="1"/>
          <w:numId w:val="93"/>
        </w:numPr>
        <w:rPr>
          <w:lang w:val="en-AU" w:eastAsia="en-AU"/>
        </w:rPr>
      </w:pPr>
      <w:r>
        <w:rPr>
          <w:lang w:val="en-AU" w:eastAsia="en-AU"/>
        </w:rPr>
        <w:t>MEL adviser: r</w:t>
      </w:r>
      <w:r w:rsidRPr="00B11216">
        <w:rPr>
          <w:lang w:val="en-AU" w:eastAsia="en-AU"/>
        </w:rPr>
        <w:t>eview annual learning reports and evaluation designs</w:t>
      </w:r>
    </w:p>
    <w:p w14:paraId="4E2E36AF" w14:textId="24FF65A9" w:rsidR="00A85603" w:rsidRPr="009B1B55" w:rsidRDefault="00A85603" w:rsidP="00504B06">
      <w:pPr>
        <w:numPr>
          <w:ilvl w:val="0"/>
          <w:numId w:val="93"/>
        </w:numPr>
        <w:spacing w:after="120"/>
        <w:rPr>
          <w:lang w:val="en-AU" w:eastAsia="en-AU"/>
        </w:rPr>
      </w:pPr>
      <w:r w:rsidRPr="009B1B55">
        <w:rPr>
          <w:b/>
          <w:bCs/>
          <w:lang w:val="en-AU" w:eastAsia="en-AU"/>
        </w:rPr>
        <w:t xml:space="preserve">Component </w:t>
      </w:r>
      <w:r>
        <w:rPr>
          <w:b/>
          <w:bCs/>
          <w:lang w:val="en-AU" w:eastAsia="en-AU"/>
        </w:rPr>
        <w:t>2</w:t>
      </w:r>
      <w:r w:rsidRPr="009B1B55">
        <w:rPr>
          <w:b/>
          <w:bCs/>
          <w:lang w:val="en-AU" w:eastAsia="en-AU"/>
        </w:rPr>
        <w:t xml:space="preserve"> Spokes:</w:t>
      </w:r>
    </w:p>
    <w:p w14:paraId="5DF4BFCC" w14:textId="77777777" w:rsidR="00A85603" w:rsidRPr="009B1B55" w:rsidRDefault="00A85603" w:rsidP="00504B06">
      <w:pPr>
        <w:numPr>
          <w:ilvl w:val="1"/>
          <w:numId w:val="93"/>
        </w:numPr>
        <w:spacing w:after="120"/>
        <w:rPr>
          <w:lang w:val="en-AU" w:eastAsia="en-AU"/>
        </w:rPr>
      </w:pPr>
      <w:r w:rsidRPr="009B1B55">
        <w:rPr>
          <w:lang w:val="en-AU" w:eastAsia="en-AU"/>
        </w:rPr>
        <w:t xml:space="preserve">Activity-level monitoring and risk tracking for Component </w:t>
      </w:r>
      <w:r>
        <w:rPr>
          <w:lang w:val="en-AU" w:eastAsia="en-AU"/>
        </w:rPr>
        <w:t>2</w:t>
      </w:r>
    </w:p>
    <w:p w14:paraId="116EE85A" w14:textId="77777777" w:rsidR="00A85603" w:rsidRPr="009B1B55" w:rsidRDefault="00A85603" w:rsidP="00504B06">
      <w:pPr>
        <w:numPr>
          <w:ilvl w:val="1"/>
          <w:numId w:val="93"/>
        </w:numPr>
        <w:spacing w:after="120"/>
        <w:rPr>
          <w:lang w:val="en-AU" w:eastAsia="en-AU"/>
        </w:rPr>
      </w:pPr>
      <w:r w:rsidRPr="009B1B55">
        <w:rPr>
          <w:lang w:val="en-AU" w:eastAsia="en-AU"/>
        </w:rPr>
        <w:t>Data consolidation from civil society partners</w:t>
      </w:r>
    </w:p>
    <w:p w14:paraId="66D4861B" w14:textId="7AB0AC2F" w:rsidR="00A85603" w:rsidRPr="009B1B55" w:rsidRDefault="00A85603" w:rsidP="00504B06">
      <w:pPr>
        <w:numPr>
          <w:ilvl w:val="1"/>
          <w:numId w:val="93"/>
        </w:numPr>
        <w:spacing w:after="120"/>
        <w:rPr>
          <w:lang w:val="en-AU" w:eastAsia="en-AU"/>
        </w:rPr>
      </w:pPr>
      <w:r w:rsidRPr="009B1B55">
        <w:rPr>
          <w:lang w:val="en-AU" w:eastAsia="en-AU"/>
        </w:rPr>
        <w:t>Contribution to learning products, workshops</w:t>
      </w:r>
    </w:p>
    <w:p w14:paraId="0229A99B" w14:textId="77777777" w:rsidR="00A85603" w:rsidRPr="009B1B55" w:rsidRDefault="00A85603" w:rsidP="00504B06">
      <w:pPr>
        <w:numPr>
          <w:ilvl w:val="1"/>
          <w:numId w:val="93"/>
        </w:numPr>
        <w:spacing w:after="120"/>
        <w:rPr>
          <w:lang w:val="en-AU" w:eastAsia="en-AU"/>
        </w:rPr>
      </w:pPr>
      <w:r w:rsidRPr="009B1B55">
        <w:rPr>
          <w:lang w:val="en-AU" w:eastAsia="en-AU"/>
        </w:rPr>
        <w:t xml:space="preserve">Reporting into the </w:t>
      </w:r>
      <w:r>
        <w:rPr>
          <w:lang w:val="en-AU" w:eastAsia="en-AU"/>
        </w:rPr>
        <w:t>h</w:t>
      </w:r>
      <w:r w:rsidRPr="009B1B55">
        <w:rPr>
          <w:lang w:val="en-AU" w:eastAsia="en-AU"/>
        </w:rPr>
        <w:t>ub for program-wide analysis</w:t>
      </w:r>
    </w:p>
    <w:p w14:paraId="135C5316" w14:textId="77777777" w:rsidR="00A85603" w:rsidRPr="009B1B55" w:rsidRDefault="00A85603" w:rsidP="00504B06">
      <w:pPr>
        <w:numPr>
          <w:ilvl w:val="0"/>
          <w:numId w:val="93"/>
        </w:numPr>
        <w:spacing w:after="120"/>
        <w:rPr>
          <w:lang w:val="en-AU" w:eastAsia="en-AU"/>
        </w:rPr>
      </w:pPr>
      <w:r w:rsidRPr="009B1B55">
        <w:rPr>
          <w:b/>
          <w:bCs/>
          <w:lang w:val="en-AU" w:eastAsia="en-AU"/>
        </w:rPr>
        <w:t xml:space="preserve">Component </w:t>
      </w:r>
      <w:r>
        <w:rPr>
          <w:b/>
          <w:bCs/>
          <w:lang w:val="en-AU" w:eastAsia="en-AU"/>
        </w:rPr>
        <w:t>1</w:t>
      </w:r>
      <w:r w:rsidRPr="009B1B55">
        <w:rPr>
          <w:b/>
          <w:bCs/>
          <w:lang w:val="en-AU" w:eastAsia="en-AU"/>
        </w:rPr>
        <w:t xml:space="preserve"> Spoke</w:t>
      </w:r>
      <w:r>
        <w:rPr>
          <w:b/>
          <w:bCs/>
          <w:lang w:val="en-AU" w:eastAsia="en-AU"/>
        </w:rPr>
        <w:t xml:space="preserve"> (within PSU)</w:t>
      </w:r>
      <w:r w:rsidRPr="009B1B55">
        <w:rPr>
          <w:b/>
          <w:bCs/>
          <w:lang w:val="en-AU" w:eastAsia="en-AU"/>
        </w:rPr>
        <w:t>:</w:t>
      </w:r>
    </w:p>
    <w:p w14:paraId="57EC3A2D" w14:textId="77777777" w:rsidR="00A85603" w:rsidRPr="009B1B55" w:rsidRDefault="00A85603" w:rsidP="00504B06">
      <w:pPr>
        <w:numPr>
          <w:ilvl w:val="1"/>
          <w:numId w:val="93"/>
        </w:numPr>
        <w:spacing w:after="120"/>
        <w:rPr>
          <w:lang w:val="en-AU" w:eastAsia="en-AU"/>
        </w:rPr>
      </w:pPr>
      <w:r w:rsidRPr="009B1B55">
        <w:rPr>
          <w:lang w:val="en-AU" w:eastAsia="en-AU"/>
        </w:rPr>
        <w:t>Standardised data capture for government partnerships</w:t>
      </w:r>
    </w:p>
    <w:p w14:paraId="1C80B042" w14:textId="77777777" w:rsidR="00A85603" w:rsidRPr="009B1B55" w:rsidRDefault="00A85603" w:rsidP="00504B06">
      <w:pPr>
        <w:numPr>
          <w:ilvl w:val="1"/>
          <w:numId w:val="93"/>
        </w:numPr>
        <w:spacing w:after="120"/>
        <w:rPr>
          <w:lang w:val="en-AU" w:eastAsia="en-AU"/>
        </w:rPr>
      </w:pPr>
      <w:r w:rsidRPr="009B1B55">
        <w:rPr>
          <w:lang w:val="en-AU" w:eastAsia="en-AU"/>
        </w:rPr>
        <w:t>Quarterly reporting, lesson documentation, safeguarding and GEDSI compliance</w:t>
      </w:r>
    </w:p>
    <w:p w14:paraId="0FF69AA3" w14:textId="77777777" w:rsidR="00A85603" w:rsidRDefault="00A85603" w:rsidP="00504B06">
      <w:pPr>
        <w:numPr>
          <w:ilvl w:val="1"/>
          <w:numId w:val="93"/>
        </w:numPr>
        <w:spacing w:after="120"/>
        <w:rPr>
          <w:lang w:val="en-AU" w:eastAsia="en-AU"/>
        </w:rPr>
      </w:pPr>
      <w:r w:rsidRPr="009B1B55">
        <w:rPr>
          <w:lang w:val="en-AU" w:eastAsia="en-AU"/>
        </w:rPr>
        <w:t>Participation in learning reviews and scenario-testing workshops</w:t>
      </w:r>
    </w:p>
    <w:p w14:paraId="5BA20F8B" w14:textId="0EA58916" w:rsidR="008F7E8E" w:rsidRPr="008F7E8E" w:rsidRDefault="008F7E8E" w:rsidP="002246C6">
      <w:pPr>
        <w:rPr>
          <w:lang w:val="en-AU" w:eastAsia="en-AU"/>
        </w:rPr>
      </w:pPr>
      <w:r>
        <w:lastRenderedPageBreak/>
        <w:t xml:space="preserve">In addition, </w:t>
      </w:r>
      <w:r w:rsidRPr="009553BD">
        <w:t xml:space="preserve">Technical Advisory </w:t>
      </w:r>
      <w:r>
        <w:t>Panel members may</w:t>
      </w:r>
      <w:r w:rsidRPr="00607D97">
        <w:t xml:space="preserve"> provide strategic guidance</w:t>
      </w:r>
      <w:r>
        <w:t xml:space="preserve"> and</w:t>
      </w:r>
      <w:r w:rsidRPr="00607D97">
        <w:t xml:space="preserve"> review </w:t>
      </w:r>
      <w:r>
        <w:t>key program documents where requested</w:t>
      </w:r>
      <w:r w:rsidRPr="00607D97">
        <w:t xml:space="preserve">. </w:t>
      </w:r>
      <w:r w:rsidRPr="008F7E8E">
        <w:rPr>
          <w:lang w:val="en-AU" w:eastAsia="en-AU"/>
        </w:rPr>
        <w:t>TAP recommendations will be documented and integrated into program reporting with DFAT oversight.</w:t>
      </w:r>
    </w:p>
    <w:p w14:paraId="027005F2" w14:textId="77777777" w:rsidR="00A85603" w:rsidRPr="009B1B55" w:rsidRDefault="00A85603" w:rsidP="00A85603">
      <w:pPr>
        <w:spacing w:after="120"/>
        <w:rPr>
          <w:lang w:val="en-AU" w:eastAsia="en-AU"/>
        </w:rPr>
      </w:pPr>
      <w:r w:rsidRPr="009B1B55">
        <w:rPr>
          <w:lang w:val="en-AU" w:eastAsia="en-AU"/>
        </w:rPr>
        <w:t>A shared MEL Protocol</w:t>
      </w:r>
      <w:r>
        <w:rPr>
          <w:lang w:val="en-AU" w:eastAsia="en-AU"/>
        </w:rPr>
        <w:t xml:space="preserve"> (included within the MEL Framework)</w:t>
      </w:r>
      <w:r w:rsidRPr="009B1B55">
        <w:rPr>
          <w:lang w:val="en-AU" w:eastAsia="en-AU"/>
        </w:rPr>
        <w:t>, agreed during inception, will define data standards, ethics, documentation expectations, dispute resolution, and reporting timelines.</w:t>
      </w:r>
    </w:p>
    <w:p w14:paraId="7B8948C7" w14:textId="3661AE63" w:rsidR="003559D8" w:rsidRPr="00C86765" w:rsidRDefault="003559D8" w:rsidP="003559D8">
      <w:pPr>
        <w:pStyle w:val="Heading5"/>
      </w:pPr>
      <w:r w:rsidRPr="00C86765">
        <w:t>Governance Structure for Oversight and Partner Performance Management</w:t>
      </w:r>
    </w:p>
    <w:p w14:paraId="5CBA046C" w14:textId="77777777" w:rsidR="003559D8" w:rsidRPr="00607D97" w:rsidRDefault="003559D8" w:rsidP="003559D8">
      <w:pPr>
        <w:rPr>
          <w:rFonts w:eastAsia="Times New Roman" w:cs="Times New Roman"/>
          <w:lang w:val="en-AU"/>
        </w:rPr>
      </w:pPr>
      <w:r>
        <w:t>To ensure strategic coherence and accountability, the MEL system will operate under a multi-tiered governance structure. The Convenor will hold overarching responsibility for monitoring and evaluation across both components of </w:t>
      </w:r>
      <w:proofErr w:type="spellStart"/>
      <w:r w:rsidRPr="00D84A7F">
        <w:rPr>
          <w:rStyle w:val="Emphasis"/>
          <w:i w:val="0"/>
          <w:color w:val="424242"/>
        </w:rPr>
        <w:t>Partisipasi</w:t>
      </w:r>
      <w:proofErr w:type="spellEnd"/>
      <w:r>
        <w:t xml:space="preserve">, ensuring alignment with DFAT’s reporting requirements and program objectives. The PSU will be explicitly responsible for providing MEL inputs to the Convenor for Component 1. </w:t>
      </w:r>
      <w:r w:rsidRPr="084DF1A1">
        <w:rPr>
          <w:rFonts w:eastAsia="Times New Roman" w:cs="Times New Roman"/>
          <w:lang w:val="en-AU"/>
        </w:rPr>
        <w:t>To ensure evidence-informed delivery and accountability, the MEL system will track progress against a suite of indicative indicators aligned to the Program Logic. All data will be disaggregated by gender, age, disability status, and other relevant GEDSI markers where feasible. The MEL system will also draw on partner data and government reporting, but will account for limitations in official data collection, particularly in GEDSI and digital rights indicators.</w:t>
      </w:r>
    </w:p>
    <w:p w14:paraId="67488AB5" w14:textId="23A277ED" w:rsidR="003559D8" w:rsidRPr="00607D97" w:rsidRDefault="003559D8" w:rsidP="003559D8">
      <w:r w:rsidRPr="00607D97">
        <w:t xml:space="preserve">To maximise cross-program learning, the MEL Hub will establish structured interfaces with the </w:t>
      </w:r>
      <w:proofErr w:type="spellStart"/>
      <w:r w:rsidRPr="009553BD">
        <w:t>DomPol</w:t>
      </w:r>
      <w:proofErr w:type="spellEnd"/>
      <w:r w:rsidRPr="009553BD">
        <w:t xml:space="preserve"> </w:t>
      </w:r>
      <w:r w:rsidRPr="00607D97">
        <w:t xml:space="preserve">and </w:t>
      </w:r>
      <w:r w:rsidRPr="009553BD">
        <w:t>Public Affairs</w:t>
      </w:r>
      <w:r w:rsidRPr="00607D97">
        <w:t xml:space="preserve"> teams at the </w:t>
      </w:r>
      <w:r>
        <w:t xml:space="preserve">Australian </w:t>
      </w:r>
      <w:r w:rsidRPr="00607D97">
        <w:t xml:space="preserve">Embassy. These teams will contribute to outcome harvesting, innovation tracking, and GEDSI analysis. Their insights will be consolidated into the central MEL repository and visualised through dashboards accessible to all stakeholders. See </w:t>
      </w:r>
      <w:r>
        <w:t>Terms of Reference</w:t>
      </w:r>
      <w:r w:rsidRPr="00607D97">
        <w:t xml:space="preserve"> for Component </w:t>
      </w:r>
      <w:r>
        <w:t>1</w:t>
      </w:r>
      <w:r w:rsidRPr="00607D97">
        <w:t xml:space="preserve"> and </w:t>
      </w:r>
      <w:r>
        <w:t>2</w:t>
      </w:r>
      <w:r w:rsidR="00950A44">
        <w:t xml:space="preserve"> implementing partners</w:t>
      </w:r>
      <w:r w:rsidRPr="00607D97">
        <w:t xml:space="preserve"> (</w:t>
      </w:r>
      <w:hyperlink w:anchor="_Annex_C:_Partisipasi’s" w:history="1">
        <w:r w:rsidR="007118A8" w:rsidRPr="007118A8">
          <w:rPr>
            <w:rStyle w:val="Hyperlink"/>
            <w:rFonts w:cstheme="minorBidi"/>
            <w:b/>
            <w:bCs/>
          </w:rPr>
          <w:t>Annexes C and D</w:t>
        </w:r>
      </w:hyperlink>
      <w:r w:rsidR="007118A8">
        <w:t xml:space="preserve">) </w:t>
      </w:r>
      <w:r w:rsidRPr="00607D97">
        <w:t xml:space="preserve">for more clarity on the role of </w:t>
      </w:r>
      <w:r>
        <w:t>Convenor</w:t>
      </w:r>
      <w:r w:rsidRPr="00607D97">
        <w:t xml:space="preserve"> in managing</w:t>
      </w:r>
      <w:r w:rsidR="00674FDB">
        <w:t xml:space="preserve"> the</w:t>
      </w:r>
      <w:r w:rsidRPr="00607D97">
        <w:t xml:space="preserve"> MEL Hub</w:t>
      </w:r>
      <w:r>
        <w:t>-</w:t>
      </w:r>
      <w:r w:rsidRPr="00607D97">
        <w:t>and</w:t>
      </w:r>
      <w:r>
        <w:t>-</w:t>
      </w:r>
      <w:r w:rsidRPr="00607D97">
        <w:t>Spoke model.</w:t>
      </w:r>
    </w:p>
    <w:p w14:paraId="64FE3C09" w14:textId="508B1345" w:rsidR="003559D8" w:rsidRDefault="003559D8" w:rsidP="003559D8">
      <w:r w:rsidRPr="00607D97">
        <w:t>The </w:t>
      </w:r>
      <w:r w:rsidRPr="009553BD">
        <w:t>Convenor and Core Group</w:t>
      </w:r>
      <w:r w:rsidRPr="00607D97">
        <w:t> will oversee partner performance, ensuring that MEL spokes are functioning effectively and that learning is decentralised yet coherent. In cases of disagreement—such as disputes over data quality between the PSU and Convenor</w:t>
      </w:r>
      <w:r>
        <w:t xml:space="preserve"> – </w:t>
      </w:r>
      <w:r w:rsidRPr="00607D97">
        <w:t>a structured </w:t>
      </w:r>
      <w:r w:rsidRPr="009553BD">
        <w:t>dispute resolution protocol</w:t>
      </w:r>
      <w:r w:rsidRPr="00607D97">
        <w:t> will be activated, involving DFAT to mediate and ensure resolution. This structure ensures clear lines of accountability, supports adaptive learning, and mitigates risks related to data integrity and partner coordination.</w:t>
      </w:r>
    </w:p>
    <w:p w14:paraId="3F8F9EFA" w14:textId="5BB942A2" w:rsidR="00860A4D" w:rsidRDefault="003559D8" w:rsidP="00C625CC">
      <w:pPr>
        <w:pStyle w:val="Caption"/>
        <w:keepNext/>
        <w:spacing w:after="0"/>
      </w:pPr>
      <w:r>
        <w:lastRenderedPageBreak/>
        <w:t>Figure</w:t>
      </w:r>
      <w:r w:rsidR="00B44BB5">
        <w:t xml:space="preserve"> </w:t>
      </w:r>
      <w:r w:rsidR="008D4216">
        <w:t>5</w:t>
      </w:r>
      <w:r>
        <w:t>: MEL Information Flow</w:t>
      </w:r>
    </w:p>
    <w:p w14:paraId="4F3889E0" w14:textId="232E3AB9" w:rsidR="003559D8" w:rsidRPr="00607D97" w:rsidRDefault="00860A4D" w:rsidP="003559D8">
      <w:r w:rsidRPr="00860A4D">
        <w:rPr>
          <w:noProof/>
        </w:rPr>
        <w:drawing>
          <wp:inline distT="0" distB="0" distL="0" distR="0" wp14:anchorId="0425EEAE" wp14:editId="48E8BE7B">
            <wp:extent cx="4275393" cy="3521122"/>
            <wp:effectExtent l="0" t="0" r="0" b="3175"/>
            <wp:docPr id="125062470" name="Picture 1" descr="Figure 5 shows the MEL information flow, from MEL Spokes, to the MEL hub, to the Convenor and then to DFAT post, as described in Annex 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2470" name="Picture 1" descr="Figure 5 shows the MEL information flow, from MEL Spokes, to the MEL hub, to the Convenor and then to DFAT post, as described in Annex H. "/>
                    <pic:cNvPicPr/>
                  </pic:nvPicPr>
                  <pic:blipFill rotWithShape="1">
                    <a:blip r:embed="rId31"/>
                    <a:srcRect t="6096"/>
                    <a:stretch>
                      <a:fillRect/>
                    </a:stretch>
                  </pic:blipFill>
                  <pic:spPr bwMode="auto">
                    <a:xfrm>
                      <a:off x="0" y="0"/>
                      <a:ext cx="4281152" cy="3525865"/>
                    </a:xfrm>
                    <a:prstGeom prst="rect">
                      <a:avLst/>
                    </a:prstGeom>
                    <a:ln>
                      <a:noFill/>
                    </a:ln>
                    <a:extLst>
                      <a:ext uri="{53640926-AAD7-44D8-BBD7-CCE9431645EC}">
                        <a14:shadowObscured xmlns:a14="http://schemas.microsoft.com/office/drawing/2010/main"/>
                      </a:ext>
                    </a:extLst>
                  </pic:spPr>
                </pic:pic>
              </a:graphicData>
            </a:graphic>
          </wp:inline>
        </w:drawing>
      </w:r>
    </w:p>
    <w:p w14:paraId="47264B36" w14:textId="77777777" w:rsidR="003559D8" w:rsidRPr="00C42260" w:rsidRDefault="003559D8" w:rsidP="003559D8">
      <w:pPr>
        <w:pStyle w:val="Heading5"/>
      </w:pPr>
      <w:r w:rsidRPr="00C42260">
        <w:t>Use of MEL for Decision-Making and Policy Dialogue</w:t>
      </w:r>
    </w:p>
    <w:p w14:paraId="23203CF9" w14:textId="77777777" w:rsidR="003559D8" w:rsidRPr="00C42260" w:rsidRDefault="003559D8" w:rsidP="003559D8">
      <w:pPr>
        <w:rPr>
          <w:lang w:val="en-AU"/>
        </w:rPr>
      </w:pPr>
      <w:r w:rsidRPr="00C42260">
        <w:rPr>
          <w:lang w:val="en-AU"/>
        </w:rPr>
        <w:t>MEL</w:t>
      </w:r>
      <w:r>
        <w:rPr>
          <w:lang w:val="en-AU"/>
        </w:rPr>
        <w:t xml:space="preserve"> data and insights</w:t>
      </w:r>
      <w:r w:rsidRPr="00C42260">
        <w:rPr>
          <w:lang w:val="en-AU"/>
        </w:rPr>
        <w:t xml:space="preserve"> will be integrated into DFAT’s management cycle via:</w:t>
      </w:r>
    </w:p>
    <w:p w14:paraId="26CFD495" w14:textId="77777777" w:rsidR="003559D8" w:rsidRPr="00795459" w:rsidRDefault="003559D8" w:rsidP="00504B06">
      <w:pPr>
        <w:pStyle w:val="ListParagraph"/>
        <w:numPr>
          <w:ilvl w:val="0"/>
          <w:numId w:val="47"/>
        </w:numPr>
        <w:rPr>
          <w:lang w:val="en-AU"/>
        </w:rPr>
      </w:pPr>
      <w:r w:rsidRPr="00795459">
        <w:rPr>
          <w:lang w:val="en-AU"/>
        </w:rPr>
        <w:t>Quarterly progress updates and risk dashboards</w:t>
      </w:r>
    </w:p>
    <w:p w14:paraId="0E1B0D7B" w14:textId="1FF9B6DB" w:rsidR="003559D8" w:rsidRPr="00795459" w:rsidRDefault="00E622EF" w:rsidP="00504B06">
      <w:pPr>
        <w:pStyle w:val="ListParagraph"/>
        <w:numPr>
          <w:ilvl w:val="0"/>
          <w:numId w:val="47"/>
        </w:numPr>
        <w:rPr>
          <w:lang w:val="en-AU"/>
        </w:rPr>
      </w:pPr>
      <w:r>
        <w:rPr>
          <w:lang w:val="en-AU"/>
        </w:rPr>
        <w:t xml:space="preserve">Six monthly reflection </w:t>
      </w:r>
      <w:r w:rsidR="003559D8" w:rsidRPr="00795459">
        <w:rPr>
          <w:lang w:val="en-AU"/>
        </w:rPr>
        <w:t>workshops and outcome deep</w:t>
      </w:r>
      <w:r w:rsidR="003559D8">
        <w:rPr>
          <w:lang w:val="en-AU"/>
        </w:rPr>
        <w:t xml:space="preserve"> </w:t>
      </w:r>
      <w:r w:rsidR="003559D8" w:rsidRPr="00795459">
        <w:rPr>
          <w:lang w:val="en-AU"/>
        </w:rPr>
        <w:t>dives</w:t>
      </w:r>
    </w:p>
    <w:p w14:paraId="3EE0E7BF" w14:textId="77777777" w:rsidR="003559D8" w:rsidRPr="00795459" w:rsidRDefault="003559D8" w:rsidP="00504B06">
      <w:pPr>
        <w:pStyle w:val="ListParagraph"/>
        <w:numPr>
          <w:ilvl w:val="0"/>
          <w:numId w:val="47"/>
        </w:numPr>
        <w:rPr>
          <w:lang w:val="en-AU"/>
        </w:rPr>
      </w:pPr>
      <w:r w:rsidRPr="00795459">
        <w:rPr>
          <w:lang w:val="en-AU"/>
        </w:rPr>
        <w:t>Annual performance syntheses aligned to Tier 2 and Tier 3 indicators</w:t>
      </w:r>
    </w:p>
    <w:p w14:paraId="55276FD7" w14:textId="77777777" w:rsidR="003559D8" w:rsidRPr="00795459" w:rsidRDefault="003559D8" w:rsidP="00504B06">
      <w:pPr>
        <w:pStyle w:val="ListParagraph"/>
        <w:numPr>
          <w:ilvl w:val="0"/>
          <w:numId w:val="47"/>
        </w:numPr>
        <w:rPr>
          <w:lang w:val="en-AU"/>
        </w:rPr>
      </w:pPr>
      <w:r w:rsidRPr="00795459">
        <w:rPr>
          <w:lang w:val="en-AU"/>
        </w:rPr>
        <w:t>Biannual outcome harvesting</w:t>
      </w:r>
    </w:p>
    <w:p w14:paraId="64FA62B2" w14:textId="77777777" w:rsidR="003559D8" w:rsidRPr="00795459" w:rsidRDefault="003559D8" w:rsidP="00504B06">
      <w:pPr>
        <w:pStyle w:val="ListParagraph"/>
        <w:numPr>
          <w:ilvl w:val="0"/>
          <w:numId w:val="47"/>
        </w:numPr>
        <w:rPr>
          <w:lang w:val="en-AU"/>
        </w:rPr>
      </w:pPr>
      <w:r w:rsidRPr="00795459">
        <w:rPr>
          <w:lang w:val="en-AU"/>
        </w:rPr>
        <w:t xml:space="preserve">Contribution stories and evidence </w:t>
      </w:r>
      <w:proofErr w:type="gramStart"/>
      <w:r w:rsidRPr="00795459">
        <w:rPr>
          <w:lang w:val="en-AU"/>
        </w:rPr>
        <w:t>briefs</w:t>
      </w:r>
      <w:proofErr w:type="gramEnd"/>
      <w:r w:rsidRPr="00795459">
        <w:rPr>
          <w:lang w:val="en-AU"/>
        </w:rPr>
        <w:t xml:space="preserve"> informing </w:t>
      </w:r>
      <w:proofErr w:type="spellStart"/>
      <w:r w:rsidRPr="00795459">
        <w:rPr>
          <w:lang w:val="en-AU"/>
        </w:rPr>
        <w:t>GoI</w:t>
      </w:r>
      <w:proofErr w:type="spellEnd"/>
      <w:r w:rsidRPr="00795459">
        <w:rPr>
          <w:lang w:val="en-AU"/>
        </w:rPr>
        <w:t xml:space="preserve"> engagement and donor coordination.</w:t>
      </w:r>
    </w:p>
    <w:p w14:paraId="74A92D76" w14:textId="4287BD4E" w:rsidR="003559D8" w:rsidRPr="00C42260" w:rsidRDefault="003559D8" w:rsidP="003559D8">
      <w:pPr>
        <w:rPr>
          <w:lang w:val="en-AU"/>
        </w:rPr>
      </w:pPr>
      <w:r w:rsidRPr="084DF1A1">
        <w:rPr>
          <w:lang w:val="en-AU"/>
        </w:rPr>
        <w:t xml:space="preserve">The Convenor and MEL Hub will work closely with DFAT to translate MEL insights into timely policy narratives, scenario-based planning, and reputational risk management approaches to support </w:t>
      </w:r>
      <w:proofErr w:type="spellStart"/>
      <w:r w:rsidRPr="00D84A7F">
        <w:rPr>
          <w:iCs/>
          <w:lang w:val="en-AU"/>
        </w:rPr>
        <w:t>Partisipasi</w:t>
      </w:r>
      <w:proofErr w:type="spellEnd"/>
      <w:r w:rsidRPr="084DF1A1">
        <w:rPr>
          <w:i/>
          <w:iCs/>
          <w:lang w:val="en-AU"/>
        </w:rPr>
        <w:t xml:space="preserve"> </w:t>
      </w:r>
      <w:r w:rsidRPr="084DF1A1">
        <w:rPr>
          <w:lang w:val="en-AU"/>
        </w:rPr>
        <w:t xml:space="preserve">to remain relevant and resilient in </w:t>
      </w:r>
      <w:r w:rsidR="00D75B20">
        <w:rPr>
          <w:lang w:val="en-AU"/>
        </w:rPr>
        <w:t>its local</w:t>
      </w:r>
      <w:r w:rsidRPr="084DF1A1">
        <w:rPr>
          <w:lang w:val="en-AU"/>
        </w:rPr>
        <w:t xml:space="preserve"> context. </w:t>
      </w:r>
    </w:p>
    <w:p w14:paraId="1942102A" w14:textId="77777777" w:rsidR="003559D8" w:rsidRPr="004F6801" w:rsidRDefault="003559D8" w:rsidP="003559D8">
      <w:pPr>
        <w:pStyle w:val="Heading5"/>
      </w:pPr>
      <w:r w:rsidRPr="004F6801">
        <w:t>MEL Hub’s Role in Partner Performance Assessment</w:t>
      </w:r>
    </w:p>
    <w:p w14:paraId="1672DE52" w14:textId="77777777" w:rsidR="003559D8" w:rsidRPr="00690A66" w:rsidRDefault="003559D8" w:rsidP="003559D8">
      <w:pPr>
        <w:rPr>
          <w:lang w:val="en-AU"/>
        </w:rPr>
      </w:pPr>
      <w:r w:rsidRPr="004F6801">
        <w:rPr>
          <w:lang w:val="en-AU"/>
        </w:rPr>
        <w:t xml:space="preserve">The MEL Hub plays a central role in supporting DFAT’s annual assessment of partner performance. As the strategic coordination node in the Hub-and-Spoke model, the MEL Hub consolidates data from across implementing partners, synthesises learning insights, and facilitates </w:t>
      </w:r>
      <w:r w:rsidRPr="00690A66">
        <w:rPr>
          <w:lang w:val="en-AU"/>
        </w:rPr>
        <w:t>structured reflection processes. Each year, the MEL Hub will produce (or commission the task to an independent MEL expert) a Partner Performance and Learning Report, drawing on quarterly Partner Reflection Notes, outcome harvesting workshops, and MEL Clinics. This report will include:</w:t>
      </w:r>
    </w:p>
    <w:p w14:paraId="4FC7B911" w14:textId="77777777" w:rsidR="003559D8" w:rsidRPr="00690A66" w:rsidRDefault="003559D8" w:rsidP="00504B06">
      <w:pPr>
        <w:pStyle w:val="ListParagraph"/>
        <w:numPr>
          <w:ilvl w:val="0"/>
          <w:numId w:val="48"/>
        </w:numPr>
        <w:rPr>
          <w:lang w:val="en-AU"/>
        </w:rPr>
      </w:pPr>
      <w:r w:rsidRPr="00690A66">
        <w:rPr>
          <w:lang w:val="en-AU"/>
        </w:rPr>
        <w:t>A synthesis of partner contributions to EOPOs and IOs.</w:t>
      </w:r>
    </w:p>
    <w:p w14:paraId="3C13B3BE" w14:textId="77777777" w:rsidR="003559D8" w:rsidRPr="00690A66" w:rsidRDefault="003559D8" w:rsidP="00504B06">
      <w:pPr>
        <w:pStyle w:val="ListParagraph"/>
        <w:numPr>
          <w:ilvl w:val="0"/>
          <w:numId w:val="48"/>
        </w:numPr>
        <w:rPr>
          <w:lang w:val="en-AU"/>
        </w:rPr>
      </w:pPr>
      <w:r w:rsidRPr="00690A66">
        <w:rPr>
          <w:lang w:val="en-AU"/>
        </w:rPr>
        <w:t>Assessment of MEL engagement, data quality, and responsiveness.</w:t>
      </w:r>
    </w:p>
    <w:p w14:paraId="5AE34F72" w14:textId="77777777" w:rsidR="003559D8" w:rsidRPr="00690A66" w:rsidRDefault="003559D8" w:rsidP="00504B06">
      <w:pPr>
        <w:pStyle w:val="ListParagraph"/>
        <w:numPr>
          <w:ilvl w:val="0"/>
          <w:numId w:val="48"/>
        </w:numPr>
        <w:rPr>
          <w:lang w:val="en-AU"/>
        </w:rPr>
      </w:pPr>
      <w:r w:rsidRPr="00690A66">
        <w:rPr>
          <w:lang w:val="en-AU"/>
        </w:rPr>
        <w:t>Analysis of adaptive management practices and innovation uptake.</w:t>
      </w:r>
    </w:p>
    <w:p w14:paraId="5D6BB6EF" w14:textId="77777777" w:rsidR="003559D8" w:rsidRPr="00690A66" w:rsidRDefault="003559D8" w:rsidP="00504B06">
      <w:pPr>
        <w:pStyle w:val="ListParagraph"/>
        <w:numPr>
          <w:ilvl w:val="0"/>
          <w:numId w:val="48"/>
        </w:numPr>
        <w:rPr>
          <w:lang w:val="en-AU"/>
        </w:rPr>
      </w:pPr>
      <w:r w:rsidRPr="00690A66">
        <w:rPr>
          <w:lang w:val="en-AU"/>
        </w:rPr>
        <w:t>GEDSI integration and local ownership indicators.</w:t>
      </w:r>
    </w:p>
    <w:p w14:paraId="0855C598" w14:textId="52B5868E" w:rsidR="003559D8" w:rsidRPr="004F6801" w:rsidRDefault="003559D8" w:rsidP="003559D8">
      <w:pPr>
        <w:rPr>
          <w:lang w:val="en-AU"/>
        </w:rPr>
      </w:pPr>
      <w:r w:rsidRPr="00690A66">
        <w:rPr>
          <w:lang w:val="en-AU"/>
        </w:rPr>
        <w:t>The MEL Hub will also convene </w:t>
      </w:r>
      <w:r w:rsidR="002E1D77" w:rsidRPr="00690A66">
        <w:rPr>
          <w:lang w:val="en-AU"/>
        </w:rPr>
        <w:t xml:space="preserve">Joint </w:t>
      </w:r>
      <w:r w:rsidR="002B3B9F" w:rsidRPr="00690A66">
        <w:rPr>
          <w:lang w:val="en-AU"/>
        </w:rPr>
        <w:t>Six-Monthly</w:t>
      </w:r>
      <w:r w:rsidRPr="00690A66">
        <w:rPr>
          <w:lang w:val="en-AU"/>
        </w:rPr>
        <w:t xml:space="preserve"> </w:t>
      </w:r>
      <w:r w:rsidR="002E1D77" w:rsidRPr="00690A66">
        <w:rPr>
          <w:lang w:val="en-AU"/>
        </w:rPr>
        <w:t>Reflection</w:t>
      </w:r>
      <w:r w:rsidRPr="00690A66">
        <w:rPr>
          <w:lang w:val="en-AU"/>
        </w:rPr>
        <w:t xml:space="preserve"> Workshops, where DFAT, the PSU, and the Convenor jointly review partner performance using a structured rubric. This process will</w:t>
      </w:r>
      <w:r w:rsidRPr="004F6801">
        <w:rPr>
          <w:lang w:val="en-AU"/>
        </w:rPr>
        <w:t xml:space="preserve"> be informed by both quantitative indicators (e.g. progress against KPIs) and qualitative insights (e.g. case studies, feedback loops, </w:t>
      </w:r>
      <w:r w:rsidRPr="004F6801">
        <w:rPr>
          <w:lang w:val="en-AU"/>
        </w:rPr>
        <w:lastRenderedPageBreak/>
        <w:t>and stakeholder interviews). This approach ensures that partner performance is assessed holistically, balancing accountability with learning, and enabling DFAT to make informed decisions about future engagement and investment.</w:t>
      </w:r>
    </w:p>
    <w:p w14:paraId="3F03C2AE" w14:textId="77777777" w:rsidR="00902F90" w:rsidRPr="004F6801" w:rsidRDefault="00902F90" w:rsidP="00902F90">
      <w:pPr>
        <w:pStyle w:val="Heading5"/>
      </w:pPr>
      <w:r w:rsidRPr="004F6801">
        <w:t>Investment Adjustment Matrix: Performance and Political Risk Considerations</w:t>
      </w:r>
    </w:p>
    <w:p w14:paraId="0E506CF9" w14:textId="6126B44C" w:rsidR="00902F90" w:rsidRPr="004F6801" w:rsidRDefault="00902F90" w:rsidP="00902F90">
      <w:pPr>
        <w:rPr>
          <w:lang w:val="en-AU"/>
        </w:rPr>
      </w:pPr>
      <w:r w:rsidRPr="084DF1A1">
        <w:rPr>
          <w:lang w:val="en-AU"/>
        </w:rPr>
        <w:t xml:space="preserve">To guide DFAT’s decisions on increasing, maintaining, or decreasing investment in specific partners or program components, the MEL system will </w:t>
      </w:r>
      <w:r w:rsidRPr="00690A66">
        <w:rPr>
          <w:lang w:val="en-AU"/>
        </w:rPr>
        <w:t>incorporate a Performance and Risk Matrix so that</w:t>
      </w:r>
      <w:r w:rsidRPr="00B57CB6">
        <w:rPr>
          <w:lang w:val="en-AU"/>
        </w:rPr>
        <w:t xml:space="preserve"> risk inputs to the PSU are in a consistent format</w:t>
      </w:r>
      <w:r>
        <w:rPr>
          <w:lang w:val="en-AU"/>
        </w:rPr>
        <w:t xml:space="preserve">. </w:t>
      </w:r>
      <w:r w:rsidRPr="084DF1A1">
        <w:rPr>
          <w:lang w:val="en-AU"/>
        </w:rPr>
        <w:t>This matrix will be used during annual reviews and strategic planning sessions.</w:t>
      </w:r>
    </w:p>
    <w:p w14:paraId="3E71452E" w14:textId="6BCCF741" w:rsidR="00902F90" w:rsidRDefault="00902F90" w:rsidP="00902F90">
      <w:pPr>
        <w:pStyle w:val="Caption"/>
        <w:keepNext/>
      </w:pPr>
      <w:r>
        <w:t>Table</w:t>
      </w:r>
      <w:r w:rsidR="008D4216">
        <w:t xml:space="preserve"> </w:t>
      </w:r>
      <w:r w:rsidR="00FC764C">
        <w:t>8</w:t>
      </w:r>
      <w:r>
        <w:t xml:space="preserve">: </w:t>
      </w:r>
      <w:r w:rsidRPr="0040746E">
        <w:t>Partner Investment Adjustment Matrix</w:t>
      </w:r>
    </w:p>
    <w:tbl>
      <w:tblPr>
        <w:tblStyle w:val="DFAT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783"/>
        <w:gridCol w:w="2389"/>
        <w:gridCol w:w="5003"/>
      </w:tblGrid>
      <w:tr w:rsidR="00902F90" w:rsidRPr="004F6801" w14:paraId="4695B475" w14:textId="77777777" w:rsidTr="00762CAC">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C1E7E0" w:themeFill="accent1" w:themeFillTint="66"/>
            <w:hideMark/>
          </w:tcPr>
          <w:p w14:paraId="1A77BC72" w14:textId="77777777" w:rsidR="00902F90" w:rsidRPr="00F666E3" w:rsidRDefault="00902F90">
            <w:pPr>
              <w:rPr>
                <w:rFonts w:asciiTheme="minorHAnsi" w:hAnsiTheme="minorHAnsi" w:cstheme="minorHAnsi"/>
                <w:b/>
                <w:bCs/>
                <w:color w:val="424242"/>
                <w:sz w:val="20"/>
                <w:szCs w:val="20"/>
                <w:lang w:val="en-AU"/>
              </w:rPr>
            </w:pPr>
            <w:r w:rsidRPr="00F666E3">
              <w:rPr>
                <w:rFonts w:ascii="Calibri Light" w:hAnsi="Calibri Light" w:cs="Calibri Light"/>
                <w:b/>
                <w:bCs/>
                <w:color w:val="36424B" w:themeColor="text2" w:themeShade="BF"/>
                <w:sz w:val="20"/>
                <w:szCs w:val="20"/>
              </w:rPr>
              <w:t>Performance Level</w:t>
            </w:r>
          </w:p>
        </w:tc>
        <w:tc>
          <w:tcPr>
            <w:tcW w:w="0" w:type="auto"/>
            <w:shd w:val="clear" w:color="auto" w:fill="C1E7E0" w:themeFill="accent1" w:themeFillTint="66"/>
            <w:hideMark/>
          </w:tcPr>
          <w:p w14:paraId="7E8526DE" w14:textId="58835E10" w:rsidR="00902F90" w:rsidRPr="00F666E3" w:rsidRDefault="00902F90">
            <w:pPr>
              <w:rPr>
                <w:rFonts w:asciiTheme="minorHAnsi" w:hAnsiTheme="minorHAnsi" w:cstheme="minorHAnsi"/>
                <w:b/>
                <w:bCs/>
                <w:color w:val="424242"/>
                <w:sz w:val="20"/>
                <w:szCs w:val="20"/>
                <w:lang w:val="en-AU"/>
              </w:rPr>
            </w:pPr>
            <w:r w:rsidRPr="00F666E3">
              <w:rPr>
                <w:rFonts w:ascii="Calibri Light" w:hAnsi="Calibri Light" w:cs="Calibri Light"/>
                <w:b/>
                <w:bCs/>
                <w:color w:val="36424B" w:themeColor="text2" w:themeShade="BF"/>
                <w:sz w:val="20"/>
                <w:szCs w:val="20"/>
              </w:rPr>
              <w:t>Risk Level</w:t>
            </w:r>
          </w:p>
        </w:tc>
        <w:tc>
          <w:tcPr>
            <w:tcW w:w="0" w:type="auto"/>
            <w:shd w:val="clear" w:color="auto" w:fill="C1E7E0" w:themeFill="accent1" w:themeFillTint="66"/>
            <w:hideMark/>
          </w:tcPr>
          <w:p w14:paraId="55312176" w14:textId="77777777" w:rsidR="00902F90" w:rsidRPr="00F666E3" w:rsidRDefault="00902F90">
            <w:pPr>
              <w:rPr>
                <w:rFonts w:asciiTheme="minorHAnsi" w:hAnsiTheme="minorHAnsi" w:cstheme="minorHAnsi"/>
                <w:b/>
                <w:bCs/>
                <w:color w:val="424242"/>
                <w:sz w:val="20"/>
                <w:szCs w:val="20"/>
                <w:lang w:val="en-AU"/>
              </w:rPr>
            </w:pPr>
            <w:r w:rsidRPr="00F666E3">
              <w:rPr>
                <w:rFonts w:ascii="Calibri Light" w:hAnsi="Calibri Light" w:cs="Calibri Light"/>
                <w:b/>
                <w:bCs/>
                <w:color w:val="36424B" w:themeColor="text2" w:themeShade="BF"/>
                <w:sz w:val="20"/>
                <w:szCs w:val="20"/>
              </w:rPr>
              <w:t>Recommended Action</w:t>
            </w:r>
          </w:p>
        </w:tc>
        <w:tc>
          <w:tcPr>
            <w:tcW w:w="0" w:type="auto"/>
            <w:shd w:val="clear" w:color="auto" w:fill="C1E7E0" w:themeFill="accent1" w:themeFillTint="66"/>
            <w:hideMark/>
          </w:tcPr>
          <w:p w14:paraId="58DD8DCC" w14:textId="77777777" w:rsidR="00902F90" w:rsidRPr="00F666E3" w:rsidRDefault="00902F90">
            <w:pPr>
              <w:rPr>
                <w:rFonts w:asciiTheme="minorHAnsi" w:hAnsiTheme="minorHAnsi" w:cstheme="minorHAnsi"/>
                <w:b/>
                <w:bCs/>
                <w:color w:val="424242"/>
                <w:sz w:val="20"/>
                <w:szCs w:val="20"/>
                <w:lang w:val="en-AU"/>
              </w:rPr>
            </w:pPr>
            <w:r w:rsidRPr="00F666E3">
              <w:rPr>
                <w:rFonts w:ascii="Calibri Light" w:hAnsi="Calibri Light" w:cs="Calibri Light"/>
                <w:b/>
                <w:bCs/>
                <w:color w:val="36424B" w:themeColor="text2" w:themeShade="BF"/>
                <w:sz w:val="20"/>
                <w:szCs w:val="20"/>
              </w:rPr>
              <w:t>Rationale</w:t>
            </w:r>
          </w:p>
        </w:tc>
      </w:tr>
      <w:tr w:rsidR="00902F90" w:rsidRPr="004F6801" w14:paraId="75E2379A" w14:textId="77777777" w:rsidTr="00762CAC">
        <w:tc>
          <w:tcPr>
            <w:tcW w:w="0" w:type="auto"/>
            <w:hideMark/>
          </w:tcPr>
          <w:p w14:paraId="7838D52D" w14:textId="7777777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High</w:t>
            </w:r>
          </w:p>
        </w:tc>
        <w:tc>
          <w:tcPr>
            <w:tcW w:w="0" w:type="auto"/>
            <w:hideMark/>
          </w:tcPr>
          <w:p w14:paraId="37571609" w14:textId="7777777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Low</w:t>
            </w:r>
          </w:p>
        </w:tc>
        <w:tc>
          <w:tcPr>
            <w:tcW w:w="0" w:type="auto"/>
            <w:hideMark/>
          </w:tcPr>
          <w:p w14:paraId="22F52652" w14:textId="7777777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Increase investment</w:t>
            </w:r>
          </w:p>
        </w:tc>
        <w:tc>
          <w:tcPr>
            <w:tcW w:w="0" w:type="auto"/>
            <w:hideMark/>
          </w:tcPr>
          <w:p w14:paraId="31CBE378" w14:textId="42BC729D"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Strong performance and stable context allow for scale</w:t>
            </w:r>
            <w:r w:rsidR="003D5AB7">
              <w:rPr>
                <w:rFonts w:ascii="Calibri Light" w:hAnsi="Calibri Light" w:cs="Calibri Light"/>
                <w:sz w:val="20"/>
                <w:szCs w:val="20"/>
              </w:rPr>
              <w:t xml:space="preserve"> </w:t>
            </w:r>
            <w:r w:rsidRPr="00F666E3">
              <w:rPr>
                <w:rFonts w:ascii="Calibri Light" w:hAnsi="Calibri Light" w:cs="Calibri Light"/>
                <w:sz w:val="20"/>
                <w:szCs w:val="20"/>
              </w:rPr>
              <w:t>up and deeper engagement</w:t>
            </w:r>
          </w:p>
        </w:tc>
      </w:tr>
      <w:tr w:rsidR="00902F90" w:rsidRPr="004F6801" w14:paraId="36D60C13" w14:textId="77777777" w:rsidTr="00762CAC">
        <w:tc>
          <w:tcPr>
            <w:tcW w:w="0" w:type="auto"/>
            <w:hideMark/>
          </w:tcPr>
          <w:p w14:paraId="027BF3F4" w14:textId="7777777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High</w:t>
            </w:r>
          </w:p>
        </w:tc>
        <w:tc>
          <w:tcPr>
            <w:tcW w:w="0" w:type="auto"/>
            <w:hideMark/>
          </w:tcPr>
          <w:p w14:paraId="684A856B" w14:textId="7777777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High</w:t>
            </w:r>
          </w:p>
        </w:tc>
        <w:tc>
          <w:tcPr>
            <w:tcW w:w="0" w:type="auto"/>
            <w:hideMark/>
          </w:tcPr>
          <w:p w14:paraId="0DED5968" w14:textId="7777777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Maintain or cautiously increase</w:t>
            </w:r>
          </w:p>
        </w:tc>
        <w:tc>
          <w:tcPr>
            <w:tcW w:w="0" w:type="auto"/>
            <w:hideMark/>
          </w:tcPr>
          <w:p w14:paraId="658B94BD" w14:textId="5285D2F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Performance is strong, but political volatility requires careful expansion</w:t>
            </w:r>
          </w:p>
        </w:tc>
      </w:tr>
      <w:tr w:rsidR="00902F90" w:rsidRPr="004F6801" w14:paraId="4809C913" w14:textId="77777777" w:rsidTr="00762CAC">
        <w:tc>
          <w:tcPr>
            <w:tcW w:w="0" w:type="auto"/>
            <w:hideMark/>
          </w:tcPr>
          <w:p w14:paraId="4C9A0094" w14:textId="7777777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Medium</w:t>
            </w:r>
          </w:p>
        </w:tc>
        <w:tc>
          <w:tcPr>
            <w:tcW w:w="0" w:type="auto"/>
            <w:hideMark/>
          </w:tcPr>
          <w:p w14:paraId="4B151923" w14:textId="7777777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Low</w:t>
            </w:r>
          </w:p>
        </w:tc>
        <w:tc>
          <w:tcPr>
            <w:tcW w:w="0" w:type="auto"/>
            <w:hideMark/>
          </w:tcPr>
          <w:p w14:paraId="037238B9" w14:textId="7777777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Maintain investment with targeted support</w:t>
            </w:r>
          </w:p>
        </w:tc>
        <w:tc>
          <w:tcPr>
            <w:tcW w:w="0" w:type="auto"/>
            <w:hideMark/>
          </w:tcPr>
          <w:p w14:paraId="4FF6BEFD" w14:textId="72FB3714"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Moderate performance can be improved with capacity building</w:t>
            </w:r>
          </w:p>
        </w:tc>
      </w:tr>
      <w:tr w:rsidR="00902F90" w:rsidRPr="004F6801" w14:paraId="137C619A" w14:textId="77777777" w:rsidTr="00762CAC">
        <w:tc>
          <w:tcPr>
            <w:tcW w:w="0" w:type="auto"/>
            <w:hideMark/>
          </w:tcPr>
          <w:p w14:paraId="3A73BD96" w14:textId="7777777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Medium</w:t>
            </w:r>
          </w:p>
        </w:tc>
        <w:tc>
          <w:tcPr>
            <w:tcW w:w="0" w:type="auto"/>
            <w:hideMark/>
          </w:tcPr>
          <w:p w14:paraId="053CFB9D" w14:textId="7777777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High</w:t>
            </w:r>
          </w:p>
        </w:tc>
        <w:tc>
          <w:tcPr>
            <w:tcW w:w="0" w:type="auto"/>
            <w:hideMark/>
          </w:tcPr>
          <w:p w14:paraId="0F8D5A87" w14:textId="7777777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Maintain with safeguards</w:t>
            </w:r>
          </w:p>
        </w:tc>
        <w:tc>
          <w:tcPr>
            <w:tcW w:w="0" w:type="auto"/>
            <w:hideMark/>
          </w:tcPr>
          <w:p w14:paraId="3CD6B221" w14:textId="2A7CE2F1"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Political risk may limit effectiveness; focus on resilience and risk mitigation</w:t>
            </w:r>
          </w:p>
        </w:tc>
      </w:tr>
      <w:tr w:rsidR="00902F90" w:rsidRPr="004F6801" w14:paraId="5C5A2988" w14:textId="77777777" w:rsidTr="00762CAC">
        <w:tc>
          <w:tcPr>
            <w:tcW w:w="0" w:type="auto"/>
            <w:hideMark/>
          </w:tcPr>
          <w:p w14:paraId="25B8FA9B" w14:textId="7777777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Low</w:t>
            </w:r>
          </w:p>
        </w:tc>
        <w:tc>
          <w:tcPr>
            <w:tcW w:w="0" w:type="auto"/>
            <w:hideMark/>
          </w:tcPr>
          <w:p w14:paraId="4472E5D9" w14:textId="7777777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Low</w:t>
            </w:r>
          </w:p>
        </w:tc>
        <w:tc>
          <w:tcPr>
            <w:tcW w:w="0" w:type="auto"/>
            <w:hideMark/>
          </w:tcPr>
          <w:p w14:paraId="06E891FF" w14:textId="7777777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Decrease or restructure</w:t>
            </w:r>
          </w:p>
        </w:tc>
        <w:tc>
          <w:tcPr>
            <w:tcW w:w="0" w:type="auto"/>
            <w:hideMark/>
          </w:tcPr>
          <w:p w14:paraId="2335A726" w14:textId="141B07F4"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Weak performance in a stable context suggests misalignment or capacity issues; consider redesign or new delivery partner</w:t>
            </w:r>
          </w:p>
        </w:tc>
      </w:tr>
      <w:tr w:rsidR="00902F90" w:rsidRPr="004F6801" w14:paraId="283FFB22" w14:textId="77777777" w:rsidTr="00762CAC">
        <w:tc>
          <w:tcPr>
            <w:tcW w:w="0" w:type="auto"/>
            <w:hideMark/>
          </w:tcPr>
          <w:p w14:paraId="09F82040" w14:textId="7777777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Low</w:t>
            </w:r>
          </w:p>
        </w:tc>
        <w:tc>
          <w:tcPr>
            <w:tcW w:w="0" w:type="auto"/>
            <w:hideMark/>
          </w:tcPr>
          <w:p w14:paraId="0EF9E290" w14:textId="7777777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High</w:t>
            </w:r>
          </w:p>
        </w:tc>
        <w:tc>
          <w:tcPr>
            <w:tcW w:w="0" w:type="auto"/>
            <w:hideMark/>
          </w:tcPr>
          <w:p w14:paraId="23756157" w14:textId="77777777"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Reassess engagement strategy</w:t>
            </w:r>
          </w:p>
        </w:tc>
        <w:tc>
          <w:tcPr>
            <w:tcW w:w="0" w:type="auto"/>
            <w:hideMark/>
          </w:tcPr>
          <w:p w14:paraId="692414D4" w14:textId="6C0CCB4B" w:rsidR="00902F90" w:rsidRPr="00F666E3" w:rsidRDefault="00902F90">
            <w:pPr>
              <w:rPr>
                <w:rFonts w:ascii="Calibri Light" w:hAnsi="Calibri Light" w:cs="Calibri Light"/>
                <w:sz w:val="20"/>
                <w:szCs w:val="20"/>
              </w:rPr>
            </w:pPr>
            <w:r w:rsidRPr="00F666E3">
              <w:rPr>
                <w:rFonts w:ascii="Calibri Light" w:hAnsi="Calibri Light" w:cs="Calibri Light"/>
                <w:sz w:val="20"/>
                <w:szCs w:val="20"/>
              </w:rPr>
              <w:t>High risk and low performance may require exit, redesign, or alternative modalities</w:t>
            </w:r>
          </w:p>
        </w:tc>
      </w:tr>
    </w:tbl>
    <w:p w14:paraId="39921354" w14:textId="77777777" w:rsidR="00902F90" w:rsidRPr="004F6801" w:rsidRDefault="00902F90" w:rsidP="00902F90">
      <w:pPr>
        <w:rPr>
          <w:lang w:val="en-AU"/>
        </w:rPr>
      </w:pPr>
      <w:r w:rsidRPr="004F6801">
        <w:rPr>
          <w:lang w:val="en-AU"/>
        </w:rPr>
        <w:t>This matrix will be applied using evidence from MEL tools such as:</w:t>
      </w:r>
    </w:p>
    <w:p w14:paraId="33FC5E66" w14:textId="41DFEA2B" w:rsidR="00902F90" w:rsidRPr="00795459" w:rsidRDefault="00902F90" w:rsidP="00504B06">
      <w:pPr>
        <w:pStyle w:val="ListParagraph"/>
        <w:numPr>
          <w:ilvl w:val="0"/>
          <w:numId w:val="49"/>
        </w:numPr>
        <w:rPr>
          <w:lang w:val="en-AU"/>
        </w:rPr>
      </w:pPr>
      <w:r w:rsidRPr="00795459">
        <w:rPr>
          <w:lang w:val="en-AU"/>
        </w:rPr>
        <w:t>Partner self-assessments and capacity logs</w:t>
      </w:r>
    </w:p>
    <w:p w14:paraId="73BE4392" w14:textId="38FC84DD" w:rsidR="00902F90" w:rsidRPr="00795459" w:rsidRDefault="00182098" w:rsidP="00504B06">
      <w:pPr>
        <w:pStyle w:val="ListParagraph"/>
        <w:numPr>
          <w:ilvl w:val="0"/>
          <w:numId w:val="49"/>
        </w:numPr>
        <w:rPr>
          <w:lang w:val="en-AU"/>
        </w:rPr>
      </w:pPr>
      <w:r>
        <w:rPr>
          <w:lang w:val="en-AU"/>
        </w:rPr>
        <w:t>Democracy context monitoring tool</w:t>
      </w:r>
      <w:r w:rsidR="00902F90" w:rsidRPr="00795459">
        <w:rPr>
          <w:lang w:val="en-AU"/>
        </w:rPr>
        <w:t xml:space="preserve"> and risk </w:t>
      </w:r>
      <w:r w:rsidR="002E1D77">
        <w:rPr>
          <w:lang w:val="en-AU"/>
        </w:rPr>
        <w:t>review</w:t>
      </w:r>
      <w:r w:rsidR="00902F90" w:rsidRPr="00795459">
        <w:rPr>
          <w:lang w:val="en-AU"/>
        </w:rPr>
        <w:t xml:space="preserve"> sessions</w:t>
      </w:r>
    </w:p>
    <w:p w14:paraId="6533340B" w14:textId="69C59CB7" w:rsidR="00902F90" w:rsidRPr="00795459" w:rsidRDefault="00902F90" w:rsidP="00504B06">
      <w:pPr>
        <w:pStyle w:val="ListParagraph"/>
        <w:numPr>
          <w:ilvl w:val="0"/>
          <w:numId w:val="49"/>
        </w:numPr>
        <w:rPr>
          <w:lang w:val="en-AU"/>
        </w:rPr>
      </w:pPr>
      <w:r w:rsidRPr="00795459">
        <w:rPr>
          <w:lang w:val="en-AU"/>
        </w:rPr>
        <w:t>Outcome harvesting and stakeholder feedback</w:t>
      </w:r>
    </w:p>
    <w:p w14:paraId="78607B82" w14:textId="77777777" w:rsidR="00902F90" w:rsidRPr="00795459" w:rsidRDefault="00902F90" w:rsidP="00504B06">
      <w:pPr>
        <w:pStyle w:val="ListParagraph"/>
        <w:numPr>
          <w:ilvl w:val="0"/>
          <w:numId w:val="49"/>
        </w:numPr>
        <w:rPr>
          <w:lang w:val="en-AU"/>
        </w:rPr>
      </w:pPr>
      <w:r w:rsidRPr="00795459">
        <w:rPr>
          <w:lang w:val="en-AU"/>
        </w:rPr>
        <w:t>GEDSI and inclusion metrics.</w:t>
      </w:r>
    </w:p>
    <w:p w14:paraId="286F318D" w14:textId="77777777" w:rsidR="00902F90" w:rsidRPr="004F6801" w:rsidRDefault="00902F90" w:rsidP="00902F90">
      <w:pPr>
        <w:rPr>
          <w:lang w:val="en-AU"/>
        </w:rPr>
      </w:pPr>
      <w:r w:rsidRPr="004F6801">
        <w:rPr>
          <w:lang w:val="en-AU"/>
        </w:rPr>
        <w:t>This structured approach enables DFAT to make transparent, evidence-informed</w:t>
      </w:r>
      <w:r>
        <w:rPr>
          <w:lang w:val="en-AU"/>
        </w:rPr>
        <w:t xml:space="preserve"> investment</w:t>
      </w:r>
      <w:r w:rsidRPr="004F6801">
        <w:rPr>
          <w:lang w:val="en-AU"/>
        </w:rPr>
        <w:t xml:space="preserve"> decisions that balance program effectiveness with political feasibility and risk management.</w:t>
      </w:r>
    </w:p>
    <w:p w14:paraId="4CCCA37F" w14:textId="5D19FA43" w:rsidR="00902F90" w:rsidRPr="00D1372A" w:rsidRDefault="00902F90" w:rsidP="00500EA6">
      <w:pPr>
        <w:pStyle w:val="Heading3"/>
        <w:spacing w:before="240"/>
      </w:pPr>
      <w:r w:rsidRPr="00D1372A">
        <w:t>MEL Meeting</w:t>
      </w:r>
      <w:r w:rsidR="00374E78">
        <w:t>s</w:t>
      </w:r>
      <w:r w:rsidRPr="00D1372A">
        <w:t xml:space="preserve"> </w:t>
      </w:r>
    </w:p>
    <w:p w14:paraId="61A91E98" w14:textId="5C2E3CB2" w:rsidR="00902F90" w:rsidRPr="00D1372A" w:rsidRDefault="00902F90" w:rsidP="00902F90">
      <w:r w:rsidRPr="00D1372A">
        <w:t>To ensure consistency</w:t>
      </w:r>
      <w:r w:rsidR="009424C9">
        <w:t xml:space="preserve">, </w:t>
      </w:r>
      <w:r w:rsidRPr="00D1372A">
        <w:t>strategic alignment</w:t>
      </w:r>
      <w:r w:rsidR="009424C9" w:rsidRPr="009424C9">
        <w:t xml:space="preserve">, and timely decision-making across the program, MEL meetings will follow a structured cadence that integrates monitoring, learning, and adaptive management. This approach ensures that data collection, analysis, and reflection occur at regular intervals, enabling partners to respond to emerging risks, refine strategies, and maintain coherence with DFAT reporting cycles and program milestones. The sequencing of these meetings draws on </w:t>
      </w:r>
      <w:r w:rsidR="00866B55">
        <w:t xml:space="preserve">lessons </w:t>
      </w:r>
      <w:r w:rsidR="009424C9" w:rsidRPr="009424C9">
        <w:t xml:space="preserve">best practices from </w:t>
      </w:r>
      <w:proofErr w:type="spellStart"/>
      <w:r w:rsidR="009424C9" w:rsidRPr="009424C9">
        <w:t>DemRes</w:t>
      </w:r>
      <w:proofErr w:type="spellEnd"/>
      <w:r w:rsidR="009424C9" w:rsidRPr="009424C9">
        <w:t xml:space="preserve"> </w:t>
      </w:r>
      <w:r w:rsidR="00866B55">
        <w:t>and other DFAT programs</w:t>
      </w:r>
      <w:r w:rsidR="009424C9" w:rsidRPr="009424C9">
        <w:t>, emphasi</w:t>
      </w:r>
      <w:r w:rsidR="009424C9">
        <w:t>s</w:t>
      </w:r>
      <w:r w:rsidR="009424C9" w:rsidRPr="009424C9">
        <w:t>ing responsiveness, collaboration, and evidence-based learning.</w:t>
      </w:r>
    </w:p>
    <w:p w14:paraId="300796CB" w14:textId="11D13B29" w:rsidR="00902F90" w:rsidRDefault="00902F90" w:rsidP="00902F90">
      <w:pPr>
        <w:pStyle w:val="Caption"/>
        <w:keepNext/>
      </w:pPr>
      <w:r>
        <w:lastRenderedPageBreak/>
        <w:t>Table</w:t>
      </w:r>
      <w:r w:rsidR="008D4216">
        <w:t xml:space="preserve"> </w:t>
      </w:r>
      <w:r w:rsidR="00FC764C">
        <w:t>9</w:t>
      </w:r>
      <w:r>
        <w:t xml:space="preserve">: </w:t>
      </w:r>
      <w:r w:rsidRPr="00A40094">
        <w:t xml:space="preserve">MEL </w:t>
      </w:r>
      <w:r w:rsidR="00374E78">
        <w:t>Deliverables and Meeting Schedule</w:t>
      </w:r>
    </w:p>
    <w:tbl>
      <w:tblPr>
        <w:tblStyle w:val="DFAT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76"/>
        <w:gridCol w:w="5380"/>
      </w:tblGrid>
      <w:tr w:rsidR="00902F90" w:rsidRPr="00F666E3" w14:paraId="1F21466F" w14:textId="77777777" w:rsidTr="00E378CE">
        <w:trPr>
          <w:cnfStyle w:val="100000000000" w:firstRow="1" w:lastRow="0" w:firstColumn="0" w:lastColumn="0" w:oddVBand="0" w:evenVBand="0" w:oddHBand="0" w:evenHBand="0" w:firstRowFirstColumn="0" w:firstRowLastColumn="0" w:lastRowFirstColumn="0" w:lastRowLastColumn="0"/>
          <w:tblHeader/>
        </w:trPr>
        <w:tc>
          <w:tcPr>
            <w:tcW w:w="2972" w:type="dxa"/>
            <w:shd w:val="clear" w:color="auto" w:fill="C1E7E0" w:themeFill="accent1" w:themeFillTint="66"/>
            <w:hideMark/>
          </w:tcPr>
          <w:p w14:paraId="2E30C0F7" w14:textId="77777777" w:rsidR="00902F90" w:rsidRPr="00F666E3" w:rsidRDefault="00902F90">
            <w:pPr>
              <w:spacing w:before="0" w:line="276" w:lineRule="auto"/>
              <w:rPr>
                <w:rFonts w:asciiTheme="minorHAnsi" w:hAnsiTheme="minorHAnsi" w:cstheme="minorHAnsi"/>
                <w:b/>
                <w:color w:val="36424B" w:themeColor="text2" w:themeShade="BF"/>
                <w:sz w:val="20"/>
                <w:szCs w:val="20"/>
              </w:rPr>
            </w:pPr>
            <w:r w:rsidRPr="00F666E3">
              <w:rPr>
                <w:rFonts w:asciiTheme="minorHAnsi" w:hAnsiTheme="minorHAnsi" w:cstheme="minorHAnsi"/>
                <w:b/>
                <w:color w:val="36424B" w:themeColor="text2" w:themeShade="BF"/>
                <w:sz w:val="20"/>
                <w:szCs w:val="20"/>
              </w:rPr>
              <w:t>Meeting Type</w:t>
            </w:r>
          </w:p>
        </w:tc>
        <w:tc>
          <w:tcPr>
            <w:tcW w:w="1276" w:type="dxa"/>
            <w:shd w:val="clear" w:color="auto" w:fill="C1E7E0" w:themeFill="accent1" w:themeFillTint="66"/>
            <w:hideMark/>
          </w:tcPr>
          <w:p w14:paraId="1F6787B1" w14:textId="77777777" w:rsidR="00902F90" w:rsidRPr="00F666E3" w:rsidRDefault="00902F90">
            <w:pPr>
              <w:spacing w:before="0" w:line="276" w:lineRule="auto"/>
              <w:rPr>
                <w:rFonts w:asciiTheme="minorHAnsi" w:hAnsiTheme="minorHAnsi" w:cstheme="minorHAnsi"/>
                <w:b/>
                <w:color w:val="36424B" w:themeColor="text2" w:themeShade="BF"/>
                <w:sz w:val="20"/>
                <w:szCs w:val="20"/>
              </w:rPr>
            </w:pPr>
            <w:r w:rsidRPr="00F666E3">
              <w:rPr>
                <w:rFonts w:asciiTheme="minorHAnsi" w:hAnsiTheme="minorHAnsi" w:cstheme="minorHAnsi"/>
                <w:b/>
                <w:color w:val="36424B" w:themeColor="text2" w:themeShade="BF"/>
                <w:sz w:val="20"/>
                <w:szCs w:val="20"/>
              </w:rPr>
              <w:t>Frequency</w:t>
            </w:r>
          </w:p>
        </w:tc>
        <w:tc>
          <w:tcPr>
            <w:tcW w:w="5380" w:type="dxa"/>
            <w:shd w:val="clear" w:color="auto" w:fill="C1E7E0" w:themeFill="accent1" w:themeFillTint="66"/>
            <w:hideMark/>
          </w:tcPr>
          <w:p w14:paraId="61CD6179" w14:textId="77777777" w:rsidR="00902F90" w:rsidRPr="00F666E3" w:rsidRDefault="00902F90">
            <w:pPr>
              <w:spacing w:before="0" w:line="276" w:lineRule="auto"/>
              <w:rPr>
                <w:rFonts w:asciiTheme="minorHAnsi" w:hAnsiTheme="minorHAnsi" w:cstheme="minorHAnsi"/>
                <w:b/>
                <w:color w:val="36424B" w:themeColor="text2" w:themeShade="BF"/>
                <w:sz w:val="20"/>
                <w:szCs w:val="20"/>
              </w:rPr>
            </w:pPr>
            <w:r w:rsidRPr="00F666E3">
              <w:rPr>
                <w:rFonts w:asciiTheme="minorHAnsi" w:hAnsiTheme="minorHAnsi" w:cstheme="minorHAnsi"/>
                <w:b/>
                <w:color w:val="36424B" w:themeColor="text2" w:themeShade="BF"/>
                <w:sz w:val="20"/>
                <w:szCs w:val="20"/>
              </w:rPr>
              <w:t>Purpose</w:t>
            </w:r>
          </w:p>
        </w:tc>
      </w:tr>
      <w:tr w:rsidR="00902F90" w:rsidRPr="00F666E3" w14:paraId="3E26DE67" w14:textId="77777777" w:rsidTr="002575E5">
        <w:tc>
          <w:tcPr>
            <w:tcW w:w="2972" w:type="dxa"/>
            <w:vAlign w:val="center"/>
          </w:tcPr>
          <w:p w14:paraId="5A97E43E" w14:textId="764E97F4" w:rsidR="00902F90" w:rsidRPr="00F666E3" w:rsidRDefault="00BC521F">
            <w:pPr>
              <w:spacing w:before="0" w:line="276" w:lineRule="auto"/>
              <w:rPr>
                <w:rFonts w:asciiTheme="minorHAnsi" w:hAnsiTheme="minorHAnsi" w:cstheme="minorHAnsi"/>
                <w:sz w:val="20"/>
                <w:szCs w:val="20"/>
              </w:rPr>
            </w:pPr>
            <w:r>
              <w:rPr>
                <w:rFonts w:asciiTheme="minorHAnsi" w:hAnsiTheme="minorHAnsi" w:cstheme="minorHAnsi"/>
                <w:sz w:val="20"/>
                <w:szCs w:val="20"/>
              </w:rPr>
              <w:t xml:space="preserve">Detailed </w:t>
            </w:r>
            <w:r w:rsidR="00902F90" w:rsidRPr="00F666E3">
              <w:rPr>
                <w:rFonts w:asciiTheme="minorHAnsi" w:hAnsiTheme="minorHAnsi" w:cstheme="minorHAnsi"/>
                <w:sz w:val="20"/>
                <w:szCs w:val="20"/>
              </w:rPr>
              <w:t>MEL Framework updated and finalised</w:t>
            </w:r>
          </w:p>
        </w:tc>
        <w:tc>
          <w:tcPr>
            <w:tcW w:w="1276" w:type="dxa"/>
            <w:vAlign w:val="center"/>
          </w:tcPr>
          <w:p w14:paraId="101C0926" w14:textId="61D07A29"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 xml:space="preserve">First </w:t>
            </w:r>
            <w:r w:rsidR="00300E50">
              <w:rPr>
                <w:rFonts w:asciiTheme="minorHAnsi" w:hAnsiTheme="minorHAnsi" w:cstheme="minorHAnsi"/>
                <w:sz w:val="20"/>
                <w:szCs w:val="20"/>
              </w:rPr>
              <w:t>6</w:t>
            </w:r>
            <w:r w:rsidR="00300E50" w:rsidRPr="00F666E3">
              <w:rPr>
                <w:rFonts w:asciiTheme="minorHAnsi" w:hAnsiTheme="minorHAnsi" w:cstheme="minorHAnsi"/>
                <w:sz w:val="20"/>
                <w:szCs w:val="20"/>
              </w:rPr>
              <w:t xml:space="preserve"> </w:t>
            </w:r>
            <w:r w:rsidRPr="00F666E3">
              <w:rPr>
                <w:rFonts w:asciiTheme="minorHAnsi" w:hAnsiTheme="minorHAnsi" w:cstheme="minorHAnsi"/>
                <w:sz w:val="20"/>
                <w:szCs w:val="20"/>
              </w:rPr>
              <w:t>months</w:t>
            </w:r>
          </w:p>
        </w:tc>
        <w:tc>
          <w:tcPr>
            <w:tcW w:w="5380" w:type="dxa"/>
            <w:vAlign w:val="center"/>
          </w:tcPr>
          <w:p w14:paraId="1E97BC7E" w14:textId="1C693701"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 xml:space="preserve">Establish agreed indicators, protocols, </w:t>
            </w:r>
            <w:r w:rsidR="00A90403">
              <w:rPr>
                <w:rFonts w:asciiTheme="minorHAnsi" w:hAnsiTheme="minorHAnsi" w:cstheme="minorHAnsi"/>
                <w:sz w:val="20"/>
                <w:szCs w:val="20"/>
              </w:rPr>
              <w:t xml:space="preserve">roles, tools </w:t>
            </w:r>
            <w:r w:rsidRPr="00F666E3">
              <w:rPr>
                <w:rFonts w:asciiTheme="minorHAnsi" w:hAnsiTheme="minorHAnsi" w:cstheme="minorHAnsi"/>
                <w:sz w:val="20"/>
                <w:szCs w:val="20"/>
              </w:rPr>
              <w:t>and learning pathways</w:t>
            </w:r>
          </w:p>
        </w:tc>
      </w:tr>
      <w:tr w:rsidR="00902F90" w:rsidRPr="00F666E3" w14:paraId="4ED5DBCC" w14:textId="77777777" w:rsidTr="002575E5">
        <w:tc>
          <w:tcPr>
            <w:tcW w:w="2972" w:type="dxa"/>
            <w:vAlign w:val="center"/>
          </w:tcPr>
          <w:p w14:paraId="742EEAD5" w14:textId="77777777"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MIS operational and baseline data established</w:t>
            </w:r>
          </w:p>
        </w:tc>
        <w:tc>
          <w:tcPr>
            <w:tcW w:w="1276" w:type="dxa"/>
            <w:vAlign w:val="center"/>
          </w:tcPr>
          <w:p w14:paraId="46F3F047" w14:textId="77777777"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By Month 12</w:t>
            </w:r>
          </w:p>
        </w:tc>
        <w:tc>
          <w:tcPr>
            <w:tcW w:w="5380" w:type="dxa"/>
            <w:vAlign w:val="center"/>
          </w:tcPr>
          <w:p w14:paraId="1755BA39" w14:textId="0B6FE2A1"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Enable real-time data capture, aggregation, and partner dashboards</w:t>
            </w:r>
          </w:p>
        </w:tc>
      </w:tr>
      <w:tr w:rsidR="00902F90" w:rsidRPr="00F666E3" w14:paraId="3BC07CA6" w14:textId="77777777" w:rsidTr="002575E5">
        <w:tc>
          <w:tcPr>
            <w:tcW w:w="2972" w:type="dxa"/>
          </w:tcPr>
          <w:p w14:paraId="230CB704" w14:textId="77777777" w:rsidR="00902F90" w:rsidRPr="00F666E3" w:rsidRDefault="00902F90">
            <w:pPr>
              <w:spacing w:before="0" w:line="276" w:lineRule="auto"/>
              <w:rPr>
                <w:rFonts w:asciiTheme="minorHAnsi" w:hAnsiTheme="minorHAnsi" w:cstheme="minorHAnsi"/>
                <w:b/>
                <w:bCs/>
                <w:sz w:val="20"/>
                <w:szCs w:val="20"/>
              </w:rPr>
            </w:pPr>
            <w:r w:rsidRPr="00F666E3">
              <w:rPr>
                <w:rFonts w:asciiTheme="minorHAnsi" w:hAnsiTheme="minorHAnsi" w:cstheme="minorHAnsi"/>
                <w:sz w:val="20"/>
                <w:szCs w:val="20"/>
              </w:rPr>
              <w:t>MEL Clinics</w:t>
            </w:r>
          </w:p>
        </w:tc>
        <w:tc>
          <w:tcPr>
            <w:tcW w:w="1276" w:type="dxa"/>
          </w:tcPr>
          <w:p w14:paraId="39D5E4C7" w14:textId="77777777" w:rsidR="00902F90" w:rsidRPr="00F666E3" w:rsidRDefault="00902F90">
            <w:pPr>
              <w:spacing w:before="0" w:line="276" w:lineRule="auto"/>
              <w:rPr>
                <w:rFonts w:asciiTheme="minorHAnsi" w:hAnsiTheme="minorHAnsi" w:cstheme="minorHAnsi"/>
                <w:b/>
                <w:bCs/>
                <w:sz w:val="20"/>
                <w:szCs w:val="20"/>
              </w:rPr>
            </w:pPr>
            <w:r w:rsidRPr="00F666E3">
              <w:rPr>
                <w:rFonts w:asciiTheme="minorHAnsi" w:hAnsiTheme="minorHAnsi" w:cstheme="minorHAnsi"/>
                <w:sz w:val="20"/>
                <w:szCs w:val="20"/>
              </w:rPr>
              <w:t>Quarterly</w:t>
            </w:r>
          </w:p>
        </w:tc>
        <w:tc>
          <w:tcPr>
            <w:tcW w:w="5380" w:type="dxa"/>
          </w:tcPr>
          <w:p w14:paraId="5DB67557" w14:textId="22CA8091"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Technical support, tool refinement, and thematic deep dives</w:t>
            </w:r>
          </w:p>
        </w:tc>
      </w:tr>
      <w:tr w:rsidR="00902F90" w:rsidRPr="00F666E3" w14:paraId="24FFE9F5" w14:textId="77777777" w:rsidTr="002575E5">
        <w:tc>
          <w:tcPr>
            <w:tcW w:w="2972" w:type="dxa"/>
          </w:tcPr>
          <w:p w14:paraId="627AB150" w14:textId="77777777" w:rsidR="00902F90" w:rsidRPr="00F666E3" w:rsidRDefault="00902F90">
            <w:pPr>
              <w:spacing w:before="0" w:line="276" w:lineRule="auto"/>
              <w:rPr>
                <w:rFonts w:asciiTheme="minorHAnsi" w:hAnsiTheme="minorHAnsi" w:cstheme="minorHAnsi"/>
                <w:b/>
                <w:bCs/>
                <w:sz w:val="20"/>
                <w:szCs w:val="20"/>
              </w:rPr>
            </w:pPr>
            <w:r w:rsidRPr="00F666E3">
              <w:rPr>
                <w:rFonts w:asciiTheme="minorHAnsi" w:hAnsiTheme="minorHAnsi" w:cstheme="minorHAnsi"/>
                <w:sz w:val="20"/>
                <w:szCs w:val="20"/>
              </w:rPr>
              <w:t>Partner Reflection Notes</w:t>
            </w:r>
          </w:p>
        </w:tc>
        <w:tc>
          <w:tcPr>
            <w:tcW w:w="1276" w:type="dxa"/>
          </w:tcPr>
          <w:p w14:paraId="17F12F12" w14:textId="77777777" w:rsidR="00902F90" w:rsidRPr="00F666E3" w:rsidRDefault="00902F90">
            <w:pPr>
              <w:spacing w:before="0" w:line="276" w:lineRule="auto"/>
              <w:rPr>
                <w:rFonts w:asciiTheme="minorHAnsi" w:hAnsiTheme="minorHAnsi" w:cstheme="minorHAnsi"/>
                <w:b/>
                <w:bCs/>
                <w:sz w:val="20"/>
                <w:szCs w:val="20"/>
              </w:rPr>
            </w:pPr>
            <w:r w:rsidRPr="00F666E3">
              <w:rPr>
                <w:rFonts w:asciiTheme="minorHAnsi" w:hAnsiTheme="minorHAnsi" w:cstheme="minorHAnsi"/>
                <w:sz w:val="20"/>
                <w:szCs w:val="20"/>
              </w:rPr>
              <w:t>Quarterly</w:t>
            </w:r>
          </w:p>
        </w:tc>
        <w:tc>
          <w:tcPr>
            <w:tcW w:w="5380" w:type="dxa"/>
          </w:tcPr>
          <w:p w14:paraId="1AA77353" w14:textId="4DB3011C"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Capture real-time learning and challenges</w:t>
            </w:r>
          </w:p>
        </w:tc>
      </w:tr>
      <w:tr w:rsidR="00902F90" w:rsidRPr="00F666E3" w14:paraId="5D6C0DE5" w14:textId="77777777" w:rsidTr="002575E5">
        <w:tc>
          <w:tcPr>
            <w:tcW w:w="2972" w:type="dxa"/>
          </w:tcPr>
          <w:p w14:paraId="08BF1554" w14:textId="6626F4F9"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 xml:space="preserve">Democracy </w:t>
            </w:r>
            <w:r w:rsidR="00CB7724">
              <w:rPr>
                <w:rFonts w:asciiTheme="minorHAnsi" w:hAnsiTheme="minorHAnsi" w:cstheme="minorHAnsi"/>
                <w:sz w:val="20"/>
                <w:szCs w:val="20"/>
              </w:rPr>
              <w:t>context monitoring tool</w:t>
            </w:r>
            <w:r w:rsidR="00CB7724" w:rsidRPr="00F666E3">
              <w:rPr>
                <w:rFonts w:asciiTheme="minorHAnsi" w:hAnsiTheme="minorHAnsi" w:cstheme="minorHAnsi"/>
                <w:sz w:val="20"/>
                <w:szCs w:val="20"/>
              </w:rPr>
              <w:t xml:space="preserve"> </w:t>
            </w:r>
            <w:r w:rsidR="00007450">
              <w:rPr>
                <w:rFonts w:asciiTheme="minorHAnsi" w:hAnsiTheme="minorHAnsi" w:cstheme="minorHAnsi"/>
                <w:sz w:val="20"/>
                <w:szCs w:val="20"/>
              </w:rPr>
              <w:t xml:space="preserve">(MEL Hub) </w:t>
            </w:r>
            <w:r w:rsidRPr="00F666E3">
              <w:rPr>
                <w:rFonts w:asciiTheme="minorHAnsi" w:hAnsiTheme="minorHAnsi" w:cstheme="minorHAnsi"/>
                <w:sz w:val="20"/>
                <w:szCs w:val="20"/>
              </w:rPr>
              <w:t>/ Political Economy Analysis updates</w:t>
            </w:r>
            <w:r w:rsidR="00007450">
              <w:rPr>
                <w:rFonts w:asciiTheme="minorHAnsi" w:hAnsiTheme="minorHAnsi" w:cstheme="minorHAnsi"/>
                <w:sz w:val="20"/>
                <w:szCs w:val="20"/>
              </w:rPr>
              <w:t xml:space="preserve"> (Convenor)</w:t>
            </w:r>
          </w:p>
        </w:tc>
        <w:tc>
          <w:tcPr>
            <w:tcW w:w="1276" w:type="dxa"/>
          </w:tcPr>
          <w:p w14:paraId="25A1E945" w14:textId="0214707D" w:rsidR="00902F90" w:rsidRPr="00F666E3" w:rsidRDefault="00300E50">
            <w:pPr>
              <w:spacing w:before="0" w:line="276" w:lineRule="auto"/>
              <w:rPr>
                <w:rFonts w:asciiTheme="minorHAnsi" w:hAnsiTheme="minorHAnsi" w:cstheme="minorHAnsi"/>
                <w:sz w:val="20"/>
                <w:szCs w:val="20"/>
              </w:rPr>
            </w:pPr>
            <w:r>
              <w:rPr>
                <w:rFonts w:asciiTheme="minorHAnsi" w:hAnsiTheme="minorHAnsi" w:cstheme="minorHAnsi"/>
                <w:sz w:val="20"/>
                <w:szCs w:val="20"/>
              </w:rPr>
              <w:t>6</w:t>
            </w:r>
            <w:r w:rsidR="00902F90" w:rsidRPr="00F666E3">
              <w:rPr>
                <w:rFonts w:asciiTheme="minorHAnsi" w:hAnsiTheme="minorHAnsi" w:cstheme="minorHAnsi"/>
                <w:sz w:val="20"/>
                <w:szCs w:val="20"/>
              </w:rPr>
              <w:t>-monthly</w:t>
            </w:r>
          </w:p>
        </w:tc>
        <w:tc>
          <w:tcPr>
            <w:tcW w:w="5380" w:type="dxa"/>
          </w:tcPr>
          <w:p w14:paraId="4F7EC6EB" w14:textId="673E5F1E"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Monitor political economy context and implications for delivery</w:t>
            </w:r>
          </w:p>
          <w:p w14:paraId="4DA210D1" w14:textId="5ED3FAD5"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Provide recommendations on program strategy that</w:t>
            </w:r>
            <w:r w:rsidR="00E73A4B">
              <w:rPr>
                <w:rFonts w:asciiTheme="minorHAnsi" w:hAnsiTheme="minorHAnsi" w:cstheme="minorHAnsi"/>
                <w:sz w:val="20"/>
                <w:szCs w:val="20"/>
              </w:rPr>
              <w:t xml:space="preserve"> </w:t>
            </w:r>
            <w:r w:rsidRPr="00F666E3">
              <w:rPr>
                <w:rFonts w:asciiTheme="minorHAnsi" w:hAnsiTheme="minorHAnsi" w:cstheme="minorHAnsi"/>
                <w:sz w:val="20"/>
                <w:szCs w:val="20"/>
              </w:rPr>
              <w:t>incorporate political, economic, and conflict</w:t>
            </w:r>
            <w:r w:rsidR="00B00E78">
              <w:rPr>
                <w:rFonts w:asciiTheme="minorHAnsi" w:hAnsiTheme="minorHAnsi" w:cstheme="minorHAnsi"/>
                <w:sz w:val="20"/>
                <w:szCs w:val="20"/>
              </w:rPr>
              <w:t>-</w:t>
            </w:r>
            <w:r w:rsidRPr="00F666E3">
              <w:rPr>
                <w:rFonts w:asciiTheme="minorHAnsi" w:hAnsiTheme="minorHAnsi" w:cstheme="minorHAnsi"/>
                <w:sz w:val="20"/>
                <w:szCs w:val="20"/>
              </w:rPr>
              <w:t>sensitivity dimensions</w:t>
            </w:r>
          </w:p>
        </w:tc>
      </w:tr>
      <w:tr w:rsidR="00902F90" w:rsidRPr="00F666E3" w14:paraId="56544D02" w14:textId="77777777" w:rsidTr="002575E5">
        <w:tc>
          <w:tcPr>
            <w:tcW w:w="2972" w:type="dxa"/>
          </w:tcPr>
          <w:p w14:paraId="155E0095" w14:textId="1E7824F3"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Monitoring and reflection cycles</w:t>
            </w:r>
            <w:r w:rsidR="00891A5A">
              <w:rPr>
                <w:rFonts w:asciiTheme="minorHAnsi" w:hAnsiTheme="minorHAnsi" w:cstheme="minorHAnsi"/>
                <w:sz w:val="20"/>
                <w:szCs w:val="20"/>
              </w:rPr>
              <w:t>, including the joint six-monthly reflection workshop</w:t>
            </w:r>
          </w:p>
        </w:tc>
        <w:tc>
          <w:tcPr>
            <w:tcW w:w="1276" w:type="dxa"/>
          </w:tcPr>
          <w:p w14:paraId="5249074E" w14:textId="65C41D81" w:rsidR="00902F90" w:rsidRPr="00F666E3" w:rsidRDefault="00300E50">
            <w:pPr>
              <w:spacing w:before="0" w:line="276" w:lineRule="auto"/>
              <w:rPr>
                <w:rFonts w:asciiTheme="minorHAnsi" w:hAnsiTheme="minorHAnsi" w:cstheme="minorHAnsi"/>
                <w:sz w:val="20"/>
                <w:szCs w:val="20"/>
              </w:rPr>
            </w:pPr>
            <w:r>
              <w:rPr>
                <w:rFonts w:asciiTheme="minorHAnsi" w:hAnsiTheme="minorHAnsi" w:cstheme="minorHAnsi"/>
                <w:sz w:val="20"/>
                <w:szCs w:val="20"/>
              </w:rPr>
              <w:t>6</w:t>
            </w:r>
            <w:r w:rsidR="00902F90" w:rsidRPr="00F666E3">
              <w:rPr>
                <w:rFonts w:asciiTheme="minorHAnsi" w:hAnsiTheme="minorHAnsi" w:cstheme="minorHAnsi"/>
                <w:sz w:val="20"/>
                <w:szCs w:val="20"/>
              </w:rPr>
              <w:t>-monthly</w:t>
            </w:r>
          </w:p>
        </w:tc>
        <w:tc>
          <w:tcPr>
            <w:tcW w:w="5380" w:type="dxa"/>
          </w:tcPr>
          <w:p w14:paraId="56AA177F" w14:textId="323956D8"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Partner-level learning, real-time decision-making, adaptive management managed by each spoke</w:t>
            </w:r>
            <w:r w:rsidR="00891A5A">
              <w:rPr>
                <w:rFonts w:asciiTheme="minorHAnsi" w:hAnsiTheme="minorHAnsi" w:cstheme="minorHAnsi"/>
                <w:sz w:val="20"/>
                <w:szCs w:val="20"/>
              </w:rPr>
              <w:t xml:space="preserve">. </w:t>
            </w:r>
            <w:r w:rsidR="00891A5A" w:rsidRPr="00F666E3">
              <w:rPr>
                <w:rFonts w:asciiTheme="minorHAnsi" w:hAnsiTheme="minorHAnsi" w:cstheme="minorHAnsi"/>
                <w:sz w:val="20"/>
                <w:szCs w:val="20"/>
              </w:rPr>
              <w:t>Strategic review, scenario planning, and cross-program synthesis, facilitated by MEL Hub</w:t>
            </w:r>
          </w:p>
        </w:tc>
      </w:tr>
      <w:tr w:rsidR="00902F90" w:rsidRPr="00F666E3" w14:paraId="6B70694A" w14:textId="77777777" w:rsidTr="002575E5">
        <w:tc>
          <w:tcPr>
            <w:tcW w:w="2972" w:type="dxa"/>
          </w:tcPr>
          <w:p w14:paraId="05CE5853" w14:textId="7F90D27D"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TA</w:t>
            </w:r>
            <w:r w:rsidR="00F162B1">
              <w:rPr>
                <w:rFonts w:asciiTheme="minorHAnsi" w:hAnsiTheme="minorHAnsi" w:cstheme="minorHAnsi"/>
                <w:sz w:val="20"/>
                <w:szCs w:val="20"/>
              </w:rPr>
              <w:t>P</w:t>
            </w:r>
            <w:r w:rsidRPr="00F666E3">
              <w:rPr>
                <w:rFonts w:asciiTheme="minorHAnsi" w:hAnsiTheme="minorHAnsi" w:cstheme="minorHAnsi"/>
                <w:sz w:val="20"/>
                <w:szCs w:val="20"/>
              </w:rPr>
              <w:t xml:space="preserve"> </w:t>
            </w:r>
            <w:r w:rsidR="00007450">
              <w:rPr>
                <w:rFonts w:asciiTheme="minorHAnsi" w:hAnsiTheme="minorHAnsi" w:cstheme="minorHAnsi"/>
                <w:sz w:val="20"/>
                <w:szCs w:val="20"/>
              </w:rPr>
              <w:t>c</w:t>
            </w:r>
            <w:r w:rsidRPr="00F666E3">
              <w:rPr>
                <w:rFonts w:asciiTheme="minorHAnsi" w:hAnsiTheme="minorHAnsi" w:cstheme="minorHAnsi"/>
                <w:sz w:val="20"/>
                <w:szCs w:val="20"/>
              </w:rPr>
              <w:t>onsultations</w:t>
            </w:r>
            <w:r w:rsidR="00007450">
              <w:rPr>
                <w:rFonts w:asciiTheme="minorHAnsi" w:hAnsiTheme="minorHAnsi" w:cstheme="minorHAnsi"/>
                <w:sz w:val="20"/>
                <w:szCs w:val="20"/>
              </w:rPr>
              <w:t xml:space="preserve"> as needed</w:t>
            </w:r>
          </w:p>
        </w:tc>
        <w:tc>
          <w:tcPr>
            <w:tcW w:w="1276" w:type="dxa"/>
          </w:tcPr>
          <w:p w14:paraId="581F0DEA" w14:textId="77777777"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Annually</w:t>
            </w:r>
          </w:p>
        </w:tc>
        <w:tc>
          <w:tcPr>
            <w:tcW w:w="5380" w:type="dxa"/>
          </w:tcPr>
          <w:p w14:paraId="3A65B8D4" w14:textId="1590E122"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Review MEL strategy, ethical safeguards, and innovation uptake</w:t>
            </w:r>
          </w:p>
        </w:tc>
      </w:tr>
      <w:tr w:rsidR="00902F90" w:rsidRPr="00F666E3" w14:paraId="26659898" w14:textId="77777777" w:rsidTr="002575E5">
        <w:tc>
          <w:tcPr>
            <w:tcW w:w="2972" w:type="dxa"/>
            <w:hideMark/>
          </w:tcPr>
          <w:p w14:paraId="528438A3" w14:textId="77777777"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Outcome Harvesting</w:t>
            </w:r>
          </w:p>
        </w:tc>
        <w:tc>
          <w:tcPr>
            <w:tcW w:w="1276" w:type="dxa"/>
            <w:hideMark/>
          </w:tcPr>
          <w:p w14:paraId="357DAFB0" w14:textId="77777777"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Biannually</w:t>
            </w:r>
          </w:p>
        </w:tc>
        <w:tc>
          <w:tcPr>
            <w:tcW w:w="5380" w:type="dxa"/>
            <w:hideMark/>
          </w:tcPr>
          <w:p w14:paraId="31C9D10C" w14:textId="7219A526"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Identify significant changes and unintended outcomes</w:t>
            </w:r>
          </w:p>
        </w:tc>
      </w:tr>
      <w:tr w:rsidR="00902F90" w:rsidRPr="00F666E3" w14:paraId="7C9792E6" w14:textId="77777777" w:rsidTr="002575E5">
        <w:tc>
          <w:tcPr>
            <w:tcW w:w="2972" w:type="dxa"/>
            <w:vAlign w:val="center"/>
          </w:tcPr>
          <w:p w14:paraId="229BD3E4" w14:textId="6C2691DC"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End-of-phase review (independent</w:t>
            </w:r>
            <w:r w:rsidR="00E978D4">
              <w:rPr>
                <w:rFonts w:asciiTheme="minorHAnsi" w:hAnsiTheme="minorHAnsi" w:cstheme="minorHAnsi"/>
                <w:sz w:val="20"/>
                <w:szCs w:val="20"/>
              </w:rPr>
              <w:t>, commissioned by DFAT</w:t>
            </w:r>
            <w:r w:rsidRPr="00F666E3">
              <w:rPr>
                <w:rFonts w:asciiTheme="minorHAnsi" w:hAnsiTheme="minorHAnsi" w:cstheme="minorHAnsi"/>
                <w:sz w:val="20"/>
                <w:szCs w:val="20"/>
              </w:rPr>
              <w:t>)</w:t>
            </w:r>
          </w:p>
        </w:tc>
        <w:tc>
          <w:tcPr>
            <w:tcW w:w="1276" w:type="dxa"/>
            <w:vAlign w:val="center"/>
          </w:tcPr>
          <w:p w14:paraId="4F1C8F0B" w14:textId="77777777"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Year 4</w:t>
            </w:r>
          </w:p>
        </w:tc>
        <w:tc>
          <w:tcPr>
            <w:tcW w:w="5380" w:type="dxa"/>
            <w:vAlign w:val="center"/>
          </w:tcPr>
          <w:p w14:paraId="15A88233" w14:textId="5CE18DCD" w:rsidR="00902F90" w:rsidRPr="00F666E3" w:rsidRDefault="00902F90">
            <w:pPr>
              <w:spacing w:before="0" w:line="276" w:lineRule="auto"/>
              <w:rPr>
                <w:rFonts w:asciiTheme="minorHAnsi" w:hAnsiTheme="minorHAnsi" w:cstheme="minorHAnsi"/>
                <w:sz w:val="20"/>
                <w:szCs w:val="20"/>
              </w:rPr>
            </w:pPr>
            <w:r w:rsidRPr="00F666E3">
              <w:rPr>
                <w:rFonts w:asciiTheme="minorHAnsi" w:hAnsiTheme="minorHAnsi" w:cstheme="minorHAnsi"/>
                <w:sz w:val="20"/>
                <w:szCs w:val="20"/>
              </w:rPr>
              <w:t>External validation of outcomes, lessons, and sustainability</w:t>
            </w:r>
          </w:p>
        </w:tc>
      </w:tr>
    </w:tbl>
    <w:p w14:paraId="43122870" w14:textId="77777777" w:rsidR="002575E5" w:rsidRDefault="00902F90" w:rsidP="002575E5">
      <w:r w:rsidRPr="00D1372A">
        <w:t xml:space="preserve">These meetings will be </w:t>
      </w:r>
      <w:r w:rsidR="009424C9">
        <w:t xml:space="preserve">further </w:t>
      </w:r>
      <w:r w:rsidRPr="00D1372A">
        <w:t xml:space="preserve">sequenced to align with broader governance arrangements, including DFAT reporting cycles and program planning milestones. </w:t>
      </w:r>
    </w:p>
    <w:p w14:paraId="14DA7900" w14:textId="73A95AED" w:rsidR="00D666B7" w:rsidRPr="0029253F" w:rsidRDefault="00D666B7" w:rsidP="002575E5">
      <w:pPr>
        <w:pStyle w:val="Heading5"/>
      </w:pPr>
      <w:r w:rsidRPr="0029253F">
        <w:t xml:space="preserve">Learning </w:t>
      </w:r>
      <w:r>
        <w:t>Mechanisms</w:t>
      </w:r>
    </w:p>
    <w:p w14:paraId="1C60B01F" w14:textId="77777777" w:rsidR="00D666B7" w:rsidRPr="008F6D6E" w:rsidRDefault="00D666B7" w:rsidP="00D666B7">
      <w:pPr>
        <w:rPr>
          <w:lang w:val="en-AU"/>
        </w:rPr>
      </w:pPr>
      <w:r w:rsidRPr="008F6D6E">
        <w:rPr>
          <w:lang w:val="en-AU"/>
        </w:rPr>
        <w:t xml:space="preserve">Learning is a central function of </w:t>
      </w:r>
      <w:proofErr w:type="spellStart"/>
      <w:r w:rsidRPr="00D84A7F">
        <w:rPr>
          <w:iCs/>
          <w:lang w:val="en-AU"/>
        </w:rPr>
        <w:t>Partisipasi’s</w:t>
      </w:r>
      <w:proofErr w:type="spellEnd"/>
      <w:r w:rsidRPr="008F6D6E">
        <w:rPr>
          <w:lang w:val="en-AU"/>
        </w:rPr>
        <w:t xml:space="preserve"> MEL system and is essential for political responsiveness, inclusion, sustainability, and </w:t>
      </w:r>
      <w:r w:rsidRPr="00BB5BB3">
        <w:rPr>
          <w:lang w:val="en-AU"/>
        </w:rPr>
        <w:t>programmatic relevance. Learning will be embedded across all levels</w:t>
      </w:r>
      <w:r>
        <w:rPr>
          <w:lang w:val="en-AU"/>
        </w:rPr>
        <w:t xml:space="preserve"> (</w:t>
      </w:r>
      <w:r w:rsidRPr="00BB5BB3">
        <w:rPr>
          <w:lang w:val="en-AU"/>
        </w:rPr>
        <w:t>program, partner, and sub-partner</w:t>
      </w:r>
      <w:r>
        <w:rPr>
          <w:lang w:val="en-AU"/>
        </w:rPr>
        <w:t xml:space="preserve">) </w:t>
      </w:r>
      <w:r w:rsidRPr="00BB5BB3">
        <w:rPr>
          <w:lang w:val="en-AU"/>
        </w:rPr>
        <w:t>using a Hub-and-Spoke model. The</w:t>
      </w:r>
      <w:r w:rsidRPr="008F6D6E">
        <w:rPr>
          <w:lang w:val="en-AU"/>
        </w:rPr>
        <w:t xml:space="preserve"> MEL Hub will serve as the central facilitator and knowledge integrator, while MEL personnel within implementing partners (</w:t>
      </w:r>
      <w:r>
        <w:rPr>
          <w:lang w:val="en-AU"/>
        </w:rPr>
        <w:t>‘s</w:t>
      </w:r>
      <w:r w:rsidRPr="008F6D6E">
        <w:rPr>
          <w:lang w:val="en-AU"/>
        </w:rPr>
        <w:t>pokes</w:t>
      </w:r>
      <w:r>
        <w:rPr>
          <w:lang w:val="en-AU"/>
        </w:rPr>
        <w:t>’</w:t>
      </w:r>
      <w:r w:rsidRPr="008F6D6E">
        <w:rPr>
          <w:lang w:val="en-AU"/>
        </w:rPr>
        <w:t>) will lead on learning at their operational level.</w:t>
      </w:r>
    </w:p>
    <w:p w14:paraId="445154CD" w14:textId="77777777" w:rsidR="00D666B7" w:rsidRPr="00BB5BB3" w:rsidRDefault="00D666B7" w:rsidP="00D666B7">
      <w:pPr>
        <w:rPr>
          <w:lang w:val="en-AU"/>
        </w:rPr>
      </w:pPr>
      <w:r w:rsidRPr="008F6D6E">
        <w:rPr>
          <w:lang w:val="en-AU"/>
        </w:rPr>
        <w:t xml:space="preserve">The </w:t>
      </w:r>
      <w:r w:rsidRPr="00BB5BB3">
        <w:rPr>
          <w:lang w:val="en-AU"/>
        </w:rPr>
        <w:t>approach will prioritise:</w:t>
      </w:r>
    </w:p>
    <w:p w14:paraId="7F2F1782" w14:textId="77777777" w:rsidR="00D666B7" w:rsidRPr="00952630" w:rsidRDefault="00D666B7" w:rsidP="00504B06">
      <w:pPr>
        <w:pStyle w:val="ListParagraph"/>
        <w:numPr>
          <w:ilvl w:val="0"/>
          <w:numId w:val="55"/>
        </w:numPr>
        <w:rPr>
          <w:lang w:val="en-AU"/>
        </w:rPr>
      </w:pPr>
      <w:r w:rsidRPr="00952630">
        <w:rPr>
          <w:lang w:val="en-AU"/>
        </w:rPr>
        <w:t>Local leadership in reflection, especially from partners in politically sensitive or subnational contexts.</w:t>
      </w:r>
    </w:p>
    <w:p w14:paraId="4CA5CAAA" w14:textId="77777777" w:rsidR="00D666B7" w:rsidRPr="00952630" w:rsidRDefault="00D666B7" w:rsidP="00504B06">
      <w:pPr>
        <w:pStyle w:val="ListParagraph"/>
        <w:numPr>
          <w:ilvl w:val="0"/>
          <w:numId w:val="55"/>
        </w:numPr>
        <w:rPr>
          <w:lang w:val="en-AU"/>
        </w:rPr>
      </w:pPr>
      <w:r w:rsidRPr="00952630">
        <w:rPr>
          <w:lang w:val="en-AU"/>
        </w:rPr>
        <w:t>Timely, adaptive learning tied to real-world political windows.</w:t>
      </w:r>
    </w:p>
    <w:p w14:paraId="34E4631C" w14:textId="77777777" w:rsidR="002575E5" w:rsidRDefault="00D666B7" w:rsidP="00504B06">
      <w:pPr>
        <w:pStyle w:val="ListParagraph"/>
        <w:numPr>
          <w:ilvl w:val="0"/>
          <w:numId w:val="55"/>
        </w:numPr>
        <w:rPr>
          <w:lang w:val="en-AU"/>
        </w:rPr>
      </w:pPr>
      <w:r w:rsidRPr="00952630">
        <w:rPr>
          <w:lang w:val="en-AU"/>
        </w:rPr>
        <w:t>Inclusive methods that elevate diverse voices, including youth, women, and grassroots partners.</w:t>
      </w:r>
    </w:p>
    <w:p w14:paraId="3850E30D" w14:textId="270639CE" w:rsidR="002575E5" w:rsidRDefault="00D666B7" w:rsidP="00504B06">
      <w:pPr>
        <w:pStyle w:val="ListParagraph"/>
        <w:numPr>
          <w:ilvl w:val="0"/>
          <w:numId w:val="55"/>
        </w:numPr>
        <w:rPr>
          <w:lang w:val="en-AU"/>
        </w:rPr>
      </w:pPr>
      <w:r w:rsidRPr="002575E5">
        <w:rPr>
          <w:lang w:val="en-AU"/>
        </w:rPr>
        <w:t>Cross-program learning loops, ensuring that successful approaches in one region or stream are shared across others.</w:t>
      </w:r>
    </w:p>
    <w:p w14:paraId="7A72101E" w14:textId="77777777" w:rsidR="002575E5" w:rsidRPr="002575E5" w:rsidRDefault="002575E5" w:rsidP="002575E5">
      <w:pPr>
        <w:rPr>
          <w:lang w:val="en-AU"/>
        </w:rPr>
      </w:pPr>
    </w:p>
    <w:p w14:paraId="2059FFB3" w14:textId="70D8B601" w:rsidR="00D666B7" w:rsidRDefault="00D666B7" w:rsidP="00D666B7">
      <w:pPr>
        <w:pStyle w:val="Caption"/>
        <w:keepNext/>
      </w:pPr>
      <w:r>
        <w:lastRenderedPageBreak/>
        <w:t>Table</w:t>
      </w:r>
      <w:r w:rsidR="008D4216">
        <w:t xml:space="preserve"> </w:t>
      </w:r>
      <w:r w:rsidR="00FC764C">
        <w:t>10</w:t>
      </w:r>
      <w:r>
        <w:t xml:space="preserve">: </w:t>
      </w:r>
      <w:r w:rsidRPr="00091768">
        <w:t>Learning Mechanisms</w:t>
      </w:r>
    </w:p>
    <w:tbl>
      <w:tblPr>
        <w:tblStyle w:val="DFAT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2857"/>
        <w:gridCol w:w="5056"/>
      </w:tblGrid>
      <w:tr w:rsidR="00D666B7" w:rsidRPr="006C3AC6" w14:paraId="168F7A17" w14:textId="77777777">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C1E7E0" w:themeFill="accent1" w:themeFillTint="66"/>
            <w:hideMark/>
          </w:tcPr>
          <w:p w14:paraId="37B32C0D" w14:textId="77777777" w:rsidR="00D666B7" w:rsidRPr="006C3AC6" w:rsidRDefault="00D666B7">
            <w:pPr>
              <w:pStyle w:val="BodyTextHanging"/>
              <w:rPr>
                <w:rFonts w:asciiTheme="minorHAnsi" w:hAnsiTheme="minorHAnsi" w:cstheme="minorHAnsi"/>
                <w:b/>
                <w:bCs/>
                <w:color w:val="262626" w:themeColor="text1" w:themeTint="D9"/>
                <w:sz w:val="20"/>
                <w:szCs w:val="20"/>
                <w:lang w:val="en-AU"/>
              </w:rPr>
            </w:pPr>
            <w:r w:rsidRPr="006C3AC6">
              <w:rPr>
                <w:rFonts w:asciiTheme="minorHAnsi" w:hAnsiTheme="minorHAnsi" w:cstheme="minorHAnsi"/>
                <w:b/>
                <w:bCs/>
                <w:color w:val="262626" w:themeColor="text1" w:themeTint="D9"/>
                <w:sz w:val="20"/>
                <w:szCs w:val="20"/>
                <w:lang w:val="en-AU"/>
              </w:rPr>
              <w:t>Learning Mechanism</w:t>
            </w:r>
          </w:p>
        </w:tc>
        <w:tc>
          <w:tcPr>
            <w:tcW w:w="0" w:type="auto"/>
            <w:shd w:val="clear" w:color="auto" w:fill="C1E7E0" w:themeFill="accent1" w:themeFillTint="66"/>
            <w:hideMark/>
          </w:tcPr>
          <w:p w14:paraId="6FADC723" w14:textId="77777777" w:rsidR="00D666B7" w:rsidRPr="006C3AC6" w:rsidRDefault="00D666B7">
            <w:pPr>
              <w:pStyle w:val="BodyTextHanging"/>
              <w:rPr>
                <w:rFonts w:asciiTheme="minorHAnsi" w:hAnsiTheme="minorHAnsi" w:cstheme="minorHAnsi"/>
                <w:b/>
                <w:bCs/>
                <w:color w:val="262626" w:themeColor="text1" w:themeTint="D9"/>
                <w:sz w:val="20"/>
                <w:szCs w:val="20"/>
                <w:lang w:val="en-AU"/>
              </w:rPr>
            </w:pPr>
            <w:r w:rsidRPr="006C3AC6">
              <w:rPr>
                <w:rFonts w:asciiTheme="minorHAnsi" w:hAnsiTheme="minorHAnsi" w:cstheme="minorHAnsi"/>
                <w:b/>
                <w:bCs/>
                <w:color w:val="262626" w:themeColor="text1" w:themeTint="D9"/>
                <w:sz w:val="20"/>
                <w:szCs w:val="20"/>
                <w:lang w:val="en-AU"/>
              </w:rPr>
              <w:t>Purpose</w:t>
            </w:r>
          </w:p>
        </w:tc>
        <w:tc>
          <w:tcPr>
            <w:tcW w:w="0" w:type="auto"/>
            <w:shd w:val="clear" w:color="auto" w:fill="C1E7E0" w:themeFill="accent1" w:themeFillTint="66"/>
            <w:hideMark/>
          </w:tcPr>
          <w:p w14:paraId="78BD7070" w14:textId="77777777" w:rsidR="00D666B7" w:rsidRPr="006C3AC6" w:rsidRDefault="00D666B7">
            <w:pPr>
              <w:pStyle w:val="BodyTextHanging"/>
              <w:rPr>
                <w:rFonts w:asciiTheme="minorHAnsi" w:hAnsiTheme="minorHAnsi" w:cstheme="minorHAnsi"/>
                <w:b/>
                <w:bCs/>
                <w:color w:val="262626" w:themeColor="text1" w:themeTint="D9"/>
                <w:sz w:val="20"/>
                <w:szCs w:val="20"/>
                <w:lang w:val="en-AU"/>
              </w:rPr>
            </w:pPr>
            <w:r w:rsidRPr="006C3AC6">
              <w:rPr>
                <w:rFonts w:asciiTheme="minorHAnsi" w:hAnsiTheme="minorHAnsi" w:cstheme="minorHAnsi"/>
                <w:b/>
                <w:bCs/>
                <w:color w:val="262626" w:themeColor="text1" w:themeTint="D9"/>
                <w:sz w:val="20"/>
                <w:szCs w:val="20"/>
                <w:lang w:val="en-AU"/>
              </w:rPr>
              <w:t>Example Modalities</w:t>
            </w:r>
          </w:p>
        </w:tc>
      </w:tr>
      <w:tr w:rsidR="00D666B7" w:rsidRPr="006C3AC6" w14:paraId="6DA7D42F" w14:textId="77777777">
        <w:tc>
          <w:tcPr>
            <w:tcW w:w="0" w:type="auto"/>
            <w:hideMark/>
          </w:tcPr>
          <w:p w14:paraId="194B9282"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
                <w:bCs/>
                <w:color w:val="595959" w:themeColor="text1" w:themeTint="A6"/>
                <w:sz w:val="20"/>
                <w:szCs w:val="20"/>
                <w:lang w:val="en-AU"/>
              </w:rPr>
              <w:t>Annual Learning Workshops</w:t>
            </w:r>
          </w:p>
        </w:tc>
        <w:tc>
          <w:tcPr>
            <w:tcW w:w="0" w:type="auto"/>
            <w:hideMark/>
          </w:tcPr>
          <w:p w14:paraId="03404A04"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 xml:space="preserve">Joint review of progress, political context, and recalibration of strategies. </w:t>
            </w:r>
          </w:p>
          <w:p w14:paraId="54642530"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Program-wide review of what’s working, what’s emerging, and what’s shifting.</w:t>
            </w:r>
          </w:p>
        </w:tc>
        <w:tc>
          <w:tcPr>
            <w:tcW w:w="0" w:type="auto"/>
            <w:hideMark/>
          </w:tcPr>
          <w:p w14:paraId="20F382F3"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National or regional workshops led by the MEL Hub and convening organisation, combining data analysis with scenario planning, stakeholder mapping, and IO deep dives.</w:t>
            </w:r>
          </w:p>
          <w:p w14:paraId="38F36CF5"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 xml:space="preserve">The MEL Hub produces a synthesis (written </w:t>
            </w:r>
            <w:r>
              <w:rPr>
                <w:rFonts w:asciiTheme="minorHAnsi" w:hAnsiTheme="minorHAnsi" w:cstheme="minorHAnsi"/>
                <w:bCs/>
                <w:color w:val="595959" w:themeColor="text1" w:themeTint="A6"/>
                <w:sz w:val="20"/>
                <w:szCs w:val="20"/>
                <w:lang w:val="en-AU"/>
              </w:rPr>
              <w:t>and</w:t>
            </w:r>
            <w:r w:rsidRPr="006C3AC6">
              <w:rPr>
                <w:rFonts w:asciiTheme="minorHAnsi" w:hAnsiTheme="minorHAnsi" w:cstheme="minorHAnsi"/>
                <w:bCs/>
                <w:color w:val="595959" w:themeColor="text1" w:themeTint="A6"/>
                <w:sz w:val="20"/>
                <w:szCs w:val="20"/>
                <w:lang w:val="en-AU"/>
              </w:rPr>
              <w:t xml:space="preserve"> visual) drawing on all learning sources. Includes summary briefs, trend analysis, and ‘What to Watch’ priorities.</w:t>
            </w:r>
          </w:p>
        </w:tc>
      </w:tr>
      <w:tr w:rsidR="00D666B7" w:rsidRPr="006C3AC6" w14:paraId="7A4FE533" w14:textId="77777777">
        <w:tc>
          <w:tcPr>
            <w:tcW w:w="0" w:type="auto"/>
            <w:hideMark/>
          </w:tcPr>
          <w:p w14:paraId="5A83FF77"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
                <w:bCs/>
                <w:color w:val="595959" w:themeColor="text1" w:themeTint="A6"/>
                <w:sz w:val="20"/>
                <w:szCs w:val="20"/>
                <w:lang w:val="en-AU"/>
              </w:rPr>
              <w:t>MEL Clinics (</w:t>
            </w:r>
            <w:r>
              <w:rPr>
                <w:rFonts w:asciiTheme="minorHAnsi" w:hAnsiTheme="minorHAnsi" w:cstheme="minorHAnsi"/>
                <w:b/>
                <w:bCs/>
                <w:color w:val="595959" w:themeColor="text1" w:themeTint="A6"/>
                <w:sz w:val="20"/>
                <w:szCs w:val="20"/>
                <w:lang w:val="en-AU"/>
              </w:rPr>
              <w:t>6-</w:t>
            </w:r>
            <w:r w:rsidRPr="006C3AC6">
              <w:rPr>
                <w:rFonts w:asciiTheme="minorHAnsi" w:hAnsiTheme="minorHAnsi" w:cstheme="minorHAnsi"/>
                <w:b/>
                <w:bCs/>
                <w:color w:val="595959" w:themeColor="text1" w:themeTint="A6"/>
                <w:sz w:val="20"/>
                <w:szCs w:val="20"/>
                <w:lang w:val="en-AU"/>
              </w:rPr>
              <w:t>monthly)</w:t>
            </w:r>
          </w:p>
        </w:tc>
        <w:tc>
          <w:tcPr>
            <w:tcW w:w="0" w:type="auto"/>
            <w:hideMark/>
          </w:tcPr>
          <w:p w14:paraId="14EC63C1"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Thematic deep dives to unpack complex or high-priority issues.</w:t>
            </w:r>
          </w:p>
        </w:tc>
        <w:tc>
          <w:tcPr>
            <w:tcW w:w="0" w:type="auto"/>
            <w:hideMark/>
          </w:tcPr>
          <w:p w14:paraId="4BBBAFB1"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Rolling clinics co-hosted by the Convenor (e.g. on youth disillusionment or coalition fragmentation). Use fishbowl dialogues or ‘case walkthroughs’ with evidence.</w:t>
            </w:r>
          </w:p>
        </w:tc>
      </w:tr>
      <w:tr w:rsidR="00D666B7" w:rsidRPr="006C3AC6" w14:paraId="2C10D075" w14:textId="77777777">
        <w:tc>
          <w:tcPr>
            <w:tcW w:w="0" w:type="auto"/>
            <w:hideMark/>
          </w:tcPr>
          <w:p w14:paraId="6618D5CD"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
                <w:bCs/>
                <w:color w:val="595959" w:themeColor="text1" w:themeTint="A6"/>
                <w:sz w:val="20"/>
                <w:szCs w:val="20"/>
                <w:lang w:val="en-AU"/>
              </w:rPr>
              <w:t>Partner Reflection Notes (quarterly)</w:t>
            </w:r>
          </w:p>
        </w:tc>
        <w:tc>
          <w:tcPr>
            <w:tcW w:w="0" w:type="auto"/>
            <w:hideMark/>
          </w:tcPr>
          <w:p w14:paraId="61CF1879"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Synthesised narrative insights from implementing partners and sub-partners.</w:t>
            </w:r>
          </w:p>
        </w:tc>
        <w:tc>
          <w:tcPr>
            <w:tcW w:w="0" w:type="auto"/>
            <w:hideMark/>
          </w:tcPr>
          <w:p w14:paraId="60EAD596"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Templates provided by the MEL Hub to partners to capture key learnings quarterly. May be written, audio-recorded, or submitted via mobile app for grassroots orgs.</w:t>
            </w:r>
          </w:p>
        </w:tc>
      </w:tr>
      <w:tr w:rsidR="00D666B7" w:rsidRPr="006C3AC6" w14:paraId="7F7E17AA" w14:textId="77777777">
        <w:tc>
          <w:tcPr>
            <w:tcW w:w="0" w:type="auto"/>
            <w:hideMark/>
          </w:tcPr>
          <w:p w14:paraId="1C19E0BD"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
                <w:bCs/>
                <w:color w:val="595959" w:themeColor="text1" w:themeTint="A6"/>
                <w:sz w:val="20"/>
                <w:szCs w:val="20"/>
                <w:lang w:val="en-AU"/>
              </w:rPr>
              <w:t>Story Circles &amp; Digital Diaries</w:t>
            </w:r>
          </w:p>
        </w:tc>
        <w:tc>
          <w:tcPr>
            <w:tcW w:w="0" w:type="auto"/>
            <w:hideMark/>
          </w:tcPr>
          <w:p w14:paraId="27CF6A09"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Collect qualitative outcomes from subnational, youth, or marginalised partners.</w:t>
            </w:r>
          </w:p>
        </w:tc>
        <w:tc>
          <w:tcPr>
            <w:tcW w:w="0" w:type="auto"/>
            <w:hideMark/>
          </w:tcPr>
          <w:p w14:paraId="5B2397A9"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Facilitated storytelling circles (in-person or virtual), or short digital diaries submitted by sub-partners describing change and reflection in their own voice.</w:t>
            </w:r>
          </w:p>
        </w:tc>
      </w:tr>
      <w:tr w:rsidR="00D666B7" w:rsidRPr="006C3AC6" w14:paraId="067679B3" w14:textId="77777777">
        <w:tc>
          <w:tcPr>
            <w:tcW w:w="0" w:type="auto"/>
            <w:hideMark/>
          </w:tcPr>
          <w:p w14:paraId="235EDCD4"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
                <w:bCs/>
                <w:color w:val="595959" w:themeColor="text1" w:themeTint="A6"/>
                <w:sz w:val="20"/>
                <w:szCs w:val="20"/>
                <w:lang w:val="en-AU"/>
              </w:rPr>
              <w:t>Outcome Harvesting Workshops</w:t>
            </w:r>
          </w:p>
        </w:tc>
        <w:tc>
          <w:tcPr>
            <w:tcW w:w="0" w:type="auto"/>
            <w:hideMark/>
          </w:tcPr>
          <w:p w14:paraId="094A8577"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Identify unintended outcomes and areas of significant change.</w:t>
            </w:r>
          </w:p>
        </w:tc>
        <w:tc>
          <w:tcPr>
            <w:tcW w:w="0" w:type="auto"/>
            <w:hideMark/>
          </w:tcPr>
          <w:p w14:paraId="0AEECE8C"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Co-led by the MEL Hub and relevant spokes</w:t>
            </w:r>
            <w:r>
              <w:rPr>
                <w:rFonts w:asciiTheme="minorHAnsi" w:hAnsiTheme="minorHAnsi" w:cstheme="minorHAnsi"/>
                <w:bCs/>
                <w:color w:val="595959" w:themeColor="text1" w:themeTint="A6"/>
                <w:sz w:val="20"/>
                <w:szCs w:val="20"/>
                <w:lang w:val="en-AU"/>
              </w:rPr>
              <w:t>,</w:t>
            </w:r>
            <w:r w:rsidRPr="006C3AC6">
              <w:rPr>
                <w:rFonts w:asciiTheme="minorHAnsi" w:hAnsiTheme="minorHAnsi" w:cstheme="minorHAnsi"/>
                <w:bCs/>
                <w:color w:val="595959" w:themeColor="text1" w:themeTint="A6"/>
                <w:sz w:val="20"/>
                <w:szCs w:val="20"/>
                <w:lang w:val="en-AU"/>
              </w:rPr>
              <w:t xml:space="preserve"> convened with program teams and sub-partners to harvest changes, using outcome cards, timelines, and ripple mapping.</w:t>
            </w:r>
          </w:p>
        </w:tc>
      </w:tr>
      <w:tr w:rsidR="00D666B7" w:rsidRPr="006C3AC6" w14:paraId="2EDD7C83" w14:textId="77777777">
        <w:tc>
          <w:tcPr>
            <w:tcW w:w="0" w:type="auto"/>
            <w:hideMark/>
          </w:tcPr>
          <w:p w14:paraId="0A277B48"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
                <w:bCs/>
                <w:color w:val="595959" w:themeColor="text1" w:themeTint="A6"/>
                <w:sz w:val="20"/>
                <w:szCs w:val="20"/>
                <w:lang w:val="en-AU"/>
              </w:rPr>
              <w:t>Political ‘After Action Reviews’</w:t>
            </w:r>
          </w:p>
        </w:tc>
        <w:tc>
          <w:tcPr>
            <w:tcW w:w="0" w:type="auto"/>
            <w:hideMark/>
          </w:tcPr>
          <w:p w14:paraId="27B135ED" w14:textId="77777777" w:rsidR="00D666B7" w:rsidRPr="006C3AC6" w:rsidRDefault="00D666B7">
            <w:pPr>
              <w:pStyle w:val="BodyTextHanging"/>
              <w:rPr>
                <w:rFonts w:asciiTheme="minorHAnsi" w:hAnsiTheme="minorHAnsi"/>
                <w:color w:val="595959" w:themeColor="text1" w:themeTint="A6"/>
                <w:sz w:val="20"/>
                <w:szCs w:val="20"/>
                <w:lang w:val="en-AU"/>
              </w:rPr>
            </w:pPr>
            <w:r w:rsidRPr="3CA69FB3">
              <w:rPr>
                <w:rFonts w:asciiTheme="minorHAnsi" w:hAnsiTheme="minorHAnsi"/>
                <w:color w:val="595959" w:themeColor="text1" w:themeTint="A6"/>
                <w:sz w:val="20"/>
                <w:szCs w:val="20"/>
                <w:lang w:val="en-AU"/>
              </w:rPr>
              <w:t>Real-time debriefs after sensitive activities.</w:t>
            </w:r>
          </w:p>
        </w:tc>
        <w:tc>
          <w:tcPr>
            <w:tcW w:w="0" w:type="auto"/>
            <w:hideMark/>
          </w:tcPr>
          <w:p w14:paraId="546E847C"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E.g. after a contested election or polarising campaign, spokes conduct facilitated reflection with frontline actors to document adaptive strategies and insights.</w:t>
            </w:r>
          </w:p>
        </w:tc>
      </w:tr>
      <w:tr w:rsidR="00D666B7" w:rsidRPr="006C3AC6" w14:paraId="669B2E38" w14:textId="77777777">
        <w:tc>
          <w:tcPr>
            <w:tcW w:w="0" w:type="auto"/>
            <w:hideMark/>
          </w:tcPr>
          <w:p w14:paraId="01FE83E9"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
                <w:bCs/>
                <w:color w:val="595959" w:themeColor="text1" w:themeTint="A6"/>
                <w:sz w:val="20"/>
                <w:szCs w:val="20"/>
                <w:lang w:val="en-AU"/>
              </w:rPr>
              <w:t>Learning Spotlights</w:t>
            </w:r>
          </w:p>
        </w:tc>
        <w:tc>
          <w:tcPr>
            <w:tcW w:w="0" w:type="auto"/>
            <w:hideMark/>
          </w:tcPr>
          <w:p w14:paraId="1C173EB7"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Highlight scalable practices, tools or innovations for cross-program uptake.</w:t>
            </w:r>
          </w:p>
        </w:tc>
        <w:tc>
          <w:tcPr>
            <w:tcW w:w="0" w:type="auto"/>
            <w:hideMark/>
          </w:tcPr>
          <w:p w14:paraId="42CDA762" w14:textId="77777777" w:rsidR="00D666B7" w:rsidRPr="006C3AC6" w:rsidRDefault="00D666B7">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 xml:space="preserve">‘Spotlight Series’ of one-pagers, blogs, or mini-webinars led by spokes, curated by the </w:t>
            </w:r>
            <w:r>
              <w:rPr>
                <w:rFonts w:asciiTheme="minorHAnsi" w:hAnsiTheme="minorHAnsi" w:cstheme="minorHAnsi"/>
                <w:bCs/>
                <w:color w:val="595959" w:themeColor="text1" w:themeTint="A6"/>
                <w:sz w:val="20"/>
                <w:szCs w:val="20"/>
                <w:lang w:val="en-AU"/>
              </w:rPr>
              <w:t>h</w:t>
            </w:r>
            <w:r w:rsidRPr="006C3AC6">
              <w:rPr>
                <w:rFonts w:asciiTheme="minorHAnsi" w:hAnsiTheme="minorHAnsi" w:cstheme="minorHAnsi"/>
                <w:bCs/>
                <w:color w:val="595959" w:themeColor="text1" w:themeTint="A6"/>
                <w:sz w:val="20"/>
                <w:szCs w:val="20"/>
                <w:lang w:val="en-AU"/>
              </w:rPr>
              <w:t>ub and disseminated to all implementing partners and DFAT.</w:t>
            </w:r>
          </w:p>
        </w:tc>
      </w:tr>
    </w:tbl>
    <w:p w14:paraId="2EACE380" w14:textId="613A4F82" w:rsidR="00902F90" w:rsidRPr="00FA698D" w:rsidRDefault="00902F90" w:rsidP="00500EA6">
      <w:pPr>
        <w:pStyle w:val="Heading3"/>
        <w:spacing w:before="240"/>
      </w:pPr>
      <w:r w:rsidRPr="00FA698D">
        <w:t xml:space="preserve">Stakeholder Information Needs </w:t>
      </w:r>
    </w:p>
    <w:p w14:paraId="39A05FCC" w14:textId="77777777" w:rsidR="00902F90" w:rsidRPr="00FA698D" w:rsidRDefault="00902F90" w:rsidP="00902F90">
      <w:pPr>
        <w:rPr>
          <w:lang w:val="en-AU" w:eastAsia="en-AU"/>
        </w:rPr>
      </w:pPr>
      <w:r w:rsidRPr="00FA698D">
        <w:rPr>
          <w:lang w:val="en-AU" w:eastAsia="en-AU"/>
        </w:rPr>
        <w:t>The MEL system will be designed to meet the distinct learning and accountability needs of a range of stakeholders:</w:t>
      </w:r>
    </w:p>
    <w:p w14:paraId="5887D4B9" w14:textId="419CE841" w:rsidR="00902F90" w:rsidRDefault="00902F90" w:rsidP="00866B55">
      <w:pPr>
        <w:pStyle w:val="Caption"/>
        <w:keepNext/>
      </w:pPr>
      <w:r>
        <w:t>Table</w:t>
      </w:r>
      <w:r w:rsidR="008D4216">
        <w:t xml:space="preserve"> 1</w:t>
      </w:r>
      <w:r w:rsidR="00FC764C">
        <w:t>1</w:t>
      </w:r>
      <w:r>
        <w:t xml:space="preserve">: </w:t>
      </w:r>
      <w:r w:rsidRPr="002B3404">
        <w:t>Stakeholder Information Needs</w:t>
      </w:r>
    </w:p>
    <w:tbl>
      <w:tblPr>
        <w:tblStyle w:val="DFAT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453"/>
        <w:gridCol w:w="4396"/>
      </w:tblGrid>
      <w:tr w:rsidR="00902F90" w:rsidRPr="006E406C" w14:paraId="286E94E2" w14:textId="77777777" w:rsidTr="00E378C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C1E7E0" w:themeFill="accent1" w:themeFillTint="66"/>
            <w:hideMark/>
          </w:tcPr>
          <w:p w14:paraId="6DF89F36" w14:textId="77777777" w:rsidR="00902F90" w:rsidRPr="00C034B4" w:rsidRDefault="00902F90">
            <w:pPr>
              <w:suppressAutoHyphens w:val="0"/>
              <w:spacing w:before="0" w:line="276" w:lineRule="auto"/>
              <w:rPr>
                <w:rFonts w:ascii="Calibri Light" w:hAnsi="Calibri Light" w:cs="Calibri Light"/>
                <w:b/>
                <w:color w:val="262626" w:themeColor="text1" w:themeTint="D9"/>
                <w:sz w:val="20"/>
                <w:szCs w:val="20"/>
                <w:lang w:val="en-AU" w:eastAsia="en-AU"/>
              </w:rPr>
            </w:pPr>
            <w:r w:rsidRPr="00C034B4">
              <w:rPr>
                <w:rFonts w:ascii="Calibri Light" w:hAnsi="Calibri Light" w:cs="Calibri Light"/>
                <w:b/>
                <w:color w:val="262626" w:themeColor="text1" w:themeTint="D9"/>
                <w:sz w:val="20"/>
                <w:szCs w:val="20"/>
                <w:lang w:val="en-AU" w:eastAsia="en-AU"/>
              </w:rPr>
              <w:t>Stakeholder</w:t>
            </w:r>
          </w:p>
        </w:tc>
        <w:tc>
          <w:tcPr>
            <w:tcW w:w="0" w:type="auto"/>
            <w:shd w:val="clear" w:color="auto" w:fill="C1E7E0" w:themeFill="accent1" w:themeFillTint="66"/>
            <w:hideMark/>
          </w:tcPr>
          <w:p w14:paraId="7600CAEF" w14:textId="77777777" w:rsidR="00902F90" w:rsidRPr="00C034B4" w:rsidRDefault="00902F90">
            <w:pPr>
              <w:suppressAutoHyphens w:val="0"/>
              <w:spacing w:before="0" w:line="276" w:lineRule="auto"/>
              <w:rPr>
                <w:rFonts w:ascii="Calibri Light" w:hAnsi="Calibri Light" w:cs="Calibri Light"/>
                <w:b/>
                <w:color w:val="262626" w:themeColor="text1" w:themeTint="D9"/>
                <w:sz w:val="20"/>
                <w:szCs w:val="20"/>
                <w:lang w:val="en-AU" w:eastAsia="en-AU"/>
              </w:rPr>
            </w:pPr>
            <w:r w:rsidRPr="00C034B4">
              <w:rPr>
                <w:rFonts w:ascii="Calibri Light" w:hAnsi="Calibri Light" w:cs="Calibri Light"/>
                <w:b/>
                <w:color w:val="262626" w:themeColor="text1" w:themeTint="D9"/>
                <w:sz w:val="20"/>
                <w:szCs w:val="20"/>
                <w:lang w:val="en-AU" w:eastAsia="en-AU"/>
              </w:rPr>
              <w:t>Primary Information Needs</w:t>
            </w:r>
          </w:p>
        </w:tc>
        <w:tc>
          <w:tcPr>
            <w:tcW w:w="0" w:type="auto"/>
            <w:shd w:val="clear" w:color="auto" w:fill="C1E7E0" w:themeFill="accent1" w:themeFillTint="66"/>
            <w:hideMark/>
          </w:tcPr>
          <w:p w14:paraId="17761775" w14:textId="77777777" w:rsidR="00902F90" w:rsidRPr="00C034B4" w:rsidRDefault="00902F90">
            <w:pPr>
              <w:suppressAutoHyphens w:val="0"/>
              <w:spacing w:before="0" w:line="276" w:lineRule="auto"/>
              <w:rPr>
                <w:rFonts w:ascii="Calibri Light" w:hAnsi="Calibri Light" w:cs="Calibri Light"/>
                <w:b/>
                <w:color w:val="262626" w:themeColor="text1" w:themeTint="D9"/>
                <w:sz w:val="20"/>
                <w:szCs w:val="20"/>
                <w:lang w:val="en-AU" w:eastAsia="en-AU"/>
              </w:rPr>
            </w:pPr>
            <w:r w:rsidRPr="00C034B4">
              <w:rPr>
                <w:rFonts w:ascii="Calibri Light" w:hAnsi="Calibri Light" w:cs="Calibri Light"/>
                <w:b/>
                <w:color w:val="262626" w:themeColor="text1" w:themeTint="D9"/>
                <w:sz w:val="20"/>
                <w:szCs w:val="20"/>
                <w:lang w:val="en-AU" w:eastAsia="en-AU"/>
              </w:rPr>
              <w:t>Use of MEL Data</w:t>
            </w:r>
          </w:p>
        </w:tc>
      </w:tr>
      <w:tr w:rsidR="00F666E3" w:rsidRPr="006E406C" w14:paraId="4CA50049" w14:textId="77777777" w:rsidTr="009D1611">
        <w:tc>
          <w:tcPr>
            <w:tcW w:w="0" w:type="auto"/>
            <w:hideMark/>
          </w:tcPr>
          <w:p w14:paraId="3552707A" w14:textId="093D30C2" w:rsidR="00F666E3" w:rsidRPr="00C034B4" w:rsidRDefault="00F666E3">
            <w:pPr>
              <w:suppressAutoHyphens w:val="0"/>
              <w:spacing w:before="0" w:line="276" w:lineRule="auto"/>
              <w:rPr>
                <w:rFonts w:ascii="Calibri Light" w:hAnsi="Calibri Light" w:cs="Calibri Light"/>
                <w:bCs/>
                <w:color w:val="595959" w:themeColor="text1" w:themeTint="A6"/>
                <w:sz w:val="20"/>
                <w:szCs w:val="20"/>
                <w:lang w:val="en-AU" w:eastAsia="en-AU"/>
              </w:rPr>
            </w:pPr>
            <w:r w:rsidRPr="00C034B4">
              <w:rPr>
                <w:rFonts w:ascii="Calibri Light" w:hAnsi="Calibri Light" w:cs="Calibri Light"/>
                <w:bCs/>
                <w:color w:val="595959" w:themeColor="text1" w:themeTint="A6"/>
                <w:sz w:val="20"/>
                <w:szCs w:val="20"/>
                <w:lang w:val="en-AU" w:eastAsia="en-AU"/>
              </w:rPr>
              <w:t>DFAT</w:t>
            </w:r>
          </w:p>
        </w:tc>
        <w:tc>
          <w:tcPr>
            <w:tcW w:w="0" w:type="auto"/>
            <w:hideMark/>
          </w:tcPr>
          <w:p w14:paraId="36B1D203" w14:textId="5326EA06" w:rsidR="00F666E3" w:rsidRPr="00C034B4" w:rsidRDefault="00F666E3">
            <w:pPr>
              <w:suppressAutoHyphens w:val="0"/>
              <w:spacing w:before="0" w:line="276" w:lineRule="auto"/>
              <w:rPr>
                <w:rFonts w:ascii="Calibri Light" w:hAnsi="Calibri Light" w:cs="Calibri Light"/>
                <w:bCs/>
                <w:color w:val="595959" w:themeColor="text1" w:themeTint="A6"/>
                <w:sz w:val="20"/>
                <w:szCs w:val="20"/>
                <w:lang w:val="en-AU" w:eastAsia="en-AU"/>
              </w:rPr>
            </w:pPr>
            <w:r w:rsidRPr="00C034B4">
              <w:rPr>
                <w:rFonts w:ascii="Calibri Light" w:hAnsi="Calibri Light" w:cs="Calibri Light"/>
                <w:bCs/>
                <w:color w:val="595959" w:themeColor="text1" w:themeTint="A6"/>
                <w:sz w:val="20"/>
                <w:szCs w:val="20"/>
                <w:lang w:val="en-AU" w:eastAsia="en-AU"/>
              </w:rPr>
              <w:t>Strategic performance, EOPO and IO achievement, value for money, risk and safeguard management</w:t>
            </w:r>
          </w:p>
        </w:tc>
        <w:tc>
          <w:tcPr>
            <w:tcW w:w="0" w:type="auto"/>
            <w:hideMark/>
          </w:tcPr>
          <w:p w14:paraId="5ED280D3" w14:textId="16ECCBB0" w:rsidR="00F666E3" w:rsidRPr="00C034B4" w:rsidRDefault="00F666E3">
            <w:pPr>
              <w:suppressAutoHyphens w:val="0"/>
              <w:spacing w:before="0" w:line="276" w:lineRule="auto"/>
              <w:rPr>
                <w:rFonts w:ascii="Calibri Light" w:hAnsi="Calibri Light" w:cs="Calibri Light"/>
                <w:bCs/>
                <w:color w:val="595959" w:themeColor="text1" w:themeTint="A6"/>
                <w:sz w:val="20"/>
                <w:szCs w:val="20"/>
                <w:lang w:val="en-AU" w:eastAsia="en-AU"/>
              </w:rPr>
            </w:pPr>
            <w:r w:rsidRPr="00C034B4">
              <w:rPr>
                <w:rFonts w:ascii="Calibri Light" w:hAnsi="Calibri Light" w:cs="Calibri Light"/>
                <w:bCs/>
                <w:color w:val="595959" w:themeColor="text1" w:themeTint="A6"/>
                <w:sz w:val="20"/>
                <w:szCs w:val="20"/>
                <w:lang w:val="en-AU" w:eastAsia="en-AU"/>
              </w:rPr>
              <w:t>Evidence of progress against EOPOs and IOs, program effectiveness and efficiency, risk management, GEDSI outcomes, performance reporting, accountability for public funds</w:t>
            </w:r>
          </w:p>
        </w:tc>
      </w:tr>
      <w:tr w:rsidR="00F666E3" w:rsidRPr="006E406C" w14:paraId="63183DE2" w14:textId="77777777" w:rsidTr="009D1611">
        <w:tc>
          <w:tcPr>
            <w:tcW w:w="0" w:type="auto"/>
          </w:tcPr>
          <w:p w14:paraId="7108BDFE" w14:textId="77777777" w:rsidR="00F666E3" w:rsidRPr="00C034B4" w:rsidRDefault="00F666E3">
            <w:pPr>
              <w:suppressAutoHyphens w:val="0"/>
              <w:spacing w:before="0" w:line="276" w:lineRule="auto"/>
              <w:rPr>
                <w:rFonts w:ascii="Calibri Light" w:hAnsi="Calibri Light" w:cs="Calibri Light"/>
                <w:bCs/>
                <w:color w:val="595959" w:themeColor="text1" w:themeTint="A6"/>
                <w:sz w:val="20"/>
                <w:szCs w:val="20"/>
                <w:lang w:val="en-AU" w:eastAsia="en-AU"/>
              </w:rPr>
            </w:pPr>
          </w:p>
        </w:tc>
        <w:tc>
          <w:tcPr>
            <w:tcW w:w="0" w:type="auto"/>
          </w:tcPr>
          <w:p w14:paraId="776DB26E" w14:textId="154EDACF" w:rsidR="00F666E3" w:rsidRPr="00C034B4" w:rsidRDefault="00F666E3">
            <w:pPr>
              <w:suppressAutoHyphens w:val="0"/>
              <w:spacing w:before="0" w:line="276" w:lineRule="auto"/>
              <w:rPr>
                <w:rFonts w:ascii="Calibri Light" w:hAnsi="Calibri Light" w:cs="Calibri Light"/>
                <w:bCs/>
                <w:color w:val="595959" w:themeColor="text1" w:themeTint="A6"/>
                <w:sz w:val="20"/>
                <w:szCs w:val="20"/>
                <w:lang w:val="en-AU" w:eastAsia="en-AU"/>
              </w:rPr>
            </w:pPr>
            <w:r w:rsidRPr="00C034B4">
              <w:rPr>
                <w:rFonts w:ascii="Calibri Light" w:hAnsi="Calibri Light" w:cs="Calibri Light"/>
                <w:bCs/>
                <w:color w:val="595959" w:themeColor="text1" w:themeTint="A6"/>
                <w:sz w:val="20"/>
                <w:szCs w:val="20"/>
                <w:lang w:eastAsia="en-AU"/>
              </w:rPr>
              <w:t>Inputs for program management and policy dialogue</w:t>
            </w:r>
          </w:p>
        </w:tc>
        <w:tc>
          <w:tcPr>
            <w:tcW w:w="0" w:type="auto"/>
          </w:tcPr>
          <w:p w14:paraId="46631B39" w14:textId="0D2CEFB3" w:rsidR="00F666E3" w:rsidRPr="00C034B4" w:rsidRDefault="00F666E3">
            <w:pPr>
              <w:suppressAutoHyphens w:val="0"/>
              <w:spacing w:before="0" w:line="276" w:lineRule="auto"/>
              <w:rPr>
                <w:rFonts w:ascii="Calibri Light" w:hAnsi="Calibri Light" w:cs="Calibri Light"/>
                <w:bCs/>
                <w:color w:val="595959" w:themeColor="text1" w:themeTint="A6"/>
                <w:sz w:val="20"/>
                <w:szCs w:val="20"/>
                <w:lang w:val="en-AU" w:eastAsia="en-AU"/>
              </w:rPr>
            </w:pPr>
            <w:r w:rsidRPr="00C034B4">
              <w:rPr>
                <w:rFonts w:ascii="Calibri Light" w:hAnsi="Calibri Light" w:cs="Calibri Light"/>
                <w:bCs/>
                <w:color w:val="595959" w:themeColor="text1" w:themeTint="A6"/>
                <w:sz w:val="20"/>
                <w:szCs w:val="20"/>
                <w:lang w:eastAsia="en-AU"/>
              </w:rPr>
              <w:t>Evidence for strategic engagement, DFAT visibility, ministerial briefings, PSC reporting, portfolio management, accountability for public funds, and Indo-Pacific policy positioning</w:t>
            </w:r>
          </w:p>
        </w:tc>
      </w:tr>
      <w:tr w:rsidR="00902F90" w:rsidRPr="006E406C" w14:paraId="2E07D0EB" w14:textId="77777777" w:rsidTr="009D1611">
        <w:tc>
          <w:tcPr>
            <w:tcW w:w="0" w:type="auto"/>
            <w:hideMark/>
          </w:tcPr>
          <w:p w14:paraId="340B01AF" w14:textId="77777777" w:rsidR="00902F90" w:rsidRPr="00C034B4" w:rsidRDefault="00902F90">
            <w:pPr>
              <w:suppressAutoHyphens w:val="0"/>
              <w:spacing w:before="0" w:line="276" w:lineRule="auto"/>
              <w:rPr>
                <w:rFonts w:ascii="Calibri Light" w:hAnsi="Calibri Light" w:cs="Calibri Light"/>
                <w:bCs/>
                <w:color w:val="595959" w:themeColor="text1" w:themeTint="A6"/>
                <w:sz w:val="20"/>
                <w:szCs w:val="20"/>
                <w:lang w:val="en-AU" w:eastAsia="en-AU"/>
              </w:rPr>
            </w:pPr>
            <w:r w:rsidRPr="00C034B4">
              <w:rPr>
                <w:rFonts w:ascii="Calibri Light" w:hAnsi="Calibri Light" w:cs="Calibri Light"/>
                <w:bCs/>
                <w:color w:val="595959" w:themeColor="text1" w:themeTint="A6"/>
                <w:sz w:val="20"/>
                <w:szCs w:val="20"/>
                <w:lang w:val="en-AU" w:eastAsia="en-AU"/>
              </w:rPr>
              <w:t>Convenor and Implementing Partners</w:t>
            </w:r>
          </w:p>
        </w:tc>
        <w:tc>
          <w:tcPr>
            <w:tcW w:w="0" w:type="auto"/>
            <w:hideMark/>
          </w:tcPr>
          <w:p w14:paraId="254C76B6" w14:textId="0FF457DC" w:rsidR="00902F90" w:rsidRPr="00C034B4" w:rsidRDefault="00902F90">
            <w:pPr>
              <w:suppressAutoHyphens w:val="0"/>
              <w:spacing w:before="0" w:line="276" w:lineRule="auto"/>
              <w:rPr>
                <w:rFonts w:ascii="Calibri Light" w:hAnsi="Calibri Light" w:cs="Calibri Light"/>
                <w:bCs/>
                <w:color w:val="595959" w:themeColor="text1" w:themeTint="A6"/>
                <w:sz w:val="20"/>
                <w:szCs w:val="20"/>
                <w:lang w:val="en-AU" w:eastAsia="en-AU"/>
              </w:rPr>
            </w:pPr>
            <w:r w:rsidRPr="00C034B4">
              <w:rPr>
                <w:rFonts w:ascii="Calibri Light" w:hAnsi="Calibri Light" w:cs="Calibri Light"/>
                <w:bCs/>
                <w:color w:val="595959" w:themeColor="text1" w:themeTint="A6"/>
                <w:sz w:val="20"/>
                <w:szCs w:val="20"/>
                <w:lang w:val="en-AU" w:eastAsia="en-AU"/>
              </w:rPr>
              <w:t xml:space="preserve">Outcome-level learning, program strategy adaptation, coalition/network </w:t>
            </w:r>
            <w:r w:rsidRPr="00C034B4">
              <w:rPr>
                <w:rFonts w:ascii="Calibri Light" w:hAnsi="Calibri Light" w:cs="Calibri Light"/>
                <w:bCs/>
                <w:color w:val="595959" w:themeColor="text1" w:themeTint="A6"/>
                <w:sz w:val="20"/>
                <w:szCs w:val="20"/>
                <w:lang w:val="en-AU" w:eastAsia="en-AU"/>
              </w:rPr>
              <w:lastRenderedPageBreak/>
              <w:t>strengthening, and localised effectiveness</w:t>
            </w:r>
          </w:p>
        </w:tc>
        <w:tc>
          <w:tcPr>
            <w:tcW w:w="0" w:type="auto"/>
            <w:hideMark/>
          </w:tcPr>
          <w:p w14:paraId="0172D952" w14:textId="2BDB3E62" w:rsidR="00902F90" w:rsidRPr="00C034B4" w:rsidRDefault="00902F90">
            <w:pPr>
              <w:suppressAutoHyphens w:val="0"/>
              <w:spacing w:before="0" w:line="276" w:lineRule="auto"/>
              <w:rPr>
                <w:rFonts w:ascii="Calibri Light" w:hAnsi="Calibri Light" w:cs="Calibri Light"/>
                <w:bCs/>
                <w:color w:val="595959" w:themeColor="text1" w:themeTint="A6"/>
                <w:sz w:val="20"/>
                <w:szCs w:val="20"/>
                <w:lang w:val="en-AU" w:eastAsia="en-AU"/>
              </w:rPr>
            </w:pPr>
            <w:r w:rsidRPr="00C034B4">
              <w:rPr>
                <w:rFonts w:ascii="Calibri Light" w:hAnsi="Calibri Light" w:cs="Calibri Light"/>
                <w:bCs/>
                <w:color w:val="595959" w:themeColor="text1" w:themeTint="A6"/>
                <w:sz w:val="20"/>
                <w:szCs w:val="20"/>
                <w:lang w:val="en-AU" w:eastAsia="en-AU"/>
              </w:rPr>
              <w:lastRenderedPageBreak/>
              <w:t>Adaptive management, internal program reflection, partner capacity development</w:t>
            </w:r>
          </w:p>
        </w:tc>
      </w:tr>
      <w:tr w:rsidR="00902F90" w:rsidRPr="006E406C" w14:paraId="4CBDFD98" w14:textId="77777777" w:rsidTr="009D1611">
        <w:tc>
          <w:tcPr>
            <w:tcW w:w="0" w:type="auto"/>
            <w:hideMark/>
          </w:tcPr>
          <w:p w14:paraId="7CE68EB3" w14:textId="77777777" w:rsidR="00902F90" w:rsidRPr="00C034B4" w:rsidRDefault="00902F90">
            <w:pPr>
              <w:suppressAutoHyphens w:val="0"/>
              <w:spacing w:before="0" w:line="276" w:lineRule="auto"/>
              <w:rPr>
                <w:rFonts w:ascii="Calibri Light" w:hAnsi="Calibri Light" w:cs="Calibri Light"/>
                <w:bCs/>
                <w:color w:val="595959" w:themeColor="text1" w:themeTint="A6"/>
                <w:sz w:val="20"/>
                <w:szCs w:val="20"/>
                <w:lang w:val="en-AU" w:eastAsia="en-AU"/>
              </w:rPr>
            </w:pPr>
            <w:r w:rsidRPr="00C034B4">
              <w:rPr>
                <w:rFonts w:ascii="Calibri Light" w:hAnsi="Calibri Light" w:cs="Calibri Light"/>
                <w:bCs/>
                <w:color w:val="595959" w:themeColor="text1" w:themeTint="A6"/>
                <w:sz w:val="20"/>
                <w:szCs w:val="20"/>
                <w:lang w:val="en-AU" w:eastAsia="en-AU"/>
              </w:rPr>
              <w:t xml:space="preserve">Government of Indonesia </w:t>
            </w:r>
          </w:p>
        </w:tc>
        <w:tc>
          <w:tcPr>
            <w:tcW w:w="0" w:type="auto"/>
            <w:hideMark/>
          </w:tcPr>
          <w:p w14:paraId="33FD71BC" w14:textId="14F4F691" w:rsidR="00902F90" w:rsidRPr="00C034B4" w:rsidRDefault="00902F90">
            <w:pPr>
              <w:suppressAutoHyphens w:val="0"/>
              <w:spacing w:before="0" w:line="276" w:lineRule="auto"/>
              <w:rPr>
                <w:rFonts w:ascii="Calibri Light" w:hAnsi="Calibri Light" w:cs="Calibri Light"/>
                <w:bCs/>
                <w:color w:val="595959" w:themeColor="text1" w:themeTint="A6"/>
                <w:sz w:val="20"/>
                <w:szCs w:val="20"/>
                <w:lang w:val="en-AU" w:eastAsia="en-AU"/>
              </w:rPr>
            </w:pPr>
            <w:r w:rsidRPr="00C034B4">
              <w:rPr>
                <w:rFonts w:ascii="Calibri Light" w:hAnsi="Calibri Light" w:cs="Calibri Light"/>
                <w:bCs/>
                <w:color w:val="595959" w:themeColor="text1" w:themeTint="A6"/>
                <w:sz w:val="20"/>
                <w:szCs w:val="20"/>
                <w:lang w:val="en-AU" w:eastAsia="en-AU"/>
              </w:rPr>
              <w:t xml:space="preserve">Alignment with </w:t>
            </w:r>
            <w:proofErr w:type="spellStart"/>
            <w:r w:rsidRPr="00C034B4">
              <w:rPr>
                <w:rFonts w:ascii="Calibri Light" w:hAnsi="Calibri Light" w:cs="Calibri Light"/>
                <w:bCs/>
                <w:color w:val="595959" w:themeColor="text1" w:themeTint="A6"/>
                <w:sz w:val="20"/>
                <w:szCs w:val="20"/>
                <w:lang w:val="en-AU" w:eastAsia="en-AU"/>
              </w:rPr>
              <w:t>GoI</w:t>
            </w:r>
            <w:proofErr w:type="spellEnd"/>
            <w:r w:rsidRPr="00C034B4">
              <w:rPr>
                <w:rFonts w:ascii="Calibri Light" w:hAnsi="Calibri Light" w:cs="Calibri Light"/>
                <w:bCs/>
                <w:color w:val="595959" w:themeColor="text1" w:themeTint="A6"/>
                <w:sz w:val="20"/>
                <w:szCs w:val="20"/>
                <w:lang w:val="en-AU" w:eastAsia="en-AU"/>
              </w:rPr>
              <w:t xml:space="preserve"> priorities, partnership effectiveness, results of institutional strengthening and civic dialogue</w:t>
            </w:r>
          </w:p>
        </w:tc>
        <w:tc>
          <w:tcPr>
            <w:tcW w:w="0" w:type="auto"/>
            <w:hideMark/>
          </w:tcPr>
          <w:p w14:paraId="1D010F8B" w14:textId="14A3DEA9" w:rsidR="00902F90" w:rsidRPr="00C034B4" w:rsidRDefault="00902F90">
            <w:pPr>
              <w:suppressAutoHyphens w:val="0"/>
              <w:spacing w:before="0" w:line="276" w:lineRule="auto"/>
              <w:rPr>
                <w:rFonts w:ascii="Calibri Light" w:hAnsi="Calibri Light" w:cs="Calibri Light"/>
                <w:bCs/>
                <w:color w:val="595959" w:themeColor="text1" w:themeTint="A6"/>
                <w:sz w:val="20"/>
                <w:szCs w:val="20"/>
                <w:lang w:val="en-AU" w:eastAsia="en-AU"/>
              </w:rPr>
            </w:pPr>
            <w:r w:rsidRPr="00C034B4">
              <w:rPr>
                <w:rFonts w:ascii="Calibri Light" w:hAnsi="Calibri Light" w:cs="Calibri Light"/>
                <w:bCs/>
                <w:color w:val="595959" w:themeColor="text1" w:themeTint="A6"/>
                <w:sz w:val="20"/>
                <w:szCs w:val="20"/>
                <w:lang w:val="en-AU" w:eastAsia="en-AU"/>
              </w:rPr>
              <w:t>Bilateral coordination, reform tracking, identification of successful engagement models</w:t>
            </w:r>
          </w:p>
        </w:tc>
      </w:tr>
      <w:tr w:rsidR="00902F90" w:rsidRPr="006E406C" w14:paraId="5305D4E6" w14:textId="77777777" w:rsidTr="009D1611">
        <w:tc>
          <w:tcPr>
            <w:tcW w:w="0" w:type="auto"/>
            <w:hideMark/>
          </w:tcPr>
          <w:p w14:paraId="2FB68F9B" w14:textId="77777777" w:rsidR="00902F90" w:rsidRPr="00C034B4" w:rsidRDefault="00902F90">
            <w:pPr>
              <w:suppressAutoHyphens w:val="0"/>
              <w:spacing w:before="0" w:line="276" w:lineRule="auto"/>
              <w:rPr>
                <w:rFonts w:ascii="Calibri Light" w:hAnsi="Calibri Light" w:cs="Calibri Light"/>
                <w:bCs/>
                <w:color w:val="595959" w:themeColor="text1" w:themeTint="A6"/>
                <w:sz w:val="20"/>
                <w:szCs w:val="20"/>
                <w:lang w:val="en-AU" w:eastAsia="en-AU"/>
              </w:rPr>
            </w:pPr>
            <w:r w:rsidRPr="00C034B4">
              <w:rPr>
                <w:rFonts w:ascii="Calibri Light" w:hAnsi="Calibri Light" w:cs="Calibri Light"/>
                <w:bCs/>
                <w:color w:val="595959" w:themeColor="text1" w:themeTint="A6"/>
                <w:sz w:val="20"/>
                <w:szCs w:val="20"/>
                <w:lang w:val="en-AU" w:eastAsia="en-AU"/>
              </w:rPr>
              <w:t>Civil Society Partners</w:t>
            </w:r>
          </w:p>
        </w:tc>
        <w:tc>
          <w:tcPr>
            <w:tcW w:w="0" w:type="auto"/>
            <w:hideMark/>
          </w:tcPr>
          <w:p w14:paraId="09AFE98E" w14:textId="6DA1C5E5" w:rsidR="00902F90" w:rsidRPr="00C034B4" w:rsidRDefault="00902F90">
            <w:pPr>
              <w:suppressAutoHyphens w:val="0"/>
              <w:spacing w:before="0" w:line="276" w:lineRule="auto"/>
              <w:rPr>
                <w:rFonts w:ascii="Calibri Light" w:hAnsi="Calibri Light" w:cs="Calibri Light"/>
                <w:bCs/>
                <w:color w:val="595959" w:themeColor="text1" w:themeTint="A6"/>
                <w:sz w:val="20"/>
                <w:szCs w:val="20"/>
                <w:lang w:val="en-AU" w:eastAsia="en-AU"/>
              </w:rPr>
            </w:pPr>
            <w:r w:rsidRPr="00C034B4">
              <w:rPr>
                <w:rFonts w:ascii="Calibri Light" w:hAnsi="Calibri Light" w:cs="Calibri Light"/>
                <w:bCs/>
                <w:color w:val="595959" w:themeColor="text1" w:themeTint="A6"/>
                <w:sz w:val="20"/>
                <w:szCs w:val="20"/>
                <w:lang w:val="en-AU" w:eastAsia="en-AU"/>
              </w:rPr>
              <w:t>Learning from peer experience, coalition effectiveness, participation impact, organisational strengthening</w:t>
            </w:r>
          </w:p>
        </w:tc>
        <w:tc>
          <w:tcPr>
            <w:tcW w:w="0" w:type="auto"/>
            <w:hideMark/>
          </w:tcPr>
          <w:p w14:paraId="3C9FA190" w14:textId="7231CD7C" w:rsidR="00902F90" w:rsidRPr="00C034B4" w:rsidRDefault="00902F90">
            <w:pPr>
              <w:suppressAutoHyphens w:val="0"/>
              <w:spacing w:before="0" w:line="276" w:lineRule="auto"/>
              <w:rPr>
                <w:rFonts w:ascii="Calibri Light" w:hAnsi="Calibri Light" w:cs="Calibri Light"/>
                <w:bCs/>
                <w:color w:val="595959" w:themeColor="text1" w:themeTint="A6"/>
                <w:sz w:val="20"/>
                <w:szCs w:val="20"/>
                <w:lang w:val="en-AU" w:eastAsia="en-AU"/>
              </w:rPr>
            </w:pPr>
            <w:r w:rsidRPr="00C034B4">
              <w:rPr>
                <w:rFonts w:ascii="Calibri Light" w:hAnsi="Calibri Light" w:cs="Calibri Light"/>
                <w:bCs/>
                <w:color w:val="595959" w:themeColor="text1" w:themeTint="A6"/>
                <w:sz w:val="20"/>
                <w:szCs w:val="20"/>
                <w:lang w:val="en-AU" w:eastAsia="en-AU"/>
              </w:rPr>
              <w:t>Strategy refinement, adaptive management, community engagement, funding diversification</w:t>
            </w:r>
          </w:p>
        </w:tc>
      </w:tr>
      <w:tr w:rsidR="00902F90" w:rsidRPr="006E406C" w14:paraId="398C1DF2" w14:textId="77777777" w:rsidTr="009D1611">
        <w:tc>
          <w:tcPr>
            <w:tcW w:w="0" w:type="auto"/>
            <w:hideMark/>
          </w:tcPr>
          <w:p w14:paraId="21C54F40" w14:textId="77777777" w:rsidR="00902F90" w:rsidRPr="00C034B4" w:rsidRDefault="00902F90">
            <w:pPr>
              <w:suppressAutoHyphens w:val="0"/>
              <w:spacing w:before="0" w:line="276" w:lineRule="auto"/>
              <w:rPr>
                <w:rFonts w:ascii="Calibri Light" w:hAnsi="Calibri Light" w:cs="Calibri Light"/>
                <w:bCs/>
                <w:color w:val="595959" w:themeColor="text1" w:themeTint="A6"/>
                <w:sz w:val="20"/>
                <w:szCs w:val="20"/>
                <w:lang w:val="en-AU" w:eastAsia="en-AU"/>
              </w:rPr>
            </w:pPr>
            <w:r w:rsidRPr="00C034B4">
              <w:rPr>
                <w:rFonts w:ascii="Calibri Light" w:hAnsi="Calibri Light" w:cs="Calibri Light"/>
                <w:bCs/>
                <w:color w:val="595959" w:themeColor="text1" w:themeTint="A6"/>
                <w:sz w:val="20"/>
                <w:szCs w:val="20"/>
                <w:lang w:val="en-AU" w:eastAsia="en-AU"/>
              </w:rPr>
              <w:t>Public and Media</w:t>
            </w:r>
          </w:p>
        </w:tc>
        <w:tc>
          <w:tcPr>
            <w:tcW w:w="0" w:type="auto"/>
            <w:hideMark/>
          </w:tcPr>
          <w:p w14:paraId="297E1FF8" w14:textId="7BA51271" w:rsidR="00902F90" w:rsidRPr="00C034B4" w:rsidRDefault="00902F90">
            <w:pPr>
              <w:suppressAutoHyphens w:val="0"/>
              <w:spacing w:before="0" w:line="276" w:lineRule="auto"/>
              <w:rPr>
                <w:rFonts w:ascii="Calibri Light" w:hAnsi="Calibri Light" w:cs="Calibri Light"/>
                <w:bCs/>
                <w:color w:val="595959" w:themeColor="text1" w:themeTint="A6"/>
                <w:sz w:val="20"/>
                <w:szCs w:val="20"/>
                <w:lang w:val="en-AU" w:eastAsia="en-AU"/>
              </w:rPr>
            </w:pPr>
            <w:r w:rsidRPr="00C034B4">
              <w:rPr>
                <w:rFonts w:ascii="Calibri Light" w:hAnsi="Calibri Light" w:cs="Calibri Light"/>
                <w:bCs/>
                <w:color w:val="595959" w:themeColor="text1" w:themeTint="A6"/>
                <w:sz w:val="20"/>
                <w:szCs w:val="20"/>
                <w:lang w:val="en-AU" w:eastAsia="en-AU"/>
              </w:rPr>
              <w:t>Democratic progress, civic engagement opportunities, impact stories</w:t>
            </w:r>
          </w:p>
        </w:tc>
        <w:tc>
          <w:tcPr>
            <w:tcW w:w="0" w:type="auto"/>
            <w:hideMark/>
          </w:tcPr>
          <w:p w14:paraId="669D3F23" w14:textId="06C177C2" w:rsidR="00902F90" w:rsidRPr="00C034B4" w:rsidRDefault="00902F90">
            <w:pPr>
              <w:suppressAutoHyphens w:val="0"/>
              <w:spacing w:before="0" w:line="276" w:lineRule="auto"/>
              <w:rPr>
                <w:rFonts w:ascii="Calibri Light" w:hAnsi="Calibri Light" w:cs="Calibri Light"/>
                <w:bCs/>
                <w:color w:val="595959" w:themeColor="text1" w:themeTint="A6"/>
                <w:sz w:val="20"/>
                <w:szCs w:val="20"/>
                <w:lang w:val="en-AU" w:eastAsia="en-AU"/>
              </w:rPr>
            </w:pPr>
            <w:r w:rsidRPr="00C034B4">
              <w:rPr>
                <w:rFonts w:ascii="Calibri Light" w:hAnsi="Calibri Light" w:cs="Calibri Light"/>
                <w:bCs/>
                <w:color w:val="595959" w:themeColor="text1" w:themeTint="A6"/>
                <w:sz w:val="20"/>
                <w:szCs w:val="20"/>
                <w:lang w:val="en-AU" w:eastAsia="en-AU"/>
              </w:rPr>
              <w:t>Awareness, accountability, democratic discourse, social norm change</w:t>
            </w:r>
          </w:p>
        </w:tc>
      </w:tr>
    </w:tbl>
    <w:p w14:paraId="21C595B5" w14:textId="01D43D56" w:rsidR="002F70A6" w:rsidRPr="00607D97" w:rsidRDefault="002F70A6" w:rsidP="002F70A6">
      <w:pPr>
        <w:rPr>
          <w:lang w:val="en-AU"/>
        </w:rPr>
      </w:pPr>
      <w:proofErr w:type="spellStart"/>
      <w:r w:rsidRPr="00D84A7F">
        <w:rPr>
          <w:lang w:val="en-AU"/>
        </w:rPr>
        <w:t>Partisipasi</w:t>
      </w:r>
      <w:r w:rsidRPr="00607D97">
        <w:rPr>
          <w:lang w:val="en-AU"/>
        </w:rPr>
        <w:t>’s</w:t>
      </w:r>
      <w:proofErr w:type="spellEnd"/>
      <w:r w:rsidRPr="00607D97">
        <w:rPr>
          <w:lang w:val="en-AU"/>
        </w:rPr>
        <w:t xml:space="preserve"> MEL system will directly support DFAT</w:t>
      </w:r>
      <w:r w:rsidR="00292CAD">
        <w:rPr>
          <w:lang w:val="en-AU"/>
        </w:rPr>
        <w:t xml:space="preserve"> </w:t>
      </w:r>
      <w:r w:rsidRPr="00607D97">
        <w:rPr>
          <w:lang w:val="en-AU"/>
        </w:rPr>
        <w:t>by:</w:t>
      </w:r>
    </w:p>
    <w:p w14:paraId="340D0E88" w14:textId="77777777" w:rsidR="002F70A6" w:rsidRPr="00BB5F6C" w:rsidRDefault="002F70A6" w:rsidP="00504B06">
      <w:pPr>
        <w:pStyle w:val="ListParagraph"/>
        <w:numPr>
          <w:ilvl w:val="0"/>
          <w:numId w:val="45"/>
        </w:numPr>
      </w:pPr>
      <w:r w:rsidRPr="00BB5F6C">
        <w:t xml:space="preserve">Generating credible, timely, and politically relevant data to inform decision-making across both </w:t>
      </w:r>
      <w:r>
        <w:t>C</w:t>
      </w:r>
      <w:r w:rsidRPr="00BB5F6C">
        <w:t>omponents</w:t>
      </w:r>
      <w:r>
        <w:t xml:space="preserve"> 1 and 2.</w:t>
      </w:r>
    </w:p>
    <w:p w14:paraId="73F33FB6" w14:textId="2BAED93C" w:rsidR="002F70A6" w:rsidRDefault="002F70A6" w:rsidP="00504B06">
      <w:pPr>
        <w:pStyle w:val="ListParagraph"/>
        <w:numPr>
          <w:ilvl w:val="0"/>
          <w:numId w:val="45"/>
        </w:numPr>
      </w:pPr>
      <w:r w:rsidRPr="00BB5F6C">
        <w:t xml:space="preserve">Capturing evidence of </w:t>
      </w:r>
      <w:r w:rsidR="00EA3132">
        <w:t>the impacts from Australia’s investment</w:t>
      </w:r>
      <w:r w:rsidR="00FC31DE">
        <w:t>, including alignment with DFAT’s performance reporting frameworks</w:t>
      </w:r>
      <w:r w:rsidR="00276C4B">
        <w:t>.</w:t>
      </w:r>
    </w:p>
    <w:p w14:paraId="6CB8F1F1" w14:textId="616C3364" w:rsidR="00276C4B" w:rsidRPr="00BB5F6C" w:rsidRDefault="00276C4B" w:rsidP="00504B06">
      <w:pPr>
        <w:pStyle w:val="ListParagraph"/>
        <w:numPr>
          <w:ilvl w:val="0"/>
          <w:numId w:val="45"/>
        </w:numPr>
      </w:pPr>
      <w:r>
        <w:t>Contributing to cross-program learning.</w:t>
      </w:r>
    </w:p>
    <w:p w14:paraId="55E00DD2" w14:textId="2C21BAE0" w:rsidR="002F70A6" w:rsidRPr="00BB5F6C" w:rsidRDefault="002F70A6" w:rsidP="00504B06">
      <w:pPr>
        <w:pStyle w:val="ListParagraph"/>
        <w:numPr>
          <w:ilvl w:val="0"/>
          <w:numId w:val="45"/>
        </w:numPr>
      </w:pPr>
      <w:r w:rsidRPr="00BB5F6C">
        <w:t>Documenting and showcasing locally driven innovations and adaptive responses</w:t>
      </w:r>
      <w:r>
        <w:t>.</w:t>
      </w:r>
    </w:p>
    <w:p w14:paraId="0F7F0FED" w14:textId="2A1D47F0" w:rsidR="002F70A6" w:rsidRPr="00BB5F6C" w:rsidRDefault="002F70A6" w:rsidP="00504B06">
      <w:pPr>
        <w:pStyle w:val="ListParagraph"/>
        <w:numPr>
          <w:ilvl w:val="0"/>
          <w:numId w:val="45"/>
        </w:numPr>
      </w:pPr>
      <w:r>
        <w:t>In collaboration with the PSU, p</w:t>
      </w:r>
      <w:r w:rsidRPr="00BB5F6C">
        <w:t xml:space="preserve">roducing </w:t>
      </w:r>
      <w:r>
        <w:t xml:space="preserve">evidence for </w:t>
      </w:r>
      <w:r w:rsidRPr="00BB5F6C">
        <w:t xml:space="preserve">tailored communication products (e.g. learning snapshots, partner case studies) for use in DFAT </w:t>
      </w:r>
      <w:r w:rsidR="00ED3EBA">
        <w:t>reports</w:t>
      </w:r>
      <w:r w:rsidRPr="00BB5F6C">
        <w:t xml:space="preserve"> (including IMRs, FIMRs, and PAFs).</w:t>
      </w:r>
    </w:p>
    <w:p w14:paraId="4F65ACE6" w14:textId="77777777" w:rsidR="00902F90" w:rsidRPr="00FA698D" w:rsidRDefault="00902F90" w:rsidP="00500EA6">
      <w:pPr>
        <w:pStyle w:val="Heading3"/>
        <w:spacing w:before="240"/>
      </w:pPr>
      <w:r w:rsidRPr="00FA698D">
        <w:t>Guiding Principles and Practices</w:t>
      </w:r>
    </w:p>
    <w:p w14:paraId="0AA6C12F" w14:textId="5B6CF096" w:rsidR="00902F90" w:rsidRPr="004A0EA2" w:rsidRDefault="6A86E4B5" w:rsidP="4C4F89DC">
      <w:pPr>
        <w:suppressAutoHyphens w:val="0"/>
        <w:spacing w:before="0" w:line="276" w:lineRule="auto"/>
        <w:rPr>
          <w:color w:val="595959" w:themeColor="text1" w:themeTint="A6"/>
          <w:lang w:val="en-AU" w:eastAsia="en-AU"/>
        </w:rPr>
      </w:pPr>
      <w:r w:rsidRPr="4C4F89DC">
        <w:rPr>
          <w:color w:val="595959" w:themeColor="text1" w:themeTint="A6"/>
          <w:lang w:val="en-AU" w:eastAsia="en-AU"/>
        </w:rPr>
        <w:t xml:space="preserve">The </w:t>
      </w:r>
      <w:proofErr w:type="spellStart"/>
      <w:r w:rsidRPr="4C4F89DC">
        <w:rPr>
          <w:color w:val="595959" w:themeColor="text1" w:themeTint="A6"/>
          <w:lang w:val="en-AU" w:eastAsia="en-AU"/>
        </w:rPr>
        <w:t>Partisipasi</w:t>
      </w:r>
      <w:proofErr w:type="spellEnd"/>
      <w:r w:rsidRPr="4C4F89DC">
        <w:rPr>
          <w:color w:val="595959" w:themeColor="text1" w:themeTint="A6"/>
          <w:lang w:val="en-AU" w:eastAsia="en-AU"/>
        </w:rPr>
        <w:t xml:space="preserve"> MEL </w:t>
      </w:r>
      <w:r w:rsidR="00031FA1">
        <w:rPr>
          <w:color w:val="595959" w:themeColor="text1" w:themeTint="A6"/>
          <w:lang w:val="en-AU" w:eastAsia="en-AU"/>
        </w:rPr>
        <w:t>S</w:t>
      </w:r>
      <w:r w:rsidRPr="4C4F89DC">
        <w:rPr>
          <w:color w:val="595959" w:themeColor="text1" w:themeTint="A6"/>
          <w:lang w:val="en-AU" w:eastAsia="en-AU"/>
        </w:rPr>
        <w:t xml:space="preserve">ystem will be anchored in a set of core guiding principles that respond to the complexity of Indonesia’s democratic landscape, and to the lessons learned from </w:t>
      </w:r>
      <w:proofErr w:type="spellStart"/>
      <w:r w:rsidRPr="4C4F89DC">
        <w:rPr>
          <w:color w:val="595959" w:themeColor="text1" w:themeTint="A6"/>
          <w:lang w:val="en-AU" w:eastAsia="en-AU"/>
        </w:rPr>
        <w:t>DemRes</w:t>
      </w:r>
      <w:proofErr w:type="spellEnd"/>
      <w:r w:rsidRPr="4C4F89DC">
        <w:rPr>
          <w:color w:val="595959" w:themeColor="text1" w:themeTint="A6"/>
          <w:lang w:val="en-AU" w:eastAsia="en-AU"/>
        </w:rPr>
        <w:t xml:space="preserve">. These principles are operationalised through tangible practices, tools, and coordination mechanisms that are fit for purpose in a dynamic, sensitive, and diverse governance environment. </w:t>
      </w:r>
    </w:p>
    <w:p w14:paraId="3A4DE272" w14:textId="77777777" w:rsidR="00902F90" w:rsidRPr="00C374E3" w:rsidRDefault="00902F90" w:rsidP="006C3AC6">
      <w:pPr>
        <w:pStyle w:val="ListParagraph"/>
        <w:numPr>
          <w:ilvl w:val="7"/>
          <w:numId w:val="13"/>
        </w:numPr>
        <w:suppressAutoHyphens w:val="0"/>
        <w:spacing w:before="0" w:after="120" w:line="276" w:lineRule="auto"/>
        <w:ind w:left="284" w:hanging="284"/>
        <w:rPr>
          <w:rFonts w:cstheme="minorHAnsi"/>
          <w:bCs/>
          <w:color w:val="595959" w:themeColor="text1" w:themeTint="A6"/>
          <w:szCs w:val="21"/>
          <w:lang w:val="en-AU" w:eastAsia="en-AU"/>
        </w:rPr>
      </w:pPr>
      <w:r w:rsidRPr="00C374E3">
        <w:rPr>
          <w:rFonts w:cstheme="minorHAnsi"/>
          <w:b/>
          <w:color w:val="595959" w:themeColor="text1" w:themeTint="A6"/>
          <w:szCs w:val="21"/>
          <w:lang w:val="en-AU" w:eastAsia="en-AU"/>
        </w:rPr>
        <w:t xml:space="preserve">Learning-Oriented and Adaptive </w:t>
      </w:r>
      <w:proofErr w:type="spellStart"/>
      <w:r w:rsidRPr="00C374E3">
        <w:rPr>
          <w:rFonts w:cstheme="minorHAnsi"/>
          <w:b/>
          <w:color w:val="595959" w:themeColor="text1" w:themeTint="A6"/>
          <w:szCs w:val="21"/>
          <w:lang w:val="en-AU" w:eastAsia="en-AU"/>
        </w:rPr>
        <w:t>Partisipasi</w:t>
      </w:r>
      <w:proofErr w:type="spellEnd"/>
      <w:r w:rsidRPr="00C374E3">
        <w:rPr>
          <w:rFonts w:cstheme="minorHAnsi"/>
          <w:b/>
          <w:color w:val="595959" w:themeColor="text1" w:themeTint="A6"/>
          <w:szCs w:val="21"/>
          <w:lang w:val="en-AU" w:eastAsia="en-AU"/>
        </w:rPr>
        <w:t xml:space="preserve"> prioritises learning as a central objective of MEL</w:t>
      </w:r>
      <w:r>
        <w:rPr>
          <w:rFonts w:cstheme="minorHAnsi"/>
          <w:bCs/>
          <w:color w:val="595959" w:themeColor="text1" w:themeTint="A6"/>
          <w:szCs w:val="21"/>
          <w:lang w:val="en-AU" w:eastAsia="en-AU"/>
        </w:rPr>
        <w:t xml:space="preserve">, </w:t>
      </w:r>
      <w:r w:rsidRPr="00C374E3">
        <w:rPr>
          <w:rFonts w:cstheme="minorHAnsi"/>
          <w:bCs/>
          <w:color w:val="595959" w:themeColor="text1" w:themeTint="A6"/>
          <w:szCs w:val="21"/>
          <w:lang w:val="en-AU" w:eastAsia="en-AU"/>
        </w:rPr>
        <w:t>not just tracking activities or compliance. Learning will be embedded in program culture, enabling real-time adjustments and informed strategic shifts.</w:t>
      </w:r>
    </w:p>
    <w:p w14:paraId="58F4F5FF" w14:textId="1FFECA42" w:rsidR="00902F90" w:rsidRDefault="00902F90" w:rsidP="00504B06">
      <w:pPr>
        <w:pStyle w:val="ListParagraph"/>
        <w:numPr>
          <w:ilvl w:val="0"/>
          <w:numId w:val="40"/>
        </w:numPr>
        <w:suppressAutoHyphens w:val="0"/>
        <w:spacing w:before="0" w:after="120" w:line="276" w:lineRule="auto"/>
        <w:rPr>
          <w:rFonts w:cstheme="minorHAnsi"/>
          <w:bCs/>
          <w:color w:val="595959" w:themeColor="text1" w:themeTint="A6"/>
          <w:szCs w:val="21"/>
          <w:lang w:val="en-AU" w:eastAsia="en-AU"/>
        </w:rPr>
      </w:pPr>
      <w:r w:rsidRPr="00C374E3">
        <w:rPr>
          <w:rFonts w:cstheme="minorHAnsi"/>
          <w:bCs/>
          <w:color w:val="595959" w:themeColor="text1" w:themeTint="A6"/>
          <w:szCs w:val="21"/>
          <w:lang w:val="en-AU" w:eastAsia="en-AU"/>
        </w:rPr>
        <w:t xml:space="preserve">Practice: Biannual learning workshops will bring together DFAT, the </w:t>
      </w:r>
      <w:r>
        <w:rPr>
          <w:rFonts w:cstheme="minorHAnsi"/>
          <w:bCs/>
          <w:color w:val="595959" w:themeColor="text1" w:themeTint="A6"/>
          <w:szCs w:val="21"/>
          <w:lang w:val="en-AU" w:eastAsia="en-AU"/>
        </w:rPr>
        <w:t>Convenor</w:t>
      </w:r>
      <w:r w:rsidRPr="00C374E3">
        <w:rPr>
          <w:rFonts w:cstheme="minorHAnsi"/>
          <w:bCs/>
          <w:color w:val="595959" w:themeColor="text1" w:themeTint="A6"/>
          <w:szCs w:val="21"/>
          <w:lang w:val="en-AU" w:eastAsia="en-AU"/>
        </w:rPr>
        <w:t xml:space="preserve">, </w:t>
      </w:r>
      <w:r>
        <w:rPr>
          <w:rFonts w:cstheme="minorHAnsi"/>
          <w:bCs/>
          <w:color w:val="595959" w:themeColor="text1" w:themeTint="A6"/>
          <w:szCs w:val="21"/>
          <w:lang w:val="en-AU" w:eastAsia="en-AU"/>
        </w:rPr>
        <w:t>Core Group</w:t>
      </w:r>
      <w:r w:rsidRPr="00C374E3">
        <w:rPr>
          <w:rFonts w:cstheme="minorHAnsi"/>
          <w:bCs/>
          <w:color w:val="595959" w:themeColor="text1" w:themeTint="A6"/>
          <w:szCs w:val="21"/>
          <w:lang w:val="en-AU" w:eastAsia="en-AU"/>
        </w:rPr>
        <w:t xml:space="preserve"> </w:t>
      </w:r>
      <w:r w:rsidR="005F234A">
        <w:rPr>
          <w:rFonts w:cstheme="minorHAnsi"/>
          <w:bCs/>
          <w:color w:val="595959" w:themeColor="text1" w:themeTint="A6"/>
          <w:szCs w:val="21"/>
          <w:lang w:val="en-AU" w:eastAsia="en-AU"/>
        </w:rPr>
        <w:t>P</w:t>
      </w:r>
      <w:r w:rsidRPr="00C374E3">
        <w:rPr>
          <w:rFonts w:cstheme="minorHAnsi"/>
          <w:bCs/>
          <w:color w:val="595959" w:themeColor="text1" w:themeTint="A6"/>
          <w:szCs w:val="21"/>
          <w:lang w:val="en-AU" w:eastAsia="en-AU"/>
        </w:rPr>
        <w:t xml:space="preserve">artners, and MEL actors to reflect on what is working, what is changing, and where adaptation is needed. MEL </w:t>
      </w:r>
      <w:r w:rsidR="004D0A77">
        <w:rPr>
          <w:rFonts w:cstheme="minorHAnsi"/>
          <w:bCs/>
          <w:color w:val="595959" w:themeColor="text1" w:themeTint="A6"/>
          <w:szCs w:val="21"/>
          <w:lang w:val="en-AU" w:eastAsia="en-AU"/>
        </w:rPr>
        <w:t>C</w:t>
      </w:r>
      <w:r w:rsidRPr="00C374E3">
        <w:rPr>
          <w:rFonts w:cstheme="minorHAnsi"/>
          <w:bCs/>
          <w:color w:val="595959" w:themeColor="text1" w:themeTint="A6"/>
          <w:szCs w:val="21"/>
          <w:lang w:val="en-AU" w:eastAsia="en-AU"/>
        </w:rPr>
        <w:t xml:space="preserve">linics will be held quarterly or as needed to provide targeted support on methodological issues, strengthen partner capabilities, and refine learning questions. </w:t>
      </w:r>
    </w:p>
    <w:p w14:paraId="488E1586" w14:textId="77777777" w:rsidR="00902F90" w:rsidRDefault="00902F90" w:rsidP="00504B06">
      <w:pPr>
        <w:pStyle w:val="ListParagraph"/>
        <w:numPr>
          <w:ilvl w:val="0"/>
          <w:numId w:val="40"/>
        </w:numPr>
        <w:suppressAutoHyphens w:val="0"/>
        <w:spacing w:before="0" w:after="120" w:line="276" w:lineRule="auto"/>
        <w:rPr>
          <w:rFonts w:cstheme="minorHAnsi"/>
          <w:bCs/>
          <w:color w:val="595959" w:themeColor="text1" w:themeTint="A6"/>
          <w:szCs w:val="21"/>
          <w:lang w:val="en-AU" w:eastAsia="en-AU"/>
        </w:rPr>
      </w:pPr>
      <w:r w:rsidRPr="00C374E3">
        <w:rPr>
          <w:rFonts w:cstheme="minorHAnsi"/>
          <w:bCs/>
          <w:color w:val="595959" w:themeColor="text1" w:themeTint="A6"/>
          <w:szCs w:val="21"/>
          <w:lang w:val="en-AU" w:eastAsia="en-AU"/>
        </w:rPr>
        <w:t xml:space="preserve">Tools: Outcome Harvesting will be used to capture emergent, non-linear results; Contribution Stories will document how different activities influence change in complex systems; </w:t>
      </w:r>
      <w:r>
        <w:rPr>
          <w:rFonts w:cstheme="minorHAnsi"/>
          <w:bCs/>
          <w:color w:val="595959" w:themeColor="text1" w:themeTint="A6"/>
          <w:szCs w:val="21"/>
          <w:lang w:val="en-AU" w:eastAsia="en-AU"/>
        </w:rPr>
        <w:t>and</w:t>
      </w:r>
      <w:r w:rsidRPr="00C374E3">
        <w:rPr>
          <w:rFonts w:cstheme="minorHAnsi"/>
          <w:bCs/>
          <w:color w:val="595959" w:themeColor="text1" w:themeTint="A6"/>
          <w:szCs w:val="21"/>
          <w:lang w:val="en-AU" w:eastAsia="en-AU"/>
        </w:rPr>
        <w:t xml:space="preserve"> Partner Reflection Notes will provide rapid insight into what actors are learning, observing, or grappling with in real-time. </w:t>
      </w:r>
    </w:p>
    <w:p w14:paraId="0DDC8003" w14:textId="0CA2018C" w:rsidR="00902F90" w:rsidRPr="00C374E3" w:rsidRDefault="00902F90" w:rsidP="00504B06">
      <w:pPr>
        <w:pStyle w:val="ListParagraph"/>
        <w:numPr>
          <w:ilvl w:val="0"/>
          <w:numId w:val="40"/>
        </w:numPr>
        <w:suppressAutoHyphens w:val="0"/>
        <w:spacing w:before="0" w:after="120" w:line="276" w:lineRule="auto"/>
        <w:rPr>
          <w:rFonts w:cstheme="minorHAnsi"/>
          <w:bCs/>
          <w:color w:val="595959" w:themeColor="text1" w:themeTint="A6"/>
          <w:szCs w:val="21"/>
          <w:lang w:val="en-AU" w:eastAsia="en-AU"/>
        </w:rPr>
      </w:pPr>
      <w:r w:rsidRPr="00C374E3">
        <w:rPr>
          <w:rFonts w:cstheme="minorHAnsi"/>
          <w:bCs/>
          <w:color w:val="595959" w:themeColor="text1" w:themeTint="A6"/>
          <w:szCs w:val="21"/>
          <w:lang w:val="en-AU" w:eastAsia="en-AU"/>
        </w:rPr>
        <w:t xml:space="preserve">Innovation: Micro-learning labs </w:t>
      </w:r>
      <w:r>
        <w:rPr>
          <w:rFonts w:cstheme="minorHAnsi"/>
          <w:bCs/>
          <w:color w:val="595959" w:themeColor="text1" w:themeTint="A6"/>
          <w:szCs w:val="21"/>
          <w:lang w:val="en-AU" w:eastAsia="en-AU"/>
        </w:rPr>
        <w:t>can</w:t>
      </w:r>
      <w:r w:rsidRPr="00C374E3">
        <w:rPr>
          <w:rFonts w:cstheme="minorHAnsi"/>
          <w:bCs/>
          <w:color w:val="595959" w:themeColor="text1" w:themeTint="A6"/>
          <w:szCs w:val="21"/>
          <w:lang w:val="en-AU" w:eastAsia="en-AU"/>
        </w:rPr>
        <w:t xml:space="preserve"> be trialled with CSO partners to incubate adaptive MEL methods (e.g. rapid feedback loops, digital storytelling, and </w:t>
      </w:r>
      <w:r>
        <w:rPr>
          <w:rFonts w:cstheme="minorHAnsi"/>
          <w:bCs/>
          <w:color w:val="595959" w:themeColor="text1" w:themeTint="A6"/>
          <w:szCs w:val="21"/>
          <w:lang w:val="en-AU" w:eastAsia="en-AU"/>
        </w:rPr>
        <w:t>‘</w:t>
      </w:r>
      <w:r w:rsidRPr="00C374E3">
        <w:rPr>
          <w:rFonts w:cstheme="minorHAnsi"/>
          <w:bCs/>
          <w:color w:val="595959" w:themeColor="text1" w:themeTint="A6"/>
          <w:szCs w:val="21"/>
          <w:lang w:val="en-AU" w:eastAsia="en-AU"/>
        </w:rPr>
        <w:t>fail fests</w:t>
      </w:r>
      <w:r>
        <w:rPr>
          <w:rFonts w:cstheme="minorHAnsi"/>
          <w:bCs/>
          <w:color w:val="595959" w:themeColor="text1" w:themeTint="A6"/>
          <w:szCs w:val="21"/>
          <w:lang w:val="en-AU" w:eastAsia="en-AU"/>
        </w:rPr>
        <w:t>’</w:t>
      </w:r>
      <w:r w:rsidRPr="00C374E3">
        <w:rPr>
          <w:rFonts w:cstheme="minorHAnsi"/>
          <w:bCs/>
          <w:color w:val="595959" w:themeColor="text1" w:themeTint="A6"/>
          <w:szCs w:val="21"/>
          <w:lang w:val="en-AU" w:eastAsia="en-AU"/>
        </w:rPr>
        <w:t>).</w:t>
      </w:r>
    </w:p>
    <w:p w14:paraId="5F27ADC2" w14:textId="397BDF6C" w:rsidR="00902F90" w:rsidRPr="00293BA7" w:rsidRDefault="6A86E4B5" w:rsidP="4C4F89DC">
      <w:pPr>
        <w:pStyle w:val="ListParagraph"/>
        <w:numPr>
          <w:ilvl w:val="7"/>
          <w:numId w:val="13"/>
        </w:numPr>
        <w:suppressAutoHyphens w:val="0"/>
        <w:spacing w:before="0" w:after="120" w:line="276" w:lineRule="auto"/>
        <w:ind w:left="284" w:hanging="284"/>
        <w:rPr>
          <w:color w:val="595959" w:themeColor="text1" w:themeTint="A6"/>
          <w:lang w:val="en-AU" w:eastAsia="en-AU"/>
        </w:rPr>
      </w:pPr>
      <w:r w:rsidRPr="4C4F89DC">
        <w:rPr>
          <w:b/>
          <w:bCs/>
          <w:color w:val="595959" w:themeColor="text1" w:themeTint="A6"/>
          <w:lang w:val="en-AU" w:eastAsia="en-AU"/>
        </w:rPr>
        <w:t>Politically Informed and Risk-Aware</w:t>
      </w:r>
      <w:r w:rsidRPr="4C4F89DC">
        <w:rPr>
          <w:color w:val="595959" w:themeColor="text1" w:themeTint="A6"/>
          <w:lang w:val="en-AU" w:eastAsia="en-AU"/>
        </w:rPr>
        <w:t xml:space="preserve">: The MEL system will take a realist and adaptive approach to navigating volatility and shrinking </w:t>
      </w:r>
      <w:r w:rsidRPr="21AAD640">
        <w:rPr>
          <w:color w:val="595959" w:themeColor="text1" w:themeTint="A6"/>
          <w:lang w:val="en-AU" w:eastAsia="en-AU"/>
        </w:rPr>
        <w:t>c</w:t>
      </w:r>
      <w:r w:rsidR="2642EB83" w:rsidRPr="21AAD640">
        <w:rPr>
          <w:color w:val="595959" w:themeColor="text1" w:themeTint="A6"/>
          <w:lang w:val="en-AU" w:eastAsia="en-AU"/>
        </w:rPr>
        <w:t xml:space="preserve">hanges in </w:t>
      </w:r>
      <w:r w:rsidRPr="4C4F89DC">
        <w:rPr>
          <w:color w:val="595959" w:themeColor="text1" w:themeTint="A6"/>
          <w:lang w:val="en-AU" w:eastAsia="en-AU"/>
        </w:rPr>
        <w:t>civic space. It will help the program stay alert to changing conditions and recalibrate as needed.</w:t>
      </w:r>
    </w:p>
    <w:p w14:paraId="1041CDF0" w14:textId="58A20EB8" w:rsidR="00902F90" w:rsidRDefault="00902F90" w:rsidP="00504B06">
      <w:pPr>
        <w:pStyle w:val="ListParagraph"/>
        <w:numPr>
          <w:ilvl w:val="0"/>
          <w:numId w:val="40"/>
        </w:numPr>
        <w:suppressAutoHyphens w:val="0"/>
        <w:spacing w:before="0" w:after="120" w:line="276" w:lineRule="auto"/>
        <w:rPr>
          <w:rFonts w:cstheme="minorHAnsi"/>
          <w:bCs/>
          <w:color w:val="595959" w:themeColor="text1" w:themeTint="A6"/>
          <w:szCs w:val="21"/>
          <w:lang w:val="en-AU" w:eastAsia="en-AU"/>
        </w:rPr>
      </w:pPr>
      <w:r w:rsidRPr="00543992">
        <w:rPr>
          <w:rFonts w:cstheme="minorHAnsi"/>
          <w:bCs/>
          <w:color w:val="595959" w:themeColor="text1" w:themeTint="A6"/>
          <w:szCs w:val="21"/>
          <w:lang w:val="en-AU" w:eastAsia="en-AU"/>
        </w:rPr>
        <w:t xml:space="preserve">Practice: A </w:t>
      </w:r>
      <w:r w:rsidR="00640E97">
        <w:rPr>
          <w:rFonts w:cstheme="minorHAnsi"/>
          <w:bCs/>
          <w:color w:val="595959" w:themeColor="text1" w:themeTint="A6"/>
          <w:szCs w:val="21"/>
          <w:lang w:val="en-AU" w:eastAsia="en-AU"/>
        </w:rPr>
        <w:t>democracy context monitoring tool</w:t>
      </w:r>
      <w:r w:rsidRPr="00543992">
        <w:rPr>
          <w:rFonts w:cstheme="minorHAnsi"/>
          <w:bCs/>
          <w:color w:val="595959" w:themeColor="text1" w:themeTint="A6"/>
          <w:szCs w:val="21"/>
          <w:lang w:val="en-AU" w:eastAsia="en-AU"/>
        </w:rPr>
        <w:t xml:space="preserve"> will be developed</w:t>
      </w:r>
      <w:r w:rsidR="00257E14">
        <w:rPr>
          <w:rFonts w:cstheme="minorHAnsi"/>
          <w:bCs/>
          <w:color w:val="595959" w:themeColor="text1" w:themeTint="A6"/>
          <w:szCs w:val="21"/>
          <w:lang w:val="en-AU" w:eastAsia="en-AU"/>
        </w:rPr>
        <w:t xml:space="preserve"> and updated.</w:t>
      </w:r>
      <w:r w:rsidRPr="00543992">
        <w:rPr>
          <w:rFonts w:cstheme="minorHAnsi"/>
          <w:bCs/>
          <w:color w:val="595959" w:themeColor="text1" w:themeTint="A6"/>
          <w:szCs w:val="21"/>
          <w:lang w:val="en-AU" w:eastAsia="en-AU"/>
        </w:rPr>
        <w:t xml:space="preserve"> </w:t>
      </w:r>
    </w:p>
    <w:p w14:paraId="4786173A" w14:textId="3D6CB925" w:rsidR="00902F90" w:rsidRDefault="00902F90" w:rsidP="00504B06">
      <w:pPr>
        <w:pStyle w:val="ListParagraph"/>
        <w:numPr>
          <w:ilvl w:val="0"/>
          <w:numId w:val="40"/>
        </w:numPr>
        <w:suppressAutoHyphens w:val="0"/>
        <w:spacing w:before="0" w:after="120" w:line="276" w:lineRule="auto"/>
        <w:rPr>
          <w:rFonts w:cstheme="minorHAnsi"/>
          <w:bCs/>
          <w:color w:val="595959" w:themeColor="text1" w:themeTint="A6"/>
          <w:szCs w:val="21"/>
          <w:lang w:val="en-AU" w:eastAsia="en-AU"/>
        </w:rPr>
      </w:pPr>
      <w:r w:rsidRPr="00543992">
        <w:rPr>
          <w:rFonts w:cstheme="minorHAnsi"/>
          <w:bCs/>
          <w:color w:val="595959" w:themeColor="text1" w:themeTint="A6"/>
          <w:szCs w:val="21"/>
          <w:lang w:val="en-AU" w:eastAsia="en-AU"/>
        </w:rPr>
        <w:lastRenderedPageBreak/>
        <w:t xml:space="preserve">Tools: Real-time feedback systems (e.g. simple mobile reporting tools, WhatsApp-based MEL updates), adaptive scenario logs, and risk-informed outcome monitoring. </w:t>
      </w:r>
    </w:p>
    <w:p w14:paraId="7E35D7E5" w14:textId="77777777" w:rsidR="00902F90" w:rsidRPr="00543992" w:rsidRDefault="00902F90" w:rsidP="00504B06">
      <w:pPr>
        <w:pStyle w:val="ListParagraph"/>
        <w:numPr>
          <w:ilvl w:val="0"/>
          <w:numId w:val="40"/>
        </w:numPr>
        <w:suppressAutoHyphens w:val="0"/>
        <w:spacing w:before="0" w:after="120" w:line="276" w:lineRule="auto"/>
        <w:rPr>
          <w:rFonts w:cstheme="minorHAnsi"/>
          <w:bCs/>
          <w:color w:val="595959" w:themeColor="text1" w:themeTint="A6"/>
          <w:szCs w:val="21"/>
          <w:lang w:val="en-AU" w:eastAsia="en-AU"/>
        </w:rPr>
      </w:pPr>
      <w:r w:rsidRPr="00543992">
        <w:rPr>
          <w:rFonts w:cstheme="minorHAnsi"/>
          <w:bCs/>
          <w:color w:val="595959" w:themeColor="text1" w:themeTint="A6"/>
          <w:szCs w:val="21"/>
          <w:lang w:val="en-AU" w:eastAsia="en-AU"/>
        </w:rPr>
        <w:t xml:space="preserve">Innovation: Scenario-testing workshops </w:t>
      </w:r>
      <w:r>
        <w:rPr>
          <w:rFonts w:cstheme="minorHAnsi"/>
          <w:bCs/>
          <w:color w:val="595959" w:themeColor="text1" w:themeTint="A6"/>
          <w:szCs w:val="21"/>
          <w:lang w:val="en-AU" w:eastAsia="en-AU"/>
        </w:rPr>
        <w:t xml:space="preserve">may </w:t>
      </w:r>
      <w:r w:rsidRPr="00543992">
        <w:rPr>
          <w:rFonts w:cstheme="minorHAnsi"/>
          <w:bCs/>
          <w:color w:val="595959" w:themeColor="text1" w:themeTint="A6"/>
          <w:szCs w:val="21"/>
          <w:lang w:val="en-AU" w:eastAsia="en-AU"/>
        </w:rPr>
        <w:t>allow partners to roleplay decision pathways and programmatic responses under different political futures, embedding readiness for change.</w:t>
      </w:r>
    </w:p>
    <w:p w14:paraId="72A8657F" w14:textId="77777777" w:rsidR="00902F90" w:rsidRPr="008E4266" w:rsidRDefault="00902F90" w:rsidP="006C3AC6">
      <w:pPr>
        <w:pStyle w:val="ListParagraph"/>
        <w:numPr>
          <w:ilvl w:val="7"/>
          <w:numId w:val="13"/>
        </w:numPr>
        <w:suppressAutoHyphens w:val="0"/>
        <w:spacing w:before="0" w:after="120" w:line="276" w:lineRule="auto"/>
        <w:ind w:left="284" w:hanging="284"/>
        <w:rPr>
          <w:rFonts w:cstheme="minorHAnsi"/>
          <w:bCs/>
          <w:color w:val="595959" w:themeColor="text1" w:themeTint="A6"/>
          <w:szCs w:val="21"/>
          <w:lang w:val="en-AU" w:eastAsia="en-AU"/>
        </w:rPr>
      </w:pPr>
      <w:r w:rsidRPr="008E4266">
        <w:rPr>
          <w:rFonts w:cstheme="minorHAnsi"/>
          <w:b/>
          <w:color w:val="595959" w:themeColor="text1" w:themeTint="A6"/>
          <w:szCs w:val="21"/>
          <w:lang w:val="en-AU" w:eastAsia="en-AU"/>
        </w:rPr>
        <w:t>Equity-Focused and Gender-Sensitive</w:t>
      </w:r>
      <w:r>
        <w:rPr>
          <w:rFonts w:cstheme="minorHAnsi"/>
          <w:bCs/>
          <w:color w:val="595959" w:themeColor="text1" w:themeTint="A6"/>
          <w:szCs w:val="21"/>
          <w:lang w:val="en-AU" w:eastAsia="en-AU"/>
        </w:rPr>
        <w:t>:</w:t>
      </w:r>
      <w:r w:rsidRPr="008E4266">
        <w:rPr>
          <w:rFonts w:cstheme="minorHAnsi"/>
          <w:bCs/>
          <w:color w:val="595959" w:themeColor="text1" w:themeTint="A6"/>
          <w:szCs w:val="21"/>
          <w:lang w:val="en-AU" w:eastAsia="en-AU"/>
        </w:rPr>
        <w:t xml:space="preserve"> The MEL system will place equity and GEDSI analysis at its core</w:t>
      </w:r>
      <w:r>
        <w:rPr>
          <w:rFonts w:cstheme="minorHAnsi"/>
          <w:bCs/>
          <w:color w:val="595959" w:themeColor="text1" w:themeTint="A6"/>
          <w:szCs w:val="21"/>
          <w:lang w:val="en-AU" w:eastAsia="en-AU"/>
        </w:rPr>
        <w:t xml:space="preserve">, </w:t>
      </w:r>
      <w:r w:rsidRPr="008E4266">
        <w:rPr>
          <w:rFonts w:cstheme="minorHAnsi"/>
          <w:bCs/>
          <w:color w:val="595959" w:themeColor="text1" w:themeTint="A6"/>
          <w:szCs w:val="21"/>
          <w:lang w:val="en-AU" w:eastAsia="en-AU"/>
        </w:rPr>
        <w:t>recognising that inclusive democracy requires intentional tracking of who benefits, who participates, and who is left behind.</w:t>
      </w:r>
    </w:p>
    <w:p w14:paraId="414ABC56" w14:textId="0E7D4F4B" w:rsidR="00902F90" w:rsidRDefault="00902F90" w:rsidP="00504B06">
      <w:pPr>
        <w:pStyle w:val="ListParagraph"/>
        <w:numPr>
          <w:ilvl w:val="0"/>
          <w:numId w:val="40"/>
        </w:numPr>
        <w:suppressAutoHyphens w:val="0"/>
        <w:spacing w:before="0" w:after="120" w:line="276" w:lineRule="auto"/>
        <w:rPr>
          <w:rFonts w:cstheme="minorHAnsi"/>
          <w:bCs/>
          <w:color w:val="595959" w:themeColor="text1" w:themeTint="A6"/>
          <w:szCs w:val="21"/>
          <w:lang w:val="en-AU" w:eastAsia="en-AU"/>
        </w:rPr>
      </w:pPr>
      <w:r w:rsidRPr="008E4266">
        <w:rPr>
          <w:rFonts w:cstheme="minorHAnsi"/>
          <w:bCs/>
          <w:color w:val="595959" w:themeColor="text1" w:themeTint="A6"/>
          <w:szCs w:val="21"/>
          <w:lang w:val="en-AU" w:eastAsia="en-AU"/>
        </w:rPr>
        <w:t xml:space="preserve">Practice: All MEL activities will include GEDSI lenses. Outcome harvesting and </w:t>
      </w:r>
      <w:r w:rsidR="00031FA1">
        <w:rPr>
          <w:rFonts w:cstheme="minorHAnsi"/>
          <w:bCs/>
          <w:color w:val="595959" w:themeColor="text1" w:themeTint="A6"/>
          <w:szCs w:val="21"/>
          <w:lang w:val="en-AU" w:eastAsia="en-AU"/>
        </w:rPr>
        <w:t>P</w:t>
      </w:r>
      <w:r w:rsidRPr="008E4266">
        <w:rPr>
          <w:rFonts w:cstheme="minorHAnsi"/>
          <w:bCs/>
          <w:color w:val="595959" w:themeColor="text1" w:themeTint="A6"/>
          <w:szCs w:val="21"/>
          <w:lang w:val="en-AU" w:eastAsia="en-AU"/>
        </w:rPr>
        <w:t xml:space="preserve">artner </w:t>
      </w:r>
      <w:r w:rsidR="00031FA1">
        <w:rPr>
          <w:rFonts w:cstheme="minorHAnsi"/>
          <w:bCs/>
          <w:color w:val="595959" w:themeColor="text1" w:themeTint="A6"/>
          <w:szCs w:val="21"/>
          <w:lang w:val="en-AU" w:eastAsia="en-AU"/>
        </w:rPr>
        <w:t>R</w:t>
      </w:r>
      <w:r w:rsidRPr="008E4266">
        <w:rPr>
          <w:rFonts w:cstheme="minorHAnsi"/>
          <w:bCs/>
          <w:color w:val="595959" w:themeColor="text1" w:themeTint="A6"/>
          <w:szCs w:val="21"/>
          <w:lang w:val="en-AU" w:eastAsia="en-AU"/>
        </w:rPr>
        <w:t xml:space="preserve">eflection </w:t>
      </w:r>
      <w:r w:rsidR="00031FA1">
        <w:rPr>
          <w:rFonts w:cstheme="minorHAnsi"/>
          <w:bCs/>
          <w:color w:val="595959" w:themeColor="text1" w:themeTint="A6"/>
          <w:szCs w:val="21"/>
          <w:lang w:val="en-AU" w:eastAsia="en-AU"/>
        </w:rPr>
        <w:t>N</w:t>
      </w:r>
      <w:r w:rsidRPr="008E4266">
        <w:rPr>
          <w:rFonts w:cstheme="minorHAnsi"/>
          <w:bCs/>
          <w:color w:val="595959" w:themeColor="text1" w:themeTint="A6"/>
          <w:szCs w:val="21"/>
          <w:lang w:val="en-AU" w:eastAsia="en-AU"/>
        </w:rPr>
        <w:t xml:space="preserve">otes will include guiding prompts on inclusion and representation. Quarterly </w:t>
      </w:r>
      <w:r>
        <w:rPr>
          <w:rFonts w:cstheme="minorHAnsi"/>
          <w:bCs/>
          <w:color w:val="595959" w:themeColor="text1" w:themeTint="A6"/>
          <w:szCs w:val="21"/>
          <w:lang w:val="en-AU" w:eastAsia="en-AU"/>
        </w:rPr>
        <w:t>‘</w:t>
      </w:r>
      <w:r w:rsidRPr="008E4266">
        <w:rPr>
          <w:rFonts w:cstheme="minorHAnsi"/>
          <w:bCs/>
          <w:color w:val="595959" w:themeColor="text1" w:themeTint="A6"/>
          <w:szCs w:val="21"/>
          <w:lang w:val="en-AU" w:eastAsia="en-AU"/>
        </w:rPr>
        <w:t xml:space="preserve">impact </w:t>
      </w:r>
      <w:proofErr w:type="gramStart"/>
      <w:r w:rsidRPr="008E4266">
        <w:rPr>
          <w:rFonts w:cstheme="minorHAnsi"/>
          <w:bCs/>
          <w:color w:val="595959" w:themeColor="text1" w:themeTint="A6"/>
          <w:szCs w:val="21"/>
          <w:lang w:val="en-AU" w:eastAsia="en-AU"/>
        </w:rPr>
        <w:t>snapshots</w:t>
      </w:r>
      <w:r>
        <w:rPr>
          <w:rFonts w:cstheme="minorHAnsi"/>
          <w:bCs/>
          <w:color w:val="595959" w:themeColor="text1" w:themeTint="A6"/>
          <w:szCs w:val="21"/>
          <w:lang w:val="en-AU" w:eastAsia="en-AU"/>
        </w:rPr>
        <w:t>’</w:t>
      </w:r>
      <w:proofErr w:type="gramEnd"/>
      <w:r w:rsidRPr="008E4266">
        <w:rPr>
          <w:rFonts w:cstheme="minorHAnsi"/>
          <w:bCs/>
          <w:color w:val="595959" w:themeColor="text1" w:themeTint="A6"/>
          <w:szCs w:val="21"/>
          <w:lang w:val="en-AU" w:eastAsia="en-AU"/>
        </w:rPr>
        <w:t xml:space="preserve"> will analyse how different groups experience change. </w:t>
      </w:r>
    </w:p>
    <w:p w14:paraId="6B280B2D" w14:textId="69BE633D" w:rsidR="00902F90" w:rsidRDefault="00902F90" w:rsidP="00504B06">
      <w:pPr>
        <w:pStyle w:val="ListParagraph"/>
        <w:numPr>
          <w:ilvl w:val="0"/>
          <w:numId w:val="40"/>
        </w:numPr>
        <w:suppressAutoHyphens w:val="0"/>
        <w:spacing w:before="0" w:after="120" w:line="276" w:lineRule="auto"/>
        <w:rPr>
          <w:rFonts w:cstheme="minorHAnsi"/>
          <w:bCs/>
          <w:color w:val="595959" w:themeColor="text1" w:themeTint="A6"/>
          <w:szCs w:val="21"/>
          <w:lang w:val="en-AU" w:eastAsia="en-AU"/>
        </w:rPr>
      </w:pPr>
      <w:r w:rsidRPr="008E4266">
        <w:rPr>
          <w:rFonts w:cstheme="minorHAnsi"/>
          <w:bCs/>
          <w:color w:val="595959" w:themeColor="text1" w:themeTint="A6"/>
          <w:szCs w:val="21"/>
          <w:lang w:val="en-AU" w:eastAsia="en-AU"/>
        </w:rPr>
        <w:t>Tools: Disaggregated data will be collected across all IOs (including sex, age, disability, and geographic location). Participatory GEDSI sessions will be used to interpret data and shape adaptations.</w:t>
      </w:r>
    </w:p>
    <w:p w14:paraId="7A41B8AD" w14:textId="77777777" w:rsidR="00902F90" w:rsidRPr="008E4266" w:rsidRDefault="00902F90" w:rsidP="00504B06">
      <w:pPr>
        <w:pStyle w:val="ListParagraph"/>
        <w:numPr>
          <w:ilvl w:val="0"/>
          <w:numId w:val="40"/>
        </w:numPr>
        <w:suppressAutoHyphens w:val="0"/>
        <w:spacing w:before="0" w:after="120" w:line="276" w:lineRule="auto"/>
        <w:rPr>
          <w:rFonts w:cstheme="minorHAnsi"/>
          <w:bCs/>
          <w:color w:val="595959" w:themeColor="text1" w:themeTint="A6"/>
          <w:szCs w:val="21"/>
          <w:lang w:val="en-AU" w:eastAsia="en-AU"/>
        </w:rPr>
      </w:pPr>
      <w:r w:rsidRPr="008E4266">
        <w:rPr>
          <w:rFonts w:cstheme="minorHAnsi"/>
          <w:bCs/>
          <w:color w:val="595959" w:themeColor="text1" w:themeTint="A6"/>
          <w:szCs w:val="21"/>
          <w:lang w:val="en-AU" w:eastAsia="en-AU"/>
        </w:rPr>
        <w:t xml:space="preserve">Innovation: </w:t>
      </w:r>
      <w:r>
        <w:rPr>
          <w:rFonts w:cstheme="minorHAnsi"/>
          <w:bCs/>
          <w:color w:val="595959" w:themeColor="text1" w:themeTint="A6"/>
          <w:szCs w:val="21"/>
          <w:lang w:val="en-AU" w:eastAsia="en-AU"/>
        </w:rPr>
        <w:t>D</w:t>
      </w:r>
      <w:r w:rsidRPr="008E4266">
        <w:rPr>
          <w:rFonts w:cstheme="minorHAnsi"/>
          <w:bCs/>
          <w:color w:val="595959" w:themeColor="text1" w:themeTint="A6"/>
          <w:szCs w:val="21"/>
          <w:lang w:val="en-AU" w:eastAsia="en-AU"/>
        </w:rPr>
        <w:t>igital storytelling tools will capture nuanced narratives of change.</w:t>
      </w:r>
    </w:p>
    <w:p w14:paraId="4656C473" w14:textId="77777777" w:rsidR="00902F90" w:rsidRPr="005334CE" w:rsidRDefault="00902F90" w:rsidP="006C3AC6">
      <w:pPr>
        <w:pStyle w:val="ListParagraph"/>
        <w:numPr>
          <w:ilvl w:val="7"/>
          <w:numId w:val="13"/>
        </w:numPr>
        <w:suppressAutoHyphens w:val="0"/>
        <w:spacing w:before="0" w:after="120" w:line="276" w:lineRule="auto"/>
        <w:ind w:left="284" w:hanging="284"/>
        <w:rPr>
          <w:rFonts w:cstheme="minorHAnsi"/>
          <w:bCs/>
          <w:color w:val="595959" w:themeColor="text1" w:themeTint="A6"/>
          <w:szCs w:val="21"/>
          <w:lang w:val="en-AU" w:eastAsia="en-AU"/>
        </w:rPr>
      </w:pPr>
      <w:r w:rsidRPr="005334CE">
        <w:rPr>
          <w:rFonts w:cstheme="minorHAnsi"/>
          <w:b/>
          <w:color w:val="595959" w:themeColor="text1" w:themeTint="A6"/>
          <w:szCs w:val="21"/>
          <w:lang w:val="en-AU" w:eastAsia="en-AU"/>
        </w:rPr>
        <w:t>Collaborative and Co-Owned</w:t>
      </w:r>
      <w:r>
        <w:rPr>
          <w:rFonts w:cstheme="minorHAnsi"/>
          <w:bCs/>
          <w:color w:val="595959" w:themeColor="text1" w:themeTint="A6"/>
          <w:szCs w:val="21"/>
          <w:lang w:val="en-AU" w:eastAsia="en-AU"/>
        </w:rPr>
        <w:t xml:space="preserve">: </w:t>
      </w:r>
      <w:r w:rsidRPr="005334CE">
        <w:rPr>
          <w:rFonts w:cstheme="minorHAnsi"/>
          <w:bCs/>
          <w:color w:val="595959" w:themeColor="text1" w:themeTint="A6"/>
          <w:szCs w:val="21"/>
          <w:lang w:val="en-AU" w:eastAsia="en-AU"/>
        </w:rPr>
        <w:t>The MEL system will be built on mutual accountability and collaborative learning. Rather than top-down reporting, partners will co-develop plans, test ideas, and validate results.</w:t>
      </w:r>
    </w:p>
    <w:p w14:paraId="09BB5682" w14:textId="7D568F6B" w:rsidR="00902F90" w:rsidRDefault="00902F90" w:rsidP="00504B06">
      <w:pPr>
        <w:pStyle w:val="ListParagraph"/>
        <w:numPr>
          <w:ilvl w:val="0"/>
          <w:numId w:val="40"/>
        </w:numPr>
        <w:suppressAutoHyphens w:val="0"/>
        <w:spacing w:before="0" w:after="120" w:line="276" w:lineRule="auto"/>
        <w:rPr>
          <w:rFonts w:cstheme="minorHAnsi"/>
          <w:bCs/>
          <w:color w:val="595959" w:themeColor="text1" w:themeTint="A6"/>
          <w:szCs w:val="21"/>
          <w:lang w:val="en-AU" w:eastAsia="en-AU"/>
        </w:rPr>
      </w:pPr>
      <w:r w:rsidRPr="00A23A32">
        <w:rPr>
          <w:rFonts w:cstheme="minorHAnsi"/>
          <w:bCs/>
          <w:color w:val="595959" w:themeColor="text1" w:themeTint="A6"/>
          <w:szCs w:val="21"/>
          <w:lang w:val="en-AU" w:eastAsia="en-AU"/>
        </w:rPr>
        <w:t xml:space="preserve">Practice: Annual MEL planning workshops will bring together all </w:t>
      </w:r>
      <w:r w:rsidR="00CD6823">
        <w:rPr>
          <w:rFonts w:cstheme="minorHAnsi"/>
          <w:bCs/>
          <w:color w:val="595959" w:themeColor="text1" w:themeTint="A6"/>
          <w:szCs w:val="21"/>
          <w:lang w:val="en-AU" w:eastAsia="en-AU"/>
        </w:rPr>
        <w:t>CSP</w:t>
      </w:r>
      <w:r w:rsidR="00CD6823" w:rsidRPr="00A23A32">
        <w:rPr>
          <w:rFonts w:cstheme="minorHAnsi"/>
          <w:bCs/>
          <w:color w:val="595959" w:themeColor="text1" w:themeTint="A6"/>
          <w:szCs w:val="21"/>
          <w:lang w:val="en-AU" w:eastAsia="en-AU"/>
        </w:rPr>
        <w:t xml:space="preserve"> </w:t>
      </w:r>
      <w:r w:rsidRPr="00A23A32">
        <w:rPr>
          <w:rFonts w:cstheme="minorHAnsi"/>
          <w:bCs/>
          <w:color w:val="595959" w:themeColor="text1" w:themeTint="A6"/>
          <w:szCs w:val="21"/>
          <w:lang w:val="en-AU" w:eastAsia="en-AU"/>
        </w:rPr>
        <w:t xml:space="preserve">actors to set learning priorities, revise indicators, and align strategies. Data will be validated through collective sense-making workshops and peer review. </w:t>
      </w:r>
    </w:p>
    <w:p w14:paraId="72F26DD3" w14:textId="3C4AC04E" w:rsidR="00902F90" w:rsidRPr="00E97C10" w:rsidRDefault="00902F90" w:rsidP="00504B06">
      <w:pPr>
        <w:pStyle w:val="ListParagraph"/>
        <w:numPr>
          <w:ilvl w:val="0"/>
          <w:numId w:val="40"/>
        </w:numPr>
        <w:suppressAutoHyphens w:val="0"/>
        <w:spacing w:before="0" w:after="120" w:line="276" w:lineRule="auto"/>
        <w:rPr>
          <w:rFonts w:cstheme="minorHAnsi"/>
          <w:bCs/>
          <w:color w:val="595959" w:themeColor="text1" w:themeTint="A6"/>
          <w:szCs w:val="21"/>
          <w:lang w:val="en-AU" w:eastAsia="en-AU"/>
        </w:rPr>
      </w:pPr>
      <w:r w:rsidRPr="00A23A32">
        <w:rPr>
          <w:rFonts w:cstheme="minorHAnsi"/>
          <w:bCs/>
          <w:color w:val="595959" w:themeColor="text1" w:themeTint="A6"/>
          <w:szCs w:val="21"/>
          <w:lang w:val="en-AU" w:eastAsia="en-AU"/>
        </w:rPr>
        <w:t xml:space="preserve">Tools: </w:t>
      </w:r>
      <w:r w:rsidR="0036659F">
        <w:rPr>
          <w:rFonts w:cstheme="minorHAnsi"/>
          <w:bCs/>
          <w:color w:val="595959" w:themeColor="text1" w:themeTint="A6"/>
          <w:szCs w:val="21"/>
          <w:lang w:val="en-AU" w:eastAsia="en-AU"/>
        </w:rPr>
        <w:t>Six-monthly</w:t>
      </w:r>
      <w:r w:rsidRPr="00A23A32">
        <w:rPr>
          <w:rFonts w:cstheme="minorHAnsi"/>
          <w:bCs/>
          <w:color w:val="595959" w:themeColor="text1" w:themeTint="A6"/>
          <w:szCs w:val="21"/>
          <w:lang w:val="en-AU" w:eastAsia="en-AU"/>
        </w:rPr>
        <w:t xml:space="preserve"> </w:t>
      </w:r>
      <w:r w:rsidR="0036659F">
        <w:rPr>
          <w:rFonts w:cstheme="minorHAnsi"/>
          <w:bCs/>
          <w:color w:val="595959" w:themeColor="text1" w:themeTint="A6"/>
          <w:szCs w:val="21"/>
          <w:lang w:val="en-AU" w:eastAsia="en-AU"/>
        </w:rPr>
        <w:t>joint</w:t>
      </w:r>
      <w:r w:rsidRPr="00A23A32">
        <w:rPr>
          <w:rFonts w:cstheme="minorHAnsi"/>
          <w:bCs/>
          <w:color w:val="595959" w:themeColor="text1" w:themeTint="A6"/>
          <w:szCs w:val="21"/>
          <w:lang w:val="en-AU" w:eastAsia="en-AU"/>
        </w:rPr>
        <w:t xml:space="preserve"> </w:t>
      </w:r>
      <w:r w:rsidRPr="00E97C10">
        <w:rPr>
          <w:rFonts w:cstheme="minorHAnsi"/>
          <w:bCs/>
          <w:color w:val="595959" w:themeColor="text1" w:themeTint="A6"/>
          <w:szCs w:val="21"/>
          <w:lang w:val="en-AU" w:eastAsia="en-AU"/>
        </w:rPr>
        <w:t xml:space="preserve">reflection </w:t>
      </w:r>
      <w:r w:rsidR="00C14D09">
        <w:rPr>
          <w:rFonts w:cstheme="minorHAnsi"/>
          <w:bCs/>
          <w:color w:val="595959" w:themeColor="text1" w:themeTint="A6"/>
          <w:szCs w:val="21"/>
          <w:lang w:val="en-AU" w:eastAsia="en-AU"/>
        </w:rPr>
        <w:t>workshops</w:t>
      </w:r>
      <w:r w:rsidRPr="00E97C10">
        <w:rPr>
          <w:rFonts w:cstheme="minorHAnsi"/>
          <w:bCs/>
          <w:color w:val="595959" w:themeColor="text1" w:themeTint="A6"/>
          <w:szCs w:val="21"/>
          <w:lang w:val="en-AU" w:eastAsia="en-AU"/>
        </w:rPr>
        <w:t>, shared outcome frameworks, learning compacts, and rotating MEL focal groups to promote distributed leadership. Partner-led self-assessments will track organisational capacity and ownership. Local ownership indicators will measure the extent to which civic actors shape and lead outcomes. Data will be disaggregated by gender, disability, age, geography, and other relevant dimensions.</w:t>
      </w:r>
    </w:p>
    <w:p w14:paraId="596C251F" w14:textId="77777777" w:rsidR="00902F90" w:rsidRPr="00A23A32" w:rsidRDefault="00902F90" w:rsidP="00504B06">
      <w:pPr>
        <w:pStyle w:val="ListParagraph"/>
        <w:numPr>
          <w:ilvl w:val="0"/>
          <w:numId w:val="40"/>
        </w:numPr>
        <w:suppressAutoHyphens w:val="0"/>
        <w:spacing w:before="0" w:after="120" w:line="276" w:lineRule="auto"/>
        <w:rPr>
          <w:rFonts w:cstheme="minorHAnsi"/>
          <w:bCs/>
          <w:color w:val="595959" w:themeColor="text1" w:themeTint="A6"/>
          <w:szCs w:val="21"/>
          <w:lang w:val="en-AU" w:eastAsia="en-AU"/>
        </w:rPr>
      </w:pPr>
      <w:r w:rsidRPr="00A23A32">
        <w:rPr>
          <w:rFonts w:cstheme="minorHAnsi"/>
          <w:bCs/>
          <w:color w:val="595959" w:themeColor="text1" w:themeTint="A6"/>
          <w:szCs w:val="21"/>
          <w:lang w:val="en-AU" w:eastAsia="en-AU"/>
        </w:rPr>
        <w:t xml:space="preserve">Innovation: </w:t>
      </w:r>
      <w:r>
        <w:rPr>
          <w:rFonts w:cstheme="minorHAnsi"/>
          <w:bCs/>
          <w:color w:val="595959" w:themeColor="text1" w:themeTint="A6"/>
          <w:szCs w:val="21"/>
          <w:lang w:val="en-AU" w:eastAsia="en-AU"/>
        </w:rPr>
        <w:t>‘</w:t>
      </w:r>
      <w:r w:rsidRPr="00A23A32">
        <w:rPr>
          <w:rFonts w:cstheme="minorHAnsi"/>
          <w:bCs/>
          <w:color w:val="595959" w:themeColor="text1" w:themeTint="A6"/>
          <w:szCs w:val="21"/>
          <w:lang w:val="en-AU" w:eastAsia="en-AU"/>
        </w:rPr>
        <w:t xml:space="preserve">Learning </w:t>
      </w:r>
      <w:r w:rsidRPr="00F26DBD">
        <w:rPr>
          <w:rFonts w:cstheme="minorHAnsi"/>
          <w:bCs/>
          <w:color w:val="595959" w:themeColor="text1" w:themeTint="A6"/>
          <w:szCs w:val="21"/>
          <w:lang w:val="en-AU" w:eastAsia="en-AU"/>
        </w:rPr>
        <w:t>compacts</w:t>
      </w:r>
      <w:r>
        <w:rPr>
          <w:rFonts w:cstheme="minorHAnsi"/>
          <w:bCs/>
          <w:color w:val="595959" w:themeColor="text1" w:themeTint="A6"/>
          <w:szCs w:val="21"/>
          <w:lang w:val="en-AU" w:eastAsia="en-AU"/>
        </w:rPr>
        <w:t>’</w:t>
      </w:r>
      <w:r w:rsidRPr="00F26DBD">
        <w:rPr>
          <w:rFonts w:cstheme="minorHAnsi"/>
          <w:bCs/>
          <w:color w:val="595959" w:themeColor="text1" w:themeTint="A6"/>
          <w:szCs w:val="21"/>
          <w:lang w:val="en-AU" w:eastAsia="en-AU"/>
        </w:rPr>
        <w:t xml:space="preserve"> c</w:t>
      </w:r>
      <w:r>
        <w:rPr>
          <w:rFonts w:cstheme="minorHAnsi"/>
          <w:bCs/>
          <w:color w:val="595959" w:themeColor="text1" w:themeTint="A6"/>
          <w:szCs w:val="21"/>
          <w:lang w:val="en-AU" w:eastAsia="en-AU"/>
        </w:rPr>
        <w:t>ould</w:t>
      </w:r>
      <w:r w:rsidRPr="00F26DBD">
        <w:rPr>
          <w:rFonts w:cstheme="minorHAnsi"/>
          <w:bCs/>
          <w:color w:val="595959" w:themeColor="text1" w:themeTint="A6"/>
          <w:szCs w:val="21"/>
          <w:lang w:val="en-AU" w:eastAsia="en-AU"/>
        </w:rPr>
        <w:t xml:space="preserve"> be piloted to formalise commitments between DFAT and partners on learning priorities, with incentives for experimentation and iteration. Participatory </w:t>
      </w:r>
      <w:r>
        <w:rPr>
          <w:rFonts w:cstheme="minorHAnsi"/>
          <w:bCs/>
          <w:color w:val="595959" w:themeColor="text1" w:themeTint="A6"/>
          <w:szCs w:val="21"/>
          <w:lang w:val="en-AU" w:eastAsia="en-AU"/>
        </w:rPr>
        <w:t>‘</w:t>
      </w:r>
      <w:r w:rsidRPr="00F26DBD">
        <w:rPr>
          <w:rFonts w:cstheme="minorHAnsi"/>
          <w:bCs/>
          <w:color w:val="595959" w:themeColor="text1" w:themeTint="A6"/>
          <w:szCs w:val="21"/>
          <w:lang w:val="en-AU" w:eastAsia="en-AU"/>
        </w:rPr>
        <w:t xml:space="preserve">data </w:t>
      </w:r>
      <w:proofErr w:type="gramStart"/>
      <w:r w:rsidRPr="00F26DBD">
        <w:rPr>
          <w:rFonts w:cstheme="minorHAnsi"/>
          <w:bCs/>
          <w:color w:val="595959" w:themeColor="text1" w:themeTint="A6"/>
          <w:szCs w:val="21"/>
          <w:lang w:val="en-AU" w:eastAsia="en-AU"/>
        </w:rPr>
        <w:t>walks</w:t>
      </w:r>
      <w:r>
        <w:rPr>
          <w:rFonts w:cstheme="minorHAnsi"/>
          <w:bCs/>
          <w:color w:val="595959" w:themeColor="text1" w:themeTint="A6"/>
          <w:szCs w:val="21"/>
          <w:lang w:val="en-AU" w:eastAsia="en-AU"/>
        </w:rPr>
        <w:t>’</w:t>
      </w:r>
      <w:proofErr w:type="gramEnd"/>
      <w:r w:rsidRPr="00F26DBD">
        <w:rPr>
          <w:rFonts w:cstheme="minorHAnsi"/>
          <w:bCs/>
          <w:color w:val="595959" w:themeColor="text1" w:themeTint="A6"/>
          <w:szCs w:val="21"/>
          <w:lang w:val="en-AU" w:eastAsia="en-AU"/>
        </w:rPr>
        <w:t xml:space="preserve"> and community scorecards can be piloted in targeted initiatives to democratise learning and encourage feedback from marginalised populations.</w:t>
      </w:r>
    </w:p>
    <w:p w14:paraId="24D8FEA4" w14:textId="43956C95" w:rsidR="00902F90" w:rsidRPr="007F5255" w:rsidRDefault="00902F90" w:rsidP="006C3AC6">
      <w:pPr>
        <w:pStyle w:val="ListParagraph"/>
        <w:numPr>
          <w:ilvl w:val="7"/>
          <w:numId w:val="13"/>
        </w:numPr>
        <w:suppressAutoHyphens w:val="0"/>
        <w:spacing w:before="0" w:after="120" w:line="276" w:lineRule="auto"/>
        <w:ind w:left="284" w:hanging="284"/>
        <w:rPr>
          <w:rFonts w:cstheme="minorHAnsi"/>
          <w:bCs/>
          <w:color w:val="595959" w:themeColor="text1" w:themeTint="A6"/>
          <w:szCs w:val="21"/>
          <w:lang w:val="en-AU" w:eastAsia="en-AU"/>
        </w:rPr>
      </w:pPr>
      <w:r w:rsidRPr="007F5255">
        <w:rPr>
          <w:rFonts w:cstheme="minorHAnsi"/>
          <w:b/>
          <w:color w:val="595959" w:themeColor="text1" w:themeTint="A6"/>
          <w:szCs w:val="21"/>
          <w:lang w:val="en-AU" w:eastAsia="en-AU"/>
        </w:rPr>
        <w:t xml:space="preserve">Coherence Across </w:t>
      </w:r>
      <w:r w:rsidR="0022311B">
        <w:rPr>
          <w:rFonts w:cstheme="minorHAnsi"/>
          <w:b/>
          <w:color w:val="595959" w:themeColor="text1" w:themeTint="A6"/>
          <w:szCs w:val="21"/>
          <w:lang w:val="en-AU" w:eastAsia="en-AU"/>
        </w:rPr>
        <w:t>CSP</w:t>
      </w:r>
      <w:r>
        <w:rPr>
          <w:rFonts w:cstheme="minorHAnsi"/>
          <w:bCs/>
          <w:color w:val="595959" w:themeColor="text1" w:themeTint="A6"/>
          <w:szCs w:val="21"/>
          <w:lang w:val="en-AU" w:eastAsia="en-AU"/>
        </w:rPr>
        <w:t>:</w:t>
      </w:r>
      <w:r w:rsidRPr="007F5255">
        <w:rPr>
          <w:rFonts w:cstheme="minorHAnsi"/>
          <w:bCs/>
          <w:color w:val="595959" w:themeColor="text1" w:themeTint="A6"/>
          <w:szCs w:val="21"/>
          <w:lang w:val="en-AU" w:eastAsia="en-AU"/>
        </w:rPr>
        <w:t xml:space="preserve"> To ensure that data, learning, and adaptation are consistent across partners and components, the MEL Hub will maintain a unifying MEL Framework and coordinate synthesis efforts.</w:t>
      </w:r>
    </w:p>
    <w:p w14:paraId="33AD8E07" w14:textId="77777777" w:rsidR="00902F90" w:rsidRDefault="00902F90" w:rsidP="00504B06">
      <w:pPr>
        <w:pStyle w:val="ListParagraph"/>
        <w:numPr>
          <w:ilvl w:val="0"/>
          <w:numId w:val="40"/>
        </w:numPr>
        <w:suppressAutoHyphens w:val="0"/>
        <w:spacing w:before="0" w:after="120" w:line="276" w:lineRule="auto"/>
        <w:rPr>
          <w:rFonts w:cstheme="minorHAnsi"/>
          <w:bCs/>
          <w:color w:val="595959" w:themeColor="text1" w:themeTint="A6"/>
          <w:szCs w:val="21"/>
          <w:lang w:val="en-AU" w:eastAsia="en-AU"/>
        </w:rPr>
      </w:pPr>
      <w:r w:rsidRPr="00776326">
        <w:rPr>
          <w:rFonts w:cstheme="minorHAnsi"/>
          <w:bCs/>
          <w:color w:val="595959" w:themeColor="text1" w:themeTint="A6"/>
          <w:szCs w:val="21"/>
          <w:lang w:val="en-AU" w:eastAsia="en-AU"/>
        </w:rPr>
        <w:t xml:space="preserve">Practice: The MEL Hub will develop annual MEL Plans and consolidate learning from across the </w:t>
      </w:r>
      <w:r>
        <w:rPr>
          <w:rFonts w:cstheme="minorHAnsi"/>
          <w:bCs/>
          <w:color w:val="595959" w:themeColor="text1" w:themeTint="A6"/>
          <w:szCs w:val="21"/>
          <w:lang w:val="en-AU" w:eastAsia="en-AU"/>
        </w:rPr>
        <w:t>s</w:t>
      </w:r>
      <w:r w:rsidRPr="00776326">
        <w:rPr>
          <w:rFonts w:cstheme="minorHAnsi"/>
          <w:bCs/>
          <w:color w:val="595959" w:themeColor="text1" w:themeTint="A6"/>
          <w:szCs w:val="21"/>
          <w:lang w:val="en-AU" w:eastAsia="en-AU"/>
        </w:rPr>
        <w:t>pokes. This will feed into strategic dialogue with DFAT and policy engagement with</w:t>
      </w:r>
      <w:r>
        <w:rPr>
          <w:rFonts w:cstheme="minorHAnsi"/>
          <w:bCs/>
          <w:color w:val="595959" w:themeColor="text1" w:themeTint="A6"/>
          <w:szCs w:val="21"/>
          <w:lang w:val="en-AU" w:eastAsia="en-AU"/>
        </w:rPr>
        <w:t xml:space="preserve"> </w:t>
      </w:r>
      <w:proofErr w:type="spellStart"/>
      <w:r>
        <w:rPr>
          <w:rFonts w:cstheme="minorHAnsi"/>
          <w:bCs/>
          <w:color w:val="595959" w:themeColor="text1" w:themeTint="A6"/>
          <w:szCs w:val="21"/>
          <w:lang w:val="en-AU" w:eastAsia="en-AU"/>
        </w:rPr>
        <w:t>GoI</w:t>
      </w:r>
      <w:proofErr w:type="spellEnd"/>
      <w:r w:rsidRPr="00776326">
        <w:rPr>
          <w:rFonts w:cstheme="minorHAnsi"/>
          <w:bCs/>
          <w:color w:val="595959" w:themeColor="text1" w:themeTint="A6"/>
          <w:szCs w:val="21"/>
          <w:lang w:val="en-AU" w:eastAsia="en-AU"/>
        </w:rPr>
        <w:t>.</w:t>
      </w:r>
    </w:p>
    <w:p w14:paraId="242E8214" w14:textId="77777777" w:rsidR="00902F90" w:rsidRDefault="00902F90" w:rsidP="00504B06">
      <w:pPr>
        <w:pStyle w:val="ListParagraph"/>
        <w:numPr>
          <w:ilvl w:val="0"/>
          <w:numId w:val="40"/>
        </w:numPr>
        <w:suppressAutoHyphens w:val="0"/>
        <w:spacing w:before="0" w:after="120" w:line="276" w:lineRule="auto"/>
        <w:rPr>
          <w:color w:val="595959" w:themeColor="text1" w:themeTint="A6"/>
          <w:lang w:val="en-AU" w:eastAsia="en-AU"/>
        </w:rPr>
      </w:pPr>
      <w:r w:rsidRPr="5261E5B3">
        <w:rPr>
          <w:color w:val="595959" w:themeColor="text1" w:themeTint="A6"/>
          <w:lang w:val="en-AU" w:eastAsia="en-AU"/>
        </w:rPr>
        <w:t>Tools: A core MEL Framework, linked to the Program Logic and PAF</w:t>
      </w:r>
      <w:r>
        <w:rPr>
          <w:color w:val="595959" w:themeColor="text1" w:themeTint="A6"/>
          <w:lang w:val="en-AU" w:eastAsia="en-AU"/>
        </w:rPr>
        <w:t>,</w:t>
      </w:r>
      <w:r w:rsidRPr="5261E5B3">
        <w:rPr>
          <w:rStyle w:val="FootnoteReference"/>
          <w:color w:val="595959" w:themeColor="text1" w:themeTint="A6"/>
          <w:lang w:val="en-AU" w:eastAsia="en-AU"/>
        </w:rPr>
        <w:footnoteReference w:id="14"/>
      </w:r>
      <w:r w:rsidRPr="5261E5B3">
        <w:rPr>
          <w:color w:val="595959" w:themeColor="text1" w:themeTint="A6"/>
          <w:lang w:val="en-AU" w:eastAsia="en-AU"/>
        </w:rPr>
        <w:t xml:space="preserve"> will ensure shared outcome measurement. A central digital knowledge repository will house tools, lessons, and data summaries for shared access.</w:t>
      </w:r>
    </w:p>
    <w:p w14:paraId="27410372" w14:textId="77777777" w:rsidR="00902F90" w:rsidRPr="00776326" w:rsidRDefault="00902F90" w:rsidP="00504B06">
      <w:pPr>
        <w:pStyle w:val="ListParagraph"/>
        <w:numPr>
          <w:ilvl w:val="0"/>
          <w:numId w:val="40"/>
        </w:numPr>
        <w:suppressAutoHyphens w:val="0"/>
        <w:spacing w:before="0" w:after="120" w:line="276" w:lineRule="auto"/>
        <w:rPr>
          <w:rFonts w:cstheme="minorHAnsi"/>
          <w:bCs/>
          <w:color w:val="595959" w:themeColor="text1" w:themeTint="A6"/>
          <w:szCs w:val="21"/>
          <w:lang w:val="en-AU" w:eastAsia="en-AU"/>
        </w:rPr>
      </w:pPr>
      <w:r w:rsidRPr="00776326">
        <w:rPr>
          <w:rFonts w:cstheme="minorHAnsi"/>
          <w:bCs/>
          <w:color w:val="595959" w:themeColor="text1" w:themeTint="A6"/>
          <w:szCs w:val="21"/>
          <w:lang w:val="en-AU" w:eastAsia="en-AU"/>
        </w:rPr>
        <w:t>Innovation: A real-time dashboard</w:t>
      </w:r>
      <w:r>
        <w:rPr>
          <w:rFonts w:cstheme="minorHAnsi"/>
          <w:bCs/>
          <w:color w:val="595959" w:themeColor="text1" w:themeTint="A6"/>
          <w:szCs w:val="21"/>
          <w:lang w:val="en-AU" w:eastAsia="en-AU"/>
        </w:rPr>
        <w:t xml:space="preserve"> could</w:t>
      </w:r>
      <w:r w:rsidRPr="00776326">
        <w:rPr>
          <w:rFonts w:cstheme="minorHAnsi"/>
          <w:bCs/>
          <w:color w:val="595959" w:themeColor="text1" w:themeTint="A6"/>
          <w:szCs w:val="21"/>
          <w:lang w:val="en-AU" w:eastAsia="en-AU"/>
        </w:rPr>
        <w:t xml:space="preserve"> be co-designed to visualise progress against selected IO-level indicators and outcome themes, with user-friendly interfaces for DFAT, partners, and local stakeholders.</w:t>
      </w:r>
    </w:p>
    <w:p w14:paraId="042DFF83" w14:textId="77777777" w:rsidR="00902F90" w:rsidRDefault="00902F90" w:rsidP="00902F90">
      <w:pPr>
        <w:suppressAutoHyphens w:val="0"/>
        <w:spacing w:before="0" w:line="276" w:lineRule="auto"/>
        <w:rPr>
          <w:rFonts w:cstheme="minorHAnsi"/>
          <w:bCs/>
          <w:color w:val="595959" w:themeColor="text1" w:themeTint="A6"/>
          <w:szCs w:val="21"/>
          <w:lang w:val="en-AU" w:eastAsia="en-AU"/>
        </w:rPr>
      </w:pPr>
      <w:r w:rsidRPr="004A0EA2">
        <w:rPr>
          <w:rFonts w:cstheme="minorHAnsi"/>
          <w:bCs/>
          <w:color w:val="595959" w:themeColor="text1" w:themeTint="A6"/>
          <w:szCs w:val="21"/>
          <w:lang w:val="en-AU" w:eastAsia="en-AU"/>
        </w:rPr>
        <w:t>Overall, these principles and practices reflect a shift from traditional MEL to a system that is adaptive, inclusive, and driven by learning. It is designed not only to measure results, but to support better decision-making, accountability to local actors, and continuous program improvement.</w:t>
      </w:r>
    </w:p>
    <w:p w14:paraId="73B008EC" w14:textId="77777777" w:rsidR="00902F90" w:rsidRPr="006950B5" w:rsidRDefault="00902F90" w:rsidP="00500EA6">
      <w:pPr>
        <w:pStyle w:val="Heading3"/>
        <w:spacing w:before="240"/>
      </w:pPr>
      <w:r>
        <w:lastRenderedPageBreak/>
        <w:t xml:space="preserve">Proposed </w:t>
      </w:r>
      <w:r w:rsidRPr="006950B5">
        <w:t>Key Evaluation Questions (KEQs)</w:t>
      </w:r>
    </w:p>
    <w:p w14:paraId="435338C0" w14:textId="56735716" w:rsidR="00902F90" w:rsidRDefault="00902F90" w:rsidP="00902F90">
      <w:r w:rsidRPr="002F7753">
        <w:rPr>
          <w:lang w:val="en-AU"/>
        </w:rPr>
        <w:t>The</w:t>
      </w:r>
      <w:r w:rsidRPr="002F7753">
        <w:rPr>
          <w:i/>
          <w:iCs/>
          <w:lang w:val="en-AU"/>
        </w:rPr>
        <w:t xml:space="preserve"> </w:t>
      </w:r>
      <w:proofErr w:type="spellStart"/>
      <w:r w:rsidRPr="00D84A7F">
        <w:rPr>
          <w:iCs/>
          <w:lang w:val="en-AU"/>
        </w:rPr>
        <w:t>Partisipasi</w:t>
      </w:r>
      <w:proofErr w:type="spellEnd"/>
      <w:r w:rsidRPr="002F7753">
        <w:rPr>
          <w:lang w:val="en-AU"/>
        </w:rPr>
        <w:t xml:space="preserve"> MEL </w:t>
      </w:r>
      <w:r w:rsidR="00031FA1">
        <w:rPr>
          <w:lang w:val="en-AU"/>
        </w:rPr>
        <w:t>S</w:t>
      </w:r>
      <w:r w:rsidRPr="002F7753">
        <w:rPr>
          <w:lang w:val="en-AU"/>
        </w:rPr>
        <w:t xml:space="preserve">ystem will be guided by a small number of high-level </w:t>
      </w:r>
      <w:r>
        <w:rPr>
          <w:lang w:val="en-AU"/>
        </w:rPr>
        <w:t xml:space="preserve">preliminary </w:t>
      </w:r>
      <w:r w:rsidRPr="002F7753">
        <w:rPr>
          <w:lang w:val="en-AU"/>
        </w:rPr>
        <w:t>Key Evaluation Questions (KEQs), aligned with the program’s</w:t>
      </w:r>
      <w:r>
        <w:rPr>
          <w:lang w:val="en-AU"/>
        </w:rPr>
        <w:t xml:space="preserve"> EOPOs</w:t>
      </w:r>
      <w:r w:rsidRPr="002F7753">
        <w:rPr>
          <w:lang w:val="en-AU"/>
        </w:rPr>
        <w:t xml:space="preserve">, DFAT’s </w:t>
      </w:r>
      <w:r w:rsidR="00F84EF6">
        <w:rPr>
          <w:lang w:val="en-AU"/>
        </w:rPr>
        <w:t>MEL standards</w:t>
      </w:r>
      <w:r w:rsidRPr="002F7753">
        <w:rPr>
          <w:lang w:val="en-AU"/>
        </w:rPr>
        <w:t>, and DFAT’s Development Evaluation Policy. These KEQs will ensure that the evaluation remains focused on outcomes related to democratic resilience, inclusivity, and governance, while allowing for an adaptive and reflective approach.</w:t>
      </w:r>
    </w:p>
    <w:p w14:paraId="6AB4F0B1" w14:textId="41AFC5DF" w:rsidR="00902F90" w:rsidRDefault="00902F90" w:rsidP="00902F90">
      <w:pPr>
        <w:pStyle w:val="Caption"/>
        <w:keepNext/>
      </w:pPr>
      <w:r>
        <w:t>Table</w:t>
      </w:r>
      <w:r w:rsidR="008D4216">
        <w:t xml:space="preserve"> 1</w:t>
      </w:r>
      <w:r w:rsidR="00FC764C">
        <w:t>2</w:t>
      </w:r>
      <w:r>
        <w:t xml:space="preserve">: </w:t>
      </w:r>
      <w:r w:rsidRPr="00506612">
        <w:t>Proposed Key Evaluation Questions</w:t>
      </w:r>
    </w:p>
    <w:tbl>
      <w:tblPr>
        <w:tblStyle w:val="DFATTable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2688"/>
        <w:gridCol w:w="5811"/>
      </w:tblGrid>
      <w:tr w:rsidR="00902F90" w:rsidRPr="009678FD" w14:paraId="1242CC08" w14:textId="77777777" w:rsidTr="0067283D">
        <w:trPr>
          <w:cnfStyle w:val="100000000000" w:firstRow="1" w:lastRow="0" w:firstColumn="0" w:lastColumn="0" w:oddVBand="0" w:evenVBand="0" w:oddHBand="0" w:evenHBand="0" w:firstRowFirstColumn="0" w:firstRowLastColumn="0" w:lastRowFirstColumn="0" w:lastRowLastColumn="0"/>
          <w:tblHeader/>
        </w:trPr>
        <w:tc>
          <w:tcPr>
            <w:tcW w:w="1282" w:type="dxa"/>
            <w:shd w:val="clear" w:color="auto" w:fill="C1E7E0" w:themeFill="accent1" w:themeFillTint="66"/>
          </w:tcPr>
          <w:p w14:paraId="3A82B96D" w14:textId="77777777" w:rsidR="00902F90" w:rsidRPr="009678FD" w:rsidRDefault="00902F90">
            <w:pPr>
              <w:pStyle w:val="BodyTextHanging"/>
              <w:rPr>
                <w:rFonts w:asciiTheme="minorHAnsi" w:hAnsiTheme="minorHAnsi" w:cstheme="minorHAnsi"/>
                <w:b/>
                <w:color w:val="262626" w:themeColor="text1" w:themeTint="D9"/>
                <w:sz w:val="20"/>
                <w:szCs w:val="20"/>
                <w:lang w:val="en-AU"/>
              </w:rPr>
            </w:pPr>
            <w:r w:rsidRPr="009678FD">
              <w:rPr>
                <w:rFonts w:asciiTheme="minorHAnsi" w:hAnsiTheme="minorHAnsi" w:cstheme="minorHAnsi"/>
                <w:b/>
                <w:color w:val="262626" w:themeColor="text1" w:themeTint="D9"/>
                <w:sz w:val="20"/>
                <w:szCs w:val="20"/>
                <w:lang w:val="en-AU"/>
              </w:rPr>
              <w:t>Evaluation Domain</w:t>
            </w:r>
          </w:p>
        </w:tc>
        <w:tc>
          <w:tcPr>
            <w:tcW w:w="0" w:type="dxa"/>
            <w:shd w:val="clear" w:color="auto" w:fill="C1E7E0" w:themeFill="accent1" w:themeFillTint="66"/>
          </w:tcPr>
          <w:p w14:paraId="44105F7E" w14:textId="77777777" w:rsidR="00902F90" w:rsidRPr="009678FD" w:rsidRDefault="00902F90">
            <w:pPr>
              <w:pStyle w:val="BodyTextHanging"/>
              <w:rPr>
                <w:rFonts w:asciiTheme="minorHAnsi" w:hAnsiTheme="minorHAnsi" w:cstheme="minorHAnsi"/>
                <w:b/>
                <w:color w:val="262626" w:themeColor="text1" w:themeTint="D9"/>
                <w:sz w:val="20"/>
                <w:szCs w:val="20"/>
                <w:lang w:val="en-AU"/>
              </w:rPr>
            </w:pPr>
            <w:r w:rsidRPr="009678FD">
              <w:rPr>
                <w:rFonts w:asciiTheme="minorHAnsi" w:hAnsiTheme="minorHAnsi" w:cstheme="minorHAnsi"/>
                <w:b/>
                <w:color w:val="262626" w:themeColor="text1" w:themeTint="D9"/>
                <w:sz w:val="20"/>
                <w:szCs w:val="20"/>
                <w:lang w:val="en-AU"/>
              </w:rPr>
              <w:t>Key Evaluation Question(s)</w:t>
            </w:r>
          </w:p>
        </w:tc>
        <w:tc>
          <w:tcPr>
            <w:tcW w:w="5811" w:type="dxa"/>
            <w:shd w:val="clear" w:color="auto" w:fill="C1E7E0" w:themeFill="accent1" w:themeFillTint="66"/>
          </w:tcPr>
          <w:p w14:paraId="432C36E5" w14:textId="57D1639E" w:rsidR="00902F90" w:rsidRPr="009678FD" w:rsidRDefault="00902F90">
            <w:pPr>
              <w:pStyle w:val="BodyTextHanging"/>
              <w:rPr>
                <w:rFonts w:asciiTheme="minorHAnsi" w:hAnsiTheme="minorHAnsi" w:cstheme="minorHAnsi"/>
                <w:b/>
                <w:color w:val="262626" w:themeColor="text1" w:themeTint="D9"/>
                <w:sz w:val="20"/>
                <w:szCs w:val="20"/>
                <w:lang w:val="en-AU"/>
              </w:rPr>
            </w:pPr>
            <w:r w:rsidRPr="009678FD">
              <w:rPr>
                <w:rFonts w:asciiTheme="minorHAnsi" w:hAnsiTheme="minorHAnsi" w:cstheme="minorHAnsi"/>
                <w:b/>
                <w:color w:val="262626" w:themeColor="text1" w:themeTint="D9"/>
                <w:sz w:val="20"/>
                <w:szCs w:val="20"/>
                <w:lang w:val="en-AU"/>
              </w:rPr>
              <w:t xml:space="preserve">Lines of </w:t>
            </w:r>
            <w:r w:rsidR="00B8227F">
              <w:rPr>
                <w:rFonts w:asciiTheme="minorHAnsi" w:hAnsiTheme="minorHAnsi" w:cstheme="minorHAnsi"/>
                <w:b/>
                <w:color w:val="262626" w:themeColor="text1" w:themeTint="D9"/>
                <w:sz w:val="20"/>
                <w:szCs w:val="20"/>
                <w:lang w:val="en-AU"/>
              </w:rPr>
              <w:t>I</w:t>
            </w:r>
            <w:r w:rsidRPr="009678FD">
              <w:rPr>
                <w:rFonts w:asciiTheme="minorHAnsi" w:hAnsiTheme="minorHAnsi" w:cstheme="minorHAnsi"/>
                <w:b/>
                <w:color w:val="262626" w:themeColor="text1" w:themeTint="D9"/>
                <w:sz w:val="20"/>
                <w:szCs w:val="20"/>
                <w:lang w:val="en-AU"/>
              </w:rPr>
              <w:t>nquiry</w:t>
            </w:r>
          </w:p>
        </w:tc>
      </w:tr>
      <w:tr w:rsidR="00902F90" w:rsidRPr="009678FD" w14:paraId="6A2D91E0" w14:textId="77777777" w:rsidTr="0067283D">
        <w:tc>
          <w:tcPr>
            <w:tcW w:w="1282" w:type="dxa"/>
          </w:tcPr>
          <w:p w14:paraId="279A0468" w14:textId="77777777" w:rsidR="00902F90" w:rsidRPr="009678FD" w:rsidRDefault="00902F90">
            <w:pPr>
              <w:pStyle w:val="BodyTextHanging"/>
              <w:rPr>
                <w:rFonts w:asciiTheme="minorHAnsi" w:hAnsiTheme="minorHAnsi" w:cstheme="minorHAnsi"/>
                <w:b/>
                <w:color w:val="595959" w:themeColor="text1" w:themeTint="A6"/>
                <w:sz w:val="20"/>
                <w:szCs w:val="20"/>
                <w:lang w:val="en-AU"/>
              </w:rPr>
            </w:pPr>
            <w:r w:rsidRPr="009678FD">
              <w:rPr>
                <w:rFonts w:asciiTheme="minorHAnsi" w:hAnsiTheme="minorHAnsi" w:cstheme="minorHAnsi"/>
                <w:b/>
                <w:color w:val="595959" w:themeColor="text1" w:themeTint="A6"/>
                <w:sz w:val="20"/>
                <w:szCs w:val="20"/>
                <w:lang w:val="en-AU"/>
              </w:rPr>
              <w:t>Relevance</w:t>
            </w:r>
          </w:p>
        </w:tc>
        <w:tc>
          <w:tcPr>
            <w:tcW w:w="0" w:type="dxa"/>
          </w:tcPr>
          <w:p w14:paraId="5AA7D7C8" w14:textId="18DC992F" w:rsidR="00902F90" w:rsidRPr="009678FD" w:rsidRDefault="00902F90">
            <w:pPr>
              <w:pStyle w:val="BodyTextHanging"/>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 xml:space="preserve">To what extent does </w:t>
            </w:r>
            <w:proofErr w:type="spellStart"/>
            <w:r w:rsidRPr="009678FD">
              <w:rPr>
                <w:rFonts w:asciiTheme="minorHAnsi" w:hAnsiTheme="minorHAnsi" w:cstheme="minorHAnsi"/>
                <w:color w:val="595959" w:themeColor="text1" w:themeTint="A6"/>
                <w:sz w:val="20"/>
                <w:szCs w:val="20"/>
                <w:lang w:val="en-AU"/>
              </w:rPr>
              <w:t>Partisipasi</w:t>
            </w:r>
            <w:proofErr w:type="spellEnd"/>
            <w:r w:rsidRPr="009678FD">
              <w:rPr>
                <w:rFonts w:asciiTheme="minorHAnsi" w:hAnsiTheme="minorHAnsi" w:cstheme="minorHAnsi"/>
                <w:color w:val="595959" w:themeColor="text1" w:themeTint="A6"/>
                <w:sz w:val="20"/>
                <w:szCs w:val="20"/>
                <w:lang w:val="en-AU"/>
              </w:rPr>
              <w:t xml:space="preserve"> respond to Indonesia’s democratic resilience challenges and align with </w:t>
            </w:r>
            <w:proofErr w:type="spellStart"/>
            <w:r w:rsidRPr="009678FD">
              <w:rPr>
                <w:rFonts w:asciiTheme="minorHAnsi" w:hAnsiTheme="minorHAnsi" w:cstheme="minorHAnsi"/>
                <w:color w:val="595959" w:themeColor="text1" w:themeTint="A6"/>
                <w:sz w:val="20"/>
                <w:szCs w:val="20"/>
                <w:lang w:val="en-AU"/>
              </w:rPr>
              <w:t>GoI</w:t>
            </w:r>
            <w:proofErr w:type="spellEnd"/>
            <w:r w:rsidR="00ED1B01">
              <w:rPr>
                <w:rFonts w:asciiTheme="minorHAnsi" w:hAnsiTheme="minorHAnsi" w:cstheme="minorHAnsi"/>
                <w:color w:val="595959" w:themeColor="text1" w:themeTint="A6"/>
                <w:sz w:val="20"/>
                <w:szCs w:val="20"/>
                <w:lang w:val="en-AU"/>
              </w:rPr>
              <w:t xml:space="preserve"> and </w:t>
            </w:r>
            <w:proofErr w:type="spellStart"/>
            <w:r w:rsidR="00ED1B01">
              <w:rPr>
                <w:rFonts w:asciiTheme="minorHAnsi" w:hAnsiTheme="minorHAnsi" w:cstheme="minorHAnsi"/>
                <w:color w:val="595959" w:themeColor="text1" w:themeTint="A6"/>
                <w:sz w:val="20"/>
                <w:szCs w:val="20"/>
                <w:lang w:val="en-AU"/>
              </w:rPr>
              <w:t>GoA</w:t>
            </w:r>
            <w:proofErr w:type="spellEnd"/>
            <w:r w:rsidRPr="009678FD">
              <w:rPr>
                <w:rFonts w:asciiTheme="minorHAnsi" w:hAnsiTheme="minorHAnsi" w:cstheme="minorHAnsi"/>
                <w:color w:val="595959" w:themeColor="text1" w:themeTint="A6"/>
                <w:sz w:val="20"/>
                <w:szCs w:val="20"/>
                <w:lang w:val="en-AU"/>
              </w:rPr>
              <w:t xml:space="preserve"> priorities, </w:t>
            </w:r>
            <w:r w:rsidR="00ED1B01">
              <w:rPr>
                <w:rFonts w:asciiTheme="minorHAnsi" w:hAnsiTheme="minorHAnsi" w:cstheme="minorHAnsi"/>
                <w:color w:val="595959" w:themeColor="text1" w:themeTint="A6"/>
                <w:sz w:val="20"/>
                <w:szCs w:val="20"/>
                <w:lang w:val="en-AU"/>
              </w:rPr>
              <w:t xml:space="preserve">as well as </w:t>
            </w:r>
            <w:r w:rsidRPr="009678FD">
              <w:rPr>
                <w:rFonts w:asciiTheme="minorHAnsi" w:hAnsiTheme="minorHAnsi" w:cstheme="minorHAnsi"/>
                <w:color w:val="595959" w:themeColor="text1" w:themeTint="A6"/>
                <w:sz w:val="20"/>
                <w:szCs w:val="20"/>
                <w:lang w:val="en-AU"/>
              </w:rPr>
              <w:t xml:space="preserve">the needs of </w:t>
            </w:r>
            <w:r w:rsidR="00ED1B01">
              <w:rPr>
                <w:rFonts w:asciiTheme="minorHAnsi" w:hAnsiTheme="minorHAnsi" w:cstheme="minorHAnsi"/>
                <w:color w:val="595959" w:themeColor="text1" w:themeTint="A6"/>
                <w:sz w:val="20"/>
                <w:szCs w:val="20"/>
                <w:lang w:val="en-AU"/>
              </w:rPr>
              <w:t xml:space="preserve">civil society </w:t>
            </w:r>
            <w:r w:rsidRPr="009678FD">
              <w:rPr>
                <w:rFonts w:asciiTheme="minorHAnsi" w:hAnsiTheme="minorHAnsi" w:cstheme="minorHAnsi"/>
                <w:color w:val="595959" w:themeColor="text1" w:themeTint="A6"/>
                <w:sz w:val="20"/>
                <w:szCs w:val="20"/>
                <w:lang w:val="en-AU"/>
              </w:rPr>
              <w:t>actors?</w:t>
            </w:r>
          </w:p>
        </w:tc>
        <w:tc>
          <w:tcPr>
            <w:tcW w:w="5811" w:type="dxa"/>
          </w:tcPr>
          <w:p w14:paraId="740DF0DD"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Alignment with national development goals (e.g. RPJPN 2025–2045, ‘substantive democracy’ agenda).</w:t>
            </w:r>
          </w:p>
          <w:p w14:paraId="55DE4CFD" w14:textId="6037051A" w:rsidR="00902F90" w:rsidRPr="009678FD" w:rsidRDefault="00902F90" w:rsidP="00504B06">
            <w:pPr>
              <w:pStyle w:val="BodyTextHanging"/>
              <w:numPr>
                <w:ilvl w:val="0"/>
                <w:numId w:val="42"/>
              </w:numPr>
              <w:spacing w:after="60"/>
              <w:ind w:left="170" w:hanging="267"/>
              <w:rPr>
                <w:rFonts w:asciiTheme="minorHAnsi" w:hAnsiTheme="minorHAnsi"/>
                <w:color w:val="595959" w:themeColor="text1" w:themeTint="A6"/>
                <w:sz w:val="20"/>
                <w:szCs w:val="20"/>
                <w:lang w:val="en-AU"/>
              </w:rPr>
            </w:pPr>
            <w:r w:rsidRPr="564BCE0D">
              <w:rPr>
                <w:rFonts w:asciiTheme="minorHAnsi" w:hAnsiTheme="minorHAnsi"/>
                <w:color w:val="595959" w:themeColor="text1" w:themeTint="A6"/>
                <w:sz w:val="20"/>
                <w:szCs w:val="20"/>
                <w:lang w:val="en-AU"/>
              </w:rPr>
              <w:t xml:space="preserve">Responsiveness to </w:t>
            </w:r>
            <w:r w:rsidR="6B54FC83" w:rsidRPr="564BCE0D">
              <w:rPr>
                <w:rFonts w:asciiTheme="minorHAnsi" w:hAnsiTheme="minorHAnsi"/>
                <w:color w:val="595959" w:themeColor="text1" w:themeTint="A6"/>
                <w:sz w:val="20"/>
                <w:szCs w:val="20"/>
                <w:lang w:val="en-AU"/>
              </w:rPr>
              <w:t>changes in</w:t>
            </w:r>
            <w:r w:rsidRPr="564BCE0D">
              <w:rPr>
                <w:rFonts w:asciiTheme="minorHAnsi" w:hAnsiTheme="minorHAnsi"/>
                <w:color w:val="595959" w:themeColor="text1" w:themeTint="A6"/>
                <w:sz w:val="20"/>
                <w:szCs w:val="20"/>
                <w:lang w:val="en-AU"/>
              </w:rPr>
              <w:t xml:space="preserve"> civic space, digital disinformation, GEDSI and climate-related governance risks.</w:t>
            </w:r>
          </w:p>
          <w:p w14:paraId="4C3C65BE" w14:textId="490845A9"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rPr>
              <w:t xml:space="preserve">Extent to which the program’s </w:t>
            </w:r>
            <w:r w:rsidR="00096F74">
              <w:rPr>
                <w:rFonts w:asciiTheme="minorHAnsi" w:hAnsiTheme="minorHAnsi" w:cstheme="minorHAnsi"/>
                <w:color w:val="595959" w:themeColor="text1" w:themeTint="A6"/>
                <w:sz w:val="20"/>
                <w:szCs w:val="20"/>
              </w:rPr>
              <w:t>T</w:t>
            </w:r>
            <w:r w:rsidRPr="009678FD">
              <w:rPr>
                <w:rFonts w:asciiTheme="minorHAnsi" w:hAnsiTheme="minorHAnsi" w:cstheme="minorHAnsi"/>
                <w:color w:val="595959" w:themeColor="text1" w:themeTint="A6"/>
                <w:sz w:val="20"/>
                <w:szCs w:val="20"/>
              </w:rPr>
              <w:t xml:space="preserve">heory of </w:t>
            </w:r>
            <w:r w:rsidR="00096F74">
              <w:rPr>
                <w:rFonts w:asciiTheme="minorHAnsi" w:hAnsiTheme="minorHAnsi" w:cstheme="minorHAnsi"/>
                <w:color w:val="595959" w:themeColor="text1" w:themeTint="A6"/>
                <w:sz w:val="20"/>
                <w:szCs w:val="20"/>
              </w:rPr>
              <w:t>C</w:t>
            </w:r>
            <w:r w:rsidRPr="009678FD">
              <w:rPr>
                <w:rFonts w:asciiTheme="minorHAnsi" w:hAnsiTheme="minorHAnsi" w:cstheme="minorHAnsi"/>
                <w:color w:val="595959" w:themeColor="text1" w:themeTint="A6"/>
                <w:sz w:val="20"/>
                <w:szCs w:val="20"/>
              </w:rPr>
              <w:t>hange and delivery modalities reflect intersectional needs (women, people with disability, youth</w:t>
            </w:r>
            <w:r w:rsidR="00C71EF2">
              <w:rPr>
                <w:rFonts w:asciiTheme="minorHAnsi" w:hAnsiTheme="minorHAnsi" w:cstheme="minorHAnsi"/>
                <w:color w:val="595959" w:themeColor="text1" w:themeTint="A6"/>
                <w:sz w:val="20"/>
                <w:szCs w:val="20"/>
              </w:rPr>
              <w:t>s</w:t>
            </w:r>
            <w:r w:rsidRPr="009678FD">
              <w:rPr>
                <w:rFonts w:asciiTheme="minorHAnsi" w:hAnsiTheme="minorHAnsi" w:cstheme="minorHAnsi"/>
                <w:color w:val="595959" w:themeColor="text1" w:themeTint="A6"/>
                <w:sz w:val="20"/>
                <w:szCs w:val="20"/>
              </w:rPr>
              <w:t>, minority groups, climate-affected communities).</w:t>
            </w:r>
          </w:p>
          <w:p w14:paraId="44181013"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Appropriateness of support modalities (e.g. informal civic coalitions, parliament engagement, peer-to-peer institutional exchange).</w:t>
            </w:r>
          </w:p>
        </w:tc>
      </w:tr>
      <w:tr w:rsidR="00902F90" w:rsidRPr="009678FD" w14:paraId="2903D2D4" w14:textId="77777777" w:rsidTr="0067283D">
        <w:tc>
          <w:tcPr>
            <w:tcW w:w="1282" w:type="dxa"/>
          </w:tcPr>
          <w:p w14:paraId="71422A92" w14:textId="77777777" w:rsidR="00902F90" w:rsidRPr="009678FD" w:rsidRDefault="00902F90">
            <w:pPr>
              <w:pStyle w:val="BodyTextHanging"/>
              <w:rPr>
                <w:rFonts w:asciiTheme="minorHAnsi" w:hAnsiTheme="minorHAnsi" w:cstheme="minorHAnsi"/>
                <w:b/>
                <w:color w:val="595959" w:themeColor="text1" w:themeTint="A6"/>
                <w:sz w:val="20"/>
                <w:szCs w:val="20"/>
                <w:lang w:val="en-AU"/>
              </w:rPr>
            </w:pPr>
            <w:r w:rsidRPr="009678FD">
              <w:rPr>
                <w:rFonts w:asciiTheme="minorHAnsi" w:hAnsiTheme="minorHAnsi" w:cstheme="minorHAnsi"/>
                <w:b/>
                <w:color w:val="595959" w:themeColor="text1" w:themeTint="A6"/>
                <w:sz w:val="20"/>
                <w:szCs w:val="20"/>
                <w:lang w:val="en-AU"/>
              </w:rPr>
              <w:t>Coherence</w:t>
            </w:r>
          </w:p>
        </w:tc>
        <w:tc>
          <w:tcPr>
            <w:tcW w:w="0" w:type="dxa"/>
          </w:tcPr>
          <w:p w14:paraId="126807F8" w14:textId="77777777" w:rsidR="00902F90" w:rsidRPr="009678FD" w:rsidRDefault="00902F90">
            <w:pPr>
              <w:pStyle w:val="BodyTextHanging"/>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 xml:space="preserve">How well does </w:t>
            </w:r>
            <w:proofErr w:type="spellStart"/>
            <w:r w:rsidRPr="009678FD">
              <w:rPr>
                <w:rFonts w:asciiTheme="minorHAnsi" w:hAnsiTheme="minorHAnsi" w:cstheme="minorHAnsi"/>
                <w:color w:val="595959" w:themeColor="text1" w:themeTint="A6"/>
                <w:sz w:val="20"/>
                <w:szCs w:val="20"/>
                <w:lang w:val="en-AU"/>
              </w:rPr>
              <w:t>Partisipasi</w:t>
            </w:r>
            <w:proofErr w:type="spellEnd"/>
            <w:r w:rsidRPr="009678FD">
              <w:rPr>
                <w:rFonts w:asciiTheme="minorHAnsi" w:hAnsiTheme="minorHAnsi" w:cstheme="minorHAnsi"/>
                <w:color w:val="595959" w:themeColor="text1" w:themeTint="A6"/>
                <w:sz w:val="20"/>
                <w:szCs w:val="20"/>
                <w:lang w:val="en-AU"/>
              </w:rPr>
              <w:t xml:space="preserve"> complement and coordinate with other DFAT initiatives, donor programs, and global evidence on democratic resilience?</w:t>
            </w:r>
          </w:p>
        </w:tc>
        <w:tc>
          <w:tcPr>
            <w:tcW w:w="5811" w:type="dxa"/>
          </w:tcPr>
          <w:p w14:paraId="3C068258"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Complementarity with DFAT programs (particularly INKLUSI, SKALA, AIPJ3).</w:t>
            </w:r>
          </w:p>
          <w:p w14:paraId="60C34E39"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Coherence with multilateral and donor efforts (UNDP, EU, UK, Ford Foundation, OSF).</w:t>
            </w:r>
          </w:p>
          <w:p w14:paraId="3F9CBBE5"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rPr>
              <w:t>Synergies between democratic resilience, gender equality, disability inclusion, and climate governance efforts.</w:t>
            </w:r>
          </w:p>
          <w:p w14:paraId="7AE11C33" w14:textId="568F96F6" w:rsidR="00902F90" w:rsidRPr="009678FD" w:rsidRDefault="00902F90" w:rsidP="00504B06">
            <w:pPr>
              <w:pStyle w:val="BodyTextHanging"/>
              <w:numPr>
                <w:ilvl w:val="0"/>
                <w:numId w:val="42"/>
              </w:numPr>
              <w:spacing w:after="60"/>
              <w:ind w:left="170" w:hanging="267"/>
              <w:rPr>
                <w:rFonts w:asciiTheme="minorHAnsi" w:hAnsiTheme="minorHAnsi"/>
                <w:color w:val="595959" w:themeColor="text1" w:themeTint="A6"/>
                <w:sz w:val="20"/>
                <w:szCs w:val="20"/>
                <w:lang w:val="en-AU"/>
              </w:rPr>
            </w:pPr>
            <w:r w:rsidRPr="564BCE0D">
              <w:rPr>
                <w:rFonts w:asciiTheme="minorHAnsi" w:hAnsiTheme="minorHAnsi"/>
                <w:color w:val="595959" w:themeColor="text1" w:themeTint="A6"/>
                <w:sz w:val="20"/>
                <w:szCs w:val="20"/>
                <w:lang w:val="en-AU"/>
              </w:rPr>
              <w:t xml:space="preserve">Integration of global lessons on </w:t>
            </w:r>
            <w:r w:rsidR="1BC996EA" w:rsidRPr="51E0AE41">
              <w:rPr>
                <w:rFonts w:asciiTheme="minorHAnsi" w:hAnsiTheme="minorHAnsi"/>
                <w:color w:val="595959" w:themeColor="text1" w:themeTint="A6"/>
                <w:sz w:val="20"/>
                <w:szCs w:val="20"/>
                <w:lang w:val="en-AU"/>
              </w:rPr>
              <w:t>challenges to democracy</w:t>
            </w:r>
            <w:r w:rsidRPr="564BCE0D">
              <w:rPr>
                <w:rFonts w:asciiTheme="minorHAnsi" w:hAnsiTheme="minorHAnsi"/>
                <w:color w:val="595959" w:themeColor="text1" w:themeTint="A6"/>
                <w:sz w:val="20"/>
                <w:szCs w:val="20"/>
                <w:lang w:val="en-AU"/>
              </w:rPr>
              <w:t>, media resilience, and civic engagement.</w:t>
            </w:r>
          </w:p>
        </w:tc>
      </w:tr>
      <w:tr w:rsidR="00902F90" w:rsidRPr="009678FD" w14:paraId="1CD0611C" w14:textId="77777777" w:rsidTr="0067283D">
        <w:tc>
          <w:tcPr>
            <w:tcW w:w="1282" w:type="dxa"/>
          </w:tcPr>
          <w:p w14:paraId="12BBE410" w14:textId="77777777" w:rsidR="00902F90" w:rsidRPr="009678FD" w:rsidRDefault="00902F90">
            <w:pPr>
              <w:pStyle w:val="BodyTextHanging"/>
              <w:rPr>
                <w:rFonts w:asciiTheme="minorHAnsi" w:hAnsiTheme="minorHAnsi" w:cstheme="minorHAnsi"/>
                <w:b/>
                <w:color w:val="595959" w:themeColor="text1" w:themeTint="A6"/>
                <w:sz w:val="20"/>
                <w:szCs w:val="20"/>
                <w:lang w:val="en-AU"/>
              </w:rPr>
            </w:pPr>
            <w:r w:rsidRPr="009678FD">
              <w:rPr>
                <w:rFonts w:asciiTheme="minorHAnsi" w:hAnsiTheme="minorHAnsi" w:cstheme="minorHAnsi"/>
                <w:b/>
                <w:color w:val="595959" w:themeColor="text1" w:themeTint="A6"/>
                <w:sz w:val="20"/>
                <w:szCs w:val="20"/>
                <w:lang w:val="en-AU"/>
              </w:rPr>
              <w:t>Effectiveness</w:t>
            </w:r>
          </w:p>
        </w:tc>
        <w:tc>
          <w:tcPr>
            <w:tcW w:w="0" w:type="dxa"/>
          </w:tcPr>
          <w:p w14:paraId="4D28F382" w14:textId="77777777" w:rsidR="00902F90" w:rsidRPr="009678FD" w:rsidRDefault="00902F90">
            <w:pPr>
              <w:pStyle w:val="BodyTextHanging"/>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 xml:space="preserve">To what extent has </w:t>
            </w:r>
            <w:proofErr w:type="spellStart"/>
            <w:r w:rsidRPr="009678FD">
              <w:rPr>
                <w:rFonts w:asciiTheme="minorHAnsi" w:hAnsiTheme="minorHAnsi" w:cstheme="minorHAnsi"/>
                <w:color w:val="595959" w:themeColor="text1" w:themeTint="A6"/>
                <w:sz w:val="20"/>
                <w:szCs w:val="20"/>
                <w:lang w:val="en-AU"/>
              </w:rPr>
              <w:t>Partisipasi</w:t>
            </w:r>
            <w:proofErr w:type="spellEnd"/>
            <w:r w:rsidRPr="009678FD">
              <w:rPr>
                <w:rFonts w:asciiTheme="minorHAnsi" w:hAnsiTheme="minorHAnsi" w:cstheme="minorHAnsi"/>
                <w:i/>
                <w:color w:val="595959" w:themeColor="text1" w:themeTint="A6"/>
                <w:sz w:val="20"/>
                <w:szCs w:val="20"/>
                <w:lang w:val="en-AU"/>
              </w:rPr>
              <w:t xml:space="preserve"> </w:t>
            </w:r>
            <w:r w:rsidRPr="009678FD">
              <w:rPr>
                <w:rFonts w:asciiTheme="minorHAnsi" w:hAnsiTheme="minorHAnsi" w:cstheme="minorHAnsi"/>
                <w:color w:val="595959" w:themeColor="text1" w:themeTint="A6"/>
                <w:sz w:val="20"/>
                <w:szCs w:val="20"/>
                <w:lang w:val="en-AU"/>
              </w:rPr>
              <w:t>achieved its intended outcomes (EOPOs and IOs) in strengthening democratic institutions, civic actors, and collaborative democratic action?</w:t>
            </w:r>
          </w:p>
        </w:tc>
        <w:tc>
          <w:tcPr>
            <w:tcW w:w="5811" w:type="dxa"/>
          </w:tcPr>
          <w:p w14:paraId="371296D2" w14:textId="10F18B62"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 xml:space="preserve">Evidence of strengthened capacity and responsiveness of Indonesian institutions (KPU, </w:t>
            </w:r>
            <w:proofErr w:type="spellStart"/>
            <w:r w:rsidRPr="009678FD">
              <w:rPr>
                <w:rFonts w:asciiTheme="minorHAnsi" w:hAnsiTheme="minorHAnsi" w:cstheme="minorHAnsi"/>
                <w:color w:val="595959" w:themeColor="text1" w:themeTint="A6"/>
                <w:sz w:val="20"/>
                <w:szCs w:val="20"/>
                <w:lang w:val="en-AU"/>
              </w:rPr>
              <w:t>Bawaslu</w:t>
            </w:r>
            <w:proofErr w:type="spellEnd"/>
            <w:r w:rsidRPr="009678FD">
              <w:rPr>
                <w:rFonts w:asciiTheme="minorHAnsi" w:hAnsiTheme="minorHAnsi" w:cstheme="minorHAnsi"/>
                <w:color w:val="595959" w:themeColor="text1" w:themeTint="A6"/>
                <w:sz w:val="20"/>
                <w:szCs w:val="20"/>
                <w:lang w:val="en-AU"/>
              </w:rPr>
              <w:t xml:space="preserve">, </w:t>
            </w:r>
            <w:r w:rsidR="004F1756">
              <w:rPr>
                <w:rFonts w:asciiTheme="minorHAnsi" w:hAnsiTheme="minorHAnsi" w:cstheme="minorHAnsi"/>
                <w:color w:val="595959" w:themeColor="text1" w:themeTint="A6"/>
                <w:sz w:val="20"/>
                <w:szCs w:val="20"/>
                <w:lang w:val="en-AU"/>
              </w:rPr>
              <w:t>MOHA</w:t>
            </w:r>
            <w:r w:rsidRPr="009678FD">
              <w:rPr>
                <w:rFonts w:asciiTheme="minorHAnsi" w:hAnsiTheme="minorHAnsi" w:cstheme="minorHAnsi"/>
                <w:color w:val="595959" w:themeColor="text1" w:themeTint="A6"/>
                <w:sz w:val="20"/>
                <w:szCs w:val="20"/>
                <w:lang w:val="en-AU"/>
              </w:rPr>
              <w:t>, DPR etc.).</w:t>
            </w:r>
          </w:p>
          <w:p w14:paraId="5F30D2E6"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Improved capacity of civil society and coalitions to influence democratic processes and advance gender equality, disability rights, and climate-responsive governance.</w:t>
            </w:r>
          </w:p>
          <w:p w14:paraId="6F17AEDF"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Quality of state–civil society collaboration (joint advocacy, dialogue, monitoring).</w:t>
            </w:r>
          </w:p>
          <w:p w14:paraId="7A9CA1BC" w14:textId="795500C4"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rPr>
              <w:t>Quality of state–civil society collaboration that is inclusive of WROs, OPDs, youth</w:t>
            </w:r>
            <w:r w:rsidR="00C71EF2">
              <w:rPr>
                <w:rFonts w:asciiTheme="minorHAnsi" w:hAnsiTheme="minorHAnsi" w:cstheme="minorHAnsi"/>
                <w:color w:val="595959" w:themeColor="text1" w:themeTint="A6"/>
                <w:sz w:val="20"/>
                <w:szCs w:val="20"/>
              </w:rPr>
              <w:t xml:space="preserve"> organisations</w:t>
            </w:r>
            <w:r w:rsidRPr="009678FD">
              <w:rPr>
                <w:rFonts w:asciiTheme="minorHAnsi" w:hAnsiTheme="minorHAnsi" w:cstheme="minorHAnsi"/>
                <w:color w:val="595959" w:themeColor="text1" w:themeTint="A6"/>
                <w:sz w:val="20"/>
                <w:szCs w:val="20"/>
              </w:rPr>
              <w:t>, and climate/environment actors.</w:t>
            </w:r>
          </w:p>
          <w:p w14:paraId="65F5ABE5"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 xml:space="preserve">Media’s contribution to countering disinformation and fostering accountability, </w:t>
            </w:r>
            <w:r w:rsidRPr="009678FD">
              <w:rPr>
                <w:rFonts w:asciiTheme="minorHAnsi" w:hAnsiTheme="minorHAnsi" w:cstheme="minorHAnsi"/>
                <w:color w:val="595959" w:themeColor="text1" w:themeTint="A6"/>
                <w:sz w:val="20"/>
                <w:szCs w:val="20"/>
              </w:rPr>
              <w:t>including gendered and climate-related narratives</w:t>
            </w:r>
            <w:r w:rsidRPr="009678FD">
              <w:rPr>
                <w:rFonts w:asciiTheme="minorHAnsi" w:hAnsiTheme="minorHAnsi" w:cstheme="minorHAnsi"/>
                <w:color w:val="595959" w:themeColor="text1" w:themeTint="A6"/>
                <w:sz w:val="20"/>
                <w:szCs w:val="20"/>
                <w:lang w:val="en-AU"/>
              </w:rPr>
              <w:t>.</w:t>
            </w:r>
          </w:p>
        </w:tc>
      </w:tr>
      <w:tr w:rsidR="00902F90" w:rsidRPr="009678FD" w14:paraId="1159935A" w14:textId="77777777" w:rsidTr="0067283D">
        <w:tc>
          <w:tcPr>
            <w:tcW w:w="1282" w:type="dxa"/>
          </w:tcPr>
          <w:p w14:paraId="012A3EC0" w14:textId="77777777" w:rsidR="00902F90" w:rsidRPr="009678FD" w:rsidRDefault="00902F90">
            <w:pPr>
              <w:pStyle w:val="BodyTextHanging"/>
              <w:rPr>
                <w:rFonts w:asciiTheme="minorHAnsi" w:hAnsiTheme="minorHAnsi" w:cstheme="minorHAnsi"/>
                <w:b/>
                <w:color w:val="595959" w:themeColor="text1" w:themeTint="A6"/>
                <w:sz w:val="20"/>
                <w:szCs w:val="20"/>
                <w:lang w:val="en-AU"/>
              </w:rPr>
            </w:pPr>
            <w:r w:rsidRPr="009678FD">
              <w:rPr>
                <w:rFonts w:asciiTheme="minorHAnsi" w:hAnsiTheme="minorHAnsi" w:cstheme="minorHAnsi"/>
                <w:b/>
                <w:color w:val="595959" w:themeColor="text1" w:themeTint="A6"/>
                <w:sz w:val="20"/>
                <w:szCs w:val="20"/>
              </w:rPr>
              <w:t>Efficiency</w:t>
            </w:r>
          </w:p>
        </w:tc>
        <w:tc>
          <w:tcPr>
            <w:tcW w:w="0" w:type="dxa"/>
          </w:tcPr>
          <w:p w14:paraId="4CB5FB7B" w14:textId="77777777" w:rsidR="00902F90" w:rsidRPr="009678FD" w:rsidRDefault="00902F90">
            <w:pPr>
              <w:pStyle w:val="BodyTextHanging"/>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rPr>
              <w:t>How well are resources (financial, human, technical) used to deliver flexible, politically informed, and timely programming?</w:t>
            </w:r>
          </w:p>
        </w:tc>
        <w:tc>
          <w:tcPr>
            <w:tcW w:w="5811" w:type="dxa"/>
          </w:tcPr>
          <w:p w14:paraId="7C7D6C35" w14:textId="5E7AC296"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Value</w:t>
            </w:r>
            <w:r w:rsidR="00BF4B53">
              <w:rPr>
                <w:rFonts w:asciiTheme="minorHAnsi" w:hAnsiTheme="minorHAnsi" w:cstheme="minorHAnsi"/>
                <w:color w:val="595959" w:themeColor="text1" w:themeTint="A6"/>
                <w:sz w:val="20"/>
                <w:szCs w:val="20"/>
                <w:lang w:val="en-AU"/>
              </w:rPr>
              <w:t xml:space="preserve"> </w:t>
            </w:r>
            <w:r w:rsidRPr="009678FD">
              <w:rPr>
                <w:rFonts w:asciiTheme="minorHAnsi" w:hAnsiTheme="minorHAnsi" w:cstheme="minorHAnsi"/>
                <w:color w:val="595959" w:themeColor="text1" w:themeTint="A6"/>
                <w:sz w:val="20"/>
                <w:szCs w:val="20"/>
                <w:lang w:val="en-AU"/>
              </w:rPr>
              <w:t>for</w:t>
            </w:r>
            <w:r w:rsidR="00BF4B53">
              <w:rPr>
                <w:rFonts w:asciiTheme="minorHAnsi" w:hAnsiTheme="minorHAnsi" w:cstheme="minorHAnsi"/>
                <w:color w:val="595959" w:themeColor="text1" w:themeTint="A6"/>
                <w:sz w:val="20"/>
                <w:szCs w:val="20"/>
                <w:lang w:val="en-AU"/>
              </w:rPr>
              <w:t xml:space="preserve"> </w:t>
            </w:r>
            <w:r w:rsidRPr="009678FD">
              <w:rPr>
                <w:rFonts w:asciiTheme="minorHAnsi" w:hAnsiTheme="minorHAnsi" w:cstheme="minorHAnsi"/>
                <w:color w:val="595959" w:themeColor="text1" w:themeTint="A6"/>
                <w:sz w:val="20"/>
                <w:szCs w:val="20"/>
                <w:lang w:val="en-AU"/>
              </w:rPr>
              <w:t>money of adaptive delivery (balancing responsiveness and costs).</w:t>
            </w:r>
          </w:p>
          <w:p w14:paraId="72AD2057"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Efficiency of management and delivery modalities (hub-and-spokes MEL, PSU structure, managing contractors).</w:t>
            </w:r>
          </w:p>
          <w:p w14:paraId="76BEA9CE" w14:textId="2687E0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Balance between short-term election</w:t>
            </w:r>
            <w:r w:rsidR="0035135B">
              <w:rPr>
                <w:rFonts w:asciiTheme="minorHAnsi" w:hAnsiTheme="minorHAnsi" w:cstheme="minorHAnsi"/>
                <w:color w:val="595959" w:themeColor="text1" w:themeTint="A6"/>
                <w:sz w:val="20"/>
                <w:szCs w:val="20"/>
                <w:lang w:val="en-AU"/>
              </w:rPr>
              <w:t xml:space="preserve"> </w:t>
            </w:r>
            <w:r w:rsidRPr="009678FD">
              <w:rPr>
                <w:rFonts w:asciiTheme="minorHAnsi" w:hAnsiTheme="minorHAnsi" w:cstheme="minorHAnsi"/>
                <w:color w:val="595959" w:themeColor="text1" w:themeTint="A6"/>
                <w:sz w:val="20"/>
                <w:szCs w:val="20"/>
                <w:lang w:val="en-AU"/>
              </w:rPr>
              <w:t>cycle costs and long-term democratic resilience investments.</w:t>
            </w:r>
          </w:p>
          <w:p w14:paraId="0B853BF3"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rPr>
              <w:t>Efficiency of approaches used to reach women, people with disability, and climate-affected populations or localities.</w:t>
            </w:r>
          </w:p>
        </w:tc>
      </w:tr>
      <w:tr w:rsidR="00902F90" w:rsidRPr="009678FD" w14:paraId="14272004" w14:textId="77777777" w:rsidTr="0067283D">
        <w:tc>
          <w:tcPr>
            <w:tcW w:w="1282" w:type="dxa"/>
          </w:tcPr>
          <w:p w14:paraId="34768E68" w14:textId="77777777" w:rsidR="00902F90" w:rsidRPr="009678FD" w:rsidRDefault="00902F90">
            <w:pPr>
              <w:pStyle w:val="BodyTextHanging"/>
              <w:rPr>
                <w:rFonts w:asciiTheme="minorHAnsi" w:hAnsiTheme="minorHAnsi" w:cstheme="minorHAnsi"/>
                <w:b/>
                <w:color w:val="595959" w:themeColor="text1" w:themeTint="A6"/>
                <w:sz w:val="20"/>
                <w:szCs w:val="20"/>
                <w:lang w:val="en-AU"/>
              </w:rPr>
            </w:pPr>
            <w:r w:rsidRPr="009678FD">
              <w:rPr>
                <w:rFonts w:asciiTheme="minorHAnsi" w:hAnsiTheme="minorHAnsi" w:cstheme="minorHAnsi"/>
                <w:b/>
                <w:color w:val="595959" w:themeColor="text1" w:themeTint="A6"/>
                <w:sz w:val="20"/>
                <w:szCs w:val="20"/>
                <w:lang w:val="en-AU"/>
              </w:rPr>
              <w:t>Impact</w:t>
            </w:r>
          </w:p>
        </w:tc>
        <w:tc>
          <w:tcPr>
            <w:tcW w:w="0" w:type="dxa"/>
          </w:tcPr>
          <w:p w14:paraId="4341F3CA" w14:textId="77777777" w:rsidR="00902F90" w:rsidRPr="009678FD" w:rsidRDefault="00902F90">
            <w:pPr>
              <w:pStyle w:val="BodyTextHanging"/>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 xml:space="preserve">What contributions has </w:t>
            </w:r>
            <w:proofErr w:type="spellStart"/>
            <w:r w:rsidRPr="009678FD">
              <w:rPr>
                <w:rFonts w:asciiTheme="minorHAnsi" w:hAnsiTheme="minorHAnsi" w:cstheme="minorHAnsi"/>
                <w:color w:val="595959" w:themeColor="text1" w:themeTint="A6"/>
                <w:sz w:val="20"/>
                <w:szCs w:val="20"/>
                <w:lang w:val="en-AU"/>
              </w:rPr>
              <w:t>Partisipasi</w:t>
            </w:r>
            <w:proofErr w:type="spellEnd"/>
            <w:r w:rsidRPr="009678FD">
              <w:rPr>
                <w:rFonts w:asciiTheme="minorHAnsi" w:hAnsiTheme="minorHAnsi" w:cstheme="minorHAnsi"/>
                <w:color w:val="595959" w:themeColor="text1" w:themeTint="A6"/>
                <w:sz w:val="20"/>
                <w:szCs w:val="20"/>
                <w:lang w:val="en-AU"/>
              </w:rPr>
              <w:t xml:space="preserve"> made to </w:t>
            </w:r>
            <w:r w:rsidRPr="009678FD">
              <w:rPr>
                <w:rFonts w:asciiTheme="minorHAnsi" w:hAnsiTheme="minorHAnsi" w:cstheme="minorHAnsi"/>
                <w:color w:val="595959" w:themeColor="text1" w:themeTint="A6"/>
                <w:sz w:val="20"/>
                <w:szCs w:val="20"/>
                <w:lang w:val="en-AU"/>
              </w:rPr>
              <w:lastRenderedPageBreak/>
              <w:t>strengthening democratic resilience and inclusive governance in Indonesia?</w:t>
            </w:r>
          </w:p>
        </w:tc>
        <w:tc>
          <w:tcPr>
            <w:tcW w:w="5811" w:type="dxa"/>
          </w:tcPr>
          <w:p w14:paraId="54325536"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lastRenderedPageBreak/>
              <w:t>Shifts in V-Dem, CIVICUS, WGI, and other global indices relevant to Indonesian democracy.</w:t>
            </w:r>
          </w:p>
          <w:p w14:paraId="29FBE7BD"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lastRenderedPageBreak/>
              <w:t>Documented influence on democratic norms, accountability, and inclusion.</w:t>
            </w:r>
          </w:p>
          <w:p w14:paraId="3FF5FF73" w14:textId="45BB0541"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rPr>
              <w:t>Evidence of outcomes for women, people with disability, and climate-vulnerable groups (e.g. access to participation, influence in policy, reduced barriers).</w:t>
            </w:r>
          </w:p>
          <w:p w14:paraId="5B55A4AF"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Examples of policy reforms, institutional changes, or civic agency that can be plausibly linked to program interventions.</w:t>
            </w:r>
          </w:p>
          <w:p w14:paraId="7F9BB978"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Contributions to regional democratic discourse and Indonesia’s positioning as a democratic actor in ASEAN.</w:t>
            </w:r>
          </w:p>
        </w:tc>
      </w:tr>
      <w:tr w:rsidR="00902F90" w:rsidRPr="009678FD" w14:paraId="5732E62B" w14:textId="77777777" w:rsidTr="0067283D">
        <w:tc>
          <w:tcPr>
            <w:tcW w:w="1282" w:type="dxa"/>
          </w:tcPr>
          <w:p w14:paraId="3C03F0D3" w14:textId="77777777" w:rsidR="00902F90" w:rsidRPr="009678FD" w:rsidRDefault="00902F90">
            <w:pPr>
              <w:pStyle w:val="BodyTextHanging"/>
              <w:rPr>
                <w:rFonts w:asciiTheme="minorHAnsi" w:hAnsiTheme="minorHAnsi" w:cstheme="minorHAnsi"/>
                <w:b/>
                <w:color w:val="595959" w:themeColor="text1" w:themeTint="A6"/>
                <w:sz w:val="20"/>
                <w:szCs w:val="20"/>
                <w:lang w:val="en-AU"/>
              </w:rPr>
            </w:pPr>
            <w:r w:rsidRPr="009678FD">
              <w:rPr>
                <w:rFonts w:asciiTheme="minorHAnsi" w:hAnsiTheme="minorHAnsi" w:cstheme="minorHAnsi"/>
                <w:b/>
                <w:color w:val="595959" w:themeColor="text1" w:themeTint="A6"/>
                <w:sz w:val="20"/>
                <w:szCs w:val="20"/>
                <w:lang w:val="en-AU"/>
              </w:rPr>
              <w:lastRenderedPageBreak/>
              <w:t>Sustainability</w:t>
            </w:r>
          </w:p>
        </w:tc>
        <w:tc>
          <w:tcPr>
            <w:tcW w:w="2688" w:type="dxa"/>
          </w:tcPr>
          <w:p w14:paraId="7E3AB168" w14:textId="77777777" w:rsidR="00902F90" w:rsidRPr="009678FD" w:rsidRDefault="00902F90">
            <w:pPr>
              <w:pStyle w:val="BodyTextHanging"/>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 xml:space="preserve">To what extent are the outcomes of </w:t>
            </w:r>
            <w:proofErr w:type="spellStart"/>
            <w:r w:rsidRPr="009678FD">
              <w:rPr>
                <w:rFonts w:asciiTheme="minorHAnsi" w:hAnsiTheme="minorHAnsi" w:cstheme="minorHAnsi"/>
                <w:color w:val="595959" w:themeColor="text1" w:themeTint="A6"/>
                <w:sz w:val="20"/>
                <w:szCs w:val="20"/>
                <w:lang w:val="en-AU"/>
              </w:rPr>
              <w:t>Partisipasi</w:t>
            </w:r>
            <w:proofErr w:type="spellEnd"/>
            <w:r w:rsidRPr="009678FD">
              <w:rPr>
                <w:rFonts w:asciiTheme="minorHAnsi" w:hAnsiTheme="minorHAnsi" w:cstheme="minorHAnsi"/>
                <w:color w:val="595959" w:themeColor="text1" w:themeTint="A6"/>
                <w:sz w:val="20"/>
                <w:szCs w:val="20"/>
                <w:lang w:val="en-AU"/>
              </w:rPr>
              <w:t xml:space="preserve"> likely to endure beyond the program period?</w:t>
            </w:r>
          </w:p>
        </w:tc>
        <w:tc>
          <w:tcPr>
            <w:tcW w:w="5811" w:type="dxa"/>
          </w:tcPr>
          <w:p w14:paraId="2CB4CC0F"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Durability of civic capacities, coalitions, and networks (formal and informal).</w:t>
            </w:r>
          </w:p>
          <w:p w14:paraId="2F0516DE"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Institutionalisation of reforms and practices within state institutions.</w:t>
            </w:r>
          </w:p>
          <w:p w14:paraId="714B1E0F" w14:textId="0888F2F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Resilience of democratic norms and discourses.</w:t>
            </w:r>
          </w:p>
          <w:p w14:paraId="69CD165D"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Evidence that local ownership, leadership, and GEDSI integration are embedded in supported initiatives.</w:t>
            </w:r>
          </w:p>
          <w:p w14:paraId="7BDFE3CB"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rPr>
              <w:t>Extent to which climate and environmental risks to civic participation and institutional reform are mitigated.</w:t>
            </w:r>
          </w:p>
        </w:tc>
      </w:tr>
      <w:tr w:rsidR="00902F90" w:rsidRPr="009678FD" w14:paraId="3C5E51C5" w14:textId="77777777" w:rsidTr="0067283D">
        <w:tc>
          <w:tcPr>
            <w:tcW w:w="1282" w:type="dxa"/>
          </w:tcPr>
          <w:p w14:paraId="56B4F089" w14:textId="77777777" w:rsidR="00902F90" w:rsidRPr="009678FD" w:rsidRDefault="00902F90">
            <w:pPr>
              <w:pStyle w:val="BodyTextHanging"/>
              <w:rPr>
                <w:rFonts w:asciiTheme="minorHAnsi" w:hAnsiTheme="minorHAnsi" w:cstheme="minorHAnsi"/>
                <w:b/>
                <w:color w:val="595959" w:themeColor="text1" w:themeTint="A6"/>
                <w:sz w:val="20"/>
                <w:szCs w:val="20"/>
                <w:lang w:val="en-AU"/>
              </w:rPr>
            </w:pPr>
            <w:r w:rsidRPr="009678FD">
              <w:rPr>
                <w:rFonts w:asciiTheme="minorHAnsi" w:hAnsiTheme="minorHAnsi" w:cstheme="minorHAnsi"/>
                <w:b/>
                <w:color w:val="595959" w:themeColor="text1" w:themeTint="A6"/>
                <w:sz w:val="20"/>
                <w:szCs w:val="20"/>
                <w:lang w:val="en-AU"/>
              </w:rPr>
              <w:t>Cross-Cutting</w:t>
            </w:r>
          </w:p>
        </w:tc>
        <w:tc>
          <w:tcPr>
            <w:tcW w:w="2688" w:type="dxa"/>
          </w:tcPr>
          <w:p w14:paraId="767CADB4" w14:textId="77777777" w:rsidR="00902F90" w:rsidRPr="009678FD" w:rsidRDefault="00902F90">
            <w:pPr>
              <w:pStyle w:val="BodyTextHanging"/>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 xml:space="preserve">How effectively has </w:t>
            </w:r>
            <w:proofErr w:type="spellStart"/>
            <w:r w:rsidRPr="009678FD">
              <w:rPr>
                <w:rFonts w:asciiTheme="minorHAnsi" w:hAnsiTheme="minorHAnsi" w:cstheme="minorHAnsi"/>
                <w:color w:val="595959" w:themeColor="text1" w:themeTint="A6"/>
                <w:sz w:val="20"/>
                <w:szCs w:val="20"/>
                <w:lang w:val="en-AU"/>
              </w:rPr>
              <w:t>Partisipasi</w:t>
            </w:r>
            <w:proofErr w:type="spellEnd"/>
            <w:r w:rsidRPr="009678FD">
              <w:rPr>
                <w:rFonts w:asciiTheme="minorHAnsi" w:hAnsiTheme="minorHAnsi" w:cstheme="minorHAnsi"/>
                <w:color w:val="595959" w:themeColor="text1" w:themeTint="A6"/>
                <w:sz w:val="20"/>
                <w:szCs w:val="20"/>
                <w:lang w:val="en-AU"/>
              </w:rPr>
              <w:t xml:space="preserve"> integrated gender equality, disability equity, and climate-resilient governance into strategy, delivery, and outcomes?</w:t>
            </w:r>
          </w:p>
        </w:tc>
        <w:tc>
          <w:tcPr>
            <w:tcW w:w="5811" w:type="dxa"/>
          </w:tcPr>
          <w:p w14:paraId="2820CED9"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Quality of GEDSI and climate safeguards in activity design and implementation.</w:t>
            </w:r>
          </w:p>
          <w:p w14:paraId="0DAC296F"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Participation and leadership of women, OPDs, and marginalised groups in civic action, advocacy, and reform processes.</w:t>
            </w:r>
          </w:p>
          <w:p w14:paraId="20BE4F8F"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Evidence of climate governance and climate-affected communities represented in democratic accountability mechanisms.</w:t>
            </w:r>
          </w:p>
          <w:p w14:paraId="3FFED852"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Partner practice change: adoption of inclusive and climate-responsible institutional procedures, data, and standards.</w:t>
            </w:r>
          </w:p>
          <w:p w14:paraId="2EBDA48C" w14:textId="77777777" w:rsidR="00902F90" w:rsidRPr="009678FD" w:rsidRDefault="00902F90" w:rsidP="00504B06">
            <w:pPr>
              <w:pStyle w:val="BodyTextHanging"/>
              <w:numPr>
                <w:ilvl w:val="0"/>
                <w:numId w:val="42"/>
              </w:numPr>
              <w:spacing w:after="60"/>
              <w:ind w:left="170" w:hanging="267"/>
              <w:rPr>
                <w:rFonts w:asciiTheme="minorHAnsi" w:hAnsiTheme="minorHAnsi" w:cstheme="minorHAnsi"/>
                <w:color w:val="595959" w:themeColor="text1" w:themeTint="A6"/>
                <w:sz w:val="20"/>
                <w:szCs w:val="20"/>
                <w:lang w:val="en-AU"/>
              </w:rPr>
            </w:pPr>
            <w:r w:rsidRPr="009678FD">
              <w:rPr>
                <w:rFonts w:asciiTheme="minorHAnsi" w:hAnsiTheme="minorHAnsi" w:cstheme="minorHAnsi"/>
                <w:color w:val="595959" w:themeColor="text1" w:themeTint="A6"/>
                <w:sz w:val="20"/>
                <w:szCs w:val="20"/>
                <w:lang w:val="en-AU"/>
              </w:rPr>
              <w:t>Unintended consequences (positive and negative), including risks of harm, backlash, or exclusion.</w:t>
            </w:r>
          </w:p>
        </w:tc>
      </w:tr>
    </w:tbl>
    <w:p w14:paraId="0973D447" w14:textId="77777777" w:rsidR="00902F90" w:rsidRPr="0029253F" w:rsidRDefault="00902F90" w:rsidP="00902F90">
      <w:pPr>
        <w:pStyle w:val="BodyTextHanging"/>
        <w:rPr>
          <w:rFonts w:asciiTheme="minorHAnsi" w:hAnsiTheme="minorHAnsi" w:cstheme="minorHAnsi"/>
          <w:bCs/>
          <w:color w:val="595959" w:themeColor="text1" w:themeTint="A6"/>
          <w:szCs w:val="21"/>
          <w:lang w:val="en-AU"/>
        </w:rPr>
      </w:pPr>
      <w:r>
        <w:rPr>
          <w:rFonts w:asciiTheme="minorHAnsi" w:hAnsiTheme="minorHAnsi" w:cstheme="minorHAnsi"/>
          <w:bCs/>
          <w:color w:val="595959" w:themeColor="text1" w:themeTint="A6"/>
          <w:szCs w:val="21"/>
          <w:lang w:val="en-AU"/>
        </w:rPr>
        <w:br/>
      </w:r>
      <w:r w:rsidRPr="002F7753">
        <w:rPr>
          <w:rFonts w:asciiTheme="minorHAnsi" w:hAnsiTheme="minorHAnsi" w:cstheme="minorHAnsi"/>
          <w:bCs/>
          <w:color w:val="595959" w:themeColor="text1" w:themeTint="A6"/>
          <w:szCs w:val="21"/>
          <w:lang w:val="en-AU"/>
        </w:rPr>
        <w:t>The KEQs will be designed to provide both formative and summative insights to continuously shape the implementation of the program</w:t>
      </w:r>
      <w:r>
        <w:rPr>
          <w:rFonts w:asciiTheme="minorHAnsi" w:hAnsiTheme="minorHAnsi" w:cstheme="minorHAnsi"/>
          <w:bCs/>
          <w:color w:val="595959" w:themeColor="text1" w:themeTint="A6"/>
          <w:szCs w:val="21"/>
          <w:lang w:val="en-AU"/>
        </w:rPr>
        <w:t xml:space="preserve"> and</w:t>
      </w:r>
      <w:r w:rsidRPr="002F7753">
        <w:rPr>
          <w:rFonts w:asciiTheme="minorHAnsi" w:hAnsiTheme="minorHAnsi" w:cstheme="minorHAnsi"/>
          <w:bCs/>
          <w:color w:val="595959" w:themeColor="text1" w:themeTint="A6"/>
          <w:szCs w:val="21"/>
          <w:lang w:val="en-AU"/>
        </w:rPr>
        <w:t xml:space="preserve"> track the broader impact of democratic resilience efforts in Indonesia.</w:t>
      </w:r>
    </w:p>
    <w:p w14:paraId="6AADEDD2" w14:textId="12AF0517" w:rsidR="009C1E9F" w:rsidRDefault="00F03620" w:rsidP="00500EA6">
      <w:pPr>
        <w:pStyle w:val="Heading3"/>
        <w:spacing w:before="240"/>
      </w:pPr>
      <w:r>
        <w:t xml:space="preserve">Proposed </w:t>
      </w:r>
      <w:r w:rsidR="009C1E9F">
        <w:t>Indicators</w:t>
      </w:r>
    </w:p>
    <w:p w14:paraId="3BA355E0" w14:textId="61ED532C" w:rsidR="00902F90" w:rsidRDefault="00902F90" w:rsidP="00902F90">
      <w:pPr>
        <w:pStyle w:val="Heading5"/>
      </w:pPr>
      <w:r w:rsidRPr="0029253F">
        <w:t xml:space="preserve">Key Performance </w:t>
      </w:r>
      <w:r w:rsidRPr="005C5EF0">
        <w:t>Indicators</w:t>
      </w:r>
      <w:r>
        <w:t xml:space="preserve"> (KPIs) </w:t>
      </w:r>
    </w:p>
    <w:p w14:paraId="0422410E" w14:textId="77777777" w:rsidR="00902F90" w:rsidRPr="00AC743A" w:rsidRDefault="00902F90" w:rsidP="00902F90">
      <w:pPr>
        <w:rPr>
          <w:lang w:val="en-AU"/>
        </w:rPr>
      </w:pPr>
      <w:r w:rsidRPr="00AC743A">
        <w:rPr>
          <w:lang w:val="en-AU"/>
        </w:rPr>
        <w:t>To ensure evidence-informed delivery and accountability, the MEL system will track progress against a suite of indicative indicators aligned to the Program Logic. All data will be disaggregated by gender, age, disability status, and other relevant GEDSI markers where feasible. The MEL system will also draw on partner data and government reporting, but will account for limitations in official data collection</w:t>
      </w:r>
      <w:r>
        <w:rPr>
          <w:lang w:val="en-AU"/>
        </w:rPr>
        <w:t xml:space="preserve">, </w:t>
      </w:r>
      <w:r w:rsidRPr="00AC743A">
        <w:rPr>
          <w:lang w:val="en-AU"/>
        </w:rPr>
        <w:t>particularly in GEDSI and digital rights indicators.</w:t>
      </w:r>
    </w:p>
    <w:p w14:paraId="31265EEC" w14:textId="32C56827" w:rsidR="00902F90" w:rsidRDefault="00902F90" w:rsidP="00902F90">
      <w:pPr>
        <w:rPr>
          <w:rFonts w:cstheme="minorHAnsi"/>
          <w:szCs w:val="21"/>
          <w:lang w:val="en-AU" w:eastAsia="en-AU"/>
        </w:rPr>
      </w:pPr>
      <w:r w:rsidRPr="00E0161E">
        <w:rPr>
          <w:rFonts w:cstheme="minorHAnsi"/>
          <w:szCs w:val="21"/>
          <w:lang w:val="en-AU" w:eastAsia="en-AU"/>
        </w:rPr>
        <w:t xml:space="preserve">The </w:t>
      </w:r>
      <w:proofErr w:type="spellStart"/>
      <w:r w:rsidRPr="00D84A7F">
        <w:rPr>
          <w:rFonts w:cstheme="minorHAnsi"/>
          <w:szCs w:val="21"/>
          <w:lang w:val="en-AU" w:eastAsia="en-AU"/>
        </w:rPr>
        <w:t>Partisipasi</w:t>
      </w:r>
      <w:proofErr w:type="spellEnd"/>
      <w:r w:rsidRPr="008C22AF">
        <w:rPr>
          <w:rFonts w:cstheme="minorHAnsi"/>
          <w:i/>
          <w:szCs w:val="21"/>
          <w:lang w:val="en-AU" w:eastAsia="en-AU"/>
        </w:rPr>
        <w:t xml:space="preserve"> </w:t>
      </w:r>
      <w:r>
        <w:rPr>
          <w:rFonts w:cstheme="minorHAnsi"/>
          <w:szCs w:val="21"/>
          <w:lang w:val="en-AU" w:eastAsia="en-AU"/>
        </w:rPr>
        <w:t xml:space="preserve">MEL </w:t>
      </w:r>
      <w:r w:rsidR="008135AD">
        <w:rPr>
          <w:rFonts w:cstheme="minorHAnsi"/>
          <w:szCs w:val="21"/>
          <w:lang w:val="en-AU" w:eastAsia="en-AU"/>
        </w:rPr>
        <w:t>s</w:t>
      </w:r>
      <w:r>
        <w:rPr>
          <w:rFonts w:cstheme="minorHAnsi"/>
          <w:szCs w:val="21"/>
          <w:lang w:val="en-AU" w:eastAsia="en-AU"/>
        </w:rPr>
        <w:t>ystem</w:t>
      </w:r>
      <w:r w:rsidRPr="00E0161E">
        <w:rPr>
          <w:rFonts w:cstheme="minorHAnsi"/>
          <w:szCs w:val="21"/>
          <w:lang w:val="en-AU" w:eastAsia="en-AU"/>
        </w:rPr>
        <w:t xml:space="preserve"> will track progress through a structured yet flexible set of Key Performance Indicators (KPIs) at both outcome and output levels. These KPIs will align with </w:t>
      </w:r>
      <w:r>
        <w:rPr>
          <w:rFonts w:cstheme="minorHAnsi"/>
          <w:szCs w:val="21"/>
          <w:lang w:val="en-AU" w:eastAsia="en-AU"/>
        </w:rPr>
        <w:t>the IDP’s own PAF</w:t>
      </w:r>
      <w:r w:rsidRPr="00E0161E">
        <w:rPr>
          <w:rFonts w:cstheme="minorHAnsi"/>
          <w:szCs w:val="21"/>
          <w:lang w:val="en-AU" w:eastAsia="en-AU"/>
        </w:rPr>
        <w:t xml:space="preserve">, particularly Tier 2 indicators (investment-level outcomes) and Tier 3 indicators (portfolio-level contribution to development outcomes), while ensuring flexibility to reflect Indonesia’s evolving democratic context. </w:t>
      </w:r>
    </w:p>
    <w:p w14:paraId="28145D5A" w14:textId="77777777" w:rsidR="00902F90" w:rsidRPr="00E0161E" w:rsidRDefault="00902F90" w:rsidP="00902F90">
      <w:pPr>
        <w:rPr>
          <w:rFonts w:cstheme="minorHAnsi"/>
          <w:szCs w:val="21"/>
          <w:lang w:val="en-AU" w:eastAsia="en-AU"/>
        </w:rPr>
      </w:pPr>
      <w:proofErr w:type="spellStart"/>
      <w:r w:rsidRPr="00D84A7F">
        <w:rPr>
          <w:rFonts w:cstheme="minorHAnsi"/>
          <w:iCs/>
          <w:szCs w:val="21"/>
          <w:lang w:val="en-AU" w:eastAsia="en-AU"/>
        </w:rPr>
        <w:t>Partisipasi’s</w:t>
      </w:r>
      <w:proofErr w:type="spellEnd"/>
      <w:r>
        <w:rPr>
          <w:rFonts w:cstheme="minorHAnsi"/>
          <w:i/>
          <w:iCs/>
          <w:szCs w:val="21"/>
          <w:lang w:val="en-AU" w:eastAsia="en-AU"/>
        </w:rPr>
        <w:t xml:space="preserve"> </w:t>
      </w:r>
      <w:r>
        <w:rPr>
          <w:rFonts w:cstheme="minorHAnsi"/>
          <w:szCs w:val="21"/>
          <w:lang w:val="en-AU" w:eastAsia="en-AU"/>
        </w:rPr>
        <w:t>MEL system</w:t>
      </w:r>
      <w:r w:rsidRPr="008C22AF">
        <w:rPr>
          <w:rFonts w:cstheme="minorHAnsi"/>
          <w:i/>
          <w:iCs/>
          <w:szCs w:val="21"/>
          <w:lang w:val="en-AU" w:eastAsia="en-AU"/>
        </w:rPr>
        <w:t xml:space="preserve"> </w:t>
      </w:r>
      <w:r w:rsidRPr="00E0161E">
        <w:rPr>
          <w:rFonts w:cstheme="minorHAnsi"/>
          <w:szCs w:val="21"/>
          <w:lang w:val="en-AU" w:eastAsia="en-AU"/>
        </w:rPr>
        <w:t xml:space="preserve">will focus on </w:t>
      </w:r>
      <w:r>
        <w:rPr>
          <w:rFonts w:cstheme="minorHAnsi"/>
          <w:szCs w:val="21"/>
          <w:lang w:val="en-AU" w:eastAsia="en-AU"/>
        </w:rPr>
        <w:t>IO-level</w:t>
      </w:r>
      <w:r w:rsidRPr="00E0161E">
        <w:rPr>
          <w:rFonts w:cstheme="minorHAnsi"/>
          <w:szCs w:val="21"/>
          <w:lang w:val="en-AU" w:eastAsia="en-AU"/>
        </w:rPr>
        <w:t xml:space="preserve"> indicators that reflect contribution rather than attribution, with an emphasis on both qualitative and quantitative change. These indicators will be disaggregated by </w:t>
      </w:r>
      <w:r w:rsidRPr="00E0161E">
        <w:rPr>
          <w:rFonts w:cstheme="minorHAnsi"/>
          <w:szCs w:val="21"/>
          <w:lang w:val="en-AU" w:eastAsia="en-AU"/>
        </w:rPr>
        <w:lastRenderedPageBreak/>
        <w:t>gender, age, disability status, geography, and marginalised group identity, and complemented by qualitative assessments of inclusion, agency, trust, and network effectiveness.</w:t>
      </w:r>
    </w:p>
    <w:p w14:paraId="304E0277" w14:textId="689CBA8A" w:rsidR="00902F90" w:rsidRPr="00DF797B" w:rsidRDefault="00902F90" w:rsidP="00902F90">
      <w:pPr>
        <w:pStyle w:val="Heading5"/>
      </w:pPr>
      <w:r w:rsidRPr="00DF797B">
        <w:t>Outcome Indicators</w:t>
      </w:r>
    </w:p>
    <w:p w14:paraId="3BC14E9F" w14:textId="11CF7458" w:rsidR="00902F90" w:rsidRPr="00E0161E" w:rsidRDefault="00810F52" w:rsidP="00902F90">
      <w:pPr>
        <w:rPr>
          <w:rFonts w:cstheme="minorHAnsi"/>
          <w:szCs w:val="21"/>
          <w:lang w:val="en-AU" w:eastAsia="en-AU"/>
        </w:rPr>
      </w:pPr>
      <w:r>
        <w:rPr>
          <w:lang w:val="en-AU" w:eastAsia="en-AU"/>
        </w:rPr>
        <w:t>The table</w:t>
      </w:r>
      <w:r w:rsidR="00902F90" w:rsidRPr="37D0437D">
        <w:rPr>
          <w:lang w:val="en-AU" w:eastAsia="en-AU"/>
        </w:rPr>
        <w:t xml:space="preserve"> below includes examples of possible IO indicators that reflect progress across the </w:t>
      </w:r>
      <w:r w:rsidR="00791F3A">
        <w:rPr>
          <w:lang w:val="en-AU" w:eastAsia="en-AU"/>
        </w:rPr>
        <w:t>3</w:t>
      </w:r>
      <w:r w:rsidR="00791F3A" w:rsidRPr="37D0437D">
        <w:rPr>
          <w:lang w:val="en-AU" w:eastAsia="en-AU"/>
        </w:rPr>
        <w:t xml:space="preserve"> </w:t>
      </w:r>
      <w:r w:rsidR="00902F90" w:rsidRPr="37D0437D">
        <w:rPr>
          <w:lang w:val="en-AU" w:eastAsia="en-AU"/>
        </w:rPr>
        <w:t>EOPOs, aligned with DFAT Tier 2 and Tier 3 indicators</w:t>
      </w:r>
      <w:r w:rsidR="003D5AB7">
        <w:rPr>
          <w:lang w:val="en-AU" w:eastAsia="en-AU"/>
        </w:rPr>
        <w:t>.</w:t>
      </w:r>
      <w:r w:rsidR="00902F90" w:rsidRPr="37D0437D">
        <w:rPr>
          <w:rStyle w:val="FootnoteReference"/>
          <w:lang w:val="en-AU" w:eastAsia="en-AU"/>
        </w:rPr>
        <w:footnoteReference w:id="15"/>
      </w:r>
    </w:p>
    <w:p w14:paraId="01F1F6DE" w14:textId="2B0B436E" w:rsidR="00902F90" w:rsidRDefault="00902F90" w:rsidP="00902F90">
      <w:pPr>
        <w:pStyle w:val="Caption"/>
      </w:pPr>
      <w:r w:rsidRPr="00977017">
        <w:t>Table</w:t>
      </w:r>
      <w:r w:rsidR="008D4216">
        <w:t xml:space="preserve"> 1</w:t>
      </w:r>
      <w:r w:rsidR="00FC764C">
        <w:t>3</w:t>
      </w:r>
      <w:r w:rsidRPr="00977017">
        <w:t>: Illustrative Outcome Indicators</w:t>
      </w:r>
    </w:p>
    <w:tbl>
      <w:tblPr>
        <w:tblStyle w:val="DFATTable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3576"/>
        <w:gridCol w:w="3544"/>
      </w:tblGrid>
      <w:tr w:rsidR="00902F90" w:rsidRPr="006C3AC6" w14:paraId="633FA8FE" w14:textId="77777777" w:rsidTr="0067283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C1E7E0" w:themeFill="accent1" w:themeFillTint="66"/>
            <w:hideMark/>
          </w:tcPr>
          <w:p w14:paraId="3A98529A" w14:textId="77777777" w:rsidR="00902F90" w:rsidRPr="006C3AC6" w:rsidRDefault="00902F90">
            <w:pPr>
              <w:rPr>
                <w:rFonts w:asciiTheme="minorHAnsi" w:hAnsiTheme="minorHAnsi" w:cstheme="minorHAnsi"/>
                <w:b/>
                <w:color w:val="242C32" w:themeColor="text2" w:themeShade="80"/>
                <w:sz w:val="20"/>
                <w:szCs w:val="20"/>
                <w:lang w:val="en-AU" w:eastAsia="en-AU"/>
              </w:rPr>
            </w:pPr>
            <w:r w:rsidRPr="006C3AC6">
              <w:rPr>
                <w:rFonts w:asciiTheme="minorHAnsi" w:hAnsiTheme="minorHAnsi" w:cstheme="minorHAnsi"/>
                <w:b/>
                <w:color w:val="242C32" w:themeColor="text2" w:themeShade="80"/>
                <w:sz w:val="20"/>
                <w:szCs w:val="20"/>
                <w:lang w:val="en-AU" w:eastAsia="en-AU"/>
              </w:rPr>
              <w:t>IO</w:t>
            </w:r>
          </w:p>
        </w:tc>
        <w:tc>
          <w:tcPr>
            <w:tcW w:w="3576" w:type="dxa"/>
            <w:shd w:val="clear" w:color="auto" w:fill="C1E7E0" w:themeFill="accent1" w:themeFillTint="66"/>
            <w:hideMark/>
          </w:tcPr>
          <w:p w14:paraId="00A5C162" w14:textId="77777777" w:rsidR="00902F90" w:rsidRPr="006C3AC6" w:rsidRDefault="00902F90">
            <w:pPr>
              <w:rPr>
                <w:rFonts w:asciiTheme="minorHAnsi" w:hAnsiTheme="minorHAnsi" w:cstheme="minorHAnsi"/>
                <w:b/>
                <w:color w:val="242C32" w:themeColor="text2" w:themeShade="80"/>
                <w:sz w:val="20"/>
                <w:szCs w:val="20"/>
                <w:lang w:val="en-AU" w:eastAsia="en-AU"/>
              </w:rPr>
            </w:pPr>
            <w:r w:rsidRPr="006C3AC6">
              <w:rPr>
                <w:rFonts w:asciiTheme="minorHAnsi" w:hAnsiTheme="minorHAnsi" w:cstheme="minorHAnsi"/>
                <w:b/>
                <w:color w:val="242C32" w:themeColor="text2" w:themeShade="80"/>
                <w:sz w:val="20"/>
                <w:szCs w:val="20"/>
                <w:lang w:val="en-AU" w:eastAsia="en-AU"/>
              </w:rPr>
              <w:t>Sample Indicators</w:t>
            </w:r>
          </w:p>
        </w:tc>
        <w:tc>
          <w:tcPr>
            <w:tcW w:w="3544" w:type="dxa"/>
            <w:shd w:val="clear" w:color="auto" w:fill="C1E7E0" w:themeFill="accent1" w:themeFillTint="66"/>
            <w:hideMark/>
          </w:tcPr>
          <w:p w14:paraId="71F87223" w14:textId="77777777" w:rsidR="00902F90" w:rsidRPr="006C3AC6" w:rsidRDefault="00902F90">
            <w:pPr>
              <w:rPr>
                <w:rFonts w:asciiTheme="minorHAnsi" w:hAnsiTheme="minorHAnsi" w:cstheme="minorHAnsi"/>
                <w:b/>
                <w:color w:val="242C32" w:themeColor="text2" w:themeShade="80"/>
                <w:sz w:val="20"/>
                <w:szCs w:val="20"/>
                <w:lang w:val="en-AU" w:eastAsia="en-AU"/>
              </w:rPr>
            </w:pPr>
            <w:r w:rsidRPr="006C3AC6">
              <w:rPr>
                <w:rFonts w:asciiTheme="minorHAnsi" w:hAnsiTheme="minorHAnsi" w:cstheme="minorHAnsi"/>
                <w:b/>
                <w:color w:val="242C32" w:themeColor="text2" w:themeShade="80"/>
                <w:sz w:val="20"/>
                <w:szCs w:val="20"/>
                <w:lang w:val="en-AU" w:eastAsia="en-AU"/>
              </w:rPr>
              <w:t>DFAT Alignment</w:t>
            </w:r>
          </w:p>
        </w:tc>
      </w:tr>
      <w:tr w:rsidR="00902F90" w:rsidRPr="006C3AC6" w14:paraId="1154D265" w14:textId="77777777" w:rsidTr="0067283D">
        <w:tc>
          <w:tcPr>
            <w:tcW w:w="0" w:type="auto"/>
            <w:hideMark/>
          </w:tcPr>
          <w:p w14:paraId="1C42FC74" w14:textId="7C448C01" w:rsidR="00902F90" w:rsidRPr="006C3AC6" w:rsidRDefault="00902F90">
            <w:pPr>
              <w:rPr>
                <w:rFonts w:asciiTheme="minorHAnsi" w:hAnsiTheme="minorHAnsi" w:cstheme="minorHAnsi"/>
                <w:sz w:val="20"/>
                <w:szCs w:val="20"/>
                <w:lang w:val="en-AU" w:eastAsia="en-AU"/>
              </w:rPr>
            </w:pPr>
            <w:r w:rsidRPr="006C3AC6">
              <w:rPr>
                <w:rFonts w:asciiTheme="minorHAnsi" w:eastAsia="Times New Roman" w:hAnsiTheme="minorHAnsi" w:cstheme="minorHAnsi"/>
                <w:sz w:val="20"/>
                <w:szCs w:val="20"/>
                <w:lang w:val="en-AU"/>
              </w:rPr>
              <w:t>IO1.</w:t>
            </w:r>
            <w:r w:rsidR="00D3669D">
              <w:rPr>
                <w:rFonts w:asciiTheme="minorHAnsi" w:eastAsia="Times New Roman" w:hAnsiTheme="minorHAnsi" w:cstheme="minorHAnsi"/>
                <w:sz w:val="20"/>
                <w:szCs w:val="20"/>
                <w:lang w:val="en-AU"/>
              </w:rPr>
              <w:t>2</w:t>
            </w:r>
            <w:r w:rsidRPr="006C3AC6">
              <w:rPr>
                <w:rFonts w:asciiTheme="minorHAnsi" w:eastAsia="Times New Roman" w:hAnsiTheme="minorHAnsi" w:cstheme="minorHAnsi"/>
                <w:sz w:val="20"/>
                <w:szCs w:val="20"/>
                <w:lang w:val="en-AU"/>
              </w:rPr>
              <w:t xml:space="preserve"> Key state actors </w:t>
            </w:r>
            <w:r w:rsidR="00D71EAC">
              <w:rPr>
                <w:rFonts w:asciiTheme="minorHAnsi" w:eastAsia="Times New Roman" w:hAnsiTheme="minorHAnsi" w:cstheme="minorHAnsi"/>
                <w:sz w:val="20"/>
                <w:szCs w:val="20"/>
                <w:lang w:val="en-AU"/>
              </w:rPr>
              <w:t>demonstrate improved knowledge, skills, and practices that reinforce democratic processes and institutional integrity</w:t>
            </w:r>
          </w:p>
        </w:tc>
        <w:tc>
          <w:tcPr>
            <w:tcW w:w="3576" w:type="dxa"/>
            <w:hideMark/>
          </w:tcPr>
          <w:p w14:paraId="50DBC25C" w14:textId="77777777" w:rsidR="00902F90" w:rsidRPr="006C3AC6"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6C3AC6">
              <w:rPr>
                <w:rFonts w:asciiTheme="minorHAnsi" w:eastAsia="Times New Roman" w:hAnsiTheme="minorHAnsi" w:cstheme="minorHAnsi"/>
                <w:sz w:val="20"/>
                <w:szCs w:val="20"/>
                <w:lang w:val="en-AU"/>
              </w:rPr>
              <w:t>% of electoral/oversight bodies implementing inclusive safeguards</w:t>
            </w:r>
          </w:p>
          <w:p w14:paraId="19BC238F" w14:textId="77777777" w:rsidR="00902F90" w:rsidRPr="006C3AC6"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6C3AC6">
              <w:rPr>
                <w:rFonts w:asciiTheme="minorHAnsi" w:eastAsia="Times New Roman" w:hAnsiTheme="minorHAnsi" w:cstheme="minorHAnsi"/>
                <w:sz w:val="20"/>
                <w:szCs w:val="20"/>
                <w:lang w:val="en-AU"/>
              </w:rPr>
              <w:t>Qualitative evidence of electoral dispute resolution demonstrating fairness and inclusivity</w:t>
            </w:r>
          </w:p>
          <w:p w14:paraId="61ACDA26" w14:textId="77777777" w:rsidR="00902F90" w:rsidRPr="006C3AC6"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6C3AC6">
              <w:rPr>
                <w:rFonts w:asciiTheme="minorHAnsi" w:eastAsia="Times New Roman" w:hAnsiTheme="minorHAnsi" w:cstheme="minorHAnsi"/>
                <w:sz w:val="20"/>
                <w:szCs w:val="20"/>
                <w:lang w:val="en-AU"/>
              </w:rPr>
              <w:t>Number of institutional measures adopted to strengthen election transparency and participation</w:t>
            </w:r>
          </w:p>
          <w:p w14:paraId="3F39BC4C" w14:textId="77777777" w:rsidR="00902F90" w:rsidRPr="006C3AC6" w:rsidRDefault="00902F90">
            <w:pPr>
              <w:pStyle w:val="ListParagraph"/>
              <w:rPr>
                <w:rFonts w:asciiTheme="minorHAnsi" w:hAnsiTheme="minorHAnsi" w:cstheme="minorHAnsi"/>
                <w:sz w:val="20"/>
                <w:szCs w:val="20"/>
                <w:lang w:val="en-AU" w:eastAsia="en-AU"/>
              </w:rPr>
            </w:pPr>
          </w:p>
        </w:tc>
        <w:tc>
          <w:tcPr>
            <w:tcW w:w="3544" w:type="dxa"/>
            <w:hideMark/>
          </w:tcPr>
          <w:p w14:paraId="40A8133D" w14:textId="77777777" w:rsidR="009B11B5" w:rsidRDefault="00902F90">
            <w:pPr>
              <w:rPr>
                <w:rFonts w:asciiTheme="minorHAnsi" w:hAnsiTheme="minorHAnsi" w:cstheme="minorHAnsi"/>
                <w:sz w:val="20"/>
                <w:szCs w:val="20"/>
                <w:lang w:val="en-AU" w:eastAsia="en-AU"/>
              </w:rPr>
            </w:pPr>
            <w:r w:rsidRPr="006C3AC6">
              <w:rPr>
                <w:rFonts w:asciiTheme="minorHAnsi" w:hAnsiTheme="minorHAnsi" w:cstheme="minorHAnsi"/>
                <w:b/>
                <w:bCs/>
                <w:sz w:val="20"/>
                <w:szCs w:val="20"/>
                <w:lang w:val="en-AU" w:eastAsia="en-AU"/>
              </w:rPr>
              <w:t>Tier 2:</w:t>
            </w:r>
            <w:r w:rsidRPr="006C3AC6">
              <w:rPr>
                <w:rFonts w:asciiTheme="minorHAnsi" w:hAnsiTheme="minorHAnsi" w:cstheme="minorHAnsi"/>
                <w:sz w:val="20"/>
                <w:szCs w:val="20"/>
                <w:lang w:val="en-AU" w:eastAsia="en-AU"/>
              </w:rPr>
              <w:t xml:space="preserve"> </w:t>
            </w:r>
          </w:p>
          <w:p w14:paraId="24F976F1" w14:textId="7CE036ED" w:rsidR="00902F90" w:rsidRPr="006C3AC6" w:rsidRDefault="00902F90">
            <w:pPr>
              <w:rPr>
                <w:rFonts w:asciiTheme="minorHAnsi" w:hAnsiTheme="minorHAnsi" w:cstheme="minorHAnsi"/>
                <w:sz w:val="20"/>
                <w:szCs w:val="20"/>
                <w:lang w:val="en-AU" w:eastAsia="en-AU"/>
              </w:rPr>
            </w:pPr>
            <w:r w:rsidRPr="006C3AC6">
              <w:rPr>
                <w:rFonts w:asciiTheme="minorHAnsi" w:hAnsiTheme="minorHAnsi" w:cstheme="minorHAnsi"/>
                <w:sz w:val="20"/>
                <w:szCs w:val="20"/>
                <w:lang w:val="en-AU" w:eastAsia="en-AU"/>
              </w:rPr>
              <w:t>Number of organisations supported to strengthen accountability and/or inclusion, including examples of assistance provided and significant policy change achieved.</w:t>
            </w:r>
          </w:p>
        </w:tc>
      </w:tr>
      <w:tr w:rsidR="00902F90" w:rsidRPr="006C3AC6" w14:paraId="170EFE22" w14:textId="77777777" w:rsidTr="0067283D">
        <w:tc>
          <w:tcPr>
            <w:tcW w:w="0" w:type="auto"/>
          </w:tcPr>
          <w:p w14:paraId="7E18342B" w14:textId="2811CCC5" w:rsidR="00902F90" w:rsidRPr="006C3AC6" w:rsidRDefault="00902F90">
            <w:pPr>
              <w:rPr>
                <w:rFonts w:asciiTheme="minorHAnsi" w:eastAsia="Times New Roman" w:hAnsiTheme="minorHAnsi" w:cstheme="minorHAnsi"/>
                <w:sz w:val="20"/>
                <w:szCs w:val="20"/>
                <w:lang w:val="en-AU"/>
              </w:rPr>
            </w:pPr>
            <w:r w:rsidRPr="006C3AC6">
              <w:rPr>
                <w:rFonts w:asciiTheme="minorHAnsi" w:eastAsia="Times New Roman" w:hAnsiTheme="minorHAnsi" w:cstheme="minorHAnsi"/>
                <w:sz w:val="20"/>
                <w:szCs w:val="20"/>
                <w:lang w:val="en-AU"/>
              </w:rPr>
              <w:t>IO2.1 CSOs better equipped and collaborating, including youth</w:t>
            </w:r>
            <w:r w:rsidR="00C71EF2">
              <w:rPr>
                <w:rFonts w:asciiTheme="minorHAnsi" w:eastAsia="Times New Roman" w:hAnsiTheme="minorHAnsi" w:cstheme="minorHAnsi"/>
                <w:sz w:val="20"/>
                <w:szCs w:val="20"/>
                <w:lang w:val="en-AU"/>
              </w:rPr>
              <w:t>s</w:t>
            </w:r>
            <w:r w:rsidRPr="006C3AC6">
              <w:rPr>
                <w:rFonts w:asciiTheme="minorHAnsi" w:eastAsia="Times New Roman" w:hAnsiTheme="minorHAnsi" w:cstheme="minorHAnsi"/>
                <w:sz w:val="20"/>
                <w:szCs w:val="20"/>
                <w:lang w:val="en-AU"/>
              </w:rPr>
              <w:t xml:space="preserve">, women, </w:t>
            </w:r>
            <w:r w:rsidR="00C71EF2">
              <w:rPr>
                <w:rFonts w:asciiTheme="minorHAnsi" w:eastAsia="Times New Roman" w:hAnsiTheme="minorHAnsi" w:cstheme="minorHAnsi"/>
                <w:sz w:val="20"/>
                <w:szCs w:val="20"/>
                <w:lang w:val="en-AU"/>
              </w:rPr>
              <w:t>people</w:t>
            </w:r>
            <w:r w:rsidR="00C71EF2" w:rsidRPr="006C3AC6">
              <w:rPr>
                <w:rFonts w:asciiTheme="minorHAnsi" w:eastAsia="Times New Roman" w:hAnsiTheme="minorHAnsi" w:cstheme="minorHAnsi"/>
                <w:sz w:val="20"/>
                <w:szCs w:val="20"/>
                <w:lang w:val="en-AU"/>
              </w:rPr>
              <w:t xml:space="preserve"> </w:t>
            </w:r>
            <w:r w:rsidRPr="006C3AC6">
              <w:rPr>
                <w:rFonts w:asciiTheme="minorHAnsi" w:eastAsia="Times New Roman" w:hAnsiTheme="minorHAnsi" w:cstheme="minorHAnsi"/>
                <w:sz w:val="20"/>
                <w:szCs w:val="20"/>
                <w:lang w:val="en-AU"/>
              </w:rPr>
              <w:t>with disabilities</w:t>
            </w:r>
          </w:p>
        </w:tc>
        <w:tc>
          <w:tcPr>
            <w:tcW w:w="3576" w:type="dxa"/>
          </w:tcPr>
          <w:p w14:paraId="019660C4" w14:textId="77777777" w:rsidR="00902F90" w:rsidRPr="006C3AC6"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6C3AC6">
              <w:rPr>
                <w:rFonts w:asciiTheme="minorHAnsi" w:eastAsia="Times New Roman" w:hAnsiTheme="minorHAnsi" w:cstheme="minorHAnsi"/>
                <w:sz w:val="20"/>
                <w:szCs w:val="20"/>
                <w:lang w:val="en-AU"/>
              </w:rPr>
              <w:t>Qualitative evidence of CSOs using evidence-based monitoring, citizen feedback mechanisms</w:t>
            </w:r>
          </w:p>
          <w:p w14:paraId="010AFE86" w14:textId="77777777" w:rsidR="00902F90" w:rsidRPr="006C3AC6"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6C3AC6">
              <w:rPr>
                <w:rFonts w:asciiTheme="minorHAnsi" w:eastAsia="Times New Roman" w:hAnsiTheme="minorHAnsi" w:cstheme="minorHAnsi"/>
                <w:sz w:val="20"/>
                <w:szCs w:val="20"/>
                <w:lang w:val="en-AU"/>
              </w:rPr>
              <w:t>Evidence of these outputs influencing accountability processes</w:t>
            </w:r>
          </w:p>
          <w:p w14:paraId="1DD2FA74" w14:textId="77777777" w:rsidR="00902F90" w:rsidRPr="006C3AC6"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6C3AC6">
              <w:rPr>
                <w:rFonts w:asciiTheme="minorHAnsi" w:eastAsia="Times New Roman" w:hAnsiTheme="minorHAnsi" w:cstheme="minorHAnsi"/>
                <w:sz w:val="20"/>
                <w:szCs w:val="20"/>
                <w:lang w:val="en-AU"/>
              </w:rPr>
              <w:t>Number of monitoring reports, citizen feedback submissions, or advocacy briefs</w:t>
            </w:r>
          </w:p>
          <w:p w14:paraId="41DEF3B7" w14:textId="77777777" w:rsidR="00902F90" w:rsidRPr="006C3AC6"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6C3AC6">
              <w:rPr>
                <w:rFonts w:asciiTheme="minorHAnsi" w:eastAsia="Times New Roman" w:hAnsiTheme="minorHAnsi" w:cstheme="minorHAnsi"/>
                <w:sz w:val="20"/>
                <w:szCs w:val="20"/>
                <w:lang w:val="en-AU"/>
              </w:rPr>
              <w:t># of women and persons with disabilities accessing capacity building</w:t>
            </w:r>
          </w:p>
          <w:p w14:paraId="21388E2F" w14:textId="77777777" w:rsidR="00902F90" w:rsidRPr="006C3AC6"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6C3AC6">
              <w:rPr>
                <w:rFonts w:asciiTheme="minorHAnsi" w:eastAsia="Times New Roman" w:hAnsiTheme="minorHAnsi" w:cstheme="minorHAnsi"/>
                <w:sz w:val="20"/>
                <w:szCs w:val="20"/>
                <w:lang w:val="en-AU"/>
              </w:rPr>
              <w:t>Qualitative assessment of women reporting increased confidence, empowerment, and voice</w:t>
            </w:r>
          </w:p>
          <w:p w14:paraId="11B36304" w14:textId="77777777" w:rsidR="00902F90" w:rsidRPr="006C3AC6"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6C3AC6">
              <w:rPr>
                <w:rFonts w:asciiTheme="minorHAnsi" w:eastAsia="Times New Roman" w:hAnsiTheme="minorHAnsi" w:cstheme="minorHAnsi"/>
                <w:sz w:val="20"/>
                <w:szCs w:val="20"/>
                <w:lang w:val="en-AU"/>
              </w:rPr>
              <w:t># of mentorships or leadership development opportunities for women and people with disability</w:t>
            </w:r>
          </w:p>
        </w:tc>
        <w:tc>
          <w:tcPr>
            <w:tcW w:w="3544" w:type="dxa"/>
          </w:tcPr>
          <w:p w14:paraId="29EA3DF0" w14:textId="77777777" w:rsidR="009B11B5" w:rsidRDefault="00902F90">
            <w:pPr>
              <w:rPr>
                <w:rFonts w:asciiTheme="minorHAnsi" w:hAnsiTheme="minorHAnsi" w:cstheme="minorHAnsi"/>
                <w:b/>
                <w:bCs/>
                <w:sz w:val="20"/>
                <w:szCs w:val="20"/>
                <w:lang w:val="en-AU" w:eastAsia="en-AU"/>
              </w:rPr>
            </w:pPr>
            <w:r w:rsidRPr="006C3AC6">
              <w:rPr>
                <w:rFonts w:asciiTheme="minorHAnsi" w:hAnsiTheme="minorHAnsi" w:cstheme="minorHAnsi"/>
                <w:b/>
                <w:bCs/>
                <w:sz w:val="20"/>
                <w:szCs w:val="20"/>
                <w:lang w:val="en-AU" w:eastAsia="en-AU"/>
              </w:rPr>
              <w:t xml:space="preserve">Tier 2: </w:t>
            </w:r>
          </w:p>
          <w:p w14:paraId="1A56DD7B" w14:textId="77777777" w:rsidR="00902F90" w:rsidRPr="009B11B5" w:rsidRDefault="00902F90">
            <w:pPr>
              <w:rPr>
                <w:rFonts w:asciiTheme="minorHAnsi" w:hAnsiTheme="minorHAnsi" w:cstheme="minorHAnsi"/>
                <w:b/>
                <w:bCs/>
                <w:sz w:val="20"/>
                <w:szCs w:val="20"/>
                <w:lang w:val="en-AU" w:eastAsia="en-AU"/>
              </w:rPr>
            </w:pPr>
            <w:r w:rsidRPr="006C3AC6">
              <w:rPr>
                <w:rFonts w:asciiTheme="minorHAnsi" w:hAnsiTheme="minorHAnsi" w:cstheme="minorHAnsi"/>
                <w:sz w:val="20"/>
                <w:szCs w:val="20"/>
                <w:lang w:val="en-AU" w:eastAsia="en-AU"/>
              </w:rPr>
              <w:t>ODA funding channelled to Women’s Equality Organisations and OPDs.</w:t>
            </w:r>
          </w:p>
          <w:p w14:paraId="117B817E" w14:textId="4DE97AF5" w:rsidR="00902F90" w:rsidRPr="006C3AC6" w:rsidRDefault="00902F90">
            <w:pPr>
              <w:rPr>
                <w:rFonts w:asciiTheme="minorHAnsi" w:hAnsiTheme="minorHAnsi" w:cstheme="minorHAnsi"/>
                <w:sz w:val="20"/>
                <w:szCs w:val="20"/>
                <w:lang w:val="en-AU" w:eastAsia="en-AU"/>
              </w:rPr>
            </w:pPr>
            <w:r w:rsidRPr="006C3AC6">
              <w:rPr>
                <w:rFonts w:asciiTheme="minorHAnsi" w:hAnsiTheme="minorHAnsi" w:cstheme="minorHAnsi"/>
                <w:sz w:val="20"/>
                <w:szCs w:val="20"/>
                <w:lang w:val="en-AU" w:eastAsia="en-AU"/>
              </w:rPr>
              <w:t>Number of WROs and OPDs receiving capacity</w:t>
            </w:r>
            <w:r w:rsidR="00B00E78">
              <w:rPr>
                <w:rFonts w:asciiTheme="minorHAnsi" w:hAnsiTheme="minorHAnsi" w:cstheme="minorHAnsi"/>
                <w:sz w:val="20"/>
                <w:szCs w:val="20"/>
                <w:lang w:val="en-AU" w:eastAsia="en-AU"/>
              </w:rPr>
              <w:t xml:space="preserve"> </w:t>
            </w:r>
            <w:r w:rsidRPr="006C3AC6">
              <w:rPr>
                <w:rFonts w:asciiTheme="minorHAnsi" w:hAnsiTheme="minorHAnsi" w:cstheme="minorHAnsi"/>
                <w:sz w:val="20"/>
                <w:szCs w:val="20"/>
                <w:lang w:val="en-AU" w:eastAsia="en-AU"/>
              </w:rPr>
              <w:t>building support</w:t>
            </w:r>
          </w:p>
          <w:p w14:paraId="6E308A4F" w14:textId="77777777" w:rsidR="009B11B5" w:rsidRDefault="00902F90">
            <w:pPr>
              <w:rPr>
                <w:rFonts w:asciiTheme="minorHAnsi" w:hAnsiTheme="minorHAnsi" w:cstheme="minorHAnsi"/>
                <w:b/>
                <w:bCs/>
                <w:sz w:val="20"/>
                <w:szCs w:val="20"/>
                <w:lang w:val="en-AU" w:eastAsia="en-AU"/>
              </w:rPr>
            </w:pPr>
            <w:r w:rsidRPr="006C3AC6">
              <w:rPr>
                <w:rFonts w:asciiTheme="minorHAnsi" w:hAnsiTheme="minorHAnsi" w:cstheme="minorHAnsi"/>
                <w:b/>
                <w:bCs/>
                <w:sz w:val="20"/>
                <w:szCs w:val="20"/>
                <w:lang w:val="en-AU" w:eastAsia="en-AU"/>
              </w:rPr>
              <w:t>Tier 3</w:t>
            </w:r>
            <w:r w:rsidR="009B11B5">
              <w:rPr>
                <w:rFonts w:asciiTheme="minorHAnsi" w:hAnsiTheme="minorHAnsi" w:cstheme="minorHAnsi"/>
                <w:b/>
                <w:bCs/>
                <w:sz w:val="20"/>
                <w:szCs w:val="20"/>
                <w:lang w:val="en-AU" w:eastAsia="en-AU"/>
              </w:rPr>
              <w:t>:</w:t>
            </w:r>
          </w:p>
          <w:p w14:paraId="4C67387B" w14:textId="77777777" w:rsidR="00902F90" w:rsidRPr="009B11B5" w:rsidRDefault="00902F90">
            <w:pPr>
              <w:rPr>
                <w:rFonts w:asciiTheme="minorHAnsi" w:hAnsiTheme="minorHAnsi" w:cstheme="minorHAnsi"/>
                <w:b/>
                <w:bCs/>
                <w:sz w:val="20"/>
                <w:szCs w:val="20"/>
                <w:lang w:val="en-AU" w:eastAsia="en-AU"/>
              </w:rPr>
            </w:pPr>
            <w:r w:rsidRPr="006C3AC6">
              <w:rPr>
                <w:rFonts w:asciiTheme="minorHAnsi" w:hAnsiTheme="minorHAnsi" w:cstheme="minorHAnsi"/>
                <w:sz w:val="20"/>
                <w:szCs w:val="20"/>
                <w:lang w:eastAsia="en-AU"/>
              </w:rPr>
              <w:t>Number of local personnel, sub-contractors, and staff engaged</w:t>
            </w:r>
          </w:p>
          <w:p w14:paraId="2EEEB7D4" w14:textId="77777777" w:rsidR="00902F90" w:rsidRPr="006C3AC6" w:rsidRDefault="00902F90">
            <w:pPr>
              <w:rPr>
                <w:rFonts w:asciiTheme="minorHAnsi" w:hAnsiTheme="minorHAnsi" w:cstheme="minorHAnsi"/>
                <w:sz w:val="20"/>
                <w:szCs w:val="20"/>
                <w:lang w:val="en-AU" w:eastAsia="en-AU"/>
              </w:rPr>
            </w:pPr>
            <w:r w:rsidRPr="006C3AC6">
              <w:rPr>
                <w:rFonts w:asciiTheme="minorHAnsi" w:hAnsiTheme="minorHAnsi" w:cstheme="minorHAnsi"/>
                <w:sz w:val="20"/>
                <w:szCs w:val="20"/>
                <w:lang w:eastAsia="en-AU"/>
              </w:rPr>
              <w:t>Number and dollar value of local contracts and grants</w:t>
            </w:r>
            <w:r w:rsidRPr="006C3AC6">
              <w:rPr>
                <w:rFonts w:asciiTheme="minorHAnsi" w:hAnsiTheme="minorHAnsi" w:cstheme="minorHAnsi"/>
                <w:sz w:val="20"/>
                <w:szCs w:val="20"/>
                <w:lang w:val="en-AU" w:eastAsia="en-AU"/>
              </w:rPr>
              <w:br/>
            </w:r>
          </w:p>
        </w:tc>
      </w:tr>
    </w:tbl>
    <w:p w14:paraId="35382815" w14:textId="6CBC003E" w:rsidR="00902F90" w:rsidRPr="00E0161E" w:rsidRDefault="00902F90" w:rsidP="00902F90">
      <w:pPr>
        <w:pStyle w:val="Heading5"/>
        <w:rPr>
          <w:lang w:eastAsia="en-AU"/>
        </w:rPr>
      </w:pPr>
      <w:r w:rsidRPr="00E0161E">
        <w:rPr>
          <w:lang w:eastAsia="en-AU"/>
        </w:rPr>
        <w:t>Output Indicators</w:t>
      </w:r>
    </w:p>
    <w:p w14:paraId="46667D47" w14:textId="67FFCB2F" w:rsidR="00902F90" w:rsidRPr="00E0161E" w:rsidRDefault="00810F52" w:rsidP="00902F90">
      <w:pPr>
        <w:rPr>
          <w:rFonts w:cstheme="minorHAnsi"/>
          <w:szCs w:val="21"/>
          <w:lang w:val="en-AU" w:eastAsia="en-AU"/>
        </w:rPr>
      </w:pPr>
      <w:r>
        <w:rPr>
          <w:rFonts w:cstheme="minorHAnsi"/>
          <w:szCs w:val="21"/>
          <w:lang w:val="en-AU" w:eastAsia="en-AU"/>
        </w:rPr>
        <w:t>The table</w:t>
      </w:r>
      <w:r w:rsidR="00902F90">
        <w:rPr>
          <w:rFonts w:cstheme="minorHAnsi"/>
          <w:szCs w:val="21"/>
          <w:lang w:val="en-AU" w:eastAsia="en-AU"/>
        </w:rPr>
        <w:t xml:space="preserve"> below show a series of potential</w:t>
      </w:r>
      <w:r w:rsidR="00902F90" w:rsidRPr="00E0161E">
        <w:rPr>
          <w:rFonts w:cstheme="minorHAnsi"/>
          <w:szCs w:val="21"/>
          <w:lang w:val="en-AU" w:eastAsia="en-AU"/>
        </w:rPr>
        <w:t xml:space="preserve"> output indicators </w:t>
      </w:r>
      <w:r w:rsidR="00902F90">
        <w:rPr>
          <w:rFonts w:cstheme="minorHAnsi"/>
          <w:szCs w:val="21"/>
          <w:lang w:val="en-AU" w:eastAsia="en-AU"/>
        </w:rPr>
        <w:t xml:space="preserve">to </w:t>
      </w:r>
      <w:r w:rsidR="00902F90" w:rsidRPr="00E0161E">
        <w:rPr>
          <w:rFonts w:cstheme="minorHAnsi"/>
          <w:szCs w:val="21"/>
          <w:lang w:val="en-AU" w:eastAsia="en-AU"/>
        </w:rPr>
        <w:t xml:space="preserve">track activities feeding into IO-level change. These outputs will be tracked via DFAT’s </w:t>
      </w:r>
      <w:proofErr w:type="spellStart"/>
      <w:r w:rsidR="00902F90" w:rsidRPr="00E0161E">
        <w:rPr>
          <w:rFonts w:cstheme="minorHAnsi"/>
          <w:szCs w:val="21"/>
          <w:lang w:val="en-AU" w:eastAsia="en-AU"/>
        </w:rPr>
        <w:t>AidWorks</w:t>
      </w:r>
      <w:proofErr w:type="spellEnd"/>
      <w:r w:rsidR="00902F90" w:rsidRPr="00E0161E">
        <w:rPr>
          <w:rFonts w:cstheme="minorHAnsi"/>
          <w:szCs w:val="21"/>
          <w:lang w:val="en-AU" w:eastAsia="en-AU"/>
        </w:rPr>
        <w:t xml:space="preserve"> system and reported in accordance with DFAT’s Performance Reporting Guidelines.</w:t>
      </w:r>
    </w:p>
    <w:p w14:paraId="64E0E9DA" w14:textId="667E4023" w:rsidR="00902F90" w:rsidRDefault="00902F90" w:rsidP="00902F90">
      <w:pPr>
        <w:pStyle w:val="Caption"/>
        <w:keepNext/>
      </w:pPr>
      <w:r w:rsidRPr="00BB4499">
        <w:t>Table</w:t>
      </w:r>
      <w:r w:rsidR="008D4216">
        <w:t xml:space="preserve"> 1</w:t>
      </w:r>
      <w:r w:rsidR="00FC764C">
        <w:t>4</w:t>
      </w:r>
      <w:r w:rsidRPr="00BB4499">
        <w:t>: Illustrative Output Indicators</w:t>
      </w:r>
    </w:p>
    <w:tbl>
      <w:tblPr>
        <w:tblStyle w:val="DFAT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6644"/>
      </w:tblGrid>
      <w:tr w:rsidR="00902F90" w:rsidRPr="00B719DB" w14:paraId="4017C57C" w14:textId="77777777" w:rsidTr="0067283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C1E7E0" w:themeFill="accent1" w:themeFillTint="66"/>
            <w:hideMark/>
          </w:tcPr>
          <w:p w14:paraId="237840F7" w14:textId="77777777" w:rsidR="00902F90" w:rsidRPr="00A97DE7" w:rsidRDefault="00902F90">
            <w:pPr>
              <w:rPr>
                <w:rFonts w:asciiTheme="minorHAnsi" w:hAnsiTheme="minorHAnsi" w:cstheme="minorHAnsi"/>
                <w:b/>
                <w:color w:val="242C32" w:themeColor="text2" w:themeShade="80"/>
                <w:sz w:val="20"/>
                <w:szCs w:val="20"/>
                <w:lang w:val="en-AU" w:eastAsia="en-AU"/>
              </w:rPr>
            </w:pPr>
            <w:r w:rsidRPr="00A97DE7">
              <w:rPr>
                <w:rFonts w:asciiTheme="minorHAnsi" w:hAnsiTheme="minorHAnsi" w:cstheme="minorHAnsi"/>
                <w:b/>
                <w:color w:val="242C32" w:themeColor="text2" w:themeShade="80"/>
                <w:sz w:val="20"/>
                <w:szCs w:val="20"/>
                <w:lang w:val="en-AU" w:eastAsia="en-AU"/>
              </w:rPr>
              <w:t>Output Area</w:t>
            </w:r>
          </w:p>
        </w:tc>
        <w:tc>
          <w:tcPr>
            <w:tcW w:w="0" w:type="auto"/>
            <w:shd w:val="clear" w:color="auto" w:fill="C1E7E0" w:themeFill="accent1" w:themeFillTint="66"/>
            <w:hideMark/>
          </w:tcPr>
          <w:p w14:paraId="5761055E" w14:textId="77777777" w:rsidR="00902F90" w:rsidRPr="00A97DE7" w:rsidRDefault="00902F90">
            <w:pPr>
              <w:rPr>
                <w:rFonts w:asciiTheme="minorHAnsi" w:hAnsiTheme="minorHAnsi" w:cstheme="minorHAnsi"/>
                <w:b/>
                <w:color w:val="242C32" w:themeColor="text2" w:themeShade="80"/>
                <w:sz w:val="20"/>
                <w:szCs w:val="20"/>
                <w:lang w:val="en-AU" w:eastAsia="en-AU"/>
              </w:rPr>
            </w:pPr>
            <w:r w:rsidRPr="00A97DE7">
              <w:rPr>
                <w:rFonts w:asciiTheme="minorHAnsi" w:hAnsiTheme="minorHAnsi" w:cstheme="minorHAnsi"/>
                <w:b/>
                <w:color w:val="242C32" w:themeColor="text2" w:themeShade="80"/>
                <w:sz w:val="20"/>
                <w:szCs w:val="20"/>
                <w:lang w:val="en-AU" w:eastAsia="en-AU"/>
              </w:rPr>
              <w:t>Sample Indicators</w:t>
            </w:r>
          </w:p>
        </w:tc>
      </w:tr>
      <w:tr w:rsidR="00902F90" w:rsidRPr="00B719DB" w14:paraId="744A635F" w14:textId="77777777" w:rsidTr="0067283D">
        <w:tc>
          <w:tcPr>
            <w:tcW w:w="0" w:type="auto"/>
            <w:hideMark/>
          </w:tcPr>
          <w:p w14:paraId="6AFFF3D2" w14:textId="77777777" w:rsidR="00902F90" w:rsidRPr="00942E13" w:rsidRDefault="00902F90">
            <w:pPr>
              <w:rPr>
                <w:rFonts w:asciiTheme="minorHAnsi" w:hAnsiTheme="minorHAnsi" w:cstheme="minorHAnsi"/>
                <w:sz w:val="20"/>
                <w:szCs w:val="20"/>
                <w:lang w:val="en-AU" w:eastAsia="en-AU"/>
              </w:rPr>
            </w:pPr>
            <w:r w:rsidRPr="006A0952">
              <w:rPr>
                <w:rFonts w:asciiTheme="minorHAnsi" w:hAnsiTheme="minorHAnsi" w:cstheme="minorHAnsi"/>
                <w:b/>
                <w:sz w:val="20"/>
                <w:szCs w:val="20"/>
                <w:lang w:val="en-AU" w:eastAsia="en-AU"/>
              </w:rPr>
              <w:t>Short Courses and Technical Assistance</w:t>
            </w:r>
          </w:p>
        </w:tc>
        <w:tc>
          <w:tcPr>
            <w:tcW w:w="0" w:type="auto"/>
            <w:hideMark/>
          </w:tcPr>
          <w:p w14:paraId="7839ADF4" w14:textId="77777777" w:rsidR="00902F90" w:rsidRPr="00942E13" w:rsidRDefault="00902F90" w:rsidP="00504B06">
            <w:pPr>
              <w:pStyle w:val="ListParagraph"/>
              <w:numPr>
                <w:ilvl w:val="0"/>
                <w:numId w:val="41"/>
              </w:numPr>
              <w:spacing w:line="240" w:lineRule="auto"/>
              <w:ind w:left="274" w:hanging="283"/>
              <w:rPr>
                <w:rFonts w:asciiTheme="minorHAnsi" w:hAnsiTheme="minorHAnsi" w:cstheme="minorHAnsi"/>
                <w:sz w:val="20"/>
                <w:szCs w:val="20"/>
                <w:lang w:val="en-AU" w:eastAsia="en-AU"/>
              </w:rPr>
            </w:pPr>
            <w:r w:rsidRPr="006A0952">
              <w:rPr>
                <w:rFonts w:asciiTheme="minorHAnsi" w:hAnsiTheme="minorHAnsi" w:cstheme="minorHAnsi"/>
                <w:sz w:val="20"/>
                <w:szCs w:val="20"/>
                <w:lang w:val="en-AU" w:eastAsia="en-AU"/>
              </w:rPr>
              <w:t xml:space="preserve"># of participants trained (disaggregated) </w:t>
            </w:r>
          </w:p>
          <w:p w14:paraId="57D374C8" w14:textId="4714036A" w:rsidR="00902F90" w:rsidRPr="00942E13" w:rsidRDefault="00902F90" w:rsidP="00504B06">
            <w:pPr>
              <w:pStyle w:val="ListParagraph"/>
              <w:numPr>
                <w:ilvl w:val="0"/>
                <w:numId w:val="41"/>
              </w:numPr>
              <w:spacing w:line="240" w:lineRule="auto"/>
              <w:ind w:left="274" w:hanging="283"/>
              <w:rPr>
                <w:rFonts w:asciiTheme="minorHAnsi" w:hAnsiTheme="minorHAnsi" w:cstheme="minorHAnsi"/>
                <w:sz w:val="20"/>
                <w:szCs w:val="20"/>
                <w:lang w:val="en-AU" w:eastAsia="en-AU"/>
              </w:rPr>
            </w:pPr>
            <w:r>
              <w:rPr>
                <w:rFonts w:asciiTheme="minorHAnsi" w:hAnsiTheme="minorHAnsi" w:cstheme="minorHAnsi"/>
                <w:sz w:val="20"/>
                <w:szCs w:val="20"/>
                <w:lang w:val="en-AU" w:eastAsia="en-AU"/>
              </w:rPr>
              <w:t xml:space="preserve"> </w:t>
            </w:r>
            <w:r w:rsidR="00EE1735">
              <w:rPr>
                <w:rFonts w:asciiTheme="minorHAnsi" w:hAnsiTheme="minorHAnsi" w:cstheme="minorHAnsi"/>
                <w:sz w:val="20"/>
                <w:szCs w:val="20"/>
                <w:lang w:val="en-AU" w:eastAsia="en-AU"/>
              </w:rPr>
              <w:t>%</w:t>
            </w:r>
            <w:r w:rsidRPr="006A0952">
              <w:rPr>
                <w:rFonts w:asciiTheme="minorHAnsi" w:hAnsiTheme="minorHAnsi" w:cstheme="minorHAnsi"/>
                <w:sz w:val="20"/>
                <w:szCs w:val="20"/>
                <w:lang w:val="en-AU" w:eastAsia="en-AU"/>
              </w:rPr>
              <w:t xml:space="preserve"> reporting application of learning (via post-training survey, follow-up interviews) </w:t>
            </w:r>
          </w:p>
          <w:p w14:paraId="66340255" w14:textId="1670147A" w:rsidR="00902F90" w:rsidRPr="00942E13" w:rsidRDefault="00902F90" w:rsidP="00504B06">
            <w:pPr>
              <w:pStyle w:val="ListParagraph"/>
              <w:numPr>
                <w:ilvl w:val="0"/>
                <w:numId w:val="41"/>
              </w:numPr>
              <w:spacing w:line="240" w:lineRule="auto"/>
              <w:ind w:left="274" w:hanging="283"/>
              <w:rPr>
                <w:rFonts w:asciiTheme="minorHAnsi" w:hAnsiTheme="minorHAnsi" w:cstheme="minorHAnsi"/>
                <w:sz w:val="20"/>
                <w:szCs w:val="20"/>
                <w:lang w:val="en-AU" w:eastAsia="en-AU"/>
              </w:rPr>
            </w:pPr>
            <w:r>
              <w:rPr>
                <w:rFonts w:asciiTheme="minorHAnsi" w:hAnsiTheme="minorHAnsi" w:cstheme="minorHAnsi"/>
                <w:sz w:val="20"/>
                <w:szCs w:val="20"/>
                <w:lang w:val="en-AU" w:eastAsia="en-AU"/>
              </w:rPr>
              <w:t xml:space="preserve"> </w:t>
            </w:r>
            <w:r w:rsidR="00EE1735">
              <w:rPr>
                <w:rFonts w:asciiTheme="minorHAnsi" w:hAnsiTheme="minorHAnsi" w:cstheme="minorHAnsi"/>
                <w:sz w:val="20"/>
                <w:szCs w:val="20"/>
                <w:lang w:val="en-AU" w:eastAsia="en-AU"/>
              </w:rPr>
              <w:t>%</w:t>
            </w:r>
            <w:r w:rsidRPr="006A0952">
              <w:rPr>
                <w:rFonts w:asciiTheme="minorHAnsi" w:hAnsiTheme="minorHAnsi" w:cstheme="minorHAnsi"/>
                <w:sz w:val="20"/>
                <w:szCs w:val="20"/>
                <w:lang w:val="en-AU" w:eastAsia="en-AU"/>
              </w:rPr>
              <w:t xml:space="preserve"> of partner institutions adopting recommended practices</w:t>
            </w:r>
          </w:p>
        </w:tc>
      </w:tr>
      <w:tr w:rsidR="00902F90" w:rsidRPr="00B719DB" w14:paraId="1D433342" w14:textId="77777777" w:rsidTr="0067283D">
        <w:tc>
          <w:tcPr>
            <w:tcW w:w="0" w:type="auto"/>
            <w:hideMark/>
          </w:tcPr>
          <w:p w14:paraId="64D33450" w14:textId="77777777" w:rsidR="00902F90" w:rsidRPr="00942E13" w:rsidRDefault="00902F90">
            <w:pPr>
              <w:rPr>
                <w:rFonts w:asciiTheme="minorHAnsi" w:hAnsiTheme="minorHAnsi" w:cstheme="minorHAnsi"/>
                <w:sz w:val="20"/>
                <w:szCs w:val="20"/>
                <w:lang w:val="en-AU" w:eastAsia="en-AU"/>
              </w:rPr>
            </w:pPr>
            <w:r w:rsidRPr="006A0952">
              <w:rPr>
                <w:rFonts w:asciiTheme="minorHAnsi" w:hAnsiTheme="minorHAnsi" w:cstheme="minorHAnsi"/>
                <w:b/>
                <w:sz w:val="20"/>
                <w:szCs w:val="20"/>
                <w:lang w:val="en-AU" w:eastAsia="en-AU"/>
              </w:rPr>
              <w:lastRenderedPageBreak/>
              <w:t>Peer Exchange and Mentoring</w:t>
            </w:r>
          </w:p>
        </w:tc>
        <w:tc>
          <w:tcPr>
            <w:tcW w:w="0" w:type="auto"/>
            <w:hideMark/>
          </w:tcPr>
          <w:p w14:paraId="158AC432" w14:textId="77777777" w:rsidR="00902F90" w:rsidRPr="00942E13" w:rsidRDefault="00902F90" w:rsidP="00504B06">
            <w:pPr>
              <w:pStyle w:val="ListParagraph"/>
              <w:numPr>
                <w:ilvl w:val="0"/>
                <w:numId w:val="41"/>
              </w:numPr>
              <w:spacing w:line="240" w:lineRule="auto"/>
              <w:ind w:left="274" w:hanging="283"/>
              <w:rPr>
                <w:rFonts w:asciiTheme="minorHAnsi" w:hAnsiTheme="minorHAnsi" w:cstheme="minorHAnsi"/>
                <w:sz w:val="20"/>
                <w:szCs w:val="20"/>
                <w:lang w:val="en-AU" w:eastAsia="en-AU"/>
              </w:rPr>
            </w:pPr>
            <w:r w:rsidRPr="006A0952">
              <w:rPr>
                <w:rFonts w:asciiTheme="minorHAnsi" w:hAnsiTheme="minorHAnsi" w:cstheme="minorHAnsi"/>
                <w:sz w:val="20"/>
                <w:szCs w:val="20"/>
                <w:lang w:val="en-AU" w:eastAsia="en-AU"/>
              </w:rPr>
              <w:t xml:space="preserve"># and quality (feedback scores) of bilateral peer exchanges </w:t>
            </w:r>
          </w:p>
          <w:p w14:paraId="0795718F" w14:textId="77777777" w:rsidR="00902F90" w:rsidRPr="00942E13" w:rsidRDefault="00902F90" w:rsidP="00504B06">
            <w:pPr>
              <w:pStyle w:val="ListParagraph"/>
              <w:numPr>
                <w:ilvl w:val="0"/>
                <w:numId w:val="41"/>
              </w:numPr>
              <w:spacing w:line="240" w:lineRule="auto"/>
              <w:ind w:left="274" w:hanging="283"/>
              <w:rPr>
                <w:rFonts w:asciiTheme="minorHAnsi" w:hAnsiTheme="minorHAnsi" w:cstheme="minorHAnsi"/>
                <w:sz w:val="20"/>
                <w:szCs w:val="20"/>
                <w:lang w:val="en-AU" w:eastAsia="en-AU"/>
              </w:rPr>
            </w:pPr>
            <w:r w:rsidRPr="006A0952">
              <w:rPr>
                <w:rFonts w:asciiTheme="minorHAnsi" w:hAnsiTheme="minorHAnsi" w:cstheme="minorHAnsi"/>
                <w:sz w:val="20"/>
                <w:szCs w:val="20"/>
                <w:lang w:val="en-AU" w:eastAsia="en-AU"/>
              </w:rPr>
              <w:t xml:space="preserve"># of joint initiatives or follow-on collaborations </w:t>
            </w:r>
          </w:p>
          <w:p w14:paraId="0B3221B1" w14:textId="77777777" w:rsidR="00902F90" w:rsidRPr="00942E13" w:rsidRDefault="00902F90" w:rsidP="00504B06">
            <w:pPr>
              <w:pStyle w:val="ListParagraph"/>
              <w:numPr>
                <w:ilvl w:val="0"/>
                <w:numId w:val="41"/>
              </w:numPr>
              <w:spacing w:line="240" w:lineRule="auto"/>
              <w:ind w:left="274" w:hanging="283"/>
              <w:rPr>
                <w:rFonts w:asciiTheme="minorHAnsi" w:hAnsiTheme="minorHAnsi" w:cstheme="minorHAnsi"/>
                <w:sz w:val="20"/>
                <w:szCs w:val="20"/>
                <w:lang w:val="en-AU" w:eastAsia="en-AU"/>
              </w:rPr>
            </w:pPr>
            <w:r w:rsidRPr="006A0952">
              <w:rPr>
                <w:rFonts w:asciiTheme="minorHAnsi" w:hAnsiTheme="minorHAnsi" w:cstheme="minorHAnsi"/>
                <w:sz w:val="20"/>
                <w:szCs w:val="20"/>
                <w:lang w:val="en-AU" w:eastAsia="en-AU"/>
              </w:rPr>
              <w:t>Documentation of mutual learning (case notes, outcome stories)</w:t>
            </w:r>
          </w:p>
        </w:tc>
      </w:tr>
      <w:tr w:rsidR="00902F90" w:rsidRPr="00B719DB" w14:paraId="484E6681" w14:textId="77777777" w:rsidTr="0067283D">
        <w:tc>
          <w:tcPr>
            <w:tcW w:w="0" w:type="auto"/>
            <w:hideMark/>
          </w:tcPr>
          <w:p w14:paraId="3612280B" w14:textId="77777777" w:rsidR="00902F90" w:rsidRPr="00942E13" w:rsidRDefault="00902F90">
            <w:pPr>
              <w:rPr>
                <w:rFonts w:asciiTheme="minorHAnsi" w:hAnsiTheme="minorHAnsi" w:cstheme="minorHAnsi"/>
                <w:sz w:val="20"/>
                <w:szCs w:val="20"/>
                <w:lang w:val="en-AU" w:eastAsia="en-AU"/>
              </w:rPr>
            </w:pPr>
            <w:r w:rsidRPr="006A0952">
              <w:rPr>
                <w:rFonts w:asciiTheme="minorHAnsi" w:hAnsiTheme="minorHAnsi" w:cstheme="minorHAnsi"/>
                <w:b/>
                <w:sz w:val="20"/>
                <w:szCs w:val="20"/>
                <w:lang w:val="en-AU" w:eastAsia="en-AU"/>
              </w:rPr>
              <w:t>Media and Digital Literacy</w:t>
            </w:r>
          </w:p>
        </w:tc>
        <w:tc>
          <w:tcPr>
            <w:tcW w:w="0" w:type="auto"/>
            <w:hideMark/>
          </w:tcPr>
          <w:p w14:paraId="71970942" w14:textId="77777777" w:rsidR="00902F90" w:rsidRPr="00942E13" w:rsidRDefault="00902F90" w:rsidP="00504B06">
            <w:pPr>
              <w:pStyle w:val="ListParagraph"/>
              <w:numPr>
                <w:ilvl w:val="0"/>
                <w:numId w:val="41"/>
              </w:numPr>
              <w:spacing w:line="240" w:lineRule="auto"/>
              <w:ind w:left="274" w:hanging="283"/>
              <w:rPr>
                <w:rFonts w:asciiTheme="minorHAnsi" w:hAnsiTheme="minorHAnsi" w:cstheme="minorHAnsi"/>
                <w:sz w:val="20"/>
                <w:szCs w:val="20"/>
                <w:lang w:val="en-AU" w:eastAsia="en-AU"/>
              </w:rPr>
            </w:pPr>
            <w:r w:rsidRPr="006A0952">
              <w:rPr>
                <w:rFonts w:asciiTheme="minorHAnsi" w:hAnsiTheme="minorHAnsi" w:cstheme="minorHAnsi"/>
                <w:sz w:val="20"/>
                <w:szCs w:val="20"/>
                <w:lang w:val="en-AU" w:eastAsia="en-AU"/>
              </w:rPr>
              <w:t xml:space="preserve">Reach, engagement, and audience feedback on civic media campaigns </w:t>
            </w:r>
          </w:p>
          <w:p w14:paraId="4A4B0BF5" w14:textId="77777777" w:rsidR="00902F90" w:rsidRPr="00942E13" w:rsidRDefault="00902F90" w:rsidP="00504B06">
            <w:pPr>
              <w:pStyle w:val="ListParagraph"/>
              <w:numPr>
                <w:ilvl w:val="0"/>
                <w:numId w:val="41"/>
              </w:numPr>
              <w:spacing w:line="240" w:lineRule="auto"/>
              <w:ind w:left="274" w:hanging="283"/>
              <w:rPr>
                <w:rFonts w:asciiTheme="minorHAnsi" w:hAnsiTheme="minorHAnsi" w:cstheme="minorHAnsi"/>
                <w:sz w:val="20"/>
                <w:szCs w:val="20"/>
                <w:lang w:val="en-AU" w:eastAsia="en-AU"/>
              </w:rPr>
            </w:pPr>
            <w:r w:rsidRPr="006A0952">
              <w:rPr>
                <w:rFonts w:asciiTheme="minorHAnsi" w:hAnsiTheme="minorHAnsi" w:cstheme="minorHAnsi"/>
                <w:sz w:val="20"/>
                <w:szCs w:val="20"/>
                <w:lang w:val="en-AU" w:eastAsia="en-AU"/>
              </w:rPr>
              <w:t xml:space="preserve"># of counter-disinformation or digital safety initiatives supported </w:t>
            </w:r>
          </w:p>
          <w:p w14:paraId="3C168DE5" w14:textId="06B68B9C" w:rsidR="00902F90" w:rsidRPr="00942E13" w:rsidRDefault="00902F90" w:rsidP="00504B06">
            <w:pPr>
              <w:pStyle w:val="ListParagraph"/>
              <w:numPr>
                <w:ilvl w:val="0"/>
                <w:numId w:val="41"/>
              </w:numPr>
              <w:spacing w:line="240" w:lineRule="auto"/>
              <w:ind w:left="274" w:hanging="283"/>
              <w:rPr>
                <w:rFonts w:asciiTheme="minorHAnsi" w:hAnsiTheme="minorHAnsi" w:cstheme="minorHAnsi"/>
                <w:sz w:val="20"/>
                <w:szCs w:val="20"/>
                <w:lang w:val="en-AU" w:eastAsia="en-AU"/>
              </w:rPr>
            </w:pPr>
            <w:r>
              <w:rPr>
                <w:rFonts w:asciiTheme="minorHAnsi" w:hAnsiTheme="minorHAnsi" w:cstheme="minorHAnsi"/>
                <w:sz w:val="20"/>
                <w:szCs w:val="20"/>
                <w:lang w:val="en-AU" w:eastAsia="en-AU"/>
              </w:rPr>
              <w:t xml:space="preserve"> </w:t>
            </w:r>
            <w:r w:rsidR="00A95022">
              <w:rPr>
                <w:rFonts w:asciiTheme="minorHAnsi" w:hAnsiTheme="minorHAnsi" w:cstheme="minorHAnsi"/>
                <w:sz w:val="20"/>
                <w:szCs w:val="20"/>
                <w:lang w:val="en-AU" w:eastAsia="en-AU"/>
              </w:rPr>
              <w:t>%</w:t>
            </w:r>
            <w:r w:rsidRPr="006A0952">
              <w:rPr>
                <w:rFonts w:asciiTheme="minorHAnsi" w:hAnsiTheme="minorHAnsi" w:cstheme="minorHAnsi"/>
                <w:sz w:val="20"/>
                <w:szCs w:val="20"/>
                <w:lang w:val="en-AU" w:eastAsia="en-AU"/>
              </w:rPr>
              <w:t xml:space="preserve"> of youth/women-led groups reporting improved digital resilience</w:t>
            </w:r>
          </w:p>
        </w:tc>
      </w:tr>
      <w:tr w:rsidR="00902F90" w:rsidRPr="005D0D19" w14:paraId="3D75889F" w14:textId="77777777" w:rsidTr="0067283D">
        <w:tc>
          <w:tcPr>
            <w:tcW w:w="0" w:type="auto"/>
            <w:hideMark/>
          </w:tcPr>
          <w:p w14:paraId="02BF3450" w14:textId="24168A75" w:rsidR="00902F90" w:rsidRPr="00942E13" w:rsidRDefault="00902F90">
            <w:pPr>
              <w:rPr>
                <w:rFonts w:asciiTheme="minorHAnsi" w:hAnsiTheme="minorHAnsi" w:cstheme="minorHAnsi"/>
                <w:sz w:val="20"/>
                <w:szCs w:val="20"/>
                <w:lang w:val="en-AU" w:eastAsia="en-AU"/>
              </w:rPr>
            </w:pPr>
            <w:r w:rsidRPr="006A0952">
              <w:rPr>
                <w:rFonts w:asciiTheme="minorHAnsi" w:hAnsiTheme="minorHAnsi" w:cstheme="minorHAnsi"/>
                <w:b/>
                <w:sz w:val="20"/>
                <w:szCs w:val="20"/>
                <w:lang w:val="en-AU" w:eastAsia="en-AU"/>
              </w:rPr>
              <w:t>Inclusive Grant</w:t>
            </w:r>
            <w:r w:rsidR="0035135B">
              <w:rPr>
                <w:rFonts w:asciiTheme="minorHAnsi" w:hAnsiTheme="minorHAnsi" w:cstheme="minorHAnsi"/>
                <w:b/>
                <w:sz w:val="20"/>
                <w:szCs w:val="20"/>
                <w:lang w:val="en-AU" w:eastAsia="en-AU"/>
              </w:rPr>
              <w:t xml:space="preserve"> </w:t>
            </w:r>
            <w:r w:rsidRPr="006A0952">
              <w:rPr>
                <w:rFonts w:asciiTheme="minorHAnsi" w:hAnsiTheme="minorHAnsi" w:cstheme="minorHAnsi"/>
                <w:b/>
                <w:sz w:val="20"/>
                <w:szCs w:val="20"/>
                <w:lang w:val="en-AU" w:eastAsia="en-AU"/>
              </w:rPr>
              <w:t>Making</w:t>
            </w:r>
          </w:p>
        </w:tc>
        <w:tc>
          <w:tcPr>
            <w:tcW w:w="0" w:type="auto"/>
            <w:hideMark/>
          </w:tcPr>
          <w:p w14:paraId="7C46A58B" w14:textId="3F5173D2" w:rsidR="00902F90" w:rsidRPr="00942E13" w:rsidRDefault="00902F90" w:rsidP="00504B06">
            <w:pPr>
              <w:pStyle w:val="ListParagraph"/>
              <w:numPr>
                <w:ilvl w:val="0"/>
                <w:numId w:val="41"/>
              </w:numPr>
              <w:spacing w:line="240" w:lineRule="auto"/>
              <w:ind w:left="274" w:hanging="283"/>
              <w:rPr>
                <w:rFonts w:asciiTheme="minorHAnsi" w:hAnsiTheme="minorHAnsi" w:cstheme="minorHAnsi"/>
                <w:sz w:val="20"/>
                <w:szCs w:val="20"/>
                <w:lang w:val="en-AU" w:eastAsia="en-AU"/>
              </w:rPr>
            </w:pPr>
            <w:r>
              <w:rPr>
                <w:rFonts w:asciiTheme="minorHAnsi" w:hAnsiTheme="minorHAnsi" w:cstheme="minorHAnsi"/>
                <w:sz w:val="20"/>
                <w:szCs w:val="20"/>
                <w:lang w:val="en-AU" w:eastAsia="en-AU"/>
              </w:rPr>
              <w:t xml:space="preserve"> </w:t>
            </w:r>
            <w:r w:rsidR="00A95022">
              <w:rPr>
                <w:rFonts w:asciiTheme="minorHAnsi" w:hAnsiTheme="minorHAnsi" w:cstheme="minorHAnsi"/>
                <w:sz w:val="20"/>
                <w:szCs w:val="20"/>
                <w:lang w:val="en-AU" w:eastAsia="en-AU"/>
              </w:rPr>
              <w:t>%</w:t>
            </w:r>
            <w:r w:rsidRPr="006A0952">
              <w:rPr>
                <w:rFonts w:asciiTheme="minorHAnsi" w:hAnsiTheme="minorHAnsi" w:cstheme="minorHAnsi"/>
                <w:sz w:val="20"/>
                <w:szCs w:val="20"/>
                <w:lang w:val="en-AU" w:eastAsia="en-AU"/>
              </w:rPr>
              <w:t xml:space="preserve"> of grants awarded to local organisations (including WROs, OPDs, youth-led CSOs) </w:t>
            </w:r>
          </w:p>
          <w:p w14:paraId="3D49C673" w14:textId="77777777" w:rsidR="00902F90" w:rsidRPr="00942E13" w:rsidRDefault="00902F90" w:rsidP="00504B06">
            <w:pPr>
              <w:pStyle w:val="ListParagraph"/>
              <w:numPr>
                <w:ilvl w:val="0"/>
                <w:numId w:val="41"/>
              </w:numPr>
              <w:spacing w:line="240" w:lineRule="auto"/>
              <w:ind w:left="274" w:hanging="283"/>
              <w:rPr>
                <w:rFonts w:asciiTheme="minorHAnsi" w:hAnsiTheme="minorHAnsi" w:cstheme="minorHAnsi"/>
                <w:sz w:val="20"/>
                <w:szCs w:val="20"/>
                <w:lang w:val="en-AU" w:eastAsia="en-AU"/>
              </w:rPr>
            </w:pPr>
            <w:r w:rsidRPr="006A0952">
              <w:rPr>
                <w:rFonts w:asciiTheme="minorHAnsi" w:hAnsiTheme="minorHAnsi" w:cstheme="minorHAnsi"/>
                <w:sz w:val="20"/>
                <w:szCs w:val="20"/>
                <w:lang w:val="en-AU" w:eastAsia="en-AU"/>
              </w:rPr>
              <w:t xml:space="preserve"># of funded initiatives explicitly addressing GEDSI, civic inclusion, and/or climate justice </w:t>
            </w:r>
          </w:p>
          <w:p w14:paraId="524F0B68" w14:textId="77777777" w:rsidR="00902F90" w:rsidRPr="00942E13" w:rsidRDefault="00902F90" w:rsidP="00504B06">
            <w:pPr>
              <w:pStyle w:val="ListParagraph"/>
              <w:numPr>
                <w:ilvl w:val="0"/>
                <w:numId w:val="41"/>
              </w:numPr>
              <w:spacing w:line="240" w:lineRule="auto"/>
              <w:ind w:left="274" w:hanging="283"/>
              <w:rPr>
                <w:rFonts w:asciiTheme="minorHAnsi" w:hAnsiTheme="minorHAnsi" w:cstheme="minorHAnsi"/>
                <w:sz w:val="20"/>
                <w:szCs w:val="20"/>
                <w:lang w:val="en-AU" w:eastAsia="en-AU"/>
              </w:rPr>
            </w:pPr>
            <w:r w:rsidRPr="006A0952">
              <w:rPr>
                <w:rFonts w:asciiTheme="minorHAnsi" w:hAnsiTheme="minorHAnsi" w:cstheme="minorHAnsi"/>
                <w:sz w:val="20"/>
                <w:szCs w:val="20"/>
                <w:lang w:val="en-AU" w:eastAsia="en-AU"/>
              </w:rPr>
              <w:t>Grant recipient satisfaction (partner survey)</w:t>
            </w:r>
          </w:p>
        </w:tc>
      </w:tr>
    </w:tbl>
    <w:p w14:paraId="1000CA15" w14:textId="77777777" w:rsidR="00F03620" w:rsidRPr="00E0161E" w:rsidRDefault="00F03620" w:rsidP="00F03620">
      <w:pPr>
        <w:pStyle w:val="Heading5"/>
        <w:rPr>
          <w:lang w:eastAsia="en-AU"/>
        </w:rPr>
      </w:pPr>
      <w:r w:rsidRPr="00E0161E">
        <w:rPr>
          <w:lang w:eastAsia="en-AU"/>
        </w:rPr>
        <w:t>Innovation and Learning Indicators</w:t>
      </w:r>
    </w:p>
    <w:p w14:paraId="095541ED" w14:textId="77777777" w:rsidR="00F03620" w:rsidRPr="00E0161E" w:rsidRDefault="00F03620" w:rsidP="00F03620">
      <w:pPr>
        <w:rPr>
          <w:lang w:val="en-AU" w:eastAsia="en-AU"/>
        </w:rPr>
      </w:pPr>
      <w:r w:rsidRPr="00E0161E">
        <w:rPr>
          <w:lang w:val="en-AU" w:eastAsia="en-AU"/>
        </w:rPr>
        <w:t>To track adaptive innovation, civic tech experimentation, and localised learning, additional indicators will include:</w:t>
      </w:r>
    </w:p>
    <w:p w14:paraId="26CEE0B7" w14:textId="77777777" w:rsidR="00F03620" w:rsidRPr="00952630" w:rsidRDefault="00F03620" w:rsidP="00504B06">
      <w:pPr>
        <w:pStyle w:val="ListParagraph"/>
        <w:numPr>
          <w:ilvl w:val="0"/>
          <w:numId w:val="53"/>
        </w:numPr>
        <w:rPr>
          <w:lang w:val="en-AU" w:eastAsia="en-AU"/>
        </w:rPr>
      </w:pPr>
      <w:r w:rsidRPr="00952630">
        <w:rPr>
          <w:lang w:val="en-AU" w:eastAsia="en-AU"/>
        </w:rPr>
        <w:t># of pilots or innovations tested and scaled</w:t>
      </w:r>
    </w:p>
    <w:p w14:paraId="698F881F" w14:textId="439E0781" w:rsidR="00F03620" w:rsidRPr="00952630" w:rsidRDefault="00F03620" w:rsidP="00504B06">
      <w:pPr>
        <w:pStyle w:val="ListParagraph"/>
        <w:numPr>
          <w:ilvl w:val="0"/>
          <w:numId w:val="53"/>
        </w:numPr>
        <w:rPr>
          <w:lang w:val="en-AU" w:eastAsia="en-AU"/>
        </w:rPr>
      </w:pPr>
      <w:r>
        <w:rPr>
          <w:lang w:val="en-AU" w:eastAsia="en-AU"/>
        </w:rPr>
        <w:t>%</w:t>
      </w:r>
      <w:r w:rsidRPr="00952630">
        <w:rPr>
          <w:lang w:val="en-AU" w:eastAsia="en-AU"/>
        </w:rPr>
        <w:t xml:space="preserve"> of </w:t>
      </w:r>
      <w:r w:rsidR="00CD6823">
        <w:rPr>
          <w:lang w:val="en-AU" w:eastAsia="en-AU"/>
        </w:rPr>
        <w:t>CSP</w:t>
      </w:r>
      <w:r w:rsidRPr="00952630">
        <w:rPr>
          <w:lang w:val="en-AU" w:eastAsia="en-AU"/>
        </w:rPr>
        <w:t xml:space="preserve"> activities modified based on MEL insights</w:t>
      </w:r>
    </w:p>
    <w:p w14:paraId="4265FD94" w14:textId="77777777" w:rsidR="00F03620" w:rsidRPr="00952630" w:rsidRDefault="00F03620" w:rsidP="00504B06">
      <w:pPr>
        <w:pStyle w:val="ListParagraph"/>
        <w:numPr>
          <w:ilvl w:val="0"/>
          <w:numId w:val="53"/>
        </w:numPr>
        <w:rPr>
          <w:lang w:val="en-AU" w:eastAsia="en-AU"/>
        </w:rPr>
      </w:pPr>
      <w:r w:rsidRPr="00952630">
        <w:rPr>
          <w:lang w:val="en-AU" w:eastAsia="en-AU"/>
        </w:rPr>
        <w:t>Learning uptake (e.g. # of policy or program changes informed by evidence)</w:t>
      </w:r>
      <w:r>
        <w:rPr>
          <w:lang w:val="en-AU" w:eastAsia="en-AU"/>
        </w:rPr>
        <w:t>.</w:t>
      </w:r>
    </w:p>
    <w:p w14:paraId="61070E8E" w14:textId="77777777" w:rsidR="00902F90" w:rsidRPr="00E0161E" w:rsidRDefault="00902F90" w:rsidP="00902F90">
      <w:pPr>
        <w:pStyle w:val="Heading5"/>
        <w:rPr>
          <w:lang w:eastAsia="en-AU"/>
        </w:rPr>
      </w:pPr>
      <w:r w:rsidRPr="00E0161E">
        <w:rPr>
          <w:lang w:eastAsia="en-AU"/>
        </w:rPr>
        <w:t>Inclusion and Disaggregation</w:t>
      </w:r>
    </w:p>
    <w:p w14:paraId="66C652C6" w14:textId="77777777" w:rsidR="00902F90" w:rsidRPr="00E0161E" w:rsidRDefault="00902F90" w:rsidP="00902F90">
      <w:pPr>
        <w:rPr>
          <w:lang w:val="en-AU" w:eastAsia="en-AU"/>
        </w:rPr>
      </w:pPr>
      <w:r w:rsidRPr="00E0161E">
        <w:rPr>
          <w:lang w:val="en-AU" w:eastAsia="en-AU"/>
        </w:rPr>
        <w:t xml:space="preserve">All outcome and output indicators will be disaggregated </w:t>
      </w:r>
      <w:r>
        <w:rPr>
          <w:lang w:val="en-AU" w:eastAsia="en-AU"/>
        </w:rPr>
        <w:t>consistent with DFAT best practice standard by</w:t>
      </w:r>
      <w:r w:rsidRPr="00E0161E">
        <w:rPr>
          <w:lang w:val="en-AU" w:eastAsia="en-AU"/>
        </w:rPr>
        <w:t>:</w:t>
      </w:r>
    </w:p>
    <w:p w14:paraId="61625310" w14:textId="77777777" w:rsidR="00902F90" w:rsidRPr="00952630" w:rsidRDefault="00902F90" w:rsidP="00504B06">
      <w:pPr>
        <w:pStyle w:val="ListParagraph"/>
        <w:numPr>
          <w:ilvl w:val="0"/>
          <w:numId w:val="50"/>
        </w:numPr>
        <w:rPr>
          <w:lang w:val="en-AU" w:eastAsia="en-AU"/>
        </w:rPr>
      </w:pPr>
      <w:r w:rsidRPr="00952630">
        <w:rPr>
          <w:lang w:val="en-AU" w:eastAsia="en-AU"/>
        </w:rPr>
        <w:t>Gender (men, women, non-binary, trans)</w:t>
      </w:r>
    </w:p>
    <w:p w14:paraId="1419848D" w14:textId="77777777" w:rsidR="00902F90" w:rsidRPr="00952630" w:rsidRDefault="00902F90" w:rsidP="00504B06">
      <w:pPr>
        <w:pStyle w:val="ListParagraph"/>
        <w:numPr>
          <w:ilvl w:val="0"/>
          <w:numId w:val="50"/>
        </w:numPr>
        <w:rPr>
          <w:lang w:val="en-AU" w:eastAsia="en-AU"/>
        </w:rPr>
      </w:pPr>
      <w:r w:rsidRPr="00952630">
        <w:rPr>
          <w:lang w:val="en-AU" w:eastAsia="en-AU"/>
        </w:rPr>
        <w:t>Age (especially youth 15–30)</w:t>
      </w:r>
    </w:p>
    <w:p w14:paraId="31FED2BD" w14:textId="77777777" w:rsidR="00902F90" w:rsidRPr="00952630" w:rsidRDefault="00902F90" w:rsidP="00504B06">
      <w:pPr>
        <w:pStyle w:val="ListParagraph"/>
        <w:numPr>
          <w:ilvl w:val="0"/>
          <w:numId w:val="50"/>
        </w:numPr>
        <w:rPr>
          <w:lang w:val="en-AU" w:eastAsia="en-AU"/>
        </w:rPr>
      </w:pPr>
      <w:r w:rsidRPr="00952630">
        <w:rPr>
          <w:lang w:val="en-AU" w:eastAsia="en-AU"/>
        </w:rPr>
        <w:t>Disability status</w:t>
      </w:r>
    </w:p>
    <w:p w14:paraId="17E77B5F" w14:textId="77777777" w:rsidR="00902F90" w:rsidRDefault="00902F90" w:rsidP="00902F90">
      <w:pPr>
        <w:rPr>
          <w:lang w:val="en-AU" w:eastAsia="en-AU"/>
        </w:rPr>
      </w:pPr>
      <w:r>
        <w:rPr>
          <w:lang w:val="en-AU" w:eastAsia="en-AU"/>
        </w:rPr>
        <w:t xml:space="preserve">Wherever feasible the program will also disaggregate all data by: </w:t>
      </w:r>
    </w:p>
    <w:p w14:paraId="2674B5C4" w14:textId="77777777" w:rsidR="00902F90" w:rsidRPr="00952630" w:rsidRDefault="00902F90" w:rsidP="00504B06">
      <w:pPr>
        <w:pStyle w:val="ListParagraph"/>
        <w:numPr>
          <w:ilvl w:val="0"/>
          <w:numId w:val="51"/>
        </w:numPr>
        <w:rPr>
          <w:lang w:val="en-AU" w:eastAsia="en-AU"/>
        </w:rPr>
      </w:pPr>
      <w:r w:rsidRPr="00952630">
        <w:rPr>
          <w:lang w:val="en-AU" w:eastAsia="en-AU"/>
        </w:rPr>
        <w:t>Age (especially youth 15–30)</w:t>
      </w:r>
    </w:p>
    <w:p w14:paraId="666DFA44" w14:textId="77777777" w:rsidR="00902F90" w:rsidRPr="00952630" w:rsidRDefault="00902F90" w:rsidP="00504B06">
      <w:pPr>
        <w:pStyle w:val="ListParagraph"/>
        <w:numPr>
          <w:ilvl w:val="0"/>
          <w:numId w:val="51"/>
        </w:numPr>
        <w:rPr>
          <w:lang w:val="en-AU" w:eastAsia="en-AU"/>
        </w:rPr>
      </w:pPr>
      <w:r w:rsidRPr="00952630">
        <w:rPr>
          <w:lang w:val="en-AU" w:eastAsia="en-AU"/>
        </w:rPr>
        <w:t>Geographic region (urban, peri-urban, rural, Eastern Indonesia)</w:t>
      </w:r>
    </w:p>
    <w:p w14:paraId="2426E948" w14:textId="77777777" w:rsidR="00902F90" w:rsidRPr="00952630" w:rsidRDefault="00902F90" w:rsidP="00504B06">
      <w:pPr>
        <w:pStyle w:val="ListParagraph"/>
        <w:numPr>
          <w:ilvl w:val="0"/>
          <w:numId w:val="51"/>
        </w:numPr>
        <w:rPr>
          <w:lang w:val="en-AU" w:eastAsia="en-AU"/>
        </w:rPr>
      </w:pPr>
      <w:r w:rsidRPr="00952630">
        <w:rPr>
          <w:lang w:val="en-AU" w:eastAsia="en-AU"/>
        </w:rPr>
        <w:t>Ethnic or Adat status, religion, or SOGIESC (where safely collectible)</w:t>
      </w:r>
    </w:p>
    <w:p w14:paraId="03D03C30" w14:textId="77777777" w:rsidR="00902F90" w:rsidRPr="00E0161E" w:rsidRDefault="00902F90" w:rsidP="00902F90">
      <w:pPr>
        <w:rPr>
          <w:lang w:val="en-AU" w:eastAsia="en-AU"/>
        </w:rPr>
      </w:pPr>
      <w:r w:rsidRPr="008C22AF">
        <w:rPr>
          <w:lang w:val="en-AU" w:eastAsia="en-AU"/>
        </w:rPr>
        <w:t>Inclusion outcomes</w:t>
      </w:r>
      <w:r w:rsidRPr="00E0161E">
        <w:rPr>
          <w:lang w:val="en-AU" w:eastAsia="en-AU"/>
        </w:rPr>
        <w:t xml:space="preserve"> will also be captured through qualitative indicators, including:</w:t>
      </w:r>
    </w:p>
    <w:p w14:paraId="66A1A66C" w14:textId="2370D4A6" w:rsidR="00902F90" w:rsidRPr="00952630" w:rsidRDefault="00902F90" w:rsidP="00504B06">
      <w:pPr>
        <w:pStyle w:val="ListParagraph"/>
        <w:numPr>
          <w:ilvl w:val="0"/>
          <w:numId w:val="52"/>
        </w:numPr>
        <w:rPr>
          <w:lang w:val="en-AU" w:eastAsia="en-AU"/>
        </w:rPr>
      </w:pPr>
      <w:r w:rsidRPr="00952630">
        <w:rPr>
          <w:lang w:val="en-AU" w:eastAsia="en-AU"/>
        </w:rPr>
        <w:t>Self-assessed change in voice, agency, or leadership opportunities for under</w:t>
      </w:r>
      <w:r w:rsidR="005B37F2">
        <w:rPr>
          <w:lang w:val="en-AU" w:eastAsia="en-AU"/>
        </w:rPr>
        <w:t>-</w:t>
      </w:r>
      <w:r w:rsidRPr="00952630">
        <w:rPr>
          <w:lang w:val="en-AU" w:eastAsia="en-AU"/>
        </w:rPr>
        <w:t>represented groups</w:t>
      </w:r>
    </w:p>
    <w:p w14:paraId="627A64C9" w14:textId="1FC339F9" w:rsidR="00902F90" w:rsidRPr="00952630" w:rsidRDefault="00902F90" w:rsidP="00504B06">
      <w:pPr>
        <w:pStyle w:val="ListParagraph"/>
        <w:numPr>
          <w:ilvl w:val="0"/>
          <w:numId w:val="52"/>
        </w:numPr>
        <w:rPr>
          <w:lang w:val="en-AU" w:eastAsia="en-AU"/>
        </w:rPr>
      </w:pPr>
      <w:r w:rsidRPr="00952630">
        <w:rPr>
          <w:lang w:val="en-AU" w:eastAsia="en-AU"/>
        </w:rPr>
        <w:t>Participant satisfaction and self-reported safety in program spaces</w:t>
      </w:r>
      <w:r w:rsidR="00E9762C">
        <w:rPr>
          <w:lang w:val="en-AU" w:eastAsia="en-AU"/>
        </w:rPr>
        <w:t>.</w:t>
      </w:r>
    </w:p>
    <w:p w14:paraId="6B8CCBE4" w14:textId="3D2B4203" w:rsidR="00902F90" w:rsidRPr="0029253F" w:rsidRDefault="00902F90" w:rsidP="00500EA6">
      <w:pPr>
        <w:pStyle w:val="Heading3"/>
        <w:spacing w:before="240"/>
      </w:pPr>
      <w:r w:rsidRPr="0029253F">
        <w:t>Monitoring, Data Collection and Analysis Tools</w:t>
      </w:r>
    </w:p>
    <w:p w14:paraId="50BE4C1A" w14:textId="0D08BECE" w:rsidR="00902F90" w:rsidRPr="00942E13" w:rsidRDefault="00902F90" w:rsidP="00902F90">
      <w:pPr>
        <w:rPr>
          <w:lang w:val="en-AU"/>
        </w:rPr>
      </w:pPr>
      <w:r w:rsidRPr="000A4F3A">
        <w:rPr>
          <w:lang w:val="en-AU"/>
        </w:rPr>
        <w:t>T</w:t>
      </w:r>
      <w:r w:rsidRPr="00773756">
        <w:rPr>
          <w:lang w:val="en-AU"/>
        </w:rPr>
        <w:t xml:space="preserve">he </w:t>
      </w:r>
      <w:proofErr w:type="spellStart"/>
      <w:r w:rsidRPr="00D84A7F">
        <w:rPr>
          <w:iCs/>
          <w:lang w:val="en-AU"/>
        </w:rPr>
        <w:t>Partisipasi</w:t>
      </w:r>
      <w:proofErr w:type="spellEnd"/>
      <w:r w:rsidRPr="00773756">
        <w:rPr>
          <w:lang w:val="en-AU"/>
        </w:rPr>
        <w:t xml:space="preserve"> MEL </w:t>
      </w:r>
      <w:r w:rsidR="00031FA1">
        <w:rPr>
          <w:lang w:val="en-AU"/>
        </w:rPr>
        <w:t>S</w:t>
      </w:r>
      <w:r w:rsidRPr="00773756">
        <w:rPr>
          <w:lang w:val="en-AU"/>
        </w:rPr>
        <w:t>ystem will</w:t>
      </w:r>
      <w:r>
        <w:rPr>
          <w:lang w:val="en-AU"/>
        </w:rPr>
        <w:t xml:space="preserve"> </w:t>
      </w:r>
      <w:r w:rsidRPr="002230AC">
        <w:rPr>
          <w:lang w:val="en-AU"/>
        </w:rPr>
        <w:t xml:space="preserve">balance </w:t>
      </w:r>
      <w:r w:rsidRPr="00D4734B">
        <w:rPr>
          <w:lang w:val="en-AU"/>
        </w:rPr>
        <w:t xml:space="preserve">rigour with usability, focusing on </w:t>
      </w:r>
      <w:r w:rsidRPr="00942E13">
        <w:rPr>
          <w:lang w:val="en-AU"/>
        </w:rPr>
        <w:t>facilitating reflection and adaptive learning</w:t>
      </w:r>
      <w:r w:rsidRPr="00D4734B">
        <w:rPr>
          <w:lang w:val="en-AU"/>
        </w:rPr>
        <w:t xml:space="preserve"> rather than generating excessive reporting burdens. It will integrate political analysis, civic mapping, qualitative tracking, and real-time feedback as the </w:t>
      </w:r>
      <w:r w:rsidRPr="00942E13">
        <w:rPr>
          <w:lang w:val="en-AU"/>
        </w:rPr>
        <w:t>core MEL functions</w:t>
      </w:r>
      <w:r w:rsidRPr="00D4734B">
        <w:rPr>
          <w:lang w:val="en-AU"/>
        </w:rPr>
        <w:t xml:space="preserve"> critical for program adaptation and decision-making.</w:t>
      </w:r>
      <w:r w:rsidR="00367B75">
        <w:rPr>
          <w:lang w:val="en-AU"/>
        </w:rPr>
        <w:t xml:space="preserve"> </w:t>
      </w:r>
      <w:r w:rsidRPr="00942E13">
        <w:rPr>
          <w:lang w:val="en-AU"/>
        </w:rPr>
        <w:t>All tools will be adapted to:</w:t>
      </w:r>
    </w:p>
    <w:p w14:paraId="2F7A6A7F" w14:textId="238C8D2F" w:rsidR="00902F90" w:rsidRPr="00952630" w:rsidRDefault="00902F90" w:rsidP="00504B06">
      <w:pPr>
        <w:pStyle w:val="ListParagraph"/>
        <w:numPr>
          <w:ilvl w:val="0"/>
          <w:numId w:val="54"/>
        </w:numPr>
        <w:rPr>
          <w:lang w:val="en-AU"/>
        </w:rPr>
      </w:pPr>
      <w:r w:rsidRPr="00952630">
        <w:rPr>
          <w:lang w:val="en-AU"/>
        </w:rPr>
        <w:t>Prioritise accessibility and inclusion (for youth</w:t>
      </w:r>
      <w:r w:rsidR="00C71EF2">
        <w:rPr>
          <w:lang w:val="en-AU"/>
        </w:rPr>
        <w:t>s</w:t>
      </w:r>
      <w:r w:rsidRPr="00952630">
        <w:rPr>
          <w:lang w:val="en-AU"/>
        </w:rPr>
        <w:t>, women, people with disabilities, and other marginalised groups)</w:t>
      </w:r>
    </w:p>
    <w:p w14:paraId="1DAE9EBB" w14:textId="77777777" w:rsidR="00367B75" w:rsidRDefault="00902F90" w:rsidP="00504B06">
      <w:pPr>
        <w:pStyle w:val="ListParagraph"/>
        <w:numPr>
          <w:ilvl w:val="0"/>
          <w:numId w:val="54"/>
        </w:numPr>
        <w:rPr>
          <w:lang w:val="en-AU"/>
        </w:rPr>
      </w:pPr>
      <w:r w:rsidRPr="00952630">
        <w:rPr>
          <w:lang w:val="en-AU"/>
        </w:rPr>
        <w:t xml:space="preserve">Be politically informed </w:t>
      </w:r>
    </w:p>
    <w:p w14:paraId="065456F1" w14:textId="6210FBF3" w:rsidR="00902F90" w:rsidRPr="00952630" w:rsidRDefault="00367B75" w:rsidP="00504B06">
      <w:pPr>
        <w:pStyle w:val="ListParagraph"/>
        <w:numPr>
          <w:ilvl w:val="0"/>
          <w:numId w:val="54"/>
        </w:numPr>
        <w:rPr>
          <w:lang w:val="en-AU"/>
        </w:rPr>
      </w:pPr>
      <w:r>
        <w:rPr>
          <w:lang w:val="en-AU"/>
        </w:rPr>
        <w:t>Apply ‘do no harm’ principles for i</w:t>
      </w:r>
      <w:r w:rsidR="005D6054">
        <w:rPr>
          <w:lang w:val="en-AU"/>
        </w:rPr>
        <w:t xml:space="preserve">mplementing partners and stakeholders involved in the program </w:t>
      </w:r>
    </w:p>
    <w:p w14:paraId="6C9815FE" w14:textId="409E8E51" w:rsidR="00902F90" w:rsidRPr="00952630" w:rsidRDefault="00902F90" w:rsidP="00504B06">
      <w:pPr>
        <w:pStyle w:val="ListParagraph"/>
        <w:numPr>
          <w:ilvl w:val="0"/>
          <w:numId w:val="54"/>
        </w:numPr>
        <w:rPr>
          <w:lang w:val="en-AU"/>
        </w:rPr>
      </w:pPr>
      <w:r w:rsidRPr="00952630">
        <w:rPr>
          <w:lang w:val="en-AU"/>
        </w:rPr>
        <w:t>Enable timely feedback, particularly at the subnational level</w:t>
      </w:r>
    </w:p>
    <w:p w14:paraId="451DFC47" w14:textId="5A24A4CA" w:rsidR="00902F90" w:rsidRDefault="00902F90" w:rsidP="00504B06">
      <w:pPr>
        <w:pStyle w:val="ListParagraph"/>
        <w:numPr>
          <w:ilvl w:val="0"/>
          <w:numId w:val="54"/>
        </w:numPr>
      </w:pPr>
      <w:r w:rsidRPr="00952630">
        <w:rPr>
          <w:lang w:val="en-AU"/>
        </w:rPr>
        <w:t>Support partner-led MEL through simple, co-created approaches.</w:t>
      </w:r>
    </w:p>
    <w:p w14:paraId="2A640177" w14:textId="11FACADA" w:rsidR="00902F90" w:rsidRDefault="00902F90" w:rsidP="00902F90">
      <w:pPr>
        <w:pStyle w:val="Caption"/>
        <w:keepNext/>
      </w:pPr>
      <w:r>
        <w:lastRenderedPageBreak/>
        <w:t>Table</w:t>
      </w:r>
      <w:r w:rsidR="008D4216">
        <w:t xml:space="preserve"> 1</w:t>
      </w:r>
      <w:r w:rsidR="00FC764C">
        <w:t>5</w:t>
      </w:r>
      <w:r>
        <w:t xml:space="preserve">: </w:t>
      </w:r>
      <w:r w:rsidRPr="002975DD">
        <w:t>Monitoring Functions and Tools</w:t>
      </w:r>
    </w:p>
    <w:tbl>
      <w:tblPr>
        <w:tblStyle w:val="DFAT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3692"/>
        <w:gridCol w:w="3928"/>
      </w:tblGrid>
      <w:tr w:rsidR="00902F90" w:rsidRPr="002230AC" w14:paraId="5EA4A6BC" w14:textId="77777777" w:rsidTr="0067283D">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C1E7E0" w:themeFill="accent1" w:themeFillTint="66"/>
            <w:hideMark/>
          </w:tcPr>
          <w:p w14:paraId="59990B9E" w14:textId="77777777" w:rsidR="00902F90" w:rsidRPr="00A97DE7" w:rsidRDefault="00902F90">
            <w:pPr>
              <w:pStyle w:val="BodyTextHanging"/>
              <w:rPr>
                <w:rFonts w:asciiTheme="minorHAnsi" w:hAnsiTheme="minorHAnsi" w:cstheme="minorHAnsi"/>
                <w:b/>
                <w:color w:val="262626" w:themeColor="text1" w:themeTint="D9"/>
                <w:sz w:val="20"/>
                <w:szCs w:val="20"/>
                <w:lang w:val="en-AU"/>
              </w:rPr>
            </w:pPr>
            <w:r w:rsidRPr="00A97DE7">
              <w:rPr>
                <w:rFonts w:asciiTheme="minorHAnsi" w:hAnsiTheme="minorHAnsi" w:cstheme="minorHAnsi"/>
                <w:b/>
                <w:color w:val="262626" w:themeColor="text1" w:themeTint="D9"/>
                <w:sz w:val="20"/>
                <w:szCs w:val="20"/>
                <w:lang w:val="en-AU"/>
              </w:rPr>
              <w:t>Function</w:t>
            </w:r>
          </w:p>
        </w:tc>
        <w:tc>
          <w:tcPr>
            <w:tcW w:w="0" w:type="dxa"/>
            <w:shd w:val="clear" w:color="auto" w:fill="C1E7E0" w:themeFill="accent1" w:themeFillTint="66"/>
            <w:hideMark/>
          </w:tcPr>
          <w:p w14:paraId="5F5FA0FC" w14:textId="77777777" w:rsidR="00902F90" w:rsidRPr="00A97DE7" w:rsidRDefault="00902F90">
            <w:pPr>
              <w:pStyle w:val="BodyTextHanging"/>
              <w:rPr>
                <w:rFonts w:asciiTheme="minorHAnsi" w:hAnsiTheme="minorHAnsi" w:cstheme="minorHAnsi"/>
                <w:b/>
                <w:color w:val="262626" w:themeColor="text1" w:themeTint="D9"/>
                <w:sz w:val="20"/>
                <w:szCs w:val="20"/>
                <w:lang w:val="en-AU"/>
              </w:rPr>
            </w:pPr>
            <w:r w:rsidRPr="00A97DE7">
              <w:rPr>
                <w:rFonts w:asciiTheme="minorHAnsi" w:hAnsiTheme="minorHAnsi" w:cstheme="minorHAnsi"/>
                <w:b/>
                <w:color w:val="262626" w:themeColor="text1" w:themeTint="D9"/>
                <w:sz w:val="20"/>
                <w:szCs w:val="20"/>
                <w:lang w:val="en-AU"/>
              </w:rPr>
              <w:t>Critical (Core)</w:t>
            </w:r>
          </w:p>
        </w:tc>
        <w:tc>
          <w:tcPr>
            <w:tcW w:w="0" w:type="auto"/>
            <w:shd w:val="clear" w:color="auto" w:fill="C1E7E0" w:themeFill="accent1" w:themeFillTint="66"/>
            <w:hideMark/>
          </w:tcPr>
          <w:p w14:paraId="72AFD5A9" w14:textId="5CE14294" w:rsidR="00902F90" w:rsidRPr="00A97DE7" w:rsidRDefault="00902F90">
            <w:pPr>
              <w:pStyle w:val="BodyTextHanging"/>
              <w:rPr>
                <w:rFonts w:asciiTheme="minorHAnsi" w:hAnsiTheme="minorHAnsi" w:cstheme="minorHAnsi"/>
                <w:b/>
                <w:color w:val="262626" w:themeColor="text1" w:themeTint="D9"/>
                <w:sz w:val="20"/>
                <w:szCs w:val="20"/>
                <w:lang w:val="en-AU"/>
              </w:rPr>
            </w:pPr>
            <w:r w:rsidRPr="00A97DE7">
              <w:rPr>
                <w:rFonts w:asciiTheme="minorHAnsi" w:hAnsiTheme="minorHAnsi" w:cstheme="minorHAnsi"/>
                <w:b/>
                <w:color w:val="262626" w:themeColor="text1" w:themeTint="D9"/>
                <w:sz w:val="20"/>
                <w:szCs w:val="20"/>
                <w:lang w:val="en-AU"/>
              </w:rPr>
              <w:t>Optional/Budget-dependent</w:t>
            </w:r>
          </w:p>
        </w:tc>
      </w:tr>
      <w:tr w:rsidR="00902F90" w:rsidRPr="002230AC" w14:paraId="218844D5" w14:textId="77777777" w:rsidTr="0067283D">
        <w:tc>
          <w:tcPr>
            <w:tcW w:w="0" w:type="auto"/>
            <w:hideMark/>
          </w:tcPr>
          <w:p w14:paraId="6D9D5B54" w14:textId="12089E89" w:rsidR="00902F90" w:rsidRPr="00942E13" w:rsidRDefault="00902F90">
            <w:pPr>
              <w:pStyle w:val="BodyTextHanging"/>
              <w:rPr>
                <w:rFonts w:asciiTheme="minorHAnsi" w:hAnsiTheme="minorHAnsi" w:cstheme="minorHAnsi"/>
                <w:color w:val="595959" w:themeColor="text1" w:themeTint="A6"/>
                <w:sz w:val="20"/>
                <w:szCs w:val="20"/>
                <w:lang w:val="en-AU"/>
              </w:rPr>
            </w:pPr>
            <w:r w:rsidRPr="00942E13">
              <w:rPr>
                <w:rFonts w:asciiTheme="minorHAnsi" w:hAnsiTheme="minorHAnsi" w:cstheme="minorHAnsi"/>
                <w:b/>
                <w:color w:val="595959" w:themeColor="text1" w:themeTint="A6"/>
                <w:sz w:val="20"/>
                <w:szCs w:val="20"/>
                <w:lang w:val="en-AU"/>
              </w:rPr>
              <w:t>Strategy &amp; Coherence</w:t>
            </w:r>
          </w:p>
        </w:tc>
        <w:tc>
          <w:tcPr>
            <w:tcW w:w="3692" w:type="dxa"/>
            <w:hideMark/>
          </w:tcPr>
          <w:p w14:paraId="48C587F9" w14:textId="77777777" w:rsidR="00902F90" w:rsidRDefault="00902F90" w:rsidP="00504B06">
            <w:pPr>
              <w:pStyle w:val="BodyTextHanging"/>
              <w:numPr>
                <w:ilvl w:val="0"/>
                <w:numId w:val="43"/>
              </w:numPr>
              <w:spacing w:after="60"/>
              <w:ind w:left="215" w:hanging="222"/>
              <w:rPr>
                <w:rFonts w:asciiTheme="minorHAnsi" w:hAnsiTheme="minorHAnsi" w:cstheme="minorHAnsi"/>
                <w:bCs/>
                <w:color w:val="595959" w:themeColor="text1" w:themeTint="A6"/>
                <w:sz w:val="20"/>
                <w:szCs w:val="20"/>
                <w:lang w:val="en-AU"/>
              </w:rPr>
            </w:pPr>
            <w:r w:rsidRPr="00942E13">
              <w:rPr>
                <w:rFonts w:asciiTheme="minorHAnsi" w:hAnsiTheme="minorHAnsi" w:cstheme="minorHAnsi"/>
                <w:color w:val="595959" w:themeColor="text1" w:themeTint="A6"/>
                <w:sz w:val="20"/>
                <w:szCs w:val="20"/>
                <w:lang w:val="en-AU"/>
              </w:rPr>
              <w:t>Annual review of Theory of Change.</w:t>
            </w:r>
          </w:p>
          <w:p w14:paraId="5CFE2902" w14:textId="77777777" w:rsidR="00902F90" w:rsidRDefault="00902F90" w:rsidP="00504B06">
            <w:pPr>
              <w:pStyle w:val="BodyTextHanging"/>
              <w:numPr>
                <w:ilvl w:val="0"/>
                <w:numId w:val="43"/>
              </w:numPr>
              <w:spacing w:after="60"/>
              <w:ind w:left="215" w:hanging="222"/>
              <w:rPr>
                <w:rFonts w:asciiTheme="minorHAnsi" w:hAnsiTheme="minorHAnsi" w:cstheme="minorHAnsi"/>
                <w:bCs/>
                <w:color w:val="595959" w:themeColor="text1" w:themeTint="A6"/>
                <w:sz w:val="20"/>
                <w:szCs w:val="20"/>
                <w:lang w:val="en-AU"/>
              </w:rPr>
            </w:pPr>
            <w:r w:rsidRPr="00942E13">
              <w:rPr>
                <w:rFonts w:asciiTheme="minorHAnsi" w:hAnsiTheme="minorHAnsi" w:cstheme="minorHAnsi"/>
                <w:color w:val="595959" w:themeColor="text1" w:themeTint="A6"/>
                <w:sz w:val="20"/>
                <w:szCs w:val="20"/>
                <w:lang w:val="en-AU"/>
              </w:rPr>
              <w:t>Scenario-Based Outcome Mapping.</w:t>
            </w:r>
          </w:p>
          <w:p w14:paraId="1D780B7E" w14:textId="77777777" w:rsidR="00902F90" w:rsidRPr="00942E13" w:rsidRDefault="00902F90" w:rsidP="00504B06">
            <w:pPr>
              <w:pStyle w:val="BodyTextHanging"/>
              <w:numPr>
                <w:ilvl w:val="0"/>
                <w:numId w:val="43"/>
              </w:numPr>
              <w:spacing w:after="60"/>
              <w:ind w:left="215" w:hanging="222"/>
              <w:rPr>
                <w:rFonts w:asciiTheme="minorHAnsi" w:hAnsiTheme="minorHAnsi" w:cstheme="minorHAnsi"/>
                <w:color w:val="595959" w:themeColor="text1" w:themeTint="A6"/>
                <w:sz w:val="20"/>
                <w:szCs w:val="20"/>
                <w:lang w:val="en-AU"/>
              </w:rPr>
            </w:pPr>
            <w:r w:rsidRPr="00942E13">
              <w:rPr>
                <w:rFonts w:asciiTheme="minorHAnsi" w:hAnsiTheme="minorHAnsi" w:cstheme="minorHAnsi"/>
                <w:color w:val="595959" w:themeColor="text1" w:themeTint="A6"/>
                <w:sz w:val="20"/>
                <w:szCs w:val="20"/>
                <w:lang w:val="en-AU"/>
              </w:rPr>
              <w:t>Annual Work Planning Clinics.</w:t>
            </w:r>
          </w:p>
        </w:tc>
        <w:tc>
          <w:tcPr>
            <w:tcW w:w="0" w:type="auto"/>
            <w:hideMark/>
          </w:tcPr>
          <w:p w14:paraId="215DAB7B" w14:textId="77777777" w:rsidR="00902F90" w:rsidRPr="00942E13" w:rsidRDefault="00902F90">
            <w:pPr>
              <w:pStyle w:val="BodyTextHanging"/>
              <w:ind w:left="-7"/>
              <w:rPr>
                <w:rFonts w:asciiTheme="minorHAnsi" w:hAnsiTheme="minorHAnsi" w:cstheme="minorHAnsi"/>
                <w:color w:val="595959" w:themeColor="text1" w:themeTint="A6"/>
                <w:sz w:val="20"/>
                <w:szCs w:val="20"/>
                <w:lang w:val="en-AU"/>
              </w:rPr>
            </w:pPr>
          </w:p>
        </w:tc>
      </w:tr>
      <w:tr w:rsidR="00902F90" w:rsidRPr="002230AC" w14:paraId="06CB3262" w14:textId="77777777" w:rsidTr="0067283D">
        <w:tc>
          <w:tcPr>
            <w:tcW w:w="0" w:type="auto"/>
            <w:hideMark/>
          </w:tcPr>
          <w:p w14:paraId="03C56D3C" w14:textId="555AB762" w:rsidR="00902F90" w:rsidRPr="00942E13" w:rsidRDefault="00902F90">
            <w:pPr>
              <w:pStyle w:val="BodyTextHanging"/>
              <w:rPr>
                <w:rFonts w:asciiTheme="minorHAnsi" w:hAnsiTheme="minorHAnsi" w:cstheme="minorHAnsi"/>
                <w:color w:val="595959" w:themeColor="text1" w:themeTint="A6"/>
                <w:sz w:val="20"/>
                <w:szCs w:val="20"/>
                <w:lang w:val="en-AU"/>
              </w:rPr>
            </w:pPr>
            <w:r w:rsidRPr="00942E13">
              <w:rPr>
                <w:rFonts w:asciiTheme="minorHAnsi" w:hAnsiTheme="minorHAnsi" w:cstheme="minorHAnsi"/>
                <w:b/>
                <w:color w:val="595959" w:themeColor="text1" w:themeTint="A6"/>
                <w:sz w:val="20"/>
                <w:szCs w:val="20"/>
                <w:lang w:val="en-AU"/>
              </w:rPr>
              <w:t>Monitoring &amp; Evidence</w:t>
            </w:r>
          </w:p>
        </w:tc>
        <w:tc>
          <w:tcPr>
            <w:tcW w:w="3692" w:type="dxa"/>
            <w:hideMark/>
          </w:tcPr>
          <w:p w14:paraId="47FC3FB5" w14:textId="77777777" w:rsidR="00902F90" w:rsidRDefault="00902F90" w:rsidP="00504B06">
            <w:pPr>
              <w:pStyle w:val="BodyTextHanging"/>
              <w:numPr>
                <w:ilvl w:val="0"/>
                <w:numId w:val="43"/>
              </w:numPr>
              <w:spacing w:after="60"/>
              <w:ind w:left="215" w:hanging="222"/>
              <w:rPr>
                <w:rFonts w:asciiTheme="minorHAnsi" w:hAnsiTheme="minorHAnsi" w:cstheme="minorHAnsi"/>
                <w:bCs/>
                <w:color w:val="595959" w:themeColor="text1" w:themeTint="A6"/>
                <w:sz w:val="20"/>
                <w:szCs w:val="20"/>
                <w:lang w:val="en-AU"/>
              </w:rPr>
            </w:pPr>
            <w:r w:rsidRPr="00942E13">
              <w:rPr>
                <w:rFonts w:asciiTheme="minorHAnsi" w:hAnsiTheme="minorHAnsi" w:cstheme="minorHAnsi"/>
                <w:color w:val="595959" w:themeColor="text1" w:themeTint="A6"/>
                <w:sz w:val="20"/>
                <w:szCs w:val="20"/>
                <w:lang w:val="en-AU"/>
              </w:rPr>
              <w:t>Outcome Harvesting.</w:t>
            </w:r>
          </w:p>
          <w:p w14:paraId="3324E356" w14:textId="77777777" w:rsidR="00902F90" w:rsidRPr="00942E13" w:rsidRDefault="00902F90" w:rsidP="00504B06">
            <w:pPr>
              <w:pStyle w:val="BodyTextHanging"/>
              <w:numPr>
                <w:ilvl w:val="0"/>
                <w:numId w:val="43"/>
              </w:numPr>
              <w:spacing w:after="60"/>
              <w:ind w:left="215" w:hanging="222"/>
              <w:rPr>
                <w:rFonts w:asciiTheme="minorHAnsi" w:hAnsiTheme="minorHAnsi" w:cstheme="minorHAnsi"/>
                <w:color w:val="595959" w:themeColor="text1" w:themeTint="A6"/>
                <w:sz w:val="20"/>
                <w:szCs w:val="20"/>
                <w:lang w:val="en-AU"/>
              </w:rPr>
            </w:pPr>
            <w:r>
              <w:rPr>
                <w:rFonts w:asciiTheme="minorHAnsi" w:hAnsiTheme="minorHAnsi" w:cstheme="minorHAnsi"/>
                <w:bCs/>
                <w:color w:val="595959" w:themeColor="text1" w:themeTint="A6"/>
                <w:sz w:val="20"/>
                <w:szCs w:val="20"/>
                <w:lang w:val="en-AU"/>
              </w:rPr>
              <w:t>Baseline, Midline and Endline data collection and analysis.</w:t>
            </w:r>
          </w:p>
        </w:tc>
        <w:tc>
          <w:tcPr>
            <w:tcW w:w="0" w:type="auto"/>
            <w:hideMark/>
          </w:tcPr>
          <w:p w14:paraId="29323941" w14:textId="77777777" w:rsidR="00902F90" w:rsidRPr="00942E13" w:rsidRDefault="00902F90" w:rsidP="00504B06">
            <w:pPr>
              <w:pStyle w:val="BodyTextHanging"/>
              <w:numPr>
                <w:ilvl w:val="0"/>
                <w:numId w:val="43"/>
              </w:numPr>
              <w:spacing w:after="60"/>
              <w:ind w:left="215" w:hanging="222"/>
              <w:rPr>
                <w:rFonts w:asciiTheme="minorHAnsi" w:hAnsiTheme="minorHAnsi" w:cstheme="minorHAnsi"/>
                <w:color w:val="595959" w:themeColor="text1" w:themeTint="A6"/>
                <w:sz w:val="20"/>
                <w:szCs w:val="20"/>
                <w:lang w:val="en-AU"/>
              </w:rPr>
            </w:pPr>
            <w:r w:rsidRPr="00942E13">
              <w:rPr>
                <w:rFonts w:asciiTheme="minorHAnsi" w:hAnsiTheme="minorHAnsi" w:cstheme="minorHAnsi"/>
                <w:color w:val="595959" w:themeColor="text1" w:themeTint="A6"/>
                <w:sz w:val="20"/>
                <w:szCs w:val="20"/>
                <w:lang w:val="en-AU"/>
              </w:rPr>
              <w:t>Digital Sentiment Analysis (requires technical partner).</w:t>
            </w:r>
          </w:p>
        </w:tc>
      </w:tr>
      <w:tr w:rsidR="00902F90" w:rsidRPr="002230AC" w14:paraId="5BDA89D2" w14:textId="77777777" w:rsidTr="0067283D">
        <w:tc>
          <w:tcPr>
            <w:tcW w:w="0" w:type="auto"/>
            <w:hideMark/>
          </w:tcPr>
          <w:p w14:paraId="3C587CD2" w14:textId="2ADF3BD1" w:rsidR="00902F90" w:rsidRPr="00942E13" w:rsidRDefault="00902F90">
            <w:pPr>
              <w:pStyle w:val="BodyTextHanging"/>
              <w:rPr>
                <w:rFonts w:asciiTheme="minorHAnsi" w:hAnsiTheme="minorHAnsi" w:cstheme="minorHAnsi"/>
                <w:color w:val="595959" w:themeColor="text1" w:themeTint="A6"/>
                <w:sz w:val="20"/>
                <w:szCs w:val="20"/>
                <w:lang w:val="en-AU"/>
              </w:rPr>
            </w:pPr>
            <w:r w:rsidRPr="00942E13">
              <w:rPr>
                <w:rFonts w:asciiTheme="minorHAnsi" w:hAnsiTheme="minorHAnsi" w:cstheme="minorHAnsi"/>
                <w:b/>
                <w:color w:val="595959" w:themeColor="text1" w:themeTint="A6"/>
                <w:sz w:val="20"/>
                <w:szCs w:val="20"/>
                <w:lang w:val="en-AU"/>
              </w:rPr>
              <w:t>Inclusion &amp; Localisation</w:t>
            </w:r>
          </w:p>
        </w:tc>
        <w:tc>
          <w:tcPr>
            <w:tcW w:w="3692" w:type="dxa"/>
            <w:hideMark/>
          </w:tcPr>
          <w:p w14:paraId="29B94601" w14:textId="77777777" w:rsidR="00902F90" w:rsidRDefault="00902F90" w:rsidP="00504B06">
            <w:pPr>
              <w:pStyle w:val="BodyTextHanging"/>
              <w:numPr>
                <w:ilvl w:val="0"/>
                <w:numId w:val="43"/>
              </w:numPr>
              <w:spacing w:after="60"/>
              <w:ind w:left="215" w:hanging="222"/>
              <w:rPr>
                <w:rFonts w:asciiTheme="minorHAnsi" w:hAnsiTheme="minorHAnsi" w:cstheme="minorHAnsi"/>
                <w:bCs/>
                <w:color w:val="595959" w:themeColor="text1" w:themeTint="A6"/>
                <w:sz w:val="20"/>
                <w:szCs w:val="20"/>
                <w:lang w:val="en-AU"/>
              </w:rPr>
            </w:pPr>
            <w:r w:rsidRPr="00942E13">
              <w:rPr>
                <w:rFonts w:asciiTheme="minorHAnsi" w:hAnsiTheme="minorHAnsi" w:cstheme="minorHAnsi"/>
                <w:color w:val="595959" w:themeColor="text1" w:themeTint="A6"/>
                <w:sz w:val="20"/>
                <w:szCs w:val="20"/>
                <w:lang w:val="en-AU"/>
              </w:rPr>
              <w:t>GEDSI Impact Snapshots.</w:t>
            </w:r>
          </w:p>
          <w:p w14:paraId="43BF534E" w14:textId="77777777" w:rsidR="00902F90" w:rsidRDefault="00902F90" w:rsidP="00504B06">
            <w:pPr>
              <w:pStyle w:val="BodyTextHanging"/>
              <w:numPr>
                <w:ilvl w:val="0"/>
                <w:numId w:val="43"/>
              </w:numPr>
              <w:spacing w:after="60"/>
              <w:ind w:left="215" w:hanging="222"/>
              <w:rPr>
                <w:rFonts w:asciiTheme="minorHAnsi" w:hAnsiTheme="minorHAnsi" w:cstheme="minorHAnsi"/>
                <w:bCs/>
                <w:color w:val="595959" w:themeColor="text1" w:themeTint="A6"/>
                <w:sz w:val="20"/>
                <w:szCs w:val="20"/>
                <w:lang w:val="en-AU"/>
              </w:rPr>
            </w:pPr>
            <w:r w:rsidRPr="00942E13">
              <w:rPr>
                <w:rFonts w:asciiTheme="minorHAnsi" w:hAnsiTheme="minorHAnsi" w:cstheme="minorHAnsi"/>
                <w:color w:val="595959" w:themeColor="text1" w:themeTint="A6"/>
                <w:sz w:val="20"/>
                <w:szCs w:val="20"/>
                <w:lang w:val="en-AU"/>
              </w:rPr>
              <w:t>Disaggregated Outcome Analysis</w:t>
            </w:r>
            <w:r>
              <w:rPr>
                <w:rFonts w:asciiTheme="minorHAnsi" w:hAnsiTheme="minorHAnsi" w:cstheme="minorHAnsi"/>
                <w:color w:val="595959" w:themeColor="text1" w:themeTint="A6"/>
                <w:sz w:val="20"/>
                <w:szCs w:val="20"/>
                <w:lang w:val="en-AU"/>
              </w:rPr>
              <w:t>.</w:t>
            </w:r>
          </w:p>
          <w:p w14:paraId="1DEBA0FE" w14:textId="77777777" w:rsidR="00902F90" w:rsidRPr="00942E13" w:rsidRDefault="00902F90" w:rsidP="00504B06">
            <w:pPr>
              <w:pStyle w:val="BodyTextHanging"/>
              <w:numPr>
                <w:ilvl w:val="0"/>
                <w:numId w:val="43"/>
              </w:numPr>
              <w:spacing w:after="60"/>
              <w:ind w:left="215" w:hanging="222"/>
              <w:rPr>
                <w:rFonts w:asciiTheme="minorHAnsi" w:hAnsiTheme="minorHAnsi" w:cstheme="minorHAnsi"/>
                <w:color w:val="595959" w:themeColor="text1" w:themeTint="A6"/>
                <w:sz w:val="20"/>
                <w:szCs w:val="20"/>
                <w:lang w:val="en-AU"/>
              </w:rPr>
            </w:pPr>
            <w:r w:rsidRPr="00942E13">
              <w:rPr>
                <w:rFonts w:asciiTheme="minorHAnsi" w:hAnsiTheme="minorHAnsi" w:cstheme="minorHAnsi"/>
                <w:color w:val="595959" w:themeColor="text1" w:themeTint="A6"/>
                <w:sz w:val="20"/>
                <w:szCs w:val="20"/>
                <w:lang w:val="en-AU"/>
              </w:rPr>
              <w:t>Partner-developed Local Ownership Indicators.</w:t>
            </w:r>
          </w:p>
        </w:tc>
        <w:tc>
          <w:tcPr>
            <w:tcW w:w="0" w:type="auto"/>
            <w:hideMark/>
          </w:tcPr>
          <w:p w14:paraId="738BF8F3" w14:textId="77777777" w:rsidR="00902F90" w:rsidRPr="00942E13" w:rsidRDefault="00902F90" w:rsidP="00504B06">
            <w:pPr>
              <w:pStyle w:val="BodyTextHanging"/>
              <w:numPr>
                <w:ilvl w:val="0"/>
                <w:numId w:val="43"/>
              </w:numPr>
              <w:spacing w:after="60"/>
              <w:ind w:left="215" w:hanging="222"/>
              <w:rPr>
                <w:rFonts w:asciiTheme="minorHAnsi" w:hAnsiTheme="minorHAnsi" w:cstheme="minorHAnsi"/>
                <w:color w:val="595959" w:themeColor="text1" w:themeTint="A6"/>
                <w:sz w:val="20"/>
                <w:szCs w:val="20"/>
                <w:lang w:val="en-AU"/>
              </w:rPr>
            </w:pPr>
            <w:r w:rsidRPr="00942E13">
              <w:rPr>
                <w:rFonts w:asciiTheme="minorHAnsi" w:hAnsiTheme="minorHAnsi" w:cstheme="minorHAnsi"/>
                <w:color w:val="595959" w:themeColor="text1" w:themeTint="A6"/>
                <w:sz w:val="20"/>
                <w:szCs w:val="20"/>
                <w:lang w:val="en-AU"/>
              </w:rPr>
              <w:t>Community-Led Rubrics (useful but more resource-intensive).</w:t>
            </w:r>
          </w:p>
        </w:tc>
      </w:tr>
      <w:tr w:rsidR="00902F90" w:rsidRPr="002230AC" w14:paraId="29F7147B" w14:textId="77777777" w:rsidTr="0067283D">
        <w:tc>
          <w:tcPr>
            <w:tcW w:w="0" w:type="auto"/>
            <w:hideMark/>
          </w:tcPr>
          <w:p w14:paraId="69E62DC1" w14:textId="0813BC3D" w:rsidR="00902F90" w:rsidRPr="00942E13" w:rsidRDefault="00902F90">
            <w:pPr>
              <w:pStyle w:val="BodyTextHanging"/>
              <w:rPr>
                <w:rFonts w:asciiTheme="minorHAnsi" w:hAnsiTheme="minorHAnsi" w:cstheme="minorHAnsi"/>
                <w:color w:val="595959" w:themeColor="text1" w:themeTint="A6"/>
                <w:sz w:val="20"/>
                <w:szCs w:val="20"/>
                <w:lang w:val="en-AU"/>
              </w:rPr>
            </w:pPr>
            <w:r w:rsidRPr="00942E13">
              <w:rPr>
                <w:rFonts w:asciiTheme="minorHAnsi" w:hAnsiTheme="minorHAnsi" w:cstheme="minorHAnsi"/>
                <w:b/>
                <w:color w:val="595959" w:themeColor="text1" w:themeTint="A6"/>
                <w:sz w:val="20"/>
                <w:szCs w:val="20"/>
                <w:lang w:val="en-AU"/>
              </w:rPr>
              <w:t>Digital &amp; Civic Space</w:t>
            </w:r>
          </w:p>
        </w:tc>
        <w:tc>
          <w:tcPr>
            <w:tcW w:w="3692" w:type="dxa"/>
            <w:hideMark/>
          </w:tcPr>
          <w:p w14:paraId="3E76379B" w14:textId="5C1B817C" w:rsidR="00902F90" w:rsidRPr="00942E13" w:rsidRDefault="00BA6638" w:rsidP="00504B06">
            <w:pPr>
              <w:pStyle w:val="BodyTextHanging"/>
              <w:numPr>
                <w:ilvl w:val="0"/>
                <w:numId w:val="43"/>
              </w:numPr>
              <w:spacing w:after="60"/>
              <w:ind w:left="215" w:hanging="222"/>
              <w:rPr>
                <w:rFonts w:asciiTheme="minorHAnsi" w:hAnsiTheme="minorHAnsi" w:cstheme="minorHAnsi"/>
                <w:color w:val="595959" w:themeColor="text1" w:themeTint="A6"/>
                <w:sz w:val="20"/>
                <w:szCs w:val="20"/>
                <w:lang w:val="en-AU"/>
              </w:rPr>
            </w:pPr>
            <w:r>
              <w:rPr>
                <w:rFonts w:asciiTheme="minorHAnsi" w:hAnsiTheme="minorHAnsi" w:cstheme="minorHAnsi"/>
                <w:color w:val="595959" w:themeColor="text1" w:themeTint="A6"/>
                <w:sz w:val="20"/>
                <w:szCs w:val="20"/>
                <w:lang w:val="en-AU"/>
              </w:rPr>
              <w:t>Democracy context monitoring tool</w:t>
            </w:r>
          </w:p>
        </w:tc>
        <w:tc>
          <w:tcPr>
            <w:tcW w:w="0" w:type="auto"/>
            <w:hideMark/>
          </w:tcPr>
          <w:p w14:paraId="583FFDC3" w14:textId="77777777" w:rsidR="00902F90" w:rsidRPr="00942E13" w:rsidRDefault="00902F90" w:rsidP="00504B06">
            <w:pPr>
              <w:pStyle w:val="BodyTextHanging"/>
              <w:numPr>
                <w:ilvl w:val="0"/>
                <w:numId w:val="43"/>
              </w:numPr>
              <w:spacing w:after="60"/>
              <w:ind w:left="215" w:hanging="222"/>
              <w:rPr>
                <w:rFonts w:asciiTheme="minorHAnsi" w:hAnsiTheme="minorHAnsi" w:cstheme="minorHAnsi"/>
                <w:color w:val="595959" w:themeColor="text1" w:themeTint="A6"/>
                <w:sz w:val="20"/>
                <w:szCs w:val="20"/>
                <w:lang w:val="en-AU"/>
              </w:rPr>
            </w:pPr>
            <w:r w:rsidRPr="00942E13">
              <w:rPr>
                <w:rFonts w:asciiTheme="minorHAnsi" w:hAnsiTheme="minorHAnsi" w:cstheme="minorHAnsi"/>
                <w:color w:val="595959" w:themeColor="text1" w:themeTint="A6"/>
                <w:sz w:val="20"/>
                <w:szCs w:val="20"/>
                <w:lang w:val="en-AU"/>
              </w:rPr>
              <w:t>Misinformation Monitoring Dashboards.</w:t>
            </w:r>
          </w:p>
        </w:tc>
      </w:tr>
      <w:tr w:rsidR="00902F90" w:rsidRPr="002230AC" w14:paraId="70F140E3" w14:textId="77777777" w:rsidTr="0067283D">
        <w:tc>
          <w:tcPr>
            <w:tcW w:w="0" w:type="auto"/>
            <w:hideMark/>
          </w:tcPr>
          <w:p w14:paraId="06D98914" w14:textId="7E9E5C7E" w:rsidR="00902F90" w:rsidRPr="00942E13" w:rsidRDefault="00902F90">
            <w:pPr>
              <w:pStyle w:val="BodyTextHanging"/>
              <w:rPr>
                <w:rFonts w:asciiTheme="minorHAnsi" w:hAnsiTheme="minorHAnsi" w:cstheme="minorHAnsi"/>
                <w:color w:val="595959" w:themeColor="text1" w:themeTint="A6"/>
                <w:sz w:val="20"/>
                <w:szCs w:val="20"/>
                <w:lang w:val="en-AU"/>
              </w:rPr>
            </w:pPr>
            <w:r w:rsidRPr="00942E13">
              <w:rPr>
                <w:rFonts w:asciiTheme="minorHAnsi" w:hAnsiTheme="minorHAnsi" w:cstheme="minorHAnsi"/>
                <w:b/>
                <w:color w:val="595959" w:themeColor="text1" w:themeTint="A6"/>
                <w:sz w:val="20"/>
                <w:szCs w:val="20"/>
                <w:lang w:val="en-AU"/>
              </w:rPr>
              <w:t>Networks &amp; Coalitions</w:t>
            </w:r>
          </w:p>
        </w:tc>
        <w:tc>
          <w:tcPr>
            <w:tcW w:w="3692" w:type="dxa"/>
            <w:hideMark/>
          </w:tcPr>
          <w:p w14:paraId="626C884C" w14:textId="77777777" w:rsidR="00902F90" w:rsidRPr="00942E13" w:rsidRDefault="00902F90" w:rsidP="00504B06">
            <w:pPr>
              <w:pStyle w:val="BodyTextHanging"/>
              <w:numPr>
                <w:ilvl w:val="0"/>
                <w:numId w:val="43"/>
              </w:numPr>
              <w:spacing w:after="60"/>
              <w:ind w:left="215" w:hanging="222"/>
              <w:rPr>
                <w:rFonts w:asciiTheme="minorHAnsi" w:hAnsiTheme="minorHAnsi" w:cstheme="minorHAnsi"/>
                <w:color w:val="595959" w:themeColor="text1" w:themeTint="A6"/>
                <w:sz w:val="20"/>
                <w:szCs w:val="20"/>
                <w:lang w:val="en-AU"/>
              </w:rPr>
            </w:pPr>
            <w:r w:rsidRPr="00942E13">
              <w:rPr>
                <w:rFonts w:asciiTheme="minorHAnsi" w:hAnsiTheme="minorHAnsi" w:cstheme="minorHAnsi"/>
                <w:color w:val="595959" w:themeColor="text1" w:themeTint="A6"/>
                <w:sz w:val="20"/>
                <w:szCs w:val="20"/>
                <w:lang w:val="en-AU"/>
              </w:rPr>
              <w:t>Network Health Survey (trust, collaboration, influence).</w:t>
            </w:r>
          </w:p>
        </w:tc>
        <w:tc>
          <w:tcPr>
            <w:tcW w:w="0" w:type="auto"/>
            <w:hideMark/>
          </w:tcPr>
          <w:p w14:paraId="78B5C91C" w14:textId="77777777" w:rsidR="00902F90" w:rsidRPr="00942E13" w:rsidRDefault="00902F90" w:rsidP="00504B06">
            <w:pPr>
              <w:pStyle w:val="BodyTextHanging"/>
              <w:numPr>
                <w:ilvl w:val="0"/>
                <w:numId w:val="43"/>
              </w:numPr>
              <w:spacing w:after="60"/>
              <w:ind w:left="215" w:hanging="222"/>
              <w:rPr>
                <w:rFonts w:asciiTheme="minorHAnsi" w:hAnsiTheme="minorHAnsi" w:cstheme="minorHAnsi"/>
                <w:color w:val="595959" w:themeColor="text1" w:themeTint="A6"/>
                <w:sz w:val="20"/>
                <w:szCs w:val="20"/>
                <w:lang w:val="en-AU"/>
              </w:rPr>
            </w:pPr>
            <w:r w:rsidRPr="00942E13">
              <w:rPr>
                <w:rFonts w:asciiTheme="minorHAnsi" w:hAnsiTheme="minorHAnsi" w:cstheme="minorHAnsi"/>
                <w:color w:val="595959" w:themeColor="text1" w:themeTint="A6"/>
                <w:sz w:val="20"/>
                <w:szCs w:val="20"/>
                <w:lang w:val="en-AU"/>
              </w:rPr>
              <w:t>Coalition Cohesion Index (partner co-designed metric).</w:t>
            </w:r>
          </w:p>
        </w:tc>
      </w:tr>
      <w:tr w:rsidR="00902F90" w:rsidRPr="002230AC" w14:paraId="0D8ADB84" w14:textId="77777777" w:rsidTr="0067283D">
        <w:tc>
          <w:tcPr>
            <w:tcW w:w="0" w:type="auto"/>
            <w:hideMark/>
          </w:tcPr>
          <w:p w14:paraId="72533F45" w14:textId="2F6BEE17" w:rsidR="00902F90" w:rsidRPr="00942E13" w:rsidRDefault="00902F90">
            <w:pPr>
              <w:pStyle w:val="BodyTextHanging"/>
              <w:rPr>
                <w:rFonts w:asciiTheme="minorHAnsi" w:hAnsiTheme="minorHAnsi" w:cstheme="minorHAnsi"/>
                <w:color w:val="595959" w:themeColor="text1" w:themeTint="A6"/>
                <w:sz w:val="20"/>
                <w:szCs w:val="20"/>
                <w:lang w:val="en-AU"/>
              </w:rPr>
            </w:pPr>
            <w:r w:rsidRPr="00942E13">
              <w:rPr>
                <w:rFonts w:asciiTheme="minorHAnsi" w:hAnsiTheme="minorHAnsi" w:cstheme="minorHAnsi"/>
                <w:b/>
                <w:color w:val="595959" w:themeColor="text1" w:themeTint="A6"/>
                <w:sz w:val="20"/>
                <w:szCs w:val="20"/>
                <w:lang w:val="en-AU"/>
              </w:rPr>
              <w:t>Partner Reflection &amp; Learning</w:t>
            </w:r>
          </w:p>
        </w:tc>
        <w:tc>
          <w:tcPr>
            <w:tcW w:w="3692" w:type="dxa"/>
            <w:hideMark/>
          </w:tcPr>
          <w:p w14:paraId="7EAF2F2D" w14:textId="77777777" w:rsidR="00902F90" w:rsidRDefault="00902F90" w:rsidP="00504B06">
            <w:pPr>
              <w:pStyle w:val="BodyTextHanging"/>
              <w:numPr>
                <w:ilvl w:val="0"/>
                <w:numId w:val="43"/>
              </w:numPr>
              <w:spacing w:after="60"/>
              <w:ind w:left="215" w:hanging="222"/>
              <w:rPr>
                <w:rFonts w:asciiTheme="minorHAnsi" w:hAnsiTheme="minorHAnsi" w:cstheme="minorHAnsi"/>
                <w:bCs/>
                <w:color w:val="595959" w:themeColor="text1" w:themeTint="A6"/>
                <w:sz w:val="20"/>
                <w:szCs w:val="20"/>
                <w:lang w:val="en-AU"/>
              </w:rPr>
            </w:pPr>
            <w:r>
              <w:rPr>
                <w:rFonts w:asciiTheme="minorHAnsi" w:hAnsiTheme="minorHAnsi" w:cstheme="minorHAnsi"/>
                <w:bCs/>
                <w:color w:val="595959" w:themeColor="text1" w:themeTint="A6"/>
                <w:sz w:val="20"/>
                <w:szCs w:val="20"/>
                <w:lang w:val="en-AU"/>
              </w:rPr>
              <w:t>A</w:t>
            </w:r>
            <w:r w:rsidRPr="00942E13">
              <w:rPr>
                <w:rFonts w:asciiTheme="minorHAnsi" w:hAnsiTheme="minorHAnsi" w:cstheme="minorHAnsi"/>
                <w:color w:val="595959" w:themeColor="text1" w:themeTint="A6"/>
                <w:sz w:val="20"/>
                <w:szCs w:val="20"/>
                <w:lang w:val="en-AU"/>
              </w:rPr>
              <w:t>nnual Learning Workshops &amp; MEL Clinics.</w:t>
            </w:r>
          </w:p>
          <w:p w14:paraId="21B1CDF5" w14:textId="77777777" w:rsidR="00902F90" w:rsidRPr="00942E13" w:rsidRDefault="00902F90" w:rsidP="00504B06">
            <w:pPr>
              <w:pStyle w:val="BodyTextHanging"/>
              <w:numPr>
                <w:ilvl w:val="0"/>
                <w:numId w:val="43"/>
              </w:numPr>
              <w:spacing w:after="60"/>
              <w:ind w:left="215" w:hanging="222"/>
              <w:rPr>
                <w:rFonts w:asciiTheme="minorHAnsi" w:hAnsiTheme="minorHAnsi" w:cstheme="minorHAnsi"/>
                <w:color w:val="595959" w:themeColor="text1" w:themeTint="A6"/>
                <w:sz w:val="20"/>
                <w:szCs w:val="20"/>
                <w:lang w:val="en-AU"/>
              </w:rPr>
            </w:pPr>
            <w:r w:rsidRPr="00942E13">
              <w:rPr>
                <w:rFonts w:asciiTheme="minorHAnsi" w:hAnsiTheme="minorHAnsi" w:cstheme="minorHAnsi"/>
                <w:color w:val="595959" w:themeColor="text1" w:themeTint="A6"/>
                <w:sz w:val="20"/>
                <w:szCs w:val="20"/>
                <w:lang w:val="en-AU"/>
              </w:rPr>
              <w:t>Partner Reflection Notes.</w:t>
            </w:r>
          </w:p>
        </w:tc>
        <w:tc>
          <w:tcPr>
            <w:tcW w:w="0" w:type="auto"/>
            <w:hideMark/>
          </w:tcPr>
          <w:p w14:paraId="3D36E62D" w14:textId="77777777" w:rsidR="00902F90" w:rsidRDefault="00902F90" w:rsidP="00504B06">
            <w:pPr>
              <w:pStyle w:val="BodyTextHanging"/>
              <w:numPr>
                <w:ilvl w:val="0"/>
                <w:numId w:val="43"/>
              </w:numPr>
              <w:spacing w:after="60"/>
              <w:ind w:left="215" w:hanging="222"/>
              <w:rPr>
                <w:rFonts w:asciiTheme="minorHAnsi" w:hAnsiTheme="minorHAnsi" w:cstheme="minorHAnsi"/>
                <w:bCs/>
                <w:color w:val="595959" w:themeColor="text1" w:themeTint="A6"/>
                <w:sz w:val="20"/>
                <w:szCs w:val="20"/>
                <w:lang w:val="en-AU"/>
              </w:rPr>
            </w:pPr>
            <w:r w:rsidRPr="00942E13">
              <w:rPr>
                <w:rFonts w:asciiTheme="minorHAnsi" w:hAnsiTheme="minorHAnsi" w:cstheme="minorHAnsi"/>
                <w:color w:val="595959" w:themeColor="text1" w:themeTint="A6"/>
                <w:sz w:val="20"/>
                <w:szCs w:val="20"/>
                <w:lang w:val="en-AU"/>
              </w:rPr>
              <w:t>After Action Reviews aftershocks.</w:t>
            </w:r>
          </w:p>
          <w:p w14:paraId="7E2932B2" w14:textId="2649FD45" w:rsidR="00902F90" w:rsidRPr="00942E13" w:rsidRDefault="00902F90" w:rsidP="00504B06">
            <w:pPr>
              <w:pStyle w:val="BodyTextHanging"/>
              <w:numPr>
                <w:ilvl w:val="0"/>
                <w:numId w:val="43"/>
              </w:numPr>
              <w:spacing w:after="60"/>
              <w:ind w:left="215" w:hanging="222"/>
              <w:rPr>
                <w:rFonts w:asciiTheme="minorHAnsi" w:hAnsiTheme="minorHAnsi" w:cstheme="minorHAnsi"/>
                <w:color w:val="595959" w:themeColor="text1" w:themeTint="A6"/>
                <w:sz w:val="20"/>
                <w:szCs w:val="20"/>
                <w:lang w:val="en-AU"/>
              </w:rPr>
            </w:pPr>
            <w:r w:rsidRPr="00942E13">
              <w:rPr>
                <w:rFonts w:asciiTheme="minorHAnsi" w:hAnsiTheme="minorHAnsi" w:cstheme="minorHAnsi"/>
                <w:color w:val="595959" w:themeColor="text1" w:themeTint="A6"/>
                <w:sz w:val="20"/>
                <w:szCs w:val="20"/>
                <w:lang w:val="en-AU"/>
              </w:rPr>
              <w:t>Audio Diaries/Voice Notes (useful in constrained civic spaces).</w:t>
            </w:r>
          </w:p>
        </w:tc>
      </w:tr>
    </w:tbl>
    <w:p w14:paraId="532BAC45" w14:textId="4AD2BF23" w:rsidR="00902F90" w:rsidRPr="008F643A" w:rsidRDefault="00902F90" w:rsidP="00500EA6">
      <w:pPr>
        <w:pStyle w:val="Heading3"/>
        <w:spacing w:before="240"/>
      </w:pPr>
      <w:r>
        <w:t xml:space="preserve">Assessing Significant Contribution </w:t>
      </w:r>
    </w:p>
    <w:p w14:paraId="4D7CB466" w14:textId="0AFC361F" w:rsidR="00902F90" w:rsidRPr="00F831A2" w:rsidRDefault="00902F90" w:rsidP="00902F90">
      <w:pPr>
        <w:rPr>
          <w:lang w:val="en-AU" w:eastAsia="en-AU"/>
        </w:rPr>
      </w:pPr>
      <w:proofErr w:type="spellStart"/>
      <w:r w:rsidRPr="00D84A7F">
        <w:rPr>
          <w:iCs/>
          <w:lang w:val="en-AU" w:eastAsia="en-AU"/>
        </w:rPr>
        <w:t>Partisipasi</w:t>
      </w:r>
      <w:r w:rsidRPr="00F831A2">
        <w:rPr>
          <w:lang w:val="en-AU" w:eastAsia="en-AU"/>
        </w:rPr>
        <w:t>’s</w:t>
      </w:r>
      <w:proofErr w:type="spellEnd"/>
      <w:r w:rsidRPr="00F831A2">
        <w:rPr>
          <w:lang w:val="en-AU" w:eastAsia="en-AU"/>
        </w:rPr>
        <w:t xml:space="preserve"> MEL approach goes beyond tracking outputs and routine indicators</w:t>
      </w:r>
      <w:r w:rsidR="001763AE">
        <w:rPr>
          <w:lang w:val="en-AU" w:eastAsia="en-AU"/>
        </w:rPr>
        <w:t>,</w:t>
      </w:r>
      <w:r w:rsidRPr="00F831A2">
        <w:rPr>
          <w:lang w:val="en-AU" w:eastAsia="en-AU"/>
        </w:rPr>
        <w:t xml:space="preserve"> it is designed to</w:t>
      </w:r>
      <w:r w:rsidR="005B38D2">
        <w:rPr>
          <w:lang w:val="en-AU" w:eastAsia="en-AU"/>
        </w:rPr>
        <w:t xml:space="preserve"> </w:t>
      </w:r>
      <w:r w:rsidRPr="00F831A2">
        <w:rPr>
          <w:lang w:val="en-AU" w:eastAsia="en-AU"/>
        </w:rPr>
        <w:t xml:space="preserve">capture and </w:t>
      </w:r>
      <w:proofErr w:type="gramStart"/>
      <w:r w:rsidRPr="00F831A2">
        <w:rPr>
          <w:lang w:val="en-AU" w:eastAsia="en-AU"/>
        </w:rPr>
        <w:t>document</w:t>
      </w:r>
      <w:r w:rsidR="00354CF4">
        <w:rPr>
          <w:lang w:val="en-AU" w:eastAsia="en-AU"/>
        </w:rPr>
        <w:t>:</w:t>
      </w:r>
      <w:proofErr w:type="gramEnd"/>
      <w:r w:rsidRPr="00F831A2">
        <w:rPr>
          <w:lang w:val="en-AU" w:eastAsia="en-AU"/>
        </w:rPr>
        <w:t xml:space="preserve"> stories of significant contribution</w:t>
      </w:r>
      <w:r>
        <w:rPr>
          <w:lang w:val="en-AU" w:eastAsia="en-AU"/>
        </w:rPr>
        <w:t xml:space="preserve">; </w:t>
      </w:r>
      <w:r w:rsidRPr="00F831A2">
        <w:rPr>
          <w:lang w:val="en-AU" w:eastAsia="en-AU"/>
        </w:rPr>
        <w:t>instances where program-supported actors, networks, or initiatives demonstrably strengthen Indonesia’s democratic resilience. These stories help illustrate how the program’s investments in institutional reform, civic capacity, and collaborative democratic action translate into tangible, meaningful democratic outcomes.</w:t>
      </w:r>
    </w:p>
    <w:p w14:paraId="44218505" w14:textId="77777777" w:rsidR="00902F90" w:rsidRPr="00F831A2" w:rsidRDefault="00902F90" w:rsidP="00902F90">
      <w:pPr>
        <w:rPr>
          <w:lang w:val="en-AU" w:eastAsia="en-AU"/>
        </w:rPr>
      </w:pPr>
      <w:r w:rsidRPr="00281467">
        <w:rPr>
          <w:b/>
          <w:bCs/>
          <w:lang w:val="en-AU" w:eastAsia="en-AU"/>
        </w:rPr>
        <w:t>Procedural Democracy Contributions:</w:t>
      </w:r>
      <w:r>
        <w:rPr>
          <w:lang w:val="en-AU" w:eastAsia="en-AU"/>
        </w:rPr>
        <w:t xml:space="preserve"> </w:t>
      </w:r>
      <w:r w:rsidRPr="00F831A2">
        <w:rPr>
          <w:lang w:val="en-AU" w:eastAsia="en-AU"/>
        </w:rPr>
        <w:t>MEL will track key indicators reflecting the robustness of procedural democracy, including electoral integrity, accountability mechanisms, rule-bound policymaking, and effective checks and balances. These indicators help demonstrate whether democratic institutions operate transparently, consistently, and impartially, even under stress.</w:t>
      </w:r>
    </w:p>
    <w:p w14:paraId="54F8F418" w14:textId="08B4E941" w:rsidR="00902F90" w:rsidRDefault="00902F90" w:rsidP="00902F90">
      <w:pPr>
        <w:rPr>
          <w:lang w:val="en-AU" w:eastAsia="en-AU"/>
        </w:rPr>
      </w:pPr>
      <w:r w:rsidRPr="00F831A2">
        <w:rPr>
          <w:lang w:val="en-AU" w:eastAsia="en-AU"/>
        </w:rPr>
        <w:t>For example, a story of significance might focus on an election cycle where independent monitors report that the proportion of free, fair, and inclusive election processes meets high standards, demonstrating public trust and institutional credibility. Similarly, documenting how electoral disputes are resolved through formal legal channels</w:t>
      </w:r>
      <w:r w:rsidR="004D0330">
        <w:rPr>
          <w:lang w:val="en-AU" w:eastAsia="en-AU"/>
        </w:rPr>
        <w:t xml:space="preserve"> </w:t>
      </w:r>
      <w:r w:rsidRPr="00F831A2">
        <w:rPr>
          <w:lang w:val="en-AU" w:eastAsia="en-AU"/>
        </w:rPr>
        <w:t xml:space="preserve">can highlight functional accountability mechanisms. </w:t>
      </w:r>
    </w:p>
    <w:p w14:paraId="6DB93068" w14:textId="77777777" w:rsidR="00902F90" w:rsidRPr="00F831A2" w:rsidRDefault="00902F90" w:rsidP="00902F90">
      <w:pPr>
        <w:rPr>
          <w:lang w:val="en-AU" w:eastAsia="en-AU"/>
        </w:rPr>
      </w:pPr>
      <w:proofErr w:type="spellStart"/>
      <w:r w:rsidRPr="00D84A7F">
        <w:rPr>
          <w:iCs/>
          <w:lang w:val="en-AU" w:eastAsia="en-AU"/>
        </w:rPr>
        <w:t>Partisipasi’s</w:t>
      </w:r>
      <w:proofErr w:type="spellEnd"/>
      <w:r>
        <w:rPr>
          <w:lang w:val="en-AU" w:eastAsia="en-AU"/>
        </w:rPr>
        <w:t xml:space="preserve"> </w:t>
      </w:r>
      <w:r w:rsidRPr="00F831A2">
        <w:rPr>
          <w:lang w:val="en-AU" w:eastAsia="en-AU"/>
        </w:rPr>
        <w:t xml:space="preserve">MEL </w:t>
      </w:r>
      <w:r>
        <w:rPr>
          <w:lang w:val="en-AU" w:eastAsia="en-AU"/>
        </w:rPr>
        <w:t>system</w:t>
      </w:r>
      <w:r w:rsidRPr="00F831A2">
        <w:rPr>
          <w:lang w:val="en-AU" w:eastAsia="en-AU"/>
        </w:rPr>
        <w:t xml:space="preserve"> will collect data through a combination of partner-led self-assessments, audits, official election reports, and observations from independent monitoring organisations. Success in these areas reflects procedural resilience: institutions functioning as intended, citizens trusting legal and electoral systems, and safeguards against abuse of power being actively enforced.</w:t>
      </w:r>
    </w:p>
    <w:p w14:paraId="7482F100" w14:textId="11FB6ED2" w:rsidR="00902F90" w:rsidRPr="00F831A2" w:rsidRDefault="00902F90" w:rsidP="00902F90">
      <w:pPr>
        <w:rPr>
          <w:lang w:val="en-AU" w:eastAsia="en-AU"/>
        </w:rPr>
      </w:pPr>
      <w:r w:rsidRPr="00281467">
        <w:rPr>
          <w:b/>
          <w:bCs/>
          <w:lang w:val="en-AU" w:eastAsia="en-AU"/>
        </w:rPr>
        <w:t>Substantive Democracy Contributions:</w:t>
      </w:r>
      <w:r>
        <w:rPr>
          <w:lang w:val="en-AU" w:eastAsia="en-AU"/>
        </w:rPr>
        <w:t xml:space="preserve"> </w:t>
      </w:r>
      <w:proofErr w:type="spellStart"/>
      <w:r w:rsidRPr="00D84A7F">
        <w:rPr>
          <w:iCs/>
          <w:lang w:val="en-AU" w:eastAsia="en-AU"/>
        </w:rPr>
        <w:t>Partisipasi’s</w:t>
      </w:r>
      <w:proofErr w:type="spellEnd"/>
      <w:r>
        <w:rPr>
          <w:lang w:val="en-AU" w:eastAsia="en-AU"/>
        </w:rPr>
        <w:t xml:space="preserve"> </w:t>
      </w:r>
      <w:r w:rsidRPr="00F831A2">
        <w:rPr>
          <w:lang w:val="en-AU" w:eastAsia="en-AU"/>
        </w:rPr>
        <w:t xml:space="preserve">MEL </w:t>
      </w:r>
      <w:r>
        <w:rPr>
          <w:lang w:val="en-AU" w:eastAsia="en-AU"/>
        </w:rPr>
        <w:t>processes</w:t>
      </w:r>
      <w:r w:rsidRPr="00F831A2">
        <w:rPr>
          <w:lang w:val="en-AU" w:eastAsia="en-AU"/>
        </w:rPr>
        <w:t xml:space="preserve"> will also document contributions to substantive democracy, including civic space and civil liberties, freedom of expression, democratic culture, resilience, and coalition</w:t>
      </w:r>
      <w:r w:rsidR="00B00E78">
        <w:rPr>
          <w:lang w:val="en-AU" w:eastAsia="en-AU"/>
        </w:rPr>
        <w:t xml:space="preserve"> </w:t>
      </w:r>
      <w:r w:rsidRPr="00F831A2">
        <w:rPr>
          <w:lang w:val="en-AU" w:eastAsia="en-AU"/>
        </w:rPr>
        <w:t>building. These areas capture the vibrancy of Indonesia’s civil society, the effectiveness of watchdog functions, and public adherence to democratic norms.</w:t>
      </w:r>
    </w:p>
    <w:p w14:paraId="5E648A81" w14:textId="26434751" w:rsidR="00902F90" w:rsidRPr="00F831A2" w:rsidRDefault="00902F90" w:rsidP="00902F90">
      <w:pPr>
        <w:rPr>
          <w:lang w:val="en-AU" w:eastAsia="en-AU"/>
        </w:rPr>
      </w:pPr>
      <w:r w:rsidRPr="00F831A2">
        <w:rPr>
          <w:lang w:val="en-AU" w:eastAsia="en-AU"/>
        </w:rPr>
        <w:t xml:space="preserve">Stories of impact may include, for instance, a coalition of youth-led, women-led, and minority CSOs mobilising quickly in response to a civic space restriction, generating visible policy or institutional responses. Or independent media outlets producing investigative reporting that galvanises citizen engagement. By tracking indicators such as the number and diversity of CSOs engaged in advocacy, media freedom scores, </w:t>
      </w:r>
      <w:r w:rsidRPr="00F831A2">
        <w:rPr>
          <w:lang w:val="en-AU" w:eastAsia="en-AU"/>
        </w:rPr>
        <w:lastRenderedPageBreak/>
        <w:t>survey measures of public democratic support, and reach of counter-disinformation initiatives, MEL can identify and narrate how these actors collectively reinforce democratic norms.</w:t>
      </w:r>
    </w:p>
    <w:p w14:paraId="52225A4B" w14:textId="54C54029" w:rsidR="00902F90" w:rsidRPr="00F831A2" w:rsidRDefault="00902F90" w:rsidP="00902F90">
      <w:pPr>
        <w:rPr>
          <w:lang w:val="en-AU" w:eastAsia="en-AU"/>
        </w:rPr>
      </w:pPr>
      <w:r w:rsidRPr="00F831A2">
        <w:rPr>
          <w:lang w:val="en-AU" w:eastAsia="en-AU"/>
        </w:rPr>
        <w:t>These stories will be triangulated against Tier 2 and Tier 3 indicators (e.g. governance effectiveness, civic participation and inclusion, regional stability) to demonstrate both immediate and system-level contributions. By weaving together these data sources,</w:t>
      </w:r>
      <w:r w:rsidRPr="00754416">
        <w:rPr>
          <w:i/>
          <w:lang w:val="en-AU" w:eastAsia="en-AU"/>
        </w:rPr>
        <w:t xml:space="preserve"> </w:t>
      </w:r>
      <w:proofErr w:type="spellStart"/>
      <w:r w:rsidRPr="00D84A7F">
        <w:rPr>
          <w:lang w:val="en-AU" w:eastAsia="en-AU"/>
        </w:rPr>
        <w:t>Partisipasi</w:t>
      </w:r>
      <w:proofErr w:type="spellEnd"/>
      <w:r w:rsidRPr="00F831A2">
        <w:rPr>
          <w:lang w:val="en-AU" w:eastAsia="en-AU"/>
        </w:rPr>
        <w:t xml:space="preserve"> can highlight how investments in collaborative democratic action, strategic advocacy, and communication translate into </w:t>
      </w:r>
      <w:r>
        <w:rPr>
          <w:lang w:val="en-AU" w:eastAsia="en-AU"/>
        </w:rPr>
        <w:t>democratic</w:t>
      </w:r>
      <w:r w:rsidRPr="00F831A2">
        <w:rPr>
          <w:lang w:val="en-AU" w:eastAsia="en-AU"/>
        </w:rPr>
        <w:t xml:space="preserve"> resilience</w:t>
      </w:r>
      <w:r>
        <w:rPr>
          <w:lang w:val="en-AU" w:eastAsia="en-AU"/>
        </w:rPr>
        <w:t xml:space="preserve"> and</w:t>
      </w:r>
      <w:r w:rsidRPr="00F831A2">
        <w:rPr>
          <w:lang w:val="en-AU" w:eastAsia="en-AU"/>
        </w:rPr>
        <w:t xml:space="preserve"> inclusivity.</w:t>
      </w:r>
    </w:p>
    <w:p w14:paraId="0AEECA83" w14:textId="77777777" w:rsidR="00902F90" w:rsidRPr="0029253F" w:rsidRDefault="00902F90" w:rsidP="00500EA6">
      <w:pPr>
        <w:pStyle w:val="Heading3"/>
        <w:spacing w:before="240"/>
      </w:pPr>
      <w:r w:rsidRPr="0029253F">
        <w:t>Monitoring Risks and Safeguards</w:t>
      </w:r>
    </w:p>
    <w:p w14:paraId="5A698912" w14:textId="61FE9F1E" w:rsidR="00902F90" w:rsidRPr="0029253F" w:rsidRDefault="00902F90" w:rsidP="00902F90">
      <w:pPr>
        <w:rPr>
          <w:rFonts w:cstheme="minorHAnsi"/>
          <w:bCs/>
          <w:lang w:val="en-AU"/>
        </w:rPr>
      </w:pPr>
      <w:r>
        <w:t>Operationalising a decentralised MEL system in politically sensitive contexts presents several risks. Disputes over data quality</w:t>
      </w:r>
      <w:r w:rsidR="00EC35BC">
        <w:t xml:space="preserve"> </w:t>
      </w:r>
      <w:r>
        <w:t xml:space="preserve">may arise if inputs are perceived as unreliable. To mitigate this, shared data validation protocols and peer review mechanisms will be established. Partner capacity gaps will be addressed through targeted support from STAs, especially during start-up or deep-dive evaluations. Political sensitivity and </w:t>
      </w:r>
      <w:r w:rsidR="004F174D">
        <w:t>other</w:t>
      </w:r>
      <w:r>
        <w:t xml:space="preserve"> risks will be managed through anonymised reporting, </w:t>
      </w:r>
      <w:r w:rsidR="004F174D">
        <w:t>do no harm approaches</w:t>
      </w:r>
      <w:r>
        <w:t>, and secure data collection tools.</w:t>
      </w:r>
      <w:r w:rsidR="006654A8">
        <w:t xml:space="preserve"> </w:t>
      </w:r>
      <w:r w:rsidRPr="0029253F">
        <w:rPr>
          <w:rFonts w:cstheme="minorHAnsi"/>
          <w:bCs/>
          <w:lang w:val="en-AU"/>
        </w:rPr>
        <w:t xml:space="preserve">Risk and safeguard monitoring will be embedded into </w:t>
      </w:r>
      <w:proofErr w:type="spellStart"/>
      <w:r w:rsidRPr="00D84A7F">
        <w:rPr>
          <w:rFonts w:cstheme="minorHAnsi"/>
          <w:bCs/>
          <w:iCs/>
          <w:lang w:val="en-AU"/>
        </w:rPr>
        <w:t>Partisipasi’s</w:t>
      </w:r>
      <w:proofErr w:type="spellEnd"/>
      <w:r>
        <w:rPr>
          <w:rFonts w:cstheme="minorHAnsi"/>
          <w:bCs/>
          <w:lang w:val="en-AU"/>
        </w:rPr>
        <w:t xml:space="preserve"> </w:t>
      </w:r>
      <w:r w:rsidRPr="0029253F">
        <w:rPr>
          <w:rFonts w:cstheme="minorHAnsi"/>
          <w:bCs/>
          <w:lang w:val="en-AU"/>
        </w:rPr>
        <w:t>MEL system to support early warning, adaptive responses, and accountability to DFAT and local stakeholders.</w:t>
      </w:r>
    </w:p>
    <w:p w14:paraId="1DBC4CE3" w14:textId="321BF299" w:rsidR="00902F90" w:rsidRDefault="00902F90" w:rsidP="00902F90">
      <w:pPr>
        <w:pStyle w:val="Caption"/>
        <w:keepNext/>
      </w:pPr>
      <w:r>
        <w:t>Table</w:t>
      </w:r>
      <w:r w:rsidR="008D4216">
        <w:t xml:space="preserve"> 1</w:t>
      </w:r>
      <w:r w:rsidR="00FC764C">
        <w:t>6</w:t>
      </w:r>
      <w:r>
        <w:t xml:space="preserve">: </w:t>
      </w:r>
      <w:r w:rsidRPr="00262852">
        <w:t>Monitoring Risks and Safeguards</w:t>
      </w:r>
    </w:p>
    <w:tbl>
      <w:tblPr>
        <w:tblStyle w:val="DFAT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902F90" w:rsidRPr="006C3AC6" w14:paraId="637ECE54" w14:textId="77777777" w:rsidTr="00C5377B">
        <w:trPr>
          <w:cnfStyle w:val="100000000000" w:firstRow="1" w:lastRow="0" w:firstColumn="0" w:lastColumn="0" w:oddVBand="0" w:evenVBand="0" w:oddHBand="0" w:evenHBand="0" w:firstRowFirstColumn="0" w:firstRowLastColumn="0" w:lastRowFirstColumn="0" w:lastRowLastColumn="0"/>
          <w:tblHeader/>
        </w:trPr>
        <w:tc>
          <w:tcPr>
            <w:tcW w:w="2830" w:type="dxa"/>
            <w:shd w:val="clear" w:color="auto" w:fill="C1E7E0" w:themeFill="accent1" w:themeFillTint="66"/>
            <w:hideMark/>
          </w:tcPr>
          <w:p w14:paraId="5BDE4FAB" w14:textId="77777777" w:rsidR="00902F90" w:rsidRPr="006C3AC6" w:rsidRDefault="00902F90">
            <w:pPr>
              <w:pStyle w:val="BodyTextHanging"/>
              <w:rPr>
                <w:rFonts w:asciiTheme="minorHAnsi" w:hAnsiTheme="minorHAnsi" w:cstheme="minorHAnsi"/>
                <w:b/>
                <w:bCs/>
                <w:color w:val="262626" w:themeColor="text1" w:themeTint="D9"/>
                <w:sz w:val="20"/>
                <w:szCs w:val="20"/>
                <w:lang w:val="en-AU"/>
              </w:rPr>
            </w:pPr>
            <w:r w:rsidRPr="006C3AC6">
              <w:rPr>
                <w:rFonts w:asciiTheme="minorHAnsi" w:hAnsiTheme="minorHAnsi" w:cstheme="minorHAnsi"/>
                <w:b/>
                <w:bCs/>
                <w:color w:val="262626" w:themeColor="text1" w:themeTint="D9"/>
                <w:sz w:val="20"/>
                <w:szCs w:val="20"/>
                <w:lang w:val="en-AU"/>
              </w:rPr>
              <w:t>Risk Area</w:t>
            </w:r>
          </w:p>
        </w:tc>
        <w:tc>
          <w:tcPr>
            <w:tcW w:w="6798" w:type="dxa"/>
            <w:shd w:val="clear" w:color="auto" w:fill="C1E7E0" w:themeFill="accent1" w:themeFillTint="66"/>
            <w:hideMark/>
          </w:tcPr>
          <w:p w14:paraId="7AA33D97" w14:textId="77777777" w:rsidR="00902F90" w:rsidRPr="006C3AC6" w:rsidRDefault="00902F90">
            <w:pPr>
              <w:pStyle w:val="BodyTextHanging"/>
              <w:rPr>
                <w:rFonts w:asciiTheme="minorHAnsi" w:hAnsiTheme="minorHAnsi" w:cstheme="minorHAnsi"/>
                <w:b/>
                <w:bCs/>
                <w:color w:val="262626" w:themeColor="text1" w:themeTint="D9"/>
                <w:sz w:val="20"/>
                <w:szCs w:val="20"/>
                <w:lang w:val="en-AU"/>
              </w:rPr>
            </w:pPr>
            <w:r w:rsidRPr="006C3AC6">
              <w:rPr>
                <w:rFonts w:asciiTheme="minorHAnsi" w:hAnsiTheme="minorHAnsi" w:cstheme="minorHAnsi"/>
                <w:b/>
                <w:bCs/>
                <w:color w:val="262626" w:themeColor="text1" w:themeTint="D9"/>
                <w:sz w:val="20"/>
                <w:szCs w:val="20"/>
                <w:lang w:val="en-AU"/>
              </w:rPr>
              <w:t>Monitoring Approach</w:t>
            </w:r>
          </w:p>
        </w:tc>
      </w:tr>
      <w:tr w:rsidR="00902F90" w:rsidRPr="006C3AC6" w14:paraId="4FDDC173" w14:textId="77777777" w:rsidTr="00C5377B">
        <w:tc>
          <w:tcPr>
            <w:tcW w:w="2830" w:type="dxa"/>
            <w:hideMark/>
          </w:tcPr>
          <w:p w14:paraId="12BE4BC1" w14:textId="77777777" w:rsidR="00902F90" w:rsidRPr="006C3AC6" w:rsidRDefault="00902F90">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Political Sensitivity &amp; Backlash</w:t>
            </w:r>
          </w:p>
        </w:tc>
        <w:tc>
          <w:tcPr>
            <w:tcW w:w="6798" w:type="dxa"/>
            <w:hideMark/>
          </w:tcPr>
          <w:p w14:paraId="296CD96C" w14:textId="77777777" w:rsidR="00902F90" w:rsidRPr="006C3AC6" w:rsidRDefault="00902F90">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Stakeholder pulse checks; quarterly risk reflection with partners; safe feedback channels</w:t>
            </w:r>
          </w:p>
        </w:tc>
      </w:tr>
      <w:tr w:rsidR="00902F90" w:rsidRPr="006C3AC6" w14:paraId="3CCABC84" w14:textId="77777777" w:rsidTr="00C5377B">
        <w:tc>
          <w:tcPr>
            <w:tcW w:w="2830" w:type="dxa"/>
            <w:hideMark/>
          </w:tcPr>
          <w:p w14:paraId="095341FB" w14:textId="2E3B561D" w:rsidR="00902F90" w:rsidRPr="006C3AC6" w:rsidRDefault="00902F90">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 xml:space="preserve">Digital </w:t>
            </w:r>
            <w:r w:rsidR="00B8227F">
              <w:rPr>
                <w:rFonts w:asciiTheme="minorHAnsi" w:hAnsiTheme="minorHAnsi" w:cstheme="minorHAnsi"/>
                <w:bCs/>
                <w:color w:val="595959" w:themeColor="text1" w:themeTint="A6"/>
                <w:sz w:val="20"/>
                <w:szCs w:val="20"/>
                <w:lang w:val="en-AU"/>
              </w:rPr>
              <w:t>&amp;</w:t>
            </w:r>
            <w:r w:rsidR="00B8227F" w:rsidRPr="006C3AC6">
              <w:rPr>
                <w:rFonts w:asciiTheme="minorHAnsi" w:hAnsiTheme="minorHAnsi" w:cstheme="minorHAnsi"/>
                <w:bCs/>
                <w:color w:val="595959" w:themeColor="text1" w:themeTint="A6"/>
                <w:sz w:val="20"/>
                <w:szCs w:val="20"/>
                <w:lang w:val="en-AU"/>
              </w:rPr>
              <w:t xml:space="preserve"> </w:t>
            </w:r>
            <w:r w:rsidRPr="006C3AC6">
              <w:rPr>
                <w:rFonts w:asciiTheme="minorHAnsi" w:hAnsiTheme="minorHAnsi" w:cstheme="minorHAnsi"/>
                <w:bCs/>
                <w:color w:val="595959" w:themeColor="text1" w:themeTint="A6"/>
                <w:sz w:val="20"/>
                <w:szCs w:val="20"/>
                <w:lang w:val="en-AU"/>
              </w:rPr>
              <w:t>Information Risks</w:t>
            </w:r>
          </w:p>
        </w:tc>
        <w:tc>
          <w:tcPr>
            <w:tcW w:w="6798" w:type="dxa"/>
            <w:hideMark/>
          </w:tcPr>
          <w:p w14:paraId="5A16EE8F" w14:textId="77777777" w:rsidR="00902F90" w:rsidRPr="006C3AC6" w:rsidRDefault="00902F90">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Monitoring of digital threats, disinformation narratives, and online harassment risks using real-time civic tech tools</w:t>
            </w:r>
          </w:p>
        </w:tc>
      </w:tr>
      <w:tr w:rsidR="00902F90" w:rsidRPr="006C3AC6" w14:paraId="17D56D1A" w14:textId="77777777" w:rsidTr="00C5377B">
        <w:tc>
          <w:tcPr>
            <w:tcW w:w="2830" w:type="dxa"/>
            <w:hideMark/>
          </w:tcPr>
          <w:p w14:paraId="48AEE241" w14:textId="77777777" w:rsidR="00902F90" w:rsidRPr="006C3AC6" w:rsidRDefault="00902F90">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Institutional Receptiveness</w:t>
            </w:r>
          </w:p>
        </w:tc>
        <w:tc>
          <w:tcPr>
            <w:tcW w:w="6798" w:type="dxa"/>
            <w:hideMark/>
          </w:tcPr>
          <w:p w14:paraId="782AAA55" w14:textId="77777777" w:rsidR="00902F90" w:rsidRPr="006C3AC6" w:rsidRDefault="00902F90">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Qualitative check-ins with institutional partners; ‘change readiness’ snapshots</w:t>
            </w:r>
          </w:p>
        </w:tc>
      </w:tr>
      <w:tr w:rsidR="00902F90" w:rsidRPr="006C3AC6" w14:paraId="29AB5863" w14:textId="77777777" w:rsidTr="00C5377B">
        <w:tc>
          <w:tcPr>
            <w:tcW w:w="2830" w:type="dxa"/>
            <w:hideMark/>
          </w:tcPr>
          <w:p w14:paraId="71C73969" w14:textId="77777777" w:rsidR="00902F90" w:rsidRPr="006C3AC6" w:rsidRDefault="00902F90">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Safeguards (Gender, Disability)</w:t>
            </w:r>
          </w:p>
        </w:tc>
        <w:tc>
          <w:tcPr>
            <w:tcW w:w="6798" w:type="dxa"/>
            <w:hideMark/>
          </w:tcPr>
          <w:p w14:paraId="02F26F7A" w14:textId="77777777" w:rsidR="00902F90" w:rsidRPr="006C3AC6" w:rsidRDefault="00902F90">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Safeguards tracking through GEDSI-integrated MEL tools; regular validation with OPDs and community stakeholders</w:t>
            </w:r>
          </w:p>
        </w:tc>
      </w:tr>
      <w:tr w:rsidR="00902F90" w:rsidRPr="006C3AC6" w14:paraId="27D3B7D6" w14:textId="77777777" w:rsidTr="00C5377B">
        <w:tc>
          <w:tcPr>
            <w:tcW w:w="2830" w:type="dxa"/>
            <w:hideMark/>
          </w:tcPr>
          <w:p w14:paraId="2D6AA93B" w14:textId="03EAAD34" w:rsidR="00902F90" w:rsidRPr="006C3AC6" w:rsidRDefault="00902F90">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Local Partner Capacity &amp; Risk</w:t>
            </w:r>
          </w:p>
        </w:tc>
        <w:tc>
          <w:tcPr>
            <w:tcW w:w="6798" w:type="dxa"/>
            <w:hideMark/>
          </w:tcPr>
          <w:p w14:paraId="6FEB100D" w14:textId="77777777" w:rsidR="00902F90" w:rsidRPr="006C3AC6" w:rsidRDefault="00902F90">
            <w:pPr>
              <w:pStyle w:val="BodyTextHanging"/>
              <w:rPr>
                <w:rFonts w:asciiTheme="minorHAnsi" w:hAnsiTheme="minorHAnsi" w:cstheme="minorHAnsi"/>
                <w:bCs/>
                <w:color w:val="595959" w:themeColor="text1" w:themeTint="A6"/>
                <w:sz w:val="20"/>
                <w:szCs w:val="20"/>
                <w:lang w:val="en-AU"/>
              </w:rPr>
            </w:pPr>
            <w:r w:rsidRPr="006C3AC6">
              <w:rPr>
                <w:rFonts w:asciiTheme="minorHAnsi" w:hAnsiTheme="minorHAnsi" w:cstheme="minorHAnsi"/>
                <w:bCs/>
                <w:color w:val="595959" w:themeColor="text1" w:themeTint="A6"/>
                <w:sz w:val="20"/>
                <w:szCs w:val="20"/>
                <w:lang w:val="en-AU"/>
              </w:rPr>
              <w:t>Partner risk profiles updated annually; capacity building logs; dual accountability (with Convenor and Core Group oversight)</w:t>
            </w:r>
          </w:p>
        </w:tc>
      </w:tr>
    </w:tbl>
    <w:p w14:paraId="3E54657B" w14:textId="77777777" w:rsidR="00902F90" w:rsidRDefault="00902F90" w:rsidP="00902F90">
      <w:pPr>
        <w:rPr>
          <w:lang w:val="en-AU"/>
        </w:rPr>
        <w:sectPr w:rsidR="00902F90" w:rsidSect="00902F90">
          <w:headerReference w:type="first" r:id="rId32"/>
          <w:pgSz w:w="11906" w:h="16838" w:code="9"/>
          <w:pgMar w:top="1701" w:right="1134" w:bottom="1418" w:left="1134" w:header="425" w:footer="493" w:gutter="0"/>
          <w:cols w:space="397"/>
          <w:titlePg/>
          <w:docGrid w:linePitch="360"/>
        </w:sectPr>
      </w:pPr>
    </w:p>
    <w:p w14:paraId="46C5F2A1" w14:textId="77777777" w:rsidR="00902F90" w:rsidRDefault="00902F90" w:rsidP="009553BD">
      <w:pPr>
        <w:pStyle w:val="Heading3"/>
      </w:pPr>
      <w:proofErr w:type="spellStart"/>
      <w:r>
        <w:lastRenderedPageBreak/>
        <w:t>Partisipasi</w:t>
      </w:r>
      <w:proofErr w:type="spellEnd"/>
      <w:r>
        <w:t xml:space="preserve"> MEL Framework at Design</w:t>
      </w:r>
    </w:p>
    <w:p w14:paraId="32F9E740" w14:textId="77777777" w:rsidR="00902F90" w:rsidRPr="00A97DE7" w:rsidRDefault="00902F90" w:rsidP="00902F90">
      <w:pPr>
        <w:rPr>
          <w:rFonts w:eastAsia="Times New Roman" w:cs="Times New Roman"/>
          <w:sz w:val="21"/>
          <w:lang w:val="en-AU"/>
        </w:rPr>
      </w:pPr>
      <w:r w:rsidRPr="00A97DE7">
        <w:rPr>
          <w:rFonts w:eastAsia="Times New Roman" w:cs="Times New Roman"/>
          <w:b/>
          <w:bCs/>
          <w:sz w:val="21"/>
          <w:lang w:val="en-AU"/>
        </w:rPr>
        <w:t>Goal:</w:t>
      </w:r>
      <w:r>
        <w:rPr>
          <w:rFonts w:eastAsia="Times New Roman" w:cs="Times New Roman"/>
          <w:sz w:val="21"/>
          <w:lang w:val="en-AU"/>
        </w:rPr>
        <w:t xml:space="preserve"> </w:t>
      </w:r>
      <w:r w:rsidRPr="00A97DE7">
        <w:rPr>
          <w:rFonts w:eastAsia="Times New Roman" w:cs="Times New Roman"/>
          <w:sz w:val="21"/>
          <w:lang w:val="en-AU"/>
        </w:rPr>
        <w:t xml:space="preserve">To help strengthen democratic resilience and </w:t>
      </w:r>
      <w:r>
        <w:rPr>
          <w:rFonts w:eastAsia="Times New Roman" w:cs="Times New Roman"/>
          <w:sz w:val="21"/>
          <w:lang w:val="en-AU"/>
        </w:rPr>
        <w:t>participation</w:t>
      </w:r>
      <w:r w:rsidRPr="00A97DE7">
        <w:rPr>
          <w:rFonts w:eastAsia="Times New Roman" w:cs="Times New Roman"/>
          <w:sz w:val="21"/>
          <w:lang w:val="en-AU"/>
        </w:rPr>
        <w:t xml:space="preserve"> in Indonesia in ways that align with national development goals.</w:t>
      </w:r>
    </w:p>
    <w:p w14:paraId="38295725" w14:textId="49DFBE4D" w:rsidR="00902F90" w:rsidRPr="00A97DE7" w:rsidRDefault="00902F90" w:rsidP="00902F90">
      <w:pPr>
        <w:rPr>
          <w:rFonts w:eastAsia="Times New Roman" w:cs="Times New Roman"/>
          <w:sz w:val="21"/>
          <w:lang w:val="en-AU"/>
        </w:rPr>
      </w:pPr>
      <w:r w:rsidRPr="00A97DE7">
        <w:rPr>
          <w:rFonts w:eastAsia="Times New Roman" w:cs="Times New Roman"/>
          <w:b/>
          <w:bCs/>
          <w:sz w:val="21"/>
          <w:lang w:val="en-AU"/>
        </w:rPr>
        <w:t>Objective:</w:t>
      </w:r>
      <w:r>
        <w:rPr>
          <w:rFonts w:eastAsia="Times New Roman" w:cs="Times New Roman"/>
          <w:sz w:val="21"/>
          <w:lang w:val="en-AU"/>
        </w:rPr>
        <w:t xml:space="preserve"> </w:t>
      </w:r>
      <w:r w:rsidRPr="00A97DE7">
        <w:rPr>
          <w:rFonts w:eastAsia="Times New Roman" w:cs="Times New Roman"/>
          <w:sz w:val="21"/>
          <w:lang w:val="en-AU"/>
        </w:rPr>
        <w:t xml:space="preserve">To support Indonesian state and non-state actors to </w:t>
      </w:r>
      <w:r w:rsidR="00DD10C7">
        <w:rPr>
          <w:rFonts w:eastAsia="Times New Roman" w:cs="Times New Roman"/>
          <w:sz w:val="21"/>
          <w:lang w:val="en-AU"/>
        </w:rPr>
        <w:t>strengthen</w:t>
      </w:r>
      <w:r w:rsidR="00DD10C7" w:rsidRPr="00A97DE7">
        <w:rPr>
          <w:rFonts w:eastAsia="Times New Roman" w:cs="Times New Roman"/>
          <w:sz w:val="21"/>
          <w:lang w:val="en-AU"/>
        </w:rPr>
        <w:t xml:space="preserve"> </w:t>
      </w:r>
      <w:r>
        <w:rPr>
          <w:rFonts w:eastAsia="Times New Roman" w:cs="Times New Roman"/>
          <w:sz w:val="21"/>
          <w:lang w:val="en-AU"/>
        </w:rPr>
        <w:t>substantive</w:t>
      </w:r>
      <w:r w:rsidRPr="00A97DE7">
        <w:rPr>
          <w:rFonts w:eastAsia="Times New Roman" w:cs="Times New Roman"/>
          <w:sz w:val="21"/>
          <w:lang w:val="en-AU"/>
        </w:rPr>
        <w:t xml:space="preserve"> democracy.</w:t>
      </w:r>
    </w:p>
    <w:p w14:paraId="2500F891" w14:textId="77777777" w:rsidR="00902F90" w:rsidRDefault="00902F90" w:rsidP="00902F90">
      <w:pPr>
        <w:rPr>
          <w:rFonts w:eastAsia="Times New Roman" w:cs="Times New Roman"/>
          <w:sz w:val="21"/>
          <w:szCs w:val="21"/>
        </w:rPr>
      </w:pPr>
      <w:r w:rsidRPr="44A26F34">
        <w:rPr>
          <w:rFonts w:eastAsia="Times New Roman" w:cs="Times New Roman"/>
          <w:b/>
          <w:sz w:val="21"/>
          <w:szCs w:val="21"/>
        </w:rPr>
        <w:t>Global indicators:</w:t>
      </w:r>
      <w:r w:rsidRPr="44A26F34">
        <w:rPr>
          <w:rFonts w:eastAsia="Times New Roman" w:cs="Times New Roman"/>
          <w:sz w:val="21"/>
          <w:szCs w:val="21"/>
        </w:rPr>
        <w:t xml:space="preserve"> V-Dem ‘Deliberative Component Index’, ‘Civil Society Participation Index’, World Bank Worldwide Governance Indicators – ‘Voice and Accountability’ sub-indicator, CIVICUS Monitor ‘Civic Space’ rating for Indonesia, Edelman Trust Barometer – Trust in Government and Trust in NGOs.</w:t>
      </w:r>
    </w:p>
    <w:p w14:paraId="314C8926" w14:textId="4AA0D7AE" w:rsidR="00902F90" w:rsidRDefault="00902F90" w:rsidP="00902F90">
      <w:pPr>
        <w:pStyle w:val="Caption"/>
        <w:keepNext/>
      </w:pPr>
      <w:r>
        <w:t>Table</w:t>
      </w:r>
      <w:r w:rsidR="008D4216">
        <w:t xml:space="preserve"> 1</w:t>
      </w:r>
      <w:r w:rsidR="00FC764C">
        <w:t>7</w:t>
      </w:r>
      <w:r>
        <w:t xml:space="preserve">: </w:t>
      </w:r>
      <w:proofErr w:type="spellStart"/>
      <w:r w:rsidRPr="00B37663">
        <w:t>Partisipasi</w:t>
      </w:r>
      <w:proofErr w:type="spellEnd"/>
      <w:r w:rsidRPr="00B37663">
        <w:t xml:space="preserve"> MEL Framework at Design</w:t>
      </w:r>
    </w:p>
    <w:tbl>
      <w:tblPr>
        <w:tblStyle w:val="DFATTable1"/>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4791"/>
        <w:gridCol w:w="1701"/>
        <w:gridCol w:w="1560"/>
        <w:gridCol w:w="1134"/>
        <w:gridCol w:w="1706"/>
        <w:gridCol w:w="1526"/>
      </w:tblGrid>
      <w:tr w:rsidR="00E007A1" w:rsidRPr="00766D53" w14:paraId="2EBB4312" w14:textId="77777777" w:rsidTr="00C5377B">
        <w:trPr>
          <w:cnfStyle w:val="100000000000" w:firstRow="1" w:lastRow="0" w:firstColumn="0" w:lastColumn="0" w:oddVBand="0" w:evenVBand="0" w:oddHBand="0" w:evenHBand="0" w:firstRowFirstColumn="0" w:firstRowLastColumn="0" w:lastRowFirstColumn="0" w:lastRowLastColumn="0"/>
          <w:tblHeader/>
        </w:trPr>
        <w:tc>
          <w:tcPr>
            <w:tcW w:w="2008" w:type="dxa"/>
            <w:shd w:val="clear" w:color="auto" w:fill="C1E7E0" w:themeFill="accent1" w:themeFillTint="66"/>
            <w:hideMark/>
          </w:tcPr>
          <w:p w14:paraId="603652AA" w14:textId="3D40CACD" w:rsidR="00902F90" w:rsidRPr="00766D53" w:rsidRDefault="00902F90">
            <w:pPr>
              <w:suppressAutoHyphens w:val="0"/>
              <w:spacing w:before="0" w:after="0" w:line="240" w:lineRule="auto"/>
              <w:jc w:val="center"/>
              <w:rPr>
                <w:rFonts w:asciiTheme="minorHAnsi" w:eastAsia="Times New Roman" w:hAnsiTheme="minorHAnsi" w:cstheme="minorHAnsi"/>
                <w:b/>
                <w:bCs/>
                <w:color w:val="36424B" w:themeColor="text2" w:themeShade="BF"/>
                <w:sz w:val="20"/>
                <w:szCs w:val="20"/>
                <w:lang w:val="en-AU"/>
              </w:rPr>
            </w:pPr>
            <w:r w:rsidRPr="00766D53">
              <w:rPr>
                <w:rFonts w:asciiTheme="minorHAnsi" w:eastAsia="Times New Roman" w:hAnsiTheme="minorHAnsi" w:cstheme="minorHAnsi"/>
                <w:b/>
                <w:color w:val="36424B" w:themeColor="text2" w:themeShade="BF"/>
                <w:sz w:val="20"/>
                <w:szCs w:val="20"/>
                <w:lang w:val="en-AU"/>
              </w:rPr>
              <w:t>Desired Result/EOPO &amp; IO</w:t>
            </w:r>
          </w:p>
        </w:tc>
        <w:tc>
          <w:tcPr>
            <w:tcW w:w="4791" w:type="dxa"/>
            <w:shd w:val="clear" w:color="auto" w:fill="C1E7E0" w:themeFill="accent1" w:themeFillTint="66"/>
            <w:hideMark/>
          </w:tcPr>
          <w:p w14:paraId="1F0E3820" w14:textId="77777777" w:rsidR="00902F90" w:rsidRPr="00766D53" w:rsidRDefault="00902F90">
            <w:pPr>
              <w:suppressAutoHyphens w:val="0"/>
              <w:spacing w:before="0" w:after="0" w:line="240" w:lineRule="auto"/>
              <w:jc w:val="center"/>
              <w:rPr>
                <w:rFonts w:asciiTheme="minorHAnsi" w:eastAsia="Times New Roman" w:hAnsiTheme="minorHAnsi" w:cstheme="minorHAnsi"/>
                <w:b/>
                <w:bCs/>
                <w:color w:val="36424B" w:themeColor="text2" w:themeShade="BF"/>
                <w:sz w:val="20"/>
                <w:szCs w:val="20"/>
                <w:lang w:val="en-AU"/>
              </w:rPr>
            </w:pPr>
            <w:r w:rsidRPr="00766D53">
              <w:rPr>
                <w:rFonts w:asciiTheme="minorHAnsi" w:eastAsia="Times New Roman" w:hAnsiTheme="minorHAnsi" w:cstheme="minorHAnsi"/>
                <w:b/>
                <w:color w:val="36424B" w:themeColor="text2" w:themeShade="BF"/>
                <w:sz w:val="20"/>
                <w:szCs w:val="20"/>
                <w:lang w:val="en-AU"/>
              </w:rPr>
              <w:t>Indicative Indicators</w:t>
            </w:r>
          </w:p>
        </w:tc>
        <w:tc>
          <w:tcPr>
            <w:tcW w:w="1701" w:type="dxa"/>
            <w:shd w:val="clear" w:color="auto" w:fill="C1E7E0" w:themeFill="accent1" w:themeFillTint="66"/>
            <w:hideMark/>
          </w:tcPr>
          <w:p w14:paraId="7F8BDA78" w14:textId="77777777" w:rsidR="00902F90" w:rsidRPr="00766D53" w:rsidRDefault="00902F90">
            <w:pPr>
              <w:suppressAutoHyphens w:val="0"/>
              <w:spacing w:before="0" w:after="0" w:line="240" w:lineRule="auto"/>
              <w:jc w:val="center"/>
              <w:rPr>
                <w:rFonts w:asciiTheme="minorHAnsi" w:eastAsia="Times New Roman" w:hAnsiTheme="minorHAnsi" w:cstheme="minorHAnsi"/>
                <w:b/>
                <w:bCs/>
                <w:color w:val="36424B" w:themeColor="text2" w:themeShade="BF"/>
                <w:sz w:val="20"/>
                <w:szCs w:val="20"/>
                <w:lang w:val="en-AU"/>
              </w:rPr>
            </w:pPr>
            <w:r w:rsidRPr="00766D53">
              <w:rPr>
                <w:rFonts w:asciiTheme="minorHAnsi" w:eastAsia="Times New Roman" w:hAnsiTheme="minorHAnsi" w:cstheme="minorHAnsi"/>
                <w:b/>
                <w:color w:val="36424B" w:themeColor="text2" w:themeShade="BF"/>
                <w:sz w:val="20"/>
                <w:szCs w:val="20"/>
                <w:lang w:val="en-AU"/>
              </w:rPr>
              <w:t>Data Sources</w:t>
            </w:r>
          </w:p>
        </w:tc>
        <w:tc>
          <w:tcPr>
            <w:tcW w:w="1560" w:type="dxa"/>
            <w:shd w:val="clear" w:color="auto" w:fill="C1E7E0" w:themeFill="accent1" w:themeFillTint="66"/>
            <w:hideMark/>
          </w:tcPr>
          <w:p w14:paraId="33492C4C" w14:textId="79B0F3DC" w:rsidR="00902F90" w:rsidRPr="00766D53" w:rsidRDefault="00902F90">
            <w:pPr>
              <w:suppressAutoHyphens w:val="0"/>
              <w:spacing w:before="0" w:after="0" w:line="240" w:lineRule="auto"/>
              <w:jc w:val="center"/>
              <w:rPr>
                <w:rFonts w:asciiTheme="minorHAnsi" w:eastAsia="Times New Roman" w:hAnsiTheme="minorHAnsi" w:cstheme="minorHAnsi"/>
                <w:b/>
                <w:bCs/>
                <w:color w:val="36424B" w:themeColor="text2" w:themeShade="BF"/>
                <w:sz w:val="20"/>
                <w:szCs w:val="20"/>
                <w:lang w:val="en-AU"/>
              </w:rPr>
            </w:pPr>
            <w:r w:rsidRPr="00766D53">
              <w:rPr>
                <w:rFonts w:asciiTheme="minorHAnsi" w:eastAsia="Times New Roman" w:hAnsiTheme="minorHAnsi" w:cstheme="minorHAnsi"/>
                <w:b/>
                <w:color w:val="36424B" w:themeColor="text2" w:themeShade="BF"/>
                <w:sz w:val="20"/>
                <w:szCs w:val="20"/>
                <w:lang w:val="en-AU"/>
              </w:rPr>
              <w:t>Assumptions/ Risks</w:t>
            </w:r>
          </w:p>
        </w:tc>
        <w:tc>
          <w:tcPr>
            <w:tcW w:w="1134" w:type="dxa"/>
            <w:shd w:val="clear" w:color="auto" w:fill="C1E7E0" w:themeFill="accent1" w:themeFillTint="66"/>
            <w:hideMark/>
          </w:tcPr>
          <w:p w14:paraId="19353F72" w14:textId="77777777" w:rsidR="00902F90" w:rsidRPr="00766D53" w:rsidRDefault="00902F90">
            <w:pPr>
              <w:suppressAutoHyphens w:val="0"/>
              <w:spacing w:before="0" w:after="0" w:line="240" w:lineRule="auto"/>
              <w:jc w:val="center"/>
              <w:rPr>
                <w:rFonts w:asciiTheme="minorHAnsi" w:eastAsia="Times New Roman" w:hAnsiTheme="minorHAnsi" w:cstheme="minorHAnsi"/>
                <w:b/>
                <w:bCs/>
                <w:color w:val="36424B" w:themeColor="text2" w:themeShade="BF"/>
                <w:sz w:val="20"/>
                <w:szCs w:val="20"/>
                <w:lang w:val="en-AU"/>
              </w:rPr>
            </w:pPr>
            <w:r w:rsidRPr="00766D53">
              <w:rPr>
                <w:rFonts w:asciiTheme="minorHAnsi" w:eastAsia="Times New Roman" w:hAnsiTheme="minorHAnsi" w:cstheme="minorHAnsi"/>
                <w:b/>
                <w:color w:val="36424B" w:themeColor="text2" w:themeShade="BF"/>
                <w:sz w:val="20"/>
                <w:szCs w:val="20"/>
                <w:lang w:val="en-AU"/>
              </w:rPr>
              <w:t>Baseline</w:t>
            </w:r>
          </w:p>
        </w:tc>
        <w:tc>
          <w:tcPr>
            <w:tcW w:w="1706" w:type="dxa"/>
            <w:shd w:val="clear" w:color="auto" w:fill="C1E7E0" w:themeFill="accent1" w:themeFillTint="66"/>
            <w:hideMark/>
          </w:tcPr>
          <w:p w14:paraId="2ACFB81B" w14:textId="77777777" w:rsidR="00902F90" w:rsidRPr="00766D53" w:rsidRDefault="00902F90">
            <w:pPr>
              <w:suppressAutoHyphens w:val="0"/>
              <w:spacing w:before="0" w:after="0" w:line="240" w:lineRule="auto"/>
              <w:jc w:val="center"/>
              <w:rPr>
                <w:rFonts w:asciiTheme="minorHAnsi" w:eastAsia="Times New Roman" w:hAnsiTheme="minorHAnsi" w:cstheme="minorHAnsi"/>
                <w:b/>
                <w:bCs/>
                <w:color w:val="36424B" w:themeColor="text2" w:themeShade="BF"/>
                <w:sz w:val="20"/>
                <w:szCs w:val="20"/>
                <w:lang w:val="en-AU"/>
              </w:rPr>
            </w:pPr>
            <w:r w:rsidRPr="00766D53">
              <w:rPr>
                <w:rFonts w:asciiTheme="minorHAnsi" w:eastAsia="Times New Roman" w:hAnsiTheme="minorHAnsi" w:cstheme="minorHAnsi"/>
                <w:b/>
                <w:color w:val="36424B" w:themeColor="text2" w:themeShade="BF"/>
                <w:sz w:val="20"/>
                <w:szCs w:val="20"/>
                <w:lang w:val="en-AU"/>
              </w:rPr>
              <w:t>Target</w:t>
            </w:r>
          </w:p>
        </w:tc>
        <w:tc>
          <w:tcPr>
            <w:tcW w:w="1526" w:type="dxa"/>
            <w:shd w:val="clear" w:color="auto" w:fill="C1E7E0" w:themeFill="accent1" w:themeFillTint="66"/>
            <w:hideMark/>
          </w:tcPr>
          <w:p w14:paraId="7DD6A66B" w14:textId="14883383" w:rsidR="00902F90" w:rsidRPr="00766D53" w:rsidRDefault="00902F90">
            <w:pPr>
              <w:suppressAutoHyphens w:val="0"/>
              <w:spacing w:before="0" w:after="0" w:line="240" w:lineRule="auto"/>
              <w:jc w:val="center"/>
              <w:rPr>
                <w:rFonts w:asciiTheme="minorHAnsi" w:eastAsia="Times New Roman" w:hAnsiTheme="minorHAnsi" w:cstheme="minorHAnsi"/>
                <w:b/>
                <w:bCs/>
                <w:color w:val="36424B" w:themeColor="text2" w:themeShade="BF"/>
                <w:sz w:val="20"/>
                <w:szCs w:val="20"/>
                <w:lang w:val="en-AU"/>
              </w:rPr>
            </w:pPr>
            <w:r w:rsidRPr="00766D53">
              <w:rPr>
                <w:rFonts w:asciiTheme="minorHAnsi" w:eastAsia="Times New Roman" w:hAnsiTheme="minorHAnsi" w:cstheme="minorHAnsi"/>
                <w:b/>
                <w:color w:val="36424B" w:themeColor="text2" w:themeShade="BF"/>
                <w:sz w:val="20"/>
                <w:szCs w:val="20"/>
                <w:lang w:val="en-AU"/>
              </w:rPr>
              <w:t>Who Will Use/ Purpose</w:t>
            </w:r>
          </w:p>
        </w:tc>
      </w:tr>
      <w:tr w:rsidR="00E007A1" w:rsidRPr="00766D53" w14:paraId="17AB6D1A" w14:textId="77777777" w:rsidTr="00C5377B">
        <w:tc>
          <w:tcPr>
            <w:tcW w:w="2008" w:type="dxa"/>
            <w:hideMark/>
          </w:tcPr>
          <w:p w14:paraId="6108C81A" w14:textId="482CF458"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b/>
                <w:sz w:val="20"/>
                <w:szCs w:val="20"/>
                <w:lang w:val="en-AU"/>
              </w:rPr>
              <w:t>EOPO1 Strengthened Institutional</w:t>
            </w:r>
            <w:r w:rsidRPr="00766D53">
              <w:rPr>
                <w:rFonts w:asciiTheme="minorHAnsi" w:eastAsia="Times New Roman" w:hAnsiTheme="minorHAnsi" w:cstheme="minorHAnsi"/>
                <w:sz w:val="20"/>
                <w:szCs w:val="20"/>
                <w:lang w:val="en-AU"/>
              </w:rPr>
              <w:t xml:space="preserve"> </w:t>
            </w:r>
            <w:r w:rsidRPr="00766D53">
              <w:rPr>
                <w:rFonts w:asciiTheme="minorHAnsi" w:eastAsia="Times New Roman" w:hAnsiTheme="minorHAnsi" w:cstheme="minorHAnsi"/>
                <w:b/>
                <w:sz w:val="20"/>
                <w:szCs w:val="20"/>
                <w:lang w:val="en-AU"/>
              </w:rPr>
              <w:t>Resilience</w:t>
            </w:r>
          </w:p>
          <w:p w14:paraId="28F180FD" w14:textId="6E88BE6F"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Key Indonesian state actors are better equipped to enhance public engagement and safeguard democracy</w:t>
            </w:r>
            <w:r w:rsidR="00A76E17">
              <w:rPr>
                <w:rFonts w:asciiTheme="minorHAnsi" w:eastAsia="Times New Roman" w:hAnsiTheme="minorHAnsi" w:cstheme="minorHAnsi"/>
                <w:sz w:val="20"/>
                <w:szCs w:val="20"/>
                <w:lang w:val="en-AU"/>
              </w:rPr>
              <w:t>.</w:t>
            </w:r>
          </w:p>
        </w:tc>
        <w:tc>
          <w:tcPr>
            <w:tcW w:w="4791" w:type="dxa"/>
            <w:hideMark/>
          </w:tcPr>
          <w:p w14:paraId="53EE20D5"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Number of state actors reporting improved capacity to uphold democratic governance</w:t>
            </w:r>
          </w:p>
          <w:p w14:paraId="716E6AAF"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Qualitative evidence of responsiveness to public input</w:t>
            </w:r>
          </w:p>
          <w:p w14:paraId="33FFBD93"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Number of policy change, procedural improvements, or institutional practices introduced</w:t>
            </w:r>
          </w:p>
          <w:p w14:paraId="75188FEF"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 of women in leadership roles within government institutions or advisory bodies supported by the program</w:t>
            </w:r>
          </w:p>
          <w:p w14:paraId="4A56B45E"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b/>
                <w:sz w:val="20"/>
                <w:szCs w:val="20"/>
                <w:lang w:val="en-AU"/>
              </w:rPr>
              <w:t>Tier 2:</w:t>
            </w:r>
            <w:r w:rsidRPr="00766D53">
              <w:rPr>
                <w:rFonts w:asciiTheme="minorHAnsi" w:eastAsia="Times New Roman" w:hAnsiTheme="minorHAnsi" w:cstheme="minorHAnsi"/>
                <w:sz w:val="20"/>
                <w:szCs w:val="20"/>
                <w:lang w:val="en-AU"/>
              </w:rPr>
              <w:t xml:space="preserve"> Number of government institutions supported, examples of assistance provided, and significant policy reforms achieved (by type and level)</w:t>
            </w:r>
          </w:p>
          <w:p w14:paraId="7B524D64"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b/>
                <w:sz w:val="20"/>
                <w:szCs w:val="20"/>
                <w:lang w:val="en-AU"/>
              </w:rPr>
              <w:t>Tier 3:</w:t>
            </w:r>
            <w:r w:rsidRPr="00766D53">
              <w:rPr>
                <w:rFonts w:asciiTheme="minorHAnsi" w:eastAsia="Times New Roman" w:hAnsiTheme="minorHAnsi" w:cstheme="minorHAnsi"/>
                <w:sz w:val="20"/>
                <w:szCs w:val="20"/>
                <w:lang w:val="en-AU"/>
              </w:rPr>
              <w:t xml:space="preserve"> Number and dollar value of local technical assistance (contracts) or grants for local engagement. </w:t>
            </w:r>
          </w:p>
        </w:tc>
        <w:tc>
          <w:tcPr>
            <w:tcW w:w="1701" w:type="dxa"/>
            <w:hideMark/>
          </w:tcPr>
          <w:p w14:paraId="1F6FEDF7"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Partner self-assessments; independent evaluations; program monitoring reports; stakeholder interviews</w:t>
            </w:r>
          </w:p>
        </w:tc>
        <w:tc>
          <w:tcPr>
            <w:tcW w:w="1560" w:type="dxa"/>
            <w:hideMark/>
          </w:tcPr>
          <w:p w14:paraId="2408E14B"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Willingness of institutions to share sensitive data; attribution challenges</w:t>
            </w:r>
          </w:p>
        </w:tc>
        <w:tc>
          <w:tcPr>
            <w:tcW w:w="1134" w:type="dxa"/>
            <w:hideMark/>
          </w:tcPr>
          <w:p w14:paraId="03B7B572"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To be determined during inception</w:t>
            </w:r>
          </w:p>
        </w:tc>
        <w:tc>
          <w:tcPr>
            <w:tcW w:w="1706" w:type="dxa"/>
            <w:hideMark/>
          </w:tcPr>
          <w:p w14:paraId="39B8768F"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Targets to be set after baseline</w:t>
            </w:r>
          </w:p>
        </w:tc>
        <w:tc>
          <w:tcPr>
            <w:tcW w:w="1526" w:type="dxa"/>
            <w:hideMark/>
          </w:tcPr>
          <w:p w14:paraId="74A922DD"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 xml:space="preserve">DFAT and </w:t>
            </w:r>
            <w:proofErr w:type="spellStart"/>
            <w:r w:rsidRPr="00766D53">
              <w:rPr>
                <w:rFonts w:asciiTheme="minorHAnsi" w:eastAsia="Times New Roman" w:hAnsiTheme="minorHAnsi" w:cstheme="minorHAnsi"/>
                <w:sz w:val="20"/>
                <w:szCs w:val="20"/>
                <w:lang w:val="en-AU"/>
              </w:rPr>
              <w:t>GoI</w:t>
            </w:r>
            <w:proofErr w:type="spellEnd"/>
            <w:r w:rsidRPr="00766D53">
              <w:rPr>
                <w:rFonts w:asciiTheme="minorHAnsi" w:eastAsia="Times New Roman" w:hAnsiTheme="minorHAnsi" w:cstheme="minorHAnsi"/>
                <w:sz w:val="20"/>
                <w:szCs w:val="20"/>
                <w:lang w:val="en-AU"/>
              </w:rPr>
              <w:t xml:space="preserve"> – assess contribution to democratic resilience and inform policy dialogue</w:t>
            </w:r>
          </w:p>
        </w:tc>
      </w:tr>
      <w:tr w:rsidR="003A5897" w:rsidRPr="00766D53" w14:paraId="3A0624D0" w14:textId="77777777">
        <w:tc>
          <w:tcPr>
            <w:tcW w:w="2008" w:type="dxa"/>
            <w:hideMark/>
          </w:tcPr>
          <w:p w14:paraId="12826EF0" w14:textId="77777777" w:rsidR="003A5897" w:rsidRPr="00766D53" w:rsidRDefault="003A5897">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IO1.</w:t>
            </w:r>
            <w:r>
              <w:rPr>
                <w:rFonts w:asciiTheme="minorHAnsi" w:eastAsia="Times New Roman" w:hAnsiTheme="minorHAnsi" w:cstheme="minorHAnsi"/>
                <w:sz w:val="20"/>
                <w:szCs w:val="20"/>
                <w:lang w:val="en-AU"/>
              </w:rPr>
              <w:t>1</w:t>
            </w:r>
            <w:r w:rsidRPr="00766D53">
              <w:rPr>
                <w:rFonts w:asciiTheme="minorHAnsi" w:eastAsia="Times New Roman" w:hAnsiTheme="minorHAnsi" w:cstheme="minorHAnsi"/>
                <w:sz w:val="20"/>
                <w:szCs w:val="20"/>
                <w:lang w:val="en-AU"/>
              </w:rPr>
              <w:t xml:space="preserve"> Key Indonesian and Australian state actors have improved linkages and shared learning to reinforce democratic practices.</w:t>
            </w:r>
          </w:p>
        </w:tc>
        <w:tc>
          <w:tcPr>
            <w:tcW w:w="4791" w:type="dxa"/>
            <w:hideMark/>
          </w:tcPr>
          <w:p w14:paraId="30E69739" w14:textId="77777777" w:rsidR="003A5897" w:rsidRPr="00766D53" w:rsidRDefault="003A5897"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Number of joint initiatives, exchanges, or training programs</w:t>
            </w:r>
          </w:p>
          <w:p w14:paraId="19443BBA" w14:textId="77777777" w:rsidR="003A5897" w:rsidRPr="00766D53" w:rsidRDefault="003A5897"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Qualitative evidence of mutual policy learning influencing institutional practices</w:t>
            </w:r>
          </w:p>
          <w:p w14:paraId="69B41620" w14:textId="77777777" w:rsidR="003A5897" w:rsidRPr="00766D53" w:rsidRDefault="003A5897"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Number and types of joint initiatives engaging women and people with disability</w:t>
            </w:r>
          </w:p>
        </w:tc>
        <w:tc>
          <w:tcPr>
            <w:tcW w:w="1701" w:type="dxa"/>
            <w:hideMark/>
          </w:tcPr>
          <w:p w14:paraId="3CC1B55F" w14:textId="77777777" w:rsidR="003A5897" w:rsidRPr="00766D53" w:rsidRDefault="003A5897">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Program activity records; partner self-reports; interviews; case studies</w:t>
            </w:r>
          </w:p>
        </w:tc>
        <w:tc>
          <w:tcPr>
            <w:tcW w:w="1560" w:type="dxa"/>
            <w:hideMark/>
          </w:tcPr>
          <w:p w14:paraId="6E57DEFE" w14:textId="77777777" w:rsidR="003A5897" w:rsidRPr="00766D53" w:rsidRDefault="003A5897">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Willingness to share politically sensitive engagement data; attribution challenges</w:t>
            </w:r>
          </w:p>
        </w:tc>
        <w:tc>
          <w:tcPr>
            <w:tcW w:w="1134" w:type="dxa"/>
            <w:hideMark/>
          </w:tcPr>
          <w:p w14:paraId="3C129C2D" w14:textId="77777777" w:rsidR="003A5897" w:rsidRPr="00766D53" w:rsidRDefault="003A5897">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Baseline to be confirmed</w:t>
            </w:r>
          </w:p>
        </w:tc>
        <w:tc>
          <w:tcPr>
            <w:tcW w:w="1706" w:type="dxa"/>
            <w:hideMark/>
          </w:tcPr>
          <w:p w14:paraId="30FE4563" w14:textId="77777777" w:rsidR="003A5897" w:rsidRPr="00766D53" w:rsidRDefault="003A5897">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Annual increase</w:t>
            </w:r>
          </w:p>
        </w:tc>
        <w:tc>
          <w:tcPr>
            <w:tcW w:w="1526" w:type="dxa"/>
            <w:hideMark/>
          </w:tcPr>
          <w:p w14:paraId="25B8B50B" w14:textId="77777777" w:rsidR="003A5897" w:rsidRPr="00766D53" w:rsidRDefault="003A5897">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 xml:space="preserve">DFAT, </w:t>
            </w:r>
            <w:proofErr w:type="spellStart"/>
            <w:r w:rsidRPr="00766D53">
              <w:rPr>
                <w:rFonts w:asciiTheme="minorHAnsi" w:eastAsia="Times New Roman" w:hAnsiTheme="minorHAnsi" w:cstheme="minorHAnsi"/>
                <w:sz w:val="20"/>
                <w:szCs w:val="20"/>
                <w:lang w:val="en-AU"/>
              </w:rPr>
              <w:t>GoI</w:t>
            </w:r>
            <w:proofErr w:type="spellEnd"/>
            <w:r w:rsidRPr="00766D53">
              <w:rPr>
                <w:rFonts w:asciiTheme="minorHAnsi" w:eastAsia="Times New Roman" w:hAnsiTheme="minorHAnsi" w:cstheme="minorHAnsi"/>
                <w:sz w:val="20"/>
                <w:szCs w:val="20"/>
                <w:lang w:val="en-AU"/>
              </w:rPr>
              <w:t>, partner institutions – strengthen bilateral democratic cooperation</w:t>
            </w:r>
          </w:p>
        </w:tc>
      </w:tr>
      <w:tr w:rsidR="00E007A1" w:rsidRPr="00766D53" w14:paraId="063BC534" w14:textId="77777777" w:rsidTr="00C5377B">
        <w:tc>
          <w:tcPr>
            <w:tcW w:w="2008" w:type="dxa"/>
            <w:hideMark/>
          </w:tcPr>
          <w:p w14:paraId="268538D1" w14:textId="0FB7301E"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IO1.</w:t>
            </w:r>
            <w:r w:rsidR="00D3669D">
              <w:rPr>
                <w:rFonts w:asciiTheme="minorHAnsi" w:eastAsia="Times New Roman" w:hAnsiTheme="minorHAnsi" w:cstheme="minorHAnsi"/>
                <w:sz w:val="20"/>
                <w:szCs w:val="20"/>
                <w:lang w:val="en-AU"/>
              </w:rPr>
              <w:t>2</w:t>
            </w:r>
            <w:r w:rsidRPr="00766D53">
              <w:rPr>
                <w:rFonts w:asciiTheme="minorHAnsi" w:eastAsia="Times New Roman" w:hAnsiTheme="minorHAnsi" w:cstheme="minorHAnsi"/>
                <w:sz w:val="20"/>
                <w:szCs w:val="20"/>
                <w:lang w:val="en-AU"/>
              </w:rPr>
              <w:t xml:space="preserve"> Key state actors demonstrate improved knowledge, </w:t>
            </w:r>
            <w:r w:rsidRPr="00766D53">
              <w:rPr>
                <w:rFonts w:asciiTheme="minorHAnsi" w:eastAsia="Times New Roman" w:hAnsiTheme="minorHAnsi" w:cstheme="minorHAnsi"/>
                <w:sz w:val="20"/>
                <w:szCs w:val="20"/>
                <w:lang w:val="en-AU"/>
              </w:rPr>
              <w:lastRenderedPageBreak/>
              <w:t>skills, and practices that reinforce democratic processes and institutional integrity</w:t>
            </w:r>
            <w:r w:rsidR="00A76E17">
              <w:rPr>
                <w:rFonts w:asciiTheme="minorHAnsi" w:eastAsia="Times New Roman" w:hAnsiTheme="minorHAnsi" w:cstheme="minorHAnsi"/>
                <w:sz w:val="20"/>
                <w:szCs w:val="20"/>
                <w:lang w:val="en-AU"/>
              </w:rPr>
              <w:t>.</w:t>
            </w:r>
          </w:p>
        </w:tc>
        <w:tc>
          <w:tcPr>
            <w:tcW w:w="4791" w:type="dxa"/>
            <w:hideMark/>
          </w:tcPr>
          <w:p w14:paraId="5FE17082"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lastRenderedPageBreak/>
              <w:t>% of electoral/oversight bodies implementing inclusive safeguards</w:t>
            </w:r>
          </w:p>
          <w:p w14:paraId="66A6091C"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lastRenderedPageBreak/>
              <w:t>Qualitative evidence of electoral dispute resolution demonstrating fairness and inclusivity</w:t>
            </w:r>
          </w:p>
          <w:p w14:paraId="0AB867DE"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Number of institutional measures adopted to strengthen election transparency and participation</w:t>
            </w:r>
          </w:p>
          <w:p w14:paraId="5F756A51"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Qualitative evidence of women and people with disability accessing training and advisory support</w:t>
            </w:r>
          </w:p>
        </w:tc>
        <w:tc>
          <w:tcPr>
            <w:tcW w:w="1701" w:type="dxa"/>
            <w:hideMark/>
          </w:tcPr>
          <w:p w14:paraId="367C87E2"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lastRenderedPageBreak/>
              <w:t xml:space="preserve">EMB records; partner reports; election </w:t>
            </w:r>
            <w:r w:rsidRPr="00766D53">
              <w:rPr>
                <w:rFonts w:asciiTheme="minorHAnsi" w:eastAsia="Times New Roman" w:hAnsiTheme="minorHAnsi" w:cstheme="minorHAnsi"/>
                <w:sz w:val="20"/>
                <w:szCs w:val="20"/>
                <w:lang w:val="en-AU"/>
              </w:rPr>
              <w:lastRenderedPageBreak/>
              <w:t>observation data; CSO monitoring reports</w:t>
            </w:r>
          </w:p>
        </w:tc>
        <w:tc>
          <w:tcPr>
            <w:tcW w:w="1560" w:type="dxa"/>
            <w:hideMark/>
          </w:tcPr>
          <w:p w14:paraId="6275B680"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lastRenderedPageBreak/>
              <w:t xml:space="preserve">Data availability outside election periods; </w:t>
            </w:r>
            <w:r w:rsidRPr="00766D53">
              <w:rPr>
                <w:rFonts w:asciiTheme="minorHAnsi" w:eastAsia="Times New Roman" w:hAnsiTheme="minorHAnsi" w:cstheme="minorHAnsi"/>
                <w:sz w:val="20"/>
                <w:szCs w:val="20"/>
                <w:lang w:val="en-AU"/>
              </w:rPr>
              <w:lastRenderedPageBreak/>
              <w:t>politicisation of electoral data</w:t>
            </w:r>
          </w:p>
        </w:tc>
        <w:tc>
          <w:tcPr>
            <w:tcW w:w="1134" w:type="dxa"/>
            <w:hideMark/>
          </w:tcPr>
          <w:p w14:paraId="58E73EB1"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lastRenderedPageBreak/>
              <w:t xml:space="preserve">Baseline to be set during </w:t>
            </w:r>
            <w:r w:rsidRPr="00766D53">
              <w:rPr>
                <w:rFonts w:asciiTheme="minorHAnsi" w:eastAsia="Times New Roman" w:hAnsiTheme="minorHAnsi" w:cstheme="minorHAnsi"/>
                <w:sz w:val="20"/>
                <w:szCs w:val="20"/>
                <w:lang w:val="en-AU"/>
              </w:rPr>
              <w:lastRenderedPageBreak/>
              <w:t>early program phase</w:t>
            </w:r>
          </w:p>
        </w:tc>
        <w:tc>
          <w:tcPr>
            <w:tcW w:w="1706" w:type="dxa"/>
            <w:hideMark/>
          </w:tcPr>
          <w:p w14:paraId="3A5CDF3F"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lastRenderedPageBreak/>
              <w:t>Progressive increase</w:t>
            </w:r>
          </w:p>
        </w:tc>
        <w:tc>
          <w:tcPr>
            <w:tcW w:w="1526" w:type="dxa"/>
            <w:hideMark/>
          </w:tcPr>
          <w:p w14:paraId="17ED50A7"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 xml:space="preserve">Electoral bodies, DFAT, </w:t>
            </w:r>
            <w:proofErr w:type="spellStart"/>
            <w:r w:rsidRPr="00766D53">
              <w:rPr>
                <w:rFonts w:asciiTheme="minorHAnsi" w:eastAsia="Times New Roman" w:hAnsiTheme="minorHAnsi" w:cstheme="minorHAnsi"/>
                <w:sz w:val="20"/>
                <w:szCs w:val="20"/>
                <w:lang w:val="en-AU"/>
              </w:rPr>
              <w:t>GoI</w:t>
            </w:r>
            <w:proofErr w:type="spellEnd"/>
            <w:r w:rsidRPr="00766D53">
              <w:rPr>
                <w:rFonts w:asciiTheme="minorHAnsi" w:eastAsia="Times New Roman" w:hAnsiTheme="minorHAnsi" w:cstheme="minorHAnsi"/>
                <w:sz w:val="20"/>
                <w:szCs w:val="20"/>
                <w:lang w:val="en-AU"/>
              </w:rPr>
              <w:t xml:space="preserve"> – adaptive </w:t>
            </w:r>
            <w:r w:rsidRPr="00766D53">
              <w:rPr>
                <w:rFonts w:asciiTheme="minorHAnsi" w:eastAsia="Times New Roman" w:hAnsiTheme="minorHAnsi" w:cstheme="minorHAnsi"/>
                <w:sz w:val="20"/>
                <w:szCs w:val="20"/>
                <w:lang w:val="en-AU"/>
              </w:rPr>
              <w:lastRenderedPageBreak/>
              <w:t>support and election cycle planning</w:t>
            </w:r>
          </w:p>
        </w:tc>
      </w:tr>
      <w:tr w:rsidR="00E007A1" w:rsidRPr="00766D53" w14:paraId="4A3471E2" w14:textId="77777777" w:rsidTr="00C5377B">
        <w:tc>
          <w:tcPr>
            <w:tcW w:w="2008" w:type="dxa"/>
            <w:hideMark/>
          </w:tcPr>
          <w:p w14:paraId="787DC67E" w14:textId="259351B5" w:rsidR="00902F90" w:rsidRPr="00766D53" w:rsidRDefault="00902F90">
            <w:pPr>
              <w:suppressAutoHyphens w:val="0"/>
              <w:spacing w:before="0" w:after="0" w:line="240" w:lineRule="auto"/>
              <w:rPr>
                <w:rFonts w:asciiTheme="minorHAnsi" w:eastAsia="Times New Roman" w:hAnsiTheme="minorHAnsi" w:cstheme="minorHAnsi"/>
                <w:b/>
                <w:bCs/>
                <w:sz w:val="20"/>
                <w:szCs w:val="20"/>
                <w:lang w:val="en-AU"/>
              </w:rPr>
            </w:pPr>
            <w:r w:rsidRPr="00766D53">
              <w:rPr>
                <w:rFonts w:asciiTheme="minorHAnsi" w:eastAsia="Times New Roman" w:hAnsiTheme="minorHAnsi" w:cstheme="minorHAnsi"/>
                <w:b/>
                <w:sz w:val="20"/>
                <w:szCs w:val="20"/>
                <w:lang w:val="en-AU"/>
              </w:rPr>
              <w:lastRenderedPageBreak/>
              <w:t>EOPO2 Democratic Integrity</w:t>
            </w:r>
          </w:p>
          <w:p w14:paraId="0C34CA23" w14:textId="215D1495"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Indonesian civil society actors enhance public engagement and promote democratic integrity in targeted areas</w:t>
            </w:r>
            <w:r w:rsidR="00A76E17">
              <w:rPr>
                <w:rFonts w:asciiTheme="minorHAnsi" w:eastAsia="Times New Roman" w:hAnsiTheme="minorHAnsi" w:cstheme="minorHAnsi"/>
                <w:sz w:val="20"/>
                <w:szCs w:val="20"/>
                <w:lang w:val="en-AU"/>
              </w:rPr>
              <w:t>.</w:t>
            </w:r>
          </w:p>
        </w:tc>
        <w:tc>
          <w:tcPr>
            <w:tcW w:w="4791" w:type="dxa"/>
            <w:hideMark/>
          </w:tcPr>
          <w:p w14:paraId="45CC5942" w14:textId="456727C0" w:rsidR="00546CAF"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Number/% of CSOs reporting improved capacity to influence democratic processes</w:t>
            </w:r>
          </w:p>
          <w:p w14:paraId="603B45A7" w14:textId="70B75F35"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Number of advocacy initiatives or policy submissions addressing democratic integrity, inclusion, or accountability</w:t>
            </w:r>
          </w:p>
          <w:p w14:paraId="5CEC068F"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Documented examples of CSO advocacy influencing policy or practice</w:t>
            </w:r>
          </w:p>
          <w:p w14:paraId="65C4958E"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 of women-led initiatives supported; % of resources accessed by women or WROs</w:t>
            </w:r>
          </w:p>
          <w:p w14:paraId="41AA6139"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Qualitative assessment of women reporting increased influence in decision-making spaces</w:t>
            </w:r>
          </w:p>
          <w:p w14:paraId="40608C1E"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b/>
                <w:sz w:val="20"/>
                <w:szCs w:val="20"/>
                <w:lang w:val="en-AU"/>
              </w:rPr>
              <w:t>Tier 2:</w:t>
            </w:r>
            <w:r w:rsidRPr="00766D53">
              <w:rPr>
                <w:rFonts w:asciiTheme="minorHAnsi" w:eastAsia="Times New Roman" w:hAnsiTheme="minorHAnsi" w:cstheme="minorHAnsi"/>
                <w:sz w:val="20"/>
                <w:szCs w:val="20"/>
                <w:lang w:val="en-AU"/>
              </w:rPr>
              <w:t xml:space="preserve"> ODA funding channelled to CSOs, WROs, OPDs; number of staff trained; number of organisations of persons with disabilities supported</w:t>
            </w:r>
          </w:p>
          <w:p w14:paraId="52EC2E85"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b/>
                <w:sz w:val="20"/>
                <w:szCs w:val="20"/>
                <w:lang w:val="en-AU"/>
              </w:rPr>
              <w:t>Tier 3:</w:t>
            </w:r>
            <w:r w:rsidRPr="00766D53">
              <w:rPr>
                <w:rFonts w:asciiTheme="minorHAnsi" w:eastAsia="Times New Roman" w:hAnsiTheme="minorHAnsi" w:cstheme="minorHAnsi"/>
                <w:sz w:val="20"/>
                <w:szCs w:val="20"/>
                <w:lang w:val="en-AU"/>
              </w:rPr>
              <w:t xml:space="preserve"> Number of local personnel, sub-contractors, and staff engaged; Number and dollar value of local contracts and grants.</w:t>
            </w:r>
          </w:p>
        </w:tc>
        <w:tc>
          <w:tcPr>
            <w:tcW w:w="1701" w:type="dxa"/>
            <w:hideMark/>
          </w:tcPr>
          <w:p w14:paraId="49C17311"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Partner reports; independent evaluations; advocacy tracking tools; media monitoring; key informant interviews</w:t>
            </w:r>
          </w:p>
        </w:tc>
        <w:tc>
          <w:tcPr>
            <w:tcW w:w="1560" w:type="dxa"/>
            <w:hideMark/>
          </w:tcPr>
          <w:p w14:paraId="1D682959"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Political sensitivities; self-report bias; attribution challenges</w:t>
            </w:r>
          </w:p>
        </w:tc>
        <w:tc>
          <w:tcPr>
            <w:tcW w:w="1134" w:type="dxa"/>
            <w:hideMark/>
          </w:tcPr>
          <w:p w14:paraId="4006EA76"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To be established during inception</w:t>
            </w:r>
          </w:p>
        </w:tc>
        <w:tc>
          <w:tcPr>
            <w:tcW w:w="1706" w:type="dxa"/>
            <w:hideMark/>
          </w:tcPr>
          <w:p w14:paraId="645D945F"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Year-on-year increase</w:t>
            </w:r>
          </w:p>
        </w:tc>
        <w:tc>
          <w:tcPr>
            <w:tcW w:w="1526" w:type="dxa"/>
            <w:hideMark/>
          </w:tcPr>
          <w:p w14:paraId="7511E2BD" w14:textId="1FB24301"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 xml:space="preserve">DFAT, </w:t>
            </w:r>
            <w:proofErr w:type="spellStart"/>
            <w:r w:rsidRPr="00766D53">
              <w:rPr>
                <w:rFonts w:asciiTheme="minorHAnsi" w:eastAsia="Times New Roman" w:hAnsiTheme="minorHAnsi" w:cstheme="minorHAnsi"/>
                <w:sz w:val="20"/>
                <w:szCs w:val="20"/>
                <w:lang w:val="en-AU"/>
              </w:rPr>
              <w:t>GoI</w:t>
            </w:r>
            <w:proofErr w:type="spellEnd"/>
            <w:r w:rsidRPr="00766D53">
              <w:rPr>
                <w:rFonts w:asciiTheme="minorHAnsi" w:eastAsia="Times New Roman" w:hAnsiTheme="minorHAnsi" w:cstheme="minorHAnsi"/>
                <w:sz w:val="20"/>
                <w:szCs w:val="20"/>
                <w:lang w:val="en-AU"/>
              </w:rPr>
              <w:t>, CSO partners – inform capacity</w:t>
            </w:r>
            <w:r w:rsidR="00B00E78">
              <w:rPr>
                <w:rFonts w:asciiTheme="minorHAnsi" w:eastAsia="Times New Roman" w:hAnsiTheme="minorHAnsi" w:cstheme="minorHAnsi"/>
                <w:sz w:val="20"/>
                <w:szCs w:val="20"/>
                <w:lang w:val="en-AU"/>
              </w:rPr>
              <w:t xml:space="preserve"> </w:t>
            </w:r>
            <w:r w:rsidRPr="00766D53">
              <w:rPr>
                <w:rFonts w:asciiTheme="minorHAnsi" w:eastAsia="Times New Roman" w:hAnsiTheme="minorHAnsi" w:cstheme="minorHAnsi"/>
                <w:sz w:val="20"/>
                <w:szCs w:val="20"/>
                <w:lang w:val="en-AU"/>
              </w:rPr>
              <w:t>building, civic space, gender and disability inclusion support</w:t>
            </w:r>
          </w:p>
        </w:tc>
      </w:tr>
      <w:tr w:rsidR="00E007A1" w:rsidRPr="00766D53" w14:paraId="4BC37F29" w14:textId="77777777" w:rsidTr="00C5377B">
        <w:tc>
          <w:tcPr>
            <w:tcW w:w="2008" w:type="dxa"/>
            <w:hideMark/>
          </w:tcPr>
          <w:p w14:paraId="5901C371" w14:textId="14C14453"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IO2.1 Civil society actors are better equipped and increasingly collaborate with each other to promote democratic resilience, including with youth</w:t>
            </w:r>
            <w:r w:rsidR="00C71EF2">
              <w:rPr>
                <w:rFonts w:asciiTheme="minorHAnsi" w:eastAsia="Times New Roman" w:hAnsiTheme="minorHAnsi" w:cstheme="minorHAnsi"/>
                <w:sz w:val="20"/>
                <w:szCs w:val="20"/>
                <w:lang w:val="en-AU"/>
              </w:rPr>
              <w:t>s</w:t>
            </w:r>
            <w:r w:rsidRPr="00766D53">
              <w:rPr>
                <w:rFonts w:asciiTheme="minorHAnsi" w:eastAsia="Times New Roman" w:hAnsiTheme="minorHAnsi" w:cstheme="minorHAnsi"/>
                <w:sz w:val="20"/>
                <w:szCs w:val="20"/>
                <w:lang w:val="en-AU"/>
              </w:rPr>
              <w:t>, women, people with disabilities and for climate justice.</w:t>
            </w:r>
          </w:p>
        </w:tc>
        <w:tc>
          <w:tcPr>
            <w:tcW w:w="4791" w:type="dxa"/>
            <w:hideMark/>
          </w:tcPr>
          <w:p w14:paraId="33B3A5CF"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Qualitative evidence of CSOs using evidence-based monitoring, citizen feedback mechanisms</w:t>
            </w:r>
          </w:p>
          <w:p w14:paraId="0DECD549"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Evidence of these outputs influencing accountability processes</w:t>
            </w:r>
          </w:p>
          <w:p w14:paraId="51BF1840"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Number of monitoring reports, citizen feedback submissions, or advocacy briefs</w:t>
            </w:r>
          </w:p>
          <w:p w14:paraId="2B123B13"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 of women and persons with disabilities accessing capacity building</w:t>
            </w:r>
          </w:p>
          <w:p w14:paraId="757109FC"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Qualitative assessment of women and people with disability reporting increased confidence, empowerment, and voice</w:t>
            </w:r>
          </w:p>
          <w:p w14:paraId="0C9910B2"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 of mentorships or leadership development opportunities for women and people with disability</w:t>
            </w:r>
          </w:p>
          <w:p w14:paraId="672231C9"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rPr>
              <w:lastRenderedPageBreak/>
              <w:t>Evidence on how program outputs influencing accountability processes and climate justice actions</w:t>
            </w:r>
          </w:p>
        </w:tc>
        <w:tc>
          <w:tcPr>
            <w:tcW w:w="1701" w:type="dxa"/>
            <w:hideMark/>
          </w:tcPr>
          <w:p w14:paraId="25DCE3E8"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lastRenderedPageBreak/>
              <w:t>CSO monitoring data; citizen feedback platforms; partner reports; interviews</w:t>
            </w:r>
          </w:p>
        </w:tc>
        <w:tc>
          <w:tcPr>
            <w:tcW w:w="1560" w:type="dxa"/>
            <w:hideMark/>
          </w:tcPr>
          <w:p w14:paraId="262006BC"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Security risks for CSOs in politically sensitive contexts; institutional openness to feedback</w:t>
            </w:r>
          </w:p>
        </w:tc>
        <w:tc>
          <w:tcPr>
            <w:tcW w:w="1134" w:type="dxa"/>
            <w:hideMark/>
          </w:tcPr>
          <w:p w14:paraId="35AF30C4"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To be set during early program phase</w:t>
            </w:r>
          </w:p>
        </w:tc>
        <w:tc>
          <w:tcPr>
            <w:tcW w:w="1706" w:type="dxa"/>
            <w:hideMark/>
          </w:tcPr>
          <w:p w14:paraId="1CEE9A35"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Incremental increase over program period</w:t>
            </w:r>
          </w:p>
        </w:tc>
        <w:tc>
          <w:tcPr>
            <w:tcW w:w="1526" w:type="dxa"/>
            <w:hideMark/>
          </w:tcPr>
          <w:p w14:paraId="089EB647"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DFAT, CSOs, oversight institutions – strengthen democratic checks and balances, promote gender and disability inclusion</w:t>
            </w:r>
          </w:p>
        </w:tc>
      </w:tr>
      <w:tr w:rsidR="00E007A1" w:rsidRPr="00766D53" w14:paraId="49DD3822" w14:textId="77777777" w:rsidTr="00C5377B">
        <w:tc>
          <w:tcPr>
            <w:tcW w:w="2008" w:type="dxa"/>
            <w:hideMark/>
          </w:tcPr>
          <w:p w14:paraId="25F218AB" w14:textId="5566D82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IO2.2 The media are better able to deliver quality and independent journalism, uphold integrity, and counter mis/disinformation.</w:t>
            </w:r>
          </w:p>
        </w:tc>
        <w:tc>
          <w:tcPr>
            <w:tcW w:w="4791" w:type="dxa"/>
            <w:hideMark/>
          </w:tcPr>
          <w:p w14:paraId="53A92A9E"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 xml:space="preserve">Number and qualitative evidence of media outlets adopting </w:t>
            </w:r>
            <w:proofErr w:type="gramStart"/>
            <w:r w:rsidRPr="00766D53">
              <w:rPr>
                <w:rFonts w:asciiTheme="minorHAnsi" w:eastAsia="Times New Roman" w:hAnsiTheme="minorHAnsi" w:cstheme="minorHAnsi"/>
                <w:sz w:val="20"/>
                <w:szCs w:val="20"/>
                <w:lang w:val="en-AU"/>
              </w:rPr>
              <w:t>fact-checking</w:t>
            </w:r>
            <w:proofErr w:type="gramEnd"/>
            <w:r w:rsidRPr="00766D53">
              <w:rPr>
                <w:rFonts w:asciiTheme="minorHAnsi" w:eastAsia="Times New Roman" w:hAnsiTheme="minorHAnsi" w:cstheme="minorHAnsi"/>
                <w:sz w:val="20"/>
                <w:szCs w:val="20"/>
                <w:lang w:val="en-AU"/>
              </w:rPr>
              <w:t>, GEDSI-sensitive reporting, collaborative investigative practices</w:t>
            </w:r>
          </w:p>
          <w:p w14:paraId="1BD4C8B7"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Reach and engagement metrics of supported media content</w:t>
            </w:r>
          </w:p>
          <w:p w14:paraId="4D24DBBD"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Documented influence on public discourse or institutional accountability</w:t>
            </w:r>
          </w:p>
          <w:p w14:paraId="1A0EB189"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 of women journalists, media managers, or content creators participating in program initiatives</w:t>
            </w:r>
          </w:p>
          <w:p w14:paraId="40BDA05F"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 of accessible media initiatives for persons with disabilities</w:t>
            </w:r>
          </w:p>
        </w:tc>
        <w:tc>
          <w:tcPr>
            <w:tcW w:w="1701" w:type="dxa"/>
            <w:hideMark/>
          </w:tcPr>
          <w:p w14:paraId="45BE40EA"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Media content analysis; audience engagement analytics; fact-checking platform records; program monitoring; key informant interviews</w:t>
            </w:r>
          </w:p>
        </w:tc>
        <w:tc>
          <w:tcPr>
            <w:tcW w:w="1560" w:type="dxa"/>
            <w:hideMark/>
          </w:tcPr>
          <w:p w14:paraId="2ECD3A22"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Media reluctance to share internal data; political/commercial pressures; attribution challenges</w:t>
            </w:r>
          </w:p>
        </w:tc>
        <w:tc>
          <w:tcPr>
            <w:tcW w:w="1134" w:type="dxa"/>
            <w:hideMark/>
          </w:tcPr>
          <w:p w14:paraId="123BFE20" w14:textId="5AD19C84"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 xml:space="preserve">To be established during </w:t>
            </w:r>
            <w:r w:rsidR="004D0A77">
              <w:rPr>
                <w:rFonts w:asciiTheme="minorHAnsi" w:eastAsia="Times New Roman" w:hAnsiTheme="minorHAnsi" w:cstheme="minorHAnsi"/>
                <w:sz w:val="20"/>
                <w:szCs w:val="20"/>
                <w:lang w:val="en-AU"/>
              </w:rPr>
              <w:t>I</w:t>
            </w:r>
            <w:r w:rsidRPr="00766D53">
              <w:rPr>
                <w:rFonts w:asciiTheme="minorHAnsi" w:eastAsia="Times New Roman" w:hAnsiTheme="minorHAnsi" w:cstheme="minorHAnsi"/>
                <w:sz w:val="20"/>
                <w:szCs w:val="20"/>
                <w:lang w:val="en-AU"/>
              </w:rPr>
              <w:t xml:space="preserve">nception </w:t>
            </w:r>
            <w:r w:rsidR="004D0A77">
              <w:rPr>
                <w:rFonts w:asciiTheme="minorHAnsi" w:eastAsia="Times New Roman" w:hAnsiTheme="minorHAnsi" w:cstheme="minorHAnsi"/>
                <w:sz w:val="20"/>
                <w:szCs w:val="20"/>
                <w:lang w:val="en-AU"/>
              </w:rPr>
              <w:t>P</w:t>
            </w:r>
            <w:r w:rsidRPr="00766D53">
              <w:rPr>
                <w:rFonts w:asciiTheme="minorHAnsi" w:eastAsia="Times New Roman" w:hAnsiTheme="minorHAnsi" w:cstheme="minorHAnsi"/>
                <w:sz w:val="20"/>
                <w:szCs w:val="20"/>
                <w:lang w:val="en-AU"/>
              </w:rPr>
              <w:t>hase</w:t>
            </w:r>
          </w:p>
        </w:tc>
        <w:tc>
          <w:tcPr>
            <w:tcW w:w="1706" w:type="dxa"/>
            <w:hideMark/>
          </w:tcPr>
          <w:p w14:paraId="2290C7F3" w14:textId="77777777" w:rsidR="00902F90" w:rsidRPr="00766D53" w:rsidRDefault="00902F90">
            <w:pPr>
              <w:suppressAutoHyphens w:val="0"/>
              <w:spacing w:before="0" w:after="0" w:line="240" w:lineRule="auto"/>
              <w:ind w:right="-113"/>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≥8 media organisations demonstrate strengthened reporting practices; year-on-year increase in reach/engagement; ≥3 documented cases influencing policy</w:t>
            </w:r>
          </w:p>
        </w:tc>
        <w:tc>
          <w:tcPr>
            <w:tcW w:w="1526" w:type="dxa"/>
            <w:hideMark/>
          </w:tcPr>
          <w:p w14:paraId="27538334"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DFAT MEL team; implementing partners; media actors – strengthen professional standards and audience trust, gender and disability inclusion</w:t>
            </w:r>
          </w:p>
        </w:tc>
      </w:tr>
      <w:tr w:rsidR="00E007A1" w:rsidRPr="00766D53" w14:paraId="0D774384" w14:textId="77777777" w:rsidTr="00C5377B">
        <w:tc>
          <w:tcPr>
            <w:tcW w:w="2008" w:type="dxa"/>
            <w:hideMark/>
          </w:tcPr>
          <w:p w14:paraId="46BF4CD0" w14:textId="366E6B2A" w:rsidR="00902F90" w:rsidRPr="00766D53" w:rsidRDefault="00902F90">
            <w:pPr>
              <w:suppressAutoHyphens w:val="0"/>
              <w:spacing w:before="0" w:after="0" w:line="240" w:lineRule="auto"/>
              <w:rPr>
                <w:rFonts w:asciiTheme="minorHAnsi" w:eastAsia="Times New Roman" w:hAnsiTheme="minorHAnsi" w:cstheme="minorHAnsi"/>
                <w:b/>
                <w:bCs/>
                <w:sz w:val="20"/>
                <w:szCs w:val="20"/>
                <w:lang w:val="en-AU"/>
              </w:rPr>
            </w:pPr>
            <w:r w:rsidRPr="00766D53">
              <w:rPr>
                <w:rFonts w:asciiTheme="minorHAnsi" w:eastAsia="Times New Roman" w:hAnsiTheme="minorHAnsi" w:cstheme="minorHAnsi"/>
                <w:b/>
                <w:sz w:val="20"/>
                <w:szCs w:val="20"/>
                <w:lang w:val="en-AU"/>
              </w:rPr>
              <w:t>EOPO3 Collaborative Democratic Action</w:t>
            </w:r>
          </w:p>
          <w:p w14:paraId="33F2A6F3"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Indonesia’s state and non-state actors effectively engage with each other and internationally to strengthen democratic participation.</w:t>
            </w:r>
          </w:p>
        </w:tc>
        <w:tc>
          <w:tcPr>
            <w:tcW w:w="4791" w:type="dxa"/>
            <w:hideMark/>
          </w:tcPr>
          <w:p w14:paraId="7EFB7484"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Evidence of joint state–civil society initiatives (co-drafted policies, joint monitoring, advocacy campaigns)</w:t>
            </w:r>
          </w:p>
          <w:p w14:paraId="0FB1EDA8"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Perceived quality of dialogue</w:t>
            </w:r>
          </w:p>
          <w:p w14:paraId="37F709B1"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 xml:space="preserve">Qualitative assessment of women and persons with disabilities influencing dialogue or policy </w:t>
            </w:r>
          </w:p>
          <w:p w14:paraId="1B3BA5F7"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b/>
                <w:sz w:val="20"/>
                <w:szCs w:val="20"/>
                <w:lang w:val="en-AU"/>
              </w:rPr>
              <w:t>Tier 2:</w:t>
            </w:r>
            <w:r w:rsidRPr="00766D53">
              <w:rPr>
                <w:rFonts w:asciiTheme="minorHAnsi" w:eastAsia="Times New Roman" w:hAnsiTheme="minorHAnsi" w:cstheme="minorHAnsi"/>
                <w:sz w:val="20"/>
                <w:szCs w:val="20"/>
                <w:lang w:val="en-AU"/>
              </w:rPr>
              <w:t xml:space="preserve"> Number of organisations supported and outcomes achieved: a. Government institutions, b. Civil society, c. Private sector (by type/level)</w:t>
            </w:r>
          </w:p>
          <w:p w14:paraId="5A5AC653" w14:textId="451203B9"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b/>
                <w:sz w:val="20"/>
                <w:szCs w:val="20"/>
                <w:lang w:val="en-AU"/>
              </w:rPr>
              <w:t>Tier 3:</w:t>
            </w:r>
            <w:r w:rsidRPr="00766D53">
              <w:rPr>
                <w:rFonts w:asciiTheme="minorHAnsi" w:eastAsia="Times New Roman" w:hAnsiTheme="minorHAnsi" w:cstheme="minorHAnsi"/>
                <w:sz w:val="20"/>
                <w:szCs w:val="20"/>
                <w:lang w:val="en-AU"/>
              </w:rPr>
              <w:t xml:space="preserve"> Number of local personnel, sub-contractors, and staff engaged; Number and dollar value of local contracts and grants</w:t>
            </w:r>
          </w:p>
        </w:tc>
        <w:tc>
          <w:tcPr>
            <w:tcW w:w="1701" w:type="dxa"/>
            <w:hideMark/>
          </w:tcPr>
          <w:p w14:paraId="677756EF"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Program reports; stakeholder interviews; joint initiative documentation; perception surveys; V-Dem dataset</w:t>
            </w:r>
          </w:p>
        </w:tc>
        <w:tc>
          <w:tcPr>
            <w:tcW w:w="1560" w:type="dxa"/>
            <w:hideMark/>
          </w:tcPr>
          <w:p w14:paraId="684F0788"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Stakeholders willing to share information; political sensitivity; survey respondents feel safe</w:t>
            </w:r>
          </w:p>
        </w:tc>
        <w:tc>
          <w:tcPr>
            <w:tcW w:w="1134" w:type="dxa"/>
            <w:hideMark/>
          </w:tcPr>
          <w:p w14:paraId="3AE0DE26"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Baseline mapping Year 1</w:t>
            </w:r>
          </w:p>
        </w:tc>
        <w:tc>
          <w:tcPr>
            <w:tcW w:w="1706" w:type="dxa"/>
            <w:hideMark/>
          </w:tcPr>
          <w:p w14:paraId="5FB7274D"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≥6 joint initiatives; improved perception and V-Dem scores; increased participation of women and people with disability</w:t>
            </w:r>
          </w:p>
        </w:tc>
        <w:tc>
          <w:tcPr>
            <w:tcW w:w="1526" w:type="dxa"/>
            <w:hideMark/>
          </w:tcPr>
          <w:p w14:paraId="106BAA77"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 xml:space="preserve">DFAT program team; implementing partners; </w:t>
            </w:r>
            <w:proofErr w:type="spellStart"/>
            <w:r w:rsidRPr="00766D53">
              <w:rPr>
                <w:rFonts w:asciiTheme="minorHAnsi" w:eastAsia="Times New Roman" w:hAnsiTheme="minorHAnsi" w:cstheme="minorHAnsi"/>
                <w:sz w:val="20"/>
                <w:szCs w:val="20"/>
                <w:lang w:val="en-AU"/>
              </w:rPr>
              <w:t>GoI</w:t>
            </w:r>
            <w:proofErr w:type="spellEnd"/>
            <w:r w:rsidRPr="00766D53">
              <w:rPr>
                <w:rFonts w:asciiTheme="minorHAnsi" w:eastAsia="Times New Roman" w:hAnsiTheme="minorHAnsi" w:cstheme="minorHAnsi"/>
                <w:sz w:val="20"/>
                <w:szCs w:val="20"/>
                <w:lang w:val="en-AU"/>
              </w:rPr>
              <w:t xml:space="preserve"> and CSO partners</w:t>
            </w:r>
          </w:p>
        </w:tc>
      </w:tr>
      <w:tr w:rsidR="00E007A1" w:rsidRPr="00766D53" w14:paraId="02A2A9F3" w14:textId="77777777" w:rsidTr="00C5377B">
        <w:tc>
          <w:tcPr>
            <w:tcW w:w="2008" w:type="dxa"/>
            <w:hideMark/>
          </w:tcPr>
          <w:p w14:paraId="3365DFD8" w14:textId="5F25A566"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IO3.1 Both state and non-state actors are better equipped and actively engage in more sustained democratic dialogue with each other.</w:t>
            </w:r>
          </w:p>
        </w:tc>
        <w:tc>
          <w:tcPr>
            <w:tcW w:w="4791" w:type="dxa"/>
            <w:hideMark/>
          </w:tcPr>
          <w:p w14:paraId="6649207B"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Number and diversity of stakeholders in structured dialogues; % of dialogues with agreed follow-up actions</w:t>
            </w:r>
          </w:p>
          <w:p w14:paraId="1E7005AC"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Proportion of women and persons with disabilities participating</w:t>
            </w:r>
          </w:p>
          <w:p w14:paraId="4A965C0B"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Participant satisfaction with inclusiveness and fairness</w:t>
            </w:r>
          </w:p>
          <w:p w14:paraId="0555F38E" w14:textId="77777777" w:rsidR="00902F90" w:rsidRPr="00766D53" w:rsidRDefault="00902F90" w:rsidP="00504B06">
            <w:pPr>
              <w:pStyle w:val="ListParagraph"/>
              <w:numPr>
                <w:ilvl w:val="0"/>
                <w:numId w:val="84"/>
              </w:numPr>
              <w:suppressAutoHyphens w:val="0"/>
              <w:spacing w:before="0" w:after="0" w:line="240" w:lineRule="auto"/>
              <w:ind w:left="158" w:hanging="136"/>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Qualitative assessment of perceived empowerment of women and people with disability</w:t>
            </w:r>
          </w:p>
        </w:tc>
        <w:tc>
          <w:tcPr>
            <w:tcW w:w="1701" w:type="dxa"/>
            <w:hideMark/>
          </w:tcPr>
          <w:p w14:paraId="4D6D5518"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Event records; attendance lists; participant feedback surveys; meeting minutes; WGI dataset</w:t>
            </w:r>
          </w:p>
        </w:tc>
        <w:tc>
          <w:tcPr>
            <w:tcW w:w="1560" w:type="dxa"/>
            <w:hideMark/>
          </w:tcPr>
          <w:p w14:paraId="766650A2"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Reliable participation records; willingness to provide feedback; global indices updated annually</w:t>
            </w:r>
          </w:p>
        </w:tc>
        <w:tc>
          <w:tcPr>
            <w:tcW w:w="1134" w:type="dxa"/>
            <w:hideMark/>
          </w:tcPr>
          <w:p w14:paraId="4E304BAA"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Baseline diversity index Year 1</w:t>
            </w:r>
          </w:p>
        </w:tc>
        <w:tc>
          <w:tcPr>
            <w:tcW w:w="1706" w:type="dxa"/>
            <w:hideMark/>
          </w:tcPr>
          <w:p w14:paraId="2DD3997E"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20% increase in participation diversity; 70% dialogues with follow-up actions; improvement in satisfaction</w:t>
            </w:r>
          </w:p>
        </w:tc>
        <w:tc>
          <w:tcPr>
            <w:tcW w:w="1526" w:type="dxa"/>
            <w:hideMark/>
          </w:tcPr>
          <w:p w14:paraId="29B43D5C" w14:textId="77777777" w:rsidR="00902F90" w:rsidRPr="00766D53" w:rsidRDefault="00902F90">
            <w:pPr>
              <w:suppressAutoHyphens w:val="0"/>
              <w:spacing w:before="0" w:after="0" w:line="240" w:lineRule="auto"/>
              <w:rPr>
                <w:rFonts w:asciiTheme="minorHAnsi" w:eastAsia="Times New Roman" w:hAnsiTheme="minorHAnsi" w:cstheme="minorHAnsi"/>
                <w:sz w:val="20"/>
                <w:szCs w:val="20"/>
                <w:lang w:val="en-AU"/>
              </w:rPr>
            </w:pPr>
            <w:r w:rsidRPr="00766D53">
              <w:rPr>
                <w:rFonts w:asciiTheme="minorHAnsi" w:eastAsia="Times New Roman" w:hAnsiTheme="minorHAnsi" w:cstheme="minorHAnsi"/>
                <w:sz w:val="20"/>
                <w:szCs w:val="20"/>
                <w:lang w:val="en-AU"/>
              </w:rPr>
              <w:t>DFAT MEL team; implementers; CSOs and state agencies</w:t>
            </w:r>
          </w:p>
        </w:tc>
      </w:tr>
    </w:tbl>
    <w:p w14:paraId="355E733E" w14:textId="77777777" w:rsidR="00902F90" w:rsidRDefault="00902F90" w:rsidP="00902F90">
      <w:pPr>
        <w:rPr>
          <w:rFonts w:eastAsia="Times New Roman" w:cs="Times New Roman"/>
          <w:sz w:val="21"/>
          <w:lang w:val="en-AU"/>
        </w:rPr>
        <w:sectPr w:rsidR="00902F90" w:rsidSect="00902F90">
          <w:pgSz w:w="16838" w:h="11906" w:orient="landscape" w:code="9"/>
          <w:pgMar w:top="1134" w:right="1418" w:bottom="1134" w:left="1701" w:header="425" w:footer="493" w:gutter="0"/>
          <w:cols w:space="397"/>
          <w:titlePg/>
          <w:docGrid w:linePitch="360"/>
        </w:sectPr>
      </w:pPr>
    </w:p>
    <w:p w14:paraId="0377F290" w14:textId="4B4835DA" w:rsidR="00902F90" w:rsidRPr="007537A2" w:rsidRDefault="00902F90" w:rsidP="008A6518">
      <w:pPr>
        <w:pStyle w:val="Heading2"/>
        <w:spacing w:before="0"/>
      </w:pPr>
      <w:bookmarkStart w:id="323" w:name="_Annex_N:_GEDSI"/>
      <w:bookmarkStart w:id="324" w:name="_Annex_I:_Cross-Cutting"/>
      <w:bookmarkStart w:id="325" w:name="AnnexI"/>
      <w:bookmarkStart w:id="326" w:name="_Toc232524304"/>
      <w:bookmarkEnd w:id="323"/>
      <w:bookmarkEnd w:id="324"/>
      <w:r w:rsidRPr="0016666E">
        <w:lastRenderedPageBreak/>
        <w:t>Anne</w:t>
      </w:r>
      <w:bookmarkStart w:id="327" w:name="AnnexN"/>
      <w:bookmarkEnd w:id="327"/>
      <w:r w:rsidRPr="0016666E">
        <w:t xml:space="preserve">x </w:t>
      </w:r>
      <w:r w:rsidR="00DA29FD" w:rsidRPr="0016666E">
        <w:t>I</w:t>
      </w:r>
      <w:bookmarkEnd w:id="325"/>
      <w:r w:rsidRPr="0016666E">
        <w:t>: Cross-Cutting Themes Analysis</w:t>
      </w:r>
      <w:bookmarkEnd w:id="326"/>
    </w:p>
    <w:p w14:paraId="2BA12B0C" w14:textId="77777777" w:rsidR="00902F90" w:rsidRDefault="00902F90" w:rsidP="00902F90">
      <w:pPr>
        <w:rPr>
          <w:rFonts w:cstheme="minorHAnsi"/>
          <w:szCs w:val="21"/>
        </w:rPr>
      </w:pPr>
      <w:r w:rsidRPr="002703CA">
        <w:rPr>
          <w:rFonts w:cstheme="minorHAnsi"/>
          <w:szCs w:val="21"/>
        </w:rPr>
        <w:t xml:space="preserve">This </w:t>
      </w:r>
      <w:r>
        <w:rPr>
          <w:rFonts w:cstheme="minorHAnsi"/>
          <w:szCs w:val="21"/>
        </w:rPr>
        <w:t>A</w:t>
      </w:r>
      <w:r w:rsidRPr="002703CA">
        <w:rPr>
          <w:rFonts w:cstheme="minorHAnsi"/>
          <w:szCs w:val="21"/>
        </w:rPr>
        <w:t xml:space="preserve">nnex provides a comprehensive analysis of Gender Equality, Disability, and Social Inclusion (GEDSI) </w:t>
      </w:r>
      <w:r>
        <w:rPr>
          <w:rFonts w:cstheme="minorHAnsi"/>
          <w:szCs w:val="21"/>
        </w:rPr>
        <w:t xml:space="preserve">and other cross-cutting issues </w:t>
      </w:r>
      <w:r w:rsidRPr="002703CA">
        <w:rPr>
          <w:rFonts w:cstheme="minorHAnsi"/>
          <w:szCs w:val="21"/>
        </w:rPr>
        <w:t xml:space="preserve">context and key considerations guiding the design of </w:t>
      </w:r>
      <w:proofErr w:type="spellStart"/>
      <w:r w:rsidRPr="00D84A7F">
        <w:t>Partisipasi</w:t>
      </w:r>
      <w:proofErr w:type="spellEnd"/>
      <w:r w:rsidRPr="002703CA">
        <w:rPr>
          <w:rFonts w:cstheme="minorHAnsi"/>
          <w:szCs w:val="21"/>
        </w:rPr>
        <w:t xml:space="preserve">. It synthesises relevant quantitative and qualitative evidence, national policy frameworks, international commitments, and insights from in-country consultations to assess systemic barriers and propose practical, evidence-based strategies for embedding meaningful and practical GEDSI enhancements that will contribute to strengthening Indonesia’s democratic </w:t>
      </w:r>
      <w:r>
        <w:rPr>
          <w:rFonts w:cstheme="minorHAnsi"/>
          <w:szCs w:val="21"/>
        </w:rPr>
        <w:t>resilience.</w:t>
      </w:r>
      <w:r w:rsidRPr="002703CA">
        <w:rPr>
          <w:rFonts w:cstheme="minorHAnsi"/>
          <w:szCs w:val="21"/>
        </w:rPr>
        <w:t xml:space="preserve"> </w:t>
      </w:r>
    </w:p>
    <w:p w14:paraId="60FD2FB1" w14:textId="7D8654E0" w:rsidR="00902F90" w:rsidRPr="002703CA" w:rsidRDefault="00902F90" w:rsidP="00902F90">
      <w:pPr>
        <w:spacing w:after="120"/>
      </w:pPr>
      <w:r w:rsidRPr="00B57CB6">
        <w:rPr>
          <w:rStyle w:val="Heading3Char"/>
          <w:bCs w:val="0"/>
        </w:rPr>
        <w:t>Gender Equality, Disability, and Social Inclusion</w:t>
      </w:r>
      <w:r>
        <w:br/>
        <w:t>The analysis presented below aligns with DFAT standards, including the GEDSI Analysis Good Practice Note, Gender Equality in Monitoring and Evaluation and Reporting Good Practice Note, and the Gender Equity Strategy, among others. It considers structural and institutional barriers in detail and</w:t>
      </w:r>
      <w:r w:rsidRPr="544147C3">
        <w:t xml:space="preserve"> conceptualises GEDSI as a core mechanism for advancing democratic resilience, ensuring that civic and institutions actors reflect and include the diverse perspectives of </w:t>
      </w:r>
      <w:r>
        <w:t xml:space="preserve">marginalised groups in Indonesia, including women, </w:t>
      </w:r>
      <w:r w:rsidR="0034493F">
        <w:t xml:space="preserve">people </w:t>
      </w:r>
      <w:r>
        <w:t>with disabilities</w:t>
      </w:r>
      <w:r w:rsidR="00DD699C">
        <w:t xml:space="preserve"> and </w:t>
      </w:r>
      <w:r>
        <w:t>youth</w:t>
      </w:r>
      <w:r w:rsidR="0034493F">
        <w:t>s</w:t>
      </w:r>
      <w:r>
        <w:t>.</w:t>
      </w:r>
    </w:p>
    <w:p w14:paraId="53AA838D" w14:textId="77777777" w:rsidR="00902F90" w:rsidRPr="001056FB" w:rsidRDefault="00902F90" w:rsidP="00902F90">
      <w:pPr>
        <w:pStyle w:val="Heading5"/>
      </w:pPr>
      <w:r w:rsidRPr="001056FB">
        <w:t>Gender Equity</w:t>
      </w:r>
    </w:p>
    <w:p w14:paraId="4F859F40" w14:textId="1AA3CF4D" w:rsidR="00902F90" w:rsidRPr="002703CA" w:rsidRDefault="00902F90" w:rsidP="00902F90">
      <w:r w:rsidRPr="5261E5B3">
        <w:t xml:space="preserve">Indonesia’s commitment to gender equality is strongly implied by the text of its 1945 </w:t>
      </w:r>
      <w:r w:rsidR="00DC1A37">
        <w:t>C</w:t>
      </w:r>
      <w:r w:rsidRPr="5261E5B3">
        <w:t xml:space="preserve">onstitution, and in particular Article 27 which asserts that </w:t>
      </w:r>
      <w:r>
        <w:t>‘</w:t>
      </w:r>
      <w:r w:rsidRPr="37D0437D">
        <w:rPr>
          <w:i/>
          <w:iCs/>
        </w:rPr>
        <w:t>All citizens are equal before the law and in government and duty to respect the law and government, with no exceptions</w:t>
      </w:r>
      <w:r>
        <w:rPr>
          <w:szCs w:val="21"/>
        </w:rPr>
        <w:t>’</w:t>
      </w:r>
      <w:r w:rsidRPr="648A9D0C">
        <w:rPr>
          <w:szCs w:val="21"/>
        </w:rPr>
        <w:t>.</w:t>
      </w:r>
      <w:r w:rsidRPr="5261E5B3">
        <w:rPr>
          <w:rStyle w:val="FootnoteReference"/>
        </w:rPr>
        <w:footnoteReference w:id="16"/>
      </w:r>
      <w:r w:rsidRPr="5261E5B3">
        <w:t xml:space="preserve"> Indonesia had likewise signed and ratified CEDAW in 1984, almost </w:t>
      </w:r>
      <w:r w:rsidR="00436BE2">
        <w:t>15</w:t>
      </w:r>
      <w:r w:rsidR="00436BE2" w:rsidRPr="5261E5B3">
        <w:t xml:space="preserve"> </w:t>
      </w:r>
      <w:r w:rsidRPr="5261E5B3">
        <w:t xml:space="preserve">years prior to </w:t>
      </w:r>
      <w:r w:rsidR="00436BE2">
        <w:rPr>
          <w:i/>
          <w:iCs/>
        </w:rPr>
        <w:t>r</w:t>
      </w:r>
      <w:r w:rsidRPr="00C5377B">
        <w:rPr>
          <w:i/>
          <w:iCs/>
        </w:rPr>
        <w:t>eformasi</w:t>
      </w:r>
      <w:r w:rsidRPr="5261E5B3">
        <w:t>. More recent national policy and legal frameworks such as the Gender Mainstreaming Strategy, Presidential Instruction No. 9/2000, and the Long-Term, and Medium-Term National Development Plans all articulate specific gender equity objectives, particularly in relation to poverty reduction, education, health, and governance.</w:t>
      </w:r>
    </w:p>
    <w:p w14:paraId="7CE2D831" w14:textId="2442A291" w:rsidR="00902F90" w:rsidRPr="002703CA" w:rsidRDefault="00902F90" w:rsidP="00902F90">
      <w:r w:rsidRPr="004A632A">
        <w:rPr>
          <w:rFonts w:cstheme="minorHAnsi"/>
          <w:szCs w:val="21"/>
        </w:rPr>
        <w:t xml:space="preserve">Notwithstanding these conducive structural settings, significant inequalities persist between men and women, and </w:t>
      </w:r>
      <w:proofErr w:type="spellStart"/>
      <w:r w:rsidRPr="004A632A">
        <w:t>intersectionally</w:t>
      </w:r>
      <w:proofErr w:type="spellEnd"/>
      <w:r w:rsidRPr="004A632A">
        <w:rPr>
          <w:rFonts w:cstheme="minorHAnsi"/>
          <w:szCs w:val="21"/>
        </w:rPr>
        <w:t xml:space="preserve"> among women of different social strata, geographic location, ability status, and </w:t>
      </w:r>
      <w:r w:rsidRPr="00990A4E">
        <w:rPr>
          <w:rFonts w:cstheme="minorHAnsi"/>
          <w:szCs w:val="21"/>
        </w:rPr>
        <w:t>sexual orientation.</w:t>
      </w:r>
      <w:r w:rsidRPr="004A632A">
        <w:rPr>
          <w:rFonts w:cstheme="minorHAnsi"/>
          <w:szCs w:val="21"/>
        </w:rPr>
        <w:t xml:space="preserve"> </w:t>
      </w:r>
      <w:r w:rsidRPr="004A632A">
        <w:t>For instance, women remain significantly under</w:t>
      </w:r>
      <w:r w:rsidR="005B37F2" w:rsidRPr="004A632A">
        <w:t>-</w:t>
      </w:r>
      <w:r w:rsidRPr="004A632A">
        <w:t>represented in the executive, judicial, and legislative branches of government. Despite increasing almost threefold since 2000, only 21.1</w:t>
      </w:r>
      <w:r w:rsidR="00791F3A" w:rsidRPr="004A632A">
        <w:t>%</w:t>
      </w:r>
      <w:r w:rsidRPr="004A632A">
        <w:t xml:space="preserve"> of national parliamentary seats </w:t>
      </w:r>
      <w:r w:rsidR="00337E16" w:rsidRPr="004A632A">
        <w:t xml:space="preserve">are </w:t>
      </w:r>
      <w:r w:rsidRPr="004A632A">
        <w:t>held by women, lagging both regional and global averages.</w:t>
      </w:r>
      <w:r w:rsidRPr="004A632A">
        <w:rPr>
          <w:rStyle w:val="FootnoteReference"/>
        </w:rPr>
        <w:footnoteReference w:id="17"/>
      </w:r>
      <w:r w:rsidRPr="004A632A">
        <w:t xml:space="preserve"> Quota systems that require political parties to ensure 30</w:t>
      </w:r>
      <w:r w:rsidR="00791F3A" w:rsidRPr="004A632A">
        <w:t>%</w:t>
      </w:r>
      <w:r w:rsidRPr="004A632A">
        <w:t xml:space="preserve"> of their candidates are women exist, but </w:t>
      </w:r>
      <w:r w:rsidR="005528F4" w:rsidRPr="004A632A">
        <w:t xml:space="preserve">are </w:t>
      </w:r>
      <w:r w:rsidR="00337E16" w:rsidRPr="004A632A">
        <w:t>often not implemented</w:t>
      </w:r>
      <w:r w:rsidR="009868CC" w:rsidRPr="004A632A">
        <w:t xml:space="preserve"> </w:t>
      </w:r>
      <w:r w:rsidR="005528F4" w:rsidRPr="004A632A">
        <w:t>or enforced</w:t>
      </w:r>
      <w:r w:rsidRPr="004A632A">
        <w:t>, particularly at the subnational level.</w:t>
      </w:r>
      <w:r w:rsidRPr="004A632A">
        <w:rPr>
          <w:rStyle w:val="FootnoteReference"/>
        </w:rPr>
        <w:footnoteReference w:id="18"/>
      </w:r>
      <w:r w:rsidRPr="004A632A">
        <w:t xml:space="preserve"> This inadequate representation limits women’s abilit</w:t>
      </w:r>
      <w:r w:rsidR="00FA542D" w:rsidRPr="004A632A">
        <w:t>ies</w:t>
      </w:r>
      <w:r w:rsidRPr="004A632A">
        <w:t xml:space="preserve"> to shape critical legislation and policies that affect all citizens. For instance, less than half of all Parliamentary Committees include women in their leadership; roles that are vital for setting legislative agendas, convening hearings on draft laws, and engaging in substantive debates during the lawmaking process.</w:t>
      </w:r>
      <w:r w:rsidRPr="004A632A">
        <w:rPr>
          <w:rStyle w:val="FootnoteReference"/>
        </w:rPr>
        <w:footnoteReference w:id="19"/>
      </w:r>
    </w:p>
    <w:p w14:paraId="6859A213" w14:textId="77777777" w:rsidR="005528F4" w:rsidRDefault="00902F90" w:rsidP="00902F90">
      <w:r w:rsidRPr="5261E5B3">
        <w:t>Gender-based violence (GBV) remains endemic, with almost 30</w:t>
      </w:r>
      <w:r w:rsidR="00791F3A">
        <w:t>%</w:t>
      </w:r>
      <w:r w:rsidRPr="5261E5B3">
        <w:t xml:space="preserve"> of all women aged 15</w:t>
      </w:r>
      <w:r w:rsidR="00791F3A">
        <w:t>–</w:t>
      </w:r>
      <w:r w:rsidRPr="5261E5B3">
        <w:t xml:space="preserve">64 </w:t>
      </w:r>
      <w:r w:rsidR="00791F3A">
        <w:t xml:space="preserve">years </w:t>
      </w:r>
      <w:r w:rsidRPr="5261E5B3">
        <w:t>experiencing violence in their lifetime</w:t>
      </w:r>
      <w:r w:rsidRPr="5261E5B3">
        <w:rPr>
          <w:rStyle w:val="FootnoteReference"/>
        </w:rPr>
        <w:footnoteReference w:id="20"/>
      </w:r>
      <w:r w:rsidRPr="5261E5B3">
        <w:t>, and almost 9</w:t>
      </w:r>
      <w:r w:rsidR="00791F3A">
        <w:t>%</w:t>
      </w:r>
      <w:r w:rsidRPr="5261E5B3">
        <w:t xml:space="preserve"> of women aged 15</w:t>
      </w:r>
      <w:r w:rsidR="00791F3A">
        <w:t>–</w:t>
      </w:r>
      <w:r w:rsidRPr="5261E5B3">
        <w:t xml:space="preserve">49 </w:t>
      </w:r>
      <w:r w:rsidR="00791F3A">
        <w:t xml:space="preserve">years </w:t>
      </w:r>
      <w:r w:rsidRPr="5261E5B3">
        <w:t>subjected to physical and/or sexual violence by a current or former intimate partner on an annual basis.</w:t>
      </w:r>
      <w:r w:rsidRPr="5261E5B3">
        <w:rPr>
          <w:rStyle w:val="FootnoteReference"/>
        </w:rPr>
        <w:footnoteReference w:id="21"/>
      </w:r>
      <w:r w:rsidRPr="5261E5B3">
        <w:t xml:space="preserve"> According to </w:t>
      </w:r>
      <w:proofErr w:type="spellStart"/>
      <w:r w:rsidRPr="5261E5B3">
        <w:t>Komnas</w:t>
      </w:r>
      <w:proofErr w:type="spellEnd"/>
      <w:r w:rsidRPr="5261E5B3">
        <w:t xml:space="preserve"> Perempuan, over 400,000 cases of violence against women were reported in 2023.</w:t>
      </w:r>
      <w:r w:rsidRPr="5261E5B3">
        <w:rPr>
          <w:rStyle w:val="FootnoteReference"/>
        </w:rPr>
        <w:t xml:space="preserve"> </w:t>
      </w:r>
      <w:r w:rsidRPr="5261E5B3">
        <w:rPr>
          <w:rStyle w:val="FootnoteReference"/>
        </w:rPr>
        <w:footnoteReference w:id="22"/>
      </w:r>
      <w:r w:rsidRPr="5261E5B3">
        <w:t xml:space="preserve"> Although this represented a year-on-year decrease, many thousands of cases likely went under</w:t>
      </w:r>
      <w:r w:rsidR="005B37F2">
        <w:t>-</w:t>
      </w:r>
      <w:r w:rsidRPr="5261E5B3">
        <w:t>reported, leaving the true prevalence rate unknown.</w:t>
      </w:r>
      <w:r w:rsidRPr="5261E5B3">
        <w:rPr>
          <w:rStyle w:val="FootnoteReference"/>
        </w:rPr>
        <w:footnoteReference w:id="23"/>
      </w:r>
      <w:r w:rsidRPr="5261E5B3">
        <w:t xml:space="preserve"> </w:t>
      </w:r>
      <w:r w:rsidRPr="5261E5B3">
        <w:lastRenderedPageBreak/>
        <w:t>Social norms that implicitly facilitate GBV remain prevalent; in 2017, over 30</w:t>
      </w:r>
      <w:r w:rsidR="00791F3A">
        <w:t>%</w:t>
      </w:r>
      <w:r w:rsidRPr="5261E5B3">
        <w:t xml:space="preserve"> of women agreed that a </w:t>
      </w:r>
      <w:r>
        <w:t>‘</w:t>
      </w:r>
      <w:r w:rsidRPr="5261E5B3">
        <w:t>husband is justified in beating his wife</w:t>
      </w:r>
      <w:r>
        <w:t>’</w:t>
      </w:r>
      <w:r w:rsidRPr="5261E5B3">
        <w:t xml:space="preserve"> for any of </w:t>
      </w:r>
      <w:r w:rsidR="00791F3A">
        <w:t>5</w:t>
      </w:r>
      <w:r w:rsidR="00791F3A" w:rsidRPr="5261E5B3">
        <w:t xml:space="preserve"> </w:t>
      </w:r>
      <w:r w:rsidRPr="5261E5B3">
        <w:t xml:space="preserve">reasons, including </w:t>
      </w:r>
      <w:r>
        <w:t>‘</w:t>
      </w:r>
      <w:r w:rsidRPr="5261E5B3">
        <w:t>burn[</w:t>
      </w:r>
      <w:proofErr w:type="spellStart"/>
      <w:r w:rsidRPr="5261E5B3">
        <w:t>ing</w:t>
      </w:r>
      <w:proofErr w:type="spellEnd"/>
      <w:r w:rsidRPr="5261E5B3">
        <w:t>] the food</w:t>
      </w:r>
      <w:r>
        <w:t>’</w:t>
      </w:r>
      <w:r w:rsidRPr="5261E5B3">
        <w:t xml:space="preserve">, </w:t>
      </w:r>
      <w:r>
        <w:t>‘</w:t>
      </w:r>
      <w:r w:rsidRPr="5261E5B3">
        <w:t>refusing sex</w:t>
      </w:r>
      <w:r>
        <w:t>’</w:t>
      </w:r>
      <w:r w:rsidRPr="5261E5B3">
        <w:t xml:space="preserve">, and </w:t>
      </w:r>
      <w:r>
        <w:t>‘</w:t>
      </w:r>
      <w:r w:rsidRPr="5261E5B3">
        <w:t>go[</w:t>
      </w:r>
      <w:proofErr w:type="spellStart"/>
      <w:r w:rsidRPr="5261E5B3">
        <w:t>ing</w:t>
      </w:r>
      <w:proofErr w:type="spellEnd"/>
      <w:r w:rsidRPr="5261E5B3">
        <w:t>] out without telling him</w:t>
      </w:r>
      <w:r>
        <w:t>’</w:t>
      </w:r>
      <w:r w:rsidRPr="5261E5B3">
        <w:t>.</w:t>
      </w:r>
      <w:r w:rsidRPr="5261E5B3">
        <w:rPr>
          <w:rStyle w:val="FootnoteReference"/>
        </w:rPr>
        <w:footnoteReference w:id="24"/>
      </w:r>
      <w:r w:rsidRPr="5261E5B3">
        <w:t xml:space="preserve"> </w:t>
      </w:r>
    </w:p>
    <w:p w14:paraId="258CB99A" w14:textId="7E13BD06" w:rsidR="00902F90" w:rsidRPr="002703CA" w:rsidRDefault="00902F90" w:rsidP="00902F90">
      <w:r w:rsidRPr="003C5DB4">
        <w:t xml:space="preserve">The passage of the 2022 Law on Sexual Violence Crimes (UU TPKS) marked a significant milestone in Indonesia’s legal and gender justice landscape, following over a decade of advocacy, public debate, and resistance rooted in </w:t>
      </w:r>
      <w:r w:rsidRPr="00990A4E">
        <w:t xml:space="preserve">conservative interpretations of </w:t>
      </w:r>
      <w:r w:rsidR="003C5DB4" w:rsidRPr="00990A4E">
        <w:t xml:space="preserve">religious </w:t>
      </w:r>
      <w:r w:rsidRPr="00990A4E">
        <w:t>teachings</w:t>
      </w:r>
      <w:r w:rsidRPr="003C5DB4">
        <w:t>.</w:t>
      </w:r>
      <w:r w:rsidRPr="003C5DB4">
        <w:rPr>
          <w:rStyle w:val="FootnoteReference"/>
        </w:rPr>
        <w:footnoteReference w:id="25"/>
      </w:r>
      <w:r w:rsidRPr="003C5DB4">
        <w:t xml:space="preserve"> Although the law represents hard-won progress for women’s safety and autonomy, its implementation remains deeply uneven. Survivors continue to face stigma, inadequate institutional support, and barriers to justice, especially outside urban centres, where the national complaint mechanism is largely inaccessible.</w:t>
      </w:r>
      <w:r w:rsidRPr="003C5DB4">
        <w:rPr>
          <w:rStyle w:val="FootnoteReference"/>
        </w:rPr>
        <w:footnoteReference w:id="26"/>
      </w:r>
      <w:r w:rsidRPr="003C5DB4">
        <w:t xml:space="preserve"> CSOs report that </w:t>
      </w:r>
      <w:r w:rsidRPr="00990A4E">
        <w:t>public officials often treat cases bureaucratically, with minimal oversight and limited commitment to due process.</w:t>
      </w:r>
      <w:r w:rsidRPr="003C5DB4">
        <w:rPr>
          <w:rStyle w:val="FootnoteReference"/>
        </w:rPr>
        <w:footnoteReference w:id="27"/>
      </w:r>
      <w:r w:rsidRPr="648A9D0C">
        <w:rPr>
          <w:szCs w:val="21"/>
        </w:rPr>
        <w:t xml:space="preserve"> </w:t>
      </w:r>
    </w:p>
    <w:p w14:paraId="22B90EB5" w14:textId="1C57E062" w:rsidR="00902F90" w:rsidRPr="002703CA" w:rsidRDefault="00902F90" w:rsidP="00902F90">
      <w:r w:rsidRPr="5261E5B3">
        <w:t>Likewise</w:t>
      </w:r>
      <w:r w:rsidR="00A86DE6">
        <w:t>,</w:t>
      </w:r>
      <w:r w:rsidRPr="5261E5B3">
        <w:t xml:space="preserve"> economic empowerment through equitable market participation remains elusive for many Indonesian women, and especially those in comparatively poorer, predominantly eastern provinces. Labour force participation rates for women (54.52</w:t>
      </w:r>
      <w:r w:rsidR="00791F3A">
        <w:t>%</w:t>
      </w:r>
      <w:r w:rsidRPr="5261E5B3">
        <w:t>) continue to significantly trail that of men (83.26</w:t>
      </w:r>
      <w:r w:rsidR="00791F3A">
        <w:t>%</w:t>
      </w:r>
      <w:r w:rsidRPr="5261E5B3">
        <w:t>), and women are disproportionately employed in informal, low-paid, or precarious jobs.</w:t>
      </w:r>
      <w:r w:rsidRPr="5261E5B3">
        <w:rPr>
          <w:rStyle w:val="FootnoteReference"/>
        </w:rPr>
        <w:footnoteReference w:id="28"/>
      </w:r>
      <w:r w:rsidRPr="5261E5B3">
        <w:rPr>
          <w:vertAlign w:val="superscript"/>
        </w:rPr>
        <w:t>,</w:t>
      </w:r>
      <w:r w:rsidRPr="5261E5B3">
        <w:rPr>
          <w:rStyle w:val="FootnoteReference"/>
        </w:rPr>
        <w:footnoteReference w:id="29"/>
      </w:r>
      <w:r w:rsidRPr="5261E5B3">
        <w:t xml:space="preserve"> These structural inequalities are compounded by limited access to productive assets such as land, credit, and training, especially for women entrepreneurs and rural workers. Significant and unequally shared unpaid care responsibilities further restrict women’s time and mobility, limiting their ability to engage not only in economic activities but also in civic and political life.</w:t>
      </w:r>
    </w:p>
    <w:p w14:paraId="3075ED5A" w14:textId="7837C74D" w:rsidR="00902F90" w:rsidRPr="001F59B2" w:rsidRDefault="00902F90" w:rsidP="00902F90">
      <w:r w:rsidRPr="5261E5B3">
        <w:t>The digital divide also poses a growing threat to gender equity within democratic spaces. Although internet penetration is increasing, significant gaps in access and digital literacy persist, especially in rural and low-income regions, and for more elderly women.</w:t>
      </w:r>
      <w:r w:rsidRPr="5261E5B3">
        <w:rPr>
          <w:vertAlign w:val="superscript"/>
        </w:rPr>
        <w:footnoteReference w:id="30"/>
      </w:r>
      <w:r w:rsidR="00025BB8">
        <w:t xml:space="preserve"> </w:t>
      </w:r>
      <w:r w:rsidRPr="5261E5B3">
        <w:t>Women are also disproportionately exposed to gendered online harassment, including sexist trolling, non-consensual image sharing, stalking, and rape threats, which deter them from participating in civic discourse online. Campaigns of gendered dis</w:t>
      </w:r>
      <w:r w:rsidR="00025BB8">
        <w:t>/mis</w:t>
      </w:r>
      <w:r w:rsidRPr="5261E5B3">
        <w:t>information, targeting female political candidates and activists with sexist rumours, objectification, and reputational attacks, have surged in both frequency and severity, with significant implications for democratic representation.</w:t>
      </w:r>
      <w:r w:rsidRPr="5261E5B3">
        <w:rPr>
          <w:vertAlign w:val="superscript"/>
        </w:rPr>
        <w:footnoteReference w:id="31"/>
      </w:r>
    </w:p>
    <w:p w14:paraId="371F66FE" w14:textId="77777777" w:rsidR="00902F90" w:rsidRPr="002703CA" w:rsidRDefault="00902F90" w:rsidP="00902F90">
      <w:pPr>
        <w:pStyle w:val="Heading5"/>
      </w:pPr>
      <w:r w:rsidRPr="002703CA">
        <w:t xml:space="preserve">Disability </w:t>
      </w:r>
      <w:r>
        <w:t>Equity</w:t>
      </w:r>
    </w:p>
    <w:p w14:paraId="4ABEFB2F" w14:textId="7247D5BB" w:rsidR="00902F90" w:rsidRPr="002703CA" w:rsidRDefault="00902F90" w:rsidP="00902F90">
      <w:pPr>
        <w:rPr>
          <w:rFonts w:cstheme="minorHAnsi"/>
          <w:szCs w:val="21"/>
        </w:rPr>
      </w:pPr>
      <w:r w:rsidRPr="002703CA">
        <w:rPr>
          <w:rFonts w:cstheme="minorHAnsi"/>
          <w:szCs w:val="21"/>
        </w:rPr>
        <w:t xml:space="preserve">Since </w:t>
      </w:r>
      <w:r w:rsidR="00436BE2">
        <w:rPr>
          <w:rFonts w:cstheme="minorHAnsi"/>
          <w:i/>
          <w:iCs/>
          <w:szCs w:val="21"/>
        </w:rPr>
        <w:t>r</w:t>
      </w:r>
      <w:r w:rsidRPr="00C5377B">
        <w:rPr>
          <w:rFonts w:cstheme="minorHAnsi"/>
          <w:i/>
          <w:iCs/>
          <w:szCs w:val="21"/>
        </w:rPr>
        <w:t>eformasi</w:t>
      </w:r>
      <w:r w:rsidRPr="002703CA">
        <w:rPr>
          <w:rFonts w:cstheme="minorHAnsi"/>
          <w:szCs w:val="21"/>
        </w:rPr>
        <w:t xml:space="preserve">, Indonesia has taken important legislative steps to support the rights of persons with disabilities, including the ratification of the </w:t>
      </w:r>
      <w:r w:rsidRPr="0067283D">
        <w:rPr>
          <w:rFonts w:cstheme="minorHAnsi"/>
          <w:i/>
          <w:iCs/>
          <w:szCs w:val="21"/>
        </w:rPr>
        <w:t>UN Convention on the Rights of Persons with Disabilities</w:t>
      </w:r>
      <w:r w:rsidRPr="002703CA">
        <w:rPr>
          <w:rFonts w:cstheme="minorHAnsi"/>
          <w:szCs w:val="21"/>
        </w:rPr>
        <w:t xml:space="preserve"> in 2011, and the passage of the </w:t>
      </w:r>
      <w:r w:rsidRPr="0067283D">
        <w:rPr>
          <w:rFonts w:cstheme="minorHAnsi"/>
          <w:i/>
          <w:iCs/>
          <w:szCs w:val="21"/>
        </w:rPr>
        <w:t>National Law on Persons with Disabilities</w:t>
      </w:r>
      <w:r w:rsidRPr="002703CA">
        <w:rPr>
          <w:rFonts w:cstheme="minorHAnsi"/>
          <w:szCs w:val="21"/>
        </w:rPr>
        <w:t xml:space="preserve"> (Law No. 8/2016). Consistent with the implied freedoms </w:t>
      </w:r>
      <w:r w:rsidRPr="45A14132">
        <w:t xml:space="preserve">stated </w:t>
      </w:r>
      <w:r w:rsidRPr="002703CA">
        <w:rPr>
          <w:rFonts w:cstheme="minorHAnsi"/>
          <w:szCs w:val="21"/>
        </w:rPr>
        <w:t xml:space="preserve">in the Constitution, this law mandates equal rights and non-discrimination across education, employment, and political participation for people with disabilities. </w:t>
      </w:r>
    </w:p>
    <w:p w14:paraId="1BB71CE8" w14:textId="29079391" w:rsidR="00902F90" w:rsidRPr="002703CA" w:rsidRDefault="00902F90" w:rsidP="00902F90">
      <w:r w:rsidRPr="5261E5B3">
        <w:t>Despite these improved legal and policy settings, substantial barriers to inclusive democratic participation remain. Official estimates of disability prevalence vary (typically ranging between 2</w:t>
      </w:r>
      <w:r w:rsidR="00791F3A">
        <w:t>–</w:t>
      </w:r>
      <w:r w:rsidRPr="5261E5B3">
        <w:t>11</w:t>
      </w:r>
      <w:r w:rsidR="00791F3A">
        <w:t>%</w:t>
      </w:r>
      <w:r w:rsidRPr="5261E5B3">
        <w:t>) and are likely subject to significant under</w:t>
      </w:r>
      <w:r w:rsidR="005B37F2">
        <w:t>-</w:t>
      </w:r>
      <w:r w:rsidRPr="5261E5B3">
        <w:t>reporting. Census data collected in 2020 suggests that at least 10 million Indonesians, or approximately 4.3</w:t>
      </w:r>
      <w:r w:rsidR="00791F3A">
        <w:t>%</w:t>
      </w:r>
      <w:r w:rsidRPr="5261E5B3">
        <w:t xml:space="preserve"> of the population, live with some form of disability.</w:t>
      </w:r>
      <w:r w:rsidRPr="5261E5B3">
        <w:rPr>
          <w:rStyle w:val="FootnoteReference"/>
        </w:rPr>
        <w:footnoteReference w:id="32"/>
      </w:r>
      <w:r w:rsidRPr="5261E5B3">
        <w:t xml:space="preserve"> More than </w:t>
      </w:r>
      <w:r w:rsidR="00791F3A">
        <w:t>8</w:t>
      </w:r>
      <w:r w:rsidR="00791F3A" w:rsidRPr="5261E5B3">
        <w:t xml:space="preserve"> </w:t>
      </w:r>
      <w:r w:rsidRPr="5261E5B3">
        <w:t>million households, or 13.3</w:t>
      </w:r>
      <w:r w:rsidR="00791F3A">
        <w:t>%</w:t>
      </w:r>
      <w:r w:rsidRPr="5261E5B3">
        <w:t>, include at least one person with a disability, underscoring the wide-reaching impacts on families and communities as well as individuals.</w:t>
      </w:r>
      <w:r w:rsidRPr="5261E5B3">
        <w:rPr>
          <w:rStyle w:val="FootnoteReference"/>
        </w:rPr>
        <w:footnoteReference w:id="33"/>
      </w:r>
      <w:r w:rsidRPr="5261E5B3">
        <w:t xml:space="preserve"> Women experience slightly higher disability rates than men, and a </w:t>
      </w:r>
      <w:r w:rsidRPr="5261E5B3">
        <w:lastRenderedPageBreak/>
        <w:t>greater proportion of people with disabilities are under the age of 65</w:t>
      </w:r>
      <w:r w:rsidR="00791F3A">
        <w:t xml:space="preserve"> years</w:t>
      </w:r>
      <w:r w:rsidRPr="5261E5B3">
        <w:t>, reflecting both the country’s youth bulge and its relatively lower life expectancy.</w:t>
      </w:r>
      <w:r w:rsidRPr="5261E5B3">
        <w:rPr>
          <w:rStyle w:val="FootnoteReference"/>
        </w:rPr>
        <w:footnoteReference w:id="34"/>
      </w:r>
    </w:p>
    <w:p w14:paraId="5ADCBA29" w14:textId="4DD5DC9B" w:rsidR="00902F90" w:rsidRPr="002703CA" w:rsidRDefault="00902F90" w:rsidP="00902F90">
      <w:r w:rsidRPr="5261E5B3">
        <w:t>Disability in Indonesia is predominantly primarily acquired, with diseases and accidents accounting for around 76</w:t>
      </w:r>
      <w:r w:rsidR="00791F3A">
        <w:t>%</w:t>
      </w:r>
      <w:r w:rsidRPr="5261E5B3">
        <w:t xml:space="preserve"> of cases, compared to just 17</w:t>
      </w:r>
      <w:r w:rsidR="00791F3A">
        <w:t>%</w:t>
      </w:r>
      <w:r w:rsidRPr="5261E5B3">
        <w:t xml:space="preserve"> caused by congenital factors; highlighting the scope for more effective prevention and health policies.</w:t>
      </w:r>
      <w:r w:rsidRPr="5261E5B3">
        <w:rPr>
          <w:rStyle w:val="FootnoteReference"/>
        </w:rPr>
        <w:footnoteReference w:id="35"/>
      </w:r>
      <w:r w:rsidRPr="5261E5B3">
        <w:t xml:space="preserve"> The most common functional difficulties relate to vision, hearing, and mobility, and many people live with multiple disabilities</w:t>
      </w:r>
      <w:r w:rsidR="00025BB8">
        <w:t>,</w:t>
      </w:r>
      <w:r w:rsidRPr="5261E5B3">
        <w:t xml:space="preserve"> </w:t>
      </w:r>
      <w:r w:rsidR="00025BB8">
        <w:t>y</w:t>
      </w:r>
      <w:r w:rsidRPr="5261E5B3">
        <w:t>et access to support remains limited</w:t>
      </w:r>
      <w:r w:rsidR="00025BB8">
        <w:t>.</w:t>
      </w:r>
      <w:r w:rsidRPr="5261E5B3">
        <w:t xml:space="preserve"> </w:t>
      </w:r>
      <w:proofErr w:type="gramStart"/>
      <w:r w:rsidR="00025BB8">
        <w:t>T</w:t>
      </w:r>
      <w:r w:rsidRPr="5261E5B3">
        <w:t>he majority of</w:t>
      </w:r>
      <w:proofErr w:type="gramEnd"/>
      <w:r w:rsidRPr="5261E5B3">
        <w:t xml:space="preserve"> people with disabilities do not use assistive devices.</w:t>
      </w:r>
      <w:r w:rsidRPr="5261E5B3">
        <w:rPr>
          <w:rStyle w:val="FootnoteReference"/>
        </w:rPr>
        <w:footnoteReference w:id="36"/>
      </w:r>
      <w:r w:rsidRPr="5261E5B3">
        <w:t xml:space="preserve"> For </w:t>
      </w:r>
      <w:r w:rsidR="00791F3A">
        <w:t>example</w:t>
      </w:r>
      <w:r w:rsidRPr="5261E5B3">
        <w:t>, 80</w:t>
      </w:r>
      <w:r w:rsidR="00791F3A">
        <w:t>%</w:t>
      </w:r>
      <w:r w:rsidRPr="5261E5B3">
        <w:t xml:space="preserve"> of people who report needing glasses do not have them, and more than a quarter of those needing a white cane go without.</w:t>
      </w:r>
      <w:r w:rsidRPr="5261E5B3">
        <w:rPr>
          <w:rStyle w:val="FootnoteReference"/>
        </w:rPr>
        <w:footnoteReference w:id="37"/>
      </w:r>
    </w:p>
    <w:p w14:paraId="60DE947A" w14:textId="17A07086" w:rsidR="00902F90" w:rsidRPr="002703CA" w:rsidRDefault="00902F90" w:rsidP="00902F90">
      <w:pPr>
        <w:rPr>
          <w:lang w:val="en-AU"/>
        </w:rPr>
      </w:pPr>
      <w:r w:rsidRPr="732A04D6">
        <w:rPr>
          <w:lang w:val="en-AU"/>
        </w:rPr>
        <w:t>Consistent with global trends, persons with disabilities in Indonesia face systemic exclusion and poorer socio-economic outcomes than their peers without disabilit</w:t>
      </w:r>
      <w:r w:rsidR="00417746">
        <w:rPr>
          <w:lang w:val="en-AU"/>
        </w:rPr>
        <w:t>ies</w:t>
      </w:r>
      <w:r w:rsidRPr="732A04D6">
        <w:rPr>
          <w:lang w:val="en-AU"/>
        </w:rPr>
        <w:t>. Educational attainment is significantly lower; children with moderate disabilities average just 4.4 years of schooling, compared to 6.5 years for those without disabilities, and only 2.8 years for those with severe disabilities. Households with a member with a disability also report lower per capita expenditures, with female-headed households particularly vulnerable. These disparities are compounded by significantly limited access to health care, livelihood opportunities, and public services, which have cascading impacts across the lifecycle.</w:t>
      </w:r>
    </w:p>
    <w:p w14:paraId="55F30780" w14:textId="77777777" w:rsidR="00902F90" w:rsidRPr="002703CA" w:rsidRDefault="00902F90" w:rsidP="00902F90">
      <w:pPr>
        <w:rPr>
          <w:lang w:val="en-AU"/>
        </w:rPr>
      </w:pPr>
      <w:r w:rsidRPr="5261E5B3">
        <w:rPr>
          <w:lang w:val="en-AU"/>
        </w:rPr>
        <w:t>Stigma and exclusion extend to political life and public participation. Electoral processes often lack basic accessibility features such as sign language interpreters, barrier-free polling stations, or braille ballots, and many people with disabilities lack access to legal identification papers that enable them to vote.</w:t>
      </w:r>
      <w:r w:rsidRPr="5261E5B3">
        <w:rPr>
          <w:rStyle w:val="FootnoteReference"/>
          <w:lang w:val="en-AU"/>
        </w:rPr>
        <w:footnoteReference w:id="38"/>
      </w:r>
      <w:r w:rsidRPr="5261E5B3">
        <w:rPr>
          <w:lang w:val="en-AU"/>
        </w:rPr>
        <w:t xml:space="preserve"> The result is that a very small proportion of all people with disabilities are able to participate in free and fair elections, drastically limiting their ability </w:t>
      </w:r>
      <w:r w:rsidRPr="5261E5B3">
        <w:t>to influence political decision-making, advocate for their rights, or hold public institutions accountable</w:t>
      </w:r>
      <w:r w:rsidRPr="5261E5B3">
        <w:rPr>
          <w:lang w:val="en-AU"/>
        </w:rPr>
        <w:t>.</w:t>
      </w:r>
      <w:r w:rsidRPr="5261E5B3">
        <w:rPr>
          <w:rStyle w:val="FootnoteReference"/>
          <w:lang w:val="en-AU"/>
        </w:rPr>
        <w:footnoteReference w:id="39"/>
      </w:r>
      <w:r w:rsidRPr="5261E5B3">
        <w:rPr>
          <w:lang w:val="en-AU"/>
        </w:rPr>
        <w:t xml:space="preserve"> Representation of people with disabilities is also minimal; very few candidates with disabilities have contested recent elections at the national or subnational level, and no mechanisms currently guarantee their inclusion.</w:t>
      </w:r>
      <w:r w:rsidRPr="5261E5B3">
        <w:rPr>
          <w:rStyle w:val="FootnoteReference"/>
          <w:lang w:val="en-AU"/>
        </w:rPr>
        <w:footnoteReference w:id="40"/>
      </w:r>
      <w:r w:rsidRPr="5261E5B3">
        <w:rPr>
          <w:lang w:val="en-AU"/>
        </w:rPr>
        <w:t xml:space="preserve"> In civic forums and public consultations, people with disabilities are frequently absent or </w:t>
      </w:r>
      <w:proofErr w:type="spellStart"/>
      <w:r w:rsidRPr="5261E5B3">
        <w:rPr>
          <w:lang w:val="en-AU"/>
        </w:rPr>
        <w:t>tokenistically</w:t>
      </w:r>
      <w:proofErr w:type="spellEnd"/>
      <w:r w:rsidRPr="5261E5B3">
        <w:rPr>
          <w:lang w:val="en-AU"/>
        </w:rPr>
        <w:t xml:space="preserve"> included, often without the necessary accommodations to ensure meaningful participation.</w:t>
      </w:r>
      <w:r w:rsidRPr="5261E5B3">
        <w:rPr>
          <w:rStyle w:val="FootnoteReference"/>
          <w:lang w:val="en-AU"/>
        </w:rPr>
        <w:footnoteReference w:id="41"/>
      </w:r>
    </w:p>
    <w:p w14:paraId="6773AB04" w14:textId="77777777" w:rsidR="00902F90" w:rsidRPr="002703CA" w:rsidRDefault="00902F90" w:rsidP="00902F90">
      <w:pPr>
        <w:pStyle w:val="Heading5"/>
      </w:pPr>
      <w:r w:rsidRPr="002703CA">
        <w:t xml:space="preserve">Social Inclusion </w:t>
      </w:r>
    </w:p>
    <w:p w14:paraId="604CED09" w14:textId="0FB0F2AB" w:rsidR="00107F08" w:rsidRDefault="00902F90" w:rsidP="00902F90">
      <w:pPr>
        <w:rPr>
          <w:rFonts w:cstheme="minorHAnsi"/>
          <w:szCs w:val="21"/>
        </w:rPr>
      </w:pPr>
      <w:r w:rsidRPr="003C5DB4">
        <w:rPr>
          <w:rFonts w:cstheme="minorHAnsi"/>
          <w:szCs w:val="21"/>
        </w:rPr>
        <w:t>Social inclusion in Indonesia is shaped by complex intersections of age, location, ethnicity, socio</w:t>
      </w:r>
      <w:r w:rsidR="00BF4B53" w:rsidRPr="003C5DB4">
        <w:rPr>
          <w:rFonts w:cstheme="minorHAnsi"/>
          <w:szCs w:val="21"/>
        </w:rPr>
        <w:t>-</w:t>
      </w:r>
      <w:r w:rsidRPr="003C5DB4">
        <w:rPr>
          <w:rFonts w:cstheme="minorHAnsi"/>
          <w:szCs w:val="21"/>
        </w:rPr>
        <w:t>economic status</w:t>
      </w:r>
      <w:r w:rsidR="003C5DB4" w:rsidRPr="003C5DB4">
        <w:rPr>
          <w:rFonts w:cstheme="minorHAnsi"/>
          <w:szCs w:val="21"/>
        </w:rPr>
        <w:t xml:space="preserve"> </w:t>
      </w:r>
      <w:r w:rsidRPr="00990A4E">
        <w:rPr>
          <w:rFonts w:cstheme="minorHAnsi"/>
          <w:szCs w:val="21"/>
        </w:rPr>
        <w:t>and gender identity</w:t>
      </w:r>
      <w:r w:rsidRPr="003C5DB4">
        <w:rPr>
          <w:rFonts w:cstheme="minorHAnsi"/>
          <w:szCs w:val="21"/>
        </w:rPr>
        <w:t>. While the government has committed to inclusive development through via the RPJMN and the Sustainable Development Goals, many marginalised communities remain systematically excluded from democratic processes, civic engagement, and public decision-making.</w:t>
      </w:r>
      <w:r w:rsidRPr="002703CA">
        <w:rPr>
          <w:rFonts w:cstheme="minorHAnsi"/>
          <w:szCs w:val="21"/>
        </w:rPr>
        <w:t xml:space="preserve"> </w:t>
      </w:r>
    </w:p>
    <w:p w14:paraId="232E2CA2" w14:textId="24D64ADD" w:rsidR="00902F90" w:rsidRPr="00A55451" w:rsidRDefault="00107F08" w:rsidP="009553BD">
      <w:pPr>
        <w:rPr>
          <w:lang w:val="en-AU"/>
        </w:rPr>
      </w:pPr>
      <w:r>
        <w:rPr>
          <w:rFonts w:cstheme="minorHAnsi"/>
          <w:szCs w:val="21"/>
        </w:rPr>
        <w:t xml:space="preserve">One key </w:t>
      </w:r>
      <w:r w:rsidR="00902F90" w:rsidRPr="002703CA">
        <w:rPr>
          <w:rFonts w:cstheme="minorHAnsi"/>
          <w:szCs w:val="21"/>
        </w:rPr>
        <w:t>dimension of intersectional marginalisation that affect</w:t>
      </w:r>
      <w:r>
        <w:rPr>
          <w:rFonts w:cstheme="minorHAnsi"/>
          <w:szCs w:val="21"/>
        </w:rPr>
        <w:t>s</w:t>
      </w:r>
      <w:r w:rsidR="00902F90" w:rsidRPr="002703CA">
        <w:rPr>
          <w:rFonts w:cstheme="minorHAnsi"/>
          <w:szCs w:val="21"/>
        </w:rPr>
        <w:t xml:space="preserve"> access to and participation in democratic processes</w:t>
      </w:r>
      <w:r w:rsidR="00A55451">
        <w:rPr>
          <w:rFonts w:cstheme="minorHAnsi"/>
          <w:szCs w:val="21"/>
        </w:rPr>
        <w:t xml:space="preserve"> </w:t>
      </w:r>
      <w:r w:rsidR="00A55451" w:rsidRPr="00A55451">
        <w:rPr>
          <w:rFonts w:cstheme="minorHAnsi"/>
          <w:szCs w:val="21"/>
        </w:rPr>
        <w:t xml:space="preserve">is </w:t>
      </w:r>
      <w:r w:rsidR="00A55451" w:rsidRPr="009553BD">
        <w:rPr>
          <w:lang w:val="en-AU"/>
        </w:rPr>
        <w:t>g</w:t>
      </w:r>
      <w:r w:rsidR="00902F90" w:rsidRPr="009553BD">
        <w:rPr>
          <w:lang w:val="en-AU"/>
        </w:rPr>
        <w:t xml:space="preserve">eographic and </w:t>
      </w:r>
      <w:proofErr w:type="gramStart"/>
      <w:r w:rsidR="00A55451" w:rsidRPr="009553BD">
        <w:rPr>
          <w:lang w:val="en-AU"/>
        </w:rPr>
        <w:t>i</w:t>
      </w:r>
      <w:r w:rsidR="00902F90" w:rsidRPr="009553BD">
        <w:rPr>
          <w:lang w:val="en-AU"/>
        </w:rPr>
        <w:t>dentity-</w:t>
      </w:r>
      <w:r w:rsidR="00A55451" w:rsidRPr="009553BD">
        <w:rPr>
          <w:lang w:val="en-AU"/>
        </w:rPr>
        <w:t>b</w:t>
      </w:r>
      <w:r w:rsidR="00902F90" w:rsidRPr="009553BD">
        <w:rPr>
          <w:lang w:val="en-AU"/>
        </w:rPr>
        <w:t>ased</w:t>
      </w:r>
      <w:proofErr w:type="gramEnd"/>
      <w:r w:rsidR="00A55451" w:rsidRPr="009553BD">
        <w:rPr>
          <w:lang w:val="en-AU"/>
        </w:rPr>
        <w:t xml:space="preserve">. </w:t>
      </w:r>
      <w:r w:rsidR="00902F90" w:rsidRPr="00A55451">
        <w:rPr>
          <w:lang w:val="en-AU"/>
        </w:rPr>
        <w:t xml:space="preserve">Rural, remote, and Adat communities, particularly in </w:t>
      </w:r>
      <w:r w:rsidR="005F234A" w:rsidRPr="00A55451">
        <w:rPr>
          <w:lang w:val="en-AU"/>
        </w:rPr>
        <w:t>E</w:t>
      </w:r>
      <w:r w:rsidR="00902F90" w:rsidRPr="00A55451">
        <w:rPr>
          <w:lang w:val="en-AU"/>
        </w:rPr>
        <w:t>astern Indonesia, face entrenched barriers to participation. These include limited infrastructure, poor connectivity, and weak state presence. Adat communities are further constrained by insecure land tenure; a 2022 study by found that only 36</w:t>
      </w:r>
      <w:r w:rsidR="00791F3A" w:rsidRPr="00A55451">
        <w:rPr>
          <w:lang w:val="en-AU"/>
        </w:rPr>
        <w:t>%</w:t>
      </w:r>
      <w:r w:rsidR="00902F90" w:rsidRPr="00A55451">
        <w:rPr>
          <w:lang w:val="en-AU"/>
        </w:rPr>
        <w:t xml:space="preserve"> of those living in forest zones hold recognised land rights, restricting their access to agricultural value chains and state support.</w:t>
      </w:r>
      <w:r w:rsidR="00902F90" w:rsidRPr="5261E5B3">
        <w:rPr>
          <w:rStyle w:val="FootnoteReference"/>
          <w:lang w:val="en-AU"/>
        </w:rPr>
        <w:footnoteReference w:id="42"/>
      </w:r>
      <w:r w:rsidR="00902F90" w:rsidRPr="00A55451">
        <w:rPr>
          <w:lang w:val="en-AU"/>
        </w:rPr>
        <w:t xml:space="preserve"> The absence of legal identity also poses a major barrier to inclusion: more than 10 million Indonesians remain undocumented, disproportionately affecting Adat groups, </w:t>
      </w:r>
      <w:r w:rsidR="00902F90" w:rsidRPr="00A55451">
        <w:rPr>
          <w:lang w:val="en-AU"/>
        </w:rPr>
        <w:lastRenderedPageBreak/>
        <w:t>migrants, and women, and restricting their access to essential services such as education, health insurance (BPJS), and social protection schemes (PKH).</w:t>
      </w:r>
      <w:r w:rsidR="00902F90" w:rsidRPr="5261E5B3">
        <w:rPr>
          <w:rStyle w:val="FootnoteReference"/>
          <w:lang w:val="en-AU"/>
        </w:rPr>
        <w:footnoteReference w:id="43"/>
      </w:r>
    </w:p>
    <w:p w14:paraId="02E17255" w14:textId="1FA886A7" w:rsidR="00902F90" w:rsidRPr="00A55451" w:rsidRDefault="00A55451" w:rsidP="009553BD">
      <w:pPr>
        <w:suppressAutoHyphens w:val="0"/>
        <w:spacing w:after="100" w:afterAutospacing="1"/>
        <w:rPr>
          <w:lang w:val="en-AU"/>
        </w:rPr>
      </w:pPr>
      <w:r w:rsidRPr="009553BD">
        <w:rPr>
          <w:lang w:val="en-AU"/>
        </w:rPr>
        <w:t xml:space="preserve">Another dimension of </w:t>
      </w:r>
      <w:r w:rsidR="00D74166" w:rsidRPr="009553BD">
        <w:rPr>
          <w:lang w:val="en-AU"/>
        </w:rPr>
        <w:t>intersectional marginalisation is with</w:t>
      </w:r>
      <w:r w:rsidR="00D74166">
        <w:rPr>
          <w:b/>
          <w:bCs/>
          <w:lang w:val="en-AU"/>
        </w:rPr>
        <w:t xml:space="preserve"> </w:t>
      </w:r>
      <w:r w:rsidR="00D74166">
        <w:rPr>
          <w:lang w:val="en-AU"/>
        </w:rPr>
        <w:t>r</w:t>
      </w:r>
      <w:r w:rsidR="00902F90" w:rsidRPr="00A55451">
        <w:rPr>
          <w:lang w:val="en-AU"/>
        </w:rPr>
        <w:t>eligious minorities and migrants</w:t>
      </w:r>
      <w:r w:rsidR="00D74166">
        <w:rPr>
          <w:lang w:val="en-AU"/>
        </w:rPr>
        <w:t>, who</w:t>
      </w:r>
      <w:r w:rsidR="00902F90" w:rsidRPr="00A55451">
        <w:rPr>
          <w:lang w:val="en-AU"/>
        </w:rPr>
        <w:t xml:space="preserve"> also face systemic constraints on civic participation.</w:t>
      </w:r>
      <w:r w:rsidR="00902F90" w:rsidRPr="5261E5B3">
        <w:rPr>
          <w:rStyle w:val="FootnoteReference"/>
          <w:lang w:val="en-AU"/>
        </w:rPr>
        <w:footnoteReference w:id="44"/>
      </w:r>
      <w:r w:rsidR="00902F90" w:rsidRPr="00A55451">
        <w:rPr>
          <w:lang w:val="en-AU"/>
        </w:rPr>
        <w:t xml:space="preserve"> The last decade has seen increasing incidents of discrimination, particularly against minority sects in Java and Sumatra.</w:t>
      </w:r>
      <w:r w:rsidR="00902F90" w:rsidRPr="5261E5B3">
        <w:rPr>
          <w:rStyle w:val="FootnoteReference"/>
          <w:lang w:val="en-AU"/>
        </w:rPr>
        <w:footnoteReference w:id="45"/>
      </w:r>
      <w:r w:rsidR="00902F90" w:rsidRPr="00A55451">
        <w:rPr>
          <w:lang w:val="en-AU"/>
        </w:rPr>
        <w:t xml:space="preserve"> Rising populist rhetoric and uneven enforcement of assembly laws have undermined pluralism and discouraged participation in civil society.</w:t>
      </w:r>
      <w:r w:rsidR="00902F90" w:rsidRPr="5261E5B3">
        <w:rPr>
          <w:rStyle w:val="FootnoteReference"/>
          <w:lang w:val="en-AU"/>
        </w:rPr>
        <w:footnoteReference w:id="46"/>
      </w:r>
      <w:r w:rsidR="00902F90" w:rsidRPr="00A55451">
        <w:rPr>
          <w:lang w:val="en-AU"/>
        </w:rPr>
        <w:t xml:space="preserve"> </w:t>
      </w:r>
    </w:p>
    <w:p w14:paraId="1DEBD6FC" w14:textId="1F4266CC" w:rsidR="00902F90" w:rsidRPr="00C10BA6" w:rsidRDefault="00902F90" w:rsidP="00902F90">
      <w:pPr>
        <w:pStyle w:val="Heading5"/>
      </w:pPr>
      <w:r w:rsidRPr="00C10BA6">
        <w:t xml:space="preserve">Barriers to </w:t>
      </w:r>
      <w:r w:rsidR="00D74166">
        <w:t>Inclusion in Democratic Processes</w:t>
      </w:r>
    </w:p>
    <w:p w14:paraId="7BA34C8D" w14:textId="1369B296" w:rsidR="00902F90" w:rsidRDefault="00902F90" w:rsidP="00902F90">
      <w:r w:rsidRPr="00A66139">
        <w:t xml:space="preserve">Ensuring </w:t>
      </w:r>
      <w:proofErr w:type="spellStart"/>
      <w:r w:rsidRPr="00D84A7F">
        <w:rPr>
          <w:iCs/>
        </w:rPr>
        <w:t>Partisipasi’s</w:t>
      </w:r>
      <w:proofErr w:type="spellEnd"/>
      <w:r w:rsidRPr="00486F72">
        <w:rPr>
          <w:i/>
        </w:rPr>
        <w:t xml:space="preserve"> </w:t>
      </w:r>
      <w:r w:rsidRPr="00A66139">
        <w:t>effectiveness requires a nuanced understanding of the interlocking demand-side and supply-side influences that shape who accesses, participates in, and benefits from democratic processes in Indonesia. These influences are deeply shaped by social norms, structural inequalities, institutional capacity, and the broader political environment. The table below outlines key demand- and supply-side constraints currently shaping GEDSI outcomes in civic participation and democratic governance.</w:t>
      </w:r>
    </w:p>
    <w:p w14:paraId="42BCA73F" w14:textId="7D98C115" w:rsidR="00902F90" w:rsidRDefault="00902F90" w:rsidP="00902F90">
      <w:pPr>
        <w:pStyle w:val="Caption"/>
        <w:keepNext/>
      </w:pPr>
      <w:r>
        <w:t>Table</w:t>
      </w:r>
      <w:r w:rsidR="008D4216">
        <w:t xml:space="preserve"> 1</w:t>
      </w:r>
      <w:r w:rsidR="00FC764C">
        <w:t>8</w:t>
      </w:r>
      <w:r>
        <w:t xml:space="preserve">: Demand and Supply-Side </w:t>
      </w:r>
      <w:r w:rsidR="00D74166">
        <w:t>Barriers</w:t>
      </w:r>
    </w:p>
    <w:tbl>
      <w:tblPr>
        <w:tblStyle w:val="GridTable1Ligh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820"/>
      </w:tblGrid>
      <w:tr w:rsidR="00902F90" w:rsidRPr="006C3AC6" w14:paraId="72BAC499" w14:textId="77777777" w:rsidTr="00C5377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3" w:type="dxa"/>
            <w:shd w:val="clear" w:color="auto" w:fill="C1E7E0" w:themeFill="accent1" w:themeFillTint="66"/>
            <w:hideMark/>
          </w:tcPr>
          <w:p w14:paraId="5A68F6A0" w14:textId="77777777" w:rsidR="00902F90" w:rsidRPr="006C3AC6" w:rsidRDefault="00902F90">
            <w:pPr>
              <w:rPr>
                <w:rFonts w:cstheme="minorHAnsi"/>
                <w:b w:val="0"/>
                <w:bCs w:val="0"/>
                <w:sz w:val="20"/>
                <w:szCs w:val="20"/>
                <w:lang w:val="en-AU"/>
              </w:rPr>
            </w:pPr>
            <w:r w:rsidRPr="006C3AC6">
              <w:rPr>
                <w:rFonts w:cstheme="minorHAnsi"/>
                <w:sz w:val="20"/>
                <w:szCs w:val="20"/>
                <w:lang w:val="en-AU"/>
              </w:rPr>
              <w:t xml:space="preserve">Demand-Side Influences: </w:t>
            </w:r>
            <w:r w:rsidRPr="006C3AC6">
              <w:rPr>
                <w:rFonts w:cstheme="minorHAnsi"/>
                <w:i/>
                <w:sz w:val="20"/>
                <w:szCs w:val="20"/>
                <w:lang w:val="en-AU"/>
              </w:rPr>
              <w:t>namely, barriers experienced by individuals and communities attempting to access and participate in democratic processes.</w:t>
            </w:r>
            <w:r w:rsidRPr="006C3AC6">
              <w:rPr>
                <w:rFonts w:cstheme="minorHAnsi"/>
                <w:sz w:val="20"/>
                <w:szCs w:val="20"/>
                <w:lang w:val="en-AU"/>
              </w:rPr>
              <w:t xml:space="preserve"> </w:t>
            </w:r>
          </w:p>
        </w:tc>
        <w:tc>
          <w:tcPr>
            <w:tcW w:w="4820" w:type="dxa"/>
            <w:shd w:val="clear" w:color="auto" w:fill="C1E7E0" w:themeFill="accent1" w:themeFillTint="66"/>
            <w:hideMark/>
          </w:tcPr>
          <w:p w14:paraId="07CA30B2" w14:textId="77777777" w:rsidR="00902F90" w:rsidRPr="006C3AC6" w:rsidRDefault="00902F90">
            <w:pP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lang w:val="en-AU"/>
              </w:rPr>
            </w:pPr>
            <w:r w:rsidRPr="006C3AC6">
              <w:rPr>
                <w:rFonts w:cstheme="minorHAnsi"/>
                <w:sz w:val="20"/>
                <w:szCs w:val="20"/>
                <w:lang w:val="en-AU"/>
              </w:rPr>
              <w:t xml:space="preserve">Supply-Side Influences: </w:t>
            </w:r>
            <w:r w:rsidRPr="006C3AC6">
              <w:rPr>
                <w:rFonts w:cstheme="minorHAnsi"/>
                <w:i/>
                <w:sz w:val="20"/>
                <w:szCs w:val="20"/>
                <w:lang w:val="en-AU"/>
              </w:rPr>
              <w:t>namely, institutional and systemic limitations in the enabling environment for inclusive governance.</w:t>
            </w:r>
            <w:r w:rsidRPr="006C3AC6">
              <w:rPr>
                <w:rFonts w:cstheme="minorHAnsi"/>
                <w:sz w:val="20"/>
                <w:szCs w:val="20"/>
                <w:lang w:val="en-AU"/>
              </w:rPr>
              <w:t xml:space="preserve"> </w:t>
            </w:r>
          </w:p>
        </w:tc>
      </w:tr>
      <w:tr w:rsidR="00902F90" w:rsidRPr="006C3AC6" w14:paraId="48332D14" w14:textId="77777777" w:rsidTr="0067283D">
        <w:tc>
          <w:tcPr>
            <w:cnfStyle w:val="001000000000" w:firstRow="0" w:lastRow="0" w:firstColumn="1" w:lastColumn="0" w:oddVBand="0" w:evenVBand="0" w:oddHBand="0" w:evenHBand="0" w:firstRowFirstColumn="0" w:firstRowLastColumn="0" w:lastRowFirstColumn="0" w:lastRowLastColumn="0"/>
            <w:tcW w:w="4673" w:type="dxa"/>
            <w:hideMark/>
          </w:tcPr>
          <w:p w14:paraId="02151AAC" w14:textId="4A050266" w:rsidR="00902F90" w:rsidRPr="006C3AC6" w:rsidRDefault="00902F90">
            <w:pPr>
              <w:rPr>
                <w:rFonts w:cstheme="minorHAnsi"/>
                <w:b w:val="0"/>
                <w:bCs w:val="0"/>
                <w:sz w:val="20"/>
                <w:szCs w:val="20"/>
                <w:lang w:val="en-AU"/>
              </w:rPr>
            </w:pPr>
            <w:r w:rsidRPr="006C3AC6">
              <w:rPr>
                <w:rFonts w:cstheme="minorHAnsi"/>
                <w:b w:val="0"/>
                <w:bCs w:val="0"/>
                <w:sz w:val="20"/>
                <w:szCs w:val="20"/>
                <w:lang w:val="en-AU"/>
              </w:rPr>
              <w:t>Stigma, discrimination, and fear of backlash prevent women, persons with disabilities, religious minorities and other marginalised groups from participating safely in civic or political forums, weakening communities’ ability to surface early warning signals of democratic erosion</w:t>
            </w:r>
            <w:r w:rsidR="00345D63">
              <w:rPr>
                <w:rFonts w:cstheme="minorHAnsi"/>
                <w:b w:val="0"/>
                <w:bCs w:val="0"/>
                <w:sz w:val="20"/>
                <w:szCs w:val="20"/>
                <w:lang w:val="en-AU"/>
              </w:rPr>
              <w:t>.</w:t>
            </w:r>
          </w:p>
        </w:tc>
        <w:tc>
          <w:tcPr>
            <w:tcW w:w="4820" w:type="dxa"/>
            <w:hideMark/>
          </w:tcPr>
          <w:p w14:paraId="7EACD9F9" w14:textId="43396056" w:rsidR="00902F90" w:rsidRPr="006C3AC6" w:rsidRDefault="66DB7F3A">
            <w:pPr>
              <w:cnfStyle w:val="000000000000" w:firstRow="0" w:lastRow="0" w:firstColumn="0" w:lastColumn="0" w:oddVBand="0" w:evenVBand="0" w:oddHBand="0" w:evenHBand="0" w:firstRowFirstColumn="0" w:firstRowLastColumn="0" w:lastRowFirstColumn="0" w:lastRowLastColumn="0"/>
              <w:rPr>
                <w:sz w:val="20"/>
                <w:szCs w:val="20"/>
                <w:lang w:val="en-AU"/>
              </w:rPr>
            </w:pPr>
            <w:r w:rsidRPr="444C8F2F">
              <w:rPr>
                <w:sz w:val="20"/>
                <w:szCs w:val="20"/>
                <w:lang w:val="en-AU"/>
              </w:rPr>
              <w:t>T</w:t>
            </w:r>
            <w:r w:rsidR="00902F90" w:rsidRPr="444C8F2F">
              <w:rPr>
                <w:sz w:val="20"/>
                <w:szCs w:val="20"/>
                <w:lang w:val="en-AU"/>
              </w:rPr>
              <w:t xml:space="preserve">okenistic engagement processes limit the participation of marginalised groups in policy dialogue, planning, and oversight, </w:t>
            </w:r>
            <w:r w:rsidR="00902F90" w:rsidRPr="444C8F2F">
              <w:rPr>
                <w:sz w:val="20"/>
                <w:szCs w:val="20"/>
              </w:rPr>
              <w:t>eroding trust and fuelling disenfranchisement.</w:t>
            </w:r>
          </w:p>
        </w:tc>
      </w:tr>
      <w:tr w:rsidR="00902F90" w:rsidRPr="006C3AC6" w14:paraId="1E1E6A4D" w14:textId="77777777" w:rsidTr="0067283D">
        <w:tc>
          <w:tcPr>
            <w:cnfStyle w:val="001000000000" w:firstRow="0" w:lastRow="0" w:firstColumn="1" w:lastColumn="0" w:oddVBand="0" w:evenVBand="0" w:oddHBand="0" w:evenHBand="0" w:firstRowFirstColumn="0" w:firstRowLastColumn="0" w:lastRowFirstColumn="0" w:lastRowLastColumn="0"/>
            <w:tcW w:w="4673" w:type="dxa"/>
            <w:hideMark/>
          </w:tcPr>
          <w:p w14:paraId="6E554057" w14:textId="77777777" w:rsidR="00902F90" w:rsidRPr="006C3AC6" w:rsidRDefault="00902F90">
            <w:pPr>
              <w:rPr>
                <w:rFonts w:cstheme="minorHAnsi"/>
                <w:b w:val="0"/>
                <w:bCs w:val="0"/>
                <w:sz w:val="20"/>
                <w:szCs w:val="20"/>
                <w:lang w:val="en-AU"/>
              </w:rPr>
            </w:pPr>
            <w:r w:rsidRPr="006C3AC6">
              <w:rPr>
                <w:rFonts w:cstheme="minorHAnsi"/>
                <w:b w:val="0"/>
                <w:bCs w:val="0"/>
                <w:sz w:val="20"/>
                <w:szCs w:val="20"/>
                <w:lang w:val="en-AU"/>
              </w:rPr>
              <w:t xml:space="preserve">Limited access to accurate information, civic education, or digital tools restricts awareness of rights, civic duties, and political processes, </w:t>
            </w:r>
            <w:r w:rsidRPr="006C3AC6">
              <w:rPr>
                <w:rFonts w:cstheme="minorHAnsi"/>
                <w:b w:val="0"/>
                <w:bCs w:val="0"/>
                <w:sz w:val="20"/>
                <w:szCs w:val="20"/>
              </w:rPr>
              <w:t>leaving communities vulnerable to manipulation and harmful narratives.</w:t>
            </w:r>
          </w:p>
        </w:tc>
        <w:tc>
          <w:tcPr>
            <w:tcW w:w="4820" w:type="dxa"/>
            <w:hideMark/>
          </w:tcPr>
          <w:p w14:paraId="57922EE8" w14:textId="138330E5" w:rsidR="00902F90" w:rsidRPr="006C3AC6" w:rsidRDefault="00902F90">
            <w:pPr>
              <w:cnfStyle w:val="000000000000" w:firstRow="0" w:lastRow="0" w:firstColumn="0" w:lastColumn="0" w:oddVBand="0" w:evenVBand="0" w:oddHBand="0" w:evenHBand="0" w:firstRowFirstColumn="0" w:firstRowLastColumn="0" w:lastRowFirstColumn="0" w:lastRowLastColumn="0"/>
              <w:rPr>
                <w:sz w:val="20"/>
                <w:szCs w:val="20"/>
                <w:lang w:val="en-AU"/>
              </w:rPr>
            </w:pPr>
            <w:r w:rsidRPr="59AE94D4">
              <w:rPr>
                <w:sz w:val="20"/>
                <w:szCs w:val="20"/>
                <w:lang w:val="en-AU"/>
              </w:rPr>
              <w:t>Institutional reluctance to engage on sensitive topics such as electoral reform or minority inclusion reduces civic trust and institutional responsiveness, enhancing polarisation.</w:t>
            </w:r>
          </w:p>
        </w:tc>
      </w:tr>
      <w:tr w:rsidR="00902F90" w:rsidRPr="006C3AC6" w14:paraId="3846D43A" w14:textId="77777777" w:rsidTr="0067283D">
        <w:tc>
          <w:tcPr>
            <w:cnfStyle w:val="001000000000" w:firstRow="0" w:lastRow="0" w:firstColumn="1" w:lastColumn="0" w:oddVBand="0" w:evenVBand="0" w:oddHBand="0" w:evenHBand="0" w:firstRowFirstColumn="0" w:firstRowLastColumn="0" w:lastRowFirstColumn="0" w:lastRowLastColumn="0"/>
            <w:tcW w:w="4673" w:type="dxa"/>
            <w:hideMark/>
          </w:tcPr>
          <w:p w14:paraId="0FE0D4A8" w14:textId="77777777" w:rsidR="00902F90" w:rsidRPr="006C3AC6" w:rsidRDefault="00902F90">
            <w:pPr>
              <w:rPr>
                <w:rFonts w:cstheme="minorHAnsi"/>
                <w:b w:val="0"/>
                <w:bCs w:val="0"/>
                <w:sz w:val="20"/>
                <w:szCs w:val="20"/>
                <w:lang w:val="en-AU"/>
              </w:rPr>
            </w:pPr>
            <w:r w:rsidRPr="006C3AC6">
              <w:rPr>
                <w:rFonts w:cstheme="minorHAnsi"/>
                <w:b w:val="0"/>
                <w:bCs w:val="0"/>
                <w:sz w:val="20"/>
                <w:szCs w:val="20"/>
                <w:lang w:val="en-AU"/>
              </w:rPr>
              <w:t xml:space="preserve">Geographic isolation, poor transport, and digital exclusion hinder civic access for Adat, remote and rural communities, </w:t>
            </w:r>
            <w:r w:rsidRPr="006C3AC6">
              <w:rPr>
                <w:rFonts w:cstheme="minorHAnsi"/>
                <w:b w:val="0"/>
                <w:bCs w:val="0"/>
                <w:sz w:val="20"/>
                <w:szCs w:val="20"/>
              </w:rPr>
              <w:t>amplifying elite capture and undermining democratic legitimacy.</w:t>
            </w:r>
          </w:p>
        </w:tc>
        <w:tc>
          <w:tcPr>
            <w:tcW w:w="4820" w:type="dxa"/>
            <w:hideMark/>
          </w:tcPr>
          <w:p w14:paraId="3F4AEBDA" w14:textId="5BA2AE85" w:rsidR="00902F90" w:rsidRPr="006C3AC6" w:rsidRDefault="00902F90">
            <w:pPr>
              <w:cnfStyle w:val="000000000000" w:firstRow="0" w:lastRow="0" w:firstColumn="0" w:lastColumn="0" w:oddVBand="0" w:evenVBand="0" w:oddHBand="0" w:evenHBand="0" w:firstRowFirstColumn="0" w:firstRowLastColumn="0" w:lastRowFirstColumn="0" w:lastRowLastColumn="0"/>
              <w:rPr>
                <w:sz w:val="20"/>
                <w:szCs w:val="20"/>
                <w:lang w:val="en-AU"/>
              </w:rPr>
            </w:pPr>
            <w:r w:rsidRPr="006C3AC6">
              <w:rPr>
                <w:sz w:val="20"/>
                <w:szCs w:val="20"/>
                <w:lang w:val="en-AU"/>
              </w:rPr>
              <w:t>Weak enforcement of inclusion mandates in electoral processes, public consultations, legislative and policy development limits</w:t>
            </w:r>
            <w:r w:rsidR="00345D63">
              <w:rPr>
                <w:sz w:val="20"/>
                <w:szCs w:val="20"/>
                <w:lang w:val="en-AU"/>
              </w:rPr>
              <w:t>,</w:t>
            </w:r>
            <w:r w:rsidRPr="006C3AC6">
              <w:rPr>
                <w:sz w:val="20"/>
                <w:szCs w:val="20"/>
                <w:lang w:val="en-AU"/>
              </w:rPr>
              <w:t xml:space="preserve"> institutional accountability</w:t>
            </w:r>
            <w:r w:rsidR="00345D63">
              <w:rPr>
                <w:sz w:val="20"/>
                <w:szCs w:val="20"/>
                <w:lang w:val="en-AU"/>
              </w:rPr>
              <w:t>,</w:t>
            </w:r>
            <w:r w:rsidRPr="006C3AC6">
              <w:rPr>
                <w:sz w:val="20"/>
                <w:szCs w:val="20"/>
                <w:lang w:val="en-AU"/>
              </w:rPr>
              <w:t xml:space="preserve"> reinforc</w:t>
            </w:r>
            <w:r w:rsidR="002C6644">
              <w:rPr>
                <w:sz w:val="20"/>
                <w:szCs w:val="20"/>
                <w:lang w:val="en-AU"/>
              </w:rPr>
              <w:t>ing</w:t>
            </w:r>
            <w:r w:rsidRPr="006C3AC6">
              <w:rPr>
                <w:sz w:val="20"/>
                <w:szCs w:val="20"/>
                <w:lang w:val="en-AU"/>
              </w:rPr>
              <w:t xml:space="preserve"> exclusionary norms</w:t>
            </w:r>
            <w:r w:rsidR="002C6644">
              <w:rPr>
                <w:sz w:val="20"/>
                <w:szCs w:val="20"/>
                <w:lang w:val="en-AU"/>
              </w:rPr>
              <w:t>.</w:t>
            </w:r>
          </w:p>
        </w:tc>
      </w:tr>
      <w:tr w:rsidR="00902F90" w:rsidRPr="006C3AC6" w14:paraId="793B9CFD" w14:textId="77777777" w:rsidTr="0067283D">
        <w:tc>
          <w:tcPr>
            <w:cnfStyle w:val="001000000000" w:firstRow="0" w:lastRow="0" w:firstColumn="1" w:lastColumn="0" w:oddVBand="0" w:evenVBand="0" w:oddHBand="0" w:evenHBand="0" w:firstRowFirstColumn="0" w:firstRowLastColumn="0" w:lastRowFirstColumn="0" w:lastRowLastColumn="0"/>
            <w:tcW w:w="4673" w:type="dxa"/>
            <w:hideMark/>
          </w:tcPr>
          <w:p w14:paraId="10487A3B" w14:textId="0B0E140A" w:rsidR="00902F90" w:rsidRPr="006C3AC6" w:rsidRDefault="00902F90">
            <w:pPr>
              <w:rPr>
                <w:b w:val="0"/>
                <w:sz w:val="20"/>
                <w:szCs w:val="20"/>
                <w:lang w:val="en-AU"/>
              </w:rPr>
            </w:pPr>
            <w:r w:rsidRPr="59AE94D4">
              <w:rPr>
                <w:b w:val="0"/>
                <w:sz w:val="20"/>
                <w:szCs w:val="20"/>
                <w:lang w:val="en-AU"/>
              </w:rPr>
              <w:t>Online harassment and sexualised disinformation particularly during electoral periods deter political engagement, especially for women</w:t>
            </w:r>
            <w:r w:rsidR="00E9152F">
              <w:rPr>
                <w:b w:val="0"/>
                <w:sz w:val="20"/>
                <w:szCs w:val="20"/>
                <w:lang w:val="en-AU"/>
              </w:rPr>
              <w:t xml:space="preserve"> and other marginalised groups</w:t>
            </w:r>
            <w:r w:rsidRPr="59AE94D4">
              <w:rPr>
                <w:b w:val="0"/>
                <w:sz w:val="20"/>
                <w:szCs w:val="20"/>
                <w:lang w:val="en-AU"/>
              </w:rPr>
              <w:t>. This works to silence</w:t>
            </w:r>
            <w:r w:rsidRPr="59AE94D4">
              <w:rPr>
                <w:b w:val="0"/>
                <w:sz w:val="20"/>
                <w:szCs w:val="20"/>
              </w:rPr>
              <w:t xml:space="preserve"> dissenting voices that are critical for pluralism and democratic resilience.</w:t>
            </w:r>
          </w:p>
        </w:tc>
        <w:tc>
          <w:tcPr>
            <w:tcW w:w="4820" w:type="dxa"/>
            <w:hideMark/>
          </w:tcPr>
          <w:p w14:paraId="4785F603" w14:textId="77777777" w:rsidR="00902F90" w:rsidRPr="006C3AC6" w:rsidRDefault="00902F90">
            <w:pPr>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r w:rsidRPr="006C3AC6">
              <w:rPr>
                <w:rFonts w:cstheme="minorHAnsi"/>
                <w:sz w:val="20"/>
                <w:szCs w:val="20"/>
                <w:lang w:val="en-AU"/>
              </w:rPr>
              <w:t xml:space="preserve">Limited GEDSI capacity within institutions results in inaccessible forums, lack of reasonable accommodations, and exclusion of minority perspectives in governance. This </w:t>
            </w:r>
            <w:r w:rsidRPr="006C3AC6">
              <w:rPr>
                <w:rFonts w:cstheme="minorHAnsi"/>
                <w:sz w:val="20"/>
                <w:szCs w:val="20"/>
              </w:rPr>
              <w:t>reduces democratic resilience by leaving decision-making unrepresentative and contested.</w:t>
            </w:r>
          </w:p>
        </w:tc>
      </w:tr>
      <w:tr w:rsidR="00902F90" w:rsidRPr="006C3AC6" w14:paraId="76993C9B" w14:textId="77777777" w:rsidTr="0067283D">
        <w:tc>
          <w:tcPr>
            <w:cnfStyle w:val="001000000000" w:firstRow="0" w:lastRow="0" w:firstColumn="1" w:lastColumn="0" w:oddVBand="0" w:evenVBand="0" w:oddHBand="0" w:evenHBand="0" w:firstRowFirstColumn="0" w:firstRowLastColumn="0" w:lastRowFirstColumn="0" w:lastRowLastColumn="0"/>
            <w:tcW w:w="4673" w:type="dxa"/>
            <w:hideMark/>
          </w:tcPr>
          <w:p w14:paraId="7F02962F" w14:textId="5EEE2D7C" w:rsidR="00902F90" w:rsidRPr="006C3AC6" w:rsidRDefault="00902F90">
            <w:pPr>
              <w:rPr>
                <w:rFonts w:cstheme="minorHAnsi"/>
                <w:b w:val="0"/>
                <w:bCs w:val="0"/>
                <w:sz w:val="20"/>
                <w:szCs w:val="20"/>
                <w:lang w:val="en-AU"/>
              </w:rPr>
            </w:pPr>
            <w:r w:rsidRPr="006C3AC6">
              <w:rPr>
                <w:rFonts w:cstheme="minorHAnsi"/>
                <w:b w:val="0"/>
                <w:bCs w:val="0"/>
                <w:sz w:val="20"/>
                <w:szCs w:val="20"/>
                <w:lang w:val="en-AU"/>
              </w:rPr>
              <w:lastRenderedPageBreak/>
              <w:t>Time poverty and unpaid care work reduce</w:t>
            </w:r>
            <w:r w:rsidR="002C6644">
              <w:rPr>
                <w:rFonts w:cstheme="minorHAnsi"/>
                <w:b w:val="0"/>
                <w:bCs w:val="0"/>
                <w:sz w:val="20"/>
                <w:szCs w:val="20"/>
                <w:lang w:val="en-AU"/>
              </w:rPr>
              <w:t>s</w:t>
            </w:r>
            <w:r w:rsidRPr="006C3AC6">
              <w:rPr>
                <w:rFonts w:cstheme="minorHAnsi"/>
                <w:b w:val="0"/>
                <w:bCs w:val="0"/>
                <w:sz w:val="20"/>
                <w:szCs w:val="20"/>
                <w:lang w:val="en-AU"/>
              </w:rPr>
              <w:t xml:space="preserve"> the ability of women and caregivers to engage in public life or sustained civic action, </w:t>
            </w:r>
            <w:r w:rsidRPr="006C3AC6">
              <w:rPr>
                <w:rFonts w:cstheme="minorHAnsi"/>
                <w:b w:val="0"/>
                <w:bCs w:val="0"/>
                <w:sz w:val="20"/>
                <w:szCs w:val="20"/>
              </w:rPr>
              <w:t>narrowing the diversity of perspectives in civic debate.</w:t>
            </w:r>
          </w:p>
        </w:tc>
        <w:tc>
          <w:tcPr>
            <w:tcW w:w="4820" w:type="dxa"/>
            <w:hideMark/>
          </w:tcPr>
          <w:p w14:paraId="21488814" w14:textId="5BC9F0B7" w:rsidR="00902F90" w:rsidRPr="006C3AC6" w:rsidRDefault="00902F90">
            <w:pPr>
              <w:cnfStyle w:val="000000000000" w:firstRow="0" w:lastRow="0" w:firstColumn="0" w:lastColumn="0" w:oddVBand="0" w:evenVBand="0" w:oddHBand="0" w:evenHBand="0" w:firstRowFirstColumn="0" w:firstRowLastColumn="0" w:lastRowFirstColumn="0" w:lastRowLastColumn="0"/>
              <w:rPr>
                <w:sz w:val="20"/>
                <w:szCs w:val="20"/>
                <w:lang w:val="en-AU"/>
              </w:rPr>
            </w:pPr>
            <w:r w:rsidRPr="411AF113">
              <w:rPr>
                <w:sz w:val="20"/>
                <w:szCs w:val="20"/>
                <w:lang w:val="en-AU"/>
              </w:rPr>
              <w:t>Civic space restrictions</w:t>
            </w:r>
            <w:r w:rsidR="10BF55EB" w:rsidRPr="411AF113">
              <w:rPr>
                <w:sz w:val="20"/>
                <w:szCs w:val="20"/>
                <w:lang w:val="en-AU"/>
              </w:rPr>
              <w:t xml:space="preserve"> </w:t>
            </w:r>
            <w:r w:rsidRPr="411AF113">
              <w:rPr>
                <w:sz w:val="20"/>
                <w:szCs w:val="20"/>
                <w:lang w:val="en-AU"/>
              </w:rPr>
              <w:t>particularly for activists and CSOs working on sensitive issues, suppress</w:t>
            </w:r>
            <w:r w:rsidR="002C6644" w:rsidRPr="411AF113">
              <w:rPr>
                <w:sz w:val="20"/>
                <w:szCs w:val="20"/>
                <w:lang w:val="en-AU"/>
              </w:rPr>
              <w:t>es</w:t>
            </w:r>
            <w:r w:rsidRPr="411AF113">
              <w:rPr>
                <w:sz w:val="20"/>
                <w:szCs w:val="20"/>
                <w:lang w:val="en-AU"/>
              </w:rPr>
              <w:t xml:space="preserve"> public participation.</w:t>
            </w:r>
          </w:p>
        </w:tc>
      </w:tr>
      <w:tr w:rsidR="00902F90" w:rsidRPr="006C3AC6" w14:paraId="096C8CC8" w14:textId="77777777" w:rsidTr="0067283D">
        <w:tc>
          <w:tcPr>
            <w:cnfStyle w:val="001000000000" w:firstRow="0" w:lastRow="0" w:firstColumn="1" w:lastColumn="0" w:oddVBand="0" w:evenVBand="0" w:oddHBand="0" w:evenHBand="0" w:firstRowFirstColumn="0" w:firstRowLastColumn="0" w:lastRowFirstColumn="0" w:lastRowLastColumn="0"/>
            <w:tcW w:w="4673" w:type="dxa"/>
            <w:hideMark/>
          </w:tcPr>
          <w:p w14:paraId="6FB7023D" w14:textId="77777777" w:rsidR="00902F90" w:rsidRPr="006C3AC6" w:rsidRDefault="00902F90">
            <w:pPr>
              <w:rPr>
                <w:rFonts w:cstheme="minorHAnsi"/>
                <w:b w:val="0"/>
                <w:bCs w:val="0"/>
                <w:sz w:val="20"/>
                <w:szCs w:val="20"/>
                <w:lang w:val="en-AU"/>
              </w:rPr>
            </w:pPr>
            <w:r w:rsidRPr="006C3AC6">
              <w:rPr>
                <w:rFonts w:cstheme="minorHAnsi"/>
                <w:b w:val="0"/>
                <w:bCs w:val="0"/>
                <w:sz w:val="20"/>
                <w:szCs w:val="20"/>
                <w:lang w:val="en-AU"/>
              </w:rPr>
              <w:t xml:space="preserve">Lack of legal identity documentation excludes marginalised individuals from voting, accessing public services, or engaging formally with the state, </w:t>
            </w:r>
            <w:r w:rsidRPr="006C3AC6">
              <w:rPr>
                <w:rFonts w:cstheme="minorHAnsi"/>
                <w:b w:val="0"/>
                <w:bCs w:val="0"/>
                <w:sz w:val="20"/>
                <w:szCs w:val="20"/>
              </w:rPr>
              <w:t>undermining the inclusiveness of democratic institutions.</w:t>
            </w:r>
          </w:p>
        </w:tc>
        <w:tc>
          <w:tcPr>
            <w:tcW w:w="4820" w:type="dxa"/>
            <w:hideMark/>
          </w:tcPr>
          <w:p w14:paraId="5ADDC8C8" w14:textId="4E62B3B6" w:rsidR="00902F90" w:rsidRPr="006C3AC6" w:rsidRDefault="00902F90">
            <w:pPr>
              <w:cnfStyle w:val="000000000000" w:firstRow="0" w:lastRow="0" w:firstColumn="0" w:lastColumn="0" w:oddVBand="0" w:evenVBand="0" w:oddHBand="0" w:evenHBand="0" w:firstRowFirstColumn="0" w:firstRowLastColumn="0" w:lastRowFirstColumn="0" w:lastRowLastColumn="0"/>
              <w:rPr>
                <w:rFonts w:cstheme="minorHAnsi"/>
                <w:sz w:val="20"/>
                <w:szCs w:val="20"/>
                <w:lang w:val="en-AU"/>
              </w:rPr>
            </w:pPr>
            <w:r w:rsidRPr="006C3AC6">
              <w:rPr>
                <w:rFonts w:cstheme="minorHAnsi"/>
                <w:sz w:val="20"/>
                <w:szCs w:val="20"/>
                <w:lang w:val="en-AU"/>
              </w:rPr>
              <w:t>Under-resourced engagement mechanisms at national and subnational levels fail to include or support grassroots organisations, particularly those led by women, youth</w:t>
            </w:r>
            <w:r w:rsidR="0034493F">
              <w:rPr>
                <w:rFonts w:cstheme="minorHAnsi"/>
                <w:sz w:val="20"/>
                <w:szCs w:val="20"/>
                <w:lang w:val="en-AU"/>
              </w:rPr>
              <w:t>s</w:t>
            </w:r>
            <w:r w:rsidRPr="006C3AC6">
              <w:rPr>
                <w:rFonts w:cstheme="minorHAnsi"/>
                <w:sz w:val="20"/>
                <w:szCs w:val="20"/>
                <w:lang w:val="en-AU"/>
              </w:rPr>
              <w:t>, or people with disabilities, weakening feedback loops between affected communities and the institutions designed to support them.</w:t>
            </w:r>
          </w:p>
        </w:tc>
      </w:tr>
    </w:tbl>
    <w:p w14:paraId="24618C41" w14:textId="75431343" w:rsidR="00902F90" w:rsidRPr="002703CA" w:rsidRDefault="00902F90" w:rsidP="00902F90">
      <w:pPr>
        <w:pStyle w:val="Heading5"/>
      </w:pPr>
      <w:r w:rsidRPr="7571DD5F">
        <w:t xml:space="preserve">GEDSI </w:t>
      </w:r>
      <w:r w:rsidRPr="005C5EF0">
        <w:t>Learning</w:t>
      </w:r>
      <w:r w:rsidRPr="7571DD5F">
        <w:t xml:space="preserve"> from </w:t>
      </w:r>
      <w:proofErr w:type="spellStart"/>
      <w:r w:rsidRPr="00C5377B">
        <w:rPr>
          <w:iCs w:val="0"/>
        </w:rPr>
        <w:t>DemRes</w:t>
      </w:r>
      <w:proofErr w:type="spellEnd"/>
      <w:r w:rsidRPr="7571DD5F">
        <w:t xml:space="preserve"> </w:t>
      </w:r>
    </w:p>
    <w:p w14:paraId="4D4E6AE9" w14:textId="77777777" w:rsidR="00902F90" w:rsidRPr="002703CA" w:rsidRDefault="00902F90" w:rsidP="00902F90">
      <w:r w:rsidRPr="4951DE4B">
        <w:t xml:space="preserve">The </w:t>
      </w:r>
      <w:proofErr w:type="spellStart"/>
      <w:r w:rsidRPr="00C5377B">
        <w:rPr>
          <w:iCs/>
        </w:rPr>
        <w:t>DemRes</w:t>
      </w:r>
      <w:proofErr w:type="spellEnd"/>
      <w:r w:rsidRPr="4951DE4B">
        <w:t xml:space="preserve"> pilot surfaced a series of critical lessons on how to meaningfully embed GEDSI considerations in democratic resilience programming. These lessons directly shaped the design of </w:t>
      </w:r>
      <w:proofErr w:type="spellStart"/>
      <w:r w:rsidRPr="00D84A7F">
        <w:t>Partisipasi</w:t>
      </w:r>
      <w:proofErr w:type="spellEnd"/>
      <w:r w:rsidRPr="4951DE4B">
        <w:t xml:space="preserve">, and include: </w:t>
      </w:r>
    </w:p>
    <w:p w14:paraId="5468498E" w14:textId="6D248767" w:rsidR="00902F90" w:rsidRPr="002703CA" w:rsidRDefault="00902F90" w:rsidP="00D3558F">
      <w:pPr>
        <w:pStyle w:val="ListParagraph"/>
        <w:numPr>
          <w:ilvl w:val="0"/>
          <w:numId w:val="23"/>
        </w:numPr>
        <w:suppressAutoHyphens w:val="0"/>
        <w:spacing w:after="120"/>
        <w:ind w:left="357" w:hanging="357"/>
        <w:contextualSpacing w:val="0"/>
      </w:pPr>
      <w:r w:rsidRPr="5F2B8804">
        <w:rPr>
          <w:b/>
        </w:rPr>
        <w:t>Meaningful inclusion must be facilitated</w:t>
      </w:r>
      <w:r>
        <w:t>:</w:t>
      </w:r>
      <w:r w:rsidRPr="5F2B8804">
        <w:rPr>
          <w:b/>
        </w:rPr>
        <w:t xml:space="preserve"> </w:t>
      </w:r>
      <w:proofErr w:type="spellStart"/>
      <w:r w:rsidRPr="00C5377B">
        <w:rPr>
          <w:iCs/>
        </w:rPr>
        <w:t>DemRes</w:t>
      </w:r>
      <w:proofErr w:type="spellEnd"/>
      <w:r w:rsidRPr="00486F72">
        <w:rPr>
          <w:i/>
        </w:rPr>
        <w:t xml:space="preserve"> </w:t>
      </w:r>
      <w:r>
        <w:t xml:space="preserve">demonstrated that simply opening spaces for participation is not sufficient. For marginalised groups to meaningfully engage, programs must invest in accessible design, trauma-informed facilitation, and trust-building. This learning is reflected in </w:t>
      </w:r>
      <w:proofErr w:type="spellStart"/>
      <w:r w:rsidRPr="00D84A7F">
        <w:t>Partisipasi’s</w:t>
      </w:r>
      <w:proofErr w:type="spellEnd"/>
      <w:r w:rsidRPr="00486F72">
        <w:rPr>
          <w:i/>
        </w:rPr>
        <w:t xml:space="preserve"> </w:t>
      </w:r>
      <w:r>
        <w:t>emphasis on universal design standards, inclusion scans during co-design, and the creation of safe and responsive engagement mechanisms (about which, see below for further discussion).</w:t>
      </w:r>
    </w:p>
    <w:p w14:paraId="3FDAAF6B" w14:textId="33807F46" w:rsidR="00902F90" w:rsidRPr="002703CA" w:rsidRDefault="00902F90" w:rsidP="00D3558F">
      <w:pPr>
        <w:pStyle w:val="ListParagraph"/>
        <w:numPr>
          <w:ilvl w:val="0"/>
          <w:numId w:val="23"/>
        </w:numPr>
        <w:suppressAutoHyphens w:val="0"/>
        <w:spacing w:after="120"/>
        <w:ind w:left="357" w:hanging="357"/>
        <w:contextualSpacing w:val="0"/>
      </w:pPr>
      <w:r w:rsidRPr="468118DF">
        <w:rPr>
          <w:b/>
        </w:rPr>
        <w:t>Demand- and supply-side engagements need greater support to be bridged</w:t>
      </w:r>
      <w:r w:rsidRPr="468118DF">
        <w:t xml:space="preserve">: The pilot confirmed that inclusive democratic reform requires structured interaction between civil society and state actors. </w:t>
      </w:r>
      <w:proofErr w:type="spellStart"/>
      <w:r w:rsidRPr="00D84A7F">
        <w:t>Partisipasi</w:t>
      </w:r>
      <w:proofErr w:type="spellEnd"/>
      <w:r w:rsidRPr="00486F72">
        <w:rPr>
          <w:i/>
        </w:rPr>
        <w:t xml:space="preserve"> </w:t>
      </w:r>
      <w:r w:rsidRPr="468118DF">
        <w:t xml:space="preserve">draws on </w:t>
      </w:r>
      <w:proofErr w:type="spellStart"/>
      <w:r w:rsidRPr="00C5377B">
        <w:rPr>
          <w:iCs/>
        </w:rPr>
        <w:t>DemRes</w:t>
      </w:r>
      <w:proofErr w:type="spellEnd"/>
      <w:r w:rsidRPr="00486F72">
        <w:rPr>
          <w:i/>
        </w:rPr>
        <w:t xml:space="preserve"> </w:t>
      </w:r>
      <w:r w:rsidRPr="468118DF">
        <w:t xml:space="preserve">learning by embedding enhanced mechanisms within its </w:t>
      </w:r>
      <w:r w:rsidR="00C84C43">
        <w:t>2</w:t>
      </w:r>
      <w:r w:rsidR="00C84C43" w:rsidRPr="468118DF">
        <w:t xml:space="preserve"> </w:t>
      </w:r>
      <w:r w:rsidRPr="468118DF">
        <w:t>program components, facilitating joint platforms for participatory dialogue, and other engagements between diverse actors, with a focus on the enhanced inclusion of traditionally marginalised communities.</w:t>
      </w:r>
    </w:p>
    <w:p w14:paraId="438865C0" w14:textId="279460BF" w:rsidR="00902F90" w:rsidRPr="001F59B2" w:rsidRDefault="00902F90" w:rsidP="00D3558F">
      <w:pPr>
        <w:pStyle w:val="ListParagraph"/>
        <w:numPr>
          <w:ilvl w:val="0"/>
          <w:numId w:val="23"/>
        </w:numPr>
        <w:suppressAutoHyphens w:val="0"/>
        <w:spacing w:after="120"/>
        <w:ind w:left="357" w:hanging="357"/>
      </w:pPr>
      <w:r w:rsidRPr="3A842DCB">
        <w:rPr>
          <w:b/>
        </w:rPr>
        <w:t xml:space="preserve">Clarity of purpose and framing matters. </w:t>
      </w:r>
      <w:r w:rsidRPr="3A842DCB">
        <w:t xml:space="preserve">Some </w:t>
      </w:r>
      <w:proofErr w:type="spellStart"/>
      <w:r w:rsidRPr="00C5377B">
        <w:rPr>
          <w:iCs/>
        </w:rPr>
        <w:t>DemRes</w:t>
      </w:r>
      <w:proofErr w:type="spellEnd"/>
      <w:r w:rsidRPr="3A842DCB">
        <w:t xml:space="preserve"> partners expressed uncertainty over whether their mandate was to deliver ‘inclusion’ or ‘democratic resilience.’ </w:t>
      </w:r>
      <w:proofErr w:type="spellStart"/>
      <w:r w:rsidRPr="00D84A7F">
        <w:t>Partisipasi</w:t>
      </w:r>
      <w:proofErr w:type="spellEnd"/>
      <w:r w:rsidRPr="00486F72">
        <w:rPr>
          <w:i/>
        </w:rPr>
        <w:t xml:space="preserve"> </w:t>
      </w:r>
      <w:r w:rsidRPr="3A842DCB">
        <w:t>resolves this by explicitly framing inclusion as the mechanism of resilience. Equitable participation (especially by women, youth</w:t>
      </w:r>
      <w:r w:rsidR="0034493F">
        <w:t>s</w:t>
      </w:r>
      <w:r w:rsidRPr="3A842DCB">
        <w:t xml:space="preserve">, </w:t>
      </w:r>
      <w:r w:rsidR="002E200C">
        <w:t>and people</w:t>
      </w:r>
      <w:r w:rsidR="002E200C" w:rsidRPr="3A842DCB">
        <w:t xml:space="preserve"> </w:t>
      </w:r>
      <w:r w:rsidRPr="3A842DCB">
        <w:t xml:space="preserve">with disabilities) is in part what enables democracy to strengthen civic trust, and counter </w:t>
      </w:r>
      <w:r w:rsidR="00C0494A">
        <w:t>harmful</w:t>
      </w:r>
      <w:r w:rsidRPr="3A842DCB">
        <w:t xml:space="preserve"> narratives. This alignment ensures partners understand that inclusion is not a parallel agenda but an enabler of democratic integrity.</w:t>
      </w:r>
    </w:p>
    <w:p w14:paraId="62B45455" w14:textId="77777777" w:rsidR="00902F90" w:rsidRPr="004B26A4" w:rsidRDefault="00902F90" w:rsidP="00902F90">
      <w:pPr>
        <w:pStyle w:val="Heading5"/>
        <w:rPr>
          <w:lang w:eastAsia="en-AU"/>
        </w:rPr>
      </w:pPr>
      <w:r w:rsidRPr="004B26A4">
        <w:rPr>
          <w:lang w:eastAsia="en-AU"/>
        </w:rPr>
        <w:t>GEDSI Strategy and Partners</w:t>
      </w:r>
    </w:p>
    <w:p w14:paraId="3B143C10" w14:textId="77777777" w:rsidR="00902F90" w:rsidRPr="00B57CB6" w:rsidRDefault="00902F90" w:rsidP="00902F90">
      <w:r w:rsidRPr="00B57CB6">
        <w:t xml:space="preserve">The </w:t>
      </w:r>
      <w:proofErr w:type="spellStart"/>
      <w:r w:rsidRPr="00D84A7F">
        <w:rPr>
          <w:iCs/>
        </w:rPr>
        <w:t>Partisipasi</w:t>
      </w:r>
      <w:proofErr w:type="spellEnd"/>
      <w:r w:rsidRPr="00B57CB6">
        <w:t xml:space="preserve"> program adopts a twin-track approach to embedding GEDSI:</w:t>
      </w:r>
    </w:p>
    <w:p w14:paraId="1250FCF8" w14:textId="17983013" w:rsidR="00902F90" w:rsidRPr="00B57CB6" w:rsidRDefault="00902F90" w:rsidP="00504B06">
      <w:pPr>
        <w:pStyle w:val="ListParagraph"/>
        <w:numPr>
          <w:ilvl w:val="0"/>
          <w:numId w:val="78"/>
        </w:numPr>
      </w:pPr>
      <w:r w:rsidRPr="00B57CB6">
        <w:rPr>
          <w:b/>
          <w:bCs/>
        </w:rPr>
        <w:t>Mainstreaming GEDSI across all program components</w:t>
      </w:r>
      <w:r w:rsidRPr="00B57CB6">
        <w:t xml:space="preserve">: All activities—whether focused on civic participation, parliamentary </w:t>
      </w:r>
      <w:r w:rsidR="00E73018">
        <w:t>engagement</w:t>
      </w:r>
      <w:r w:rsidRPr="00B57CB6">
        <w:t xml:space="preserve">, or media resilience—will integrate gender equality, disability inclusion, and broader social inclusion. </w:t>
      </w:r>
      <w:r>
        <w:t>The activities will</w:t>
      </w:r>
      <w:r w:rsidRPr="00295D08">
        <w:t xml:space="preserve"> embed gender-sensitive design, equitable participation requirements, and accessibility standards.</w:t>
      </w:r>
      <w:r>
        <w:t xml:space="preserve"> </w:t>
      </w:r>
      <w:r w:rsidRPr="00B57CB6">
        <w:t xml:space="preserve">This ensures that democratic reforms benefit women, </w:t>
      </w:r>
      <w:r w:rsidR="0034493F">
        <w:t>people</w:t>
      </w:r>
      <w:r w:rsidR="0034493F" w:rsidRPr="00B57CB6">
        <w:t xml:space="preserve"> </w:t>
      </w:r>
      <w:r w:rsidRPr="00B57CB6">
        <w:t>with disabilities, youth</w:t>
      </w:r>
      <w:r w:rsidR="0034493F">
        <w:t>s</w:t>
      </w:r>
      <w:r w:rsidRPr="00B57CB6">
        <w:t>, and marginalised groups.</w:t>
      </w:r>
      <w:r>
        <w:t xml:space="preserve"> In addition, </w:t>
      </w:r>
      <w:r w:rsidRPr="00C034B4">
        <w:t>all program committees</w:t>
      </w:r>
      <w:r w:rsidR="0034493F">
        <w:t xml:space="preserve"> – </w:t>
      </w:r>
      <w:r w:rsidRPr="00C034B4">
        <w:t>not only the PAB</w:t>
      </w:r>
      <w:r w:rsidR="0034493F">
        <w:t xml:space="preserve"> – </w:t>
      </w:r>
      <w:r w:rsidRPr="00C034B4">
        <w:t>will include gender balance targets</w:t>
      </w:r>
      <w:r w:rsidRPr="00BC5E7F">
        <w:t>, with the Convenor responsible for monitoring compliance.</w:t>
      </w:r>
    </w:p>
    <w:p w14:paraId="480570B0" w14:textId="10A4919E" w:rsidR="00902F90" w:rsidRPr="00B57CB6" w:rsidRDefault="00902F90" w:rsidP="00504B06">
      <w:pPr>
        <w:pStyle w:val="ListParagraph"/>
        <w:numPr>
          <w:ilvl w:val="0"/>
          <w:numId w:val="78"/>
        </w:numPr>
      </w:pPr>
      <w:r w:rsidRPr="00B57CB6">
        <w:rPr>
          <w:b/>
          <w:bCs/>
        </w:rPr>
        <w:t>Targeted partnerships and initiatives</w:t>
      </w:r>
      <w:r w:rsidRPr="00B57CB6">
        <w:t xml:space="preserve">: </w:t>
      </w:r>
      <w:proofErr w:type="spellStart"/>
      <w:r w:rsidRPr="00B57CB6">
        <w:t>Partisipasi</w:t>
      </w:r>
      <w:proofErr w:type="spellEnd"/>
      <w:r w:rsidRPr="00B57CB6">
        <w:t xml:space="preserve"> will work with organisations representing women, </w:t>
      </w:r>
      <w:r w:rsidR="00C14F70">
        <w:t xml:space="preserve">such as </w:t>
      </w:r>
      <w:r>
        <w:t>women-led groups, WROs, OPDs</w:t>
      </w:r>
      <w:r w:rsidRPr="00B57CB6">
        <w:t>, youth</w:t>
      </w:r>
      <w:r>
        <w:t xml:space="preserve"> and student groups</w:t>
      </w:r>
      <w:r w:rsidRPr="00B57CB6">
        <w:t xml:space="preserve">, Indigenous/Adat groups, </w:t>
      </w:r>
      <w:r w:rsidRPr="005A2311">
        <w:t xml:space="preserve">and women-led media collectives. Special attention will be given to young women, rural women, and </w:t>
      </w:r>
      <w:r w:rsidRPr="005A2311">
        <w:lastRenderedPageBreak/>
        <w:t>women experiencing climate or economic shocks, in recognition of the intersectional inequities identified</w:t>
      </w:r>
      <w:r>
        <w:t xml:space="preserve"> in the GEDSI analysis</w:t>
      </w:r>
      <w:r w:rsidRPr="00B57CB6">
        <w:t>.</w:t>
      </w:r>
    </w:p>
    <w:p w14:paraId="13C0EB6E" w14:textId="77777777" w:rsidR="00902F90" w:rsidRPr="00B57CB6" w:rsidRDefault="00902F90" w:rsidP="00902F90">
      <w:r w:rsidRPr="00B57CB6">
        <w:t xml:space="preserve">Through these partnerships, </w:t>
      </w:r>
      <w:proofErr w:type="spellStart"/>
      <w:r w:rsidRPr="00D84A7F">
        <w:rPr>
          <w:iCs/>
        </w:rPr>
        <w:t>Partisipasi</w:t>
      </w:r>
      <w:proofErr w:type="spellEnd"/>
      <w:r w:rsidRPr="00B57CB6">
        <w:t xml:space="preserve"> will amplify marginalised voices in democratic spaces and ensure civic and institutional reforms reflect inclusive priorities.</w:t>
      </w:r>
    </w:p>
    <w:p w14:paraId="6B14861E" w14:textId="77777777" w:rsidR="00902F90" w:rsidRPr="004B26A4" w:rsidRDefault="00902F90" w:rsidP="00902F90">
      <w:pPr>
        <w:pStyle w:val="Heading5"/>
        <w:rPr>
          <w:lang w:eastAsia="en-AU"/>
        </w:rPr>
      </w:pPr>
      <w:r w:rsidRPr="004B26A4">
        <w:rPr>
          <w:lang w:eastAsia="en-AU"/>
        </w:rPr>
        <w:t>Embedded GEDSI Commitments</w:t>
      </w:r>
    </w:p>
    <w:p w14:paraId="0D6A1EB8" w14:textId="77777777" w:rsidR="00902F90" w:rsidRPr="00B57CB6" w:rsidRDefault="00902F90" w:rsidP="00902F90">
      <w:r w:rsidRPr="00B57CB6">
        <w:t xml:space="preserve">To operationalise GEDSI, </w:t>
      </w:r>
      <w:proofErr w:type="spellStart"/>
      <w:r w:rsidRPr="00D84A7F">
        <w:rPr>
          <w:iCs/>
        </w:rPr>
        <w:t>Partisipasi</w:t>
      </w:r>
      <w:proofErr w:type="spellEnd"/>
      <w:r w:rsidRPr="00B57CB6">
        <w:rPr>
          <w:i/>
          <w:iCs/>
        </w:rPr>
        <w:t xml:space="preserve"> </w:t>
      </w:r>
      <w:r w:rsidRPr="00B57CB6">
        <w:t>will integrate commitments into:</w:t>
      </w:r>
    </w:p>
    <w:p w14:paraId="3B292906" w14:textId="77777777" w:rsidR="00902F90" w:rsidRDefault="00902F90" w:rsidP="00504B06">
      <w:pPr>
        <w:pStyle w:val="ListParagraph"/>
        <w:numPr>
          <w:ilvl w:val="0"/>
          <w:numId w:val="79"/>
        </w:numPr>
      </w:pPr>
      <w:r w:rsidRPr="00B57CB6">
        <w:rPr>
          <w:b/>
          <w:bCs/>
        </w:rPr>
        <w:t>Governance structures</w:t>
      </w:r>
      <w:r w:rsidRPr="00B57CB6">
        <w:t xml:space="preserve">: </w:t>
      </w:r>
    </w:p>
    <w:p w14:paraId="35179D27" w14:textId="18025356" w:rsidR="00902F90" w:rsidRDefault="00902F90" w:rsidP="00504B06">
      <w:pPr>
        <w:pStyle w:val="ListParagraph"/>
        <w:numPr>
          <w:ilvl w:val="1"/>
          <w:numId w:val="79"/>
        </w:numPr>
      </w:pPr>
      <w:r w:rsidRPr="00B57CB6">
        <w:t xml:space="preserve">A GEDSI focal point in the </w:t>
      </w:r>
      <w:r w:rsidR="00C14F70">
        <w:t>CSP</w:t>
      </w:r>
      <w:r w:rsidR="00C14F70" w:rsidRPr="00B57CB6">
        <w:t xml:space="preserve"> </w:t>
      </w:r>
      <w:r w:rsidRPr="00B57CB6">
        <w:t xml:space="preserve">Steering Committee and within the Convenor’s </w:t>
      </w:r>
      <w:r w:rsidR="003C4A5D">
        <w:t>Terms of Reference</w:t>
      </w:r>
      <w:r w:rsidRPr="00B57CB6">
        <w:t>.</w:t>
      </w:r>
      <w:r>
        <w:t xml:space="preserve"> </w:t>
      </w:r>
    </w:p>
    <w:p w14:paraId="65F4B011" w14:textId="2C43C630" w:rsidR="00902F90" w:rsidRDefault="00902F90" w:rsidP="00504B06">
      <w:pPr>
        <w:pStyle w:val="ListParagraph"/>
        <w:numPr>
          <w:ilvl w:val="1"/>
          <w:numId w:val="79"/>
        </w:numPr>
      </w:pPr>
      <w:r>
        <w:t xml:space="preserve">Gender balance targets for the Program Advisory Board, </w:t>
      </w:r>
      <w:r w:rsidR="000B4528">
        <w:t>CSP Steering Committee</w:t>
      </w:r>
      <w:r>
        <w:t>, and other decision-making bodies.</w:t>
      </w:r>
    </w:p>
    <w:p w14:paraId="77136047" w14:textId="77777777" w:rsidR="00902F90" w:rsidRDefault="00902F90" w:rsidP="00504B06">
      <w:pPr>
        <w:pStyle w:val="ListParagraph"/>
        <w:numPr>
          <w:ilvl w:val="1"/>
          <w:numId w:val="79"/>
        </w:numPr>
      </w:pPr>
      <w:r>
        <w:t>TORs for all key personnel include gender equality responsibilities.</w:t>
      </w:r>
    </w:p>
    <w:p w14:paraId="3D617768" w14:textId="77777777" w:rsidR="00902F90" w:rsidRPr="00B57CB6" w:rsidRDefault="00902F90" w:rsidP="00504B06">
      <w:pPr>
        <w:pStyle w:val="ListParagraph"/>
        <w:numPr>
          <w:ilvl w:val="1"/>
          <w:numId w:val="79"/>
        </w:numPr>
      </w:pPr>
      <w:r>
        <w:t>Performance reviews and contractor assessments will measure contribution to GEDSI outcomes.</w:t>
      </w:r>
    </w:p>
    <w:p w14:paraId="5F2EB51C" w14:textId="77777777" w:rsidR="00902F90" w:rsidRDefault="00902F90" w:rsidP="00504B06">
      <w:pPr>
        <w:pStyle w:val="ListParagraph"/>
        <w:numPr>
          <w:ilvl w:val="0"/>
          <w:numId w:val="79"/>
        </w:numPr>
      </w:pPr>
      <w:r w:rsidRPr="00B57CB6">
        <w:rPr>
          <w:b/>
          <w:bCs/>
        </w:rPr>
        <w:t>Design and delivery</w:t>
      </w:r>
      <w:r w:rsidRPr="00B57CB6">
        <w:t xml:space="preserve">: </w:t>
      </w:r>
    </w:p>
    <w:p w14:paraId="1DE6D555" w14:textId="4C71BEC0" w:rsidR="00902F90" w:rsidRDefault="00902F90" w:rsidP="00504B06">
      <w:pPr>
        <w:pStyle w:val="ListParagraph"/>
        <w:numPr>
          <w:ilvl w:val="1"/>
          <w:numId w:val="79"/>
        </w:numPr>
      </w:pPr>
      <w:r w:rsidRPr="00B57CB6">
        <w:t xml:space="preserve">All Core Group </w:t>
      </w:r>
      <w:r w:rsidR="005F234A">
        <w:t>P</w:t>
      </w:r>
      <w:r w:rsidRPr="00B57CB6">
        <w:t>artners required to demonstrate how they will embed GEDSI principles in proposals, with flexibility for targeted initiatives (e.g. women-led media outlets, OPD-led civic education).</w:t>
      </w:r>
      <w:r>
        <w:t xml:space="preserve"> </w:t>
      </w:r>
    </w:p>
    <w:p w14:paraId="3B92CF68" w14:textId="42AF9C73" w:rsidR="00902F90" w:rsidRPr="00B57CB6" w:rsidRDefault="00902F90" w:rsidP="00504B06">
      <w:pPr>
        <w:pStyle w:val="ListParagraph"/>
        <w:numPr>
          <w:ilvl w:val="1"/>
          <w:numId w:val="79"/>
        </w:numPr>
      </w:pPr>
      <w:r w:rsidRPr="00C87394">
        <w:t>Grant</w:t>
      </w:r>
      <w:r w:rsidR="0035135B">
        <w:t xml:space="preserve"> </w:t>
      </w:r>
      <w:r w:rsidRPr="00C87394">
        <w:t>making criteria will explicitly incentivise gender programming, including participation targets for women</w:t>
      </w:r>
      <w:r>
        <w:t xml:space="preserve">, </w:t>
      </w:r>
      <w:r w:rsidRPr="00C87394">
        <w:t>women</w:t>
      </w:r>
      <w:r>
        <w:t>-led</w:t>
      </w:r>
      <w:r w:rsidRPr="00C87394">
        <w:t xml:space="preserve"> organisations</w:t>
      </w:r>
      <w:r>
        <w:t>, and WROs</w:t>
      </w:r>
      <w:r w:rsidRPr="00C87394">
        <w:t>.</w:t>
      </w:r>
    </w:p>
    <w:p w14:paraId="0A2BA519" w14:textId="77777777" w:rsidR="00902F90" w:rsidRDefault="00902F90" w:rsidP="00504B06">
      <w:pPr>
        <w:pStyle w:val="ListParagraph"/>
        <w:numPr>
          <w:ilvl w:val="0"/>
          <w:numId w:val="79"/>
        </w:numPr>
      </w:pPr>
      <w:r w:rsidRPr="00B57CB6">
        <w:rPr>
          <w:b/>
          <w:bCs/>
        </w:rPr>
        <w:t>Budgeting and MEL systems</w:t>
      </w:r>
      <w:r w:rsidRPr="00B57CB6">
        <w:t xml:space="preserve">: </w:t>
      </w:r>
    </w:p>
    <w:p w14:paraId="47695B2A" w14:textId="77777777" w:rsidR="00902F90" w:rsidRDefault="00902F90" w:rsidP="00504B06">
      <w:pPr>
        <w:pStyle w:val="ListParagraph"/>
        <w:numPr>
          <w:ilvl w:val="1"/>
          <w:numId w:val="79"/>
        </w:numPr>
      </w:pPr>
      <w:r w:rsidRPr="0060692E">
        <w:t>Dedicated GEDSI allocations, including earmarked funds for gender advisers</w:t>
      </w:r>
      <w:r>
        <w:t xml:space="preserve">, </w:t>
      </w:r>
      <w:r w:rsidRPr="004943A2">
        <w:t>targeted women’s leadership initiatives, and climate-related gender inclusion</w:t>
      </w:r>
      <w:r w:rsidRPr="00B57CB6">
        <w:t>.</w:t>
      </w:r>
    </w:p>
    <w:p w14:paraId="2FDB451B" w14:textId="4DC0898E" w:rsidR="00902F90" w:rsidRDefault="00902F90" w:rsidP="00504B06">
      <w:pPr>
        <w:pStyle w:val="ListParagraph"/>
        <w:numPr>
          <w:ilvl w:val="1"/>
          <w:numId w:val="79"/>
        </w:numPr>
      </w:pPr>
      <w:r>
        <w:t>Gender-responsive MEL indicators tracking women’s leadership, safety, access, and influence in decision-making.</w:t>
      </w:r>
    </w:p>
    <w:p w14:paraId="09F6F767" w14:textId="77777777" w:rsidR="00902F90" w:rsidRDefault="00902F90" w:rsidP="00504B06">
      <w:pPr>
        <w:pStyle w:val="ListParagraph"/>
        <w:numPr>
          <w:ilvl w:val="1"/>
          <w:numId w:val="79"/>
        </w:numPr>
      </w:pPr>
      <w:r>
        <w:t>Disaggregated data (sex, age, disability, rural/urban, minority groups).</w:t>
      </w:r>
    </w:p>
    <w:p w14:paraId="627DCEAE" w14:textId="68D68345" w:rsidR="00902F90" w:rsidRPr="00B57CB6" w:rsidRDefault="00902F90" w:rsidP="00902F90">
      <w:r w:rsidRPr="00F23197">
        <w:t xml:space="preserve">Rather than creating a siloed action plan, </w:t>
      </w:r>
      <w:proofErr w:type="spellStart"/>
      <w:r w:rsidRPr="00D84A7F">
        <w:rPr>
          <w:iCs/>
        </w:rPr>
        <w:t>Partisipasi</w:t>
      </w:r>
      <w:proofErr w:type="spellEnd"/>
      <w:r w:rsidRPr="00B57CB6">
        <w:rPr>
          <w:i/>
          <w:iCs/>
        </w:rPr>
        <w:t xml:space="preserve"> </w:t>
      </w:r>
      <w:r w:rsidRPr="00F23197">
        <w:t xml:space="preserve">will establish a GEDSI Implementation Toolkit and costed workplan to guide Core Group </w:t>
      </w:r>
      <w:r w:rsidR="005F234A">
        <w:t>P</w:t>
      </w:r>
      <w:r w:rsidRPr="00F23197">
        <w:t>artners</w:t>
      </w:r>
      <w:r w:rsidR="000B4528">
        <w:t>, which is embedded within the CSP Strategy</w:t>
      </w:r>
      <w:r w:rsidRPr="00B57CB6">
        <w:t>. This will:</w:t>
      </w:r>
    </w:p>
    <w:p w14:paraId="0F6EE61F" w14:textId="77777777" w:rsidR="00902F90" w:rsidRPr="00B57CB6" w:rsidRDefault="00902F90" w:rsidP="00504B06">
      <w:pPr>
        <w:pStyle w:val="ListParagraph"/>
        <w:numPr>
          <w:ilvl w:val="0"/>
          <w:numId w:val="80"/>
        </w:numPr>
      </w:pPr>
      <w:r w:rsidRPr="00B57CB6">
        <w:t>Be informed by consultations with OPDs, WROs, youth and Indigenous groups.</w:t>
      </w:r>
    </w:p>
    <w:p w14:paraId="2C7EDEDF" w14:textId="501894C5" w:rsidR="00902F90" w:rsidRPr="00B57CB6" w:rsidRDefault="00902F90" w:rsidP="00504B06">
      <w:pPr>
        <w:pStyle w:val="ListParagraph"/>
        <w:numPr>
          <w:ilvl w:val="0"/>
          <w:numId w:val="80"/>
        </w:numPr>
      </w:pPr>
      <w:r w:rsidRPr="00B57CB6">
        <w:t xml:space="preserve">Identify synergies with DFAT bilateral/regional initiatives (e.g. INKLUSI, SKALA, KONEKSI, Investing in Women) and </w:t>
      </w:r>
      <w:r w:rsidRPr="00555538">
        <w:t>Australian parliamentary and electoral institutions</w:t>
      </w:r>
      <w:r w:rsidRPr="00B57CB6">
        <w:t>.</w:t>
      </w:r>
    </w:p>
    <w:p w14:paraId="1A38DFEA" w14:textId="77777777" w:rsidR="00902F90" w:rsidRDefault="00902F90" w:rsidP="00504B06">
      <w:pPr>
        <w:pStyle w:val="ListParagraph"/>
        <w:numPr>
          <w:ilvl w:val="0"/>
          <w:numId w:val="80"/>
        </w:numPr>
      </w:pPr>
      <w:r w:rsidRPr="00B57CB6">
        <w:t>Provide guidance such as fact sheets, talking points for policy engagement, case studies of inclusive champions, and practical tools for GEDSI mainstreaming.</w:t>
      </w:r>
    </w:p>
    <w:p w14:paraId="12F2D1C0" w14:textId="77777777" w:rsidR="00902F90" w:rsidRDefault="00902F90" w:rsidP="00504B06">
      <w:pPr>
        <w:pStyle w:val="ListParagraph"/>
        <w:numPr>
          <w:ilvl w:val="0"/>
          <w:numId w:val="80"/>
        </w:numPr>
      </w:pPr>
      <w:r w:rsidRPr="00FB26BC">
        <w:t>Provide tools for gender-sensitive policy engagement, safeguarding, risk management, and leadership development.</w:t>
      </w:r>
    </w:p>
    <w:p w14:paraId="08658001" w14:textId="77777777" w:rsidR="00902F90" w:rsidRDefault="00902F90" w:rsidP="00504B06">
      <w:pPr>
        <w:pStyle w:val="ListParagraph"/>
        <w:numPr>
          <w:ilvl w:val="0"/>
          <w:numId w:val="80"/>
        </w:numPr>
      </w:pPr>
      <w:r w:rsidRPr="006D64D0">
        <w:t>Include a gender-responsive MEL toolkit with specific indicators on women’s leadership, participation, and safety</w:t>
      </w:r>
      <w:r>
        <w:t xml:space="preserve"> and </w:t>
      </w:r>
      <w:r w:rsidRPr="00D60FD1">
        <w:t>indicators</w:t>
      </w:r>
      <w:r>
        <w:t xml:space="preserve"> </w:t>
      </w:r>
      <w:r w:rsidRPr="00D60FD1">
        <w:t xml:space="preserve">on </w:t>
      </w:r>
      <w:r w:rsidRPr="00C034B4">
        <w:t>accessibility, leadership, and participation for people with disability</w:t>
      </w:r>
      <w:r w:rsidRPr="00D60FD1">
        <w:t>.</w:t>
      </w:r>
    </w:p>
    <w:p w14:paraId="38EC6441" w14:textId="70DC0834" w:rsidR="00902F90" w:rsidRPr="00B57CB6" w:rsidRDefault="00902F90" w:rsidP="00504B06">
      <w:pPr>
        <w:pStyle w:val="ListParagraph"/>
        <w:numPr>
          <w:ilvl w:val="0"/>
          <w:numId w:val="80"/>
        </w:numPr>
      </w:pPr>
      <w:r>
        <w:t xml:space="preserve">Include </w:t>
      </w:r>
      <w:r w:rsidRPr="00C034B4">
        <w:t xml:space="preserve">climate-related </w:t>
      </w:r>
      <w:r>
        <w:t xml:space="preserve">considerations and </w:t>
      </w:r>
      <w:r w:rsidRPr="00C034B4">
        <w:t>indicators that consider</w:t>
      </w:r>
      <w:r w:rsidRPr="005B1A67">
        <w:t xml:space="preserve"> the experiences and participation of women, youth and </w:t>
      </w:r>
      <w:r w:rsidR="00154E46">
        <w:t>persons</w:t>
      </w:r>
      <w:r w:rsidR="00154E46" w:rsidRPr="005B1A67">
        <w:t xml:space="preserve"> </w:t>
      </w:r>
      <w:r w:rsidRPr="005B1A67">
        <w:t>with disabilit</w:t>
      </w:r>
      <w:r w:rsidR="00154E46">
        <w:t>ies</w:t>
      </w:r>
      <w:r w:rsidRPr="005B1A67">
        <w:t>.</w:t>
      </w:r>
    </w:p>
    <w:p w14:paraId="5FCEECCD" w14:textId="77777777" w:rsidR="00902F90" w:rsidRPr="004B26A4" w:rsidRDefault="00902F90" w:rsidP="00902F90">
      <w:pPr>
        <w:pStyle w:val="Heading5"/>
        <w:rPr>
          <w:lang w:eastAsia="en-AU"/>
        </w:rPr>
      </w:pPr>
      <w:r w:rsidRPr="004B26A4">
        <w:rPr>
          <w:lang w:eastAsia="en-AU"/>
        </w:rPr>
        <w:t>Resourcing and Accountability</w:t>
      </w:r>
    </w:p>
    <w:p w14:paraId="205F507D" w14:textId="77777777" w:rsidR="00902F90" w:rsidRPr="00B57CB6" w:rsidRDefault="00902F90" w:rsidP="00902F90">
      <w:r w:rsidRPr="00B57CB6">
        <w:t>To ensure meaningful GEDSI integration across the program:</w:t>
      </w:r>
    </w:p>
    <w:p w14:paraId="039F80FD" w14:textId="77777777" w:rsidR="00902F90" w:rsidRPr="00B57CB6" w:rsidRDefault="00902F90" w:rsidP="00504B06">
      <w:pPr>
        <w:pStyle w:val="ListParagraph"/>
        <w:numPr>
          <w:ilvl w:val="0"/>
          <w:numId w:val="81"/>
        </w:numPr>
      </w:pPr>
      <w:r w:rsidRPr="00B57CB6">
        <w:rPr>
          <w:b/>
          <w:bCs/>
        </w:rPr>
        <w:t>Dedicated GEDSI budget</w:t>
      </w:r>
      <w:r w:rsidRPr="00B57CB6">
        <w:t>: A proportion of program funds earmarked for GEDSI activities and innovation.</w:t>
      </w:r>
    </w:p>
    <w:p w14:paraId="3C005D7A" w14:textId="77777777" w:rsidR="002A33A0" w:rsidRPr="002A33A0" w:rsidRDefault="00902F90" w:rsidP="00504B06">
      <w:pPr>
        <w:pStyle w:val="ListParagraph"/>
        <w:numPr>
          <w:ilvl w:val="0"/>
          <w:numId w:val="81"/>
        </w:numPr>
      </w:pPr>
      <w:r w:rsidRPr="00B57CB6">
        <w:rPr>
          <w:b/>
          <w:bCs/>
        </w:rPr>
        <w:t>GEDSI technical assistance</w:t>
      </w:r>
      <w:r w:rsidRPr="00B57CB6">
        <w:t xml:space="preserve">: </w:t>
      </w:r>
      <w:proofErr w:type="spellStart"/>
      <w:r w:rsidR="00BC13AE" w:rsidRPr="00BC13AE">
        <w:rPr>
          <w:lang w:val="en-AU"/>
        </w:rPr>
        <w:t>Partisipasi</w:t>
      </w:r>
      <w:proofErr w:type="spellEnd"/>
      <w:r w:rsidR="00BC13AE" w:rsidRPr="00BC13AE">
        <w:rPr>
          <w:lang w:val="en-AU"/>
        </w:rPr>
        <w:t xml:space="preserve"> will ensure dedicated gender and disability expertise through the program’s Technical Advisory Panel (TAP). The Convenor, with input from the Core Group </w:t>
      </w:r>
      <w:r w:rsidR="00BC13AE" w:rsidRPr="00BC13AE">
        <w:rPr>
          <w:lang w:val="en-AU"/>
        </w:rPr>
        <w:lastRenderedPageBreak/>
        <w:t>members, may nominate recognised Indonesian gender equality and disability equity specialists to provide contextual advice, review activity design, and support partner capacity where needed (this expertise may be drawn from amongst the core group membership or sourced independently). This approach balances technical oversight</w:t>
      </w:r>
      <w:r w:rsidR="00BC13AE">
        <w:rPr>
          <w:lang w:val="en-AU"/>
        </w:rPr>
        <w:t xml:space="preserve"> with</w:t>
      </w:r>
      <w:r w:rsidR="00BC13AE" w:rsidRPr="00BC13AE">
        <w:rPr>
          <w:lang w:val="en-AU"/>
        </w:rPr>
        <w:t xml:space="preserve"> local ownership</w:t>
      </w:r>
      <w:r w:rsidR="00BC13AE">
        <w:rPr>
          <w:lang w:val="en-AU"/>
        </w:rPr>
        <w:t>.</w:t>
      </w:r>
      <w:r w:rsidR="002A33A0">
        <w:rPr>
          <w:lang w:val="en-AU"/>
        </w:rPr>
        <w:t xml:space="preserve"> </w:t>
      </w:r>
      <w:r w:rsidR="002A33A0" w:rsidRPr="002477D3">
        <w:t>These experts could</w:t>
      </w:r>
      <w:r w:rsidR="002A33A0" w:rsidRPr="002A33A0">
        <w:t xml:space="preserve"> advise on safeguards</w:t>
      </w:r>
      <w:r w:rsidR="002A33A0">
        <w:t xml:space="preserve"> </w:t>
      </w:r>
      <w:r w:rsidR="002A33A0" w:rsidRPr="002A33A0">
        <w:t>and monitor progress on gender and disability objectives.</w:t>
      </w:r>
    </w:p>
    <w:p w14:paraId="18CD590C" w14:textId="3B139CF5" w:rsidR="00902F90" w:rsidRPr="00B57CB6" w:rsidRDefault="00902F90" w:rsidP="00504B06">
      <w:pPr>
        <w:pStyle w:val="ListParagraph"/>
        <w:numPr>
          <w:ilvl w:val="0"/>
          <w:numId w:val="81"/>
        </w:numPr>
      </w:pPr>
      <w:r w:rsidRPr="002A33A0">
        <w:rPr>
          <w:b/>
          <w:bCs/>
        </w:rPr>
        <w:t>GEDSI in MERL</w:t>
      </w:r>
      <w:r w:rsidRPr="00B57CB6">
        <w:t xml:space="preserve">: GEDSI-specific KPIs and indicators (e.g. women’s and </w:t>
      </w:r>
      <w:r w:rsidR="00154E46" w:rsidRPr="002A33A0">
        <w:rPr>
          <w:rFonts w:eastAsia="Times New Roman" w:cstheme="minorHAnsi"/>
          <w:sz w:val="21"/>
          <w:szCs w:val="21"/>
          <w:lang w:val="en-AU"/>
        </w:rPr>
        <w:t xml:space="preserve">persons </w:t>
      </w:r>
      <w:r w:rsidRPr="002A33A0">
        <w:rPr>
          <w:rFonts w:eastAsia="Times New Roman" w:cstheme="minorHAnsi"/>
          <w:sz w:val="21"/>
          <w:szCs w:val="21"/>
          <w:lang w:val="en-AU"/>
        </w:rPr>
        <w:t>with disabilit</w:t>
      </w:r>
      <w:r w:rsidR="00154E46" w:rsidRPr="002A33A0">
        <w:rPr>
          <w:rFonts w:eastAsia="Times New Roman" w:cstheme="minorHAnsi"/>
          <w:sz w:val="21"/>
          <w:szCs w:val="21"/>
          <w:lang w:val="en-AU"/>
        </w:rPr>
        <w:t>ies’</w:t>
      </w:r>
      <w:r w:rsidRPr="00B57CB6">
        <w:t xml:space="preserve"> influence in decision-making, representation in civic coalitions, accessibility of electoral processes).</w:t>
      </w:r>
      <w:r>
        <w:t xml:space="preserve"> </w:t>
      </w:r>
      <w:r w:rsidRPr="0051097B">
        <w:t>Disaggregate data on participation (sex, age, disability, other marginalised identities).</w:t>
      </w:r>
      <w:r w:rsidRPr="00772EE8">
        <w:t xml:space="preserve"> Gender-responsive MEL toolkit tracks women’s participation, safety, and leadership.</w:t>
      </w:r>
    </w:p>
    <w:p w14:paraId="18DDD3B7" w14:textId="77777777" w:rsidR="00902F90" w:rsidRPr="00B57CB6" w:rsidRDefault="00902F90" w:rsidP="00504B06">
      <w:pPr>
        <w:pStyle w:val="ListParagraph"/>
        <w:numPr>
          <w:ilvl w:val="0"/>
          <w:numId w:val="81"/>
        </w:numPr>
      </w:pPr>
      <w:r w:rsidRPr="00443580">
        <w:rPr>
          <w:b/>
          <w:bCs/>
        </w:rPr>
        <w:t>Safeguarding:</w:t>
      </w:r>
      <w:r w:rsidRPr="00443580">
        <w:t xml:space="preserve"> </w:t>
      </w:r>
      <w:r w:rsidRPr="00B57CB6">
        <w:t>Risk mitigation strategies will be strengthened to address gender-specific threats, including backlash against women’s participation, online harassment, and exclusion from political processes.</w:t>
      </w:r>
    </w:p>
    <w:p w14:paraId="110FC95B" w14:textId="7A794335" w:rsidR="00902F90" w:rsidRPr="00B57CB6" w:rsidRDefault="00902F90" w:rsidP="00504B06">
      <w:pPr>
        <w:pStyle w:val="ListParagraph"/>
        <w:numPr>
          <w:ilvl w:val="0"/>
          <w:numId w:val="81"/>
        </w:numPr>
      </w:pPr>
      <w:r w:rsidRPr="00B57CB6">
        <w:rPr>
          <w:b/>
          <w:bCs/>
        </w:rPr>
        <w:t>Diversity in delivery</w:t>
      </w:r>
      <w:r w:rsidRPr="00B57CB6">
        <w:t xml:space="preserve">: </w:t>
      </w:r>
      <w:r>
        <w:t>The Convenor</w:t>
      </w:r>
      <w:r w:rsidRPr="00B57CB6">
        <w:t xml:space="preserve"> and Core Group </w:t>
      </w:r>
      <w:r w:rsidR="005F234A">
        <w:t>P</w:t>
      </w:r>
      <w:r w:rsidRPr="00B57CB6">
        <w:t>artners will demonstrate inclusive staffing and procurement, including preference for women-led and disability-led CSOs.</w:t>
      </w:r>
    </w:p>
    <w:p w14:paraId="25AC728A" w14:textId="75171A31" w:rsidR="00902F90" w:rsidRPr="00C034B4" w:rsidRDefault="00902F90" w:rsidP="00504B06">
      <w:pPr>
        <w:pStyle w:val="ListParagraph"/>
        <w:numPr>
          <w:ilvl w:val="0"/>
          <w:numId w:val="81"/>
        </w:numPr>
      </w:pPr>
      <w:r>
        <w:rPr>
          <w:b/>
          <w:bCs/>
        </w:rPr>
        <w:t>Grant</w:t>
      </w:r>
      <w:r w:rsidR="002B3B9F">
        <w:rPr>
          <w:b/>
          <w:bCs/>
        </w:rPr>
        <w:t>-</w:t>
      </w:r>
      <w:r>
        <w:rPr>
          <w:b/>
          <w:bCs/>
        </w:rPr>
        <w:t>making:</w:t>
      </w:r>
      <w:r w:rsidRPr="00D97A4C">
        <w:t xml:space="preserve"> </w:t>
      </w:r>
      <w:r w:rsidRPr="00414512">
        <w:t>grant</w:t>
      </w:r>
      <w:r w:rsidR="00154E46">
        <w:t xml:space="preserve"> </w:t>
      </w:r>
      <w:r w:rsidRPr="00414512">
        <w:t xml:space="preserve">making criteria </w:t>
      </w:r>
      <w:r>
        <w:t>will</w:t>
      </w:r>
      <w:r w:rsidRPr="00414512">
        <w:t xml:space="preserve"> incentivise </w:t>
      </w:r>
      <w:r>
        <w:t xml:space="preserve">gender-sensitive and </w:t>
      </w:r>
      <w:r w:rsidRPr="00414512">
        <w:t xml:space="preserve">disability-focused programming, including participation targets for </w:t>
      </w:r>
      <w:r>
        <w:t>women, youth</w:t>
      </w:r>
      <w:r w:rsidR="0034493F">
        <w:t>s</w:t>
      </w:r>
      <w:r>
        <w:t xml:space="preserve">, </w:t>
      </w:r>
      <w:r w:rsidRPr="00414512">
        <w:t xml:space="preserve">people with disability and </w:t>
      </w:r>
      <w:r>
        <w:t>organisations that represent them, such as OPDs, WROs/women groups, and youth groups.</w:t>
      </w:r>
    </w:p>
    <w:p w14:paraId="63B2E0BD" w14:textId="77777777" w:rsidR="00902F90" w:rsidRDefault="00902F90" w:rsidP="00504B06">
      <w:pPr>
        <w:pStyle w:val="ListParagraph"/>
        <w:numPr>
          <w:ilvl w:val="0"/>
          <w:numId w:val="81"/>
        </w:numPr>
      </w:pPr>
      <w:r w:rsidRPr="00B57CB6">
        <w:rPr>
          <w:b/>
          <w:bCs/>
        </w:rPr>
        <w:t>Performance incentives</w:t>
      </w:r>
      <w:r w:rsidRPr="00B57CB6">
        <w:t>: Contractor performance assessments will include achievement of GEDSI outcomes.</w:t>
      </w:r>
      <w:r>
        <w:t xml:space="preserve"> </w:t>
      </w:r>
    </w:p>
    <w:p w14:paraId="0C7D3B87" w14:textId="77777777" w:rsidR="00902F90" w:rsidRPr="00F1174A" w:rsidRDefault="00902F90" w:rsidP="00902F90">
      <w:pPr>
        <w:rPr>
          <w:b/>
          <w:bCs/>
          <w:lang w:val="en-AU"/>
        </w:rPr>
      </w:pPr>
      <w:r w:rsidRPr="00F1174A">
        <w:rPr>
          <w:b/>
          <w:bCs/>
          <w:lang w:val="en-AU"/>
        </w:rPr>
        <w:t>DFAT Policy Alignment and Gender Policy Marker</w:t>
      </w:r>
    </w:p>
    <w:p w14:paraId="3B616ED4" w14:textId="011D61EF" w:rsidR="00902F90" w:rsidRPr="00F1174A" w:rsidRDefault="00902F90" w:rsidP="00902F90">
      <w:pPr>
        <w:rPr>
          <w:lang w:val="en-AU"/>
        </w:rPr>
      </w:pPr>
      <w:proofErr w:type="spellStart"/>
      <w:r w:rsidRPr="00D84A7F">
        <w:rPr>
          <w:iCs/>
          <w:lang w:val="en-AU"/>
        </w:rPr>
        <w:t>Partisipasi</w:t>
      </w:r>
      <w:proofErr w:type="spellEnd"/>
      <w:r w:rsidRPr="00F1174A">
        <w:rPr>
          <w:lang w:val="en-AU"/>
        </w:rPr>
        <w:t xml:space="preserve"> is expected to qualify as a</w:t>
      </w:r>
      <w:r w:rsidRPr="000B4528">
        <w:rPr>
          <w:lang w:val="en-AU"/>
        </w:rPr>
        <w:t xml:space="preserve"> </w:t>
      </w:r>
      <w:r w:rsidRPr="009553BD">
        <w:rPr>
          <w:lang w:val="en-AU"/>
        </w:rPr>
        <w:t>gender equality significant investment</w:t>
      </w:r>
      <w:r w:rsidRPr="000B4528">
        <w:rPr>
          <w:lang w:val="en-AU"/>
        </w:rPr>
        <w:t xml:space="preserve"> </w:t>
      </w:r>
      <w:r w:rsidRPr="00F1174A">
        <w:rPr>
          <w:lang w:val="en-AU"/>
        </w:rPr>
        <w:t>under the OECD DAC Gender Equality Policy Marker, with justification including:</w:t>
      </w:r>
    </w:p>
    <w:p w14:paraId="23E58B1E" w14:textId="77777777" w:rsidR="00902F90" w:rsidRPr="00F1174A" w:rsidRDefault="00902F90" w:rsidP="00504B06">
      <w:pPr>
        <w:numPr>
          <w:ilvl w:val="0"/>
          <w:numId w:val="82"/>
        </w:numPr>
        <w:rPr>
          <w:lang w:val="en-AU"/>
        </w:rPr>
      </w:pPr>
      <w:r w:rsidRPr="00F1174A">
        <w:rPr>
          <w:lang w:val="en-AU"/>
        </w:rPr>
        <w:t>Gender and inclusion analysis informing program design.</w:t>
      </w:r>
    </w:p>
    <w:p w14:paraId="3816B80B" w14:textId="3B79F340" w:rsidR="00902F90" w:rsidRPr="00F1174A" w:rsidRDefault="00902F90" w:rsidP="00504B06">
      <w:pPr>
        <w:numPr>
          <w:ilvl w:val="0"/>
          <w:numId w:val="82"/>
        </w:numPr>
        <w:rPr>
          <w:lang w:val="en-AU"/>
        </w:rPr>
      </w:pPr>
      <w:r w:rsidRPr="00F1174A">
        <w:rPr>
          <w:lang w:val="en-AU"/>
        </w:rPr>
        <w:t>Explicit GEDSI-related outcomes in the Program Logic (</w:t>
      </w:r>
      <w:r>
        <w:rPr>
          <w:lang w:val="en-AU"/>
        </w:rPr>
        <w:t>refer to IO2.1</w:t>
      </w:r>
      <w:r w:rsidRPr="00F1174A">
        <w:rPr>
          <w:lang w:val="en-AU"/>
        </w:rPr>
        <w:t>).</w:t>
      </w:r>
    </w:p>
    <w:p w14:paraId="5A9F5609" w14:textId="77777777" w:rsidR="00902F90" w:rsidRPr="00F1174A" w:rsidRDefault="00902F90" w:rsidP="00504B06">
      <w:pPr>
        <w:numPr>
          <w:ilvl w:val="0"/>
          <w:numId w:val="82"/>
        </w:numPr>
        <w:rPr>
          <w:lang w:val="en-AU"/>
        </w:rPr>
      </w:pPr>
      <w:r w:rsidRPr="00F1174A">
        <w:rPr>
          <w:lang w:val="en-AU"/>
        </w:rPr>
        <w:t>Integration of sex-, age-, and disability-disaggregated data in MEL.</w:t>
      </w:r>
    </w:p>
    <w:p w14:paraId="2DB48185" w14:textId="77777777" w:rsidR="00902F90" w:rsidRPr="00C034B4" w:rsidRDefault="00902F90" w:rsidP="00504B06">
      <w:pPr>
        <w:numPr>
          <w:ilvl w:val="0"/>
          <w:numId w:val="82"/>
        </w:numPr>
        <w:rPr>
          <w:b/>
          <w:bCs/>
        </w:rPr>
      </w:pPr>
      <w:r w:rsidRPr="00F1174A">
        <w:rPr>
          <w:lang w:val="en-AU"/>
        </w:rPr>
        <w:t>Ongoing monitoring, evaluation, and reporting on GEDSI outcomes.</w:t>
      </w:r>
    </w:p>
    <w:p w14:paraId="00D99487" w14:textId="77777777" w:rsidR="00902F90" w:rsidRDefault="00902F90" w:rsidP="00902F90">
      <w:pPr>
        <w:rPr>
          <w:b/>
          <w:bCs/>
        </w:rPr>
        <w:sectPr w:rsidR="00902F90" w:rsidSect="00902F90">
          <w:headerReference w:type="first" r:id="rId33"/>
          <w:pgSz w:w="11906" w:h="16838" w:code="9"/>
          <w:pgMar w:top="1418" w:right="993" w:bottom="1701" w:left="1134" w:header="425" w:footer="493" w:gutter="0"/>
          <w:cols w:space="397"/>
          <w:titlePg/>
          <w:docGrid w:linePitch="360"/>
        </w:sectPr>
      </w:pPr>
    </w:p>
    <w:p w14:paraId="36239DEA" w14:textId="38F76B7D" w:rsidR="00902F90" w:rsidRDefault="00902F90" w:rsidP="00902F90">
      <w:pPr>
        <w:pStyle w:val="Caption"/>
        <w:keepNext/>
      </w:pPr>
      <w:r>
        <w:lastRenderedPageBreak/>
        <w:t>Table</w:t>
      </w:r>
      <w:r w:rsidR="008D4216">
        <w:t xml:space="preserve"> 1</w:t>
      </w:r>
      <w:r w:rsidR="00FC764C">
        <w:t>9</w:t>
      </w:r>
      <w:r>
        <w:t xml:space="preserve">: </w:t>
      </w:r>
      <w:r w:rsidRPr="00964B13">
        <w:t xml:space="preserve">GEDSI Integration Framework for </w:t>
      </w:r>
      <w:proofErr w:type="spellStart"/>
      <w:r w:rsidRPr="00964B13">
        <w:t>Partisipasi</w:t>
      </w:r>
      <w:proofErr w:type="spellEnd"/>
    </w:p>
    <w:tbl>
      <w:tblPr>
        <w:tblStyle w:val="DFATTable1"/>
        <w:tblW w:w="1464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782"/>
        <w:gridCol w:w="5715"/>
        <w:gridCol w:w="2453"/>
      </w:tblGrid>
      <w:tr w:rsidR="00902F90" w:rsidRPr="006C3AC6" w14:paraId="01A9F5E4" w14:textId="77777777" w:rsidTr="0067283D">
        <w:trPr>
          <w:cnfStyle w:val="100000000000" w:firstRow="1" w:lastRow="0" w:firstColumn="0" w:lastColumn="0" w:oddVBand="0" w:evenVBand="0" w:oddHBand="0" w:evenHBand="0" w:firstRowFirstColumn="0" w:firstRowLastColumn="0" w:lastRowFirstColumn="0" w:lastRowLastColumn="0"/>
          <w:tblHeader/>
        </w:trPr>
        <w:tc>
          <w:tcPr>
            <w:tcW w:w="2694" w:type="dxa"/>
            <w:shd w:val="clear" w:color="auto" w:fill="C1E7E0" w:themeFill="accent1" w:themeFillTint="66"/>
            <w:hideMark/>
          </w:tcPr>
          <w:p w14:paraId="0F6DED8F" w14:textId="4D77CF4C" w:rsidR="00902F90" w:rsidRPr="006C3AC6" w:rsidRDefault="00902F90">
            <w:pPr>
              <w:rPr>
                <w:rFonts w:asciiTheme="minorHAnsi" w:hAnsiTheme="minorHAnsi" w:cstheme="minorHAnsi"/>
                <w:b/>
                <w:color w:val="36424B" w:themeColor="text2" w:themeShade="BF"/>
                <w:sz w:val="20"/>
                <w:szCs w:val="20"/>
                <w:lang w:val="en-AU" w:eastAsia="en-AU"/>
              </w:rPr>
            </w:pPr>
            <w:r w:rsidRPr="006C3AC6">
              <w:rPr>
                <w:rFonts w:asciiTheme="minorHAnsi" w:hAnsiTheme="minorHAnsi" w:cstheme="minorHAnsi"/>
                <w:b/>
                <w:color w:val="36424B" w:themeColor="text2" w:themeShade="BF"/>
                <w:sz w:val="20"/>
                <w:szCs w:val="20"/>
                <w:lang w:val="en-AU" w:eastAsia="en-AU"/>
              </w:rPr>
              <w:t>EOPO/IO</w:t>
            </w:r>
          </w:p>
        </w:tc>
        <w:tc>
          <w:tcPr>
            <w:tcW w:w="3782" w:type="dxa"/>
            <w:shd w:val="clear" w:color="auto" w:fill="C1E7E0" w:themeFill="accent1" w:themeFillTint="66"/>
            <w:hideMark/>
          </w:tcPr>
          <w:p w14:paraId="073F33D6" w14:textId="77777777" w:rsidR="00902F90" w:rsidRPr="006C3AC6" w:rsidRDefault="00902F90">
            <w:pPr>
              <w:rPr>
                <w:rFonts w:asciiTheme="minorHAnsi" w:hAnsiTheme="minorHAnsi" w:cstheme="minorHAnsi"/>
                <w:b/>
                <w:color w:val="36424B" w:themeColor="text2" w:themeShade="BF"/>
                <w:sz w:val="20"/>
                <w:szCs w:val="20"/>
                <w:lang w:val="en-AU" w:eastAsia="en-AU"/>
              </w:rPr>
            </w:pPr>
            <w:r w:rsidRPr="006C3AC6">
              <w:rPr>
                <w:rFonts w:asciiTheme="minorHAnsi" w:hAnsiTheme="minorHAnsi" w:cstheme="minorHAnsi"/>
                <w:b/>
                <w:color w:val="36424B" w:themeColor="text2" w:themeShade="BF"/>
                <w:sz w:val="20"/>
                <w:szCs w:val="20"/>
                <w:lang w:val="en-AU" w:eastAsia="en-AU"/>
              </w:rPr>
              <w:t>Mainstreamed GEDSI Actions (embedded across all activities)</w:t>
            </w:r>
          </w:p>
        </w:tc>
        <w:tc>
          <w:tcPr>
            <w:tcW w:w="5715" w:type="dxa"/>
            <w:shd w:val="clear" w:color="auto" w:fill="C1E7E0" w:themeFill="accent1" w:themeFillTint="66"/>
            <w:hideMark/>
          </w:tcPr>
          <w:p w14:paraId="1EB444A7" w14:textId="77777777" w:rsidR="00902F90" w:rsidRPr="006C3AC6" w:rsidRDefault="00902F90">
            <w:pPr>
              <w:rPr>
                <w:rFonts w:asciiTheme="minorHAnsi" w:hAnsiTheme="minorHAnsi" w:cstheme="minorHAnsi"/>
                <w:b/>
                <w:color w:val="36424B" w:themeColor="text2" w:themeShade="BF"/>
                <w:sz w:val="20"/>
                <w:szCs w:val="20"/>
                <w:lang w:val="en-AU" w:eastAsia="en-AU"/>
              </w:rPr>
            </w:pPr>
            <w:r w:rsidRPr="006C3AC6">
              <w:rPr>
                <w:rFonts w:asciiTheme="minorHAnsi" w:hAnsiTheme="minorHAnsi" w:cstheme="minorHAnsi"/>
                <w:b/>
                <w:color w:val="36424B" w:themeColor="text2" w:themeShade="BF"/>
                <w:sz w:val="20"/>
                <w:szCs w:val="20"/>
                <w:lang w:val="en-AU" w:eastAsia="en-AU"/>
              </w:rPr>
              <w:t>Targeted GEDSI Actions (specific initiatives for marginalised groups)</w:t>
            </w:r>
          </w:p>
        </w:tc>
        <w:tc>
          <w:tcPr>
            <w:tcW w:w="2453" w:type="dxa"/>
            <w:shd w:val="clear" w:color="auto" w:fill="C1E7E0" w:themeFill="accent1" w:themeFillTint="66"/>
            <w:hideMark/>
          </w:tcPr>
          <w:p w14:paraId="04BA7F15" w14:textId="0858703A" w:rsidR="00902F90" w:rsidRPr="006C3AC6" w:rsidRDefault="00902F90">
            <w:pPr>
              <w:rPr>
                <w:rFonts w:asciiTheme="minorHAnsi" w:hAnsiTheme="minorHAnsi" w:cstheme="minorHAnsi"/>
                <w:b/>
                <w:color w:val="36424B" w:themeColor="text2" w:themeShade="BF"/>
                <w:sz w:val="20"/>
                <w:szCs w:val="20"/>
                <w:lang w:val="en-AU" w:eastAsia="en-AU"/>
              </w:rPr>
            </w:pPr>
            <w:r w:rsidRPr="006C3AC6">
              <w:rPr>
                <w:rFonts w:asciiTheme="minorHAnsi" w:hAnsiTheme="minorHAnsi" w:cstheme="minorHAnsi"/>
                <w:b/>
                <w:color w:val="36424B" w:themeColor="text2" w:themeShade="BF"/>
                <w:sz w:val="20"/>
                <w:szCs w:val="20"/>
                <w:lang w:val="en-AU" w:eastAsia="en-AU"/>
              </w:rPr>
              <w:t>Examples from Outputs/ Activities</w:t>
            </w:r>
          </w:p>
        </w:tc>
      </w:tr>
      <w:tr w:rsidR="00902F90" w:rsidRPr="006C3AC6" w14:paraId="7DE49D1B" w14:textId="77777777" w:rsidTr="0067283D">
        <w:tc>
          <w:tcPr>
            <w:tcW w:w="2694" w:type="dxa"/>
            <w:hideMark/>
          </w:tcPr>
          <w:p w14:paraId="704AD436" w14:textId="43D61DD6" w:rsidR="00902F90" w:rsidRPr="006C3AC6" w:rsidRDefault="00902F90">
            <w:pPr>
              <w:rPr>
                <w:rFonts w:asciiTheme="minorHAnsi" w:hAnsiTheme="minorHAnsi" w:cstheme="minorHAnsi"/>
                <w:b/>
                <w:sz w:val="20"/>
                <w:szCs w:val="20"/>
                <w:lang w:val="en-AU"/>
              </w:rPr>
            </w:pPr>
            <w:r w:rsidRPr="006C3AC6">
              <w:rPr>
                <w:rFonts w:asciiTheme="minorHAnsi" w:hAnsiTheme="minorHAnsi" w:cstheme="minorHAnsi"/>
                <w:b/>
                <w:sz w:val="20"/>
                <w:szCs w:val="20"/>
                <w:lang w:val="en-AU"/>
              </w:rPr>
              <w:t>EOPO1 Strengthened Institutional Resilience</w:t>
            </w:r>
          </w:p>
          <w:p w14:paraId="04377DF9" w14:textId="77777777" w:rsidR="00AF3E95" w:rsidRDefault="00AF3E95">
            <w:pPr>
              <w:rPr>
                <w:rFonts w:asciiTheme="minorHAnsi" w:hAnsiTheme="minorHAnsi" w:cstheme="minorHAnsi"/>
                <w:sz w:val="20"/>
                <w:szCs w:val="20"/>
                <w:lang w:val="en-AU"/>
              </w:rPr>
            </w:pPr>
            <w:r w:rsidRPr="006C3AC6">
              <w:rPr>
                <w:rFonts w:asciiTheme="minorHAnsi" w:hAnsiTheme="minorHAnsi" w:cstheme="minorHAnsi"/>
                <w:sz w:val="20"/>
                <w:szCs w:val="20"/>
                <w:lang w:val="en-AU"/>
              </w:rPr>
              <w:t>IO1.</w:t>
            </w:r>
            <w:r>
              <w:rPr>
                <w:rFonts w:asciiTheme="minorHAnsi" w:hAnsiTheme="minorHAnsi" w:cstheme="minorHAnsi"/>
                <w:sz w:val="20"/>
                <w:szCs w:val="20"/>
                <w:lang w:val="en-AU"/>
              </w:rPr>
              <w:t>1</w:t>
            </w:r>
            <w:r w:rsidRPr="006C3AC6">
              <w:rPr>
                <w:rFonts w:asciiTheme="minorHAnsi" w:hAnsiTheme="minorHAnsi" w:cstheme="minorHAnsi"/>
                <w:sz w:val="20"/>
                <w:szCs w:val="20"/>
                <w:lang w:val="en-AU"/>
              </w:rPr>
              <w:t xml:space="preserve"> </w:t>
            </w:r>
            <w:r>
              <w:rPr>
                <w:rFonts w:asciiTheme="minorHAnsi" w:hAnsiTheme="minorHAnsi" w:cstheme="minorHAnsi"/>
                <w:sz w:val="20"/>
                <w:szCs w:val="20"/>
                <w:lang w:val="en-AU"/>
              </w:rPr>
              <w:t>Key Indonesian and Australian state actors have improved linkages and shared learning to reinforce democratic principles.</w:t>
            </w:r>
          </w:p>
          <w:p w14:paraId="27F74AD7" w14:textId="71529BD0" w:rsidR="00902F90" w:rsidRPr="006C3AC6" w:rsidRDefault="00902F90">
            <w:pPr>
              <w:rPr>
                <w:rFonts w:asciiTheme="minorHAnsi" w:hAnsiTheme="minorHAnsi" w:cstheme="minorHAnsi"/>
                <w:sz w:val="20"/>
                <w:szCs w:val="20"/>
                <w:lang w:val="en-AU"/>
              </w:rPr>
            </w:pPr>
            <w:r w:rsidRPr="006C3AC6">
              <w:rPr>
                <w:rFonts w:asciiTheme="minorHAnsi" w:hAnsiTheme="minorHAnsi" w:cstheme="minorHAnsi"/>
                <w:sz w:val="20"/>
                <w:szCs w:val="20"/>
                <w:lang w:val="en-AU"/>
              </w:rPr>
              <w:t>IO1.</w:t>
            </w:r>
            <w:r w:rsidR="00D3669D">
              <w:rPr>
                <w:rFonts w:asciiTheme="minorHAnsi" w:hAnsiTheme="minorHAnsi" w:cstheme="minorHAnsi"/>
                <w:sz w:val="20"/>
                <w:szCs w:val="20"/>
                <w:lang w:val="en-AU"/>
              </w:rPr>
              <w:t>2</w:t>
            </w:r>
            <w:r w:rsidRPr="006C3AC6">
              <w:rPr>
                <w:rFonts w:asciiTheme="minorHAnsi" w:hAnsiTheme="minorHAnsi" w:cstheme="minorHAnsi"/>
                <w:sz w:val="20"/>
                <w:szCs w:val="20"/>
                <w:lang w:val="en-AU"/>
              </w:rPr>
              <w:t xml:space="preserve"> Key state actors </w:t>
            </w:r>
            <w:r w:rsidR="00D3669D">
              <w:rPr>
                <w:rFonts w:asciiTheme="minorHAnsi" w:hAnsiTheme="minorHAnsi" w:cstheme="minorHAnsi"/>
                <w:sz w:val="20"/>
                <w:szCs w:val="20"/>
                <w:lang w:val="en-AU"/>
              </w:rPr>
              <w:t>demonstrate improved knowledge, skills and practices that reinforce democratic processes and institutional integrity.</w:t>
            </w:r>
          </w:p>
        </w:tc>
        <w:tc>
          <w:tcPr>
            <w:tcW w:w="3782" w:type="dxa"/>
            <w:hideMark/>
          </w:tcPr>
          <w:p w14:paraId="54FED633" w14:textId="01C3DB7B"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 xml:space="preserve">Ensure all institutional strengthening support includes a GEDSI lens (e.g. electoral reforms consider accessibility for </w:t>
            </w:r>
            <w:r w:rsidRPr="006C3AC6">
              <w:rPr>
                <w:rFonts w:asciiTheme="minorHAnsi" w:eastAsia="Times New Roman" w:hAnsiTheme="minorHAnsi" w:cstheme="minorHAnsi"/>
                <w:sz w:val="20"/>
                <w:szCs w:val="20"/>
                <w:lang w:val="en-AU"/>
              </w:rPr>
              <w:t>people with disability</w:t>
            </w:r>
            <w:r w:rsidRPr="006C3AC6">
              <w:rPr>
                <w:rFonts w:asciiTheme="minorHAnsi" w:hAnsiTheme="minorHAnsi" w:cstheme="minorHAnsi"/>
                <w:sz w:val="20"/>
                <w:szCs w:val="20"/>
                <w:lang w:val="en-AU"/>
              </w:rPr>
              <w:t>, gender parity in voter registration systems).</w:t>
            </w:r>
          </w:p>
          <w:p w14:paraId="4F6C46EE" w14:textId="5F6EB5E2"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Mainstream GEDSI into short courses, exchanges, and TA, ensuring balanced participation of women, youth</w:t>
            </w:r>
            <w:r w:rsidR="0034493F">
              <w:rPr>
                <w:rFonts w:asciiTheme="minorHAnsi" w:hAnsiTheme="minorHAnsi" w:cstheme="minorHAnsi"/>
                <w:sz w:val="20"/>
                <w:szCs w:val="20"/>
                <w:lang w:val="en-AU"/>
              </w:rPr>
              <w:t>s</w:t>
            </w:r>
            <w:r w:rsidRPr="006C3AC6">
              <w:rPr>
                <w:rFonts w:asciiTheme="minorHAnsi" w:hAnsiTheme="minorHAnsi" w:cstheme="minorHAnsi"/>
                <w:sz w:val="20"/>
                <w:szCs w:val="20"/>
                <w:lang w:val="en-AU"/>
              </w:rPr>
              <w:t xml:space="preserve">, and </w:t>
            </w:r>
            <w:r w:rsidRPr="006C3AC6">
              <w:rPr>
                <w:rFonts w:asciiTheme="minorHAnsi" w:eastAsia="Times New Roman" w:hAnsiTheme="minorHAnsi" w:cstheme="minorHAnsi"/>
                <w:sz w:val="20"/>
                <w:szCs w:val="20"/>
                <w:lang w:val="en-AU"/>
              </w:rPr>
              <w:t>people with disability</w:t>
            </w:r>
            <w:r w:rsidRPr="006C3AC6">
              <w:rPr>
                <w:rFonts w:asciiTheme="minorHAnsi" w:hAnsiTheme="minorHAnsi" w:cstheme="minorHAnsi"/>
                <w:sz w:val="20"/>
                <w:szCs w:val="20"/>
                <w:lang w:val="en-AU"/>
              </w:rPr>
              <w:t>.</w:t>
            </w:r>
          </w:p>
          <w:p w14:paraId="07EA0197" w14:textId="77777777"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TORs of government liaison personnel include GEDSI responsibilities</w:t>
            </w:r>
            <w:r w:rsidRPr="006C3AC6">
              <w:rPr>
                <w:rFonts w:asciiTheme="minorHAnsi" w:eastAsiaTheme="majorEastAsia" w:hAnsiTheme="minorHAnsi" w:cstheme="minorHAnsi"/>
                <w:sz w:val="20"/>
                <w:szCs w:val="20"/>
                <w:lang w:val="en-AU"/>
              </w:rPr>
              <w:t>.</w:t>
            </w:r>
          </w:p>
        </w:tc>
        <w:tc>
          <w:tcPr>
            <w:tcW w:w="5715" w:type="dxa"/>
          </w:tcPr>
          <w:p w14:paraId="374BAB43" w14:textId="77777777" w:rsidR="00902F90" w:rsidRPr="006C3AC6" w:rsidRDefault="00902F90">
            <w:pPr>
              <w:ind w:left="-17"/>
              <w:rPr>
                <w:rFonts w:asciiTheme="minorHAnsi" w:hAnsiTheme="minorHAnsi" w:cstheme="minorHAnsi"/>
                <w:sz w:val="20"/>
                <w:szCs w:val="20"/>
                <w:lang w:val="en-AU"/>
              </w:rPr>
            </w:pPr>
            <w:r w:rsidRPr="006C3AC6">
              <w:rPr>
                <w:rFonts w:asciiTheme="minorHAnsi" w:hAnsiTheme="minorHAnsi" w:cstheme="minorHAnsi"/>
                <w:b/>
                <w:bCs/>
                <w:sz w:val="20"/>
                <w:szCs w:val="20"/>
              </w:rPr>
              <w:t>Gender Equality:</w:t>
            </w:r>
            <w:r w:rsidRPr="006C3AC6">
              <w:rPr>
                <w:rFonts w:asciiTheme="minorHAnsi" w:hAnsiTheme="minorHAnsi" w:cstheme="minorHAnsi"/>
                <w:sz w:val="20"/>
                <w:szCs w:val="20"/>
              </w:rPr>
              <w:t xml:space="preserve"> </w:t>
            </w:r>
            <w:r w:rsidRPr="006C3AC6">
              <w:rPr>
                <w:rFonts w:asciiTheme="minorHAnsi" w:hAnsiTheme="minorHAnsi" w:cstheme="minorHAnsi"/>
                <w:sz w:val="20"/>
                <w:szCs w:val="20"/>
              </w:rPr>
              <w:br/>
              <w:t xml:space="preserve">• Leadership development pathways for women in electoral commissions and parliaments. </w:t>
            </w:r>
            <w:r w:rsidRPr="006C3AC6">
              <w:rPr>
                <w:rFonts w:asciiTheme="minorHAnsi" w:hAnsiTheme="minorHAnsi" w:cstheme="minorHAnsi"/>
                <w:sz w:val="20"/>
                <w:szCs w:val="20"/>
              </w:rPr>
              <w:br/>
              <w:t xml:space="preserve">• Gender-responsive civic education and voter information reforms. </w:t>
            </w:r>
            <w:r w:rsidRPr="006C3AC6">
              <w:rPr>
                <w:rFonts w:asciiTheme="minorHAnsi" w:hAnsiTheme="minorHAnsi" w:cstheme="minorHAnsi"/>
                <w:sz w:val="20"/>
                <w:szCs w:val="20"/>
              </w:rPr>
              <w:br/>
              <w:t>• Gender advisers engaged in electoral reform and accountability processes.</w:t>
            </w:r>
          </w:p>
          <w:p w14:paraId="6CF60606" w14:textId="76543303" w:rsidR="00902F90" w:rsidRPr="006C3AC6" w:rsidRDefault="00902F90">
            <w:pPr>
              <w:ind w:left="-17"/>
              <w:rPr>
                <w:rFonts w:asciiTheme="minorHAnsi" w:hAnsiTheme="minorHAnsi" w:cstheme="minorHAnsi"/>
                <w:sz w:val="20"/>
                <w:szCs w:val="20"/>
                <w:lang w:val="en-AU"/>
              </w:rPr>
            </w:pPr>
            <w:r w:rsidRPr="006C3AC6">
              <w:rPr>
                <w:rFonts w:asciiTheme="minorHAnsi" w:hAnsiTheme="minorHAnsi" w:cstheme="minorHAnsi"/>
                <w:b/>
                <w:bCs/>
                <w:sz w:val="20"/>
                <w:szCs w:val="20"/>
              </w:rPr>
              <w:t>Disability Equity:</w:t>
            </w:r>
            <w:r w:rsidRPr="006C3AC6">
              <w:rPr>
                <w:rFonts w:asciiTheme="minorHAnsi" w:hAnsiTheme="minorHAnsi" w:cstheme="minorHAnsi"/>
                <w:sz w:val="20"/>
                <w:szCs w:val="20"/>
              </w:rPr>
              <w:t xml:space="preserve"> </w:t>
            </w:r>
            <w:r w:rsidRPr="006C3AC6">
              <w:rPr>
                <w:rFonts w:asciiTheme="minorHAnsi" w:hAnsiTheme="minorHAnsi" w:cstheme="minorHAnsi"/>
                <w:sz w:val="20"/>
                <w:szCs w:val="20"/>
              </w:rPr>
              <w:br/>
              <w:t>• Accessibility pilots</w:t>
            </w:r>
            <w:r w:rsidR="00BF4B53">
              <w:rPr>
                <w:rFonts w:asciiTheme="minorHAnsi" w:hAnsiTheme="minorHAnsi" w:cstheme="minorHAnsi"/>
                <w:sz w:val="20"/>
                <w:szCs w:val="20"/>
              </w:rPr>
              <w:t xml:space="preserve"> – </w:t>
            </w:r>
            <w:r w:rsidRPr="006C3AC6">
              <w:rPr>
                <w:rFonts w:asciiTheme="minorHAnsi" w:hAnsiTheme="minorHAnsi" w:cstheme="minorHAnsi"/>
                <w:sz w:val="20"/>
                <w:szCs w:val="20"/>
              </w:rPr>
              <w:t>universal polling station design, braille/large print ballots, sign</w:t>
            </w:r>
            <w:r w:rsidR="00BF4B53">
              <w:rPr>
                <w:rFonts w:asciiTheme="minorHAnsi" w:hAnsiTheme="minorHAnsi" w:cstheme="minorHAnsi"/>
                <w:sz w:val="20"/>
                <w:szCs w:val="20"/>
              </w:rPr>
              <w:t xml:space="preserve"> </w:t>
            </w:r>
            <w:r w:rsidRPr="006C3AC6">
              <w:rPr>
                <w:rFonts w:asciiTheme="minorHAnsi" w:hAnsiTheme="minorHAnsi" w:cstheme="minorHAnsi"/>
                <w:sz w:val="20"/>
                <w:szCs w:val="20"/>
              </w:rPr>
              <w:t xml:space="preserve">language interpreters. </w:t>
            </w:r>
            <w:r w:rsidRPr="006C3AC6">
              <w:rPr>
                <w:rFonts w:asciiTheme="minorHAnsi" w:hAnsiTheme="minorHAnsi" w:cstheme="minorHAnsi"/>
                <w:sz w:val="20"/>
                <w:szCs w:val="20"/>
              </w:rPr>
              <w:br/>
              <w:t xml:space="preserve">• Disability leadership development within EMBs and oversight bodies. </w:t>
            </w:r>
            <w:r w:rsidRPr="006C3AC6">
              <w:rPr>
                <w:rFonts w:asciiTheme="minorHAnsi" w:hAnsiTheme="minorHAnsi" w:cstheme="minorHAnsi"/>
                <w:sz w:val="20"/>
                <w:szCs w:val="20"/>
              </w:rPr>
              <w:br/>
              <w:t>• OPD representation in reform consultations and advisory groups.</w:t>
            </w:r>
          </w:p>
        </w:tc>
        <w:tc>
          <w:tcPr>
            <w:tcW w:w="2453" w:type="dxa"/>
            <w:hideMark/>
          </w:tcPr>
          <w:p w14:paraId="35520878" w14:textId="77777777"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GEDSI audits for state institutions.</w:t>
            </w:r>
          </w:p>
          <w:p w14:paraId="271BB9D7" w14:textId="77777777"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Short courses with gender/disability quotas.</w:t>
            </w:r>
          </w:p>
          <w:p w14:paraId="6DB52334" w14:textId="29863AB5"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Pilots on participatory policy processes inclusive of women, youth</w:t>
            </w:r>
            <w:r w:rsidR="0034493F">
              <w:rPr>
                <w:rFonts w:asciiTheme="minorHAnsi" w:hAnsiTheme="minorHAnsi" w:cstheme="minorHAnsi"/>
                <w:sz w:val="20"/>
                <w:szCs w:val="20"/>
                <w:lang w:val="en-AU"/>
              </w:rPr>
              <w:t>s</w:t>
            </w:r>
            <w:r w:rsidRPr="006C3AC6">
              <w:rPr>
                <w:rFonts w:asciiTheme="minorHAnsi" w:hAnsiTheme="minorHAnsi" w:cstheme="minorHAnsi"/>
                <w:sz w:val="20"/>
                <w:szCs w:val="20"/>
                <w:lang w:val="en-AU"/>
              </w:rPr>
              <w:t xml:space="preserve">, </w:t>
            </w:r>
            <w:r w:rsidRPr="006C3AC6">
              <w:rPr>
                <w:rFonts w:asciiTheme="minorHAnsi" w:eastAsia="Times New Roman" w:hAnsiTheme="minorHAnsi" w:cstheme="minorHAnsi"/>
                <w:sz w:val="20"/>
                <w:szCs w:val="20"/>
                <w:lang w:val="en-AU"/>
              </w:rPr>
              <w:t>people with disability</w:t>
            </w:r>
            <w:r w:rsidRPr="006C3AC6">
              <w:rPr>
                <w:rFonts w:asciiTheme="minorHAnsi" w:hAnsiTheme="minorHAnsi" w:cstheme="minorHAnsi"/>
                <w:sz w:val="20"/>
                <w:szCs w:val="20"/>
                <w:lang w:val="en-AU"/>
              </w:rPr>
              <w:t>.</w:t>
            </w:r>
          </w:p>
          <w:p w14:paraId="59146146" w14:textId="26D987E1"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 xml:space="preserve">Gender Equality and Disability Equity </w:t>
            </w:r>
            <w:proofErr w:type="gramStart"/>
            <w:r w:rsidR="00031153">
              <w:rPr>
                <w:rFonts w:asciiTheme="minorHAnsi" w:hAnsiTheme="minorHAnsi" w:cstheme="minorHAnsi"/>
                <w:sz w:val="20"/>
                <w:szCs w:val="20"/>
                <w:lang w:val="en-AU"/>
              </w:rPr>
              <w:t>advisers</w:t>
            </w:r>
            <w:proofErr w:type="gramEnd"/>
            <w:r w:rsidR="00031153">
              <w:rPr>
                <w:rFonts w:asciiTheme="minorHAnsi" w:hAnsiTheme="minorHAnsi" w:cstheme="minorHAnsi"/>
                <w:sz w:val="20"/>
                <w:szCs w:val="20"/>
                <w:lang w:val="en-AU"/>
              </w:rPr>
              <w:t xml:space="preserve"> </w:t>
            </w:r>
            <w:r w:rsidRPr="006C3AC6">
              <w:rPr>
                <w:rFonts w:asciiTheme="minorHAnsi" w:hAnsiTheme="minorHAnsi" w:cstheme="minorHAnsi"/>
                <w:sz w:val="20"/>
                <w:szCs w:val="20"/>
                <w:lang w:val="en-AU"/>
              </w:rPr>
              <w:t>input to institutional reforms.</w:t>
            </w:r>
          </w:p>
        </w:tc>
      </w:tr>
      <w:tr w:rsidR="00902F90" w:rsidRPr="006C3AC6" w14:paraId="4F70628D" w14:textId="77777777" w:rsidTr="0067283D">
        <w:tc>
          <w:tcPr>
            <w:tcW w:w="2694" w:type="dxa"/>
            <w:hideMark/>
          </w:tcPr>
          <w:p w14:paraId="466C1D7A" w14:textId="1735F413" w:rsidR="00902F90" w:rsidRPr="006C3AC6" w:rsidRDefault="00902F90">
            <w:pPr>
              <w:rPr>
                <w:rFonts w:asciiTheme="minorHAnsi" w:hAnsiTheme="minorHAnsi" w:cstheme="minorHAnsi"/>
                <w:b/>
                <w:sz w:val="20"/>
                <w:szCs w:val="20"/>
                <w:lang w:val="en-AU"/>
              </w:rPr>
            </w:pPr>
            <w:r w:rsidRPr="006C3AC6">
              <w:rPr>
                <w:rFonts w:asciiTheme="minorHAnsi" w:hAnsiTheme="minorHAnsi" w:cstheme="minorHAnsi"/>
                <w:b/>
                <w:sz w:val="20"/>
                <w:szCs w:val="20"/>
                <w:lang w:val="en-AU"/>
              </w:rPr>
              <w:t>EOPO2 Democratic Integrity</w:t>
            </w:r>
          </w:p>
          <w:p w14:paraId="3CB3B726" w14:textId="133C814A" w:rsidR="00902F90" w:rsidRPr="006C3AC6" w:rsidRDefault="00902F90">
            <w:pPr>
              <w:rPr>
                <w:rFonts w:asciiTheme="minorHAnsi" w:hAnsiTheme="minorHAnsi" w:cstheme="minorHAnsi"/>
                <w:sz w:val="20"/>
                <w:szCs w:val="20"/>
                <w:lang w:val="en-AU"/>
              </w:rPr>
            </w:pPr>
            <w:r w:rsidRPr="006C3AC6">
              <w:rPr>
                <w:rFonts w:asciiTheme="minorHAnsi" w:hAnsiTheme="minorHAnsi" w:cstheme="minorHAnsi"/>
                <w:sz w:val="20"/>
                <w:szCs w:val="20"/>
                <w:lang w:val="en-AU"/>
              </w:rPr>
              <w:t xml:space="preserve">IO2.1 </w:t>
            </w:r>
            <w:r w:rsidR="006E5540" w:rsidRPr="006E5540">
              <w:rPr>
                <w:rFonts w:asciiTheme="minorHAnsi" w:hAnsiTheme="minorHAnsi" w:cstheme="minorHAnsi"/>
                <w:sz w:val="20"/>
                <w:szCs w:val="20"/>
              </w:rPr>
              <w:t xml:space="preserve">Civil society actors are better equipped, and increasingly </w:t>
            </w:r>
            <w:r w:rsidR="005E557F" w:rsidRPr="006E5540">
              <w:rPr>
                <w:rFonts w:asciiTheme="minorHAnsi" w:hAnsiTheme="minorHAnsi" w:cstheme="minorHAnsi"/>
                <w:sz w:val="20"/>
                <w:szCs w:val="20"/>
              </w:rPr>
              <w:t>collaborate with</w:t>
            </w:r>
            <w:r w:rsidR="006E5540" w:rsidRPr="006E5540">
              <w:rPr>
                <w:rFonts w:asciiTheme="minorHAnsi" w:hAnsiTheme="minorHAnsi" w:cstheme="minorHAnsi"/>
                <w:sz w:val="20"/>
                <w:szCs w:val="20"/>
              </w:rPr>
              <w:t xml:space="preserve"> each other to promote democratic resilience, including with youths, women, people with disabilities, and for climate justice.</w:t>
            </w:r>
          </w:p>
          <w:p w14:paraId="558600E0" w14:textId="240DA116" w:rsidR="00902F90" w:rsidRPr="006C3AC6" w:rsidRDefault="00902F90">
            <w:pPr>
              <w:rPr>
                <w:rFonts w:asciiTheme="minorHAnsi" w:hAnsiTheme="minorHAnsi" w:cstheme="minorHAnsi"/>
                <w:sz w:val="20"/>
                <w:szCs w:val="20"/>
                <w:lang w:val="en-AU"/>
              </w:rPr>
            </w:pPr>
            <w:r w:rsidRPr="006C3AC6">
              <w:rPr>
                <w:rFonts w:asciiTheme="minorHAnsi" w:hAnsiTheme="minorHAnsi" w:cstheme="minorHAnsi"/>
                <w:sz w:val="20"/>
                <w:szCs w:val="20"/>
                <w:lang w:val="en-AU"/>
              </w:rPr>
              <w:t xml:space="preserve">IO2.2 </w:t>
            </w:r>
            <w:r w:rsidR="00B85591" w:rsidRPr="00B85591">
              <w:rPr>
                <w:rFonts w:asciiTheme="minorHAnsi" w:hAnsiTheme="minorHAnsi" w:cstheme="minorHAnsi"/>
                <w:sz w:val="20"/>
                <w:szCs w:val="20"/>
              </w:rPr>
              <w:t>The media are better able to deliver quality and independent journalism, uphold integrity, and counter mis/disinformation.</w:t>
            </w:r>
          </w:p>
        </w:tc>
        <w:tc>
          <w:tcPr>
            <w:tcW w:w="3782" w:type="dxa"/>
            <w:hideMark/>
          </w:tcPr>
          <w:p w14:paraId="10DC6393" w14:textId="696E6C5F"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 xml:space="preserve">Require all CSO coalitions supported by </w:t>
            </w:r>
            <w:proofErr w:type="spellStart"/>
            <w:r w:rsidRPr="006C3AC6">
              <w:rPr>
                <w:rFonts w:asciiTheme="minorHAnsi" w:hAnsiTheme="minorHAnsi" w:cstheme="minorHAnsi"/>
                <w:sz w:val="20"/>
                <w:szCs w:val="20"/>
                <w:lang w:val="en-AU"/>
              </w:rPr>
              <w:t>Partisipasi</w:t>
            </w:r>
            <w:proofErr w:type="spellEnd"/>
            <w:r w:rsidRPr="006C3AC6">
              <w:rPr>
                <w:rFonts w:asciiTheme="minorHAnsi" w:hAnsiTheme="minorHAnsi" w:cstheme="minorHAnsi"/>
                <w:sz w:val="20"/>
                <w:szCs w:val="20"/>
                <w:lang w:val="en-AU"/>
              </w:rPr>
              <w:t xml:space="preserve"> to embed inclusive leadership and decision-making (youth</w:t>
            </w:r>
            <w:r w:rsidR="0034493F">
              <w:rPr>
                <w:rFonts w:asciiTheme="minorHAnsi" w:hAnsiTheme="minorHAnsi" w:cstheme="minorHAnsi"/>
                <w:sz w:val="20"/>
                <w:szCs w:val="20"/>
                <w:lang w:val="en-AU"/>
              </w:rPr>
              <w:t>s</w:t>
            </w:r>
            <w:r w:rsidRPr="006C3AC6">
              <w:rPr>
                <w:rFonts w:asciiTheme="minorHAnsi" w:hAnsiTheme="minorHAnsi" w:cstheme="minorHAnsi"/>
                <w:sz w:val="20"/>
                <w:szCs w:val="20"/>
                <w:lang w:val="en-AU"/>
              </w:rPr>
              <w:t xml:space="preserve">, women, </w:t>
            </w:r>
            <w:r w:rsidRPr="006C3AC6">
              <w:rPr>
                <w:rFonts w:asciiTheme="minorHAnsi" w:eastAsia="Times New Roman" w:hAnsiTheme="minorHAnsi" w:cstheme="minorHAnsi"/>
                <w:sz w:val="20"/>
                <w:szCs w:val="20"/>
                <w:lang w:val="en-AU"/>
              </w:rPr>
              <w:t>people with disability</w:t>
            </w:r>
            <w:r w:rsidRPr="006C3AC6">
              <w:rPr>
                <w:rFonts w:asciiTheme="minorHAnsi" w:hAnsiTheme="minorHAnsi" w:cstheme="minorHAnsi"/>
                <w:sz w:val="20"/>
                <w:szCs w:val="20"/>
                <w:lang w:val="en-AU"/>
              </w:rPr>
              <w:t xml:space="preserve"> representation).</w:t>
            </w:r>
          </w:p>
          <w:p w14:paraId="71E4BBD7" w14:textId="33D8B63D"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Ensure media capacity</w:t>
            </w:r>
            <w:r w:rsidR="00B00E78">
              <w:rPr>
                <w:rFonts w:asciiTheme="minorHAnsi" w:hAnsiTheme="minorHAnsi" w:cstheme="minorHAnsi"/>
                <w:sz w:val="20"/>
                <w:szCs w:val="20"/>
                <w:lang w:val="en-AU"/>
              </w:rPr>
              <w:t xml:space="preserve"> </w:t>
            </w:r>
            <w:r w:rsidRPr="006C3AC6">
              <w:rPr>
                <w:rFonts w:asciiTheme="minorHAnsi" w:hAnsiTheme="minorHAnsi" w:cstheme="minorHAnsi"/>
                <w:sz w:val="20"/>
                <w:szCs w:val="20"/>
                <w:lang w:val="en-AU"/>
              </w:rPr>
              <w:t>building includes gender-sensitive reporting and accessibility principles.</w:t>
            </w:r>
          </w:p>
          <w:p w14:paraId="6F072535" w14:textId="1BD3FF4E"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Grant</w:t>
            </w:r>
            <w:r w:rsidR="0035135B">
              <w:rPr>
                <w:rFonts w:asciiTheme="minorHAnsi" w:hAnsiTheme="minorHAnsi" w:cstheme="minorHAnsi"/>
                <w:sz w:val="20"/>
                <w:szCs w:val="20"/>
                <w:lang w:val="en-AU"/>
              </w:rPr>
              <w:t xml:space="preserve"> </w:t>
            </w:r>
            <w:r w:rsidRPr="006C3AC6">
              <w:rPr>
                <w:rFonts w:asciiTheme="minorHAnsi" w:hAnsiTheme="minorHAnsi" w:cstheme="minorHAnsi"/>
                <w:sz w:val="20"/>
                <w:szCs w:val="20"/>
                <w:lang w:val="en-AU"/>
              </w:rPr>
              <w:t>making criteria include targets for women’s organisations and women-led CSOs.</w:t>
            </w:r>
          </w:p>
        </w:tc>
        <w:tc>
          <w:tcPr>
            <w:tcW w:w="5715" w:type="dxa"/>
          </w:tcPr>
          <w:p w14:paraId="002B5712" w14:textId="77777777" w:rsidR="00902F90" w:rsidRPr="006C3AC6" w:rsidRDefault="00902F90">
            <w:pPr>
              <w:rPr>
                <w:rFonts w:asciiTheme="minorHAnsi" w:hAnsiTheme="minorHAnsi" w:cstheme="minorHAnsi"/>
                <w:sz w:val="20"/>
                <w:szCs w:val="20"/>
                <w:lang w:val="en-AU"/>
              </w:rPr>
            </w:pPr>
            <w:r w:rsidRPr="006C3AC6">
              <w:rPr>
                <w:rFonts w:asciiTheme="minorHAnsi" w:hAnsiTheme="minorHAnsi" w:cstheme="minorHAnsi"/>
                <w:b/>
                <w:bCs/>
                <w:sz w:val="20"/>
                <w:szCs w:val="20"/>
              </w:rPr>
              <w:t>Gender Equality:</w:t>
            </w:r>
            <w:r w:rsidRPr="006C3AC6">
              <w:rPr>
                <w:rFonts w:asciiTheme="minorHAnsi" w:hAnsiTheme="minorHAnsi" w:cstheme="minorHAnsi"/>
                <w:sz w:val="20"/>
                <w:szCs w:val="20"/>
              </w:rPr>
              <w:t xml:space="preserve"> </w:t>
            </w:r>
            <w:r w:rsidRPr="006C3AC6">
              <w:rPr>
                <w:rFonts w:asciiTheme="minorHAnsi" w:hAnsiTheme="minorHAnsi" w:cstheme="minorHAnsi"/>
                <w:sz w:val="20"/>
                <w:szCs w:val="20"/>
              </w:rPr>
              <w:br/>
              <w:t xml:space="preserve">• Fund women-led CSOs and journalist associations to drive civic innovation and media integrity. </w:t>
            </w:r>
            <w:r w:rsidRPr="006C3AC6">
              <w:rPr>
                <w:rFonts w:asciiTheme="minorHAnsi" w:hAnsiTheme="minorHAnsi" w:cstheme="minorHAnsi"/>
                <w:sz w:val="20"/>
                <w:szCs w:val="20"/>
              </w:rPr>
              <w:br/>
              <w:t xml:space="preserve">• Programs to counter gender-based online harassment and disinformation. </w:t>
            </w:r>
            <w:r w:rsidRPr="006C3AC6">
              <w:rPr>
                <w:rFonts w:asciiTheme="minorHAnsi" w:hAnsiTheme="minorHAnsi" w:cstheme="minorHAnsi"/>
                <w:sz w:val="20"/>
                <w:szCs w:val="20"/>
              </w:rPr>
              <w:br/>
              <w:t xml:space="preserve">• Leadership pipelines for young women in civic and media sectors. </w:t>
            </w:r>
            <w:r w:rsidRPr="006C3AC6">
              <w:rPr>
                <w:rFonts w:asciiTheme="minorHAnsi" w:hAnsiTheme="minorHAnsi" w:cstheme="minorHAnsi"/>
                <w:sz w:val="20"/>
                <w:szCs w:val="20"/>
              </w:rPr>
              <w:br/>
            </w:r>
            <w:r w:rsidRPr="006C3AC6">
              <w:rPr>
                <w:rFonts w:asciiTheme="minorHAnsi" w:hAnsiTheme="minorHAnsi" w:cstheme="minorHAnsi"/>
                <w:b/>
                <w:bCs/>
                <w:sz w:val="20"/>
                <w:szCs w:val="20"/>
              </w:rPr>
              <w:t>Disability Equity:</w:t>
            </w:r>
            <w:r w:rsidRPr="006C3AC6">
              <w:rPr>
                <w:rFonts w:asciiTheme="minorHAnsi" w:hAnsiTheme="minorHAnsi" w:cstheme="minorHAnsi"/>
                <w:sz w:val="20"/>
                <w:szCs w:val="20"/>
              </w:rPr>
              <w:t xml:space="preserve"> </w:t>
            </w:r>
            <w:r w:rsidRPr="006C3AC6">
              <w:rPr>
                <w:rFonts w:asciiTheme="minorHAnsi" w:hAnsiTheme="minorHAnsi" w:cstheme="minorHAnsi"/>
                <w:sz w:val="20"/>
                <w:szCs w:val="20"/>
              </w:rPr>
              <w:br/>
              <w:t xml:space="preserve">• Fund OPD-led innovation pilots and civic education initiatives. </w:t>
            </w:r>
            <w:r w:rsidRPr="006C3AC6">
              <w:rPr>
                <w:rFonts w:asciiTheme="minorHAnsi" w:hAnsiTheme="minorHAnsi" w:cstheme="minorHAnsi"/>
                <w:sz w:val="20"/>
                <w:szCs w:val="20"/>
              </w:rPr>
              <w:br/>
              <w:t xml:space="preserve">• Support disability advocates and journalists in countering discrimination and online abuse. </w:t>
            </w:r>
            <w:r w:rsidRPr="006C3AC6">
              <w:rPr>
                <w:rFonts w:asciiTheme="minorHAnsi" w:hAnsiTheme="minorHAnsi" w:cstheme="minorHAnsi"/>
                <w:sz w:val="20"/>
                <w:szCs w:val="20"/>
              </w:rPr>
              <w:br/>
              <w:t>• Inclusive media literacy and content production training for people with disabilities.</w:t>
            </w:r>
          </w:p>
        </w:tc>
        <w:tc>
          <w:tcPr>
            <w:tcW w:w="2453" w:type="dxa"/>
            <w:hideMark/>
          </w:tcPr>
          <w:p w14:paraId="19B807E9" w14:textId="77777777"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Microgrants for youth/women/OPD-led initiatives.</w:t>
            </w:r>
          </w:p>
          <w:p w14:paraId="44143C3B" w14:textId="77777777"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Coalition governance support emphasising inclusive practices.</w:t>
            </w:r>
          </w:p>
          <w:p w14:paraId="57576952" w14:textId="0DD4FB80"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Media literacy programs tailored for women, youth</w:t>
            </w:r>
            <w:r w:rsidR="0034493F">
              <w:rPr>
                <w:rFonts w:asciiTheme="minorHAnsi" w:hAnsiTheme="minorHAnsi" w:cstheme="minorHAnsi"/>
                <w:sz w:val="20"/>
                <w:szCs w:val="20"/>
                <w:lang w:val="en-AU"/>
              </w:rPr>
              <w:t>s</w:t>
            </w:r>
            <w:r w:rsidRPr="006C3AC6">
              <w:rPr>
                <w:rFonts w:asciiTheme="minorHAnsi" w:hAnsiTheme="minorHAnsi" w:cstheme="minorHAnsi"/>
                <w:sz w:val="20"/>
                <w:szCs w:val="20"/>
                <w:lang w:val="en-AU"/>
              </w:rPr>
              <w:t xml:space="preserve">, </w:t>
            </w:r>
            <w:r w:rsidRPr="006C3AC6">
              <w:rPr>
                <w:rFonts w:asciiTheme="minorHAnsi" w:eastAsia="Times New Roman" w:hAnsiTheme="minorHAnsi" w:cstheme="minorHAnsi"/>
                <w:sz w:val="20"/>
                <w:szCs w:val="20"/>
                <w:lang w:val="en-AU"/>
              </w:rPr>
              <w:t>people with disability</w:t>
            </w:r>
            <w:r w:rsidRPr="006C3AC6">
              <w:rPr>
                <w:rFonts w:asciiTheme="minorHAnsi" w:hAnsiTheme="minorHAnsi" w:cstheme="minorHAnsi"/>
                <w:sz w:val="20"/>
                <w:szCs w:val="20"/>
                <w:lang w:val="en-AU"/>
              </w:rPr>
              <w:t>.</w:t>
            </w:r>
          </w:p>
        </w:tc>
      </w:tr>
      <w:tr w:rsidR="00902F90" w:rsidRPr="006C3AC6" w14:paraId="136D6623" w14:textId="77777777" w:rsidTr="0067283D">
        <w:tc>
          <w:tcPr>
            <w:tcW w:w="2694" w:type="dxa"/>
            <w:hideMark/>
          </w:tcPr>
          <w:p w14:paraId="2581AD6A" w14:textId="2EF60F34" w:rsidR="00902F90" w:rsidRPr="006C3AC6" w:rsidRDefault="00902F90">
            <w:pPr>
              <w:rPr>
                <w:rFonts w:asciiTheme="minorHAnsi" w:hAnsiTheme="minorHAnsi" w:cstheme="minorHAnsi"/>
                <w:b/>
                <w:sz w:val="20"/>
                <w:szCs w:val="20"/>
                <w:lang w:val="en-AU"/>
              </w:rPr>
            </w:pPr>
            <w:r w:rsidRPr="006C3AC6">
              <w:rPr>
                <w:rFonts w:asciiTheme="minorHAnsi" w:hAnsiTheme="minorHAnsi" w:cstheme="minorHAnsi"/>
                <w:b/>
                <w:sz w:val="20"/>
                <w:szCs w:val="20"/>
                <w:lang w:val="en-AU"/>
              </w:rPr>
              <w:lastRenderedPageBreak/>
              <w:t>EOPO3 Collaborative Democratic Action</w:t>
            </w:r>
          </w:p>
          <w:p w14:paraId="79F3D4E6" w14:textId="34260D84" w:rsidR="00902F90" w:rsidRPr="006C3AC6" w:rsidRDefault="00902F90">
            <w:pPr>
              <w:rPr>
                <w:rFonts w:asciiTheme="minorHAnsi" w:hAnsiTheme="minorHAnsi" w:cstheme="minorHAnsi"/>
                <w:b/>
                <w:sz w:val="20"/>
                <w:szCs w:val="20"/>
                <w:lang w:val="en-AU"/>
              </w:rPr>
            </w:pPr>
            <w:r w:rsidRPr="006C3AC6">
              <w:rPr>
                <w:rFonts w:asciiTheme="minorHAnsi" w:hAnsiTheme="minorHAnsi" w:cstheme="minorHAnsi"/>
                <w:sz w:val="20"/>
                <w:szCs w:val="20"/>
                <w:lang w:val="en-AU"/>
              </w:rPr>
              <w:t xml:space="preserve">IO3.1 </w:t>
            </w:r>
            <w:r w:rsidR="00B85591" w:rsidRPr="00B85591">
              <w:rPr>
                <w:rFonts w:asciiTheme="minorHAnsi" w:hAnsiTheme="minorHAnsi" w:cstheme="minorHAnsi"/>
                <w:sz w:val="20"/>
                <w:szCs w:val="20"/>
              </w:rPr>
              <w:t>Both state and non-state actors are better equipped and actively engage in more sustained democratic dialogue with each other.</w:t>
            </w:r>
          </w:p>
        </w:tc>
        <w:tc>
          <w:tcPr>
            <w:tcW w:w="3782" w:type="dxa"/>
            <w:hideMark/>
          </w:tcPr>
          <w:p w14:paraId="1A3B76F7" w14:textId="3580C4E0"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Ensure all dialogue platforms include diverse representation (quota for women, youth</w:t>
            </w:r>
            <w:r w:rsidR="0034493F">
              <w:rPr>
                <w:rFonts w:asciiTheme="minorHAnsi" w:hAnsiTheme="minorHAnsi" w:cstheme="minorHAnsi"/>
                <w:sz w:val="20"/>
                <w:szCs w:val="20"/>
                <w:lang w:val="en-AU"/>
              </w:rPr>
              <w:t>s</w:t>
            </w:r>
            <w:r w:rsidRPr="006C3AC6">
              <w:rPr>
                <w:rFonts w:asciiTheme="minorHAnsi" w:hAnsiTheme="minorHAnsi" w:cstheme="minorHAnsi"/>
                <w:sz w:val="20"/>
                <w:szCs w:val="20"/>
                <w:lang w:val="en-AU"/>
              </w:rPr>
              <w:t xml:space="preserve">, </w:t>
            </w:r>
            <w:r w:rsidRPr="006C3AC6">
              <w:rPr>
                <w:rFonts w:asciiTheme="minorHAnsi" w:eastAsia="Times New Roman" w:hAnsiTheme="minorHAnsi" w:cstheme="minorHAnsi"/>
                <w:sz w:val="20"/>
                <w:szCs w:val="20"/>
                <w:lang w:val="en-AU"/>
              </w:rPr>
              <w:t>people with disability</w:t>
            </w:r>
            <w:r w:rsidRPr="006C3AC6">
              <w:rPr>
                <w:rFonts w:asciiTheme="minorHAnsi" w:hAnsiTheme="minorHAnsi" w:cstheme="minorHAnsi"/>
                <w:sz w:val="20"/>
                <w:szCs w:val="20"/>
                <w:lang w:val="en-AU"/>
              </w:rPr>
              <w:t>).</w:t>
            </w:r>
          </w:p>
          <w:p w14:paraId="764F9B7F" w14:textId="1C4BC7D7"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 xml:space="preserve">Apply safeguarding and </w:t>
            </w:r>
            <w:r w:rsidR="00300E50">
              <w:rPr>
                <w:rFonts w:asciiTheme="minorHAnsi" w:hAnsiTheme="minorHAnsi" w:cstheme="minorHAnsi"/>
                <w:sz w:val="20"/>
                <w:szCs w:val="20"/>
                <w:lang w:val="en-AU"/>
              </w:rPr>
              <w:t>‘</w:t>
            </w:r>
            <w:r w:rsidRPr="006C3AC6">
              <w:rPr>
                <w:rFonts w:asciiTheme="minorHAnsi" w:hAnsiTheme="minorHAnsi" w:cstheme="minorHAnsi"/>
                <w:sz w:val="20"/>
                <w:szCs w:val="20"/>
                <w:lang w:val="en-AU"/>
              </w:rPr>
              <w:t>do no harm</w:t>
            </w:r>
            <w:r w:rsidR="00300E50">
              <w:rPr>
                <w:rFonts w:asciiTheme="minorHAnsi" w:hAnsiTheme="minorHAnsi" w:cstheme="minorHAnsi"/>
                <w:sz w:val="20"/>
                <w:szCs w:val="20"/>
                <w:lang w:val="en-AU"/>
              </w:rPr>
              <w:t>’</w:t>
            </w:r>
            <w:r w:rsidRPr="006C3AC6">
              <w:rPr>
                <w:rFonts w:asciiTheme="minorHAnsi" w:hAnsiTheme="minorHAnsi" w:cstheme="minorHAnsi"/>
                <w:sz w:val="20"/>
                <w:szCs w:val="20"/>
                <w:lang w:val="en-AU"/>
              </w:rPr>
              <w:t xml:space="preserve"> principles in multi-stakeholder forums.</w:t>
            </w:r>
          </w:p>
          <w:p w14:paraId="670D590F" w14:textId="223E4917"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Integrate GEDSI into cross-border knowledge</w:t>
            </w:r>
            <w:r w:rsidR="003D5AB7">
              <w:rPr>
                <w:rFonts w:asciiTheme="minorHAnsi" w:hAnsiTheme="minorHAnsi" w:cstheme="minorHAnsi"/>
                <w:sz w:val="20"/>
                <w:szCs w:val="20"/>
                <w:lang w:val="en-AU"/>
              </w:rPr>
              <w:t xml:space="preserve"> </w:t>
            </w:r>
            <w:r w:rsidRPr="006C3AC6">
              <w:rPr>
                <w:rFonts w:asciiTheme="minorHAnsi" w:hAnsiTheme="minorHAnsi" w:cstheme="minorHAnsi"/>
                <w:sz w:val="20"/>
                <w:szCs w:val="20"/>
                <w:lang w:val="en-AU"/>
              </w:rPr>
              <w:t>sharing (highlighting inclusive democratic practices).</w:t>
            </w:r>
          </w:p>
        </w:tc>
        <w:tc>
          <w:tcPr>
            <w:tcW w:w="5715" w:type="dxa"/>
            <w:hideMark/>
          </w:tcPr>
          <w:p w14:paraId="061E9375" w14:textId="77777777" w:rsidR="00902F90" w:rsidRPr="006C3AC6" w:rsidRDefault="00902F90">
            <w:pPr>
              <w:ind w:left="-17"/>
              <w:rPr>
                <w:rFonts w:asciiTheme="minorHAnsi" w:hAnsiTheme="minorHAnsi" w:cstheme="minorHAnsi"/>
                <w:sz w:val="20"/>
                <w:szCs w:val="20"/>
                <w:lang w:val="en-AU"/>
              </w:rPr>
            </w:pPr>
            <w:r w:rsidRPr="006C3AC6">
              <w:rPr>
                <w:rFonts w:asciiTheme="minorHAnsi" w:hAnsiTheme="minorHAnsi" w:cstheme="minorHAnsi"/>
                <w:b/>
                <w:bCs/>
                <w:sz w:val="20"/>
                <w:szCs w:val="20"/>
              </w:rPr>
              <w:t>Gender Equality:</w:t>
            </w:r>
            <w:r w:rsidRPr="006C3AC6">
              <w:rPr>
                <w:rFonts w:asciiTheme="minorHAnsi" w:hAnsiTheme="minorHAnsi" w:cstheme="minorHAnsi"/>
                <w:sz w:val="20"/>
                <w:szCs w:val="20"/>
              </w:rPr>
              <w:t xml:space="preserve"> </w:t>
            </w:r>
            <w:r w:rsidRPr="006C3AC6">
              <w:rPr>
                <w:rFonts w:asciiTheme="minorHAnsi" w:hAnsiTheme="minorHAnsi" w:cstheme="minorHAnsi"/>
                <w:sz w:val="20"/>
                <w:szCs w:val="20"/>
              </w:rPr>
              <w:br/>
              <w:t xml:space="preserve">• Women leaders as co-facilitators in state–civil society dialogues. </w:t>
            </w:r>
            <w:r w:rsidRPr="006C3AC6">
              <w:rPr>
                <w:rFonts w:asciiTheme="minorHAnsi" w:hAnsiTheme="minorHAnsi" w:cstheme="minorHAnsi"/>
                <w:sz w:val="20"/>
                <w:szCs w:val="20"/>
              </w:rPr>
              <w:br/>
              <w:t xml:space="preserve">• Sponsor participation of women in ASEAN/global democracy forums. </w:t>
            </w:r>
            <w:r w:rsidRPr="006C3AC6">
              <w:rPr>
                <w:rFonts w:asciiTheme="minorHAnsi" w:hAnsiTheme="minorHAnsi" w:cstheme="minorHAnsi"/>
                <w:sz w:val="20"/>
                <w:szCs w:val="20"/>
              </w:rPr>
              <w:br/>
              <w:t xml:space="preserve">• Support Indonesian innovations showcasing women’s leadership and digital safety. </w:t>
            </w:r>
            <w:r w:rsidRPr="006C3AC6">
              <w:rPr>
                <w:rFonts w:asciiTheme="minorHAnsi" w:hAnsiTheme="minorHAnsi" w:cstheme="minorHAnsi"/>
                <w:sz w:val="20"/>
                <w:szCs w:val="20"/>
              </w:rPr>
              <w:br/>
            </w:r>
            <w:r w:rsidRPr="006C3AC6">
              <w:rPr>
                <w:rFonts w:asciiTheme="minorHAnsi" w:hAnsiTheme="minorHAnsi" w:cstheme="minorHAnsi"/>
                <w:b/>
                <w:bCs/>
                <w:sz w:val="20"/>
                <w:szCs w:val="20"/>
              </w:rPr>
              <w:t>Disability Equity:</w:t>
            </w:r>
            <w:r w:rsidRPr="006C3AC6">
              <w:rPr>
                <w:rFonts w:asciiTheme="minorHAnsi" w:hAnsiTheme="minorHAnsi" w:cstheme="minorHAnsi"/>
                <w:sz w:val="20"/>
                <w:szCs w:val="20"/>
              </w:rPr>
              <w:t xml:space="preserve"> </w:t>
            </w:r>
            <w:r w:rsidRPr="006C3AC6">
              <w:rPr>
                <w:rFonts w:asciiTheme="minorHAnsi" w:hAnsiTheme="minorHAnsi" w:cstheme="minorHAnsi"/>
                <w:sz w:val="20"/>
                <w:szCs w:val="20"/>
              </w:rPr>
              <w:br/>
              <w:t xml:space="preserve">• OPDs co-facilitating policy dialogues and social accountability processes. </w:t>
            </w:r>
            <w:r w:rsidRPr="006C3AC6">
              <w:rPr>
                <w:rFonts w:asciiTheme="minorHAnsi" w:hAnsiTheme="minorHAnsi" w:cstheme="minorHAnsi"/>
                <w:sz w:val="20"/>
                <w:szCs w:val="20"/>
              </w:rPr>
              <w:br/>
              <w:t xml:space="preserve">• Resource participation of people with disabilities in regional and global forums. </w:t>
            </w:r>
            <w:r w:rsidRPr="006C3AC6">
              <w:rPr>
                <w:rFonts w:asciiTheme="minorHAnsi" w:hAnsiTheme="minorHAnsi" w:cstheme="minorHAnsi"/>
                <w:sz w:val="20"/>
                <w:szCs w:val="20"/>
              </w:rPr>
              <w:br/>
              <w:t>• Support civic tech and dialogue tools designed for accessibility.</w:t>
            </w:r>
          </w:p>
        </w:tc>
        <w:tc>
          <w:tcPr>
            <w:tcW w:w="2453" w:type="dxa"/>
            <w:hideMark/>
          </w:tcPr>
          <w:p w14:paraId="5E0B9E68" w14:textId="77777777"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Deliberative processes with inclusive facilitation.</w:t>
            </w:r>
          </w:p>
          <w:p w14:paraId="7EC8F0BE" w14:textId="77777777"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Safe convening norms that address risks of exclusion and harassment.</w:t>
            </w:r>
          </w:p>
          <w:p w14:paraId="7DC8979D" w14:textId="77777777" w:rsidR="00902F90" w:rsidRPr="006C3AC6" w:rsidRDefault="00902F90" w:rsidP="00504B06">
            <w:pPr>
              <w:pStyle w:val="ListParagraph"/>
              <w:numPr>
                <w:ilvl w:val="0"/>
                <w:numId w:val="77"/>
              </w:numPr>
              <w:ind w:left="175" w:hanging="192"/>
              <w:rPr>
                <w:rFonts w:asciiTheme="minorHAnsi" w:hAnsiTheme="minorHAnsi" w:cstheme="minorHAnsi"/>
                <w:sz w:val="20"/>
                <w:szCs w:val="20"/>
                <w:lang w:val="en-AU"/>
              </w:rPr>
            </w:pPr>
            <w:r w:rsidRPr="006C3AC6">
              <w:rPr>
                <w:rFonts w:asciiTheme="minorHAnsi" w:hAnsiTheme="minorHAnsi" w:cstheme="minorHAnsi"/>
                <w:sz w:val="20"/>
                <w:szCs w:val="20"/>
                <w:lang w:val="en-AU"/>
              </w:rPr>
              <w:t>Indonesian women and disability leaders featured in regional/global forums.</w:t>
            </w:r>
          </w:p>
        </w:tc>
      </w:tr>
    </w:tbl>
    <w:p w14:paraId="66F4092E" w14:textId="77777777" w:rsidR="00902F90" w:rsidRDefault="00902F90" w:rsidP="00902F90">
      <w:pPr>
        <w:sectPr w:rsidR="00902F90" w:rsidSect="00902F90">
          <w:pgSz w:w="16838" w:h="11906" w:orient="landscape" w:code="9"/>
          <w:pgMar w:top="1134" w:right="1418" w:bottom="992" w:left="1701" w:header="425" w:footer="493" w:gutter="0"/>
          <w:cols w:space="397"/>
          <w:titlePg/>
          <w:docGrid w:linePitch="360"/>
        </w:sectPr>
      </w:pPr>
    </w:p>
    <w:p w14:paraId="3B1119F4" w14:textId="32E15DCA" w:rsidR="00902F90" w:rsidRPr="00B57CB6" w:rsidRDefault="00902F90" w:rsidP="00902F90">
      <w:pPr>
        <w:pStyle w:val="Heading5"/>
        <w:rPr>
          <w:rStyle w:val="Heading3Char"/>
          <w:b w:val="0"/>
          <w:iCs w:val="0"/>
        </w:rPr>
      </w:pPr>
      <w:r w:rsidRPr="00B57CB6">
        <w:rPr>
          <w:rStyle w:val="Heading3Char"/>
          <w:b w:val="0"/>
          <w:iCs w:val="0"/>
        </w:rPr>
        <w:lastRenderedPageBreak/>
        <w:t>Climate Change</w:t>
      </w:r>
    </w:p>
    <w:p w14:paraId="1A1D833B" w14:textId="43791698" w:rsidR="00902F90" w:rsidRPr="00970CE7" w:rsidRDefault="00902F90" w:rsidP="00902F90">
      <w:pPr>
        <w:suppressAutoHyphens w:val="0"/>
        <w:spacing w:after="120"/>
        <w:rPr>
          <w:rFonts w:cstheme="minorHAnsi"/>
          <w:szCs w:val="21"/>
          <w:lang w:val="en-AU"/>
        </w:rPr>
      </w:pPr>
      <w:proofErr w:type="spellStart"/>
      <w:r w:rsidRPr="0067283D">
        <w:rPr>
          <w:lang w:val="en-AU"/>
        </w:rPr>
        <w:t>Partisipasi</w:t>
      </w:r>
      <w:proofErr w:type="spellEnd"/>
      <w:r w:rsidRPr="00763439">
        <w:rPr>
          <w:i/>
          <w:iCs/>
          <w:lang w:val="en-AU"/>
        </w:rPr>
        <w:t xml:space="preserve"> </w:t>
      </w:r>
      <w:r w:rsidRPr="00970CE7">
        <w:rPr>
          <w:rFonts w:cstheme="minorHAnsi"/>
          <w:szCs w:val="21"/>
          <w:lang w:val="en-AU"/>
        </w:rPr>
        <w:t>will integrate climate and disaster resilience throughout implementation as a lens for inclusive participation, civic voice, and legitimacy in governance.</w:t>
      </w:r>
      <w:r>
        <w:rPr>
          <w:rFonts w:cstheme="minorHAnsi"/>
          <w:szCs w:val="21"/>
          <w:lang w:val="en-AU"/>
        </w:rPr>
        <w:t xml:space="preserve"> </w:t>
      </w:r>
      <w:proofErr w:type="spellStart"/>
      <w:r w:rsidRPr="0067283D">
        <w:rPr>
          <w:rFonts w:cstheme="minorHAnsi"/>
          <w:szCs w:val="21"/>
        </w:rPr>
        <w:t>Partisipasi</w:t>
      </w:r>
      <w:proofErr w:type="spellEnd"/>
      <w:r w:rsidRPr="00E931FD">
        <w:rPr>
          <w:rFonts w:cstheme="minorHAnsi"/>
          <w:szCs w:val="21"/>
        </w:rPr>
        <w:t xml:space="preserve"> is a secondary-objective climate program</w:t>
      </w:r>
      <w:r w:rsidR="00E91CAB">
        <w:rPr>
          <w:rFonts w:cstheme="minorHAnsi"/>
          <w:szCs w:val="21"/>
        </w:rPr>
        <w:t>,</w:t>
      </w:r>
      <w:r w:rsidRPr="00E931FD">
        <w:rPr>
          <w:rFonts w:cstheme="minorHAnsi"/>
          <w:szCs w:val="21"/>
        </w:rPr>
        <w:t xml:space="preserve"> and </w:t>
      </w:r>
      <w:r>
        <w:rPr>
          <w:rFonts w:cstheme="minorHAnsi"/>
          <w:szCs w:val="21"/>
        </w:rPr>
        <w:t xml:space="preserve">the </w:t>
      </w:r>
      <w:r w:rsidR="00436BE2">
        <w:rPr>
          <w:rFonts w:cstheme="minorHAnsi"/>
          <w:szCs w:val="21"/>
        </w:rPr>
        <w:t>p</w:t>
      </w:r>
      <w:r>
        <w:rPr>
          <w:rFonts w:cstheme="minorHAnsi"/>
          <w:szCs w:val="21"/>
        </w:rPr>
        <w:t>rogram will allocate its funding</w:t>
      </w:r>
      <w:r w:rsidRPr="00E931FD">
        <w:rPr>
          <w:rFonts w:cstheme="minorHAnsi"/>
          <w:szCs w:val="21"/>
        </w:rPr>
        <w:t xml:space="preserve"> through mainstreaming, consistent with DFAT guidance.</w:t>
      </w:r>
      <w:r>
        <w:rPr>
          <w:rFonts w:cstheme="minorHAnsi"/>
          <w:szCs w:val="21"/>
        </w:rPr>
        <w:t xml:space="preserve"> </w:t>
      </w:r>
      <w:proofErr w:type="spellStart"/>
      <w:r w:rsidRPr="0067283D">
        <w:rPr>
          <w:rFonts w:cstheme="minorHAnsi"/>
          <w:szCs w:val="21"/>
        </w:rPr>
        <w:t>Partisipasi</w:t>
      </w:r>
      <w:proofErr w:type="spellEnd"/>
      <w:r w:rsidRPr="00C034B4">
        <w:rPr>
          <w:rFonts w:cstheme="minorHAnsi"/>
          <w:i/>
          <w:iCs/>
          <w:szCs w:val="21"/>
        </w:rPr>
        <w:t xml:space="preserve"> </w:t>
      </w:r>
      <w:r>
        <w:rPr>
          <w:rFonts w:cstheme="minorHAnsi"/>
          <w:szCs w:val="21"/>
        </w:rPr>
        <w:t xml:space="preserve">also </w:t>
      </w:r>
      <w:r w:rsidRPr="00763439">
        <w:rPr>
          <w:rFonts w:cstheme="minorHAnsi"/>
          <w:szCs w:val="21"/>
        </w:rPr>
        <w:t>aligns with Indonesia’s NDC commitments, the National Adaptation Plan (2020), and climate-resilient development priority in the RPJPN (2025–2045). Program partners</w:t>
      </w:r>
      <w:r w:rsidR="00E007A1">
        <w:rPr>
          <w:rFonts w:cstheme="minorHAnsi"/>
          <w:szCs w:val="21"/>
        </w:rPr>
        <w:t xml:space="preserve"> – </w:t>
      </w:r>
      <w:r w:rsidRPr="00763439">
        <w:rPr>
          <w:rFonts w:cstheme="minorHAnsi"/>
          <w:szCs w:val="21"/>
        </w:rPr>
        <w:t>state and non-state</w:t>
      </w:r>
      <w:r w:rsidR="00E007A1">
        <w:rPr>
          <w:rFonts w:cstheme="minorHAnsi"/>
          <w:szCs w:val="21"/>
        </w:rPr>
        <w:t xml:space="preserve"> – </w:t>
      </w:r>
      <w:r w:rsidRPr="00763439">
        <w:rPr>
          <w:rFonts w:cstheme="minorHAnsi"/>
          <w:szCs w:val="21"/>
        </w:rPr>
        <w:t>can use participation, accountability and public dialogue mechanisms to increase responsiveness to these national priorities.</w:t>
      </w:r>
    </w:p>
    <w:p w14:paraId="79401CE3" w14:textId="17649D7D" w:rsidR="00902F90" w:rsidRPr="00970CE7" w:rsidRDefault="00902F90" w:rsidP="00902F90">
      <w:pPr>
        <w:suppressAutoHyphens w:val="0"/>
        <w:spacing w:after="120"/>
        <w:rPr>
          <w:lang w:val="en-AU"/>
        </w:rPr>
      </w:pPr>
      <w:r w:rsidRPr="5261E5B3">
        <w:rPr>
          <w:lang w:val="en-AU"/>
        </w:rPr>
        <w:t xml:space="preserve">This approach is underpinned by strong global evidence indicating that climate governance and democratic resilience are deeply interconnected. The Intergovernmental Panel on Climate Change (IPCC) concludes with </w:t>
      </w:r>
      <w:r>
        <w:rPr>
          <w:lang w:val="en-AU"/>
        </w:rPr>
        <w:t>‘</w:t>
      </w:r>
      <w:r w:rsidRPr="5261E5B3">
        <w:rPr>
          <w:lang w:val="en-AU"/>
        </w:rPr>
        <w:t>very high confidence</w:t>
      </w:r>
      <w:r>
        <w:rPr>
          <w:lang w:val="en-AU"/>
        </w:rPr>
        <w:t>’</w:t>
      </w:r>
      <w:r w:rsidRPr="5261E5B3">
        <w:rPr>
          <w:lang w:val="en-AU"/>
        </w:rPr>
        <w:t xml:space="preserve"> that climate-resilient development is enabled when decision-making is inclusive, equitable, and participatory.</w:t>
      </w:r>
      <w:r w:rsidRPr="5261E5B3">
        <w:rPr>
          <w:rStyle w:val="FootnoteReference"/>
          <w:lang w:val="en-AU"/>
        </w:rPr>
        <w:footnoteReference w:id="47"/>
      </w:r>
      <w:r w:rsidRPr="5261E5B3">
        <w:rPr>
          <w:lang w:val="en-AU"/>
        </w:rPr>
        <w:t xml:space="preserve"> Conversely, where marginalised voices are excluded, climate policies lack legitimacy, public trust erodes, and societies become more vulnerable to both environmental and political shocks.</w:t>
      </w:r>
      <w:r w:rsidRPr="5261E5B3">
        <w:rPr>
          <w:rStyle w:val="FootnoteReference"/>
          <w:lang w:val="en-AU"/>
        </w:rPr>
        <w:footnoteReference w:id="48"/>
      </w:r>
      <w:r w:rsidRPr="5261E5B3">
        <w:rPr>
          <w:lang w:val="en-AU"/>
        </w:rPr>
        <w:t xml:space="preserve"> These linkages are particularly salient in Indonesia, where rural women, Adat communities, youth</w:t>
      </w:r>
      <w:r w:rsidR="0034493F">
        <w:rPr>
          <w:lang w:val="en-AU"/>
        </w:rPr>
        <w:t>s</w:t>
      </w:r>
      <w:r w:rsidRPr="5261E5B3">
        <w:rPr>
          <w:lang w:val="en-AU"/>
        </w:rPr>
        <w:t xml:space="preserve">, and </w:t>
      </w:r>
      <w:r w:rsidR="0034493F">
        <w:rPr>
          <w:lang w:val="en-AU"/>
        </w:rPr>
        <w:t>people</w:t>
      </w:r>
      <w:r w:rsidR="0034493F" w:rsidRPr="5261E5B3">
        <w:rPr>
          <w:lang w:val="en-AU"/>
        </w:rPr>
        <w:t xml:space="preserve"> </w:t>
      </w:r>
      <w:r w:rsidRPr="5261E5B3">
        <w:rPr>
          <w:lang w:val="en-AU"/>
        </w:rPr>
        <w:t>with disabilities are simultaneously among the most exposed to climate risks and the least represented in formal decision-making structures.</w:t>
      </w:r>
      <w:r w:rsidRPr="5261E5B3">
        <w:rPr>
          <w:rStyle w:val="FootnoteReference"/>
          <w:lang w:val="en-AU"/>
        </w:rPr>
        <w:footnoteReference w:id="49"/>
      </w:r>
      <w:r w:rsidRPr="5261E5B3">
        <w:rPr>
          <w:lang w:val="en-AU"/>
        </w:rPr>
        <w:t xml:space="preserve"> Their exclusion not only exacerbates inequality but also undermines the perceived fairness and effectiveness of adaptation efforts, weakening both social cohesion and democratic resilience.</w:t>
      </w:r>
    </w:p>
    <w:p w14:paraId="2BA121FC" w14:textId="023E9038" w:rsidR="00902F90" w:rsidRPr="00970CE7" w:rsidRDefault="00902F90" w:rsidP="00902F90">
      <w:pPr>
        <w:suppressAutoHyphens w:val="0"/>
        <w:spacing w:after="120"/>
        <w:rPr>
          <w:lang w:val="en-AU"/>
        </w:rPr>
      </w:pPr>
      <w:r w:rsidRPr="00561833">
        <w:rPr>
          <w:lang w:val="en-AU"/>
        </w:rPr>
        <w:t>Climate shocks also place direct stress on institutions. Research shows that natural disasters increase the likelihood of democratic backsliding</w:t>
      </w:r>
      <w:r w:rsidRPr="00990A4E">
        <w:rPr>
          <w:lang w:val="en-AU"/>
        </w:rPr>
        <w:t>, in part because governments invoke emergency powers that outlast the crisis or centralise authority in ways that weaken checks and balances.</w:t>
      </w:r>
      <w:r w:rsidRPr="00990A4E">
        <w:rPr>
          <w:rStyle w:val="FootnoteReference"/>
          <w:lang w:val="en-AU"/>
        </w:rPr>
        <w:footnoteReference w:id="50"/>
      </w:r>
      <w:r w:rsidRPr="00990A4E">
        <w:rPr>
          <w:lang w:val="en-AU"/>
        </w:rPr>
        <w:t xml:space="preserve"> Emergency responses, when poorly designed, can squeeze civic space and sideline parliaments or oversight bodies</w:t>
      </w:r>
      <w:r w:rsidRPr="00561833">
        <w:rPr>
          <w:lang w:val="en-AU"/>
        </w:rPr>
        <w:t>.</w:t>
      </w:r>
      <w:r w:rsidRPr="00561833">
        <w:rPr>
          <w:rStyle w:val="FootnoteReference"/>
          <w:lang w:val="en-AU"/>
        </w:rPr>
        <w:footnoteReference w:id="51"/>
      </w:r>
      <w:r w:rsidRPr="00561833">
        <w:rPr>
          <w:lang w:val="en-AU"/>
        </w:rPr>
        <w:t xml:space="preserve"> In Indonesia, the risks are compounded by the country’s decentralised governance system and varying provincial capacity to manage disaster response. Without inclusive and transparent processes, these shocks risk eroding institutional credibility and fuelling polarisation.</w:t>
      </w:r>
    </w:p>
    <w:p w14:paraId="5FA17B37" w14:textId="61EFA8FE" w:rsidR="00902F90" w:rsidRPr="00970CE7" w:rsidRDefault="00902F90" w:rsidP="00902F90">
      <w:pPr>
        <w:suppressAutoHyphens w:val="0"/>
        <w:spacing w:after="120"/>
        <w:rPr>
          <w:lang w:val="en-AU"/>
        </w:rPr>
      </w:pPr>
      <w:r w:rsidRPr="00561833">
        <w:rPr>
          <w:lang w:val="en-AU"/>
        </w:rPr>
        <w:t>The information environment is another domain where climate change intersects with resilience. The spread of climate mis</w:t>
      </w:r>
      <w:r w:rsidR="00534C96" w:rsidRPr="00561833">
        <w:rPr>
          <w:lang w:val="en-AU"/>
        </w:rPr>
        <w:t>/dis</w:t>
      </w:r>
      <w:r w:rsidRPr="00561833">
        <w:rPr>
          <w:lang w:val="en-AU"/>
        </w:rPr>
        <w:t>information is increasingly recognised as a democratic challenge, distorting risk perception, undermining deliberation, and weakening support for collective action.</w:t>
      </w:r>
      <w:r w:rsidRPr="00561833">
        <w:rPr>
          <w:rStyle w:val="FootnoteReference"/>
          <w:lang w:val="en-AU"/>
        </w:rPr>
        <w:footnoteReference w:id="52"/>
      </w:r>
      <w:r w:rsidRPr="00561833">
        <w:rPr>
          <w:lang w:val="en-AU"/>
        </w:rPr>
        <w:t xml:space="preserve"> These narratives often intersect with </w:t>
      </w:r>
      <w:r w:rsidRPr="00990A4E">
        <w:rPr>
          <w:lang w:val="en-AU"/>
        </w:rPr>
        <w:t>broader populist or conspiratorial discourses</w:t>
      </w:r>
      <w:r w:rsidRPr="00561833">
        <w:rPr>
          <w:lang w:val="en-AU"/>
        </w:rPr>
        <w:t xml:space="preserve"> that polarise debate and corrode trust in democratic institutions. In Indonesia, online misinformation has already influenced electoral discourse, and there is a high risk that climate narratives could be co-opted to delegitimise reform or scapegoat vulnerable groups. Strengthening information integrity around climate issues is therefore a democratic as well as an environmental imperative.</w:t>
      </w:r>
    </w:p>
    <w:p w14:paraId="5100CF6F" w14:textId="352F6C47" w:rsidR="00902F90" w:rsidRPr="00970CE7" w:rsidRDefault="00902F90" w:rsidP="00902F90">
      <w:pPr>
        <w:suppressAutoHyphens w:val="0"/>
        <w:spacing w:after="120"/>
        <w:rPr>
          <w:lang w:val="en-AU"/>
        </w:rPr>
      </w:pPr>
      <w:r w:rsidRPr="5261E5B3">
        <w:rPr>
          <w:lang w:val="en-AU"/>
        </w:rPr>
        <w:t>At the same time, inclusive climate participation offers important opportunities for resilience. Evidence from citizen climate assemblies in Europe and elsewhere demonstrates that deliberative engagement can broaden social licence for difficult policy choices, translate protest energy into constructive dialogue, and strengthen the legitimacy of institutions.</w:t>
      </w:r>
      <w:r w:rsidRPr="5261E5B3">
        <w:rPr>
          <w:rStyle w:val="FootnoteReference"/>
          <w:lang w:val="en-AU"/>
        </w:rPr>
        <w:footnoteReference w:id="53"/>
      </w:r>
      <w:r w:rsidRPr="5261E5B3">
        <w:rPr>
          <w:lang w:val="en-AU"/>
        </w:rPr>
        <w:t xml:space="preserve"> Applied in Indonesia, inclusive climate engagement could provide a practical entry point for building trust between citizens and state institutions, particularly in regions where communities experience both high climate vulnerability and low democratic confidence.</w:t>
      </w:r>
    </w:p>
    <w:p w14:paraId="2722C917" w14:textId="0AD7EA40" w:rsidR="00902F90" w:rsidRDefault="00902F90" w:rsidP="00902F90">
      <w:pPr>
        <w:suppressAutoHyphens w:val="0"/>
        <w:spacing w:after="120"/>
        <w:rPr>
          <w:lang w:val="en-AU"/>
        </w:rPr>
        <w:sectPr w:rsidR="00902F90" w:rsidSect="00902F90">
          <w:pgSz w:w="11906" w:h="16838" w:code="9"/>
          <w:pgMar w:top="1418" w:right="993" w:bottom="1701" w:left="1134" w:header="425" w:footer="493" w:gutter="0"/>
          <w:cols w:space="397"/>
          <w:titlePg/>
          <w:docGrid w:linePitch="360"/>
        </w:sectPr>
      </w:pPr>
      <w:r w:rsidRPr="000E38BE">
        <w:rPr>
          <w:lang w:val="en-AU"/>
        </w:rPr>
        <w:lastRenderedPageBreak/>
        <w:t xml:space="preserve">For these reasons, </w:t>
      </w:r>
      <w:proofErr w:type="spellStart"/>
      <w:r w:rsidRPr="00B57CB6">
        <w:rPr>
          <w:lang w:val="en-AU"/>
        </w:rPr>
        <w:t>Partisipasi</w:t>
      </w:r>
      <w:proofErr w:type="spellEnd"/>
      <w:r w:rsidRPr="00B57CB6">
        <w:rPr>
          <w:lang w:val="en-AU"/>
        </w:rPr>
        <w:t xml:space="preserve"> </w:t>
      </w:r>
      <w:r w:rsidRPr="000E38BE">
        <w:rPr>
          <w:lang w:val="en-AU"/>
        </w:rPr>
        <w:t xml:space="preserve">will integrate climate change as a cross-cutting theme </w:t>
      </w:r>
      <w:r>
        <w:rPr>
          <w:lang w:val="en-AU"/>
        </w:rPr>
        <w:t>and include</w:t>
      </w:r>
      <w:r w:rsidRPr="000E38BE">
        <w:rPr>
          <w:lang w:val="en-AU"/>
        </w:rPr>
        <w:t xml:space="preserve"> outcome</w:t>
      </w:r>
      <w:r>
        <w:rPr>
          <w:lang w:val="en-AU"/>
        </w:rPr>
        <w:t xml:space="preserve"> 2.1</w:t>
      </w:r>
      <w:r w:rsidRPr="000E38BE">
        <w:rPr>
          <w:lang w:val="en-AU"/>
        </w:rPr>
        <w:t xml:space="preserve">. </w:t>
      </w:r>
      <w:r w:rsidRPr="00C034B4">
        <w:t>Climate resilience will be implemented through an annex to the CSP Strategy, not as a separate strategy.</w:t>
      </w:r>
      <w:r w:rsidRPr="00003D09">
        <w:t xml:space="preserve"> </w:t>
      </w:r>
      <w:r w:rsidRPr="000E38BE">
        <w:rPr>
          <w:lang w:val="en-AU"/>
        </w:rPr>
        <w:t>The program will support civil society and institutional partners to apply a climate justice lens in their work, ensuring that environmental risks are treated as barriers to participation and inclusion. This will include embedding climate sensitivity in co-design and MEL processes, encouraging partners to identify how climate risks shape participation, and enabling targeted initiatives (e.g. youth-led organisations contributing to climate dialogues) where feasible. In this way, climate, like inclusion, becomes a mechanism of democratic resilience</w:t>
      </w:r>
      <w:r w:rsidR="004759CD">
        <w:rPr>
          <w:lang w:val="en-AU"/>
        </w:rPr>
        <w:t>,</w:t>
      </w:r>
      <w:r w:rsidRPr="000E38BE">
        <w:rPr>
          <w:lang w:val="en-AU"/>
        </w:rPr>
        <w:t xml:space="preserve"> broadening accountability, reinforcing legitimacy, and strengthening Indonesia’s capacity to withstand both environmental and democratic shocks.</w:t>
      </w:r>
    </w:p>
    <w:p w14:paraId="7C89432E" w14:textId="332C9D25" w:rsidR="00902F90" w:rsidRDefault="00902F90" w:rsidP="00902F90">
      <w:pPr>
        <w:pStyle w:val="Caption"/>
        <w:keepNext/>
      </w:pPr>
      <w:r>
        <w:lastRenderedPageBreak/>
        <w:t>Table</w:t>
      </w:r>
      <w:r w:rsidR="008D4216">
        <w:t xml:space="preserve"> </w:t>
      </w:r>
      <w:r w:rsidR="00FC764C">
        <w:t>20</w:t>
      </w:r>
      <w:r>
        <w:t xml:space="preserve">: </w:t>
      </w:r>
      <w:proofErr w:type="spellStart"/>
      <w:r w:rsidRPr="00B84E8D">
        <w:t>Partisipasi</w:t>
      </w:r>
      <w:proofErr w:type="spellEnd"/>
      <w:r w:rsidRPr="00B84E8D">
        <w:t xml:space="preserve"> Climate Integration Framework</w:t>
      </w:r>
    </w:p>
    <w:tbl>
      <w:tblPr>
        <w:tblStyle w:val="DFATTable1"/>
        <w:tblW w:w="1516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43"/>
        <w:gridCol w:w="6704"/>
        <w:gridCol w:w="2693"/>
        <w:gridCol w:w="2410"/>
      </w:tblGrid>
      <w:tr w:rsidR="00902F90" w:rsidRPr="0089210E" w14:paraId="6933E465" w14:textId="77777777" w:rsidTr="0067283D">
        <w:trPr>
          <w:cnfStyle w:val="100000000000" w:firstRow="1" w:lastRow="0" w:firstColumn="0" w:lastColumn="0" w:oddVBand="0" w:evenVBand="0" w:oddHBand="0" w:evenHBand="0" w:firstRowFirstColumn="0" w:firstRowLastColumn="0" w:lastRowFirstColumn="0" w:lastRowLastColumn="0"/>
          <w:tblHeader/>
        </w:trPr>
        <w:tc>
          <w:tcPr>
            <w:tcW w:w="1418" w:type="dxa"/>
            <w:shd w:val="clear" w:color="auto" w:fill="C1E7E0" w:themeFill="accent1" w:themeFillTint="66"/>
            <w:hideMark/>
          </w:tcPr>
          <w:p w14:paraId="38E33505" w14:textId="77777777" w:rsidR="00902F90" w:rsidRPr="00902F90" w:rsidRDefault="00902F90">
            <w:pPr>
              <w:rPr>
                <w:rFonts w:ascii="Calibri Light" w:hAnsi="Calibri Light" w:cs="Calibri Light"/>
                <w:b/>
                <w:color w:val="36424B" w:themeColor="text2" w:themeShade="BF"/>
                <w:sz w:val="20"/>
                <w:szCs w:val="20"/>
                <w:lang w:val="en-AU"/>
              </w:rPr>
            </w:pPr>
            <w:r w:rsidRPr="00902F90">
              <w:rPr>
                <w:rFonts w:ascii="Calibri Light" w:hAnsi="Calibri Light" w:cs="Calibri Light"/>
                <w:b/>
                <w:color w:val="36424B" w:themeColor="text2" w:themeShade="BF"/>
                <w:sz w:val="20"/>
                <w:szCs w:val="20"/>
                <w:lang w:val="en-AU"/>
              </w:rPr>
              <w:t>EOPO</w:t>
            </w:r>
          </w:p>
        </w:tc>
        <w:tc>
          <w:tcPr>
            <w:tcW w:w="1943" w:type="dxa"/>
            <w:shd w:val="clear" w:color="auto" w:fill="C1E7E0" w:themeFill="accent1" w:themeFillTint="66"/>
            <w:hideMark/>
          </w:tcPr>
          <w:p w14:paraId="7F75DDA6" w14:textId="77777777" w:rsidR="00902F90" w:rsidRPr="00902F90" w:rsidRDefault="00902F90">
            <w:pPr>
              <w:rPr>
                <w:rFonts w:ascii="Calibri Light" w:hAnsi="Calibri Light" w:cs="Calibri Light"/>
                <w:b/>
                <w:color w:val="36424B" w:themeColor="text2" w:themeShade="BF"/>
                <w:sz w:val="20"/>
                <w:szCs w:val="20"/>
                <w:lang w:val="en-AU"/>
              </w:rPr>
            </w:pPr>
            <w:r w:rsidRPr="00902F90">
              <w:rPr>
                <w:rFonts w:ascii="Calibri Light" w:hAnsi="Calibri Light" w:cs="Calibri Light"/>
                <w:b/>
                <w:color w:val="36424B" w:themeColor="text2" w:themeShade="BF"/>
                <w:sz w:val="20"/>
                <w:szCs w:val="20"/>
                <w:lang w:val="en-AU"/>
              </w:rPr>
              <w:t>Entry Point for Climate Integration</w:t>
            </w:r>
          </w:p>
        </w:tc>
        <w:tc>
          <w:tcPr>
            <w:tcW w:w="6704" w:type="dxa"/>
            <w:shd w:val="clear" w:color="auto" w:fill="C1E7E0" w:themeFill="accent1" w:themeFillTint="66"/>
            <w:hideMark/>
          </w:tcPr>
          <w:p w14:paraId="67C52B87" w14:textId="68ADD2F2" w:rsidR="00902F90" w:rsidRPr="00902F90" w:rsidRDefault="00902F90">
            <w:pPr>
              <w:rPr>
                <w:rFonts w:ascii="Calibri Light" w:hAnsi="Calibri Light" w:cs="Calibri Light"/>
                <w:b/>
                <w:color w:val="36424B" w:themeColor="text2" w:themeShade="BF"/>
                <w:sz w:val="20"/>
                <w:szCs w:val="20"/>
                <w:lang w:val="en-AU"/>
              </w:rPr>
            </w:pPr>
            <w:r w:rsidRPr="00902F90">
              <w:rPr>
                <w:rFonts w:ascii="Calibri Light" w:hAnsi="Calibri Light" w:cs="Calibri Light"/>
                <w:b/>
                <w:color w:val="36424B" w:themeColor="text2" w:themeShade="BF"/>
                <w:sz w:val="20"/>
                <w:szCs w:val="20"/>
                <w:lang w:val="en-AU"/>
              </w:rPr>
              <w:t>Examples of Activities/Approaches</w:t>
            </w:r>
          </w:p>
        </w:tc>
        <w:tc>
          <w:tcPr>
            <w:tcW w:w="2693" w:type="dxa"/>
            <w:shd w:val="clear" w:color="auto" w:fill="C1E7E0" w:themeFill="accent1" w:themeFillTint="66"/>
            <w:hideMark/>
          </w:tcPr>
          <w:p w14:paraId="1223CE8F" w14:textId="77777777" w:rsidR="00902F90" w:rsidRPr="00902F90" w:rsidRDefault="00902F90">
            <w:pPr>
              <w:rPr>
                <w:rFonts w:ascii="Calibri Light" w:hAnsi="Calibri Light" w:cs="Calibri Light"/>
                <w:b/>
                <w:color w:val="36424B" w:themeColor="text2" w:themeShade="BF"/>
                <w:sz w:val="20"/>
                <w:szCs w:val="20"/>
                <w:lang w:val="en-AU"/>
              </w:rPr>
            </w:pPr>
            <w:r w:rsidRPr="00902F90">
              <w:rPr>
                <w:rFonts w:ascii="Calibri Light" w:hAnsi="Calibri Light" w:cs="Calibri Light"/>
                <w:b/>
                <w:color w:val="36424B" w:themeColor="text2" w:themeShade="BF"/>
                <w:sz w:val="20"/>
                <w:szCs w:val="20"/>
                <w:lang w:val="en-AU"/>
              </w:rPr>
              <w:t>Intended Contribution to Democratic Resilience</w:t>
            </w:r>
          </w:p>
        </w:tc>
        <w:tc>
          <w:tcPr>
            <w:tcW w:w="2410" w:type="dxa"/>
            <w:shd w:val="clear" w:color="auto" w:fill="C1E7E0" w:themeFill="accent1" w:themeFillTint="66"/>
            <w:hideMark/>
          </w:tcPr>
          <w:p w14:paraId="02B808BD" w14:textId="7BA78831" w:rsidR="00902F90" w:rsidRPr="00902F90" w:rsidRDefault="00902F90">
            <w:pPr>
              <w:rPr>
                <w:rFonts w:ascii="Calibri Light" w:hAnsi="Calibri Light" w:cs="Calibri Light"/>
                <w:b/>
                <w:color w:val="36424B" w:themeColor="text2" w:themeShade="BF"/>
                <w:sz w:val="20"/>
                <w:szCs w:val="20"/>
                <w:lang w:val="en-AU"/>
              </w:rPr>
            </w:pPr>
            <w:r w:rsidRPr="00902F90">
              <w:rPr>
                <w:rFonts w:ascii="Calibri Light" w:hAnsi="Calibri Light" w:cs="Calibri Light"/>
                <w:b/>
                <w:color w:val="36424B" w:themeColor="text2" w:themeShade="BF"/>
                <w:sz w:val="20"/>
                <w:szCs w:val="20"/>
                <w:lang w:val="en-AU"/>
              </w:rPr>
              <w:t>Notes/Safeguards</w:t>
            </w:r>
          </w:p>
        </w:tc>
      </w:tr>
      <w:tr w:rsidR="00902F90" w:rsidRPr="0089210E" w14:paraId="50CDED5B" w14:textId="77777777" w:rsidTr="0067283D">
        <w:trPr>
          <w:trHeight w:val="1663"/>
        </w:trPr>
        <w:tc>
          <w:tcPr>
            <w:tcW w:w="1418" w:type="dxa"/>
            <w:hideMark/>
          </w:tcPr>
          <w:p w14:paraId="06CDD735" w14:textId="6520BD01" w:rsidR="00902F90" w:rsidRPr="00C034B4" w:rsidRDefault="00902F90">
            <w:pPr>
              <w:rPr>
                <w:rFonts w:ascii="Calibri Light" w:hAnsi="Calibri Light" w:cs="Calibri Light"/>
                <w:sz w:val="20"/>
                <w:szCs w:val="20"/>
                <w:lang w:val="en-AU"/>
              </w:rPr>
            </w:pPr>
            <w:r w:rsidRPr="00C034B4">
              <w:rPr>
                <w:rFonts w:ascii="Calibri Light" w:hAnsi="Calibri Light" w:cs="Calibri Light"/>
                <w:b/>
                <w:sz w:val="20"/>
                <w:szCs w:val="20"/>
                <w:lang w:val="en-AU"/>
              </w:rPr>
              <w:t>EOPO1 Institutional Resilience</w:t>
            </w:r>
          </w:p>
        </w:tc>
        <w:tc>
          <w:tcPr>
            <w:tcW w:w="1943" w:type="dxa"/>
            <w:hideMark/>
          </w:tcPr>
          <w:p w14:paraId="21C5AE93" w14:textId="77777777" w:rsidR="00902F90" w:rsidRPr="00C034B4" w:rsidRDefault="00902F90">
            <w:pPr>
              <w:rPr>
                <w:rFonts w:ascii="Calibri Light" w:hAnsi="Calibri Light" w:cs="Calibri Light"/>
                <w:sz w:val="20"/>
                <w:szCs w:val="20"/>
                <w:lang w:val="en-AU"/>
              </w:rPr>
            </w:pPr>
            <w:r w:rsidRPr="00C034B4">
              <w:rPr>
                <w:rFonts w:ascii="Calibri Light" w:hAnsi="Calibri Light" w:cs="Calibri Light"/>
                <w:sz w:val="20"/>
                <w:szCs w:val="20"/>
                <w:lang w:val="en-AU"/>
              </w:rPr>
              <w:t>Strengthen institutional continuity and oversight during environmental shocks</w:t>
            </w:r>
          </w:p>
        </w:tc>
        <w:tc>
          <w:tcPr>
            <w:tcW w:w="6704" w:type="dxa"/>
            <w:hideMark/>
          </w:tcPr>
          <w:p w14:paraId="37C6F839" w14:textId="33FFBD49" w:rsidR="00902F90" w:rsidRPr="00C034B4" w:rsidRDefault="00902F90" w:rsidP="00504B06">
            <w:pPr>
              <w:pStyle w:val="ListParagraph"/>
              <w:numPr>
                <w:ilvl w:val="0"/>
                <w:numId w:val="86"/>
              </w:numPr>
              <w:ind w:left="171" w:hanging="142"/>
              <w:rPr>
                <w:rFonts w:ascii="Calibri Light" w:hAnsi="Calibri Light" w:cs="Calibri Light"/>
                <w:sz w:val="20"/>
                <w:szCs w:val="20"/>
                <w:lang w:val="en-AU"/>
              </w:rPr>
            </w:pPr>
            <w:r w:rsidRPr="00C034B4">
              <w:rPr>
                <w:rFonts w:ascii="Calibri Light" w:hAnsi="Calibri Light" w:cs="Calibri Light"/>
                <w:sz w:val="20"/>
                <w:szCs w:val="20"/>
                <w:lang w:val="en-AU"/>
              </w:rPr>
              <w:t>Scenario planning and simulation exercises with electoral bodies and parliaments on disaster-related disruptions (e.g. polling during floods, wildfire displacement)</w:t>
            </w:r>
            <w:r w:rsidR="004759CD">
              <w:rPr>
                <w:rFonts w:ascii="Calibri Light" w:hAnsi="Calibri Light" w:cs="Calibri Light"/>
                <w:sz w:val="20"/>
                <w:szCs w:val="20"/>
                <w:lang w:val="en-AU"/>
              </w:rPr>
              <w:t>.</w:t>
            </w:r>
          </w:p>
          <w:p w14:paraId="672D6CBC" w14:textId="57250DAD" w:rsidR="00902F90" w:rsidRPr="00C034B4" w:rsidRDefault="00902F90" w:rsidP="00504B06">
            <w:pPr>
              <w:pStyle w:val="ListParagraph"/>
              <w:numPr>
                <w:ilvl w:val="0"/>
                <w:numId w:val="86"/>
              </w:numPr>
              <w:ind w:left="171" w:hanging="142"/>
              <w:rPr>
                <w:rFonts w:ascii="Calibri Light" w:hAnsi="Calibri Light" w:cs="Calibri Light"/>
                <w:sz w:val="20"/>
                <w:szCs w:val="20"/>
                <w:lang w:val="en-AU"/>
              </w:rPr>
            </w:pPr>
            <w:r w:rsidRPr="00C034B4">
              <w:rPr>
                <w:rFonts w:ascii="Calibri Light" w:hAnsi="Calibri Light" w:cs="Calibri Light"/>
                <w:sz w:val="20"/>
                <w:szCs w:val="20"/>
                <w:lang w:val="en-AU"/>
              </w:rPr>
              <w:t>Peer exchanges with regional bodies on climate-responsive governance</w:t>
            </w:r>
            <w:r w:rsidR="004759CD">
              <w:rPr>
                <w:rFonts w:ascii="Calibri Light" w:hAnsi="Calibri Light" w:cs="Calibri Light"/>
                <w:sz w:val="20"/>
                <w:szCs w:val="20"/>
                <w:lang w:val="en-AU"/>
              </w:rPr>
              <w:t>.</w:t>
            </w:r>
          </w:p>
          <w:p w14:paraId="54B153D1" w14:textId="750D5EE6" w:rsidR="00902F90" w:rsidRPr="00C034B4" w:rsidRDefault="00902F90" w:rsidP="00504B06">
            <w:pPr>
              <w:pStyle w:val="ListParagraph"/>
              <w:numPr>
                <w:ilvl w:val="0"/>
                <w:numId w:val="86"/>
              </w:numPr>
              <w:ind w:left="171" w:hanging="142"/>
              <w:rPr>
                <w:rFonts w:ascii="Calibri Light" w:hAnsi="Calibri Light" w:cs="Calibri Light"/>
                <w:sz w:val="20"/>
                <w:szCs w:val="20"/>
                <w:lang w:val="en-AU"/>
              </w:rPr>
            </w:pPr>
            <w:r w:rsidRPr="00C034B4">
              <w:rPr>
                <w:rFonts w:ascii="Calibri Light" w:hAnsi="Calibri Light" w:cs="Calibri Light"/>
                <w:sz w:val="20"/>
                <w:szCs w:val="20"/>
                <w:lang w:val="en-AU"/>
              </w:rPr>
              <w:t xml:space="preserve">Targeted technical assistance to embed crisis-response tools in institutional SOPs, </w:t>
            </w:r>
            <w:r w:rsidRPr="00C034B4">
              <w:rPr>
                <w:rFonts w:ascii="Calibri Light" w:hAnsi="Calibri Light" w:cs="Calibri Light"/>
                <w:sz w:val="20"/>
                <w:szCs w:val="20"/>
              </w:rPr>
              <w:t>voter</w:t>
            </w:r>
            <w:r w:rsidR="00BF4B53">
              <w:rPr>
                <w:rFonts w:ascii="Calibri Light" w:hAnsi="Calibri Light" w:cs="Calibri Light"/>
                <w:sz w:val="20"/>
                <w:szCs w:val="20"/>
              </w:rPr>
              <w:t xml:space="preserve"> </w:t>
            </w:r>
            <w:r w:rsidRPr="00C034B4">
              <w:rPr>
                <w:rFonts w:ascii="Calibri Light" w:hAnsi="Calibri Light" w:cs="Calibri Light"/>
                <w:sz w:val="20"/>
                <w:szCs w:val="20"/>
              </w:rPr>
              <w:t>registration systems, and accountability mechanisms.</w:t>
            </w:r>
          </w:p>
        </w:tc>
        <w:tc>
          <w:tcPr>
            <w:tcW w:w="2693" w:type="dxa"/>
            <w:hideMark/>
          </w:tcPr>
          <w:p w14:paraId="31E96BDE" w14:textId="64353F2C" w:rsidR="00902F90" w:rsidRPr="00C034B4" w:rsidRDefault="00902F90" w:rsidP="00504B06">
            <w:pPr>
              <w:pStyle w:val="ListParagraph"/>
              <w:numPr>
                <w:ilvl w:val="0"/>
                <w:numId w:val="86"/>
              </w:numPr>
              <w:ind w:left="171" w:hanging="142"/>
              <w:rPr>
                <w:rFonts w:ascii="Calibri Light" w:hAnsi="Calibri Light" w:cs="Calibri Light"/>
                <w:sz w:val="20"/>
                <w:szCs w:val="20"/>
                <w:lang w:val="en-AU"/>
              </w:rPr>
            </w:pPr>
            <w:r w:rsidRPr="00C034B4">
              <w:rPr>
                <w:rFonts w:ascii="Calibri Light" w:hAnsi="Calibri Light" w:cs="Calibri Light"/>
                <w:sz w:val="20"/>
                <w:szCs w:val="20"/>
                <w:lang w:val="en-AU"/>
              </w:rPr>
              <w:t>Increased preparedness of democratic institutions to function during climate/</w:t>
            </w:r>
            <w:r w:rsidR="00A76E17">
              <w:rPr>
                <w:rFonts w:ascii="Calibri Light" w:hAnsi="Calibri Light" w:cs="Calibri Light"/>
                <w:sz w:val="20"/>
                <w:szCs w:val="20"/>
                <w:lang w:val="en-AU"/>
              </w:rPr>
              <w:t xml:space="preserve"> </w:t>
            </w:r>
            <w:r w:rsidRPr="00C034B4">
              <w:rPr>
                <w:rFonts w:ascii="Calibri Light" w:hAnsi="Calibri Light" w:cs="Calibri Light"/>
                <w:sz w:val="20"/>
                <w:szCs w:val="20"/>
                <w:lang w:val="en-AU"/>
              </w:rPr>
              <w:t>disaster shocks</w:t>
            </w:r>
            <w:r w:rsidR="004759CD">
              <w:rPr>
                <w:rFonts w:ascii="Calibri Light" w:hAnsi="Calibri Light" w:cs="Calibri Light"/>
                <w:sz w:val="20"/>
                <w:szCs w:val="20"/>
                <w:lang w:val="en-AU"/>
              </w:rPr>
              <w:t>.</w:t>
            </w:r>
          </w:p>
          <w:p w14:paraId="62DBEF8D" w14:textId="4FE56422" w:rsidR="00902F90" w:rsidRPr="00C034B4" w:rsidRDefault="00902F90" w:rsidP="00504B06">
            <w:pPr>
              <w:pStyle w:val="ListParagraph"/>
              <w:numPr>
                <w:ilvl w:val="0"/>
                <w:numId w:val="86"/>
              </w:numPr>
              <w:ind w:left="171" w:hanging="142"/>
              <w:rPr>
                <w:rFonts w:ascii="Calibri Light" w:hAnsi="Calibri Light" w:cs="Calibri Light"/>
                <w:sz w:val="20"/>
                <w:szCs w:val="20"/>
                <w:lang w:val="en-AU"/>
              </w:rPr>
            </w:pPr>
            <w:r w:rsidRPr="00C034B4">
              <w:rPr>
                <w:rFonts w:ascii="Calibri Light" w:hAnsi="Calibri Light" w:cs="Calibri Light"/>
                <w:sz w:val="20"/>
                <w:szCs w:val="20"/>
                <w:lang w:val="en-AU"/>
              </w:rPr>
              <w:t>Strengthened citizen trust in state institutions’ ability to deliver during crises</w:t>
            </w:r>
            <w:r w:rsidR="004759CD">
              <w:rPr>
                <w:rFonts w:ascii="Calibri Light" w:hAnsi="Calibri Light" w:cs="Calibri Light"/>
                <w:sz w:val="20"/>
                <w:szCs w:val="20"/>
                <w:lang w:val="en-AU"/>
              </w:rPr>
              <w:t>.</w:t>
            </w:r>
          </w:p>
        </w:tc>
        <w:tc>
          <w:tcPr>
            <w:tcW w:w="2410" w:type="dxa"/>
            <w:hideMark/>
          </w:tcPr>
          <w:p w14:paraId="2A81CE23" w14:textId="1CFEA567" w:rsidR="00902F90" w:rsidRPr="00C034B4" w:rsidRDefault="00902F90">
            <w:pPr>
              <w:rPr>
                <w:rFonts w:ascii="Calibri Light" w:hAnsi="Calibri Light" w:cs="Calibri Light"/>
                <w:sz w:val="20"/>
                <w:szCs w:val="20"/>
                <w:lang w:val="en-AU"/>
              </w:rPr>
            </w:pPr>
            <w:r w:rsidRPr="00C034B4">
              <w:rPr>
                <w:rFonts w:ascii="Calibri Light" w:hAnsi="Calibri Light" w:cs="Calibri Light"/>
                <w:sz w:val="20"/>
                <w:szCs w:val="20"/>
                <w:lang w:val="en-AU"/>
              </w:rPr>
              <w:t>Climate lens applied selectively</w:t>
            </w:r>
            <w:r w:rsidR="00A76E17">
              <w:rPr>
                <w:rFonts w:ascii="Calibri Light" w:hAnsi="Calibri Light" w:cs="Calibri Light"/>
                <w:sz w:val="20"/>
                <w:szCs w:val="20"/>
                <w:lang w:val="en-AU"/>
              </w:rPr>
              <w:t xml:space="preserve"> – </w:t>
            </w:r>
            <w:r w:rsidRPr="00C034B4">
              <w:rPr>
                <w:rFonts w:ascii="Calibri Light" w:hAnsi="Calibri Light" w:cs="Calibri Light"/>
                <w:sz w:val="20"/>
                <w:szCs w:val="20"/>
                <w:lang w:val="en-AU"/>
              </w:rPr>
              <w:t>only where directly linked to institutional resilience and accountability</w:t>
            </w:r>
            <w:r w:rsidR="004759CD">
              <w:rPr>
                <w:rFonts w:ascii="Calibri Light" w:hAnsi="Calibri Light" w:cs="Calibri Light"/>
                <w:sz w:val="20"/>
                <w:szCs w:val="20"/>
                <w:lang w:val="en-AU"/>
              </w:rPr>
              <w:t>.</w:t>
            </w:r>
          </w:p>
        </w:tc>
      </w:tr>
      <w:tr w:rsidR="00902F90" w:rsidRPr="0089210E" w14:paraId="3AE70BB8" w14:textId="77777777" w:rsidTr="0067283D">
        <w:trPr>
          <w:trHeight w:val="1767"/>
        </w:trPr>
        <w:tc>
          <w:tcPr>
            <w:tcW w:w="1418" w:type="dxa"/>
            <w:hideMark/>
          </w:tcPr>
          <w:p w14:paraId="07179155" w14:textId="701C2008" w:rsidR="00902F90" w:rsidRPr="00C034B4" w:rsidRDefault="00902F90">
            <w:pPr>
              <w:rPr>
                <w:rFonts w:ascii="Calibri Light" w:hAnsi="Calibri Light" w:cs="Calibri Light"/>
                <w:sz w:val="20"/>
                <w:szCs w:val="20"/>
                <w:lang w:val="en-AU"/>
              </w:rPr>
            </w:pPr>
            <w:r w:rsidRPr="00C034B4">
              <w:rPr>
                <w:rFonts w:ascii="Calibri Light" w:hAnsi="Calibri Light" w:cs="Calibri Light"/>
                <w:b/>
                <w:sz w:val="20"/>
                <w:szCs w:val="20"/>
                <w:lang w:val="en-AU"/>
              </w:rPr>
              <w:t>EOPO2 Democratic Integrity</w:t>
            </w:r>
          </w:p>
        </w:tc>
        <w:tc>
          <w:tcPr>
            <w:tcW w:w="1943" w:type="dxa"/>
            <w:hideMark/>
          </w:tcPr>
          <w:p w14:paraId="2E2F121E" w14:textId="77777777" w:rsidR="00902F90" w:rsidRPr="00C034B4" w:rsidRDefault="00902F90">
            <w:pPr>
              <w:rPr>
                <w:rFonts w:ascii="Calibri Light" w:hAnsi="Calibri Light" w:cs="Calibri Light"/>
                <w:sz w:val="20"/>
                <w:szCs w:val="20"/>
                <w:lang w:val="en-AU"/>
              </w:rPr>
            </w:pPr>
            <w:r w:rsidRPr="00C034B4">
              <w:rPr>
                <w:rFonts w:ascii="Calibri Light" w:hAnsi="Calibri Light" w:cs="Calibri Light"/>
                <w:sz w:val="20"/>
                <w:szCs w:val="20"/>
                <w:lang w:val="en-AU"/>
              </w:rPr>
              <w:t>Strengthen CSO advocacy linking climate governance to democratic reform</w:t>
            </w:r>
          </w:p>
        </w:tc>
        <w:tc>
          <w:tcPr>
            <w:tcW w:w="6704" w:type="dxa"/>
            <w:hideMark/>
          </w:tcPr>
          <w:p w14:paraId="5ED6D121" w14:textId="692EADC1" w:rsidR="00902F90" w:rsidRPr="00C034B4" w:rsidRDefault="00902F90" w:rsidP="00504B06">
            <w:pPr>
              <w:pStyle w:val="ListParagraph"/>
              <w:numPr>
                <w:ilvl w:val="0"/>
                <w:numId w:val="86"/>
              </w:numPr>
              <w:ind w:left="171" w:hanging="142"/>
              <w:rPr>
                <w:rFonts w:ascii="Calibri Light" w:hAnsi="Calibri Light" w:cs="Calibri Light"/>
                <w:sz w:val="20"/>
                <w:szCs w:val="20"/>
                <w:lang w:val="en-AU"/>
              </w:rPr>
            </w:pPr>
            <w:r w:rsidRPr="00C034B4">
              <w:rPr>
                <w:rFonts w:ascii="Calibri Light" w:hAnsi="Calibri Light" w:cs="Calibri Light"/>
                <w:sz w:val="20"/>
                <w:szCs w:val="20"/>
                <w:lang w:val="en-AU"/>
              </w:rPr>
              <w:t>Small grants for civil society coalitions to integrate climate justice into governance campaigns</w:t>
            </w:r>
            <w:r w:rsidR="004759CD">
              <w:rPr>
                <w:rFonts w:ascii="Calibri Light" w:hAnsi="Calibri Light" w:cs="Calibri Light"/>
                <w:sz w:val="20"/>
                <w:szCs w:val="20"/>
                <w:lang w:val="en-AU"/>
              </w:rPr>
              <w:t>.</w:t>
            </w:r>
          </w:p>
          <w:p w14:paraId="7221BCB9" w14:textId="420A0474" w:rsidR="00902F90" w:rsidRPr="00C034B4" w:rsidRDefault="00902F90" w:rsidP="00504B06">
            <w:pPr>
              <w:pStyle w:val="ListParagraph"/>
              <w:numPr>
                <w:ilvl w:val="0"/>
                <w:numId w:val="86"/>
              </w:numPr>
              <w:ind w:left="171" w:hanging="142"/>
              <w:rPr>
                <w:rFonts w:ascii="Calibri Light" w:hAnsi="Calibri Light" w:cs="Calibri Light"/>
                <w:sz w:val="20"/>
                <w:szCs w:val="20"/>
                <w:lang w:val="en-AU"/>
              </w:rPr>
            </w:pPr>
            <w:r w:rsidRPr="00C034B4">
              <w:rPr>
                <w:rFonts w:ascii="Calibri Light" w:hAnsi="Calibri Light" w:cs="Calibri Light"/>
                <w:sz w:val="20"/>
                <w:szCs w:val="20"/>
                <w:lang w:val="en-AU"/>
              </w:rPr>
              <w:t>Partnerships between governance-oriented CSOs and environmental NGOs</w:t>
            </w:r>
            <w:r w:rsidR="00CA1DDC">
              <w:rPr>
                <w:rFonts w:ascii="Calibri Light" w:hAnsi="Calibri Light" w:cs="Calibri Light"/>
                <w:sz w:val="20"/>
                <w:szCs w:val="20"/>
                <w:lang w:val="en-AU"/>
              </w:rPr>
              <w:t>.</w:t>
            </w:r>
          </w:p>
          <w:p w14:paraId="1351E7F7" w14:textId="250D452A" w:rsidR="00902F90" w:rsidRPr="00C034B4" w:rsidRDefault="00902F90" w:rsidP="00504B06">
            <w:pPr>
              <w:pStyle w:val="ListParagraph"/>
              <w:numPr>
                <w:ilvl w:val="0"/>
                <w:numId w:val="86"/>
              </w:numPr>
              <w:ind w:left="171" w:hanging="142"/>
              <w:rPr>
                <w:rFonts w:ascii="Calibri Light" w:hAnsi="Calibri Light" w:cs="Calibri Light"/>
                <w:sz w:val="20"/>
                <w:szCs w:val="20"/>
                <w:lang w:val="en-AU"/>
              </w:rPr>
            </w:pPr>
            <w:r w:rsidRPr="00C034B4">
              <w:rPr>
                <w:rFonts w:ascii="Calibri Light" w:hAnsi="Calibri Light" w:cs="Calibri Light"/>
                <w:sz w:val="20"/>
                <w:szCs w:val="20"/>
                <w:lang w:val="en-AU"/>
              </w:rPr>
              <w:t>Support to women/youth/faith-based groups on climate accountability and anti-corruption in resource management</w:t>
            </w:r>
            <w:r w:rsidR="004759CD">
              <w:rPr>
                <w:rFonts w:ascii="Calibri Light" w:hAnsi="Calibri Light" w:cs="Calibri Light"/>
                <w:sz w:val="20"/>
                <w:szCs w:val="20"/>
                <w:lang w:val="en-AU"/>
              </w:rPr>
              <w:t>.</w:t>
            </w:r>
          </w:p>
          <w:p w14:paraId="483CB1CB" w14:textId="77777777" w:rsidR="00902F90" w:rsidRPr="00C034B4" w:rsidRDefault="00902F90" w:rsidP="00504B06">
            <w:pPr>
              <w:pStyle w:val="ListParagraph"/>
              <w:numPr>
                <w:ilvl w:val="0"/>
                <w:numId w:val="86"/>
              </w:numPr>
              <w:ind w:left="171" w:hanging="142"/>
              <w:rPr>
                <w:rFonts w:ascii="Calibri Light" w:hAnsi="Calibri Light" w:cs="Calibri Light"/>
                <w:sz w:val="20"/>
                <w:szCs w:val="20"/>
                <w:lang w:val="en-AU"/>
              </w:rPr>
            </w:pPr>
            <w:r w:rsidRPr="00C034B4">
              <w:rPr>
                <w:rFonts w:ascii="Calibri Light" w:hAnsi="Calibri Light" w:cs="Calibri Light"/>
                <w:sz w:val="20"/>
                <w:szCs w:val="20"/>
              </w:rPr>
              <w:t>Technical assistance for CSOs on disability-inclusive climate communication and accessible community monitoring tools.</w:t>
            </w:r>
          </w:p>
        </w:tc>
        <w:tc>
          <w:tcPr>
            <w:tcW w:w="2693" w:type="dxa"/>
            <w:hideMark/>
          </w:tcPr>
          <w:p w14:paraId="5B7D8206" w14:textId="55F856E6" w:rsidR="00902F90" w:rsidRPr="00C034B4" w:rsidRDefault="00902F90" w:rsidP="00504B06">
            <w:pPr>
              <w:pStyle w:val="ListParagraph"/>
              <w:numPr>
                <w:ilvl w:val="0"/>
                <w:numId w:val="86"/>
              </w:numPr>
              <w:ind w:left="171" w:hanging="142"/>
              <w:rPr>
                <w:rFonts w:ascii="Calibri Light" w:hAnsi="Calibri Light" w:cs="Calibri Light"/>
                <w:sz w:val="20"/>
                <w:szCs w:val="20"/>
                <w:lang w:val="en-AU"/>
              </w:rPr>
            </w:pPr>
            <w:r w:rsidRPr="00C034B4">
              <w:rPr>
                <w:rFonts w:ascii="Calibri Light" w:hAnsi="Calibri Light" w:cs="Calibri Light"/>
                <w:sz w:val="20"/>
                <w:szCs w:val="20"/>
                <w:lang w:val="en-AU"/>
              </w:rPr>
              <w:t>Civil society more capable of holding government accountable for climate-related policy decisions</w:t>
            </w:r>
            <w:r w:rsidR="004759CD">
              <w:rPr>
                <w:rFonts w:ascii="Calibri Light" w:hAnsi="Calibri Light" w:cs="Calibri Light"/>
                <w:sz w:val="20"/>
                <w:szCs w:val="20"/>
                <w:lang w:val="en-AU"/>
              </w:rPr>
              <w:t>.</w:t>
            </w:r>
          </w:p>
          <w:p w14:paraId="78F212BE" w14:textId="3BA29C9C" w:rsidR="00902F90" w:rsidRPr="00C034B4" w:rsidRDefault="00902F90" w:rsidP="00504B06">
            <w:pPr>
              <w:pStyle w:val="ListParagraph"/>
              <w:numPr>
                <w:ilvl w:val="0"/>
                <w:numId w:val="86"/>
              </w:numPr>
              <w:ind w:left="171" w:hanging="142"/>
              <w:rPr>
                <w:rFonts w:ascii="Calibri Light" w:hAnsi="Calibri Light" w:cs="Calibri Light"/>
                <w:sz w:val="20"/>
                <w:szCs w:val="20"/>
                <w:lang w:val="en-AU"/>
              </w:rPr>
            </w:pPr>
            <w:r w:rsidRPr="00C034B4">
              <w:rPr>
                <w:rFonts w:ascii="Calibri Light" w:hAnsi="Calibri Light" w:cs="Calibri Light"/>
                <w:sz w:val="20"/>
                <w:szCs w:val="20"/>
                <w:lang w:val="en-AU"/>
              </w:rPr>
              <w:t>Broader inclusion of youth</w:t>
            </w:r>
            <w:r w:rsidR="0034493F">
              <w:rPr>
                <w:rFonts w:ascii="Calibri Light" w:hAnsi="Calibri Light" w:cs="Calibri Light"/>
                <w:sz w:val="20"/>
                <w:szCs w:val="20"/>
                <w:lang w:val="en-AU"/>
              </w:rPr>
              <w:t>s</w:t>
            </w:r>
            <w:r w:rsidRPr="00C034B4">
              <w:rPr>
                <w:rFonts w:ascii="Calibri Light" w:hAnsi="Calibri Light" w:cs="Calibri Light"/>
                <w:sz w:val="20"/>
                <w:szCs w:val="20"/>
                <w:lang w:val="en-AU"/>
              </w:rPr>
              <w:t>, women, and marginalised groups in civic action around climate justice</w:t>
            </w:r>
            <w:r w:rsidR="004759CD">
              <w:rPr>
                <w:rFonts w:ascii="Calibri Light" w:hAnsi="Calibri Light" w:cs="Calibri Light"/>
                <w:sz w:val="20"/>
                <w:szCs w:val="20"/>
                <w:lang w:val="en-AU"/>
              </w:rPr>
              <w:t>.</w:t>
            </w:r>
          </w:p>
        </w:tc>
        <w:tc>
          <w:tcPr>
            <w:tcW w:w="2410" w:type="dxa"/>
            <w:hideMark/>
          </w:tcPr>
          <w:p w14:paraId="79C5F8CF" w14:textId="37E96F6C" w:rsidR="00902F90" w:rsidRPr="00C034B4" w:rsidRDefault="00902F90">
            <w:pPr>
              <w:rPr>
                <w:rFonts w:ascii="Calibri Light" w:hAnsi="Calibri Light" w:cs="Calibri Light"/>
                <w:sz w:val="20"/>
                <w:szCs w:val="20"/>
                <w:lang w:val="en-AU"/>
              </w:rPr>
            </w:pPr>
            <w:r w:rsidRPr="00C034B4">
              <w:rPr>
                <w:rFonts w:ascii="Calibri Light" w:hAnsi="Calibri Light" w:cs="Calibri Light"/>
                <w:sz w:val="20"/>
                <w:szCs w:val="20"/>
                <w:lang w:val="en-AU"/>
              </w:rPr>
              <w:t>Avoids over-extension</w:t>
            </w:r>
            <w:r w:rsidR="004759CD">
              <w:rPr>
                <w:rFonts w:ascii="Calibri Light" w:hAnsi="Calibri Light" w:cs="Calibri Light"/>
                <w:sz w:val="20"/>
                <w:szCs w:val="20"/>
                <w:lang w:val="en-AU"/>
              </w:rPr>
              <w:t>,</w:t>
            </w:r>
            <w:r w:rsidRPr="00C034B4">
              <w:rPr>
                <w:rFonts w:ascii="Calibri Light" w:hAnsi="Calibri Light" w:cs="Calibri Light"/>
                <w:sz w:val="20"/>
                <w:szCs w:val="20"/>
                <w:lang w:val="en-AU"/>
              </w:rPr>
              <w:t xml:space="preserve"> only supports CSOs already engaging on climate and governance intersections</w:t>
            </w:r>
            <w:r w:rsidR="004759CD">
              <w:rPr>
                <w:rFonts w:ascii="Calibri Light" w:hAnsi="Calibri Light" w:cs="Calibri Light"/>
                <w:sz w:val="20"/>
                <w:szCs w:val="20"/>
                <w:lang w:val="en-AU"/>
              </w:rPr>
              <w:t>.</w:t>
            </w:r>
          </w:p>
        </w:tc>
      </w:tr>
      <w:tr w:rsidR="00902F90" w:rsidRPr="0089210E" w14:paraId="42DD57FF" w14:textId="77777777" w:rsidTr="0067283D">
        <w:tc>
          <w:tcPr>
            <w:tcW w:w="1418" w:type="dxa"/>
            <w:hideMark/>
          </w:tcPr>
          <w:p w14:paraId="4CB968AF" w14:textId="0205B4EB" w:rsidR="00902F90" w:rsidRPr="00C034B4" w:rsidRDefault="00902F90">
            <w:pPr>
              <w:rPr>
                <w:rFonts w:ascii="Calibri Light" w:hAnsi="Calibri Light" w:cs="Calibri Light"/>
                <w:sz w:val="20"/>
                <w:szCs w:val="20"/>
                <w:lang w:val="en-AU"/>
              </w:rPr>
            </w:pPr>
            <w:r w:rsidRPr="00C034B4">
              <w:rPr>
                <w:rFonts w:ascii="Calibri Light" w:hAnsi="Calibri Light" w:cs="Calibri Light"/>
                <w:b/>
                <w:sz w:val="20"/>
                <w:szCs w:val="20"/>
                <w:lang w:val="en-AU"/>
              </w:rPr>
              <w:t>EOPO3 Collaborative Democratic Action</w:t>
            </w:r>
          </w:p>
        </w:tc>
        <w:tc>
          <w:tcPr>
            <w:tcW w:w="1943" w:type="dxa"/>
            <w:hideMark/>
          </w:tcPr>
          <w:p w14:paraId="7FF1EF6A" w14:textId="77777777" w:rsidR="00902F90" w:rsidRPr="00C034B4" w:rsidRDefault="00902F90">
            <w:pPr>
              <w:rPr>
                <w:rFonts w:ascii="Calibri Light" w:hAnsi="Calibri Light" w:cs="Calibri Light"/>
                <w:sz w:val="20"/>
                <w:szCs w:val="20"/>
                <w:lang w:val="en-AU"/>
              </w:rPr>
            </w:pPr>
            <w:r w:rsidRPr="00C034B4">
              <w:rPr>
                <w:rFonts w:ascii="Calibri Light" w:hAnsi="Calibri Light" w:cs="Calibri Light"/>
                <w:sz w:val="20"/>
                <w:szCs w:val="20"/>
                <w:lang w:val="en-AU"/>
              </w:rPr>
              <w:t>Position climate as a governance and accountability issue in public dialogue and media</w:t>
            </w:r>
          </w:p>
        </w:tc>
        <w:tc>
          <w:tcPr>
            <w:tcW w:w="6704" w:type="dxa"/>
            <w:hideMark/>
          </w:tcPr>
          <w:p w14:paraId="7F7AC0A5" w14:textId="75AF5BC0" w:rsidR="00902F90" w:rsidRPr="00C034B4" w:rsidRDefault="00902F90" w:rsidP="00504B06">
            <w:pPr>
              <w:pStyle w:val="ListParagraph"/>
              <w:numPr>
                <w:ilvl w:val="0"/>
                <w:numId w:val="86"/>
              </w:numPr>
              <w:ind w:left="171" w:hanging="142"/>
              <w:rPr>
                <w:rFonts w:ascii="Calibri Light" w:hAnsi="Calibri Light" w:cs="Calibri Light"/>
                <w:sz w:val="20"/>
                <w:szCs w:val="20"/>
                <w:lang w:val="en-AU"/>
              </w:rPr>
            </w:pPr>
            <w:r w:rsidRPr="00C034B4">
              <w:rPr>
                <w:rFonts w:ascii="Calibri Light" w:hAnsi="Calibri Light" w:cs="Calibri Light"/>
                <w:sz w:val="20"/>
                <w:szCs w:val="20"/>
                <w:lang w:val="en-AU"/>
              </w:rPr>
              <w:t>Dialogue platforms linking subnational governments and citizens on climate-related budgeting and service delivery</w:t>
            </w:r>
            <w:r w:rsidR="004759CD">
              <w:rPr>
                <w:rFonts w:ascii="Calibri Light" w:hAnsi="Calibri Light" w:cs="Calibri Light"/>
                <w:sz w:val="20"/>
                <w:szCs w:val="20"/>
                <w:lang w:val="en-AU"/>
              </w:rPr>
              <w:t>.</w:t>
            </w:r>
          </w:p>
          <w:p w14:paraId="233D85FC" w14:textId="61273C60" w:rsidR="00902F90" w:rsidRPr="00C034B4" w:rsidRDefault="00902F90" w:rsidP="00504B06">
            <w:pPr>
              <w:pStyle w:val="ListParagraph"/>
              <w:numPr>
                <w:ilvl w:val="0"/>
                <w:numId w:val="86"/>
              </w:numPr>
              <w:ind w:left="171" w:hanging="142"/>
              <w:rPr>
                <w:rFonts w:ascii="Calibri Light" w:hAnsi="Calibri Light" w:cs="Calibri Light"/>
                <w:sz w:val="20"/>
                <w:szCs w:val="20"/>
                <w:lang w:val="en-AU"/>
              </w:rPr>
            </w:pPr>
            <w:r w:rsidRPr="00C034B4">
              <w:rPr>
                <w:rFonts w:ascii="Calibri Light" w:hAnsi="Calibri Light" w:cs="Calibri Light"/>
                <w:sz w:val="20"/>
                <w:szCs w:val="20"/>
                <w:lang w:val="en-AU"/>
              </w:rPr>
              <w:t>Storytelling/media labs amplifying citizen voices on democratic impacts of climate shocks</w:t>
            </w:r>
            <w:r w:rsidR="004759CD">
              <w:rPr>
                <w:rFonts w:ascii="Calibri Light" w:hAnsi="Calibri Light" w:cs="Calibri Light"/>
                <w:sz w:val="20"/>
                <w:szCs w:val="20"/>
                <w:lang w:val="en-AU"/>
              </w:rPr>
              <w:t>.</w:t>
            </w:r>
          </w:p>
          <w:p w14:paraId="0A49DAC2" w14:textId="2FFA3EF7" w:rsidR="00902F90" w:rsidRPr="00C034B4" w:rsidRDefault="00902F90" w:rsidP="00504B06">
            <w:pPr>
              <w:pStyle w:val="ListParagraph"/>
              <w:numPr>
                <w:ilvl w:val="0"/>
                <w:numId w:val="86"/>
              </w:numPr>
              <w:ind w:left="171" w:hanging="142"/>
              <w:rPr>
                <w:rFonts w:ascii="Calibri Light" w:hAnsi="Calibri Light" w:cs="Calibri Light"/>
                <w:sz w:val="20"/>
                <w:szCs w:val="20"/>
                <w:lang w:val="en-AU"/>
              </w:rPr>
            </w:pPr>
            <w:r w:rsidRPr="00C034B4">
              <w:rPr>
                <w:rFonts w:ascii="Calibri Light" w:hAnsi="Calibri Light" w:cs="Calibri Light"/>
                <w:sz w:val="20"/>
                <w:szCs w:val="20"/>
              </w:rPr>
              <w:t>Support to community media and digital platforms to ensure content is accessible (captioning, sign</w:t>
            </w:r>
            <w:r w:rsidR="00BF4B53">
              <w:rPr>
                <w:rFonts w:ascii="Calibri Light" w:hAnsi="Calibri Light" w:cs="Calibri Light"/>
                <w:sz w:val="20"/>
                <w:szCs w:val="20"/>
              </w:rPr>
              <w:t xml:space="preserve"> </w:t>
            </w:r>
            <w:r w:rsidRPr="00C034B4">
              <w:rPr>
                <w:rFonts w:ascii="Calibri Light" w:hAnsi="Calibri Light" w:cs="Calibri Light"/>
                <w:sz w:val="20"/>
                <w:szCs w:val="20"/>
              </w:rPr>
              <w:t>language, screen-reader-friendly).</w:t>
            </w:r>
          </w:p>
        </w:tc>
        <w:tc>
          <w:tcPr>
            <w:tcW w:w="2693" w:type="dxa"/>
            <w:hideMark/>
          </w:tcPr>
          <w:p w14:paraId="4E59FF85" w14:textId="4256C2CA" w:rsidR="00902F90" w:rsidRPr="00C034B4" w:rsidRDefault="00902F90" w:rsidP="00504B06">
            <w:pPr>
              <w:pStyle w:val="ListParagraph"/>
              <w:numPr>
                <w:ilvl w:val="0"/>
                <w:numId w:val="86"/>
              </w:numPr>
              <w:ind w:left="171" w:hanging="142"/>
              <w:rPr>
                <w:rFonts w:ascii="Calibri Light" w:hAnsi="Calibri Light" w:cs="Calibri Light"/>
                <w:sz w:val="20"/>
                <w:szCs w:val="20"/>
                <w:lang w:val="en-AU"/>
              </w:rPr>
            </w:pPr>
            <w:r w:rsidRPr="00C034B4">
              <w:rPr>
                <w:rFonts w:ascii="Calibri Light" w:hAnsi="Calibri Light" w:cs="Calibri Light"/>
                <w:sz w:val="20"/>
                <w:szCs w:val="20"/>
                <w:lang w:val="en-AU"/>
              </w:rPr>
              <w:t>Strengthened citizen–state dialogue on shared challenges</w:t>
            </w:r>
            <w:r w:rsidR="004759CD">
              <w:rPr>
                <w:rFonts w:ascii="Calibri Light" w:hAnsi="Calibri Light" w:cs="Calibri Light"/>
                <w:sz w:val="20"/>
                <w:szCs w:val="20"/>
                <w:lang w:val="en-AU"/>
              </w:rPr>
              <w:t>.</w:t>
            </w:r>
          </w:p>
          <w:p w14:paraId="6DAC7040" w14:textId="2E4E47ED" w:rsidR="00902F90" w:rsidRPr="00C034B4" w:rsidRDefault="00902F90" w:rsidP="00504B06">
            <w:pPr>
              <w:pStyle w:val="ListParagraph"/>
              <w:numPr>
                <w:ilvl w:val="0"/>
                <w:numId w:val="86"/>
              </w:numPr>
              <w:ind w:left="171" w:hanging="142"/>
              <w:rPr>
                <w:rFonts w:ascii="Calibri Light" w:hAnsi="Calibri Light" w:cs="Calibri Light"/>
                <w:sz w:val="20"/>
                <w:szCs w:val="20"/>
                <w:lang w:val="en-AU"/>
              </w:rPr>
            </w:pPr>
            <w:r w:rsidRPr="00C034B4">
              <w:rPr>
                <w:rFonts w:ascii="Calibri Light" w:hAnsi="Calibri Light" w:cs="Calibri Light"/>
                <w:sz w:val="20"/>
                <w:szCs w:val="20"/>
                <w:lang w:val="en-AU"/>
              </w:rPr>
              <w:t>Increased legitimacy of democratic participation by linking it to lived realities (e.g. climate impacts)</w:t>
            </w:r>
            <w:r w:rsidR="004759CD">
              <w:rPr>
                <w:rFonts w:ascii="Calibri Light" w:hAnsi="Calibri Light" w:cs="Calibri Light"/>
                <w:sz w:val="20"/>
                <w:szCs w:val="20"/>
                <w:lang w:val="en-AU"/>
              </w:rPr>
              <w:t>.</w:t>
            </w:r>
          </w:p>
        </w:tc>
        <w:tc>
          <w:tcPr>
            <w:tcW w:w="2410" w:type="dxa"/>
            <w:hideMark/>
          </w:tcPr>
          <w:p w14:paraId="0B5B266A" w14:textId="31C674A6" w:rsidR="00902F90" w:rsidRPr="00C034B4" w:rsidRDefault="00902F90">
            <w:pPr>
              <w:rPr>
                <w:rFonts w:ascii="Calibri Light" w:hAnsi="Calibri Light" w:cs="Calibri Light"/>
                <w:sz w:val="20"/>
                <w:szCs w:val="20"/>
                <w:lang w:val="en-AU"/>
              </w:rPr>
            </w:pPr>
            <w:r w:rsidRPr="00C034B4">
              <w:rPr>
                <w:rFonts w:ascii="Calibri Light" w:hAnsi="Calibri Light" w:cs="Calibri Light"/>
                <w:sz w:val="20"/>
                <w:szCs w:val="20"/>
                <w:lang w:val="en-AU"/>
              </w:rPr>
              <w:t>Treated as a governance/</w:t>
            </w:r>
            <w:r w:rsidR="00A76E17">
              <w:rPr>
                <w:rFonts w:ascii="Calibri Light" w:hAnsi="Calibri Light" w:cs="Calibri Light"/>
                <w:sz w:val="20"/>
                <w:szCs w:val="20"/>
                <w:lang w:val="en-AU"/>
              </w:rPr>
              <w:t xml:space="preserve"> </w:t>
            </w:r>
            <w:r w:rsidRPr="00C034B4">
              <w:rPr>
                <w:rFonts w:ascii="Calibri Light" w:hAnsi="Calibri Light" w:cs="Calibri Light"/>
                <w:sz w:val="20"/>
                <w:szCs w:val="20"/>
                <w:lang w:val="en-AU"/>
              </w:rPr>
              <w:t xml:space="preserve">participation issue, not an environmental program; opportunistic and </w:t>
            </w:r>
            <w:proofErr w:type="gramStart"/>
            <w:r w:rsidRPr="00C034B4">
              <w:rPr>
                <w:rFonts w:ascii="Calibri Light" w:hAnsi="Calibri Light" w:cs="Calibri Light"/>
                <w:sz w:val="20"/>
                <w:szCs w:val="20"/>
                <w:lang w:val="en-AU"/>
              </w:rPr>
              <w:t>demand-driven</w:t>
            </w:r>
            <w:proofErr w:type="gramEnd"/>
            <w:r w:rsidR="004759CD">
              <w:rPr>
                <w:rFonts w:ascii="Calibri Light" w:hAnsi="Calibri Light" w:cs="Calibri Light"/>
                <w:sz w:val="20"/>
                <w:szCs w:val="20"/>
                <w:lang w:val="en-AU"/>
              </w:rPr>
              <w:t>.</w:t>
            </w:r>
          </w:p>
        </w:tc>
      </w:tr>
    </w:tbl>
    <w:p w14:paraId="4085A0E9" w14:textId="77777777" w:rsidR="00902F90" w:rsidRDefault="00902F90" w:rsidP="00902F90">
      <w:pPr>
        <w:rPr>
          <w:rStyle w:val="Heading3Char"/>
        </w:rPr>
        <w:sectPr w:rsidR="00902F90" w:rsidSect="00902F90">
          <w:pgSz w:w="16838" w:h="11906" w:orient="landscape" w:code="9"/>
          <w:pgMar w:top="1134" w:right="1418" w:bottom="992" w:left="1701" w:header="425" w:footer="493" w:gutter="0"/>
          <w:cols w:space="397"/>
          <w:titlePg/>
          <w:docGrid w:linePitch="360"/>
        </w:sectPr>
      </w:pPr>
    </w:p>
    <w:p w14:paraId="617AEB3A" w14:textId="184240E4" w:rsidR="00902F90" w:rsidRPr="008A6E45" w:rsidRDefault="00902F90" w:rsidP="00902F90">
      <w:pPr>
        <w:rPr>
          <w:rStyle w:val="Heading3Char"/>
          <w:rFonts w:asciiTheme="minorHAnsi" w:eastAsiaTheme="minorHAnsi" w:hAnsiTheme="minorHAnsi" w:cstheme="minorBidi"/>
          <w:bCs w:val="0"/>
          <w:sz w:val="22"/>
          <w:szCs w:val="22"/>
          <w:lang w:eastAsia="en-AU"/>
        </w:rPr>
      </w:pPr>
      <w:r w:rsidRPr="00B57CB6">
        <w:rPr>
          <w:rStyle w:val="Heading3Char"/>
        </w:rPr>
        <w:lastRenderedPageBreak/>
        <w:t xml:space="preserve">Innovation </w:t>
      </w:r>
    </w:p>
    <w:p w14:paraId="439EEF14" w14:textId="77777777" w:rsidR="00902F90" w:rsidRPr="00E1615A" w:rsidRDefault="00902F90" w:rsidP="00902F90">
      <w:pPr>
        <w:rPr>
          <w:rFonts w:eastAsia="Times New Roman" w:cs="Times New Roman"/>
          <w:szCs w:val="21"/>
          <w:lang w:val="en-AU"/>
        </w:rPr>
      </w:pPr>
      <w:proofErr w:type="spellStart"/>
      <w:r w:rsidRPr="00D84A7F">
        <w:rPr>
          <w:rFonts w:eastAsia="Times New Roman" w:cs="Times New Roman"/>
          <w:szCs w:val="21"/>
        </w:rPr>
        <w:t>Partisipasi</w:t>
      </w:r>
      <w:proofErr w:type="spellEnd"/>
      <w:r w:rsidRPr="008C22AF">
        <w:rPr>
          <w:rFonts w:eastAsia="Times New Roman" w:cs="Times New Roman"/>
          <w:i/>
          <w:szCs w:val="21"/>
        </w:rPr>
        <w:t xml:space="preserve"> </w:t>
      </w:r>
      <w:r w:rsidRPr="00ED435A">
        <w:rPr>
          <w:rFonts w:eastAsia="Times New Roman" w:cs="Times New Roman"/>
          <w:szCs w:val="21"/>
        </w:rPr>
        <w:t>will support inclusive democratic innovation to address structural barriers to participation, voice, and influence, especially for marginalised groups.</w:t>
      </w:r>
      <w:r>
        <w:rPr>
          <w:rFonts w:eastAsia="Times New Roman" w:cs="Times New Roman"/>
          <w:szCs w:val="21"/>
        </w:rPr>
        <w:t xml:space="preserve"> </w:t>
      </w:r>
      <w:r w:rsidRPr="00E1615A">
        <w:rPr>
          <w:rFonts w:eastAsia="Times New Roman" w:cs="Times New Roman"/>
          <w:szCs w:val="21"/>
          <w:lang w:val="en-AU"/>
        </w:rPr>
        <w:t>The program recognises that traditional models of engagement are insufficient to meet the needs of diverse civic actors and that new, community-driven innovations</w:t>
      </w:r>
      <w:r>
        <w:rPr>
          <w:rFonts w:eastAsia="Times New Roman" w:cs="Times New Roman"/>
          <w:szCs w:val="21"/>
          <w:lang w:val="en-AU"/>
        </w:rPr>
        <w:t xml:space="preserve">, </w:t>
      </w:r>
      <w:r w:rsidRPr="00E1615A">
        <w:rPr>
          <w:rFonts w:eastAsia="Times New Roman" w:cs="Times New Roman"/>
          <w:szCs w:val="21"/>
          <w:lang w:val="en-AU"/>
        </w:rPr>
        <w:t>particularly those led by young people, women, and marginalised groups</w:t>
      </w:r>
      <w:r>
        <w:rPr>
          <w:rFonts w:eastAsia="Times New Roman" w:cs="Times New Roman"/>
          <w:szCs w:val="21"/>
          <w:lang w:val="en-AU"/>
        </w:rPr>
        <w:t xml:space="preserve">, </w:t>
      </w:r>
      <w:r w:rsidRPr="00E1615A">
        <w:rPr>
          <w:rFonts w:eastAsia="Times New Roman" w:cs="Times New Roman"/>
          <w:szCs w:val="21"/>
          <w:lang w:val="en-AU"/>
        </w:rPr>
        <w:t xml:space="preserve">can </w:t>
      </w:r>
      <w:r>
        <w:rPr>
          <w:rFonts w:eastAsia="Times New Roman" w:cs="Times New Roman"/>
          <w:szCs w:val="21"/>
          <w:lang w:val="en-AU"/>
        </w:rPr>
        <w:t xml:space="preserve">catalyse enhanced democratic resilience. </w:t>
      </w:r>
    </w:p>
    <w:p w14:paraId="0B1CC446" w14:textId="079E8B33" w:rsidR="00902F90" w:rsidRPr="00E1615A" w:rsidRDefault="00902F90" w:rsidP="00902F90">
      <w:pPr>
        <w:rPr>
          <w:rFonts w:eastAsia="Times New Roman" w:cs="Times New Roman"/>
          <w:szCs w:val="21"/>
          <w:lang w:val="en-AU"/>
        </w:rPr>
      </w:pPr>
      <w:proofErr w:type="spellStart"/>
      <w:r w:rsidRPr="00D84A7F">
        <w:rPr>
          <w:rFonts w:eastAsia="Times New Roman" w:cs="Times New Roman"/>
          <w:iCs/>
          <w:szCs w:val="21"/>
          <w:lang w:val="en-AU"/>
        </w:rPr>
        <w:t>Partisipasi</w:t>
      </w:r>
      <w:proofErr w:type="spellEnd"/>
      <w:r w:rsidRPr="00E1615A">
        <w:rPr>
          <w:rFonts w:eastAsia="Times New Roman" w:cs="Times New Roman"/>
          <w:szCs w:val="21"/>
          <w:lang w:val="en-AU"/>
        </w:rPr>
        <w:t xml:space="preserve"> will support adaptive and inclusive democratic innovation by embedding experimentation, iterative learning, and user-centred design into its delivery and partnerships.</w:t>
      </w:r>
      <w:r w:rsidR="00B14DEE">
        <w:rPr>
          <w:rFonts w:eastAsia="Times New Roman" w:cs="Times New Roman"/>
          <w:szCs w:val="21"/>
          <w:lang w:val="en-AU"/>
        </w:rPr>
        <w:t xml:space="preserve"> </w:t>
      </w:r>
      <w:r w:rsidRPr="00E1615A">
        <w:rPr>
          <w:rFonts w:eastAsia="Times New Roman" w:cs="Times New Roman"/>
          <w:szCs w:val="21"/>
          <w:lang w:val="en-AU"/>
        </w:rPr>
        <w:t>Areas of focus may include:</w:t>
      </w:r>
    </w:p>
    <w:p w14:paraId="69A27324" w14:textId="77FF237A" w:rsidR="00902F90" w:rsidRPr="00137E4A" w:rsidRDefault="00902F90" w:rsidP="00D3558F">
      <w:pPr>
        <w:numPr>
          <w:ilvl w:val="0"/>
          <w:numId w:val="19"/>
        </w:numPr>
        <w:suppressAutoHyphens w:val="0"/>
        <w:spacing w:before="0" w:after="160" w:line="259" w:lineRule="auto"/>
        <w:rPr>
          <w:rFonts w:eastAsia="Times New Roman" w:cs="Times New Roman"/>
          <w:szCs w:val="21"/>
          <w:lang w:val="en-AU"/>
        </w:rPr>
      </w:pPr>
      <w:r w:rsidRPr="00137E4A">
        <w:rPr>
          <w:rFonts w:eastAsia="Times New Roman" w:cs="Times New Roman"/>
          <w:szCs w:val="21"/>
          <w:lang w:val="en-AU"/>
        </w:rPr>
        <w:t>Bridging digital access gaps through community-based digital literacy programs for women, pe</w:t>
      </w:r>
      <w:r>
        <w:rPr>
          <w:rFonts w:eastAsia="Times New Roman" w:cs="Times New Roman"/>
          <w:szCs w:val="21"/>
          <w:lang w:val="en-AU"/>
        </w:rPr>
        <w:t xml:space="preserve">ople </w:t>
      </w:r>
      <w:r w:rsidRPr="00137E4A">
        <w:rPr>
          <w:rFonts w:eastAsia="Times New Roman" w:cs="Times New Roman"/>
          <w:szCs w:val="21"/>
          <w:lang w:val="en-AU"/>
        </w:rPr>
        <w:t>with disabilities, and rural youth</w:t>
      </w:r>
      <w:r w:rsidR="0034493F">
        <w:rPr>
          <w:rFonts w:eastAsia="Times New Roman" w:cs="Times New Roman"/>
          <w:szCs w:val="21"/>
          <w:lang w:val="en-AU"/>
        </w:rPr>
        <w:t>s</w:t>
      </w:r>
      <w:r>
        <w:rPr>
          <w:rFonts w:eastAsia="Times New Roman" w:cs="Times New Roman"/>
          <w:szCs w:val="21"/>
          <w:lang w:val="en-AU"/>
        </w:rPr>
        <w:t xml:space="preserve">, </w:t>
      </w:r>
      <w:r w:rsidRPr="003A569D">
        <w:rPr>
          <w:rFonts w:eastAsia="Times New Roman" w:cs="Times New Roman"/>
          <w:szCs w:val="21"/>
        </w:rPr>
        <w:t>reducing</w:t>
      </w:r>
      <w:r>
        <w:rPr>
          <w:rFonts w:eastAsia="Times New Roman" w:cs="Times New Roman"/>
          <w:szCs w:val="21"/>
        </w:rPr>
        <w:t xml:space="preserve"> vulnerabilities to mis</w:t>
      </w:r>
      <w:r w:rsidR="00575C2B">
        <w:rPr>
          <w:rFonts w:eastAsia="Times New Roman" w:cs="Times New Roman"/>
          <w:szCs w:val="21"/>
        </w:rPr>
        <w:t>/</w:t>
      </w:r>
      <w:r>
        <w:rPr>
          <w:rFonts w:eastAsia="Times New Roman" w:cs="Times New Roman"/>
          <w:szCs w:val="21"/>
        </w:rPr>
        <w:t>disinformation</w:t>
      </w:r>
      <w:r w:rsidR="00575C2B">
        <w:rPr>
          <w:rFonts w:eastAsia="Times New Roman" w:cs="Times New Roman"/>
          <w:szCs w:val="21"/>
        </w:rPr>
        <w:t>.</w:t>
      </w:r>
    </w:p>
    <w:p w14:paraId="18281162" w14:textId="0C2A1070" w:rsidR="00902F90" w:rsidRDefault="00902F90" w:rsidP="00D3558F">
      <w:pPr>
        <w:numPr>
          <w:ilvl w:val="0"/>
          <w:numId w:val="19"/>
        </w:numPr>
        <w:suppressAutoHyphens w:val="0"/>
        <w:spacing w:before="0" w:after="160" w:line="259" w:lineRule="auto"/>
        <w:rPr>
          <w:rFonts w:eastAsia="Times New Roman" w:cs="Times New Roman"/>
          <w:lang w:val="en-AU"/>
        </w:rPr>
      </w:pPr>
      <w:r w:rsidRPr="602FDCFC">
        <w:rPr>
          <w:rFonts w:eastAsia="Times New Roman" w:cs="Times New Roman"/>
          <w:lang w:val="en-AU"/>
        </w:rPr>
        <w:t>Piloting and scaling creative civic engagement platforms (e.g. such as mobile apps, localised polling tools, social media campaigns) to enhance accountability and participatory decision-making</w:t>
      </w:r>
      <w:r w:rsidR="005676F6">
        <w:rPr>
          <w:rFonts w:eastAsia="Times New Roman" w:cs="Times New Roman"/>
          <w:lang w:val="en-AU"/>
        </w:rPr>
        <w:t>.</w:t>
      </w:r>
    </w:p>
    <w:p w14:paraId="542FA641" w14:textId="10F83126" w:rsidR="00902F90" w:rsidRPr="00E1615A" w:rsidRDefault="00902F90" w:rsidP="00D3558F">
      <w:pPr>
        <w:numPr>
          <w:ilvl w:val="0"/>
          <w:numId w:val="19"/>
        </w:numPr>
        <w:suppressAutoHyphens w:val="0"/>
        <w:spacing w:before="0" w:after="160" w:line="259" w:lineRule="auto"/>
        <w:rPr>
          <w:rFonts w:eastAsia="Times New Roman" w:cs="Times New Roman"/>
          <w:szCs w:val="21"/>
          <w:lang w:val="en-AU"/>
        </w:rPr>
      </w:pPr>
      <w:r w:rsidRPr="00E1615A">
        <w:rPr>
          <w:rFonts w:eastAsia="Times New Roman" w:cs="Times New Roman"/>
          <w:szCs w:val="21"/>
          <w:lang w:val="en-AU"/>
        </w:rPr>
        <w:t xml:space="preserve">Supporting participatory MEL innovations (e.g. digital storytelling, crowdsourced monitoring, outcome harvesting) to amplify </w:t>
      </w:r>
      <w:r>
        <w:rPr>
          <w:rFonts w:eastAsia="Times New Roman" w:cs="Times New Roman"/>
          <w:szCs w:val="21"/>
          <w:lang w:val="en-AU"/>
        </w:rPr>
        <w:t xml:space="preserve">marginalised </w:t>
      </w:r>
      <w:r w:rsidRPr="00E1615A">
        <w:rPr>
          <w:rFonts w:eastAsia="Times New Roman" w:cs="Times New Roman"/>
          <w:szCs w:val="21"/>
          <w:lang w:val="en-AU"/>
        </w:rPr>
        <w:t xml:space="preserve">voices and surface </w:t>
      </w:r>
      <w:r>
        <w:rPr>
          <w:rFonts w:eastAsia="Times New Roman" w:cs="Times New Roman"/>
          <w:szCs w:val="21"/>
          <w:lang w:val="en-AU"/>
        </w:rPr>
        <w:t>grassroots contributions to democratic resilience</w:t>
      </w:r>
      <w:r w:rsidR="005676F6">
        <w:rPr>
          <w:rFonts w:eastAsia="Times New Roman" w:cs="Times New Roman"/>
          <w:szCs w:val="21"/>
          <w:lang w:val="en-AU"/>
        </w:rPr>
        <w:t>.</w:t>
      </w:r>
    </w:p>
    <w:p w14:paraId="4309FAA8" w14:textId="62469F10" w:rsidR="00902F90" w:rsidRPr="00E1615A" w:rsidRDefault="00902F90" w:rsidP="00D3558F">
      <w:pPr>
        <w:numPr>
          <w:ilvl w:val="0"/>
          <w:numId w:val="19"/>
        </w:numPr>
        <w:suppressAutoHyphens w:val="0"/>
        <w:spacing w:before="0" w:after="160" w:line="259" w:lineRule="auto"/>
        <w:rPr>
          <w:rFonts w:eastAsia="Times New Roman" w:cs="Times New Roman"/>
          <w:lang w:val="en-AU"/>
        </w:rPr>
      </w:pPr>
      <w:r w:rsidRPr="229DCEAA">
        <w:rPr>
          <w:rFonts w:eastAsia="Times New Roman" w:cs="Times New Roman"/>
          <w:lang w:val="en-AU"/>
        </w:rPr>
        <w:t>Co-designing and scaling locally</w:t>
      </w:r>
      <w:r w:rsidR="005676F6" w:rsidRPr="229DCEAA">
        <w:rPr>
          <w:rFonts w:eastAsia="Times New Roman" w:cs="Times New Roman"/>
          <w:lang w:val="en-AU"/>
        </w:rPr>
        <w:t xml:space="preserve"> </w:t>
      </w:r>
      <w:r w:rsidRPr="229DCEAA">
        <w:rPr>
          <w:rFonts w:eastAsia="Times New Roman" w:cs="Times New Roman"/>
          <w:lang w:val="en-AU"/>
        </w:rPr>
        <w:t>developed innovations from grassroots organisations (e.g. interactive public forums, visual storytelling campaigns, civic tech solutions) that support pluralist participation</w:t>
      </w:r>
      <w:r w:rsidR="005676F6" w:rsidRPr="229DCEAA">
        <w:rPr>
          <w:rFonts w:eastAsia="Times New Roman" w:cs="Times New Roman"/>
          <w:lang w:val="en-AU"/>
        </w:rPr>
        <w:t>.</w:t>
      </w:r>
    </w:p>
    <w:p w14:paraId="70E1E036" w14:textId="5EF4A4C9" w:rsidR="00902F90" w:rsidRPr="00E1615A" w:rsidRDefault="00902F90" w:rsidP="00D3558F">
      <w:pPr>
        <w:numPr>
          <w:ilvl w:val="0"/>
          <w:numId w:val="19"/>
        </w:numPr>
        <w:suppressAutoHyphens w:val="0"/>
        <w:spacing w:before="0" w:after="160" w:line="259" w:lineRule="auto"/>
        <w:rPr>
          <w:rFonts w:eastAsia="Times New Roman" w:cs="Times New Roman"/>
          <w:lang w:val="en-AU"/>
        </w:rPr>
      </w:pPr>
      <w:r w:rsidRPr="229DCEAA">
        <w:rPr>
          <w:rFonts w:eastAsia="Times New Roman" w:cs="Times New Roman"/>
          <w:lang w:val="en-AU"/>
        </w:rPr>
        <w:t>Supporting community</w:t>
      </w:r>
      <w:r w:rsidR="00B00E78">
        <w:rPr>
          <w:rFonts w:eastAsia="Times New Roman" w:cs="Times New Roman"/>
          <w:lang w:val="en-AU"/>
        </w:rPr>
        <w:t>-</w:t>
      </w:r>
      <w:r w:rsidRPr="229DCEAA">
        <w:rPr>
          <w:rFonts w:eastAsia="Times New Roman" w:cs="Times New Roman"/>
          <w:lang w:val="en-AU"/>
        </w:rPr>
        <w:t>led disinformation response strategies, including local fact</w:t>
      </w:r>
      <w:r w:rsidR="0035135B">
        <w:rPr>
          <w:rFonts w:eastAsia="Times New Roman" w:cs="Times New Roman"/>
          <w:lang w:val="en-AU"/>
        </w:rPr>
        <w:t>-</w:t>
      </w:r>
      <w:r w:rsidRPr="229DCEAA">
        <w:rPr>
          <w:rFonts w:eastAsia="Times New Roman" w:cs="Times New Roman"/>
          <w:lang w:val="en-AU"/>
        </w:rPr>
        <w:t xml:space="preserve">checking initiatives, watchdog networks, and inclusive content co-creation to strengthen information ecosystems and </w:t>
      </w:r>
      <w:r w:rsidRPr="229DCEAA">
        <w:rPr>
          <w:rFonts w:eastAsia="Times New Roman" w:cs="Times New Roman"/>
        </w:rPr>
        <w:t>protect civic discourse from polarisation</w:t>
      </w:r>
      <w:r w:rsidR="005676F6" w:rsidRPr="229DCEAA">
        <w:rPr>
          <w:rFonts w:eastAsia="Times New Roman" w:cs="Times New Roman"/>
        </w:rPr>
        <w:t>.</w:t>
      </w:r>
    </w:p>
    <w:p w14:paraId="24636803" w14:textId="6A62952C" w:rsidR="00902F90" w:rsidRPr="00E1615A" w:rsidRDefault="00902F90" w:rsidP="00D3558F">
      <w:pPr>
        <w:numPr>
          <w:ilvl w:val="0"/>
          <w:numId w:val="19"/>
        </w:numPr>
        <w:suppressAutoHyphens w:val="0"/>
        <w:spacing w:before="0" w:after="160" w:line="259" w:lineRule="auto"/>
        <w:rPr>
          <w:rFonts w:eastAsia="Times New Roman" w:cs="Times New Roman"/>
          <w:szCs w:val="21"/>
          <w:lang w:val="en-AU"/>
        </w:rPr>
      </w:pPr>
      <w:r w:rsidRPr="00E1615A">
        <w:rPr>
          <w:rFonts w:eastAsia="Times New Roman" w:cs="Times New Roman"/>
          <w:szCs w:val="21"/>
          <w:lang w:val="en-AU"/>
        </w:rPr>
        <w:t>Investing in media literacy and critical thinking tools designed for women, youth</w:t>
      </w:r>
      <w:r w:rsidR="0034493F">
        <w:rPr>
          <w:rFonts w:eastAsia="Times New Roman" w:cs="Times New Roman"/>
          <w:szCs w:val="21"/>
          <w:lang w:val="en-AU"/>
        </w:rPr>
        <w:t>s</w:t>
      </w:r>
      <w:r w:rsidRPr="00E1615A">
        <w:rPr>
          <w:rFonts w:eastAsia="Times New Roman" w:cs="Times New Roman"/>
          <w:szCs w:val="21"/>
          <w:lang w:val="en-AU"/>
        </w:rPr>
        <w:t xml:space="preserve">, and </w:t>
      </w:r>
      <w:r w:rsidR="0034493F">
        <w:rPr>
          <w:rFonts w:eastAsia="Times New Roman" w:cs="Times New Roman"/>
          <w:szCs w:val="21"/>
          <w:lang w:val="en-AU"/>
        </w:rPr>
        <w:t>people</w:t>
      </w:r>
      <w:r w:rsidR="0034493F" w:rsidRPr="00E1615A">
        <w:rPr>
          <w:rFonts w:eastAsia="Times New Roman" w:cs="Times New Roman"/>
          <w:szCs w:val="21"/>
          <w:lang w:val="en-AU"/>
        </w:rPr>
        <w:t xml:space="preserve"> </w:t>
      </w:r>
      <w:r w:rsidRPr="00E1615A">
        <w:rPr>
          <w:rFonts w:eastAsia="Times New Roman" w:cs="Times New Roman"/>
          <w:szCs w:val="21"/>
          <w:lang w:val="en-AU"/>
        </w:rPr>
        <w:t xml:space="preserve">with disabilities, </w:t>
      </w:r>
      <w:r w:rsidRPr="00CE6A12">
        <w:rPr>
          <w:rFonts w:eastAsia="Times New Roman" w:cs="Times New Roman"/>
          <w:szCs w:val="21"/>
          <w:lang w:val="en-AU"/>
        </w:rPr>
        <w:t>equipping communities to resist harmful narratives and sustain inclusive dialogue</w:t>
      </w:r>
      <w:r>
        <w:rPr>
          <w:rFonts w:eastAsia="Times New Roman" w:cs="Times New Roman"/>
          <w:szCs w:val="21"/>
          <w:lang w:val="en-AU"/>
        </w:rPr>
        <w:t xml:space="preserve">. </w:t>
      </w:r>
    </w:p>
    <w:p w14:paraId="149A0040" w14:textId="48AF8436" w:rsidR="00902F90" w:rsidRPr="009210C3" w:rsidRDefault="00902F90" w:rsidP="00902F90">
      <w:pPr>
        <w:rPr>
          <w:rFonts w:eastAsia="Times New Roman" w:cs="Times New Roman"/>
          <w:szCs w:val="21"/>
          <w:lang w:val="en-AU"/>
        </w:rPr>
      </w:pPr>
      <w:r w:rsidRPr="00E1615A">
        <w:rPr>
          <w:rFonts w:eastAsia="Times New Roman" w:cs="Times New Roman"/>
          <w:szCs w:val="21"/>
          <w:lang w:val="en-AU"/>
        </w:rPr>
        <w:t xml:space="preserve">All innovation initiatives will be informed by inclusive </w:t>
      </w:r>
      <w:r w:rsidRPr="00486F72">
        <w:rPr>
          <w:rFonts w:eastAsia="Times New Roman" w:cs="Times New Roman"/>
          <w:szCs w:val="21"/>
          <w:lang w:val="en-AU"/>
        </w:rPr>
        <w:t>learning loops</w:t>
      </w:r>
      <w:r w:rsidR="004775C1">
        <w:rPr>
          <w:rFonts w:eastAsia="Times New Roman" w:cs="Times New Roman"/>
          <w:szCs w:val="21"/>
          <w:lang w:val="en-AU"/>
        </w:rPr>
        <w:t xml:space="preserve"> </w:t>
      </w:r>
      <w:r w:rsidRPr="00E1615A">
        <w:rPr>
          <w:rFonts w:eastAsia="Times New Roman" w:cs="Times New Roman"/>
          <w:szCs w:val="21"/>
          <w:lang w:val="en-AU"/>
        </w:rPr>
        <w:t>and will prioritise those that contribute directly to democratic resilience, civic participation, and GEDSI outcomes.</w:t>
      </w:r>
    </w:p>
    <w:p w14:paraId="730863D3" w14:textId="77777777" w:rsidR="00902F90" w:rsidRPr="009210C3" w:rsidRDefault="00902F90" w:rsidP="00902F90">
      <w:pPr>
        <w:rPr>
          <w:rFonts w:eastAsia="Times New Roman" w:cs="Times New Roman"/>
          <w:szCs w:val="21"/>
          <w:lang w:val="en-AU"/>
        </w:rPr>
      </w:pPr>
    </w:p>
    <w:p w14:paraId="22F6E97C" w14:textId="77777777" w:rsidR="00902F90" w:rsidRDefault="00902F90" w:rsidP="00902F90">
      <w:pPr>
        <w:pStyle w:val="Heading2"/>
        <w:sectPr w:rsidR="00902F90" w:rsidSect="00902F90">
          <w:pgSz w:w="11906" w:h="16838" w:code="9"/>
          <w:pgMar w:top="1418" w:right="993" w:bottom="1701" w:left="1134" w:header="425" w:footer="493" w:gutter="0"/>
          <w:cols w:space="397"/>
          <w:titlePg/>
          <w:docGrid w:linePitch="360"/>
        </w:sectPr>
      </w:pPr>
    </w:p>
    <w:p w14:paraId="75680024" w14:textId="763A97E2" w:rsidR="00902F90" w:rsidRPr="007537A2" w:rsidRDefault="00902F90" w:rsidP="008A6518">
      <w:pPr>
        <w:pStyle w:val="Heading2"/>
        <w:spacing w:before="0"/>
      </w:pPr>
      <w:bookmarkStart w:id="329" w:name="_Annex_O:_Partisipasi"/>
      <w:bookmarkStart w:id="330" w:name="_Annex_J:_Sustainability"/>
      <w:bookmarkStart w:id="331" w:name="_Toc232524305"/>
      <w:bookmarkStart w:id="332" w:name="AnnexO"/>
      <w:bookmarkEnd w:id="329"/>
      <w:bookmarkEnd w:id="330"/>
      <w:r w:rsidRPr="0016666E">
        <w:lastRenderedPageBreak/>
        <w:t xml:space="preserve">Annex </w:t>
      </w:r>
      <w:r w:rsidR="00037E6D" w:rsidRPr="0016666E">
        <w:t>J</w:t>
      </w:r>
      <w:r w:rsidRPr="0016666E">
        <w:t xml:space="preserve">: Sustainability </w:t>
      </w:r>
      <w:r w:rsidR="000B26B5" w:rsidRPr="0016666E">
        <w:t>and locally-led development</w:t>
      </w:r>
      <w:bookmarkEnd w:id="331"/>
    </w:p>
    <w:p w14:paraId="16E585EF" w14:textId="3C8A5566" w:rsidR="0047546C" w:rsidRDefault="0047546C" w:rsidP="009553BD">
      <w:pPr>
        <w:pStyle w:val="Heading3"/>
        <w:rPr>
          <w:rFonts w:eastAsia="Times New Roman"/>
          <w:lang w:val="en-AU"/>
        </w:rPr>
      </w:pPr>
      <w:r>
        <w:rPr>
          <w:rFonts w:eastAsia="Times New Roman"/>
          <w:lang w:val="en-AU"/>
        </w:rPr>
        <w:t>Sustainability</w:t>
      </w:r>
    </w:p>
    <w:p w14:paraId="31DA4F37" w14:textId="708AC647" w:rsidR="00902F90" w:rsidRPr="000B26B5" w:rsidRDefault="00902F90" w:rsidP="00902F90">
      <w:pPr>
        <w:tabs>
          <w:tab w:val="left" w:pos="284"/>
        </w:tabs>
        <w:suppressAutoHyphens w:val="0"/>
        <w:spacing w:before="0" w:line="280" w:lineRule="exact"/>
        <w:rPr>
          <w:rFonts w:eastAsia="Times New Roman" w:cs="Times New Roman"/>
          <w:lang w:val="en-AU"/>
        </w:rPr>
      </w:pPr>
      <w:proofErr w:type="spellStart"/>
      <w:r w:rsidRPr="29BBEC0E">
        <w:rPr>
          <w:rFonts w:eastAsia="Times New Roman" w:cs="Times New Roman"/>
          <w:lang w:val="en-AU"/>
        </w:rPr>
        <w:t>Partisipasi</w:t>
      </w:r>
      <w:proofErr w:type="spellEnd"/>
      <w:r w:rsidRPr="29BBEC0E">
        <w:rPr>
          <w:rFonts w:eastAsia="Times New Roman" w:cs="Times New Roman"/>
          <w:lang w:val="en-AU"/>
        </w:rPr>
        <w:t xml:space="preserve"> is deliberately designed for long-term sustainability—building institutional strength, civil society resilience, and durable democratic infrastructure. The program recognises the </w:t>
      </w:r>
      <w:r w:rsidRPr="000B26B5">
        <w:rPr>
          <w:rFonts w:eastAsia="Times New Roman" w:cs="Times New Roman"/>
          <w:lang w:val="en-AU"/>
        </w:rPr>
        <w:t>risks posed by</w:t>
      </w:r>
      <w:r w:rsidR="004D0330" w:rsidRPr="000B26B5">
        <w:rPr>
          <w:rFonts w:eastAsia="Times New Roman" w:cs="Times New Roman"/>
          <w:lang w:val="en-AU"/>
        </w:rPr>
        <w:t xml:space="preserve"> </w:t>
      </w:r>
      <w:r w:rsidR="6193C5B9" w:rsidRPr="000B26B5">
        <w:rPr>
          <w:rFonts w:eastAsia="Times New Roman" w:cs="Times New Roman"/>
          <w:lang w:val="en-AU"/>
        </w:rPr>
        <w:t>changing</w:t>
      </w:r>
      <w:r w:rsidRPr="000B26B5">
        <w:rPr>
          <w:rFonts w:eastAsia="Times New Roman" w:cs="Times New Roman"/>
          <w:lang w:val="en-AU"/>
        </w:rPr>
        <w:t xml:space="preserve"> civic space, volatility, and </w:t>
      </w:r>
      <w:r w:rsidR="14FDA6AD" w:rsidRPr="000B26B5">
        <w:rPr>
          <w:rFonts w:eastAsia="Times New Roman" w:cs="Times New Roman"/>
          <w:lang w:val="en-AU"/>
        </w:rPr>
        <w:t>reform challenges</w:t>
      </w:r>
      <w:r w:rsidRPr="000B26B5">
        <w:rPr>
          <w:rFonts w:eastAsia="Times New Roman" w:cs="Times New Roman"/>
          <w:lang w:val="en-AU"/>
        </w:rPr>
        <w:t xml:space="preserve">. Its sustainability model therefore applies a </w:t>
      </w:r>
      <w:r w:rsidRPr="009553BD">
        <w:rPr>
          <w:rFonts w:eastAsia="Times New Roman" w:cs="Times New Roman"/>
          <w:lang w:val="en-AU"/>
        </w:rPr>
        <w:t>dual-track approach</w:t>
      </w:r>
      <w:r w:rsidRPr="000B26B5">
        <w:rPr>
          <w:rFonts w:eastAsia="Times New Roman" w:cs="Times New Roman"/>
          <w:lang w:val="en-AU"/>
        </w:rPr>
        <w:t>:</w:t>
      </w:r>
    </w:p>
    <w:p w14:paraId="1F1DC307" w14:textId="77777777" w:rsidR="00902F90" w:rsidRPr="000B26B5" w:rsidRDefault="00902F90" w:rsidP="00504B06">
      <w:pPr>
        <w:numPr>
          <w:ilvl w:val="0"/>
          <w:numId w:val="91"/>
        </w:numPr>
        <w:tabs>
          <w:tab w:val="left" w:pos="284"/>
        </w:tabs>
        <w:suppressAutoHyphens w:val="0"/>
        <w:spacing w:before="0" w:line="280" w:lineRule="exact"/>
        <w:rPr>
          <w:rFonts w:eastAsia="Times New Roman" w:cs="Times New Roman"/>
          <w:iCs/>
          <w:szCs w:val="21"/>
          <w:lang w:val="en-AU"/>
        </w:rPr>
      </w:pPr>
      <w:r w:rsidRPr="009553BD">
        <w:rPr>
          <w:rFonts w:eastAsia="Times New Roman" w:cs="Times New Roman"/>
          <w:iCs/>
          <w:szCs w:val="21"/>
          <w:lang w:val="en-AU"/>
        </w:rPr>
        <w:t>Local ownership and leadership</w:t>
      </w:r>
      <w:r w:rsidRPr="000B26B5">
        <w:rPr>
          <w:rFonts w:eastAsia="Times New Roman" w:cs="Times New Roman"/>
          <w:iCs/>
          <w:szCs w:val="21"/>
          <w:lang w:val="en-AU"/>
        </w:rPr>
        <w:t xml:space="preserve"> so that change is driven by Indonesian actors; and</w:t>
      </w:r>
    </w:p>
    <w:p w14:paraId="53CFB969" w14:textId="77777777" w:rsidR="00902F90" w:rsidRPr="000B26B5" w:rsidRDefault="00902F90" w:rsidP="00504B06">
      <w:pPr>
        <w:numPr>
          <w:ilvl w:val="0"/>
          <w:numId w:val="91"/>
        </w:numPr>
        <w:tabs>
          <w:tab w:val="left" w:pos="284"/>
        </w:tabs>
        <w:suppressAutoHyphens w:val="0"/>
        <w:spacing w:before="0" w:line="280" w:lineRule="exact"/>
        <w:rPr>
          <w:rFonts w:eastAsia="Times New Roman" w:cs="Times New Roman"/>
          <w:iCs/>
          <w:szCs w:val="21"/>
          <w:lang w:val="en-AU"/>
        </w:rPr>
      </w:pPr>
      <w:r w:rsidRPr="009553BD">
        <w:rPr>
          <w:rFonts w:eastAsia="Times New Roman" w:cs="Times New Roman"/>
          <w:iCs/>
          <w:szCs w:val="21"/>
          <w:lang w:val="en-AU"/>
        </w:rPr>
        <w:t>System and policy strengthening</w:t>
      </w:r>
      <w:r w:rsidRPr="000B26B5">
        <w:rPr>
          <w:rFonts w:eastAsia="Times New Roman" w:cs="Times New Roman"/>
          <w:iCs/>
          <w:szCs w:val="21"/>
          <w:lang w:val="en-AU"/>
        </w:rPr>
        <w:t xml:space="preserve"> so that reforms endure beyond the life of the investment.</w:t>
      </w:r>
    </w:p>
    <w:p w14:paraId="644BAC9D" w14:textId="60BDC8D6" w:rsidR="00902F90" w:rsidRPr="006C3AC6" w:rsidRDefault="000B26B5" w:rsidP="00902F90">
      <w:pPr>
        <w:tabs>
          <w:tab w:val="left" w:pos="284"/>
        </w:tabs>
        <w:suppressAutoHyphens w:val="0"/>
        <w:spacing w:before="0" w:line="280" w:lineRule="exact"/>
      </w:pPr>
      <w:r>
        <w:rPr>
          <w:rFonts w:eastAsia="Times New Roman" w:cs="Times New Roman"/>
          <w:szCs w:val="21"/>
          <w:lang w:val="en-AU"/>
        </w:rPr>
        <w:t>The tables</w:t>
      </w:r>
      <w:r w:rsidR="00902F90" w:rsidRPr="008C22AF">
        <w:rPr>
          <w:rFonts w:eastAsia="Times New Roman" w:cs="Times New Roman"/>
          <w:szCs w:val="21"/>
          <w:lang w:val="en-AU"/>
        </w:rPr>
        <w:t xml:space="preserve"> below </w:t>
      </w:r>
      <w:r w:rsidR="00212A04">
        <w:rPr>
          <w:rFonts w:eastAsia="Times New Roman" w:cs="Times New Roman"/>
          <w:szCs w:val="21"/>
          <w:lang w:val="en-AU"/>
        </w:rPr>
        <w:t>provide information on the</w:t>
      </w:r>
      <w:r w:rsidR="00902F90" w:rsidRPr="008C22AF">
        <w:rPr>
          <w:rFonts w:eastAsia="Times New Roman" w:cs="Times New Roman"/>
          <w:szCs w:val="21"/>
          <w:lang w:val="en-AU"/>
        </w:rPr>
        <w:t xml:space="preserve"> strategies</w:t>
      </w:r>
      <w:r w:rsidR="00902F90">
        <w:rPr>
          <w:rFonts w:eastAsia="Times New Roman" w:cs="Times New Roman"/>
          <w:b/>
          <w:bCs/>
          <w:i/>
          <w:iCs/>
          <w:szCs w:val="21"/>
          <w:lang w:val="en-AU"/>
        </w:rPr>
        <w:t xml:space="preserve"> </w:t>
      </w:r>
      <w:proofErr w:type="spellStart"/>
      <w:r w:rsidR="00902F90" w:rsidRPr="00D84A7F">
        <w:rPr>
          <w:rFonts w:eastAsia="Times New Roman" w:cs="Times New Roman"/>
          <w:szCs w:val="21"/>
          <w:lang w:val="en-AU"/>
        </w:rPr>
        <w:t>Partisipasi</w:t>
      </w:r>
      <w:proofErr w:type="spellEnd"/>
      <w:r w:rsidR="00902F90" w:rsidRPr="00285466">
        <w:rPr>
          <w:rFonts w:eastAsia="Times New Roman" w:cs="Times New Roman"/>
          <w:szCs w:val="21"/>
          <w:lang w:val="en-AU"/>
        </w:rPr>
        <w:t xml:space="preserve"> will </w:t>
      </w:r>
      <w:r w:rsidR="00902F90">
        <w:rPr>
          <w:rFonts w:eastAsia="Times New Roman" w:cs="Times New Roman"/>
          <w:szCs w:val="21"/>
          <w:lang w:val="en-AU"/>
        </w:rPr>
        <w:t>employ to embed sustainability</w:t>
      </w:r>
      <w:r>
        <w:rPr>
          <w:rFonts w:eastAsia="Times New Roman" w:cs="Times New Roman"/>
          <w:szCs w:val="21"/>
          <w:lang w:val="en-AU"/>
        </w:rPr>
        <w:t>, as well as</w:t>
      </w:r>
      <w:r w:rsidR="00212A04">
        <w:rPr>
          <w:rFonts w:eastAsia="Times New Roman" w:cs="Times New Roman"/>
          <w:szCs w:val="21"/>
          <w:lang w:val="en-AU"/>
        </w:rPr>
        <w:t xml:space="preserve"> MEL indicators to measure sustainability.</w:t>
      </w:r>
    </w:p>
    <w:p w14:paraId="4629E3C4" w14:textId="6CF0EF1C" w:rsidR="00902F90" w:rsidRDefault="00902F90" w:rsidP="00902F90">
      <w:pPr>
        <w:pStyle w:val="Caption"/>
        <w:keepNext/>
      </w:pPr>
      <w:r>
        <w:t>Table</w:t>
      </w:r>
      <w:r w:rsidR="008D4216">
        <w:t xml:space="preserve"> 2</w:t>
      </w:r>
      <w:r w:rsidR="00FC764C">
        <w:t>1</w:t>
      </w:r>
      <w:r>
        <w:t xml:space="preserve">: </w:t>
      </w:r>
      <w:proofErr w:type="spellStart"/>
      <w:r w:rsidRPr="007702BA">
        <w:t>Partisipasi</w:t>
      </w:r>
      <w:proofErr w:type="spellEnd"/>
      <w:r w:rsidRPr="007702BA">
        <w:t xml:space="preserve"> Sustainability Framework at Design</w:t>
      </w:r>
    </w:p>
    <w:tbl>
      <w:tblPr>
        <w:tblStyle w:val="DFAT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4245"/>
        <w:gridCol w:w="3615"/>
      </w:tblGrid>
      <w:tr w:rsidR="00902F90" w:rsidRPr="006C3AC6" w14:paraId="2E2D2786" w14:textId="77777777" w:rsidTr="00E378C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C1E7E0" w:themeFill="accent1" w:themeFillTint="66"/>
            <w:hideMark/>
          </w:tcPr>
          <w:p w14:paraId="5013C326" w14:textId="77777777" w:rsidR="00902F90" w:rsidRPr="006C3AC6" w:rsidRDefault="00902F90">
            <w:pPr>
              <w:tabs>
                <w:tab w:val="left" w:pos="284"/>
              </w:tabs>
              <w:suppressAutoHyphens w:val="0"/>
              <w:spacing w:before="0" w:line="280" w:lineRule="exact"/>
              <w:rPr>
                <w:rFonts w:asciiTheme="minorHAnsi" w:eastAsia="Times New Roman" w:hAnsiTheme="minorHAnsi" w:cstheme="minorHAnsi"/>
                <w:b/>
                <w:bCs/>
                <w:iCs/>
                <w:color w:val="36424B" w:themeColor="text2" w:themeShade="BF"/>
                <w:sz w:val="20"/>
                <w:szCs w:val="20"/>
                <w:lang w:val="en-AU"/>
              </w:rPr>
            </w:pPr>
            <w:r w:rsidRPr="006C3AC6">
              <w:rPr>
                <w:rFonts w:asciiTheme="minorHAnsi" w:eastAsia="Times New Roman" w:hAnsiTheme="minorHAnsi" w:cstheme="minorHAnsi"/>
                <w:b/>
                <w:bCs/>
                <w:iCs/>
                <w:color w:val="36424B" w:themeColor="text2" w:themeShade="BF"/>
                <w:sz w:val="20"/>
                <w:szCs w:val="20"/>
                <w:lang w:val="en-AU"/>
              </w:rPr>
              <w:t>Sustainability Dimension</w:t>
            </w:r>
          </w:p>
        </w:tc>
        <w:tc>
          <w:tcPr>
            <w:tcW w:w="0" w:type="auto"/>
            <w:shd w:val="clear" w:color="auto" w:fill="C1E7E0" w:themeFill="accent1" w:themeFillTint="66"/>
            <w:hideMark/>
          </w:tcPr>
          <w:p w14:paraId="213266B1" w14:textId="77777777" w:rsidR="00902F90" w:rsidRPr="006C3AC6" w:rsidRDefault="00902F90">
            <w:pPr>
              <w:tabs>
                <w:tab w:val="left" w:pos="284"/>
              </w:tabs>
              <w:suppressAutoHyphens w:val="0"/>
              <w:spacing w:before="0" w:line="280" w:lineRule="exact"/>
              <w:rPr>
                <w:rFonts w:asciiTheme="minorHAnsi" w:eastAsia="Times New Roman" w:hAnsiTheme="minorHAnsi" w:cstheme="minorHAnsi"/>
                <w:b/>
                <w:bCs/>
                <w:iCs/>
                <w:color w:val="36424B" w:themeColor="text2" w:themeShade="BF"/>
                <w:sz w:val="20"/>
                <w:szCs w:val="20"/>
                <w:lang w:val="en-AU"/>
              </w:rPr>
            </w:pPr>
            <w:r w:rsidRPr="006C3AC6">
              <w:rPr>
                <w:rFonts w:asciiTheme="minorHAnsi" w:eastAsia="Times New Roman" w:hAnsiTheme="minorHAnsi" w:cstheme="minorHAnsi"/>
                <w:b/>
                <w:bCs/>
                <w:iCs/>
                <w:color w:val="36424B" w:themeColor="text2" w:themeShade="BF"/>
                <w:sz w:val="20"/>
                <w:szCs w:val="20"/>
                <w:lang w:val="en-AU"/>
              </w:rPr>
              <w:t xml:space="preserve">What </w:t>
            </w:r>
            <w:proofErr w:type="spellStart"/>
            <w:r w:rsidRPr="006C3AC6">
              <w:rPr>
                <w:rFonts w:asciiTheme="minorHAnsi" w:eastAsia="Times New Roman" w:hAnsiTheme="minorHAnsi" w:cstheme="minorHAnsi"/>
                <w:b/>
                <w:bCs/>
                <w:iCs/>
                <w:color w:val="36424B" w:themeColor="text2" w:themeShade="BF"/>
                <w:sz w:val="20"/>
                <w:szCs w:val="20"/>
                <w:lang w:val="en-AU"/>
              </w:rPr>
              <w:t>Partisipasi</w:t>
            </w:r>
            <w:proofErr w:type="spellEnd"/>
            <w:r w:rsidRPr="006C3AC6">
              <w:rPr>
                <w:rFonts w:asciiTheme="minorHAnsi" w:eastAsia="Times New Roman" w:hAnsiTheme="minorHAnsi" w:cstheme="minorHAnsi"/>
                <w:b/>
                <w:bCs/>
                <w:iCs/>
                <w:color w:val="36424B" w:themeColor="text2" w:themeShade="BF"/>
                <w:sz w:val="20"/>
                <w:szCs w:val="20"/>
                <w:lang w:val="en-AU"/>
              </w:rPr>
              <w:t xml:space="preserve"> Will Do</w:t>
            </w:r>
          </w:p>
        </w:tc>
        <w:tc>
          <w:tcPr>
            <w:tcW w:w="0" w:type="auto"/>
            <w:shd w:val="clear" w:color="auto" w:fill="C1E7E0" w:themeFill="accent1" w:themeFillTint="66"/>
            <w:hideMark/>
          </w:tcPr>
          <w:p w14:paraId="259A5EA2" w14:textId="77777777" w:rsidR="00902F90" w:rsidRPr="006C3AC6" w:rsidRDefault="00902F90">
            <w:pPr>
              <w:tabs>
                <w:tab w:val="left" w:pos="284"/>
              </w:tabs>
              <w:suppressAutoHyphens w:val="0"/>
              <w:spacing w:before="0" w:line="280" w:lineRule="exact"/>
              <w:rPr>
                <w:rFonts w:asciiTheme="minorHAnsi" w:eastAsia="Times New Roman" w:hAnsiTheme="minorHAnsi" w:cstheme="minorHAnsi"/>
                <w:b/>
                <w:bCs/>
                <w:iCs/>
                <w:color w:val="36424B" w:themeColor="text2" w:themeShade="BF"/>
                <w:sz w:val="20"/>
                <w:szCs w:val="20"/>
                <w:lang w:val="en-AU"/>
              </w:rPr>
            </w:pPr>
            <w:r w:rsidRPr="006C3AC6">
              <w:rPr>
                <w:rFonts w:asciiTheme="minorHAnsi" w:eastAsia="Times New Roman" w:hAnsiTheme="minorHAnsi" w:cstheme="minorHAnsi"/>
                <w:b/>
                <w:bCs/>
                <w:iCs/>
                <w:color w:val="36424B" w:themeColor="text2" w:themeShade="BF"/>
                <w:sz w:val="20"/>
                <w:szCs w:val="20"/>
                <w:lang w:val="en-AU"/>
              </w:rPr>
              <w:t>End-State After Program</w:t>
            </w:r>
          </w:p>
        </w:tc>
      </w:tr>
      <w:tr w:rsidR="00902F90" w:rsidRPr="006C3AC6" w14:paraId="0BFE42B4" w14:textId="77777777" w:rsidTr="0067283D">
        <w:tc>
          <w:tcPr>
            <w:tcW w:w="0" w:type="auto"/>
            <w:hideMark/>
          </w:tcPr>
          <w:p w14:paraId="1551FBC6" w14:textId="77777777" w:rsidR="00902F90" w:rsidRPr="006C3AC6" w:rsidRDefault="00902F90">
            <w:pPr>
              <w:tabs>
                <w:tab w:val="left" w:pos="284"/>
              </w:tabs>
              <w:suppressAutoHyphens w:val="0"/>
              <w:spacing w:before="0" w:line="280" w:lineRule="exact"/>
              <w:rPr>
                <w:rFonts w:asciiTheme="minorHAnsi" w:eastAsia="Times New Roman" w:hAnsiTheme="minorHAnsi" w:cstheme="minorHAnsi"/>
                <w:iCs/>
                <w:sz w:val="20"/>
                <w:szCs w:val="20"/>
                <w:lang w:val="en-AU"/>
              </w:rPr>
            </w:pPr>
            <w:r w:rsidRPr="006C3AC6">
              <w:rPr>
                <w:rFonts w:asciiTheme="minorHAnsi" w:eastAsia="Times New Roman" w:hAnsiTheme="minorHAnsi" w:cstheme="minorHAnsi"/>
                <w:b/>
                <w:bCs/>
                <w:iCs/>
                <w:sz w:val="20"/>
                <w:szCs w:val="20"/>
                <w:lang w:val="en-AU"/>
              </w:rPr>
              <w:t>Local Ownership &amp; Leadership</w:t>
            </w:r>
          </w:p>
        </w:tc>
        <w:tc>
          <w:tcPr>
            <w:tcW w:w="0" w:type="auto"/>
            <w:hideMark/>
          </w:tcPr>
          <w:p w14:paraId="0534A856" w14:textId="77777777" w:rsidR="00902F90" w:rsidRPr="006C3AC6" w:rsidRDefault="00902F90">
            <w:pPr>
              <w:tabs>
                <w:tab w:val="left" w:pos="284"/>
              </w:tabs>
              <w:suppressAutoHyphens w:val="0"/>
              <w:spacing w:before="0" w:line="280" w:lineRule="exact"/>
              <w:rPr>
                <w:rFonts w:asciiTheme="minorHAnsi" w:eastAsia="Times New Roman" w:hAnsiTheme="minorHAnsi" w:cstheme="minorHAnsi"/>
                <w:iCs/>
                <w:sz w:val="20"/>
                <w:szCs w:val="20"/>
                <w:lang w:val="en-AU"/>
              </w:rPr>
            </w:pPr>
            <w:r w:rsidRPr="006C3AC6">
              <w:rPr>
                <w:rFonts w:asciiTheme="minorHAnsi" w:eastAsia="Times New Roman" w:hAnsiTheme="minorHAnsi" w:cstheme="minorHAnsi"/>
                <w:iCs/>
                <w:sz w:val="20"/>
                <w:szCs w:val="20"/>
                <w:lang w:val="en-AU"/>
              </w:rPr>
              <w:t>Co-design approaches; Indonesian-led implementation; Core Group co-managing grants, MEL, adaptation, and safeguarding</w:t>
            </w:r>
          </w:p>
        </w:tc>
        <w:tc>
          <w:tcPr>
            <w:tcW w:w="0" w:type="auto"/>
            <w:hideMark/>
          </w:tcPr>
          <w:p w14:paraId="502A90B5" w14:textId="5835C814" w:rsidR="00902F90" w:rsidRPr="006C3AC6" w:rsidRDefault="00902F90">
            <w:pPr>
              <w:tabs>
                <w:tab w:val="left" w:pos="284"/>
              </w:tabs>
              <w:suppressAutoHyphens w:val="0"/>
              <w:spacing w:before="0" w:line="280" w:lineRule="exact"/>
              <w:rPr>
                <w:rFonts w:asciiTheme="minorHAnsi" w:eastAsia="Times New Roman" w:hAnsiTheme="minorHAnsi" w:cstheme="minorHAnsi"/>
                <w:iCs/>
                <w:sz w:val="20"/>
                <w:szCs w:val="20"/>
                <w:lang w:val="en-AU"/>
              </w:rPr>
            </w:pPr>
            <w:r w:rsidRPr="006C3AC6">
              <w:rPr>
                <w:rFonts w:asciiTheme="minorHAnsi" w:eastAsia="Times New Roman" w:hAnsiTheme="minorHAnsi" w:cstheme="minorHAnsi"/>
                <w:iCs/>
                <w:sz w:val="20"/>
                <w:szCs w:val="20"/>
                <w:lang w:val="en-AU"/>
              </w:rPr>
              <w:t>Indonesian partners lead agenda-setting, resource mobilisation, and coordination with limited external support</w:t>
            </w:r>
            <w:r w:rsidR="00B4723C">
              <w:rPr>
                <w:rFonts w:asciiTheme="minorHAnsi" w:eastAsia="Times New Roman" w:hAnsiTheme="minorHAnsi" w:cstheme="minorHAnsi"/>
                <w:iCs/>
                <w:sz w:val="20"/>
                <w:szCs w:val="20"/>
                <w:lang w:val="en-AU"/>
              </w:rPr>
              <w:t>.</w:t>
            </w:r>
          </w:p>
        </w:tc>
      </w:tr>
      <w:tr w:rsidR="00902F90" w:rsidRPr="006C3AC6" w14:paraId="17BD25D9" w14:textId="77777777" w:rsidTr="0067283D">
        <w:tc>
          <w:tcPr>
            <w:tcW w:w="0" w:type="auto"/>
            <w:hideMark/>
          </w:tcPr>
          <w:p w14:paraId="3451A9CA" w14:textId="77777777" w:rsidR="00902F90" w:rsidRPr="006C3AC6" w:rsidRDefault="00902F90">
            <w:pPr>
              <w:tabs>
                <w:tab w:val="left" w:pos="284"/>
              </w:tabs>
              <w:suppressAutoHyphens w:val="0"/>
              <w:spacing w:before="0" w:line="280" w:lineRule="exact"/>
              <w:rPr>
                <w:rFonts w:asciiTheme="minorHAnsi" w:eastAsia="Times New Roman" w:hAnsiTheme="minorHAnsi" w:cstheme="minorHAnsi"/>
                <w:iCs/>
                <w:sz w:val="20"/>
                <w:szCs w:val="20"/>
                <w:lang w:val="en-AU"/>
              </w:rPr>
            </w:pPr>
            <w:r w:rsidRPr="006C3AC6">
              <w:rPr>
                <w:rFonts w:asciiTheme="minorHAnsi" w:eastAsia="Times New Roman" w:hAnsiTheme="minorHAnsi" w:cstheme="minorHAnsi"/>
                <w:b/>
                <w:bCs/>
                <w:iCs/>
                <w:sz w:val="20"/>
                <w:szCs w:val="20"/>
                <w:lang w:val="en-AU"/>
              </w:rPr>
              <w:t>Institutional Reform &amp; Systems Change</w:t>
            </w:r>
          </w:p>
        </w:tc>
        <w:tc>
          <w:tcPr>
            <w:tcW w:w="0" w:type="auto"/>
            <w:hideMark/>
          </w:tcPr>
          <w:p w14:paraId="3BEB7F47" w14:textId="6BCE91A1" w:rsidR="00902F90" w:rsidRPr="006C3AC6" w:rsidRDefault="00902F90">
            <w:pPr>
              <w:tabs>
                <w:tab w:val="left" w:pos="284"/>
              </w:tabs>
              <w:suppressAutoHyphens w:val="0"/>
              <w:spacing w:before="0" w:line="280" w:lineRule="exact"/>
              <w:rPr>
                <w:rFonts w:asciiTheme="minorHAnsi" w:eastAsia="Times New Roman" w:hAnsiTheme="minorHAnsi" w:cstheme="minorHAnsi"/>
                <w:iCs/>
                <w:sz w:val="20"/>
                <w:szCs w:val="20"/>
                <w:lang w:val="en-AU"/>
              </w:rPr>
            </w:pPr>
            <w:r w:rsidRPr="006C3AC6">
              <w:rPr>
                <w:rFonts w:asciiTheme="minorHAnsi" w:eastAsia="Times New Roman" w:hAnsiTheme="minorHAnsi" w:cstheme="minorHAnsi"/>
                <w:iCs/>
                <w:sz w:val="20"/>
                <w:szCs w:val="20"/>
                <w:lang w:val="en-AU"/>
              </w:rPr>
              <w:t xml:space="preserve">Strengthen </w:t>
            </w:r>
            <w:r w:rsidR="0047546C">
              <w:rPr>
                <w:rFonts w:asciiTheme="minorHAnsi" w:eastAsia="Times New Roman" w:hAnsiTheme="minorHAnsi" w:cstheme="minorHAnsi"/>
                <w:iCs/>
                <w:sz w:val="20"/>
                <w:szCs w:val="20"/>
                <w:lang w:val="en-AU"/>
              </w:rPr>
              <w:t>key institutions</w:t>
            </w:r>
            <w:r w:rsidRPr="006C3AC6">
              <w:rPr>
                <w:rFonts w:asciiTheme="minorHAnsi" w:eastAsia="Times New Roman" w:hAnsiTheme="minorHAnsi" w:cstheme="minorHAnsi"/>
                <w:iCs/>
                <w:sz w:val="20"/>
                <w:szCs w:val="20"/>
                <w:lang w:val="en-AU"/>
              </w:rPr>
              <w:t>; embed GEDSI, digital access, safeguards</w:t>
            </w:r>
          </w:p>
        </w:tc>
        <w:tc>
          <w:tcPr>
            <w:tcW w:w="0" w:type="auto"/>
            <w:hideMark/>
          </w:tcPr>
          <w:p w14:paraId="547E98EA" w14:textId="25AF0C7D" w:rsidR="00902F90" w:rsidRPr="006C3AC6" w:rsidRDefault="00902F90">
            <w:pPr>
              <w:tabs>
                <w:tab w:val="left" w:pos="284"/>
              </w:tabs>
              <w:suppressAutoHyphens w:val="0"/>
              <w:spacing w:before="0" w:line="280" w:lineRule="exact"/>
              <w:rPr>
                <w:rFonts w:asciiTheme="minorHAnsi" w:eastAsia="Times New Roman" w:hAnsiTheme="minorHAnsi"/>
                <w:sz w:val="20"/>
                <w:szCs w:val="20"/>
                <w:lang w:val="en-AU"/>
              </w:rPr>
            </w:pPr>
            <w:r w:rsidRPr="23C9CA69">
              <w:rPr>
                <w:rFonts w:asciiTheme="minorHAnsi" w:eastAsia="Times New Roman" w:hAnsiTheme="minorHAnsi"/>
                <w:sz w:val="20"/>
                <w:szCs w:val="20"/>
                <w:lang w:val="en-AU"/>
              </w:rPr>
              <w:t>Democratic processes more transparent, accessible, inclusive, and resilient</w:t>
            </w:r>
            <w:r w:rsidR="00B4723C" w:rsidRPr="23C9CA69">
              <w:rPr>
                <w:rFonts w:asciiTheme="minorHAnsi" w:eastAsia="Times New Roman" w:hAnsiTheme="minorHAnsi"/>
                <w:sz w:val="20"/>
                <w:szCs w:val="20"/>
                <w:lang w:val="en-AU"/>
              </w:rPr>
              <w:t>.</w:t>
            </w:r>
          </w:p>
        </w:tc>
      </w:tr>
      <w:tr w:rsidR="00902F90" w:rsidRPr="006C3AC6" w14:paraId="4384B79E" w14:textId="77777777" w:rsidTr="0067283D">
        <w:tc>
          <w:tcPr>
            <w:tcW w:w="0" w:type="auto"/>
            <w:hideMark/>
          </w:tcPr>
          <w:p w14:paraId="4E61AB55" w14:textId="77777777" w:rsidR="00902F90" w:rsidRPr="006C3AC6" w:rsidRDefault="00902F90">
            <w:pPr>
              <w:tabs>
                <w:tab w:val="left" w:pos="284"/>
              </w:tabs>
              <w:suppressAutoHyphens w:val="0"/>
              <w:spacing w:before="0" w:line="280" w:lineRule="exact"/>
              <w:rPr>
                <w:rFonts w:asciiTheme="minorHAnsi" w:eastAsia="Times New Roman" w:hAnsiTheme="minorHAnsi" w:cstheme="minorHAnsi"/>
                <w:iCs/>
                <w:sz w:val="20"/>
                <w:szCs w:val="20"/>
                <w:lang w:val="en-AU"/>
              </w:rPr>
            </w:pPr>
            <w:r w:rsidRPr="006C3AC6">
              <w:rPr>
                <w:rFonts w:asciiTheme="minorHAnsi" w:eastAsia="Times New Roman" w:hAnsiTheme="minorHAnsi" w:cstheme="minorHAnsi"/>
                <w:b/>
                <w:bCs/>
                <w:iCs/>
                <w:sz w:val="20"/>
                <w:szCs w:val="20"/>
                <w:lang w:val="en-AU"/>
              </w:rPr>
              <w:t>Civil Society &amp; Social Infrastructure</w:t>
            </w:r>
          </w:p>
        </w:tc>
        <w:tc>
          <w:tcPr>
            <w:tcW w:w="0" w:type="auto"/>
            <w:hideMark/>
          </w:tcPr>
          <w:p w14:paraId="13F6A9E2" w14:textId="37E8EF4B" w:rsidR="00902F90" w:rsidRPr="006C3AC6" w:rsidRDefault="00902F90">
            <w:pPr>
              <w:tabs>
                <w:tab w:val="left" w:pos="284"/>
              </w:tabs>
              <w:suppressAutoHyphens w:val="0"/>
              <w:spacing w:before="0" w:line="280" w:lineRule="exact"/>
              <w:rPr>
                <w:rFonts w:asciiTheme="minorHAnsi" w:eastAsia="Times New Roman" w:hAnsiTheme="minorHAnsi" w:cstheme="minorHAnsi"/>
                <w:iCs/>
                <w:sz w:val="20"/>
                <w:szCs w:val="20"/>
                <w:lang w:val="en-AU"/>
              </w:rPr>
            </w:pPr>
            <w:r w:rsidRPr="006C3AC6">
              <w:rPr>
                <w:rFonts w:asciiTheme="minorHAnsi" w:eastAsia="Times New Roman" w:hAnsiTheme="minorHAnsi" w:cstheme="minorHAnsi"/>
                <w:iCs/>
                <w:sz w:val="20"/>
                <w:szCs w:val="20"/>
                <w:lang w:val="en-AU"/>
              </w:rPr>
              <w:t>Multi-year grants; coalition</w:t>
            </w:r>
            <w:r w:rsidR="00B00E78">
              <w:rPr>
                <w:rFonts w:asciiTheme="minorHAnsi" w:eastAsia="Times New Roman" w:hAnsiTheme="minorHAnsi" w:cstheme="minorHAnsi"/>
                <w:iCs/>
                <w:sz w:val="20"/>
                <w:szCs w:val="20"/>
                <w:lang w:val="en-AU"/>
              </w:rPr>
              <w:t xml:space="preserve"> </w:t>
            </w:r>
            <w:r w:rsidRPr="006C3AC6">
              <w:rPr>
                <w:rFonts w:asciiTheme="minorHAnsi" w:eastAsia="Times New Roman" w:hAnsiTheme="minorHAnsi" w:cstheme="minorHAnsi"/>
                <w:iCs/>
                <w:sz w:val="20"/>
                <w:szCs w:val="20"/>
                <w:lang w:val="en-AU"/>
              </w:rPr>
              <w:t>building; youth and women leadership; civic tech</w:t>
            </w:r>
          </w:p>
        </w:tc>
        <w:tc>
          <w:tcPr>
            <w:tcW w:w="0" w:type="auto"/>
            <w:hideMark/>
          </w:tcPr>
          <w:p w14:paraId="78DFF9F2" w14:textId="5BDB9FFE" w:rsidR="00902F90" w:rsidRPr="006C3AC6" w:rsidRDefault="00902F90">
            <w:pPr>
              <w:tabs>
                <w:tab w:val="left" w:pos="284"/>
              </w:tabs>
              <w:suppressAutoHyphens w:val="0"/>
              <w:spacing w:before="0" w:line="280" w:lineRule="exact"/>
              <w:rPr>
                <w:rFonts w:asciiTheme="minorHAnsi" w:eastAsia="Times New Roman" w:hAnsiTheme="minorHAnsi" w:cstheme="minorHAnsi"/>
                <w:iCs/>
                <w:sz w:val="20"/>
                <w:szCs w:val="20"/>
                <w:lang w:val="en-AU"/>
              </w:rPr>
            </w:pPr>
            <w:r w:rsidRPr="006C3AC6">
              <w:rPr>
                <w:rFonts w:asciiTheme="minorHAnsi" w:eastAsia="Times New Roman" w:hAnsiTheme="minorHAnsi" w:cstheme="minorHAnsi"/>
                <w:iCs/>
                <w:sz w:val="20"/>
                <w:szCs w:val="20"/>
                <w:lang w:val="en-AU"/>
              </w:rPr>
              <w:t>Strong, diverse civic ecosystem capable of advocacy and public accountability</w:t>
            </w:r>
            <w:r w:rsidR="00B4723C">
              <w:rPr>
                <w:rFonts w:asciiTheme="minorHAnsi" w:eastAsia="Times New Roman" w:hAnsiTheme="minorHAnsi" w:cstheme="minorHAnsi"/>
                <w:iCs/>
                <w:sz w:val="20"/>
                <w:szCs w:val="20"/>
                <w:lang w:val="en-AU"/>
              </w:rPr>
              <w:t>.</w:t>
            </w:r>
          </w:p>
        </w:tc>
      </w:tr>
      <w:tr w:rsidR="00902F90" w:rsidRPr="006C3AC6" w14:paraId="27A5FF17" w14:textId="77777777" w:rsidTr="0067283D">
        <w:tc>
          <w:tcPr>
            <w:tcW w:w="0" w:type="auto"/>
            <w:hideMark/>
          </w:tcPr>
          <w:p w14:paraId="5585083B" w14:textId="77777777" w:rsidR="00902F90" w:rsidRPr="006C3AC6" w:rsidRDefault="00902F90">
            <w:pPr>
              <w:tabs>
                <w:tab w:val="left" w:pos="284"/>
              </w:tabs>
              <w:suppressAutoHyphens w:val="0"/>
              <w:spacing w:before="0" w:line="280" w:lineRule="exact"/>
              <w:rPr>
                <w:rFonts w:asciiTheme="minorHAnsi" w:eastAsia="Times New Roman" w:hAnsiTheme="minorHAnsi" w:cstheme="minorHAnsi"/>
                <w:iCs/>
                <w:sz w:val="20"/>
                <w:szCs w:val="20"/>
                <w:lang w:val="en-AU"/>
              </w:rPr>
            </w:pPr>
            <w:r w:rsidRPr="006C3AC6">
              <w:rPr>
                <w:rFonts w:asciiTheme="minorHAnsi" w:eastAsia="Times New Roman" w:hAnsiTheme="minorHAnsi" w:cstheme="minorHAnsi"/>
                <w:b/>
                <w:bCs/>
                <w:iCs/>
                <w:sz w:val="20"/>
                <w:szCs w:val="20"/>
                <w:lang w:val="en-AU"/>
              </w:rPr>
              <w:t>Policy &amp; Funding Uptake</w:t>
            </w:r>
          </w:p>
        </w:tc>
        <w:tc>
          <w:tcPr>
            <w:tcW w:w="0" w:type="auto"/>
            <w:hideMark/>
          </w:tcPr>
          <w:p w14:paraId="6B99A57C" w14:textId="77777777" w:rsidR="00902F90" w:rsidRPr="006C3AC6" w:rsidRDefault="00902F90">
            <w:pPr>
              <w:tabs>
                <w:tab w:val="left" w:pos="284"/>
              </w:tabs>
              <w:suppressAutoHyphens w:val="0"/>
              <w:spacing w:before="0" w:line="280" w:lineRule="exact"/>
              <w:rPr>
                <w:rFonts w:asciiTheme="minorHAnsi" w:eastAsia="Times New Roman" w:hAnsiTheme="minorHAnsi" w:cstheme="minorHAnsi"/>
                <w:iCs/>
                <w:sz w:val="20"/>
                <w:szCs w:val="20"/>
                <w:lang w:val="en-AU"/>
              </w:rPr>
            </w:pPr>
            <w:r w:rsidRPr="006C3AC6">
              <w:rPr>
                <w:rFonts w:asciiTheme="minorHAnsi" w:eastAsia="Times New Roman" w:hAnsiTheme="minorHAnsi" w:cstheme="minorHAnsi"/>
                <w:iCs/>
                <w:sz w:val="20"/>
                <w:szCs w:val="20"/>
                <w:lang w:val="en-AU"/>
              </w:rPr>
              <w:t xml:space="preserve">Align inclusion standards with national/subnational policies; budget transparency; </w:t>
            </w:r>
            <w:proofErr w:type="spellStart"/>
            <w:r w:rsidRPr="006C3AC6">
              <w:rPr>
                <w:rFonts w:asciiTheme="minorHAnsi" w:eastAsia="Times New Roman" w:hAnsiTheme="minorHAnsi" w:cstheme="minorHAnsi"/>
                <w:i/>
                <w:sz w:val="20"/>
                <w:szCs w:val="20"/>
                <w:lang w:val="en-AU"/>
              </w:rPr>
              <w:t>swakelola</w:t>
            </w:r>
            <w:proofErr w:type="spellEnd"/>
          </w:p>
        </w:tc>
        <w:tc>
          <w:tcPr>
            <w:tcW w:w="0" w:type="auto"/>
            <w:hideMark/>
          </w:tcPr>
          <w:p w14:paraId="006E6F07" w14:textId="6BFC5530" w:rsidR="00902F90" w:rsidRPr="006C3AC6" w:rsidRDefault="00902F90">
            <w:pPr>
              <w:tabs>
                <w:tab w:val="left" w:pos="284"/>
              </w:tabs>
              <w:suppressAutoHyphens w:val="0"/>
              <w:spacing w:before="0" w:line="280" w:lineRule="exact"/>
              <w:rPr>
                <w:rFonts w:asciiTheme="minorHAnsi" w:eastAsia="Times New Roman" w:hAnsiTheme="minorHAnsi" w:cstheme="minorHAnsi"/>
                <w:iCs/>
                <w:sz w:val="20"/>
                <w:szCs w:val="20"/>
                <w:lang w:val="en-AU"/>
              </w:rPr>
            </w:pPr>
            <w:r w:rsidRPr="006C3AC6">
              <w:rPr>
                <w:rFonts w:asciiTheme="minorHAnsi" w:eastAsia="Times New Roman" w:hAnsiTheme="minorHAnsi" w:cstheme="minorHAnsi"/>
                <w:iCs/>
                <w:sz w:val="20"/>
                <w:szCs w:val="20"/>
                <w:lang w:val="en-AU"/>
              </w:rPr>
              <w:t>Domestic financing and regulatory frameworks sustain reforms</w:t>
            </w:r>
            <w:r w:rsidR="00B4723C">
              <w:rPr>
                <w:rFonts w:asciiTheme="minorHAnsi" w:eastAsia="Times New Roman" w:hAnsiTheme="minorHAnsi" w:cstheme="minorHAnsi"/>
                <w:iCs/>
                <w:sz w:val="20"/>
                <w:szCs w:val="20"/>
                <w:lang w:val="en-AU"/>
              </w:rPr>
              <w:t>.</w:t>
            </w:r>
          </w:p>
        </w:tc>
      </w:tr>
      <w:tr w:rsidR="00902F90" w:rsidRPr="006C3AC6" w14:paraId="67C98ECE" w14:textId="77777777" w:rsidTr="0067283D">
        <w:tc>
          <w:tcPr>
            <w:tcW w:w="0" w:type="auto"/>
            <w:hideMark/>
          </w:tcPr>
          <w:p w14:paraId="2637DAE4" w14:textId="77777777" w:rsidR="00902F90" w:rsidRPr="006C3AC6" w:rsidRDefault="00902F90">
            <w:pPr>
              <w:tabs>
                <w:tab w:val="left" w:pos="284"/>
              </w:tabs>
              <w:suppressAutoHyphens w:val="0"/>
              <w:spacing w:before="0" w:line="280" w:lineRule="exact"/>
              <w:rPr>
                <w:rFonts w:asciiTheme="minorHAnsi" w:eastAsia="Times New Roman" w:hAnsiTheme="minorHAnsi" w:cstheme="minorHAnsi"/>
                <w:iCs/>
                <w:sz w:val="20"/>
                <w:szCs w:val="20"/>
                <w:lang w:val="en-AU"/>
              </w:rPr>
            </w:pPr>
            <w:r w:rsidRPr="006C3AC6">
              <w:rPr>
                <w:rFonts w:asciiTheme="minorHAnsi" w:eastAsia="Times New Roman" w:hAnsiTheme="minorHAnsi" w:cstheme="minorHAnsi"/>
                <w:b/>
                <w:bCs/>
                <w:iCs/>
                <w:sz w:val="20"/>
                <w:szCs w:val="20"/>
                <w:lang w:val="en-AU"/>
              </w:rPr>
              <w:t>Climate &amp; Crisis Resilience</w:t>
            </w:r>
          </w:p>
        </w:tc>
        <w:tc>
          <w:tcPr>
            <w:tcW w:w="0" w:type="auto"/>
            <w:hideMark/>
          </w:tcPr>
          <w:p w14:paraId="47D53162" w14:textId="77777777" w:rsidR="00902F90" w:rsidRPr="006C3AC6" w:rsidRDefault="00902F90">
            <w:pPr>
              <w:tabs>
                <w:tab w:val="left" w:pos="284"/>
              </w:tabs>
              <w:suppressAutoHyphens w:val="0"/>
              <w:spacing w:before="0" w:line="280" w:lineRule="exact"/>
              <w:rPr>
                <w:rFonts w:asciiTheme="minorHAnsi" w:eastAsia="Times New Roman" w:hAnsiTheme="minorHAnsi" w:cstheme="minorHAnsi"/>
                <w:iCs/>
                <w:sz w:val="20"/>
                <w:szCs w:val="20"/>
                <w:lang w:val="en-AU"/>
              </w:rPr>
            </w:pPr>
            <w:r w:rsidRPr="006C3AC6">
              <w:rPr>
                <w:rFonts w:asciiTheme="minorHAnsi" w:eastAsia="Times New Roman" w:hAnsiTheme="minorHAnsi" w:cstheme="minorHAnsi"/>
                <w:iCs/>
                <w:sz w:val="20"/>
                <w:szCs w:val="20"/>
                <w:lang w:val="en-AU"/>
              </w:rPr>
              <w:t>Scenario planning; continuity of participation during shocks; inclusive communication channels</w:t>
            </w:r>
          </w:p>
        </w:tc>
        <w:tc>
          <w:tcPr>
            <w:tcW w:w="0" w:type="auto"/>
            <w:hideMark/>
          </w:tcPr>
          <w:p w14:paraId="58D468E9" w14:textId="405D2DB9" w:rsidR="00902F90" w:rsidRPr="006C3AC6" w:rsidRDefault="00902F90">
            <w:pPr>
              <w:tabs>
                <w:tab w:val="left" w:pos="284"/>
              </w:tabs>
              <w:suppressAutoHyphens w:val="0"/>
              <w:spacing w:before="0" w:line="280" w:lineRule="exact"/>
              <w:rPr>
                <w:rFonts w:asciiTheme="minorHAnsi" w:eastAsia="Times New Roman" w:hAnsiTheme="minorHAnsi" w:cstheme="minorHAnsi"/>
                <w:iCs/>
                <w:sz w:val="20"/>
                <w:szCs w:val="20"/>
                <w:lang w:val="en-AU"/>
              </w:rPr>
            </w:pPr>
            <w:r w:rsidRPr="006C3AC6">
              <w:rPr>
                <w:rFonts w:asciiTheme="minorHAnsi" w:eastAsia="Times New Roman" w:hAnsiTheme="minorHAnsi" w:cstheme="minorHAnsi"/>
                <w:iCs/>
                <w:sz w:val="20"/>
                <w:szCs w:val="20"/>
                <w:lang w:val="en-AU"/>
              </w:rPr>
              <w:t>Democratic participation and safeguarding continue in emergencies</w:t>
            </w:r>
            <w:r w:rsidR="00B4723C">
              <w:rPr>
                <w:rFonts w:asciiTheme="minorHAnsi" w:eastAsia="Times New Roman" w:hAnsiTheme="minorHAnsi" w:cstheme="minorHAnsi"/>
                <w:iCs/>
                <w:sz w:val="20"/>
                <w:szCs w:val="20"/>
                <w:lang w:val="en-AU"/>
              </w:rPr>
              <w:t>.</w:t>
            </w:r>
          </w:p>
        </w:tc>
      </w:tr>
    </w:tbl>
    <w:p w14:paraId="3A785EB6" w14:textId="77777777" w:rsidR="00902F90" w:rsidRPr="003F030D" w:rsidRDefault="00902F90" w:rsidP="00902F90">
      <w:pPr>
        <w:tabs>
          <w:tab w:val="left" w:pos="284"/>
        </w:tabs>
        <w:suppressAutoHyphens w:val="0"/>
        <w:spacing w:before="0" w:line="280" w:lineRule="exact"/>
        <w:rPr>
          <w:rFonts w:eastAsia="Times New Roman" w:cs="Times New Roman"/>
          <w:iCs/>
          <w:szCs w:val="21"/>
          <w:lang w:val="en-AU"/>
        </w:rPr>
      </w:pPr>
    </w:p>
    <w:p w14:paraId="0F8F8DE1" w14:textId="36DB376A" w:rsidR="000B26B5" w:rsidRDefault="000B26B5" w:rsidP="000B26B5">
      <w:pPr>
        <w:pStyle w:val="Caption"/>
        <w:keepNext/>
      </w:pPr>
      <w:r>
        <w:t>Table</w:t>
      </w:r>
      <w:r w:rsidR="008D4216">
        <w:t xml:space="preserve"> 2</w:t>
      </w:r>
      <w:r w:rsidR="00FC764C">
        <w:t>2</w:t>
      </w:r>
      <w:r>
        <w:t>: MEL Indicators for Sustainability</w:t>
      </w:r>
    </w:p>
    <w:tbl>
      <w:tblPr>
        <w:tblStyle w:val="DFAT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6004"/>
        <w:gridCol w:w="1942"/>
      </w:tblGrid>
      <w:tr w:rsidR="000B26B5" w:rsidRPr="006C3AC6" w14:paraId="7489F4DB" w14:textId="77777777" w:rsidTr="00E378CE">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C1E7E0" w:themeFill="accent1" w:themeFillTint="66"/>
            <w:hideMark/>
          </w:tcPr>
          <w:p w14:paraId="1142AEA2" w14:textId="77777777" w:rsidR="000B26B5" w:rsidRPr="006C3AC6" w:rsidRDefault="000B26B5">
            <w:pPr>
              <w:tabs>
                <w:tab w:val="left" w:pos="284"/>
              </w:tabs>
              <w:suppressAutoHyphens w:val="0"/>
              <w:spacing w:before="0" w:line="280" w:lineRule="exact"/>
              <w:rPr>
                <w:rFonts w:ascii="Calibri Light" w:eastAsia="Times New Roman" w:hAnsi="Calibri Light" w:cs="Calibri Light"/>
                <w:b/>
                <w:bCs/>
                <w:iCs/>
                <w:color w:val="36424B" w:themeColor="text2" w:themeShade="BF"/>
                <w:sz w:val="20"/>
                <w:szCs w:val="20"/>
                <w:lang w:val="en-AU"/>
              </w:rPr>
            </w:pPr>
            <w:r w:rsidRPr="006C3AC6">
              <w:rPr>
                <w:rFonts w:ascii="Calibri Light" w:eastAsia="Times New Roman" w:hAnsi="Calibri Light" w:cs="Calibri Light"/>
                <w:b/>
                <w:bCs/>
                <w:iCs/>
                <w:color w:val="36424B" w:themeColor="text2" w:themeShade="BF"/>
                <w:sz w:val="20"/>
                <w:szCs w:val="20"/>
                <w:lang w:val="en-AU"/>
              </w:rPr>
              <w:t>Area</w:t>
            </w:r>
          </w:p>
        </w:tc>
        <w:tc>
          <w:tcPr>
            <w:tcW w:w="0" w:type="auto"/>
            <w:shd w:val="clear" w:color="auto" w:fill="C1E7E0" w:themeFill="accent1" w:themeFillTint="66"/>
            <w:hideMark/>
          </w:tcPr>
          <w:p w14:paraId="463231AD" w14:textId="77777777" w:rsidR="000B26B5" w:rsidRPr="006C3AC6" w:rsidRDefault="000B26B5">
            <w:pPr>
              <w:tabs>
                <w:tab w:val="left" w:pos="284"/>
              </w:tabs>
              <w:suppressAutoHyphens w:val="0"/>
              <w:spacing w:before="0" w:line="280" w:lineRule="exact"/>
              <w:rPr>
                <w:rFonts w:ascii="Calibri Light" w:eastAsia="Times New Roman" w:hAnsi="Calibri Light" w:cs="Calibri Light"/>
                <w:b/>
                <w:bCs/>
                <w:iCs/>
                <w:color w:val="36424B" w:themeColor="text2" w:themeShade="BF"/>
                <w:sz w:val="20"/>
                <w:szCs w:val="20"/>
                <w:lang w:val="en-AU"/>
              </w:rPr>
            </w:pPr>
            <w:r w:rsidRPr="006C3AC6">
              <w:rPr>
                <w:rFonts w:ascii="Calibri Light" w:eastAsia="Times New Roman" w:hAnsi="Calibri Light" w:cs="Calibri Light"/>
                <w:b/>
                <w:bCs/>
                <w:iCs/>
                <w:color w:val="36424B" w:themeColor="text2" w:themeShade="BF"/>
                <w:sz w:val="20"/>
                <w:szCs w:val="20"/>
                <w:lang w:val="en-AU"/>
              </w:rPr>
              <w:t>Indicator</w:t>
            </w:r>
          </w:p>
        </w:tc>
        <w:tc>
          <w:tcPr>
            <w:tcW w:w="0" w:type="auto"/>
            <w:shd w:val="clear" w:color="auto" w:fill="C1E7E0" w:themeFill="accent1" w:themeFillTint="66"/>
            <w:hideMark/>
          </w:tcPr>
          <w:p w14:paraId="0EA895DD" w14:textId="77777777" w:rsidR="000B26B5" w:rsidRPr="006C3AC6" w:rsidRDefault="000B26B5">
            <w:pPr>
              <w:tabs>
                <w:tab w:val="left" w:pos="284"/>
              </w:tabs>
              <w:suppressAutoHyphens w:val="0"/>
              <w:spacing w:before="0" w:line="280" w:lineRule="exact"/>
              <w:rPr>
                <w:rFonts w:ascii="Calibri Light" w:eastAsia="Times New Roman" w:hAnsi="Calibri Light" w:cs="Calibri Light"/>
                <w:b/>
                <w:bCs/>
                <w:iCs/>
                <w:color w:val="36424B" w:themeColor="text2" w:themeShade="BF"/>
                <w:sz w:val="20"/>
                <w:szCs w:val="20"/>
                <w:lang w:val="en-AU"/>
              </w:rPr>
            </w:pPr>
            <w:r w:rsidRPr="006C3AC6">
              <w:rPr>
                <w:rFonts w:ascii="Calibri Light" w:eastAsia="Times New Roman" w:hAnsi="Calibri Light" w:cs="Calibri Light"/>
                <w:b/>
                <w:bCs/>
                <w:iCs/>
                <w:color w:val="36424B" w:themeColor="text2" w:themeShade="BF"/>
                <w:sz w:val="20"/>
                <w:szCs w:val="20"/>
                <w:lang w:val="en-AU"/>
              </w:rPr>
              <w:t>Data Source</w:t>
            </w:r>
          </w:p>
        </w:tc>
      </w:tr>
      <w:tr w:rsidR="000B26B5" w:rsidRPr="006C3AC6" w14:paraId="72F1435B" w14:textId="77777777">
        <w:tc>
          <w:tcPr>
            <w:tcW w:w="0" w:type="auto"/>
            <w:hideMark/>
          </w:tcPr>
          <w:p w14:paraId="6B8370E3" w14:textId="77777777" w:rsidR="000B26B5" w:rsidRPr="006C3AC6" w:rsidRDefault="000B26B5">
            <w:pPr>
              <w:tabs>
                <w:tab w:val="left" w:pos="284"/>
              </w:tabs>
              <w:suppressAutoHyphens w:val="0"/>
              <w:spacing w:before="0" w:line="280" w:lineRule="exact"/>
              <w:rPr>
                <w:rFonts w:ascii="Calibri Light" w:eastAsia="Times New Roman" w:hAnsi="Calibri Light" w:cs="Calibri Light"/>
                <w:iCs/>
                <w:sz w:val="20"/>
                <w:szCs w:val="20"/>
                <w:lang w:val="en-AU"/>
              </w:rPr>
            </w:pPr>
            <w:r w:rsidRPr="006C3AC6">
              <w:rPr>
                <w:rFonts w:ascii="Calibri Light" w:eastAsia="Times New Roman" w:hAnsi="Calibri Light" w:cs="Calibri Light"/>
                <w:iCs/>
                <w:sz w:val="20"/>
                <w:szCs w:val="20"/>
                <w:lang w:val="en-AU"/>
              </w:rPr>
              <w:t>Local ownership</w:t>
            </w:r>
          </w:p>
        </w:tc>
        <w:tc>
          <w:tcPr>
            <w:tcW w:w="0" w:type="auto"/>
            <w:hideMark/>
          </w:tcPr>
          <w:p w14:paraId="2C8EB412" w14:textId="77777777" w:rsidR="000B26B5" w:rsidRPr="006C3AC6" w:rsidRDefault="000B26B5">
            <w:pPr>
              <w:tabs>
                <w:tab w:val="left" w:pos="284"/>
              </w:tabs>
              <w:suppressAutoHyphens w:val="0"/>
              <w:spacing w:before="0" w:line="280" w:lineRule="exact"/>
              <w:rPr>
                <w:rFonts w:ascii="Calibri Light" w:eastAsia="Times New Roman" w:hAnsi="Calibri Light" w:cs="Calibri Light"/>
                <w:iCs/>
                <w:sz w:val="20"/>
                <w:szCs w:val="20"/>
                <w:lang w:val="en-AU"/>
              </w:rPr>
            </w:pPr>
            <w:r w:rsidRPr="006C3AC6">
              <w:rPr>
                <w:rFonts w:ascii="Calibri Light" w:eastAsia="Times New Roman" w:hAnsi="Calibri Light" w:cs="Calibri Light"/>
                <w:iCs/>
                <w:sz w:val="20"/>
                <w:szCs w:val="20"/>
                <w:lang w:val="en-AU"/>
              </w:rPr>
              <w:t xml:space="preserve">% of senior roles in Convenor and Core Group held by Indonesian staff </w:t>
            </w:r>
          </w:p>
          <w:p w14:paraId="799ED6E6" w14:textId="77777777" w:rsidR="000B26B5" w:rsidRPr="006C3AC6" w:rsidRDefault="000B26B5">
            <w:pPr>
              <w:tabs>
                <w:tab w:val="left" w:pos="284"/>
              </w:tabs>
              <w:suppressAutoHyphens w:val="0"/>
              <w:spacing w:before="0" w:line="280" w:lineRule="exact"/>
              <w:rPr>
                <w:rFonts w:ascii="Calibri Light" w:eastAsia="Times New Roman" w:hAnsi="Calibri Light" w:cs="Calibri Light"/>
                <w:iCs/>
                <w:sz w:val="20"/>
                <w:szCs w:val="20"/>
                <w:lang w:val="en-AU"/>
              </w:rPr>
            </w:pPr>
            <w:r w:rsidRPr="006C3AC6">
              <w:rPr>
                <w:rFonts w:ascii="Calibri Light" w:eastAsia="Times New Roman" w:hAnsi="Calibri Light" w:cs="Calibri Light"/>
                <w:iCs/>
                <w:sz w:val="20"/>
                <w:szCs w:val="20"/>
                <w:lang w:val="en-AU"/>
              </w:rPr>
              <w:t xml:space="preserve">% of program decisions led by Indonesian Core Group </w:t>
            </w:r>
            <w:r>
              <w:rPr>
                <w:rFonts w:ascii="Calibri Light" w:eastAsia="Times New Roman" w:hAnsi="Calibri Light" w:cs="Calibri Light"/>
                <w:iCs/>
                <w:sz w:val="20"/>
                <w:szCs w:val="20"/>
                <w:lang w:val="en-AU"/>
              </w:rPr>
              <w:t>P</w:t>
            </w:r>
            <w:r w:rsidRPr="006C3AC6">
              <w:rPr>
                <w:rFonts w:ascii="Calibri Light" w:eastAsia="Times New Roman" w:hAnsi="Calibri Light" w:cs="Calibri Light"/>
                <w:iCs/>
                <w:sz w:val="20"/>
                <w:szCs w:val="20"/>
                <w:lang w:val="en-AU"/>
              </w:rPr>
              <w:t>artners</w:t>
            </w:r>
          </w:p>
        </w:tc>
        <w:tc>
          <w:tcPr>
            <w:tcW w:w="0" w:type="auto"/>
            <w:hideMark/>
          </w:tcPr>
          <w:p w14:paraId="5DA736E1" w14:textId="77777777" w:rsidR="000B26B5" w:rsidRPr="006C3AC6" w:rsidRDefault="000B26B5">
            <w:pPr>
              <w:tabs>
                <w:tab w:val="left" w:pos="284"/>
              </w:tabs>
              <w:suppressAutoHyphens w:val="0"/>
              <w:spacing w:before="0" w:line="280" w:lineRule="exact"/>
              <w:rPr>
                <w:rFonts w:ascii="Calibri Light" w:eastAsia="Times New Roman" w:hAnsi="Calibri Light" w:cs="Calibri Light"/>
                <w:iCs/>
                <w:sz w:val="20"/>
                <w:szCs w:val="20"/>
                <w:lang w:val="en-AU"/>
              </w:rPr>
            </w:pPr>
            <w:r w:rsidRPr="006C3AC6">
              <w:rPr>
                <w:rFonts w:ascii="Calibri Light" w:eastAsia="Times New Roman" w:hAnsi="Calibri Light" w:cs="Calibri Light"/>
                <w:iCs/>
                <w:sz w:val="20"/>
                <w:szCs w:val="20"/>
                <w:lang w:val="en-AU"/>
              </w:rPr>
              <w:t>HR records; governance minutes</w:t>
            </w:r>
          </w:p>
        </w:tc>
      </w:tr>
      <w:tr w:rsidR="000B26B5" w:rsidRPr="006C3AC6" w14:paraId="504B9FB9" w14:textId="77777777">
        <w:tc>
          <w:tcPr>
            <w:tcW w:w="0" w:type="auto"/>
            <w:hideMark/>
          </w:tcPr>
          <w:p w14:paraId="2CB1F04C" w14:textId="77777777" w:rsidR="000B26B5" w:rsidRPr="006C3AC6" w:rsidRDefault="000B26B5">
            <w:pPr>
              <w:tabs>
                <w:tab w:val="left" w:pos="284"/>
              </w:tabs>
              <w:suppressAutoHyphens w:val="0"/>
              <w:spacing w:before="0" w:line="280" w:lineRule="exact"/>
              <w:rPr>
                <w:rFonts w:ascii="Calibri Light" w:eastAsia="Times New Roman" w:hAnsi="Calibri Light" w:cs="Calibri Light"/>
                <w:iCs/>
                <w:sz w:val="20"/>
                <w:szCs w:val="20"/>
                <w:lang w:val="en-AU"/>
              </w:rPr>
            </w:pPr>
            <w:r w:rsidRPr="006C3AC6">
              <w:rPr>
                <w:rFonts w:ascii="Calibri Light" w:eastAsia="Times New Roman" w:hAnsi="Calibri Light" w:cs="Calibri Light"/>
                <w:iCs/>
                <w:sz w:val="20"/>
                <w:szCs w:val="20"/>
                <w:lang w:val="en-AU"/>
              </w:rPr>
              <w:t>Institutionalisation</w:t>
            </w:r>
          </w:p>
        </w:tc>
        <w:tc>
          <w:tcPr>
            <w:tcW w:w="0" w:type="auto"/>
            <w:hideMark/>
          </w:tcPr>
          <w:p w14:paraId="415C5F5D" w14:textId="77777777" w:rsidR="000B26B5" w:rsidRPr="006C3AC6" w:rsidRDefault="000B26B5">
            <w:pPr>
              <w:tabs>
                <w:tab w:val="left" w:pos="284"/>
              </w:tabs>
              <w:suppressAutoHyphens w:val="0"/>
              <w:spacing w:before="0" w:line="280" w:lineRule="exact"/>
              <w:rPr>
                <w:rFonts w:ascii="Calibri Light" w:eastAsia="Times New Roman" w:hAnsi="Calibri Light" w:cs="Calibri Light"/>
                <w:iCs/>
                <w:sz w:val="20"/>
                <w:szCs w:val="20"/>
                <w:lang w:val="en-AU"/>
              </w:rPr>
            </w:pPr>
            <w:r w:rsidRPr="006C3AC6">
              <w:rPr>
                <w:rFonts w:ascii="Calibri Light" w:eastAsia="Times New Roman" w:hAnsi="Calibri Light" w:cs="Calibri Light"/>
                <w:iCs/>
                <w:sz w:val="20"/>
                <w:szCs w:val="20"/>
                <w:lang w:val="en-AU"/>
              </w:rPr>
              <w:t>Number of democratic inclusion standards (GEDSI, digital access, safeguarding) adopted into KPU/</w:t>
            </w:r>
            <w:proofErr w:type="spellStart"/>
            <w:r w:rsidRPr="006C3AC6">
              <w:rPr>
                <w:rFonts w:ascii="Calibri Light" w:eastAsia="Times New Roman" w:hAnsi="Calibri Light" w:cs="Calibri Light"/>
                <w:iCs/>
                <w:sz w:val="20"/>
                <w:szCs w:val="20"/>
                <w:lang w:val="en-AU"/>
              </w:rPr>
              <w:t>Bawaslu</w:t>
            </w:r>
            <w:proofErr w:type="spellEnd"/>
            <w:r w:rsidRPr="006C3AC6">
              <w:rPr>
                <w:rFonts w:ascii="Calibri Light" w:eastAsia="Times New Roman" w:hAnsi="Calibri Light" w:cs="Calibri Light"/>
                <w:iCs/>
                <w:sz w:val="20"/>
                <w:szCs w:val="20"/>
                <w:lang w:val="en-AU"/>
              </w:rPr>
              <w:t>/MOHA/local regulations</w:t>
            </w:r>
          </w:p>
        </w:tc>
        <w:tc>
          <w:tcPr>
            <w:tcW w:w="0" w:type="auto"/>
            <w:hideMark/>
          </w:tcPr>
          <w:p w14:paraId="0FC33EC4" w14:textId="77777777" w:rsidR="000B26B5" w:rsidRPr="006C3AC6" w:rsidRDefault="000B26B5">
            <w:pPr>
              <w:tabs>
                <w:tab w:val="left" w:pos="284"/>
              </w:tabs>
              <w:suppressAutoHyphens w:val="0"/>
              <w:spacing w:before="0" w:line="280" w:lineRule="exact"/>
              <w:rPr>
                <w:rFonts w:ascii="Calibri Light" w:eastAsia="Times New Roman" w:hAnsi="Calibri Light" w:cs="Calibri Light"/>
                <w:iCs/>
                <w:sz w:val="20"/>
                <w:szCs w:val="20"/>
                <w:lang w:val="en-AU"/>
              </w:rPr>
            </w:pPr>
            <w:r w:rsidRPr="006C3AC6">
              <w:rPr>
                <w:rFonts w:ascii="Calibri Light" w:eastAsia="Times New Roman" w:hAnsi="Calibri Light" w:cs="Calibri Light"/>
                <w:iCs/>
                <w:sz w:val="20"/>
                <w:szCs w:val="20"/>
                <w:lang w:val="en-AU"/>
              </w:rPr>
              <w:t>Partner reports; document review</w:t>
            </w:r>
          </w:p>
        </w:tc>
      </w:tr>
      <w:tr w:rsidR="000B26B5" w:rsidRPr="006C3AC6" w14:paraId="444919D3" w14:textId="77777777">
        <w:tc>
          <w:tcPr>
            <w:tcW w:w="0" w:type="auto"/>
            <w:hideMark/>
          </w:tcPr>
          <w:p w14:paraId="003B50BB" w14:textId="77777777" w:rsidR="000B26B5" w:rsidRPr="006C3AC6" w:rsidRDefault="000B26B5">
            <w:pPr>
              <w:tabs>
                <w:tab w:val="left" w:pos="284"/>
              </w:tabs>
              <w:suppressAutoHyphens w:val="0"/>
              <w:spacing w:before="0" w:line="280" w:lineRule="exact"/>
              <w:rPr>
                <w:rFonts w:ascii="Calibri Light" w:eastAsia="Times New Roman" w:hAnsi="Calibri Light" w:cs="Calibri Light"/>
                <w:iCs/>
                <w:sz w:val="20"/>
                <w:szCs w:val="20"/>
                <w:lang w:val="en-AU"/>
              </w:rPr>
            </w:pPr>
            <w:r w:rsidRPr="006C3AC6">
              <w:rPr>
                <w:rFonts w:ascii="Calibri Light" w:eastAsia="Times New Roman" w:hAnsi="Calibri Light" w:cs="Calibri Light"/>
                <w:iCs/>
                <w:sz w:val="20"/>
                <w:szCs w:val="20"/>
                <w:lang w:val="en-AU"/>
              </w:rPr>
              <w:t>Civil society resilience</w:t>
            </w:r>
          </w:p>
        </w:tc>
        <w:tc>
          <w:tcPr>
            <w:tcW w:w="0" w:type="auto"/>
            <w:hideMark/>
          </w:tcPr>
          <w:p w14:paraId="7E94C536" w14:textId="77777777" w:rsidR="000B26B5" w:rsidRPr="006C3AC6" w:rsidRDefault="000B26B5">
            <w:pPr>
              <w:tabs>
                <w:tab w:val="left" w:pos="284"/>
              </w:tabs>
              <w:suppressAutoHyphens w:val="0"/>
              <w:spacing w:before="0" w:line="280" w:lineRule="exact"/>
              <w:rPr>
                <w:rFonts w:ascii="Calibri Light" w:eastAsia="Times New Roman" w:hAnsi="Calibri Light" w:cs="Calibri Light"/>
                <w:iCs/>
                <w:sz w:val="20"/>
                <w:szCs w:val="20"/>
                <w:lang w:val="en-AU"/>
              </w:rPr>
            </w:pPr>
            <w:r w:rsidRPr="006C3AC6">
              <w:rPr>
                <w:rFonts w:ascii="Calibri Light" w:eastAsia="Times New Roman" w:hAnsi="Calibri Light" w:cs="Calibri Light"/>
                <w:iCs/>
                <w:sz w:val="20"/>
                <w:szCs w:val="20"/>
                <w:lang w:val="en-AU"/>
              </w:rPr>
              <w:t>Number of CSOs/WROs/OPDs accessing multi-year funding and demonstrating expanded networks or partnerships</w:t>
            </w:r>
          </w:p>
        </w:tc>
        <w:tc>
          <w:tcPr>
            <w:tcW w:w="0" w:type="auto"/>
            <w:hideMark/>
          </w:tcPr>
          <w:p w14:paraId="2C5E9A10" w14:textId="77777777" w:rsidR="000B26B5" w:rsidRPr="006C3AC6" w:rsidRDefault="000B26B5">
            <w:pPr>
              <w:tabs>
                <w:tab w:val="left" w:pos="284"/>
              </w:tabs>
              <w:suppressAutoHyphens w:val="0"/>
              <w:spacing w:before="0" w:line="280" w:lineRule="exact"/>
              <w:rPr>
                <w:rFonts w:ascii="Calibri Light" w:eastAsia="Times New Roman" w:hAnsi="Calibri Light" w:cs="Calibri Light"/>
                <w:iCs/>
                <w:sz w:val="20"/>
                <w:szCs w:val="20"/>
                <w:lang w:val="en-AU"/>
              </w:rPr>
            </w:pPr>
            <w:r w:rsidRPr="006C3AC6">
              <w:rPr>
                <w:rFonts w:ascii="Calibri Light" w:eastAsia="Times New Roman" w:hAnsi="Calibri Light" w:cs="Calibri Light"/>
                <w:iCs/>
                <w:sz w:val="20"/>
                <w:szCs w:val="20"/>
                <w:lang w:val="en-AU"/>
              </w:rPr>
              <w:t>Grant reports</w:t>
            </w:r>
          </w:p>
        </w:tc>
      </w:tr>
      <w:tr w:rsidR="000B26B5" w:rsidRPr="006C3AC6" w14:paraId="47A481B2" w14:textId="77777777">
        <w:tc>
          <w:tcPr>
            <w:tcW w:w="0" w:type="auto"/>
            <w:hideMark/>
          </w:tcPr>
          <w:p w14:paraId="43708E77" w14:textId="77777777" w:rsidR="000B26B5" w:rsidRPr="006C3AC6" w:rsidRDefault="000B26B5">
            <w:pPr>
              <w:tabs>
                <w:tab w:val="left" w:pos="284"/>
              </w:tabs>
              <w:suppressAutoHyphens w:val="0"/>
              <w:spacing w:before="0" w:line="280" w:lineRule="exact"/>
              <w:rPr>
                <w:rFonts w:ascii="Calibri Light" w:eastAsia="Times New Roman" w:hAnsi="Calibri Light" w:cs="Calibri Light"/>
                <w:iCs/>
                <w:sz w:val="20"/>
                <w:szCs w:val="20"/>
                <w:lang w:val="en-AU"/>
              </w:rPr>
            </w:pPr>
            <w:r w:rsidRPr="006C3AC6">
              <w:rPr>
                <w:rFonts w:ascii="Calibri Light" w:eastAsia="Times New Roman" w:hAnsi="Calibri Light" w:cs="Calibri Light"/>
                <w:iCs/>
                <w:sz w:val="20"/>
                <w:szCs w:val="20"/>
                <w:lang w:val="en-AU"/>
              </w:rPr>
              <w:t>Domestic financing</w:t>
            </w:r>
          </w:p>
        </w:tc>
        <w:tc>
          <w:tcPr>
            <w:tcW w:w="0" w:type="auto"/>
            <w:hideMark/>
          </w:tcPr>
          <w:p w14:paraId="50164AC3" w14:textId="77777777" w:rsidR="000B26B5" w:rsidRPr="006C3AC6" w:rsidRDefault="000B26B5">
            <w:pPr>
              <w:tabs>
                <w:tab w:val="left" w:pos="284"/>
              </w:tabs>
              <w:suppressAutoHyphens w:val="0"/>
              <w:spacing w:before="0" w:line="280" w:lineRule="exact"/>
              <w:rPr>
                <w:rFonts w:ascii="Calibri Light" w:eastAsia="Times New Roman" w:hAnsi="Calibri Light" w:cs="Calibri Light"/>
                <w:iCs/>
                <w:sz w:val="20"/>
                <w:szCs w:val="20"/>
                <w:lang w:val="en-AU"/>
              </w:rPr>
            </w:pPr>
            <w:r w:rsidRPr="006C3AC6">
              <w:rPr>
                <w:rFonts w:ascii="Calibri Light" w:eastAsia="Times New Roman" w:hAnsi="Calibri Light" w:cs="Calibri Light"/>
                <w:iCs/>
                <w:sz w:val="20"/>
                <w:szCs w:val="20"/>
                <w:lang w:val="en-AU"/>
              </w:rPr>
              <w:t>% of reform initiatives supported by national/subnational budgets</w:t>
            </w:r>
          </w:p>
        </w:tc>
        <w:tc>
          <w:tcPr>
            <w:tcW w:w="0" w:type="auto"/>
            <w:hideMark/>
          </w:tcPr>
          <w:p w14:paraId="023F0B63" w14:textId="77777777" w:rsidR="000B26B5" w:rsidRPr="006C3AC6" w:rsidRDefault="000B26B5">
            <w:pPr>
              <w:tabs>
                <w:tab w:val="left" w:pos="284"/>
              </w:tabs>
              <w:suppressAutoHyphens w:val="0"/>
              <w:spacing w:before="0" w:line="280" w:lineRule="exact"/>
              <w:rPr>
                <w:rFonts w:ascii="Calibri Light" w:eastAsia="Times New Roman" w:hAnsi="Calibri Light" w:cs="Calibri Light"/>
                <w:iCs/>
                <w:sz w:val="20"/>
                <w:szCs w:val="20"/>
                <w:lang w:val="en-AU"/>
              </w:rPr>
            </w:pPr>
            <w:r w:rsidRPr="006C3AC6">
              <w:rPr>
                <w:rFonts w:ascii="Calibri Light" w:eastAsia="Times New Roman" w:hAnsi="Calibri Light" w:cs="Calibri Light"/>
                <w:iCs/>
                <w:sz w:val="20"/>
                <w:szCs w:val="20"/>
                <w:lang w:val="en-AU"/>
              </w:rPr>
              <w:t>Budget review; interviews</w:t>
            </w:r>
          </w:p>
        </w:tc>
      </w:tr>
      <w:tr w:rsidR="000B26B5" w:rsidRPr="006C3AC6" w14:paraId="19126F2E" w14:textId="77777777">
        <w:tc>
          <w:tcPr>
            <w:tcW w:w="0" w:type="auto"/>
            <w:hideMark/>
          </w:tcPr>
          <w:p w14:paraId="0D10745E" w14:textId="77777777" w:rsidR="000B26B5" w:rsidRPr="006C3AC6" w:rsidRDefault="000B26B5">
            <w:pPr>
              <w:tabs>
                <w:tab w:val="left" w:pos="284"/>
              </w:tabs>
              <w:suppressAutoHyphens w:val="0"/>
              <w:spacing w:before="0" w:line="280" w:lineRule="exact"/>
              <w:rPr>
                <w:rFonts w:ascii="Calibri Light" w:eastAsia="Times New Roman" w:hAnsi="Calibri Light" w:cs="Calibri Light"/>
                <w:iCs/>
                <w:sz w:val="20"/>
                <w:szCs w:val="20"/>
                <w:lang w:val="en-AU"/>
              </w:rPr>
            </w:pPr>
            <w:r w:rsidRPr="006C3AC6">
              <w:rPr>
                <w:rFonts w:ascii="Calibri Light" w:eastAsia="Times New Roman" w:hAnsi="Calibri Light" w:cs="Calibri Light"/>
                <w:iCs/>
                <w:sz w:val="20"/>
                <w:szCs w:val="20"/>
                <w:lang w:val="en-AU"/>
              </w:rPr>
              <w:t>Crisis resilience</w:t>
            </w:r>
          </w:p>
        </w:tc>
        <w:tc>
          <w:tcPr>
            <w:tcW w:w="0" w:type="auto"/>
            <w:hideMark/>
          </w:tcPr>
          <w:p w14:paraId="4B4CF770" w14:textId="77777777" w:rsidR="000B26B5" w:rsidRPr="006C3AC6" w:rsidRDefault="000B26B5">
            <w:pPr>
              <w:tabs>
                <w:tab w:val="left" w:pos="284"/>
              </w:tabs>
              <w:suppressAutoHyphens w:val="0"/>
              <w:spacing w:before="0" w:line="280" w:lineRule="exact"/>
              <w:rPr>
                <w:rFonts w:ascii="Calibri Light" w:eastAsia="Times New Roman" w:hAnsi="Calibri Light" w:cs="Calibri Light"/>
                <w:iCs/>
                <w:sz w:val="20"/>
                <w:szCs w:val="20"/>
                <w:lang w:val="en-AU"/>
              </w:rPr>
            </w:pPr>
            <w:r w:rsidRPr="006C3AC6">
              <w:rPr>
                <w:rFonts w:ascii="Calibri Light" w:eastAsia="Times New Roman" w:hAnsi="Calibri Light" w:cs="Calibri Light"/>
                <w:iCs/>
                <w:sz w:val="20"/>
                <w:szCs w:val="20"/>
                <w:lang w:val="en-AU"/>
              </w:rPr>
              <w:t>Number of partners adopting climate/crisis-responsive participation mechanisms</w:t>
            </w:r>
          </w:p>
        </w:tc>
        <w:tc>
          <w:tcPr>
            <w:tcW w:w="0" w:type="auto"/>
            <w:hideMark/>
          </w:tcPr>
          <w:p w14:paraId="62BD73DA" w14:textId="77777777" w:rsidR="000B26B5" w:rsidRPr="006C3AC6" w:rsidRDefault="000B26B5">
            <w:pPr>
              <w:tabs>
                <w:tab w:val="left" w:pos="284"/>
              </w:tabs>
              <w:suppressAutoHyphens w:val="0"/>
              <w:spacing w:before="0" w:line="280" w:lineRule="exact"/>
              <w:rPr>
                <w:rFonts w:ascii="Calibri Light" w:eastAsia="Times New Roman" w:hAnsi="Calibri Light" w:cs="Calibri Light"/>
                <w:iCs/>
                <w:sz w:val="20"/>
                <w:szCs w:val="20"/>
                <w:lang w:val="en-AU"/>
              </w:rPr>
            </w:pPr>
            <w:r w:rsidRPr="006C3AC6">
              <w:rPr>
                <w:rFonts w:ascii="Calibri Light" w:eastAsia="Times New Roman" w:hAnsi="Calibri Light" w:cs="Calibri Light"/>
                <w:iCs/>
                <w:sz w:val="20"/>
                <w:szCs w:val="20"/>
                <w:lang w:val="en-AU"/>
              </w:rPr>
              <w:t>Partner reports; scenario audits</w:t>
            </w:r>
          </w:p>
        </w:tc>
      </w:tr>
    </w:tbl>
    <w:p w14:paraId="733FEA49" w14:textId="77777777" w:rsidR="000B26B5" w:rsidRPr="003F030D" w:rsidRDefault="000B26B5" w:rsidP="000B26B5">
      <w:pPr>
        <w:tabs>
          <w:tab w:val="left" w:pos="284"/>
        </w:tabs>
        <w:suppressAutoHyphens w:val="0"/>
        <w:spacing w:before="0" w:line="280" w:lineRule="exact"/>
        <w:rPr>
          <w:rFonts w:eastAsia="Times New Roman" w:cs="Times New Roman"/>
          <w:iCs/>
          <w:szCs w:val="21"/>
          <w:lang w:val="en-AU"/>
        </w:rPr>
      </w:pPr>
    </w:p>
    <w:p w14:paraId="4129AF06" w14:textId="77777777" w:rsidR="000B26B5" w:rsidRPr="007A524C" w:rsidRDefault="000B26B5" w:rsidP="000B26B5">
      <w:pPr>
        <w:tabs>
          <w:tab w:val="left" w:pos="284"/>
        </w:tabs>
        <w:suppressAutoHyphens w:val="0"/>
        <w:spacing w:before="0" w:line="280" w:lineRule="exact"/>
        <w:rPr>
          <w:rFonts w:eastAsia="Times New Roman" w:cs="Times New Roman"/>
          <w:lang w:val="en-AU"/>
        </w:rPr>
      </w:pPr>
      <w:r w:rsidRPr="23C9CA69">
        <w:rPr>
          <w:rFonts w:eastAsia="Times New Roman" w:cs="Times New Roman"/>
          <w:lang w:val="en-AU"/>
        </w:rPr>
        <w:lastRenderedPageBreak/>
        <w:t xml:space="preserve">The sustainability of </w:t>
      </w:r>
      <w:proofErr w:type="spellStart"/>
      <w:r w:rsidRPr="23C9CA69">
        <w:rPr>
          <w:rFonts w:eastAsia="Times New Roman" w:cs="Times New Roman"/>
          <w:lang w:val="en-AU"/>
        </w:rPr>
        <w:t>Partisipasi</w:t>
      </w:r>
      <w:proofErr w:type="spellEnd"/>
      <w:r w:rsidRPr="23C9CA69">
        <w:rPr>
          <w:rFonts w:eastAsia="Times New Roman" w:cs="Times New Roman"/>
          <w:lang w:val="en-AU"/>
        </w:rPr>
        <w:t xml:space="preserve"> assumes continued political space for reform, cooperation from key state institutions, and stable operating conditions for civil society. A core assumption is that reform-minded actors in government, electoral bodies, and parliament will remain open to technical collaboration and will institutionalise standards on transparency, digital access, safeguarding, and inclusion. It is also assumed that CSOs, WROs, OPDs, and independent media will retain freedom to organise, advocate, and communicate with constituencies.</w:t>
      </w:r>
    </w:p>
    <w:p w14:paraId="772C50EB" w14:textId="64724C4A" w:rsidR="000B26B5" w:rsidRPr="007A524C" w:rsidRDefault="000B26B5" w:rsidP="000B26B5">
      <w:pPr>
        <w:tabs>
          <w:tab w:val="left" w:pos="284"/>
        </w:tabs>
        <w:suppressAutoHyphens w:val="0"/>
        <w:spacing w:before="0" w:line="280" w:lineRule="exact"/>
        <w:rPr>
          <w:rFonts w:eastAsia="Times New Roman" w:cs="Times New Roman"/>
          <w:lang w:val="en-AU"/>
        </w:rPr>
      </w:pPr>
      <w:r w:rsidRPr="229DCEAA">
        <w:rPr>
          <w:rFonts w:eastAsia="Times New Roman" w:cs="Times New Roman"/>
          <w:lang w:val="en-AU"/>
        </w:rPr>
        <w:t xml:space="preserve">However, </w:t>
      </w:r>
      <w:proofErr w:type="gramStart"/>
      <w:r w:rsidRPr="229DCEAA">
        <w:rPr>
          <w:rFonts w:eastAsia="Times New Roman" w:cs="Times New Roman"/>
          <w:lang w:val="en-AU"/>
        </w:rPr>
        <w:t>a number of</w:t>
      </w:r>
      <w:proofErr w:type="gramEnd"/>
      <w:r w:rsidRPr="229DCEAA">
        <w:rPr>
          <w:rFonts w:eastAsia="Times New Roman" w:cs="Times New Roman"/>
          <w:lang w:val="en-AU"/>
        </w:rPr>
        <w:t xml:space="preserve"> risks could impact long-term sustainability. Reform momentum may weaken as political priorities shift, or </w:t>
      </w:r>
      <w:r w:rsidR="001D38D7">
        <w:rPr>
          <w:rFonts w:eastAsia="Times New Roman" w:cs="Times New Roman"/>
          <w:lang w:val="en-AU"/>
        </w:rPr>
        <w:t>if</w:t>
      </w:r>
      <w:r w:rsidRPr="229DCEAA">
        <w:rPr>
          <w:rFonts w:eastAsia="Times New Roman" w:cs="Times New Roman"/>
          <w:lang w:val="en-AU"/>
        </w:rPr>
        <w:t xml:space="preserve"> electoral bodies undergo restructuring. Changes in civic and digital space could limit CSO participation or increase security risks for activists, particularly women, youth</w:t>
      </w:r>
      <w:r>
        <w:rPr>
          <w:rFonts w:eastAsia="Times New Roman" w:cs="Times New Roman"/>
          <w:lang w:val="en-AU"/>
        </w:rPr>
        <w:t>s</w:t>
      </w:r>
      <w:r w:rsidRPr="229DCEAA">
        <w:rPr>
          <w:rFonts w:eastAsia="Times New Roman" w:cs="Times New Roman"/>
          <w:lang w:val="en-AU"/>
        </w:rPr>
        <w:t>, and marginalised groups. Localisation may progress slower than planned if fiduciary systems or compliance standards are not yet fully trusted to Indonesian entities, creating dependency on international intermediaries. Sustainability is also vulnerable to funding gaps if domestic budget allocations do not materialise or if donors reduce support. Smaller organisations remain at risk of exclusion due to resource constraints, geographic remoteness, or accessibility barriers.</w:t>
      </w:r>
    </w:p>
    <w:p w14:paraId="7A293C1B" w14:textId="77777777" w:rsidR="000B26B5" w:rsidRPr="007A524C" w:rsidRDefault="000B26B5" w:rsidP="000B26B5">
      <w:pPr>
        <w:tabs>
          <w:tab w:val="left" w:pos="284"/>
        </w:tabs>
        <w:suppressAutoHyphens w:val="0"/>
        <w:spacing w:before="0" w:line="280" w:lineRule="exact"/>
        <w:rPr>
          <w:rFonts w:eastAsia="Times New Roman" w:cs="Times New Roman"/>
          <w:iCs/>
          <w:szCs w:val="21"/>
          <w:lang w:val="en-AU"/>
        </w:rPr>
      </w:pPr>
      <w:r w:rsidRPr="007A524C">
        <w:rPr>
          <w:rFonts w:eastAsia="Times New Roman" w:cs="Times New Roman"/>
          <w:iCs/>
          <w:szCs w:val="21"/>
          <w:lang w:val="en-AU"/>
        </w:rPr>
        <w:t xml:space="preserve">To mitigate these risks, the program will embed reforms within regulations, budgets, and institutional procedures; build cross-party reform coalitions; and strengthen legal and digital protection mechanisms. A phased localisation model—supported by coaching, peer learning, and joint financial management—will reduce fiduciary risks while increasing national ownership. Targeted grants, funded participation in governance structures, and accessible processes will help ensure smaller CSOs, OPDs, and WROs are not pushed out of reform spaces. Through these measures, the program aims to ensure that </w:t>
      </w:r>
      <w:proofErr w:type="spellStart"/>
      <w:r w:rsidRPr="007A524C">
        <w:rPr>
          <w:rFonts w:eastAsia="Times New Roman" w:cs="Times New Roman"/>
          <w:iCs/>
          <w:szCs w:val="21"/>
          <w:lang w:val="en-AU"/>
        </w:rPr>
        <w:t>Partisipasi’s</w:t>
      </w:r>
      <w:proofErr w:type="spellEnd"/>
      <w:r w:rsidRPr="007A524C">
        <w:rPr>
          <w:rFonts w:eastAsia="Times New Roman" w:cs="Times New Roman"/>
          <w:iCs/>
          <w:szCs w:val="21"/>
          <w:lang w:val="en-AU"/>
        </w:rPr>
        <w:t xml:space="preserve"> systems, networks, and institutional partnerships remain durable beyond the life of the investment.</w:t>
      </w:r>
    </w:p>
    <w:p w14:paraId="4E4E63A3" w14:textId="77777777" w:rsidR="000B26B5" w:rsidRPr="00B57CB6" w:rsidRDefault="000B26B5" w:rsidP="000B26B5">
      <w:pPr>
        <w:suppressAutoHyphens w:val="0"/>
        <w:spacing w:before="0" w:after="160" w:line="259" w:lineRule="auto"/>
        <w:rPr>
          <w:rStyle w:val="Heading3Char"/>
        </w:rPr>
      </w:pPr>
      <w:r w:rsidRPr="00B57CB6">
        <w:rPr>
          <w:rStyle w:val="Heading3Char"/>
        </w:rPr>
        <w:t xml:space="preserve">Locally Led Development </w:t>
      </w:r>
    </w:p>
    <w:p w14:paraId="30513789" w14:textId="7FB22259" w:rsidR="000B26B5" w:rsidRPr="008357D3" w:rsidRDefault="000B26B5" w:rsidP="000B26B5">
      <w:pPr>
        <w:suppressAutoHyphens w:val="0"/>
        <w:spacing w:before="0" w:after="160" w:line="259" w:lineRule="auto"/>
        <w:rPr>
          <w:rFonts w:eastAsia="Times New Roman" w:cs="Times New Roman"/>
          <w:lang w:val="en-AU"/>
        </w:rPr>
      </w:pPr>
      <w:proofErr w:type="spellStart"/>
      <w:r w:rsidRPr="00D84A7F">
        <w:rPr>
          <w:rFonts w:eastAsia="Times New Roman" w:cs="Times New Roman"/>
        </w:rPr>
        <w:t>Partisipasi</w:t>
      </w:r>
      <w:proofErr w:type="spellEnd"/>
      <w:r w:rsidRPr="5F07994E">
        <w:rPr>
          <w:rFonts w:eastAsia="Times New Roman" w:cs="Times New Roman"/>
          <w:i/>
        </w:rPr>
        <w:t xml:space="preserve"> </w:t>
      </w:r>
      <w:r w:rsidRPr="5F07994E">
        <w:rPr>
          <w:rFonts w:eastAsia="Times New Roman" w:cs="Times New Roman"/>
        </w:rPr>
        <w:t xml:space="preserve">is committed to advancing DFAT’s localisation commitments, placing local and national actors at the heart of its governance, delivery, and learning systems. The program sees localisation not as a transfer of administrative responsibilities, but as a shift in power, resources, and leadership toward Indonesian civil society, communities, and institutions. In this way, </w:t>
      </w:r>
      <w:proofErr w:type="spellStart"/>
      <w:r w:rsidRPr="00D84A7F">
        <w:rPr>
          <w:rFonts w:eastAsia="Times New Roman" w:cs="Times New Roman"/>
        </w:rPr>
        <w:t>Partisipasi’s</w:t>
      </w:r>
      <w:proofErr w:type="spellEnd"/>
      <w:r w:rsidRPr="00486F72">
        <w:rPr>
          <w:rFonts w:eastAsia="Times New Roman" w:cs="Times New Roman"/>
          <w:i/>
        </w:rPr>
        <w:t xml:space="preserve"> </w:t>
      </w:r>
      <w:r w:rsidRPr="5F07994E">
        <w:rPr>
          <w:rFonts w:eastAsia="Times New Roman" w:cs="Times New Roman"/>
        </w:rPr>
        <w:t>locally led development approach will both enhance equity, and act as another mechanism of democratic resilience; anchoring inclusion in Indonesia’s own civic fabric, making it less vulnerable to shocks.</w:t>
      </w:r>
    </w:p>
    <w:p w14:paraId="36CC5C03" w14:textId="77777777" w:rsidR="000B26B5" w:rsidRPr="008357D3" w:rsidRDefault="000B26B5" w:rsidP="000B26B5">
      <w:pPr>
        <w:suppressAutoHyphens w:val="0"/>
        <w:spacing w:before="0" w:after="160" w:line="259" w:lineRule="auto"/>
        <w:rPr>
          <w:rFonts w:eastAsia="Times New Roman" w:cs="Times New Roman"/>
          <w:szCs w:val="21"/>
          <w:lang w:val="en-AU"/>
        </w:rPr>
      </w:pPr>
      <w:r w:rsidRPr="008357D3">
        <w:rPr>
          <w:rFonts w:eastAsia="Times New Roman" w:cs="Times New Roman"/>
          <w:szCs w:val="21"/>
          <w:lang w:val="en-AU"/>
        </w:rPr>
        <w:t xml:space="preserve">Key commitments </w:t>
      </w:r>
      <w:r>
        <w:rPr>
          <w:rFonts w:eastAsia="Times New Roman" w:cs="Times New Roman"/>
          <w:szCs w:val="21"/>
          <w:lang w:val="en-AU"/>
        </w:rPr>
        <w:t>to localisation</w:t>
      </w:r>
      <w:r w:rsidRPr="008357D3">
        <w:rPr>
          <w:rFonts w:eastAsia="Times New Roman" w:cs="Times New Roman"/>
          <w:szCs w:val="21"/>
          <w:lang w:val="en-AU"/>
        </w:rPr>
        <w:t xml:space="preserve"> include:</w:t>
      </w:r>
    </w:p>
    <w:p w14:paraId="58F29F61" w14:textId="77777777" w:rsidR="000B26B5" w:rsidRPr="008357D3" w:rsidRDefault="000B26B5" w:rsidP="00D3558F">
      <w:pPr>
        <w:numPr>
          <w:ilvl w:val="0"/>
          <w:numId w:val="24"/>
        </w:numPr>
        <w:suppressAutoHyphens w:val="0"/>
        <w:spacing w:before="0" w:after="160" w:line="259" w:lineRule="auto"/>
        <w:ind w:left="714" w:hanging="357"/>
        <w:rPr>
          <w:rFonts w:eastAsia="Times New Roman" w:cs="Times New Roman"/>
          <w:szCs w:val="21"/>
          <w:lang w:val="en-AU"/>
        </w:rPr>
      </w:pPr>
      <w:r w:rsidRPr="008357D3">
        <w:rPr>
          <w:rFonts w:eastAsia="Times New Roman" w:cs="Times New Roman"/>
          <w:szCs w:val="21"/>
          <w:lang w:val="en-AU"/>
        </w:rPr>
        <w:t>Embedding local actors</w:t>
      </w:r>
      <w:r>
        <w:rPr>
          <w:rFonts w:eastAsia="Times New Roman" w:cs="Times New Roman"/>
          <w:szCs w:val="21"/>
          <w:lang w:val="en-AU"/>
        </w:rPr>
        <w:t xml:space="preserve">, </w:t>
      </w:r>
      <w:r w:rsidRPr="008357D3">
        <w:rPr>
          <w:rFonts w:eastAsia="Times New Roman" w:cs="Times New Roman"/>
          <w:szCs w:val="21"/>
          <w:lang w:val="en-AU"/>
        </w:rPr>
        <w:t>such as CSOs, WROs, OPDs</w:t>
      </w:r>
      <w:r>
        <w:rPr>
          <w:rFonts w:eastAsia="Times New Roman" w:cs="Times New Roman"/>
          <w:szCs w:val="21"/>
          <w:lang w:val="en-AU"/>
        </w:rPr>
        <w:t xml:space="preserve"> and</w:t>
      </w:r>
      <w:r w:rsidRPr="008357D3">
        <w:rPr>
          <w:rFonts w:eastAsia="Times New Roman" w:cs="Times New Roman"/>
          <w:szCs w:val="21"/>
          <w:lang w:val="en-AU"/>
        </w:rPr>
        <w:t xml:space="preserve"> youth organisations, into core governance and advisory structures, including the </w:t>
      </w:r>
      <w:r>
        <w:rPr>
          <w:rFonts w:eastAsia="Times New Roman" w:cs="Times New Roman"/>
          <w:szCs w:val="21"/>
          <w:lang w:val="en-AU"/>
        </w:rPr>
        <w:t>CSP</w:t>
      </w:r>
      <w:r w:rsidRPr="008357D3">
        <w:rPr>
          <w:rFonts w:eastAsia="Times New Roman" w:cs="Times New Roman"/>
          <w:szCs w:val="21"/>
          <w:lang w:val="en-AU"/>
        </w:rPr>
        <w:t xml:space="preserve"> and multi-stakeholder policy dialogue mechanisms</w:t>
      </w:r>
      <w:r>
        <w:rPr>
          <w:rFonts w:eastAsia="Times New Roman" w:cs="Times New Roman"/>
          <w:szCs w:val="21"/>
          <w:lang w:val="en-AU"/>
        </w:rPr>
        <w:t xml:space="preserve"> to ensure </w:t>
      </w:r>
      <w:r w:rsidRPr="009B2AD5">
        <w:rPr>
          <w:rFonts w:eastAsia="Times New Roman" w:cs="Times New Roman"/>
          <w:szCs w:val="21"/>
        </w:rPr>
        <w:t>decision-making reflects diverse civic voices and strengthens legitimacy</w:t>
      </w:r>
      <w:r>
        <w:rPr>
          <w:rFonts w:eastAsia="Times New Roman" w:cs="Times New Roman"/>
          <w:szCs w:val="21"/>
        </w:rPr>
        <w:t>.</w:t>
      </w:r>
    </w:p>
    <w:p w14:paraId="6ED9203B" w14:textId="77777777" w:rsidR="000B26B5" w:rsidRPr="008357D3" w:rsidRDefault="000B26B5" w:rsidP="00D3558F">
      <w:pPr>
        <w:numPr>
          <w:ilvl w:val="0"/>
          <w:numId w:val="24"/>
        </w:numPr>
        <w:suppressAutoHyphens w:val="0"/>
        <w:spacing w:before="0" w:after="160" w:line="259" w:lineRule="auto"/>
        <w:ind w:left="714" w:hanging="357"/>
        <w:rPr>
          <w:rFonts w:eastAsia="Times New Roman" w:cs="Times New Roman"/>
          <w:szCs w:val="21"/>
          <w:lang w:val="en-AU"/>
        </w:rPr>
      </w:pPr>
      <w:r w:rsidRPr="008357D3">
        <w:rPr>
          <w:rFonts w:eastAsia="Times New Roman" w:cs="Times New Roman"/>
          <w:szCs w:val="21"/>
          <w:lang w:val="en-AU"/>
        </w:rPr>
        <w:t>Designing inclusive, flexible, and accessible grant</w:t>
      </w:r>
      <w:r>
        <w:rPr>
          <w:rFonts w:eastAsia="Times New Roman" w:cs="Times New Roman"/>
          <w:szCs w:val="21"/>
          <w:lang w:val="en-AU"/>
        </w:rPr>
        <w:t xml:space="preserve"> </w:t>
      </w:r>
      <w:r w:rsidRPr="008357D3">
        <w:rPr>
          <w:rFonts w:eastAsia="Times New Roman" w:cs="Times New Roman"/>
          <w:szCs w:val="21"/>
          <w:lang w:val="en-AU"/>
        </w:rPr>
        <w:t>making approaches that reduce compliance barriers and support direct funding for diverse local actors, including emerging groups and informal networks</w:t>
      </w:r>
      <w:r>
        <w:rPr>
          <w:rFonts w:eastAsia="Times New Roman" w:cs="Times New Roman"/>
          <w:szCs w:val="21"/>
          <w:lang w:val="en-AU"/>
        </w:rPr>
        <w:t xml:space="preserve"> to build resilience at the community level.</w:t>
      </w:r>
    </w:p>
    <w:p w14:paraId="1AB66907" w14:textId="77777777" w:rsidR="000B26B5" w:rsidRPr="008357D3" w:rsidRDefault="000B26B5" w:rsidP="00D3558F">
      <w:pPr>
        <w:numPr>
          <w:ilvl w:val="0"/>
          <w:numId w:val="24"/>
        </w:numPr>
        <w:suppressAutoHyphens w:val="0"/>
        <w:spacing w:before="0" w:after="160" w:line="259" w:lineRule="auto"/>
        <w:ind w:left="714" w:hanging="357"/>
        <w:rPr>
          <w:rFonts w:eastAsia="Times New Roman" w:cs="Times New Roman"/>
          <w:szCs w:val="21"/>
          <w:lang w:val="en-AU"/>
        </w:rPr>
      </w:pPr>
      <w:r w:rsidRPr="008357D3">
        <w:rPr>
          <w:rFonts w:eastAsia="Times New Roman" w:cs="Times New Roman"/>
          <w:szCs w:val="21"/>
          <w:lang w:val="en-AU"/>
        </w:rPr>
        <w:t xml:space="preserve">Developing a Localisation Roadmap during the </w:t>
      </w:r>
      <w:r>
        <w:rPr>
          <w:rFonts w:eastAsia="Times New Roman" w:cs="Times New Roman"/>
          <w:szCs w:val="21"/>
          <w:lang w:val="en-AU"/>
        </w:rPr>
        <w:t>I</w:t>
      </w:r>
      <w:r w:rsidRPr="008357D3">
        <w:rPr>
          <w:rFonts w:eastAsia="Times New Roman" w:cs="Times New Roman"/>
          <w:szCs w:val="21"/>
          <w:lang w:val="en-AU"/>
        </w:rPr>
        <w:t xml:space="preserve">nception </w:t>
      </w:r>
      <w:r>
        <w:rPr>
          <w:rFonts w:eastAsia="Times New Roman" w:cs="Times New Roman"/>
          <w:szCs w:val="21"/>
          <w:lang w:val="en-AU"/>
        </w:rPr>
        <w:t>P</w:t>
      </w:r>
      <w:r w:rsidRPr="008357D3">
        <w:rPr>
          <w:rFonts w:eastAsia="Times New Roman" w:cs="Times New Roman"/>
          <w:szCs w:val="21"/>
          <w:lang w:val="en-AU"/>
        </w:rPr>
        <w:t>hase</w:t>
      </w:r>
      <w:r>
        <w:rPr>
          <w:rFonts w:eastAsia="Times New Roman" w:cs="Times New Roman"/>
          <w:szCs w:val="21"/>
          <w:lang w:val="en-AU"/>
        </w:rPr>
        <w:t xml:space="preserve"> (embedded within the CSP Strategy)</w:t>
      </w:r>
      <w:r w:rsidRPr="008357D3">
        <w:rPr>
          <w:rFonts w:eastAsia="Times New Roman" w:cs="Times New Roman"/>
          <w:szCs w:val="21"/>
          <w:lang w:val="en-AU"/>
        </w:rPr>
        <w:t>, co-designed with partners, to set clear benchmarks for increased local leadership, capacity development, and budget allocation over time</w:t>
      </w:r>
      <w:r>
        <w:rPr>
          <w:rFonts w:eastAsia="Times New Roman" w:cs="Times New Roman"/>
          <w:szCs w:val="21"/>
          <w:lang w:val="en-AU"/>
        </w:rPr>
        <w:t>.</w:t>
      </w:r>
    </w:p>
    <w:p w14:paraId="62E7F31A" w14:textId="77777777" w:rsidR="000B26B5" w:rsidRPr="008357D3" w:rsidRDefault="000B26B5" w:rsidP="00D3558F">
      <w:pPr>
        <w:numPr>
          <w:ilvl w:val="0"/>
          <w:numId w:val="24"/>
        </w:numPr>
        <w:suppressAutoHyphens w:val="0"/>
        <w:spacing w:before="0" w:after="160" w:line="259" w:lineRule="auto"/>
        <w:ind w:left="714" w:hanging="357"/>
        <w:rPr>
          <w:rFonts w:eastAsia="Times New Roman" w:cs="Times New Roman"/>
          <w:szCs w:val="21"/>
          <w:lang w:val="en-AU"/>
        </w:rPr>
      </w:pPr>
      <w:r w:rsidRPr="008357D3">
        <w:rPr>
          <w:rFonts w:eastAsia="Times New Roman" w:cs="Times New Roman"/>
          <w:szCs w:val="21"/>
          <w:lang w:val="en-AU"/>
        </w:rPr>
        <w:t>Ensuring that adaptive learning and outcome</w:t>
      </w:r>
      <w:r>
        <w:rPr>
          <w:rFonts w:eastAsia="Times New Roman" w:cs="Times New Roman"/>
          <w:szCs w:val="21"/>
          <w:lang w:val="en-AU"/>
        </w:rPr>
        <w:t>s</w:t>
      </w:r>
      <w:r w:rsidRPr="008357D3">
        <w:rPr>
          <w:rFonts w:eastAsia="Times New Roman" w:cs="Times New Roman"/>
          <w:szCs w:val="21"/>
          <w:lang w:val="en-AU"/>
        </w:rPr>
        <w:t xml:space="preserve"> monitoring reflect local perspectives, with civil society actors actively shaping and interpreting evidence and lessons learned</w:t>
      </w:r>
      <w:r>
        <w:rPr>
          <w:rFonts w:eastAsia="Times New Roman" w:cs="Times New Roman"/>
          <w:szCs w:val="21"/>
          <w:lang w:val="en-AU"/>
        </w:rPr>
        <w:t>.</w:t>
      </w:r>
    </w:p>
    <w:p w14:paraId="77662A2C" w14:textId="77777777" w:rsidR="000B26B5" w:rsidRDefault="000B26B5" w:rsidP="00D3558F">
      <w:pPr>
        <w:numPr>
          <w:ilvl w:val="0"/>
          <w:numId w:val="24"/>
        </w:numPr>
        <w:suppressAutoHyphens w:val="0"/>
        <w:spacing w:before="0" w:after="160" w:line="259" w:lineRule="auto"/>
        <w:rPr>
          <w:rFonts w:eastAsia="Times New Roman" w:cs="Times New Roman"/>
          <w:szCs w:val="21"/>
          <w:lang w:val="en-AU"/>
        </w:rPr>
      </w:pPr>
      <w:r w:rsidRPr="008357D3">
        <w:rPr>
          <w:rFonts w:eastAsia="Times New Roman" w:cs="Times New Roman"/>
          <w:szCs w:val="21"/>
          <w:lang w:val="en-AU"/>
        </w:rPr>
        <w:t>Supporting peer</w:t>
      </w:r>
      <w:r>
        <w:rPr>
          <w:rFonts w:eastAsia="Times New Roman" w:cs="Times New Roman"/>
          <w:szCs w:val="21"/>
          <w:lang w:val="en-AU"/>
        </w:rPr>
        <w:t xml:space="preserve"> </w:t>
      </w:r>
      <w:r w:rsidRPr="008357D3">
        <w:rPr>
          <w:rFonts w:eastAsia="Times New Roman" w:cs="Times New Roman"/>
          <w:szCs w:val="21"/>
          <w:lang w:val="en-AU"/>
        </w:rPr>
        <w:t>learning platforms that elevate local democratic innovation and build linkages between Indonesian civic actors and regional counterparts.</w:t>
      </w:r>
    </w:p>
    <w:p w14:paraId="534F904F" w14:textId="77777777" w:rsidR="00902F90" w:rsidRPr="003F030D" w:rsidRDefault="00902F90" w:rsidP="00902F90">
      <w:pPr>
        <w:tabs>
          <w:tab w:val="left" w:pos="284"/>
        </w:tabs>
        <w:suppressAutoHyphens w:val="0"/>
        <w:spacing w:before="0" w:line="280" w:lineRule="exact"/>
        <w:rPr>
          <w:rFonts w:eastAsia="Times New Roman" w:cs="Times New Roman"/>
          <w:iCs/>
          <w:szCs w:val="21"/>
          <w:lang w:val="en-AU"/>
        </w:rPr>
      </w:pPr>
      <w:r w:rsidRPr="003F030D">
        <w:rPr>
          <w:rFonts w:eastAsia="Times New Roman" w:cs="Times New Roman"/>
          <w:iCs/>
          <w:szCs w:val="21"/>
          <w:lang w:val="en-AU"/>
        </w:rPr>
        <w:lastRenderedPageBreak/>
        <w:t>The Localisation Roadmap will provide time-bound benchmarks for transitioning leadership, systems, and decision-making to Indonesian institutions and CSOs. It will include:</w:t>
      </w:r>
    </w:p>
    <w:p w14:paraId="2E5FF85F" w14:textId="77777777" w:rsidR="00902F90" w:rsidRPr="003F030D" w:rsidRDefault="00902F90" w:rsidP="00504B06">
      <w:pPr>
        <w:numPr>
          <w:ilvl w:val="0"/>
          <w:numId w:val="90"/>
        </w:numPr>
        <w:tabs>
          <w:tab w:val="left" w:pos="284"/>
        </w:tabs>
        <w:suppressAutoHyphens w:val="0"/>
        <w:spacing w:before="0" w:line="280" w:lineRule="exact"/>
        <w:rPr>
          <w:rFonts w:eastAsia="Times New Roman" w:cs="Times New Roman"/>
          <w:iCs/>
          <w:szCs w:val="21"/>
          <w:lang w:val="en-AU"/>
        </w:rPr>
      </w:pPr>
      <w:r w:rsidRPr="003F030D">
        <w:rPr>
          <w:rFonts w:eastAsia="Times New Roman" w:cs="Times New Roman"/>
          <w:b/>
          <w:bCs/>
          <w:iCs/>
          <w:szCs w:val="21"/>
          <w:lang w:val="en-AU"/>
        </w:rPr>
        <w:t>Governance and Leadership</w:t>
      </w:r>
    </w:p>
    <w:p w14:paraId="31436890" w14:textId="1719C488" w:rsidR="00B4723C" w:rsidRPr="00B4723C" w:rsidRDefault="00902F90" w:rsidP="00504B06">
      <w:pPr>
        <w:numPr>
          <w:ilvl w:val="1"/>
          <w:numId w:val="90"/>
        </w:numPr>
        <w:tabs>
          <w:tab w:val="left" w:pos="284"/>
        </w:tabs>
        <w:suppressAutoHyphens w:val="0"/>
        <w:spacing w:before="0" w:line="280" w:lineRule="exact"/>
        <w:rPr>
          <w:rFonts w:eastAsia="Times New Roman" w:cs="Times New Roman"/>
          <w:lang w:val="en-AU"/>
        </w:rPr>
      </w:pPr>
      <w:r w:rsidRPr="003F030D">
        <w:rPr>
          <w:rFonts w:eastAsia="Times New Roman" w:cs="Times New Roman"/>
          <w:iCs/>
          <w:szCs w:val="21"/>
          <w:lang w:val="en-AU"/>
        </w:rPr>
        <w:t xml:space="preserve">Indonesian </w:t>
      </w:r>
      <w:r w:rsidR="00194351">
        <w:rPr>
          <w:rFonts w:eastAsia="Times New Roman" w:cs="Times New Roman"/>
          <w:iCs/>
          <w:szCs w:val="21"/>
          <w:lang w:val="en-AU"/>
        </w:rPr>
        <w:t>as PSU Manager</w:t>
      </w:r>
      <w:r w:rsidR="0066721E">
        <w:rPr>
          <w:rFonts w:eastAsia="Times New Roman" w:cs="Times New Roman"/>
          <w:iCs/>
          <w:szCs w:val="21"/>
          <w:lang w:val="en-AU"/>
        </w:rPr>
        <w:t xml:space="preserve"> and leading </w:t>
      </w:r>
      <w:proofErr w:type="spellStart"/>
      <w:r w:rsidR="0066721E">
        <w:rPr>
          <w:rFonts w:eastAsia="Times New Roman" w:cs="Times New Roman"/>
          <w:iCs/>
          <w:szCs w:val="21"/>
          <w:lang w:val="en-AU"/>
        </w:rPr>
        <w:t>Partisipasi</w:t>
      </w:r>
      <w:proofErr w:type="spellEnd"/>
      <w:r w:rsidR="0066721E">
        <w:rPr>
          <w:rFonts w:eastAsia="Times New Roman" w:cs="Times New Roman"/>
          <w:iCs/>
          <w:szCs w:val="21"/>
          <w:lang w:val="en-AU"/>
        </w:rPr>
        <w:t xml:space="preserve"> convenor team, where possible (and if not, transitioning to Indonesian leadership by Years 3-4). </w:t>
      </w:r>
    </w:p>
    <w:p w14:paraId="40B8E832" w14:textId="77777777" w:rsidR="00902F90" w:rsidRPr="003F030D" w:rsidRDefault="00902F90" w:rsidP="00504B06">
      <w:pPr>
        <w:numPr>
          <w:ilvl w:val="0"/>
          <w:numId w:val="90"/>
        </w:numPr>
        <w:tabs>
          <w:tab w:val="left" w:pos="284"/>
        </w:tabs>
        <w:suppressAutoHyphens w:val="0"/>
        <w:spacing w:before="0" w:line="280" w:lineRule="exact"/>
        <w:rPr>
          <w:rFonts w:eastAsia="Times New Roman" w:cs="Times New Roman"/>
          <w:iCs/>
          <w:szCs w:val="21"/>
          <w:lang w:val="en-AU"/>
        </w:rPr>
      </w:pPr>
      <w:r w:rsidRPr="003F030D">
        <w:rPr>
          <w:rFonts w:eastAsia="Times New Roman" w:cs="Times New Roman"/>
          <w:b/>
          <w:bCs/>
          <w:iCs/>
          <w:szCs w:val="21"/>
          <w:lang w:val="en-AU"/>
        </w:rPr>
        <w:t>Institutional Power-Sharing</w:t>
      </w:r>
    </w:p>
    <w:p w14:paraId="10B09225" w14:textId="40C7FE52" w:rsidR="00902F90" w:rsidRPr="003F030D" w:rsidRDefault="008A61F5" w:rsidP="00504B06">
      <w:pPr>
        <w:numPr>
          <w:ilvl w:val="1"/>
          <w:numId w:val="90"/>
        </w:numPr>
        <w:tabs>
          <w:tab w:val="left" w:pos="284"/>
        </w:tabs>
        <w:suppressAutoHyphens w:val="0"/>
        <w:spacing w:before="0" w:line="280" w:lineRule="exact"/>
        <w:rPr>
          <w:rFonts w:eastAsia="Times New Roman" w:cs="Times New Roman"/>
          <w:iCs/>
          <w:szCs w:val="21"/>
          <w:lang w:val="en-AU"/>
        </w:rPr>
      </w:pPr>
      <w:r>
        <w:rPr>
          <w:rFonts w:eastAsia="Times New Roman" w:cs="Times New Roman"/>
          <w:iCs/>
          <w:szCs w:val="21"/>
          <w:lang w:val="en-AU"/>
        </w:rPr>
        <w:t xml:space="preserve">CSP </w:t>
      </w:r>
      <w:r w:rsidR="00902F90" w:rsidRPr="003F030D">
        <w:rPr>
          <w:rFonts w:eastAsia="Times New Roman" w:cs="Times New Roman"/>
          <w:iCs/>
          <w:szCs w:val="21"/>
          <w:lang w:val="en-AU"/>
        </w:rPr>
        <w:t>Core Group co-management of grants, MEL, adaptation, and safeguarding</w:t>
      </w:r>
    </w:p>
    <w:p w14:paraId="60E34FF5" w14:textId="77777777" w:rsidR="00902F90" w:rsidRPr="003F030D" w:rsidRDefault="00902F90" w:rsidP="00504B06">
      <w:pPr>
        <w:numPr>
          <w:ilvl w:val="1"/>
          <w:numId w:val="90"/>
        </w:numPr>
        <w:tabs>
          <w:tab w:val="left" w:pos="284"/>
        </w:tabs>
        <w:suppressAutoHyphens w:val="0"/>
        <w:spacing w:before="0" w:line="280" w:lineRule="exact"/>
        <w:rPr>
          <w:rFonts w:eastAsia="Times New Roman" w:cs="Times New Roman"/>
          <w:iCs/>
          <w:szCs w:val="21"/>
          <w:lang w:val="en-AU"/>
        </w:rPr>
      </w:pPr>
      <w:r w:rsidRPr="003F030D">
        <w:rPr>
          <w:rFonts w:eastAsia="Times New Roman" w:cs="Times New Roman"/>
          <w:iCs/>
          <w:szCs w:val="21"/>
          <w:lang w:val="en-AU"/>
        </w:rPr>
        <w:t>Advisory and governance bodies include CSOs, OPDs, WROs, youth platforms, and independent media—with funded participation to avoid unpaid labour</w:t>
      </w:r>
    </w:p>
    <w:p w14:paraId="0B7F64E4" w14:textId="77777777" w:rsidR="00902F90" w:rsidRPr="003F030D" w:rsidRDefault="00902F90" w:rsidP="00504B06">
      <w:pPr>
        <w:numPr>
          <w:ilvl w:val="0"/>
          <w:numId w:val="90"/>
        </w:numPr>
        <w:tabs>
          <w:tab w:val="left" w:pos="284"/>
        </w:tabs>
        <w:suppressAutoHyphens w:val="0"/>
        <w:spacing w:before="0" w:line="280" w:lineRule="exact"/>
        <w:rPr>
          <w:rFonts w:eastAsia="Times New Roman" w:cs="Times New Roman"/>
          <w:iCs/>
          <w:szCs w:val="21"/>
          <w:lang w:val="en-AU"/>
        </w:rPr>
      </w:pPr>
      <w:r w:rsidRPr="003F030D">
        <w:rPr>
          <w:rFonts w:eastAsia="Times New Roman" w:cs="Times New Roman"/>
          <w:b/>
          <w:bCs/>
          <w:iCs/>
          <w:szCs w:val="21"/>
          <w:lang w:val="en-AU"/>
        </w:rPr>
        <w:t>Workforce Localisation</w:t>
      </w:r>
    </w:p>
    <w:p w14:paraId="314E2E1C" w14:textId="77777777" w:rsidR="00902F90" w:rsidRPr="003F030D" w:rsidRDefault="00902F90" w:rsidP="00504B06">
      <w:pPr>
        <w:numPr>
          <w:ilvl w:val="1"/>
          <w:numId w:val="90"/>
        </w:numPr>
        <w:tabs>
          <w:tab w:val="left" w:pos="284"/>
        </w:tabs>
        <w:suppressAutoHyphens w:val="0"/>
        <w:spacing w:before="0" w:line="280" w:lineRule="exact"/>
        <w:rPr>
          <w:rFonts w:eastAsia="Times New Roman" w:cs="Times New Roman"/>
          <w:iCs/>
          <w:szCs w:val="21"/>
          <w:lang w:val="en-AU"/>
        </w:rPr>
      </w:pPr>
      <w:r w:rsidRPr="003F030D">
        <w:rPr>
          <w:rFonts w:eastAsia="Times New Roman" w:cs="Times New Roman"/>
          <w:iCs/>
          <w:szCs w:val="21"/>
          <w:lang w:val="en-AU"/>
        </w:rPr>
        <w:t>Staffing targets for Indonesian technical and operational positions</w:t>
      </w:r>
    </w:p>
    <w:p w14:paraId="1F4BB341" w14:textId="77777777" w:rsidR="00902F90" w:rsidRPr="003F030D" w:rsidRDefault="00902F90" w:rsidP="00504B06">
      <w:pPr>
        <w:numPr>
          <w:ilvl w:val="1"/>
          <w:numId w:val="90"/>
        </w:numPr>
        <w:tabs>
          <w:tab w:val="left" w:pos="284"/>
        </w:tabs>
        <w:suppressAutoHyphens w:val="0"/>
        <w:spacing w:before="0" w:line="280" w:lineRule="exact"/>
        <w:rPr>
          <w:rFonts w:eastAsia="Times New Roman" w:cs="Times New Roman"/>
          <w:iCs/>
          <w:szCs w:val="21"/>
          <w:lang w:val="en-AU"/>
        </w:rPr>
      </w:pPr>
      <w:r w:rsidRPr="003F030D">
        <w:rPr>
          <w:rFonts w:eastAsia="Times New Roman" w:cs="Times New Roman"/>
          <w:iCs/>
          <w:szCs w:val="21"/>
          <w:lang w:val="en-AU"/>
        </w:rPr>
        <w:t>Scholarships, exchanges, and peer learning to build national expertise</w:t>
      </w:r>
    </w:p>
    <w:p w14:paraId="3628783D" w14:textId="77777777" w:rsidR="00902F90" w:rsidRPr="003F030D" w:rsidRDefault="00902F90" w:rsidP="00504B06">
      <w:pPr>
        <w:numPr>
          <w:ilvl w:val="0"/>
          <w:numId w:val="90"/>
        </w:numPr>
        <w:tabs>
          <w:tab w:val="left" w:pos="284"/>
        </w:tabs>
        <w:suppressAutoHyphens w:val="0"/>
        <w:spacing w:before="0" w:line="280" w:lineRule="exact"/>
        <w:rPr>
          <w:rFonts w:eastAsia="Times New Roman" w:cs="Times New Roman"/>
          <w:iCs/>
          <w:szCs w:val="21"/>
          <w:lang w:val="en-AU"/>
        </w:rPr>
      </w:pPr>
      <w:r w:rsidRPr="003F030D">
        <w:rPr>
          <w:rFonts w:eastAsia="Times New Roman" w:cs="Times New Roman"/>
          <w:b/>
          <w:bCs/>
          <w:iCs/>
          <w:szCs w:val="21"/>
          <w:lang w:val="en-AU"/>
        </w:rPr>
        <w:t>Systems &amp; Financial Localisation</w:t>
      </w:r>
    </w:p>
    <w:p w14:paraId="49999BC5" w14:textId="4AAF7418" w:rsidR="00902F90" w:rsidRPr="003F030D" w:rsidRDefault="00902F90" w:rsidP="00504B06">
      <w:pPr>
        <w:numPr>
          <w:ilvl w:val="1"/>
          <w:numId w:val="90"/>
        </w:numPr>
        <w:tabs>
          <w:tab w:val="left" w:pos="284"/>
        </w:tabs>
        <w:suppressAutoHyphens w:val="0"/>
        <w:spacing w:before="0" w:line="280" w:lineRule="exact"/>
        <w:rPr>
          <w:rFonts w:eastAsia="Times New Roman" w:cs="Times New Roman"/>
          <w:lang w:val="en-AU"/>
        </w:rPr>
      </w:pPr>
      <w:r w:rsidRPr="3AB7C50E">
        <w:rPr>
          <w:rFonts w:eastAsia="Times New Roman" w:cs="Times New Roman"/>
          <w:lang w:val="en-AU"/>
        </w:rPr>
        <w:t>Gradual transfer of fund management, procurement, due diligence, and risk management to Indonesian entities</w:t>
      </w:r>
    </w:p>
    <w:p w14:paraId="18572C75" w14:textId="52955073" w:rsidR="00902F90" w:rsidRPr="003F030D" w:rsidRDefault="00902F90" w:rsidP="00504B06">
      <w:pPr>
        <w:numPr>
          <w:ilvl w:val="1"/>
          <w:numId w:val="90"/>
        </w:numPr>
        <w:tabs>
          <w:tab w:val="left" w:pos="284"/>
        </w:tabs>
        <w:suppressAutoHyphens w:val="0"/>
        <w:spacing w:before="0" w:line="280" w:lineRule="exact"/>
        <w:rPr>
          <w:rFonts w:eastAsia="Times New Roman" w:cs="Times New Roman"/>
          <w:lang w:val="en-AU"/>
        </w:rPr>
      </w:pPr>
      <w:r w:rsidRPr="3AB7C50E">
        <w:rPr>
          <w:rFonts w:eastAsia="Times New Roman" w:cs="Times New Roman"/>
          <w:lang w:val="en-AU"/>
        </w:rPr>
        <w:t xml:space="preserve">Domestic resource mobilisation strategies and engagement with </w:t>
      </w:r>
      <w:r w:rsidR="007258EC">
        <w:rPr>
          <w:rFonts w:eastAsia="Times New Roman" w:cs="Times New Roman"/>
          <w:lang w:val="en-AU"/>
        </w:rPr>
        <w:t>partners in national and l</w:t>
      </w:r>
      <w:r w:rsidRPr="3AB7C50E">
        <w:rPr>
          <w:rFonts w:eastAsia="Times New Roman" w:cs="Times New Roman"/>
          <w:lang w:val="en-AU"/>
        </w:rPr>
        <w:t>ocal governments</w:t>
      </w:r>
      <w:r w:rsidR="007258EC">
        <w:rPr>
          <w:rFonts w:eastAsia="Times New Roman" w:cs="Times New Roman"/>
          <w:lang w:val="en-AU"/>
        </w:rPr>
        <w:t>.</w:t>
      </w:r>
    </w:p>
    <w:p w14:paraId="0DCBC334" w14:textId="77777777" w:rsidR="00902F90" w:rsidRDefault="00902F90" w:rsidP="00902F90">
      <w:pPr>
        <w:tabs>
          <w:tab w:val="left" w:pos="284"/>
        </w:tabs>
        <w:suppressAutoHyphens w:val="0"/>
        <w:spacing w:before="0" w:line="280" w:lineRule="exact"/>
        <w:rPr>
          <w:rFonts w:asciiTheme="majorHAnsi" w:eastAsiaTheme="majorEastAsia" w:hAnsiTheme="majorHAnsi" w:cstheme="majorBidi"/>
          <w:caps/>
          <w:sz w:val="28"/>
          <w:szCs w:val="26"/>
          <w:lang w:val="en-AU"/>
        </w:rPr>
      </w:pPr>
      <w:r>
        <w:br w:type="page"/>
      </w:r>
    </w:p>
    <w:p w14:paraId="3575D8E8" w14:textId="44EE51F0" w:rsidR="00902F90" w:rsidRPr="00714683" w:rsidRDefault="00902F90" w:rsidP="00902F90">
      <w:pPr>
        <w:pStyle w:val="Heading2"/>
      </w:pPr>
      <w:bookmarkStart w:id="333" w:name="_Annex_P:_Indicative"/>
      <w:bookmarkStart w:id="334" w:name="_Annex_Q:_Risk"/>
      <w:bookmarkStart w:id="335" w:name="_Toc232524306"/>
      <w:bookmarkEnd w:id="332"/>
      <w:bookmarkEnd w:id="333"/>
      <w:bookmarkEnd w:id="334"/>
      <w:r w:rsidRPr="00714683">
        <w:lastRenderedPageBreak/>
        <w:t>A</w:t>
      </w:r>
      <w:r>
        <w:t>nnex</w:t>
      </w:r>
      <w:r w:rsidRPr="00714683">
        <w:t xml:space="preserve"> </w:t>
      </w:r>
      <w:r w:rsidR="00621448">
        <w:t>K</w:t>
      </w:r>
      <w:r w:rsidRPr="00714683">
        <w:t>: Key Definitions</w:t>
      </w:r>
      <w:bookmarkEnd w:id="335"/>
    </w:p>
    <w:p w14:paraId="050F1AC5" w14:textId="77777777" w:rsidR="00902F90" w:rsidRPr="00C14B58" w:rsidRDefault="00902F90" w:rsidP="00902F90">
      <w:pPr>
        <w:rPr>
          <w:lang w:val="en-AU"/>
        </w:rPr>
      </w:pPr>
      <w:r w:rsidRPr="00C14B58">
        <w:rPr>
          <w:lang w:val="en-AU"/>
        </w:rPr>
        <w:t xml:space="preserve">This annex provides working definitions for terms used in the </w:t>
      </w:r>
      <w:proofErr w:type="spellStart"/>
      <w:r w:rsidRPr="00D84A7F">
        <w:rPr>
          <w:iCs/>
          <w:lang w:val="en-AU"/>
        </w:rPr>
        <w:t>Partisipasi</w:t>
      </w:r>
      <w:proofErr w:type="spellEnd"/>
      <w:r w:rsidRPr="00C14B58">
        <w:rPr>
          <w:lang w:val="en-AU"/>
        </w:rPr>
        <w:t xml:space="preserve"> program. Definitions are drawn from international standards</w:t>
      </w:r>
      <w:r>
        <w:rPr>
          <w:lang w:val="en-AU"/>
        </w:rPr>
        <w:t xml:space="preserve"> </w:t>
      </w:r>
      <w:r w:rsidRPr="00C14B58">
        <w:rPr>
          <w:lang w:val="en-AU"/>
        </w:rPr>
        <w:t>and global research on democratic governance, civil society, and inclusion.</w:t>
      </w:r>
    </w:p>
    <w:p w14:paraId="2F82ACEB" w14:textId="77777777" w:rsidR="00902F90" w:rsidRPr="00C14B58" w:rsidRDefault="00902F90" w:rsidP="00902F90">
      <w:pPr>
        <w:rPr>
          <w:lang w:val="en-AU"/>
        </w:rPr>
      </w:pPr>
      <w:r w:rsidRPr="00714683">
        <w:rPr>
          <w:rStyle w:val="Heading5Char"/>
        </w:rPr>
        <w:t>Democracy</w:t>
      </w:r>
      <w:r w:rsidRPr="00C14B58">
        <w:rPr>
          <w:lang w:val="en-AU"/>
        </w:rPr>
        <w:br/>
        <w:t>A system of governance in which power is vested in the people and exercised through institutions, norms, and processes that guarantee participation, representation, accountability, and respect for fundamental freedoms (UNDP, 2020; Diamond, 2021).</w:t>
      </w:r>
    </w:p>
    <w:p w14:paraId="4330736F" w14:textId="77777777" w:rsidR="00902F90" w:rsidRPr="00C14B58" w:rsidRDefault="00902F90" w:rsidP="00902F90">
      <w:pPr>
        <w:rPr>
          <w:lang w:val="en-AU"/>
        </w:rPr>
      </w:pPr>
      <w:r w:rsidRPr="00714683">
        <w:rPr>
          <w:rStyle w:val="Heading5Char"/>
        </w:rPr>
        <w:t>Democratic Resilience</w:t>
      </w:r>
      <w:r w:rsidRPr="00C14B58">
        <w:rPr>
          <w:lang w:val="en-AU"/>
        </w:rPr>
        <w:br/>
        <w:t>The capacity of democratic institutions, actors, and norms to withstand pressures—including authoritarian tendencies, polarisation, corruption, and disinformation—while continuing to function inclusively, transparently, and accountably. Resilience involves adaptation and sustained citizen engagement (OECD, 2022; V-Dem, 2023).</w:t>
      </w:r>
    </w:p>
    <w:p w14:paraId="34C94EC7" w14:textId="5FBB04A7" w:rsidR="00902F90" w:rsidRPr="00C14B58" w:rsidRDefault="00902F90" w:rsidP="00902F90">
      <w:pPr>
        <w:rPr>
          <w:lang w:val="en-AU"/>
        </w:rPr>
      </w:pPr>
      <w:r w:rsidRPr="00714683">
        <w:rPr>
          <w:rStyle w:val="Heading5Char"/>
        </w:rPr>
        <w:t>Inclusive Governance</w:t>
      </w:r>
      <w:r w:rsidRPr="00C14B58">
        <w:rPr>
          <w:lang w:val="en-AU"/>
        </w:rPr>
        <w:br/>
        <w:t>Decision-making processes and institutional arrangements that actively enable participation by all groups, including women, youth</w:t>
      </w:r>
      <w:r w:rsidR="0034493F">
        <w:rPr>
          <w:lang w:val="en-AU"/>
        </w:rPr>
        <w:t>s</w:t>
      </w:r>
      <w:r w:rsidRPr="00C14B58">
        <w:rPr>
          <w:lang w:val="en-AU"/>
        </w:rPr>
        <w:t xml:space="preserve">, </w:t>
      </w:r>
      <w:r w:rsidR="0034493F">
        <w:rPr>
          <w:lang w:val="en-AU"/>
        </w:rPr>
        <w:t>people</w:t>
      </w:r>
      <w:r w:rsidR="0034493F" w:rsidRPr="00C14B58">
        <w:rPr>
          <w:lang w:val="en-AU"/>
        </w:rPr>
        <w:t xml:space="preserve"> </w:t>
      </w:r>
      <w:r w:rsidRPr="00C14B58">
        <w:rPr>
          <w:lang w:val="en-AU"/>
        </w:rPr>
        <w:t>with disabilities, and minority communities (UNDESA, 2019). Inclusive governance ensures diverse voices influence policy, oversight, and service delivery.</w:t>
      </w:r>
    </w:p>
    <w:p w14:paraId="29DFFFE3" w14:textId="77777777" w:rsidR="00902F90" w:rsidRDefault="00902F90" w:rsidP="00902F90">
      <w:pPr>
        <w:rPr>
          <w:lang w:val="en-AU"/>
        </w:rPr>
      </w:pPr>
      <w:r w:rsidRPr="00714683">
        <w:rPr>
          <w:rStyle w:val="Heading5Char"/>
        </w:rPr>
        <w:t>Civil Society</w:t>
      </w:r>
      <w:r w:rsidRPr="00C14B58">
        <w:rPr>
          <w:lang w:val="en-AU"/>
        </w:rPr>
        <w:br/>
        <w:t>The sphere of collective action outside the state and market, encompassing registered and informal organisations, networks, and associations that advocate for accountability, inclusion, and democratic participation (World Bank, 2019; CIVICUS, 2023).</w:t>
      </w:r>
    </w:p>
    <w:p w14:paraId="116867E8" w14:textId="77777777" w:rsidR="00902F90" w:rsidRPr="00C14B58" w:rsidRDefault="00902F90" w:rsidP="00902F90">
      <w:pPr>
        <w:rPr>
          <w:lang w:val="en-AU"/>
        </w:rPr>
      </w:pPr>
      <w:r w:rsidRPr="00714683">
        <w:rPr>
          <w:rStyle w:val="Heading5Char"/>
        </w:rPr>
        <w:t>Civil Society Resilience</w:t>
      </w:r>
      <w:r w:rsidRPr="00A775A6">
        <w:br/>
        <w:t>The capacity of civil society actors—both formal and informal—to sustain advocacy, representation, and accountability efforts in the face of political, social, economic, or digital pressures. Resilient civil society maintains operational continuity, adapts strategies to changing contexts, protects civic space, and continues to engage citizens, even under restrictive or high-risk conditions (CIVICUS, 2023; OECD, 2022; UNDP, 2020).</w:t>
      </w:r>
    </w:p>
    <w:p w14:paraId="6D66EAD9" w14:textId="77777777" w:rsidR="00902F90" w:rsidRPr="00C14B58" w:rsidRDefault="00902F90" w:rsidP="00902F90">
      <w:pPr>
        <w:rPr>
          <w:lang w:val="en-AU"/>
        </w:rPr>
      </w:pPr>
      <w:r w:rsidRPr="00714683">
        <w:rPr>
          <w:rStyle w:val="Heading5Char"/>
        </w:rPr>
        <w:t>Pluralism</w:t>
      </w:r>
      <w:r w:rsidRPr="00C14B58">
        <w:rPr>
          <w:lang w:val="en-AU"/>
        </w:rPr>
        <w:br/>
        <w:t>A democratic principle and practice in which diverse political, social, cultural, and religious groups coexist, express views freely, and participate in public life. Pluralism supports tolerance, dialogue, and respect for difference (Diamond &amp; Plattner, 2020; UNDP, 2020).</w:t>
      </w:r>
    </w:p>
    <w:p w14:paraId="204C702F" w14:textId="24AE6405" w:rsidR="00902F90" w:rsidRPr="00C14B58" w:rsidRDefault="00902F90" w:rsidP="00902F90">
      <w:pPr>
        <w:rPr>
          <w:lang w:val="en-AU"/>
        </w:rPr>
      </w:pPr>
      <w:r w:rsidRPr="00714683">
        <w:rPr>
          <w:rStyle w:val="Heading5Char"/>
        </w:rPr>
        <w:t>Electoral Integrity</w:t>
      </w:r>
      <w:r w:rsidRPr="00C14B58">
        <w:rPr>
          <w:lang w:val="en-AU"/>
        </w:rPr>
        <w:br/>
        <w:t>The adherence of electoral processes to principles of fairness, transparency, inclusivity, and accountability. This includes impartial administration, equal participation rights, credible dispute resolution, and meaningful access for women, youth</w:t>
      </w:r>
      <w:r w:rsidR="0034493F">
        <w:rPr>
          <w:lang w:val="en-AU"/>
        </w:rPr>
        <w:t>s</w:t>
      </w:r>
      <w:r w:rsidRPr="00C14B58">
        <w:rPr>
          <w:lang w:val="en-AU"/>
        </w:rPr>
        <w:t xml:space="preserve">, and </w:t>
      </w:r>
      <w:r w:rsidR="0034493F">
        <w:rPr>
          <w:lang w:val="en-AU"/>
        </w:rPr>
        <w:t>people</w:t>
      </w:r>
      <w:r w:rsidR="0034493F" w:rsidRPr="00C14B58">
        <w:rPr>
          <w:lang w:val="en-AU"/>
        </w:rPr>
        <w:t xml:space="preserve"> </w:t>
      </w:r>
      <w:r w:rsidRPr="00C14B58">
        <w:rPr>
          <w:lang w:val="en-AU"/>
        </w:rPr>
        <w:t>with disabilities (ACE Electoral Knowledge Network, 2023; IFES, 2022).</w:t>
      </w:r>
    </w:p>
    <w:p w14:paraId="2F787D89" w14:textId="77777777" w:rsidR="00902F90" w:rsidRPr="00C14B58" w:rsidRDefault="00902F90" w:rsidP="00902F90">
      <w:pPr>
        <w:rPr>
          <w:lang w:val="en-AU"/>
        </w:rPr>
      </w:pPr>
      <w:r w:rsidRPr="00714683">
        <w:rPr>
          <w:rStyle w:val="Heading5Char"/>
        </w:rPr>
        <w:t>Accountability</w:t>
      </w:r>
      <w:r w:rsidRPr="00C14B58">
        <w:rPr>
          <w:lang w:val="en-AU"/>
        </w:rPr>
        <w:br/>
        <w:t>The obligation of state and non-state actors to justify decisions and actions to the public and to face consequences for non-compliance. Accountability is vertical (citizens to institutions) and horizontal (institutions to each other) (World Bank, 2019).</w:t>
      </w:r>
    </w:p>
    <w:p w14:paraId="3C74CF08" w14:textId="77777777" w:rsidR="00902F90" w:rsidRPr="00C14B58" w:rsidRDefault="00902F90" w:rsidP="00902F90">
      <w:pPr>
        <w:rPr>
          <w:lang w:val="en-AU"/>
        </w:rPr>
      </w:pPr>
      <w:r w:rsidRPr="00714683">
        <w:rPr>
          <w:rStyle w:val="Heading5Char"/>
        </w:rPr>
        <w:t>Civic Participation</w:t>
      </w:r>
      <w:r w:rsidRPr="00C14B58">
        <w:rPr>
          <w:lang w:val="en-AU"/>
        </w:rPr>
        <w:br/>
        <w:t>The active involvement of individuals and groups in shaping public policies, monitoring governance, and influencing social and political processes, including voting, advocacy campaigns, and dialogue with state actors (OECD, 2022; UNDESA, 2019).</w:t>
      </w:r>
    </w:p>
    <w:p w14:paraId="68372CB6" w14:textId="19068050" w:rsidR="00902F90" w:rsidRPr="00C14B58" w:rsidRDefault="00902F90" w:rsidP="00902F90">
      <w:pPr>
        <w:pStyle w:val="Heading5"/>
      </w:pPr>
      <w:r w:rsidRPr="00C14B58">
        <w:t>Disinformation/Misinformation</w:t>
      </w:r>
    </w:p>
    <w:p w14:paraId="27BB34E9" w14:textId="77777777" w:rsidR="00902F90" w:rsidRPr="00714683" w:rsidRDefault="00902F90" w:rsidP="00504B06">
      <w:pPr>
        <w:pStyle w:val="ListParagraph"/>
        <w:numPr>
          <w:ilvl w:val="0"/>
          <w:numId w:val="57"/>
        </w:numPr>
        <w:spacing w:after="120" w:line="240" w:lineRule="auto"/>
        <w:rPr>
          <w:lang w:val="en-AU"/>
        </w:rPr>
      </w:pPr>
      <w:r w:rsidRPr="00C5377B">
        <w:rPr>
          <w:b/>
          <w:bCs/>
          <w:lang w:val="en-AU"/>
        </w:rPr>
        <w:t>Disinformation</w:t>
      </w:r>
      <w:r w:rsidRPr="00714683">
        <w:rPr>
          <w:lang w:val="en-AU"/>
        </w:rPr>
        <w:t>: Deliberately false or misleading information spread to manipulate, deceive, or cause harm.</w:t>
      </w:r>
    </w:p>
    <w:p w14:paraId="53E98C9C" w14:textId="77777777" w:rsidR="00902F90" w:rsidRPr="00714683" w:rsidRDefault="00902F90" w:rsidP="00504B06">
      <w:pPr>
        <w:pStyle w:val="ListParagraph"/>
        <w:numPr>
          <w:ilvl w:val="0"/>
          <w:numId w:val="57"/>
        </w:numPr>
        <w:spacing w:after="120" w:line="240" w:lineRule="auto"/>
        <w:rPr>
          <w:lang w:val="en-AU"/>
        </w:rPr>
      </w:pPr>
      <w:r w:rsidRPr="00C5377B">
        <w:rPr>
          <w:b/>
          <w:bCs/>
          <w:lang w:val="en-AU"/>
        </w:rPr>
        <w:lastRenderedPageBreak/>
        <w:t>Misinformation</w:t>
      </w:r>
      <w:r w:rsidRPr="00714683">
        <w:rPr>
          <w:lang w:val="en-AU"/>
        </w:rPr>
        <w:t>: False or inaccurate information shared without harmful intent.</w:t>
      </w:r>
      <w:r w:rsidRPr="00714683">
        <w:rPr>
          <w:lang w:val="en-AU"/>
        </w:rPr>
        <w:br/>
        <w:t>Both undermine trust in democratic institutions and distort public debate (Wardle &amp; Derakhshan, 2017; OECD, 2022).</w:t>
      </w:r>
    </w:p>
    <w:p w14:paraId="41C41ED4" w14:textId="77777777" w:rsidR="00902F90" w:rsidRDefault="00902F90" w:rsidP="00902F90">
      <w:pPr>
        <w:spacing w:after="0"/>
        <w:rPr>
          <w:rStyle w:val="Heading5Char"/>
        </w:rPr>
      </w:pPr>
      <w:r>
        <w:rPr>
          <w:rStyle w:val="Heading5Char"/>
        </w:rPr>
        <w:t>Voter Suppression</w:t>
      </w:r>
    </w:p>
    <w:p w14:paraId="1BDF82E9" w14:textId="29754C1D" w:rsidR="00902F90" w:rsidRDefault="00902F90" w:rsidP="00902F90">
      <w:pPr>
        <w:rPr>
          <w:rStyle w:val="Heading5Char"/>
        </w:rPr>
      </w:pPr>
      <w:r>
        <w:t xml:space="preserve">A </w:t>
      </w:r>
      <w:r w:rsidRPr="00387952">
        <w:t>deliberate or systemic actions that hinder or discourage eligible citizens from exercising their right to vote. This can include restrictive registration procedures, intimidation, misinformation, logistical barriers, or other practices that disproportionately affect certain groups such as women, youth</w:t>
      </w:r>
      <w:r w:rsidR="0034493F">
        <w:t>s</w:t>
      </w:r>
      <w:r w:rsidRPr="00387952">
        <w:t xml:space="preserve">, or </w:t>
      </w:r>
      <w:r w:rsidR="0034493F">
        <w:t>people</w:t>
      </w:r>
      <w:r w:rsidR="0034493F" w:rsidRPr="00387952">
        <w:t xml:space="preserve"> </w:t>
      </w:r>
      <w:r w:rsidRPr="00387952">
        <w:t>with disabilities</w:t>
      </w:r>
      <w:r>
        <w:t xml:space="preserve"> (Britannica, n.d</w:t>
      </w:r>
      <w:r w:rsidR="00B00E78">
        <w:t>.</w:t>
      </w:r>
      <w:r>
        <w:t>)</w:t>
      </w:r>
      <w:r w:rsidRPr="00387952">
        <w:t>.</w:t>
      </w:r>
    </w:p>
    <w:p w14:paraId="68ADDA97" w14:textId="77777777" w:rsidR="00902F90" w:rsidRPr="00C14B58" w:rsidRDefault="00902F90" w:rsidP="00902F90">
      <w:pPr>
        <w:rPr>
          <w:lang w:val="en-AU"/>
        </w:rPr>
      </w:pPr>
      <w:r w:rsidRPr="00714683">
        <w:rPr>
          <w:rStyle w:val="Heading5Char"/>
        </w:rPr>
        <w:t>Coalition Building</w:t>
      </w:r>
      <w:r w:rsidRPr="00C14B58">
        <w:rPr>
          <w:lang w:val="en-AU"/>
        </w:rPr>
        <w:br/>
        <w:t>The process by which diverse civil society, state, and private sector actors align around common democratic goals to amplify voice, build legitimacy, and sustain reform momentum (Keck &amp; Sikkink, 1998).</w:t>
      </w:r>
    </w:p>
    <w:p w14:paraId="70A7CAAA" w14:textId="77777777" w:rsidR="00902F90" w:rsidRPr="00C14B58" w:rsidRDefault="00902F90" w:rsidP="00902F90">
      <w:pPr>
        <w:rPr>
          <w:lang w:val="en-AU"/>
        </w:rPr>
      </w:pPr>
      <w:r w:rsidRPr="00714683">
        <w:rPr>
          <w:rStyle w:val="Heading5Char"/>
        </w:rPr>
        <w:t>Adaptive Learning</w:t>
      </w:r>
      <w:r w:rsidRPr="00C14B58">
        <w:rPr>
          <w:lang w:val="en-AU"/>
        </w:rPr>
        <w:br/>
        <w:t>A programmatic approach using continuous monitoring, reflection, and feedback to adjust strategies and activities in response to changing political dynamics and civic needs (Ramalingam et al., 2019).</w:t>
      </w:r>
    </w:p>
    <w:p w14:paraId="7016C69A" w14:textId="77777777" w:rsidR="00902F90" w:rsidRPr="00714683" w:rsidRDefault="00902F90" w:rsidP="00902F90">
      <w:pPr>
        <w:pStyle w:val="Heading5"/>
        <w:rPr>
          <w:rStyle w:val="Heading5Char"/>
          <w:b/>
          <w:bCs/>
        </w:rPr>
      </w:pPr>
      <w:r w:rsidRPr="00714683">
        <w:t>References</w:t>
      </w:r>
    </w:p>
    <w:p w14:paraId="34CE030C" w14:textId="77777777" w:rsidR="00902F90" w:rsidRDefault="00902F90" w:rsidP="00902F90">
      <w:pPr>
        <w:rPr>
          <w:lang w:val="en-AU"/>
        </w:rPr>
      </w:pPr>
      <w:r w:rsidRPr="00C14B58">
        <w:rPr>
          <w:lang w:val="en-AU"/>
        </w:rPr>
        <w:t xml:space="preserve">ACE Electoral Knowledge Network. (2023). </w:t>
      </w:r>
      <w:r w:rsidRPr="00C14B58">
        <w:rPr>
          <w:i/>
          <w:iCs/>
          <w:lang w:val="en-AU"/>
        </w:rPr>
        <w:t>Electoral Integrity and Democracy Resources</w:t>
      </w:r>
      <w:r w:rsidRPr="00C14B58">
        <w:rPr>
          <w:lang w:val="en-AU"/>
        </w:rPr>
        <w:t>.</w:t>
      </w:r>
    </w:p>
    <w:p w14:paraId="5E57BBFF" w14:textId="6FEFD8C7" w:rsidR="00902F90" w:rsidRPr="00C14B58" w:rsidRDefault="00902F90" w:rsidP="00902F90">
      <w:pPr>
        <w:rPr>
          <w:lang w:val="en-AU"/>
        </w:rPr>
      </w:pPr>
      <w:r w:rsidRPr="00071DC5">
        <w:rPr>
          <w:lang w:val="it-IT"/>
        </w:rPr>
        <w:t xml:space="preserve">Britannica. (n.d.). </w:t>
      </w:r>
      <w:r w:rsidRPr="00071DC5">
        <w:rPr>
          <w:i/>
          <w:iCs/>
          <w:lang w:val="it-IT"/>
        </w:rPr>
        <w:t>Voter suppression</w:t>
      </w:r>
      <w:r w:rsidRPr="00071DC5">
        <w:rPr>
          <w:lang w:val="it-IT"/>
        </w:rPr>
        <w:t xml:space="preserve">. Encyclopedia Britannica. </w:t>
      </w:r>
      <w:r w:rsidR="007118A8">
        <w:fldChar w:fldCharType="begin"/>
      </w:r>
      <w:r w:rsidR="007118A8">
        <w:instrText>HYPERLINK "https://www.britannica.com/topic/voter-suppression"</w:instrText>
      </w:r>
      <w:r w:rsidR="007118A8">
        <w:fldChar w:fldCharType="separate"/>
      </w:r>
      <w:r w:rsidR="007118A8" w:rsidRPr="001876F1">
        <w:rPr>
          <w:rStyle w:val="Hyperlink"/>
          <w:rFonts w:cstheme="minorBidi"/>
        </w:rPr>
        <w:t>https://www.britannica.com/topic/voter-suppression</w:t>
      </w:r>
      <w:r w:rsidR="007118A8">
        <w:fldChar w:fldCharType="end"/>
      </w:r>
    </w:p>
    <w:p w14:paraId="66D42144" w14:textId="77777777" w:rsidR="00902F90" w:rsidRPr="00C14B58" w:rsidRDefault="00902F90" w:rsidP="00902F90">
      <w:pPr>
        <w:rPr>
          <w:lang w:val="en-AU"/>
        </w:rPr>
      </w:pPr>
      <w:r w:rsidRPr="00C14B58">
        <w:rPr>
          <w:lang w:val="en-AU"/>
        </w:rPr>
        <w:t xml:space="preserve">CIVICUS. (2023). </w:t>
      </w:r>
      <w:r w:rsidRPr="00C14B58">
        <w:rPr>
          <w:i/>
          <w:iCs/>
          <w:lang w:val="en-AU"/>
        </w:rPr>
        <w:t>State of Civil Society Report</w:t>
      </w:r>
      <w:r w:rsidRPr="00C14B58">
        <w:rPr>
          <w:lang w:val="en-AU"/>
        </w:rPr>
        <w:t>.</w:t>
      </w:r>
    </w:p>
    <w:p w14:paraId="730D22AA" w14:textId="77777777" w:rsidR="00902F90" w:rsidRPr="00C14B58" w:rsidRDefault="00902F90" w:rsidP="00902F90">
      <w:pPr>
        <w:rPr>
          <w:lang w:val="en-AU"/>
        </w:rPr>
      </w:pPr>
      <w:r w:rsidRPr="00C14B58">
        <w:rPr>
          <w:lang w:val="en-AU"/>
        </w:rPr>
        <w:t xml:space="preserve">Diamond, L. (2021). </w:t>
      </w:r>
      <w:r w:rsidRPr="00C14B58">
        <w:rPr>
          <w:i/>
          <w:iCs/>
          <w:lang w:val="en-AU"/>
        </w:rPr>
        <w:t>Ill Winds: Saving Democracy from Russian Rage, Chinese Ambition, and American Complacency</w:t>
      </w:r>
      <w:r w:rsidRPr="00C14B58">
        <w:rPr>
          <w:lang w:val="en-AU"/>
        </w:rPr>
        <w:t>. Penguin.</w:t>
      </w:r>
    </w:p>
    <w:p w14:paraId="59F7C25A" w14:textId="77777777" w:rsidR="00902F90" w:rsidRPr="00C14B58" w:rsidRDefault="00902F90" w:rsidP="00902F90">
      <w:pPr>
        <w:rPr>
          <w:lang w:val="en-AU"/>
        </w:rPr>
      </w:pPr>
      <w:r w:rsidRPr="00C14B58">
        <w:rPr>
          <w:lang w:val="en-AU"/>
        </w:rPr>
        <w:t xml:space="preserve">Diamond, L., &amp; Plattner, M. F. (2020). </w:t>
      </w:r>
      <w:r w:rsidRPr="00C14B58">
        <w:rPr>
          <w:i/>
          <w:iCs/>
          <w:lang w:val="en-AU"/>
        </w:rPr>
        <w:t>Democracy in Decline?</w:t>
      </w:r>
      <w:r w:rsidRPr="00C14B58">
        <w:rPr>
          <w:lang w:val="en-AU"/>
        </w:rPr>
        <w:t xml:space="preserve"> Johns Hopkins University Press.</w:t>
      </w:r>
    </w:p>
    <w:p w14:paraId="10E7D46F" w14:textId="77777777" w:rsidR="00902F90" w:rsidRPr="00C14B58" w:rsidRDefault="00902F90" w:rsidP="00902F90">
      <w:pPr>
        <w:rPr>
          <w:lang w:val="en-AU"/>
        </w:rPr>
      </w:pPr>
      <w:r w:rsidRPr="00C14B58">
        <w:rPr>
          <w:lang w:val="en-AU"/>
        </w:rPr>
        <w:t xml:space="preserve">IFES. (2022). </w:t>
      </w:r>
      <w:r w:rsidRPr="00C14B58">
        <w:rPr>
          <w:i/>
          <w:iCs/>
          <w:lang w:val="en-AU"/>
        </w:rPr>
        <w:t>Global Electoral Integrity Program Reports</w:t>
      </w:r>
      <w:r w:rsidRPr="00C14B58">
        <w:rPr>
          <w:lang w:val="en-AU"/>
        </w:rPr>
        <w:t>.</w:t>
      </w:r>
    </w:p>
    <w:p w14:paraId="28CD62B8" w14:textId="77777777" w:rsidR="00902F90" w:rsidRPr="00C14B58" w:rsidRDefault="00902F90" w:rsidP="00902F90">
      <w:pPr>
        <w:rPr>
          <w:lang w:val="en-AU"/>
        </w:rPr>
      </w:pPr>
      <w:r w:rsidRPr="009553BD">
        <w:rPr>
          <w:lang w:val="fi-FI"/>
        </w:rPr>
        <w:t xml:space="preserve">Keck, M. E., &amp; Sikkink, K. (1998). </w:t>
      </w:r>
      <w:r w:rsidRPr="00C14B58">
        <w:rPr>
          <w:i/>
          <w:iCs/>
          <w:lang w:val="en-AU"/>
        </w:rPr>
        <w:t>Activists beyond Borders: Advocacy Networks in International Politics</w:t>
      </w:r>
      <w:r w:rsidRPr="00C14B58">
        <w:rPr>
          <w:lang w:val="en-AU"/>
        </w:rPr>
        <w:t>. Cornell University Press.</w:t>
      </w:r>
    </w:p>
    <w:p w14:paraId="6A50EFC1" w14:textId="77777777" w:rsidR="00902F90" w:rsidRPr="00C14B58" w:rsidRDefault="00902F90" w:rsidP="00902F90">
      <w:pPr>
        <w:rPr>
          <w:lang w:val="en-AU"/>
        </w:rPr>
      </w:pPr>
      <w:r w:rsidRPr="00C14B58">
        <w:rPr>
          <w:lang w:val="en-AU"/>
        </w:rPr>
        <w:t xml:space="preserve">OECD. (2022). </w:t>
      </w:r>
      <w:r w:rsidRPr="00C14B58">
        <w:rPr>
          <w:i/>
          <w:iCs/>
          <w:lang w:val="en-AU"/>
        </w:rPr>
        <w:t>Democracy and Civic Engagement in Backsliding Contexts</w:t>
      </w:r>
      <w:r w:rsidRPr="00C14B58">
        <w:rPr>
          <w:lang w:val="en-AU"/>
        </w:rPr>
        <w:t>.</w:t>
      </w:r>
    </w:p>
    <w:p w14:paraId="3E0AA0D2" w14:textId="77777777" w:rsidR="00902F90" w:rsidRPr="00C14B58" w:rsidRDefault="00902F90" w:rsidP="00902F90">
      <w:pPr>
        <w:rPr>
          <w:lang w:val="en-AU"/>
        </w:rPr>
      </w:pPr>
      <w:r w:rsidRPr="00C14B58">
        <w:rPr>
          <w:lang w:val="en-AU"/>
        </w:rPr>
        <w:t xml:space="preserve">Ramalingam, B., et al. (2019). </w:t>
      </w:r>
      <w:r w:rsidRPr="00C14B58">
        <w:rPr>
          <w:i/>
          <w:iCs/>
          <w:lang w:val="en-AU"/>
        </w:rPr>
        <w:t>Adaptive Learning and Complexity in Development Programs</w:t>
      </w:r>
      <w:r w:rsidRPr="00C14B58">
        <w:rPr>
          <w:lang w:val="en-AU"/>
        </w:rPr>
        <w:t>. ODI.</w:t>
      </w:r>
    </w:p>
    <w:p w14:paraId="38C86CBC" w14:textId="77777777" w:rsidR="00902F90" w:rsidRPr="00C14B58" w:rsidRDefault="00902F90" w:rsidP="00902F90">
      <w:pPr>
        <w:rPr>
          <w:lang w:val="en-AU"/>
        </w:rPr>
      </w:pPr>
      <w:r w:rsidRPr="00C14B58">
        <w:rPr>
          <w:lang w:val="en-AU"/>
        </w:rPr>
        <w:t xml:space="preserve">UNESCO. (2021). </w:t>
      </w:r>
      <w:r w:rsidRPr="00C14B58">
        <w:rPr>
          <w:i/>
          <w:iCs/>
          <w:lang w:val="en-AU"/>
        </w:rPr>
        <w:t>Media Development Indicators and Media Literacy</w:t>
      </w:r>
      <w:r w:rsidRPr="00C14B58">
        <w:rPr>
          <w:lang w:val="en-AU"/>
        </w:rPr>
        <w:t>.</w:t>
      </w:r>
    </w:p>
    <w:p w14:paraId="7C0036F8" w14:textId="77777777" w:rsidR="00902F90" w:rsidRPr="00C14B58" w:rsidRDefault="00902F90" w:rsidP="00902F90">
      <w:pPr>
        <w:rPr>
          <w:lang w:val="en-AU"/>
        </w:rPr>
      </w:pPr>
      <w:r w:rsidRPr="00C14B58">
        <w:rPr>
          <w:lang w:val="en-AU"/>
        </w:rPr>
        <w:t xml:space="preserve">UNDESA. (2019). </w:t>
      </w:r>
      <w:r w:rsidRPr="00C14B58">
        <w:rPr>
          <w:i/>
          <w:iCs/>
          <w:lang w:val="en-AU"/>
        </w:rPr>
        <w:t>Guidance on Inclusive Governance</w:t>
      </w:r>
      <w:r w:rsidRPr="00C14B58">
        <w:rPr>
          <w:lang w:val="en-AU"/>
        </w:rPr>
        <w:t>.</w:t>
      </w:r>
    </w:p>
    <w:p w14:paraId="2F49BDA8" w14:textId="77777777" w:rsidR="00902F90" w:rsidRPr="00C14B58" w:rsidRDefault="00902F90" w:rsidP="00902F90">
      <w:pPr>
        <w:rPr>
          <w:lang w:val="en-AU"/>
        </w:rPr>
      </w:pPr>
      <w:r w:rsidRPr="00C14B58">
        <w:rPr>
          <w:lang w:val="en-AU"/>
        </w:rPr>
        <w:t xml:space="preserve">UNDP. (2020). </w:t>
      </w:r>
      <w:r w:rsidRPr="00C14B58">
        <w:rPr>
          <w:i/>
          <w:iCs/>
          <w:lang w:val="en-AU"/>
        </w:rPr>
        <w:t>Democratic Governance Global Practice Guidance</w:t>
      </w:r>
      <w:r w:rsidRPr="00C14B58">
        <w:rPr>
          <w:lang w:val="en-AU"/>
        </w:rPr>
        <w:t>.</w:t>
      </w:r>
    </w:p>
    <w:p w14:paraId="3AFDAFB9" w14:textId="77777777" w:rsidR="00902F90" w:rsidRPr="00C14B58" w:rsidRDefault="00902F90" w:rsidP="00902F90">
      <w:pPr>
        <w:rPr>
          <w:lang w:val="en-AU"/>
        </w:rPr>
      </w:pPr>
      <w:r w:rsidRPr="00C14B58">
        <w:rPr>
          <w:lang w:val="en-AU"/>
        </w:rPr>
        <w:t xml:space="preserve">V-Dem Institute. (2023). </w:t>
      </w:r>
      <w:r w:rsidRPr="00C14B58">
        <w:rPr>
          <w:i/>
          <w:iCs/>
          <w:lang w:val="en-AU"/>
        </w:rPr>
        <w:t>Varieties of Democracy Dataset</w:t>
      </w:r>
      <w:r w:rsidRPr="00C14B58">
        <w:rPr>
          <w:lang w:val="en-AU"/>
        </w:rPr>
        <w:t>.</w:t>
      </w:r>
    </w:p>
    <w:p w14:paraId="314B0FF2" w14:textId="77777777" w:rsidR="00902F90" w:rsidRPr="00C14B58" w:rsidRDefault="00902F90" w:rsidP="00902F90">
      <w:pPr>
        <w:rPr>
          <w:lang w:val="en-AU"/>
        </w:rPr>
      </w:pPr>
      <w:r w:rsidRPr="00C14B58">
        <w:rPr>
          <w:lang w:val="en-AU"/>
        </w:rPr>
        <w:t xml:space="preserve">Wardle, C., &amp; Derakhshan, H. (2017). </w:t>
      </w:r>
      <w:r w:rsidRPr="00C14B58">
        <w:rPr>
          <w:i/>
          <w:iCs/>
          <w:lang w:val="en-AU"/>
        </w:rPr>
        <w:t>Information Disorder: Toward an Interdisciplinary Framework for Research and Policy</w:t>
      </w:r>
      <w:r w:rsidRPr="00C14B58">
        <w:rPr>
          <w:lang w:val="en-AU"/>
        </w:rPr>
        <w:t>. Council of Europe.</w:t>
      </w:r>
    </w:p>
    <w:p w14:paraId="27AF722F" w14:textId="77777777" w:rsidR="00902F90" w:rsidRPr="00C14B58" w:rsidRDefault="00902F90" w:rsidP="00902F90">
      <w:pPr>
        <w:rPr>
          <w:lang w:val="en-AU"/>
        </w:rPr>
      </w:pPr>
      <w:r w:rsidRPr="00C14B58">
        <w:rPr>
          <w:lang w:val="en-AU"/>
        </w:rPr>
        <w:t xml:space="preserve">World Bank. (2019). </w:t>
      </w:r>
      <w:r w:rsidRPr="00C14B58">
        <w:rPr>
          <w:i/>
          <w:iCs/>
          <w:lang w:val="en-AU"/>
        </w:rPr>
        <w:t>World Development Report: The Changing Nature of Civic Engagement</w:t>
      </w:r>
      <w:r w:rsidRPr="00C14B58">
        <w:rPr>
          <w:lang w:val="en-AU"/>
        </w:rPr>
        <w:t>.</w:t>
      </w:r>
    </w:p>
    <w:p w14:paraId="10BC428E" w14:textId="77777777" w:rsidR="00902F90" w:rsidRDefault="00902F90" w:rsidP="00902F90">
      <w:pPr>
        <w:sectPr w:rsidR="00902F90" w:rsidSect="00902F90">
          <w:pgSz w:w="11906" w:h="16838" w:code="9"/>
          <w:pgMar w:top="1418" w:right="993" w:bottom="1701" w:left="1134" w:header="425" w:footer="493" w:gutter="0"/>
          <w:cols w:space="397"/>
          <w:titlePg/>
          <w:docGrid w:linePitch="360"/>
        </w:sectPr>
      </w:pPr>
    </w:p>
    <w:p w14:paraId="2151EE05" w14:textId="05DDBA4D" w:rsidR="00902F90" w:rsidRPr="007537A2" w:rsidRDefault="00902F90" w:rsidP="008A6518">
      <w:pPr>
        <w:pStyle w:val="Heading2"/>
        <w:spacing w:before="0"/>
      </w:pPr>
      <w:bookmarkStart w:id="336" w:name="_Toc232524307"/>
      <w:r>
        <w:lastRenderedPageBreak/>
        <w:t xml:space="preserve">Annex </w:t>
      </w:r>
      <w:r w:rsidR="00621448">
        <w:t>L</w:t>
      </w:r>
      <w:r>
        <w:t xml:space="preserve">: </w:t>
      </w:r>
      <w:r w:rsidR="00023DEE">
        <w:t>A</w:t>
      </w:r>
      <w:r w:rsidR="001C7D56">
        <w:t>c</w:t>
      </w:r>
      <w:r w:rsidR="00023DEE">
        <w:t>ronymns Glossary</w:t>
      </w:r>
      <w:bookmarkEnd w:id="336"/>
    </w:p>
    <w:tbl>
      <w:tblPr>
        <w:tblStyle w:val="GridTable1Light-Accent1"/>
        <w:tblW w:w="9351" w:type="dxa"/>
        <w:tblLook w:val="04A0" w:firstRow="1" w:lastRow="0" w:firstColumn="1" w:lastColumn="0" w:noHBand="0" w:noVBand="1"/>
      </w:tblPr>
      <w:tblGrid>
        <w:gridCol w:w="1843"/>
        <w:gridCol w:w="7508"/>
      </w:tblGrid>
      <w:tr w:rsidR="00902F90" w14:paraId="0A6611DB" w14:textId="77777777" w:rsidTr="006C1BD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tcPr>
          <w:p w14:paraId="5F2504A4" w14:textId="6AD448E9" w:rsidR="00902F90" w:rsidRDefault="006D5EC1">
            <w:r>
              <w:t>Abbreviation</w:t>
            </w:r>
          </w:p>
        </w:tc>
        <w:tc>
          <w:tcPr>
            <w:tcW w:w="7508" w:type="dxa"/>
          </w:tcPr>
          <w:p w14:paraId="2A2FE4B7" w14:textId="694B6A68" w:rsidR="00902F90" w:rsidRDefault="00902F90">
            <w:pPr>
              <w:cnfStyle w:val="100000000000" w:firstRow="1" w:lastRow="0" w:firstColumn="0" w:lastColumn="0" w:oddVBand="0" w:evenVBand="0" w:oddHBand="0" w:evenHBand="0" w:firstRowFirstColumn="0" w:firstRowLastColumn="0" w:lastRowFirstColumn="0" w:lastRowLastColumn="0"/>
            </w:pPr>
            <w:r w:rsidRPr="005049BB">
              <w:t>Full Form/Meaning</w:t>
            </w:r>
          </w:p>
        </w:tc>
      </w:tr>
      <w:tr w:rsidR="00902F90" w14:paraId="63A2684A"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08C7BC14" w14:textId="77777777" w:rsidR="00902F90" w:rsidRDefault="00902F90">
            <w:r w:rsidRPr="005049BB">
              <w:t>AEC</w:t>
            </w:r>
          </w:p>
        </w:tc>
        <w:tc>
          <w:tcPr>
            <w:tcW w:w="7508" w:type="dxa"/>
          </w:tcPr>
          <w:p w14:paraId="7187039C"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Australian Electoral Commission</w:t>
            </w:r>
          </w:p>
        </w:tc>
      </w:tr>
      <w:tr w:rsidR="00902F90" w14:paraId="43E5D2B1"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6887B905" w14:textId="77777777" w:rsidR="00902F90" w:rsidRDefault="00902F90">
            <w:r w:rsidRPr="005049BB">
              <w:t>AICHR</w:t>
            </w:r>
          </w:p>
        </w:tc>
        <w:tc>
          <w:tcPr>
            <w:tcW w:w="7508" w:type="dxa"/>
          </w:tcPr>
          <w:p w14:paraId="39D1E25D"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ASEAN Intergovernmental Commission on Human Rights</w:t>
            </w:r>
          </w:p>
        </w:tc>
      </w:tr>
      <w:tr w:rsidR="00902F90" w14:paraId="7700DFE6"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62D0A006" w14:textId="77777777" w:rsidR="00902F90" w:rsidRDefault="00902F90">
            <w:r>
              <w:t>AII</w:t>
            </w:r>
          </w:p>
        </w:tc>
        <w:tc>
          <w:tcPr>
            <w:tcW w:w="7508" w:type="dxa"/>
          </w:tcPr>
          <w:p w14:paraId="7897EA35" w14:textId="0D3DFE83" w:rsidR="00902F90" w:rsidRDefault="00902F90">
            <w:pPr>
              <w:cnfStyle w:val="000000000000" w:firstRow="0" w:lastRow="0" w:firstColumn="0" w:lastColumn="0" w:oddVBand="0" w:evenVBand="0" w:oddHBand="0" w:evenHBand="0" w:firstRowFirstColumn="0" w:firstRowLastColumn="0" w:lastRowFirstColumn="0" w:lastRowLastColumn="0"/>
            </w:pPr>
            <w:r>
              <w:t>Australia</w:t>
            </w:r>
            <w:r w:rsidR="00BF4B53">
              <w:t>–</w:t>
            </w:r>
            <w:r>
              <w:t>Indonesia Institute</w:t>
            </w:r>
          </w:p>
        </w:tc>
      </w:tr>
      <w:tr w:rsidR="00902F90" w14:paraId="0C9653B2"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779A6314" w14:textId="77777777" w:rsidR="00902F90" w:rsidRDefault="00902F90">
            <w:r w:rsidRPr="005049BB">
              <w:t>AIPJ</w:t>
            </w:r>
          </w:p>
        </w:tc>
        <w:tc>
          <w:tcPr>
            <w:tcW w:w="7508" w:type="dxa"/>
          </w:tcPr>
          <w:p w14:paraId="78D7DF16"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Australia–Indonesia Partnership for Justice</w:t>
            </w:r>
          </w:p>
        </w:tc>
      </w:tr>
      <w:tr w:rsidR="00902F90" w14:paraId="555B0DC8"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7E157B26" w14:textId="77777777" w:rsidR="00902F90" w:rsidRDefault="00902F90">
            <w:r>
              <w:t>AIYEP</w:t>
            </w:r>
          </w:p>
        </w:tc>
        <w:tc>
          <w:tcPr>
            <w:tcW w:w="7508" w:type="dxa"/>
          </w:tcPr>
          <w:p w14:paraId="19225672" w14:textId="1E599C31" w:rsidR="00902F90" w:rsidRDefault="00902F90">
            <w:pPr>
              <w:cnfStyle w:val="000000000000" w:firstRow="0" w:lastRow="0" w:firstColumn="0" w:lastColumn="0" w:oddVBand="0" w:evenVBand="0" w:oddHBand="0" w:evenHBand="0" w:firstRowFirstColumn="0" w:firstRowLastColumn="0" w:lastRowFirstColumn="0" w:lastRowLastColumn="0"/>
            </w:pPr>
            <w:r>
              <w:t>Australia</w:t>
            </w:r>
            <w:r w:rsidR="00BF4B53">
              <w:t>–</w:t>
            </w:r>
            <w:r>
              <w:t>Indonesia Youth Exchange Program</w:t>
            </w:r>
          </w:p>
        </w:tc>
      </w:tr>
      <w:tr w:rsidR="00902F90" w14:paraId="2BAF50B6"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212C9E9B" w14:textId="77777777" w:rsidR="00902F90" w:rsidRDefault="00902F90">
            <w:r w:rsidRPr="005049BB">
              <w:t>AJI</w:t>
            </w:r>
          </w:p>
        </w:tc>
        <w:tc>
          <w:tcPr>
            <w:tcW w:w="7508" w:type="dxa"/>
          </w:tcPr>
          <w:p w14:paraId="47CD57D5" w14:textId="77777777" w:rsidR="00902F90" w:rsidRDefault="00902F90">
            <w:pPr>
              <w:cnfStyle w:val="000000000000" w:firstRow="0" w:lastRow="0" w:firstColumn="0" w:lastColumn="0" w:oddVBand="0" w:evenVBand="0" w:oddHBand="0" w:evenHBand="0" w:firstRowFirstColumn="0" w:firstRowLastColumn="0" w:lastRowFirstColumn="0" w:lastRowLastColumn="0"/>
            </w:pPr>
            <w:proofErr w:type="spellStart"/>
            <w:r w:rsidRPr="005049BB">
              <w:t>Aliansi</w:t>
            </w:r>
            <w:proofErr w:type="spellEnd"/>
            <w:r w:rsidRPr="005049BB">
              <w:t xml:space="preserve"> Jurnalis </w:t>
            </w:r>
            <w:proofErr w:type="spellStart"/>
            <w:r w:rsidRPr="005049BB">
              <w:t>Independen</w:t>
            </w:r>
            <w:proofErr w:type="spellEnd"/>
            <w:r w:rsidRPr="005049BB">
              <w:t xml:space="preserve"> (Alliance of Independent Journalists)</w:t>
            </w:r>
          </w:p>
        </w:tc>
      </w:tr>
      <w:tr w:rsidR="00902F90" w14:paraId="773902DE"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7FB810C8" w14:textId="77777777" w:rsidR="00902F90" w:rsidRDefault="00902F90">
            <w:r w:rsidRPr="005049BB">
              <w:t>ANFREL</w:t>
            </w:r>
          </w:p>
        </w:tc>
        <w:tc>
          <w:tcPr>
            <w:tcW w:w="7508" w:type="dxa"/>
          </w:tcPr>
          <w:p w14:paraId="5368D179"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Asian Network for Free Elections</w:t>
            </w:r>
          </w:p>
        </w:tc>
      </w:tr>
      <w:tr w:rsidR="00902F90" w14:paraId="0C0FEDE4"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612FFEC6" w14:textId="77777777" w:rsidR="00902F90" w:rsidRDefault="00902F90">
            <w:r w:rsidRPr="005049BB">
              <w:t>ARF</w:t>
            </w:r>
          </w:p>
        </w:tc>
        <w:tc>
          <w:tcPr>
            <w:tcW w:w="7508" w:type="dxa"/>
          </w:tcPr>
          <w:p w14:paraId="094DE326"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Adviser Remuneration Framework</w:t>
            </w:r>
          </w:p>
        </w:tc>
      </w:tr>
      <w:tr w:rsidR="00902F90" w14:paraId="6CFA68A7"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5A26096F" w14:textId="77777777" w:rsidR="00902F90" w:rsidRDefault="00902F90">
            <w:r w:rsidRPr="005049BB">
              <w:t>ASEAN</w:t>
            </w:r>
          </w:p>
        </w:tc>
        <w:tc>
          <w:tcPr>
            <w:tcW w:w="7508" w:type="dxa"/>
          </w:tcPr>
          <w:p w14:paraId="0044DDB7"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Association of Southeast Asian Nations</w:t>
            </w:r>
          </w:p>
        </w:tc>
      </w:tr>
      <w:tr w:rsidR="00902F90" w14:paraId="0BF656BF"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5D8DD131" w14:textId="77777777" w:rsidR="00902F90" w:rsidRDefault="00902F90">
            <w:r w:rsidRPr="005049BB">
              <w:t>BNPT</w:t>
            </w:r>
          </w:p>
        </w:tc>
        <w:tc>
          <w:tcPr>
            <w:tcW w:w="7508" w:type="dxa"/>
          </w:tcPr>
          <w:p w14:paraId="249F3D10" w14:textId="6EC9CAE8" w:rsidR="00902F90" w:rsidRDefault="00902F90">
            <w:pPr>
              <w:cnfStyle w:val="000000000000" w:firstRow="0" w:lastRow="0" w:firstColumn="0" w:lastColumn="0" w:oddVBand="0" w:evenVBand="0" w:oddHBand="0" w:evenHBand="0" w:firstRowFirstColumn="0" w:firstRowLastColumn="0" w:lastRowFirstColumn="0" w:lastRowLastColumn="0"/>
            </w:pPr>
            <w:r w:rsidRPr="005049BB">
              <w:t xml:space="preserve">Badan Nasional </w:t>
            </w:r>
            <w:proofErr w:type="spellStart"/>
            <w:r w:rsidRPr="005049BB">
              <w:t>Penanggulangan</w:t>
            </w:r>
            <w:proofErr w:type="spellEnd"/>
            <w:r w:rsidRPr="005049BB">
              <w:t xml:space="preserve"> </w:t>
            </w:r>
            <w:proofErr w:type="spellStart"/>
            <w:r w:rsidRPr="005049BB">
              <w:t>Terorisme</w:t>
            </w:r>
            <w:proofErr w:type="spellEnd"/>
            <w:r w:rsidRPr="005049BB">
              <w:t xml:space="preserve"> (National Counter</w:t>
            </w:r>
            <w:r w:rsidR="0035135B">
              <w:t>-</w:t>
            </w:r>
            <w:r w:rsidRPr="005049BB">
              <w:t>Terrorism Agency)</w:t>
            </w:r>
          </w:p>
        </w:tc>
      </w:tr>
      <w:tr w:rsidR="00902F90" w14:paraId="1525DE67"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046A9F41" w14:textId="77777777" w:rsidR="00902F90" w:rsidRDefault="00902F90">
            <w:r w:rsidRPr="005049BB">
              <w:t>BPJS</w:t>
            </w:r>
          </w:p>
        </w:tc>
        <w:tc>
          <w:tcPr>
            <w:tcW w:w="7508" w:type="dxa"/>
          </w:tcPr>
          <w:p w14:paraId="096C2721"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 xml:space="preserve">Badan </w:t>
            </w:r>
            <w:proofErr w:type="spellStart"/>
            <w:r w:rsidRPr="005049BB">
              <w:t>Penyelenggara</w:t>
            </w:r>
            <w:proofErr w:type="spellEnd"/>
            <w:r w:rsidRPr="005049BB">
              <w:t xml:space="preserve"> </w:t>
            </w:r>
            <w:proofErr w:type="spellStart"/>
            <w:r w:rsidRPr="005049BB">
              <w:t>Jaminan</w:t>
            </w:r>
            <w:proofErr w:type="spellEnd"/>
            <w:r w:rsidRPr="005049BB">
              <w:t xml:space="preserve"> Sosial (Social Security Administering Body)</w:t>
            </w:r>
          </w:p>
        </w:tc>
      </w:tr>
      <w:tr w:rsidR="00902F90" w14:paraId="164E8BA4"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68D1DED8" w14:textId="77777777" w:rsidR="00902F90" w:rsidRDefault="00902F90">
            <w:r w:rsidRPr="005049BB">
              <w:t>BPS</w:t>
            </w:r>
          </w:p>
        </w:tc>
        <w:tc>
          <w:tcPr>
            <w:tcW w:w="7508" w:type="dxa"/>
          </w:tcPr>
          <w:p w14:paraId="565F04F8"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 xml:space="preserve">Badan Pusat </w:t>
            </w:r>
            <w:proofErr w:type="spellStart"/>
            <w:r w:rsidRPr="005049BB">
              <w:t>Statistik</w:t>
            </w:r>
            <w:proofErr w:type="spellEnd"/>
            <w:r w:rsidRPr="005049BB">
              <w:t xml:space="preserve"> (Statistics Indonesia)</w:t>
            </w:r>
          </w:p>
        </w:tc>
      </w:tr>
      <w:tr w:rsidR="00902F90" w14:paraId="04CBB09A"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5E4FDB7B" w14:textId="77777777" w:rsidR="00902F90" w:rsidRDefault="00902F90">
            <w:r w:rsidRPr="005049BB">
              <w:t>CEDAW</w:t>
            </w:r>
          </w:p>
        </w:tc>
        <w:tc>
          <w:tcPr>
            <w:tcW w:w="7508" w:type="dxa"/>
          </w:tcPr>
          <w:p w14:paraId="38A3F3C5"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 xml:space="preserve">Convention on the Elimination of All Forms of Discrimination </w:t>
            </w:r>
            <w:r>
              <w:t>A</w:t>
            </w:r>
            <w:r w:rsidRPr="005049BB">
              <w:t>gainst Women</w:t>
            </w:r>
          </w:p>
        </w:tc>
      </w:tr>
      <w:tr w:rsidR="00902F90" w14:paraId="506B5735"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1542A3DE" w14:textId="77777777" w:rsidR="00902F90" w:rsidRDefault="00902F90">
            <w:r w:rsidRPr="005049BB">
              <w:t>CFI</w:t>
            </w:r>
          </w:p>
        </w:tc>
        <w:tc>
          <w:tcPr>
            <w:tcW w:w="7508" w:type="dxa"/>
          </w:tcPr>
          <w:p w14:paraId="38953DA9"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Countering Foreign Interference</w:t>
            </w:r>
          </w:p>
        </w:tc>
      </w:tr>
      <w:tr w:rsidR="00902F90" w14:paraId="51F8DD68"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40FD6BCA" w14:textId="77777777" w:rsidR="00902F90" w:rsidRDefault="00902F90">
            <w:r w:rsidRPr="005049BB">
              <w:t>CIVICUS</w:t>
            </w:r>
          </w:p>
        </w:tc>
        <w:tc>
          <w:tcPr>
            <w:tcW w:w="7508" w:type="dxa"/>
          </w:tcPr>
          <w:p w14:paraId="551CEE90" w14:textId="77777777" w:rsidR="00902F90" w:rsidRDefault="00902F90">
            <w:pPr>
              <w:cnfStyle w:val="000000000000" w:firstRow="0" w:lastRow="0" w:firstColumn="0" w:lastColumn="0" w:oddVBand="0" w:evenVBand="0" w:oddHBand="0" w:evenHBand="0" w:firstRowFirstColumn="0" w:firstRowLastColumn="0" w:lastRowFirstColumn="0" w:lastRowLastColumn="0"/>
            </w:pPr>
            <w:r>
              <w:t>Global Alliance of Civil Society Organisations</w:t>
            </w:r>
          </w:p>
        </w:tc>
      </w:tr>
      <w:tr w:rsidR="00902F90" w14:paraId="1998F61E"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5352C97A" w14:textId="77777777" w:rsidR="00902F90" w:rsidRDefault="00902F90">
            <w:r w:rsidRPr="005049BB">
              <w:t>CRPD</w:t>
            </w:r>
          </w:p>
        </w:tc>
        <w:tc>
          <w:tcPr>
            <w:tcW w:w="7508" w:type="dxa"/>
          </w:tcPr>
          <w:p w14:paraId="2A084056"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Convention on the Rights of Persons with Disabilities</w:t>
            </w:r>
          </w:p>
        </w:tc>
      </w:tr>
      <w:tr w:rsidR="00902F90" w14:paraId="3D787227"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1C268C55" w14:textId="77777777" w:rsidR="00902F90" w:rsidRDefault="00902F90">
            <w:r w:rsidRPr="005049BB">
              <w:t>CSIS</w:t>
            </w:r>
          </w:p>
        </w:tc>
        <w:tc>
          <w:tcPr>
            <w:tcW w:w="7508" w:type="dxa"/>
          </w:tcPr>
          <w:p w14:paraId="0DE24B89"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 xml:space="preserve">Centre for Strategic and International Studies </w:t>
            </w:r>
          </w:p>
        </w:tc>
      </w:tr>
      <w:tr w:rsidR="00902F90" w14:paraId="7AC400EE"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50C02286" w14:textId="77777777" w:rsidR="00902F90" w:rsidRDefault="00902F90">
            <w:r w:rsidRPr="005049BB">
              <w:t>CSO</w:t>
            </w:r>
          </w:p>
        </w:tc>
        <w:tc>
          <w:tcPr>
            <w:tcW w:w="7508" w:type="dxa"/>
          </w:tcPr>
          <w:p w14:paraId="75F95F25"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Civil Society Organisation</w:t>
            </w:r>
          </w:p>
        </w:tc>
      </w:tr>
      <w:tr w:rsidR="00902F90" w14:paraId="59E6F796"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4C649948" w14:textId="77777777" w:rsidR="00902F90" w:rsidRPr="005049BB" w:rsidRDefault="00902F90">
            <w:r>
              <w:t>CSP</w:t>
            </w:r>
          </w:p>
        </w:tc>
        <w:tc>
          <w:tcPr>
            <w:tcW w:w="7508" w:type="dxa"/>
          </w:tcPr>
          <w:p w14:paraId="4A592B82" w14:textId="3B8E3DF9" w:rsidR="00902F90" w:rsidRDefault="00902F90">
            <w:pPr>
              <w:cnfStyle w:val="000000000000" w:firstRow="0" w:lastRow="0" w:firstColumn="0" w:lastColumn="0" w:oddVBand="0" w:evenVBand="0" w:oddHBand="0" w:evenHBand="0" w:firstRowFirstColumn="0" w:firstRowLastColumn="0" w:lastRowFirstColumn="0" w:lastRowLastColumn="0"/>
            </w:pPr>
            <w:r>
              <w:rPr>
                <w:rFonts w:eastAsia="Times New Roman" w:cs="Times New Roman"/>
                <w:iCs/>
                <w:szCs w:val="24"/>
                <w:lang w:val="en-AU" w:eastAsia="en-AU"/>
              </w:rPr>
              <w:t xml:space="preserve">Civil Society Partnerships </w:t>
            </w:r>
            <w:r w:rsidR="00550385">
              <w:rPr>
                <w:rFonts w:eastAsia="Times New Roman" w:cs="Times New Roman"/>
                <w:iCs/>
                <w:szCs w:val="24"/>
                <w:lang w:val="en-AU" w:eastAsia="en-AU"/>
              </w:rPr>
              <w:t>[</w:t>
            </w:r>
            <w:proofErr w:type="spellStart"/>
            <w:r>
              <w:rPr>
                <w:rFonts w:eastAsia="Times New Roman" w:cs="Times New Roman"/>
                <w:iCs/>
                <w:szCs w:val="24"/>
                <w:lang w:val="en-AU" w:eastAsia="en-AU"/>
              </w:rPr>
              <w:t>Partisipasi</w:t>
            </w:r>
            <w:proofErr w:type="spellEnd"/>
            <w:r w:rsidR="00550385">
              <w:rPr>
                <w:rFonts w:eastAsia="Times New Roman" w:cs="Times New Roman"/>
                <w:iCs/>
                <w:szCs w:val="24"/>
                <w:lang w:val="en-AU" w:eastAsia="en-AU"/>
              </w:rPr>
              <w:t>]</w:t>
            </w:r>
          </w:p>
        </w:tc>
      </w:tr>
      <w:tr w:rsidR="00902F90" w14:paraId="17630177"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0CB51BC6" w14:textId="77777777" w:rsidR="00902F90" w:rsidRDefault="00902F90">
            <w:r w:rsidRPr="005049BB">
              <w:t>CSP</w:t>
            </w:r>
          </w:p>
        </w:tc>
        <w:tc>
          <w:tcPr>
            <w:tcW w:w="7508" w:type="dxa"/>
          </w:tcPr>
          <w:p w14:paraId="1AF72C16" w14:textId="38BCEB57" w:rsidR="00902F90" w:rsidRDefault="00902F90">
            <w:pPr>
              <w:cnfStyle w:val="000000000000" w:firstRow="0" w:lastRow="0" w:firstColumn="0" w:lastColumn="0" w:oddVBand="0" w:evenVBand="0" w:oddHBand="0" w:evenHBand="0" w:firstRowFirstColumn="0" w:firstRowLastColumn="0" w:lastRowFirstColumn="0" w:lastRowLastColumn="0"/>
            </w:pPr>
            <w:r w:rsidRPr="005049BB">
              <w:t xml:space="preserve">Comprehensive Strategic Partnership </w:t>
            </w:r>
            <w:r w:rsidR="00D113CB">
              <w:t>[</w:t>
            </w:r>
            <w:r w:rsidRPr="005049BB">
              <w:t>Australia–Indonesia</w:t>
            </w:r>
            <w:r w:rsidR="00D113CB">
              <w:t>]</w:t>
            </w:r>
          </w:p>
        </w:tc>
      </w:tr>
      <w:tr w:rsidR="00902F90" w14:paraId="0B52F52B"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4C3BF1EB" w14:textId="77777777" w:rsidR="00902F90" w:rsidRDefault="00902F90">
            <w:r w:rsidRPr="005049BB">
              <w:t>DAC</w:t>
            </w:r>
          </w:p>
        </w:tc>
        <w:tc>
          <w:tcPr>
            <w:tcW w:w="7508" w:type="dxa"/>
          </w:tcPr>
          <w:p w14:paraId="32BCAD59" w14:textId="258F46A6" w:rsidR="00902F90" w:rsidRDefault="00902F90">
            <w:pPr>
              <w:cnfStyle w:val="000000000000" w:firstRow="0" w:lastRow="0" w:firstColumn="0" w:lastColumn="0" w:oddVBand="0" w:evenVBand="0" w:oddHBand="0" w:evenHBand="0" w:firstRowFirstColumn="0" w:firstRowLastColumn="0" w:lastRowFirstColumn="0" w:lastRowLastColumn="0"/>
            </w:pPr>
            <w:r w:rsidRPr="005049BB">
              <w:t xml:space="preserve">Development Assistance Committee </w:t>
            </w:r>
            <w:r w:rsidR="00550385">
              <w:t>[</w:t>
            </w:r>
            <w:r w:rsidRPr="005049BB">
              <w:t>OECD</w:t>
            </w:r>
            <w:r w:rsidR="00550385">
              <w:t>]</w:t>
            </w:r>
          </w:p>
        </w:tc>
      </w:tr>
      <w:tr w:rsidR="00902F90" w14:paraId="1CA32353"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08943131" w14:textId="77777777" w:rsidR="00902F90" w:rsidRDefault="00902F90">
            <w:proofErr w:type="spellStart"/>
            <w:r w:rsidRPr="005049BB">
              <w:t>DemRes</w:t>
            </w:r>
            <w:proofErr w:type="spellEnd"/>
          </w:p>
        </w:tc>
        <w:tc>
          <w:tcPr>
            <w:tcW w:w="7508" w:type="dxa"/>
          </w:tcPr>
          <w:p w14:paraId="382FCB9D"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Democratic Resilience Pilot Program</w:t>
            </w:r>
          </w:p>
        </w:tc>
      </w:tr>
      <w:tr w:rsidR="00902F90" w14:paraId="339A444E"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398EE019" w14:textId="77777777" w:rsidR="00902F90" w:rsidRDefault="00902F90">
            <w:r w:rsidRPr="005049BB">
              <w:t>DFAT</w:t>
            </w:r>
          </w:p>
        </w:tc>
        <w:tc>
          <w:tcPr>
            <w:tcW w:w="7508" w:type="dxa"/>
          </w:tcPr>
          <w:p w14:paraId="3937FAB8" w14:textId="0D4D1F1C" w:rsidR="00902F90" w:rsidRDefault="00902F90">
            <w:pPr>
              <w:cnfStyle w:val="000000000000" w:firstRow="0" w:lastRow="0" w:firstColumn="0" w:lastColumn="0" w:oddVBand="0" w:evenVBand="0" w:oddHBand="0" w:evenHBand="0" w:firstRowFirstColumn="0" w:firstRowLastColumn="0" w:lastRowFirstColumn="0" w:lastRowLastColumn="0"/>
            </w:pPr>
            <w:r w:rsidRPr="005049BB">
              <w:t xml:space="preserve">Department of Foreign Affairs and Trade </w:t>
            </w:r>
            <w:r w:rsidR="00550385">
              <w:t>[</w:t>
            </w:r>
            <w:r w:rsidRPr="005049BB">
              <w:t>Australia</w:t>
            </w:r>
            <w:r w:rsidR="00550385">
              <w:t>]</w:t>
            </w:r>
          </w:p>
        </w:tc>
      </w:tr>
      <w:tr w:rsidR="00417A47" w14:paraId="7F901669"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5B9D751E" w14:textId="00E24102" w:rsidR="00417A47" w:rsidRPr="005049BB" w:rsidRDefault="00417A47">
            <w:r>
              <w:t>DHOM</w:t>
            </w:r>
          </w:p>
        </w:tc>
        <w:tc>
          <w:tcPr>
            <w:tcW w:w="7508" w:type="dxa"/>
          </w:tcPr>
          <w:p w14:paraId="42A2EDF8" w14:textId="203E36CE" w:rsidR="00417A47" w:rsidRPr="005049BB" w:rsidRDefault="00417A47">
            <w:pPr>
              <w:cnfStyle w:val="000000000000" w:firstRow="0" w:lastRow="0" w:firstColumn="0" w:lastColumn="0" w:oddVBand="0" w:evenVBand="0" w:oddHBand="0" w:evenHBand="0" w:firstRowFirstColumn="0" w:firstRowLastColumn="0" w:lastRowFirstColumn="0" w:lastRowLastColumn="0"/>
            </w:pPr>
            <w:r>
              <w:t>Deputy Head of Mission</w:t>
            </w:r>
          </w:p>
        </w:tc>
      </w:tr>
      <w:tr w:rsidR="00902F90" w14:paraId="2EC1AC3A"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403B278C" w14:textId="77777777" w:rsidR="00902F90" w:rsidRDefault="00902F90">
            <w:r w:rsidRPr="005049BB">
              <w:t>DPC</w:t>
            </w:r>
          </w:p>
        </w:tc>
        <w:tc>
          <w:tcPr>
            <w:tcW w:w="7508" w:type="dxa"/>
          </w:tcPr>
          <w:p w14:paraId="3868FD14" w14:textId="1C45D934" w:rsidR="00902F90" w:rsidRDefault="00902F90">
            <w:pPr>
              <w:cnfStyle w:val="000000000000" w:firstRow="0" w:lastRow="0" w:firstColumn="0" w:lastColumn="0" w:oddVBand="0" w:evenVBand="0" w:oddHBand="0" w:evenHBand="0" w:firstRowFirstColumn="0" w:firstRowLastColumn="0" w:lastRowFirstColumn="0" w:lastRowLastColumn="0"/>
            </w:pPr>
            <w:r w:rsidRPr="005049BB">
              <w:t xml:space="preserve">Development </w:t>
            </w:r>
            <w:r w:rsidR="001D38D7">
              <w:t>Programming</w:t>
            </w:r>
            <w:r w:rsidR="001D38D7" w:rsidRPr="005049BB">
              <w:t xml:space="preserve"> </w:t>
            </w:r>
            <w:r w:rsidRPr="005049BB">
              <w:t xml:space="preserve">Committee </w:t>
            </w:r>
            <w:r w:rsidR="00550385">
              <w:t>[</w:t>
            </w:r>
            <w:r w:rsidRPr="005049BB">
              <w:t>DFAT</w:t>
            </w:r>
            <w:r w:rsidR="00550385">
              <w:t>]</w:t>
            </w:r>
          </w:p>
        </w:tc>
      </w:tr>
      <w:tr w:rsidR="00902F90" w14:paraId="1CD0A2EC"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56F8FD3E" w14:textId="77777777" w:rsidR="00902F90" w:rsidRPr="005049BB" w:rsidRDefault="00902F90">
            <w:r>
              <w:t>DPP</w:t>
            </w:r>
          </w:p>
        </w:tc>
        <w:tc>
          <w:tcPr>
            <w:tcW w:w="7508" w:type="dxa"/>
          </w:tcPr>
          <w:p w14:paraId="29181B00" w14:textId="6E891F17" w:rsidR="00902F90" w:rsidRPr="005049BB" w:rsidRDefault="00902F90">
            <w:pPr>
              <w:cnfStyle w:val="000000000000" w:firstRow="0" w:lastRow="0" w:firstColumn="0" w:lastColumn="0" w:oddVBand="0" w:evenVBand="0" w:oddHBand="0" w:evenHBand="0" w:firstRowFirstColumn="0" w:firstRowLastColumn="0" w:lastRowFirstColumn="0" w:lastRowLastColumn="0"/>
            </w:pPr>
            <w:r>
              <w:t>Development Partnership Plan</w:t>
            </w:r>
          </w:p>
        </w:tc>
      </w:tr>
      <w:tr w:rsidR="00902F90" w14:paraId="22D0BFC8"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0B06FBFF" w14:textId="77777777" w:rsidR="00902F90" w:rsidRDefault="00902F90">
            <w:r w:rsidRPr="005049BB">
              <w:t>DPR</w:t>
            </w:r>
          </w:p>
        </w:tc>
        <w:tc>
          <w:tcPr>
            <w:tcW w:w="7508" w:type="dxa"/>
          </w:tcPr>
          <w:p w14:paraId="25FE2B52" w14:textId="530EE48E" w:rsidR="00902F90" w:rsidRDefault="00902F90">
            <w:pPr>
              <w:cnfStyle w:val="000000000000" w:firstRow="0" w:lastRow="0" w:firstColumn="0" w:lastColumn="0" w:oddVBand="0" w:evenVBand="0" w:oddHBand="0" w:evenHBand="0" w:firstRowFirstColumn="0" w:firstRowLastColumn="0" w:lastRowFirstColumn="0" w:lastRowLastColumn="0"/>
            </w:pPr>
            <w:r w:rsidRPr="005049BB">
              <w:t xml:space="preserve">Dewan </w:t>
            </w:r>
            <w:proofErr w:type="spellStart"/>
            <w:r w:rsidRPr="005049BB">
              <w:t>Perwakilan</w:t>
            </w:r>
            <w:proofErr w:type="spellEnd"/>
            <w:r w:rsidRPr="005049BB">
              <w:t xml:space="preserve"> Rakyat (</w:t>
            </w:r>
            <w:r>
              <w:t xml:space="preserve">House of Representatives </w:t>
            </w:r>
            <w:r w:rsidR="00550385">
              <w:t>–</w:t>
            </w:r>
            <w:r>
              <w:t xml:space="preserve"> Indonesia</w:t>
            </w:r>
            <w:r w:rsidRPr="005049BB">
              <w:t>)</w:t>
            </w:r>
          </w:p>
        </w:tc>
      </w:tr>
      <w:tr w:rsidR="00902F90" w14:paraId="15ADE90B"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3D5A3113" w14:textId="77777777" w:rsidR="00902F90" w:rsidRDefault="00902F90">
            <w:r w:rsidRPr="00CF4161">
              <w:rPr>
                <w:rFonts w:eastAsia="Times New Roman"/>
                <w:szCs w:val="21"/>
                <w:lang w:val="en-AU"/>
              </w:rPr>
              <w:t>EIU</w:t>
            </w:r>
          </w:p>
        </w:tc>
        <w:tc>
          <w:tcPr>
            <w:tcW w:w="7508" w:type="dxa"/>
          </w:tcPr>
          <w:p w14:paraId="48198270" w14:textId="77777777" w:rsidR="00902F90" w:rsidRDefault="00902F90">
            <w:pPr>
              <w:cnfStyle w:val="000000000000" w:firstRow="0" w:lastRow="0" w:firstColumn="0" w:lastColumn="0" w:oddVBand="0" w:evenVBand="0" w:oddHBand="0" w:evenHBand="0" w:firstRowFirstColumn="0" w:firstRowLastColumn="0" w:lastRowFirstColumn="0" w:lastRowLastColumn="0"/>
            </w:pPr>
            <w:r>
              <w:t>Economist Intelligence Unit</w:t>
            </w:r>
          </w:p>
        </w:tc>
      </w:tr>
      <w:tr w:rsidR="00417A47" w14:paraId="6370DD87"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7CB1E88E" w14:textId="45158F79" w:rsidR="00417A47" w:rsidRDefault="00417A47">
            <w:r>
              <w:lastRenderedPageBreak/>
              <w:t>EMA</w:t>
            </w:r>
          </w:p>
        </w:tc>
        <w:tc>
          <w:tcPr>
            <w:tcW w:w="7508" w:type="dxa"/>
          </w:tcPr>
          <w:p w14:paraId="5033848C" w14:textId="704C83C9" w:rsidR="00417A47" w:rsidRDefault="00417A47">
            <w:pPr>
              <w:cnfStyle w:val="000000000000" w:firstRow="0" w:lastRow="0" w:firstColumn="0" w:lastColumn="0" w:oddVBand="0" w:evenVBand="0" w:oddHBand="0" w:evenHBand="0" w:firstRowFirstColumn="0" w:firstRowLastColumn="0" w:lastRowFirstColumn="0" w:lastRowLastColumn="0"/>
            </w:pPr>
            <w:r>
              <w:t>Electoral Management Authority</w:t>
            </w:r>
          </w:p>
        </w:tc>
      </w:tr>
      <w:tr w:rsidR="00417A47" w14:paraId="0C68BFB1"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1FD8F2DE" w14:textId="67CA81E6" w:rsidR="00417A47" w:rsidRPr="005049BB" w:rsidRDefault="00417A47">
            <w:r>
              <w:t>EOI</w:t>
            </w:r>
          </w:p>
        </w:tc>
        <w:tc>
          <w:tcPr>
            <w:tcW w:w="7508" w:type="dxa"/>
          </w:tcPr>
          <w:p w14:paraId="60EA0257" w14:textId="66F851A6" w:rsidR="00417A47" w:rsidRPr="005049BB" w:rsidRDefault="00417A47">
            <w:pPr>
              <w:cnfStyle w:val="000000000000" w:firstRow="0" w:lastRow="0" w:firstColumn="0" w:lastColumn="0" w:oddVBand="0" w:evenVBand="0" w:oddHBand="0" w:evenHBand="0" w:firstRowFirstColumn="0" w:firstRowLastColumn="0" w:lastRowFirstColumn="0" w:lastRowLastColumn="0"/>
            </w:pPr>
            <w:r>
              <w:t>Expression of Interest</w:t>
            </w:r>
          </w:p>
        </w:tc>
      </w:tr>
      <w:tr w:rsidR="00902F90" w14:paraId="54E95419"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4BD2031E" w14:textId="77777777" w:rsidR="00902F90" w:rsidRDefault="00902F90">
            <w:r w:rsidRPr="005049BB">
              <w:t>EOPO</w:t>
            </w:r>
          </w:p>
        </w:tc>
        <w:tc>
          <w:tcPr>
            <w:tcW w:w="7508" w:type="dxa"/>
          </w:tcPr>
          <w:p w14:paraId="52CE719C" w14:textId="57DE6EBC" w:rsidR="00902F90" w:rsidRDefault="00902F90">
            <w:pPr>
              <w:cnfStyle w:val="000000000000" w:firstRow="0" w:lastRow="0" w:firstColumn="0" w:lastColumn="0" w:oddVBand="0" w:evenVBand="0" w:oddHBand="0" w:evenHBand="0" w:firstRowFirstColumn="0" w:firstRowLastColumn="0" w:lastRowFirstColumn="0" w:lastRowLastColumn="0"/>
            </w:pPr>
            <w:r w:rsidRPr="005049BB">
              <w:t>End</w:t>
            </w:r>
            <w:r w:rsidR="0035135B">
              <w:t xml:space="preserve"> </w:t>
            </w:r>
            <w:r w:rsidRPr="005049BB">
              <w:t>of</w:t>
            </w:r>
            <w:r w:rsidR="0035135B">
              <w:t xml:space="preserve"> </w:t>
            </w:r>
            <w:r w:rsidRPr="005049BB">
              <w:t>Program Outcome</w:t>
            </w:r>
          </w:p>
        </w:tc>
      </w:tr>
      <w:tr w:rsidR="00902F90" w14:paraId="7DA79B38"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164C288A" w14:textId="77777777" w:rsidR="00902F90" w:rsidRDefault="00902F90">
            <w:r w:rsidRPr="005049BB">
              <w:t>EU</w:t>
            </w:r>
          </w:p>
        </w:tc>
        <w:tc>
          <w:tcPr>
            <w:tcW w:w="7508" w:type="dxa"/>
          </w:tcPr>
          <w:p w14:paraId="02BBE75D"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European Union</w:t>
            </w:r>
          </w:p>
        </w:tc>
      </w:tr>
      <w:tr w:rsidR="00902F90" w14:paraId="54D50649"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21FABBA5" w14:textId="77777777" w:rsidR="00902F90" w:rsidRPr="005049BB" w:rsidRDefault="00902F90">
            <w:r>
              <w:t>FIMR</w:t>
            </w:r>
          </w:p>
        </w:tc>
        <w:tc>
          <w:tcPr>
            <w:tcW w:w="7508" w:type="dxa"/>
          </w:tcPr>
          <w:p w14:paraId="2AFD5C92" w14:textId="58C88497" w:rsidR="00902F90" w:rsidRPr="005049BB" w:rsidRDefault="00902F90">
            <w:pPr>
              <w:cnfStyle w:val="000000000000" w:firstRow="0" w:lastRow="0" w:firstColumn="0" w:lastColumn="0" w:oddVBand="0" w:evenVBand="0" w:oddHBand="0" w:evenHBand="0" w:firstRowFirstColumn="0" w:firstRowLastColumn="0" w:lastRowFirstColumn="0" w:lastRowLastColumn="0"/>
            </w:pPr>
            <w:r>
              <w:t xml:space="preserve">Final Investment Monitoring Report </w:t>
            </w:r>
            <w:r w:rsidR="00D113CB">
              <w:t>[</w:t>
            </w:r>
            <w:r>
              <w:t>DFAT</w:t>
            </w:r>
            <w:r w:rsidR="00D113CB">
              <w:t>]</w:t>
            </w:r>
          </w:p>
        </w:tc>
      </w:tr>
      <w:tr w:rsidR="006D5EC1" w14:paraId="15D42961"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5E95C48D" w14:textId="798BDCE6" w:rsidR="006D5EC1" w:rsidRDefault="006D5EC1">
            <w:r>
              <w:t>FTE</w:t>
            </w:r>
          </w:p>
        </w:tc>
        <w:tc>
          <w:tcPr>
            <w:tcW w:w="7508" w:type="dxa"/>
          </w:tcPr>
          <w:p w14:paraId="32A2423F" w14:textId="17F93A1D" w:rsidR="006D5EC1" w:rsidRDefault="006D5EC1">
            <w:pPr>
              <w:cnfStyle w:val="000000000000" w:firstRow="0" w:lastRow="0" w:firstColumn="0" w:lastColumn="0" w:oddVBand="0" w:evenVBand="0" w:oddHBand="0" w:evenHBand="0" w:firstRowFirstColumn="0" w:firstRowLastColumn="0" w:lastRowFirstColumn="0" w:lastRowLastColumn="0"/>
            </w:pPr>
            <w:r>
              <w:t>Full-Time Equivalent</w:t>
            </w:r>
          </w:p>
        </w:tc>
      </w:tr>
      <w:tr w:rsidR="00902F90" w14:paraId="017D7DCC"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0B5EEFAC" w14:textId="77777777" w:rsidR="00902F90" w:rsidRDefault="00902F90">
            <w:r w:rsidRPr="005049BB">
              <w:t>GBV</w:t>
            </w:r>
          </w:p>
        </w:tc>
        <w:tc>
          <w:tcPr>
            <w:tcW w:w="7508" w:type="dxa"/>
          </w:tcPr>
          <w:p w14:paraId="541D4218"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Gender-Based Violence</w:t>
            </w:r>
          </w:p>
        </w:tc>
      </w:tr>
      <w:tr w:rsidR="00902F90" w14:paraId="7EDD2C7D"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464F9DE0" w14:textId="77777777" w:rsidR="00902F90" w:rsidRDefault="00902F90">
            <w:r w:rsidRPr="005049BB">
              <w:t>GEDSI</w:t>
            </w:r>
          </w:p>
        </w:tc>
        <w:tc>
          <w:tcPr>
            <w:tcW w:w="7508" w:type="dxa"/>
          </w:tcPr>
          <w:p w14:paraId="77687F00"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Gender Equality, Disability, and Social Inclusion</w:t>
            </w:r>
          </w:p>
        </w:tc>
      </w:tr>
      <w:tr w:rsidR="00D113CB" w14:paraId="093C8EC6"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31384B9E" w14:textId="09FA9A85" w:rsidR="00D113CB" w:rsidRPr="005049BB" w:rsidRDefault="00D113CB">
            <w:r>
              <w:t>GHD</w:t>
            </w:r>
          </w:p>
        </w:tc>
        <w:tc>
          <w:tcPr>
            <w:tcW w:w="7508" w:type="dxa"/>
          </w:tcPr>
          <w:p w14:paraId="57B9AD5C" w14:textId="35935D08" w:rsidR="00D113CB" w:rsidRPr="005049BB" w:rsidRDefault="00D113CB">
            <w:pPr>
              <w:cnfStyle w:val="000000000000" w:firstRow="0" w:lastRow="0" w:firstColumn="0" w:lastColumn="0" w:oddVBand="0" w:evenVBand="0" w:oddHBand="0" w:evenHBand="0" w:firstRowFirstColumn="0" w:firstRowLastColumn="0" w:lastRowFirstColumn="0" w:lastRowLastColumn="0"/>
            </w:pPr>
            <w:r>
              <w:t>GEDSI and Human Development [DFAT]</w:t>
            </w:r>
          </w:p>
        </w:tc>
      </w:tr>
      <w:tr w:rsidR="00902F90" w14:paraId="0F1BAE86"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0600C39B" w14:textId="77777777" w:rsidR="00902F90" w:rsidRDefault="00902F90">
            <w:proofErr w:type="spellStart"/>
            <w:r w:rsidRPr="005049BB">
              <w:t>GoI</w:t>
            </w:r>
            <w:proofErr w:type="spellEnd"/>
          </w:p>
        </w:tc>
        <w:tc>
          <w:tcPr>
            <w:tcW w:w="7508" w:type="dxa"/>
          </w:tcPr>
          <w:p w14:paraId="665CBF16"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Government of Indonesia</w:t>
            </w:r>
          </w:p>
        </w:tc>
      </w:tr>
      <w:tr w:rsidR="002530C5" w14:paraId="08F3E5BC"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74EA9EA9" w14:textId="07D60E0C" w:rsidR="002530C5" w:rsidRPr="005049BB" w:rsidRDefault="002530C5">
            <w:r>
              <w:t>G2G</w:t>
            </w:r>
          </w:p>
        </w:tc>
        <w:tc>
          <w:tcPr>
            <w:tcW w:w="7508" w:type="dxa"/>
          </w:tcPr>
          <w:p w14:paraId="67D59CF9" w14:textId="11E01752" w:rsidR="002530C5" w:rsidRPr="005049BB" w:rsidRDefault="002530C5">
            <w:pPr>
              <w:cnfStyle w:val="000000000000" w:firstRow="0" w:lastRow="0" w:firstColumn="0" w:lastColumn="0" w:oddVBand="0" w:evenVBand="0" w:oddHBand="0" w:evenHBand="0" w:firstRowFirstColumn="0" w:firstRowLastColumn="0" w:lastRowFirstColumn="0" w:lastRowLastColumn="0"/>
            </w:pPr>
            <w:r>
              <w:t>Government-to-Government</w:t>
            </w:r>
          </w:p>
        </w:tc>
      </w:tr>
      <w:tr w:rsidR="00902F90" w14:paraId="631DE5C0"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34030400" w14:textId="77777777" w:rsidR="00902F90" w:rsidRPr="005049BB" w:rsidRDefault="00902F90">
            <w:r>
              <w:t>IDD</w:t>
            </w:r>
          </w:p>
        </w:tc>
        <w:tc>
          <w:tcPr>
            <w:tcW w:w="7508" w:type="dxa"/>
          </w:tcPr>
          <w:p w14:paraId="72BD4C1D" w14:textId="77522597" w:rsidR="00902F90" w:rsidRPr="005049BB" w:rsidRDefault="00902F90">
            <w:pPr>
              <w:cnfStyle w:val="000000000000" w:firstRow="0" w:lastRow="0" w:firstColumn="0" w:lastColumn="0" w:oddVBand="0" w:evenVBand="0" w:oddHBand="0" w:evenHBand="0" w:firstRowFirstColumn="0" w:firstRowLastColumn="0" w:lastRowFirstColumn="0" w:lastRowLastColumn="0"/>
            </w:pPr>
            <w:r>
              <w:t xml:space="preserve">Investment Design Document </w:t>
            </w:r>
            <w:r w:rsidR="00550385">
              <w:t>[</w:t>
            </w:r>
            <w:r>
              <w:t>DFAT</w:t>
            </w:r>
            <w:r w:rsidR="00550385">
              <w:t>]</w:t>
            </w:r>
            <w:r>
              <w:t xml:space="preserve"> </w:t>
            </w:r>
          </w:p>
        </w:tc>
      </w:tr>
      <w:tr w:rsidR="00902F90" w14:paraId="1B656CA2"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0D03E247" w14:textId="77777777" w:rsidR="00902F90" w:rsidRDefault="00902F90">
            <w:r w:rsidRPr="005049BB">
              <w:t>IDERS</w:t>
            </w:r>
          </w:p>
        </w:tc>
        <w:tc>
          <w:tcPr>
            <w:tcW w:w="7508" w:type="dxa"/>
          </w:tcPr>
          <w:p w14:paraId="690C6401" w14:textId="2F3B2C45" w:rsidR="00902F90" w:rsidRDefault="00902F90">
            <w:pPr>
              <w:cnfStyle w:val="000000000000" w:firstRow="0" w:lastRow="0" w:firstColumn="0" w:lastColumn="0" w:oddVBand="0" w:evenVBand="0" w:oddHBand="0" w:evenHBand="0" w:firstRowFirstColumn="0" w:firstRowLastColumn="0" w:lastRowFirstColumn="0" w:lastRowLastColumn="0"/>
            </w:pPr>
            <w:r>
              <w:t xml:space="preserve">International </w:t>
            </w:r>
            <w:r w:rsidRPr="005049BB">
              <w:t xml:space="preserve">Disability Equity and Rights Strategy </w:t>
            </w:r>
            <w:r w:rsidR="00550385">
              <w:t>[</w:t>
            </w:r>
            <w:r w:rsidRPr="005049BB">
              <w:t>DFAT</w:t>
            </w:r>
            <w:r w:rsidR="00550385">
              <w:t>]</w:t>
            </w:r>
          </w:p>
        </w:tc>
      </w:tr>
      <w:tr w:rsidR="00902F90" w14:paraId="12FAA2B9"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1D053668" w14:textId="77777777" w:rsidR="00902F90" w:rsidRDefault="00902F90">
            <w:r w:rsidRPr="005049BB">
              <w:t>IDI</w:t>
            </w:r>
          </w:p>
        </w:tc>
        <w:tc>
          <w:tcPr>
            <w:tcW w:w="7508" w:type="dxa"/>
          </w:tcPr>
          <w:p w14:paraId="6C04E60E"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Indonesian Democracy Index</w:t>
            </w:r>
          </w:p>
        </w:tc>
      </w:tr>
      <w:tr w:rsidR="00902F90" w14:paraId="75200775"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34413B98" w14:textId="77777777" w:rsidR="00902F90" w:rsidRDefault="00902F90">
            <w:r w:rsidRPr="005049BB">
              <w:t>IDP</w:t>
            </w:r>
          </w:p>
        </w:tc>
        <w:tc>
          <w:tcPr>
            <w:tcW w:w="7508" w:type="dxa"/>
          </w:tcPr>
          <w:p w14:paraId="45980C63" w14:textId="0C1E13F5" w:rsidR="00902F90" w:rsidRDefault="00550385">
            <w:pPr>
              <w:cnfStyle w:val="000000000000" w:firstRow="0" w:lastRow="0" w:firstColumn="0" w:lastColumn="0" w:oddVBand="0" w:evenVBand="0" w:oddHBand="0" w:evenHBand="0" w:firstRowFirstColumn="0" w:firstRowLastColumn="0" w:lastRowFirstColumn="0" w:lastRowLastColumn="0"/>
            </w:pPr>
            <w:r>
              <w:t xml:space="preserve">Australia’s </w:t>
            </w:r>
            <w:r w:rsidR="00902F90" w:rsidRPr="005049BB">
              <w:t>International Development Policy</w:t>
            </w:r>
            <w:r>
              <w:t xml:space="preserve"> [DFAT]</w:t>
            </w:r>
          </w:p>
        </w:tc>
      </w:tr>
      <w:tr w:rsidR="00902F90" w14:paraId="4C863ADD"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68CAF702" w14:textId="77777777" w:rsidR="00902F90" w:rsidRDefault="00902F90">
            <w:r w:rsidRPr="005049BB">
              <w:t>IFES</w:t>
            </w:r>
          </w:p>
        </w:tc>
        <w:tc>
          <w:tcPr>
            <w:tcW w:w="7508" w:type="dxa"/>
          </w:tcPr>
          <w:p w14:paraId="4D72E9F5"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International Foundation for Electoral Systems</w:t>
            </w:r>
          </w:p>
        </w:tc>
      </w:tr>
      <w:tr w:rsidR="00902F90" w14:paraId="0CDE0668"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548D087A" w14:textId="77777777" w:rsidR="00902F90" w:rsidRDefault="00902F90">
            <w:r w:rsidRPr="005049BB">
              <w:t>IGES</w:t>
            </w:r>
          </w:p>
        </w:tc>
        <w:tc>
          <w:tcPr>
            <w:tcW w:w="7508" w:type="dxa"/>
          </w:tcPr>
          <w:p w14:paraId="418B0224" w14:textId="382D5971" w:rsidR="00902F90" w:rsidRDefault="00550385">
            <w:pPr>
              <w:cnfStyle w:val="000000000000" w:firstRow="0" w:lastRow="0" w:firstColumn="0" w:lastColumn="0" w:oddVBand="0" w:evenVBand="0" w:oddHBand="0" w:evenHBand="0" w:firstRowFirstColumn="0" w:firstRowLastColumn="0" w:lastRowFirstColumn="0" w:lastRowLastColumn="0"/>
            </w:pPr>
            <w:r>
              <w:t xml:space="preserve">Australia’s </w:t>
            </w:r>
            <w:r w:rsidR="00902F90" w:rsidRPr="005049BB">
              <w:t xml:space="preserve">International Gender Equality Strategy </w:t>
            </w:r>
            <w:r>
              <w:t>[</w:t>
            </w:r>
            <w:r w:rsidR="00902F90" w:rsidRPr="005049BB">
              <w:t>DFAT</w:t>
            </w:r>
            <w:r>
              <w:t>]</w:t>
            </w:r>
          </w:p>
        </w:tc>
      </w:tr>
      <w:tr w:rsidR="00902F90" w14:paraId="005414B1"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3CA889C4" w14:textId="77777777" w:rsidR="00902F90" w:rsidRDefault="00902F90">
            <w:r w:rsidRPr="005049BB">
              <w:t>IGO</w:t>
            </w:r>
          </w:p>
        </w:tc>
        <w:tc>
          <w:tcPr>
            <w:tcW w:w="7508" w:type="dxa"/>
          </w:tcPr>
          <w:p w14:paraId="28B9F0B5"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Intergovernmental Organisation</w:t>
            </w:r>
          </w:p>
        </w:tc>
      </w:tr>
      <w:tr w:rsidR="00902F90" w14:paraId="686D7162"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34AA81F9" w14:textId="77777777" w:rsidR="00902F90" w:rsidRDefault="00902F90">
            <w:r w:rsidRPr="005049BB">
              <w:t>IMR</w:t>
            </w:r>
          </w:p>
        </w:tc>
        <w:tc>
          <w:tcPr>
            <w:tcW w:w="7508" w:type="dxa"/>
          </w:tcPr>
          <w:p w14:paraId="0C4905BA" w14:textId="5AD02A3A" w:rsidR="00902F90" w:rsidRDefault="00902F90">
            <w:pPr>
              <w:cnfStyle w:val="000000000000" w:firstRow="0" w:lastRow="0" w:firstColumn="0" w:lastColumn="0" w:oddVBand="0" w:evenVBand="0" w:oddHBand="0" w:evenHBand="0" w:firstRowFirstColumn="0" w:firstRowLastColumn="0" w:lastRowFirstColumn="0" w:lastRowLastColumn="0"/>
            </w:pPr>
            <w:r w:rsidRPr="005049BB">
              <w:t xml:space="preserve">Investment Monitoring Report </w:t>
            </w:r>
            <w:r w:rsidR="00550385">
              <w:t>[</w:t>
            </w:r>
            <w:r w:rsidRPr="005049BB">
              <w:t>DFAT</w:t>
            </w:r>
            <w:r w:rsidR="00550385">
              <w:t>]</w:t>
            </w:r>
          </w:p>
        </w:tc>
      </w:tr>
      <w:tr w:rsidR="00902F90" w14:paraId="276D53EE"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49A39B03" w14:textId="77777777" w:rsidR="00902F90" w:rsidRDefault="00902F90">
            <w:r w:rsidRPr="005049BB">
              <w:t>INGO</w:t>
            </w:r>
          </w:p>
        </w:tc>
        <w:tc>
          <w:tcPr>
            <w:tcW w:w="7508" w:type="dxa"/>
          </w:tcPr>
          <w:p w14:paraId="247E96D6"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International Non-Governmental Organisation</w:t>
            </w:r>
          </w:p>
        </w:tc>
      </w:tr>
      <w:tr w:rsidR="00902F90" w14:paraId="5E7528E9"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2839902D" w14:textId="77777777" w:rsidR="00902F90" w:rsidRDefault="00902F90">
            <w:r w:rsidRPr="005049BB">
              <w:t>INKLUSI</w:t>
            </w:r>
          </w:p>
        </w:tc>
        <w:tc>
          <w:tcPr>
            <w:tcW w:w="7508" w:type="dxa"/>
          </w:tcPr>
          <w:p w14:paraId="435CE976"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Australia–Indonesia Partnership Towards an Inclusive Society</w:t>
            </w:r>
          </w:p>
        </w:tc>
      </w:tr>
      <w:tr w:rsidR="00902F90" w14:paraId="0F477B29"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4FAF52B4" w14:textId="77777777" w:rsidR="00902F90" w:rsidRDefault="00902F90">
            <w:r w:rsidRPr="005049BB">
              <w:t>IO</w:t>
            </w:r>
          </w:p>
        </w:tc>
        <w:tc>
          <w:tcPr>
            <w:tcW w:w="7508" w:type="dxa"/>
          </w:tcPr>
          <w:p w14:paraId="140497FD"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Intermediate Outcome</w:t>
            </w:r>
          </w:p>
        </w:tc>
      </w:tr>
      <w:tr w:rsidR="00550385" w14:paraId="7963C85E"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19389C07" w14:textId="765FAF9D" w:rsidR="00550385" w:rsidRPr="005049BB" w:rsidRDefault="00550385">
            <w:r>
              <w:t>IPCC</w:t>
            </w:r>
          </w:p>
        </w:tc>
        <w:tc>
          <w:tcPr>
            <w:tcW w:w="7508" w:type="dxa"/>
          </w:tcPr>
          <w:p w14:paraId="2BC68186" w14:textId="4DF80CAD" w:rsidR="00550385" w:rsidRPr="005049BB" w:rsidRDefault="00550385">
            <w:pPr>
              <w:cnfStyle w:val="000000000000" w:firstRow="0" w:lastRow="0" w:firstColumn="0" w:lastColumn="0" w:oddVBand="0" w:evenVBand="0" w:oddHBand="0" w:evenHBand="0" w:firstRowFirstColumn="0" w:firstRowLastColumn="0" w:lastRowFirstColumn="0" w:lastRowLastColumn="0"/>
            </w:pPr>
            <w:r w:rsidRPr="00550385">
              <w:t>Intergovernmental Panel on Climate Change</w:t>
            </w:r>
          </w:p>
        </w:tc>
      </w:tr>
      <w:tr w:rsidR="00902F90" w14:paraId="50408509"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444C9ADA" w14:textId="77777777" w:rsidR="00902F90" w:rsidRDefault="00902F90">
            <w:r w:rsidRPr="005049BB">
              <w:t>IPR</w:t>
            </w:r>
          </w:p>
        </w:tc>
        <w:tc>
          <w:tcPr>
            <w:tcW w:w="7508" w:type="dxa"/>
          </w:tcPr>
          <w:p w14:paraId="49DD778F" w14:textId="79CBF777" w:rsidR="00902F90" w:rsidRDefault="00902F90">
            <w:pPr>
              <w:cnfStyle w:val="000000000000" w:firstRow="0" w:lastRow="0" w:firstColumn="0" w:lastColumn="0" w:oddVBand="0" w:evenVBand="0" w:oddHBand="0" w:evenHBand="0" w:firstRowFirstColumn="0" w:firstRowLastColumn="0" w:lastRowFirstColumn="0" w:lastRowLastColumn="0"/>
            </w:pPr>
            <w:r w:rsidRPr="005049BB">
              <w:t>Institute for Peace and Reconciliation</w:t>
            </w:r>
            <w:r>
              <w:t xml:space="preserve"> </w:t>
            </w:r>
            <w:r w:rsidR="00550385">
              <w:t>[</w:t>
            </w:r>
            <w:r>
              <w:t>ASEAN</w:t>
            </w:r>
            <w:r w:rsidR="00550385">
              <w:t>]</w:t>
            </w:r>
          </w:p>
        </w:tc>
      </w:tr>
      <w:tr w:rsidR="00902F90" w14:paraId="750CFFA0"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563C8D2D" w14:textId="77777777" w:rsidR="00902F90" w:rsidRDefault="00902F90">
            <w:r w:rsidRPr="005049BB">
              <w:t>ISR</w:t>
            </w:r>
          </w:p>
        </w:tc>
        <w:tc>
          <w:tcPr>
            <w:tcW w:w="7508" w:type="dxa"/>
          </w:tcPr>
          <w:p w14:paraId="6C00C831"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Independent Strategic Review</w:t>
            </w:r>
          </w:p>
        </w:tc>
      </w:tr>
      <w:tr w:rsidR="00902F90" w14:paraId="20542643"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0EB798D6" w14:textId="77777777" w:rsidR="00902F90" w:rsidRDefault="00902F90">
            <w:r w:rsidRPr="005049BB">
              <w:t>ITE</w:t>
            </w:r>
          </w:p>
        </w:tc>
        <w:tc>
          <w:tcPr>
            <w:tcW w:w="7508" w:type="dxa"/>
          </w:tcPr>
          <w:p w14:paraId="346EF906" w14:textId="77777777" w:rsidR="00902F90" w:rsidRDefault="00902F90">
            <w:pPr>
              <w:cnfStyle w:val="000000000000" w:firstRow="0" w:lastRow="0" w:firstColumn="0" w:lastColumn="0" w:oddVBand="0" w:evenVBand="0" w:oddHBand="0" w:evenHBand="0" w:firstRowFirstColumn="0" w:firstRowLastColumn="0" w:lastRowFirstColumn="0" w:lastRowLastColumn="0"/>
            </w:pPr>
            <w:proofErr w:type="spellStart"/>
            <w:r w:rsidRPr="005049BB">
              <w:t>Informasi</w:t>
            </w:r>
            <w:proofErr w:type="spellEnd"/>
            <w:r w:rsidRPr="005049BB">
              <w:t xml:space="preserve"> dan </w:t>
            </w:r>
            <w:proofErr w:type="spellStart"/>
            <w:r w:rsidRPr="005049BB">
              <w:t>Transaksi</w:t>
            </w:r>
            <w:proofErr w:type="spellEnd"/>
            <w:r w:rsidRPr="005049BB">
              <w:t xml:space="preserve"> Elektronik (Information and Electronic Transactions Law)</w:t>
            </w:r>
          </w:p>
        </w:tc>
      </w:tr>
      <w:tr w:rsidR="00550385" w14:paraId="7A2E19CC"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4FB2CA7F" w14:textId="3EBCFB8C" w:rsidR="00550385" w:rsidRPr="005049BB" w:rsidRDefault="00550385">
            <w:r>
              <w:t>JDG</w:t>
            </w:r>
          </w:p>
        </w:tc>
        <w:tc>
          <w:tcPr>
            <w:tcW w:w="7508" w:type="dxa"/>
          </w:tcPr>
          <w:p w14:paraId="190F4746" w14:textId="7F63D2E4" w:rsidR="00550385" w:rsidRPr="005049BB" w:rsidRDefault="00550385">
            <w:pPr>
              <w:cnfStyle w:val="000000000000" w:firstRow="0" w:lastRow="0" w:firstColumn="0" w:lastColumn="0" w:oddVBand="0" w:evenVBand="0" w:oddHBand="0" w:evenHBand="0" w:firstRowFirstColumn="0" w:firstRowLastColumn="0" w:lastRowFirstColumn="0" w:lastRowLastColumn="0"/>
            </w:pPr>
            <w:r w:rsidRPr="00550385">
              <w:t>Justice and Democratic Governance</w:t>
            </w:r>
            <w:r>
              <w:t xml:space="preserve"> [DFAT]</w:t>
            </w:r>
          </w:p>
        </w:tc>
      </w:tr>
      <w:tr w:rsidR="00902F90" w14:paraId="26A374C1"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574C8BF7" w14:textId="77777777" w:rsidR="00902F90" w:rsidRDefault="00902F90">
            <w:r w:rsidRPr="005049BB">
              <w:t>KEQ</w:t>
            </w:r>
          </w:p>
        </w:tc>
        <w:tc>
          <w:tcPr>
            <w:tcW w:w="7508" w:type="dxa"/>
          </w:tcPr>
          <w:p w14:paraId="2EA26257"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Key Evaluation Question</w:t>
            </w:r>
          </w:p>
        </w:tc>
      </w:tr>
      <w:tr w:rsidR="00902F90" w14:paraId="0FC1674F"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67C2DF16" w14:textId="77777777" w:rsidR="00902F90" w:rsidRPr="005049BB" w:rsidRDefault="00902F90">
            <w:r>
              <w:t>KPI</w:t>
            </w:r>
          </w:p>
        </w:tc>
        <w:tc>
          <w:tcPr>
            <w:tcW w:w="7508" w:type="dxa"/>
          </w:tcPr>
          <w:p w14:paraId="39F53A11" w14:textId="77777777" w:rsidR="00902F90" w:rsidRPr="005049BB" w:rsidRDefault="00902F90">
            <w:pPr>
              <w:cnfStyle w:val="000000000000" w:firstRow="0" w:lastRow="0" w:firstColumn="0" w:lastColumn="0" w:oddVBand="0" w:evenVBand="0" w:oddHBand="0" w:evenHBand="0" w:firstRowFirstColumn="0" w:firstRowLastColumn="0" w:lastRowFirstColumn="0" w:lastRowLastColumn="0"/>
            </w:pPr>
            <w:r>
              <w:t>Key Performance Indicator</w:t>
            </w:r>
          </w:p>
        </w:tc>
      </w:tr>
      <w:tr w:rsidR="00902F90" w:rsidRPr="005D3442" w14:paraId="0689D677"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09A4FFF8" w14:textId="77777777" w:rsidR="00902F90" w:rsidRDefault="00902F90">
            <w:r w:rsidRPr="005049BB">
              <w:lastRenderedPageBreak/>
              <w:t>KPK</w:t>
            </w:r>
          </w:p>
        </w:tc>
        <w:tc>
          <w:tcPr>
            <w:tcW w:w="7508" w:type="dxa"/>
          </w:tcPr>
          <w:p w14:paraId="19FC7E66" w14:textId="77777777" w:rsidR="00902F90" w:rsidRPr="00DC34FE" w:rsidRDefault="00902F90">
            <w:pPr>
              <w:cnfStyle w:val="000000000000" w:firstRow="0" w:lastRow="0" w:firstColumn="0" w:lastColumn="0" w:oddVBand="0" w:evenVBand="0" w:oddHBand="0" w:evenHBand="0" w:firstRowFirstColumn="0" w:firstRowLastColumn="0" w:lastRowFirstColumn="0" w:lastRowLastColumn="0"/>
              <w:rPr>
                <w:lang w:val="fr-FR"/>
              </w:rPr>
            </w:pPr>
            <w:proofErr w:type="spellStart"/>
            <w:r w:rsidRPr="00DC34FE">
              <w:rPr>
                <w:lang w:val="fr-FR"/>
              </w:rPr>
              <w:t>Komisi</w:t>
            </w:r>
            <w:proofErr w:type="spellEnd"/>
            <w:r w:rsidRPr="00DC34FE">
              <w:rPr>
                <w:lang w:val="fr-FR"/>
              </w:rPr>
              <w:t xml:space="preserve"> </w:t>
            </w:r>
            <w:proofErr w:type="spellStart"/>
            <w:r w:rsidRPr="00DC34FE">
              <w:rPr>
                <w:lang w:val="fr-FR"/>
              </w:rPr>
              <w:t>Pemberantasan</w:t>
            </w:r>
            <w:proofErr w:type="spellEnd"/>
            <w:r w:rsidRPr="00DC34FE">
              <w:rPr>
                <w:lang w:val="fr-FR"/>
              </w:rPr>
              <w:t xml:space="preserve"> Korupsi (Corruption Eradication Commission)</w:t>
            </w:r>
          </w:p>
        </w:tc>
      </w:tr>
      <w:tr w:rsidR="00902F90" w14:paraId="3A3B9E45"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70F54AAD" w14:textId="77777777" w:rsidR="00902F90" w:rsidRDefault="00902F90">
            <w:r w:rsidRPr="005049BB">
              <w:t>KPU</w:t>
            </w:r>
          </w:p>
        </w:tc>
        <w:tc>
          <w:tcPr>
            <w:tcW w:w="7508" w:type="dxa"/>
          </w:tcPr>
          <w:p w14:paraId="0D3EB893" w14:textId="77777777" w:rsidR="00902F90" w:rsidRDefault="00902F90">
            <w:pPr>
              <w:cnfStyle w:val="000000000000" w:firstRow="0" w:lastRow="0" w:firstColumn="0" w:lastColumn="0" w:oddVBand="0" w:evenVBand="0" w:oddHBand="0" w:evenHBand="0" w:firstRowFirstColumn="0" w:firstRowLastColumn="0" w:lastRowFirstColumn="0" w:lastRowLastColumn="0"/>
            </w:pPr>
            <w:proofErr w:type="spellStart"/>
            <w:r w:rsidRPr="005049BB">
              <w:t>Komisi</w:t>
            </w:r>
            <w:proofErr w:type="spellEnd"/>
            <w:r w:rsidRPr="005049BB">
              <w:t xml:space="preserve"> </w:t>
            </w:r>
            <w:proofErr w:type="spellStart"/>
            <w:r w:rsidRPr="005049BB">
              <w:t>Pemilihan</w:t>
            </w:r>
            <w:proofErr w:type="spellEnd"/>
            <w:r w:rsidRPr="005049BB">
              <w:t xml:space="preserve"> Umum (General Elections Commission)</w:t>
            </w:r>
          </w:p>
        </w:tc>
      </w:tr>
      <w:tr w:rsidR="00902F90" w14:paraId="14D980D1"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1C337FC1" w14:textId="77777777" w:rsidR="00902F90" w:rsidRDefault="00902F90">
            <w:r w:rsidRPr="005049BB">
              <w:t>LAN</w:t>
            </w:r>
          </w:p>
        </w:tc>
        <w:tc>
          <w:tcPr>
            <w:tcW w:w="7508" w:type="dxa"/>
          </w:tcPr>
          <w:p w14:paraId="7EB8DBE9"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 xml:space="preserve">Lembaga </w:t>
            </w:r>
            <w:proofErr w:type="spellStart"/>
            <w:r w:rsidRPr="005049BB">
              <w:t>Administrasi</w:t>
            </w:r>
            <w:proofErr w:type="spellEnd"/>
            <w:r w:rsidRPr="005049BB">
              <w:t xml:space="preserve"> Negara (National Institute of Public Administration)</w:t>
            </w:r>
          </w:p>
        </w:tc>
      </w:tr>
      <w:tr w:rsidR="00902F90" w14:paraId="723247D8"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772F9F79" w14:textId="77777777" w:rsidR="00902F90" w:rsidRDefault="00902F90">
            <w:r w:rsidRPr="005049BB">
              <w:t>LES</w:t>
            </w:r>
          </w:p>
        </w:tc>
        <w:tc>
          <w:tcPr>
            <w:tcW w:w="7508" w:type="dxa"/>
          </w:tcPr>
          <w:p w14:paraId="7905E515" w14:textId="20E1850C" w:rsidR="00902F90" w:rsidRDefault="00902F90">
            <w:pPr>
              <w:cnfStyle w:val="000000000000" w:firstRow="0" w:lastRow="0" w:firstColumn="0" w:lastColumn="0" w:oddVBand="0" w:evenVBand="0" w:oddHBand="0" w:evenHBand="0" w:firstRowFirstColumn="0" w:firstRowLastColumn="0" w:lastRowFirstColumn="0" w:lastRowLastColumn="0"/>
            </w:pPr>
            <w:r w:rsidRPr="005049BB">
              <w:t>Locally Engaged Staff</w:t>
            </w:r>
          </w:p>
        </w:tc>
      </w:tr>
      <w:tr w:rsidR="00902F90" w14:paraId="15516237"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1D675E0A" w14:textId="77777777" w:rsidR="00902F90" w:rsidRDefault="00902F90">
            <w:r w:rsidRPr="005049BB">
              <w:t>MC</w:t>
            </w:r>
          </w:p>
        </w:tc>
        <w:tc>
          <w:tcPr>
            <w:tcW w:w="7508" w:type="dxa"/>
          </w:tcPr>
          <w:p w14:paraId="218F6639"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Managing Contractor</w:t>
            </w:r>
          </w:p>
        </w:tc>
      </w:tr>
      <w:tr w:rsidR="00902F90" w14:paraId="0CA98C36"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6E3192B9" w14:textId="77777777" w:rsidR="00902F90" w:rsidRDefault="00902F90">
            <w:r w:rsidRPr="005049BB">
              <w:t>MEL</w:t>
            </w:r>
          </w:p>
        </w:tc>
        <w:tc>
          <w:tcPr>
            <w:tcW w:w="7508" w:type="dxa"/>
          </w:tcPr>
          <w:p w14:paraId="7ED6ACA1"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Monitoring, Evaluation, and Learning</w:t>
            </w:r>
          </w:p>
        </w:tc>
      </w:tr>
      <w:tr w:rsidR="00550385" w14:paraId="72ED2EC3"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03197A53" w14:textId="3060A57B" w:rsidR="00550385" w:rsidRPr="005049BB" w:rsidRDefault="00550385">
            <w:r>
              <w:t>MIS</w:t>
            </w:r>
          </w:p>
        </w:tc>
        <w:tc>
          <w:tcPr>
            <w:tcW w:w="7508" w:type="dxa"/>
          </w:tcPr>
          <w:p w14:paraId="0376782E" w14:textId="60C9DA6D" w:rsidR="00550385" w:rsidRPr="005049BB" w:rsidRDefault="00550385">
            <w:pPr>
              <w:cnfStyle w:val="000000000000" w:firstRow="0" w:lastRow="0" w:firstColumn="0" w:lastColumn="0" w:oddVBand="0" w:evenVBand="0" w:oddHBand="0" w:evenHBand="0" w:firstRowFirstColumn="0" w:firstRowLastColumn="0" w:lastRowFirstColumn="0" w:lastRowLastColumn="0"/>
            </w:pPr>
            <w:r>
              <w:t>Monitoring Information System</w:t>
            </w:r>
          </w:p>
        </w:tc>
      </w:tr>
      <w:tr w:rsidR="00902F90" w14:paraId="227C1057"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5F74A07F" w14:textId="77777777" w:rsidR="00902F90" w:rsidRDefault="00902F90">
            <w:r w:rsidRPr="005049BB">
              <w:t>MK</w:t>
            </w:r>
          </w:p>
        </w:tc>
        <w:tc>
          <w:tcPr>
            <w:tcW w:w="7508" w:type="dxa"/>
          </w:tcPr>
          <w:p w14:paraId="183E20C6" w14:textId="77777777" w:rsidR="00902F90" w:rsidRDefault="00902F90">
            <w:pPr>
              <w:cnfStyle w:val="000000000000" w:firstRow="0" w:lastRow="0" w:firstColumn="0" w:lastColumn="0" w:oddVBand="0" w:evenVBand="0" w:oddHBand="0" w:evenHBand="0" w:firstRowFirstColumn="0" w:firstRowLastColumn="0" w:lastRowFirstColumn="0" w:lastRowLastColumn="0"/>
            </w:pPr>
            <w:proofErr w:type="spellStart"/>
            <w:r w:rsidRPr="005049BB">
              <w:t>Mahkamah</w:t>
            </w:r>
            <w:proofErr w:type="spellEnd"/>
            <w:r w:rsidRPr="005049BB">
              <w:t xml:space="preserve"> </w:t>
            </w:r>
            <w:proofErr w:type="spellStart"/>
            <w:r w:rsidRPr="005049BB">
              <w:t>Konstitusi</w:t>
            </w:r>
            <w:proofErr w:type="spellEnd"/>
            <w:r w:rsidRPr="005049BB">
              <w:t xml:space="preserve"> (Constitutional Court of Indonesia)</w:t>
            </w:r>
          </w:p>
        </w:tc>
      </w:tr>
      <w:tr w:rsidR="00902F90" w14:paraId="02CD1C50"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6650CBFF" w14:textId="6916FF3F" w:rsidR="00902F90" w:rsidRDefault="00902F90">
            <w:r w:rsidRPr="005049BB">
              <w:t>MOHA</w:t>
            </w:r>
          </w:p>
        </w:tc>
        <w:tc>
          <w:tcPr>
            <w:tcW w:w="7508" w:type="dxa"/>
          </w:tcPr>
          <w:p w14:paraId="44AED924" w14:textId="2295E785" w:rsidR="00902F90" w:rsidRDefault="00902F90">
            <w:pPr>
              <w:cnfStyle w:val="000000000000" w:firstRow="0" w:lastRow="0" w:firstColumn="0" w:lastColumn="0" w:oddVBand="0" w:evenVBand="0" w:oddHBand="0" w:evenHBand="0" w:firstRowFirstColumn="0" w:firstRowLastColumn="0" w:lastRowFirstColumn="0" w:lastRowLastColumn="0"/>
            </w:pPr>
            <w:r w:rsidRPr="005049BB">
              <w:t xml:space="preserve">Ministry of Home Affairs </w:t>
            </w:r>
            <w:r w:rsidR="00417A47">
              <w:t>[</w:t>
            </w:r>
            <w:r w:rsidRPr="005049BB">
              <w:t>Indonesia</w:t>
            </w:r>
            <w:r w:rsidR="00417A47">
              <w:t>]</w:t>
            </w:r>
          </w:p>
        </w:tc>
      </w:tr>
      <w:tr w:rsidR="00902F90" w14:paraId="7CBDE97B"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5175D02D" w14:textId="77777777" w:rsidR="00902F90" w:rsidRDefault="00902F90">
            <w:r>
              <w:t>MOU</w:t>
            </w:r>
          </w:p>
        </w:tc>
        <w:tc>
          <w:tcPr>
            <w:tcW w:w="7508" w:type="dxa"/>
          </w:tcPr>
          <w:p w14:paraId="2FC03BAB" w14:textId="77777777" w:rsidR="00902F90" w:rsidRDefault="00902F90">
            <w:pPr>
              <w:cnfStyle w:val="000000000000" w:firstRow="0" w:lastRow="0" w:firstColumn="0" w:lastColumn="0" w:oddVBand="0" w:evenVBand="0" w:oddHBand="0" w:evenHBand="0" w:firstRowFirstColumn="0" w:firstRowLastColumn="0" w:lastRowFirstColumn="0" w:lastRowLastColumn="0"/>
            </w:pPr>
            <w:r>
              <w:t xml:space="preserve">Memorandum of Understanding </w:t>
            </w:r>
          </w:p>
        </w:tc>
      </w:tr>
      <w:tr w:rsidR="00902F90" w14:paraId="45BE09B2"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1CB31623" w14:textId="77777777" w:rsidR="00902F90" w:rsidRDefault="00902F90">
            <w:r w:rsidRPr="005049BB">
              <w:t>NGO</w:t>
            </w:r>
          </w:p>
        </w:tc>
        <w:tc>
          <w:tcPr>
            <w:tcW w:w="7508" w:type="dxa"/>
          </w:tcPr>
          <w:p w14:paraId="1D64F956" w14:textId="6BDF90D6" w:rsidR="00902F90" w:rsidRDefault="00902F90">
            <w:pPr>
              <w:cnfStyle w:val="000000000000" w:firstRow="0" w:lastRow="0" w:firstColumn="0" w:lastColumn="0" w:oddVBand="0" w:evenVBand="0" w:oddHBand="0" w:evenHBand="0" w:firstRowFirstColumn="0" w:firstRowLastColumn="0" w:lastRowFirstColumn="0" w:lastRowLastColumn="0"/>
            </w:pPr>
            <w:r w:rsidRPr="005049BB">
              <w:t>Non-Government Organisation</w:t>
            </w:r>
          </w:p>
        </w:tc>
      </w:tr>
      <w:tr w:rsidR="00902F90" w14:paraId="1BA6C0B9"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2686C702" w14:textId="77777777" w:rsidR="00902F90" w:rsidRDefault="00902F90">
            <w:r w:rsidRPr="005049BB">
              <w:t>ODA</w:t>
            </w:r>
          </w:p>
        </w:tc>
        <w:tc>
          <w:tcPr>
            <w:tcW w:w="7508" w:type="dxa"/>
          </w:tcPr>
          <w:p w14:paraId="1B8D6D4C"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Official Development Assistance</w:t>
            </w:r>
          </w:p>
        </w:tc>
      </w:tr>
      <w:tr w:rsidR="00902F90" w14:paraId="204F690C"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673C30F4" w14:textId="77777777" w:rsidR="00902F90" w:rsidRDefault="00902F90">
            <w:r w:rsidRPr="005049BB">
              <w:t>OECD</w:t>
            </w:r>
          </w:p>
        </w:tc>
        <w:tc>
          <w:tcPr>
            <w:tcW w:w="7508" w:type="dxa"/>
          </w:tcPr>
          <w:p w14:paraId="0B2EDFE1"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Organi</w:t>
            </w:r>
            <w:r>
              <w:t>s</w:t>
            </w:r>
            <w:r w:rsidRPr="005049BB">
              <w:t>ation for Economic Co-operation and Development</w:t>
            </w:r>
          </w:p>
        </w:tc>
      </w:tr>
      <w:tr w:rsidR="00902F90" w14:paraId="0D98BCB0"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217DAE94" w14:textId="77777777" w:rsidR="00902F90" w:rsidRDefault="00902F90">
            <w:r w:rsidRPr="005049BB">
              <w:t>OPD</w:t>
            </w:r>
          </w:p>
        </w:tc>
        <w:tc>
          <w:tcPr>
            <w:tcW w:w="7508" w:type="dxa"/>
          </w:tcPr>
          <w:p w14:paraId="6D9F2699" w14:textId="7AC4526E" w:rsidR="00902F90" w:rsidRDefault="00902F90">
            <w:pPr>
              <w:cnfStyle w:val="000000000000" w:firstRow="0" w:lastRow="0" w:firstColumn="0" w:lastColumn="0" w:oddVBand="0" w:evenVBand="0" w:oddHBand="0" w:evenHBand="0" w:firstRowFirstColumn="0" w:firstRowLastColumn="0" w:lastRowFirstColumn="0" w:lastRowLastColumn="0"/>
            </w:pPr>
            <w:r w:rsidRPr="005049BB">
              <w:t xml:space="preserve">Organisation of </w:t>
            </w:r>
            <w:r w:rsidR="004F1756">
              <w:t>People</w:t>
            </w:r>
            <w:r w:rsidR="004F1756" w:rsidRPr="005049BB">
              <w:t xml:space="preserve"> </w:t>
            </w:r>
            <w:r w:rsidRPr="005049BB">
              <w:t>with Disabilities</w:t>
            </w:r>
          </w:p>
        </w:tc>
      </w:tr>
      <w:tr w:rsidR="00902F90" w14:paraId="35631ADA"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378B5E37" w14:textId="77777777" w:rsidR="00902F90" w:rsidRDefault="00902F90">
            <w:r w:rsidRPr="005049BB">
              <w:t>PAB</w:t>
            </w:r>
          </w:p>
        </w:tc>
        <w:tc>
          <w:tcPr>
            <w:tcW w:w="7508" w:type="dxa"/>
          </w:tcPr>
          <w:p w14:paraId="78AA393F" w14:textId="58F37E97" w:rsidR="00902F90" w:rsidRDefault="00902F90">
            <w:pPr>
              <w:cnfStyle w:val="000000000000" w:firstRow="0" w:lastRow="0" w:firstColumn="0" w:lastColumn="0" w:oddVBand="0" w:evenVBand="0" w:oddHBand="0" w:evenHBand="0" w:firstRowFirstColumn="0" w:firstRowLastColumn="0" w:lastRowFirstColumn="0" w:lastRowLastColumn="0"/>
            </w:pPr>
            <w:r w:rsidRPr="005049BB">
              <w:t xml:space="preserve">Program Advisory Board </w:t>
            </w:r>
            <w:r w:rsidR="00550385">
              <w:t>[</w:t>
            </w:r>
            <w:proofErr w:type="spellStart"/>
            <w:r w:rsidRPr="005049BB">
              <w:t>Partisipasi</w:t>
            </w:r>
            <w:proofErr w:type="spellEnd"/>
            <w:r w:rsidR="00550385">
              <w:t>]</w:t>
            </w:r>
          </w:p>
        </w:tc>
      </w:tr>
      <w:tr w:rsidR="00902F90" w14:paraId="4F635D86"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3609E581" w14:textId="77777777" w:rsidR="00902F90" w:rsidRDefault="00902F90">
            <w:r w:rsidRPr="005049BB">
              <w:t>PAF</w:t>
            </w:r>
          </w:p>
        </w:tc>
        <w:tc>
          <w:tcPr>
            <w:tcW w:w="7508" w:type="dxa"/>
          </w:tcPr>
          <w:p w14:paraId="34B64434"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Performance Assessment Framework</w:t>
            </w:r>
          </w:p>
        </w:tc>
      </w:tr>
      <w:tr w:rsidR="00417A47" w:rsidDel="00417A47" w14:paraId="240147A7"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27980670" w14:textId="49C0B2C9" w:rsidR="00417A47" w:rsidDel="00417A47" w:rsidRDefault="00417A47">
            <w:r>
              <w:t>PEA</w:t>
            </w:r>
          </w:p>
        </w:tc>
        <w:tc>
          <w:tcPr>
            <w:tcW w:w="7508" w:type="dxa"/>
          </w:tcPr>
          <w:p w14:paraId="0E3BB7A7" w14:textId="6C27FDCB" w:rsidR="00417A47" w:rsidDel="00417A47" w:rsidRDefault="00417A47">
            <w:pPr>
              <w:cnfStyle w:val="000000000000" w:firstRow="0" w:lastRow="0" w:firstColumn="0" w:lastColumn="0" w:oddVBand="0" w:evenVBand="0" w:oddHBand="0" w:evenHBand="0" w:firstRowFirstColumn="0" w:firstRowLastColumn="0" w:lastRowFirstColumn="0" w:lastRowLastColumn="0"/>
              <w:rPr>
                <w:rFonts w:eastAsia="Times New Roman" w:cs="Times New Roman"/>
                <w:iCs/>
                <w:szCs w:val="24"/>
                <w:lang w:val="en-AU" w:eastAsia="en-AU"/>
              </w:rPr>
            </w:pPr>
            <w:r>
              <w:rPr>
                <w:rFonts w:eastAsia="Times New Roman" w:cs="Times New Roman"/>
                <w:iCs/>
                <w:szCs w:val="24"/>
                <w:lang w:val="en-AU" w:eastAsia="en-AU"/>
              </w:rPr>
              <w:t>Political Economy Analysis</w:t>
            </w:r>
          </w:p>
        </w:tc>
      </w:tr>
      <w:tr w:rsidR="003C4A5D" w14:paraId="4990DF0C"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1B54836A" w14:textId="5A8326E6" w:rsidR="003C4A5D" w:rsidRPr="005049BB" w:rsidRDefault="003C4A5D">
            <w:r>
              <w:t>PSC</w:t>
            </w:r>
          </w:p>
        </w:tc>
        <w:tc>
          <w:tcPr>
            <w:tcW w:w="7508" w:type="dxa"/>
          </w:tcPr>
          <w:p w14:paraId="14422BA4" w14:textId="0122969E" w:rsidR="003C4A5D" w:rsidRPr="005049BB" w:rsidDel="009762B4" w:rsidRDefault="003C4A5D">
            <w:pPr>
              <w:cnfStyle w:val="000000000000" w:firstRow="0" w:lastRow="0" w:firstColumn="0" w:lastColumn="0" w:oddVBand="0" w:evenVBand="0" w:oddHBand="0" w:evenHBand="0" w:firstRowFirstColumn="0" w:firstRowLastColumn="0" w:lastRowFirstColumn="0" w:lastRowLastColumn="0"/>
            </w:pPr>
            <w:r w:rsidRPr="003C4A5D">
              <w:t>Political and Strategic Communications</w:t>
            </w:r>
            <w:r>
              <w:t xml:space="preserve"> Branch [DFAT]</w:t>
            </w:r>
          </w:p>
        </w:tc>
      </w:tr>
      <w:tr w:rsidR="00902F90" w14:paraId="06F5AC65"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0E38D3FC" w14:textId="77777777" w:rsidR="00902F90" w:rsidRDefault="00902F90">
            <w:r w:rsidRPr="005049BB">
              <w:t>PSEAH</w:t>
            </w:r>
          </w:p>
        </w:tc>
        <w:tc>
          <w:tcPr>
            <w:tcW w:w="7508" w:type="dxa"/>
          </w:tcPr>
          <w:p w14:paraId="35292824" w14:textId="104C3B3A" w:rsidR="00902F90" w:rsidRDefault="009762B4">
            <w:pPr>
              <w:cnfStyle w:val="000000000000" w:firstRow="0" w:lastRow="0" w:firstColumn="0" w:lastColumn="0" w:oddVBand="0" w:evenVBand="0" w:oddHBand="0" w:evenHBand="0" w:firstRowFirstColumn="0" w:firstRowLastColumn="0" w:lastRowFirstColumn="0" w:lastRowLastColumn="0"/>
            </w:pPr>
            <w:r>
              <w:t>Protection from</w:t>
            </w:r>
            <w:r w:rsidRPr="005049BB">
              <w:t xml:space="preserve"> </w:t>
            </w:r>
            <w:r w:rsidR="00902F90" w:rsidRPr="005049BB">
              <w:t>Sexual Exploitation, Abuse</w:t>
            </w:r>
            <w:r w:rsidR="00902F90">
              <w:t>,</w:t>
            </w:r>
            <w:r w:rsidR="00902F90" w:rsidRPr="005049BB">
              <w:t xml:space="preserve"> and Harassment</w:t>
            </w:r>
          </w:p>
        </w:tc>
      </w:tr>
      <w:tr w:rsidR="00902F90" w14:paraId="648BCE69"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19E364D4" w14:textId="77777777" w:rsidR="00902F90" w:rsidRDefault="00902F90">
            <w:r w:rsidRPr="005049BB">
              <w:t>PSU</w:t>
            </w:r>
          </w:p>
        </w:tc>
        <w:tc>
          <w:tcPr>
            <w:tcW w:w="7508" w:type="dxa"/>
          </w:tcPr>
          <w:p w14:paraId="439FCD17" w14:textId="3A30909D" w:rsidR="00902F90" w:rsidRDefault="00902F90">
            <w:pPr>
              <w:cnfStyle w:val="000000000000" w:firstRow="0" w:lastRow="0" w:firstColumn="0" w:lastColumn="0" w:oddVBand="0" w:evenVBand="0" w:oddHBand="0" w:evenHBand="0" w:firstRowFirstColumn="0" w:firstRowLastColumn="0" w:lastRowFirstColumn="0" w:lastRowLastColumn="0"/>
            </w:pPr>
            <w:r w:rsidRPr="005049BB">
              <w:t>Program Support Unit</w:t>
            </w:r>
            <w:r>
              <w:t xml:space="preserve"> </w:t>
            </w:r>
            <w:r w:rsidR="00417A47">
              <w:t>[</w:t>
            </w:r>
            <w:proofErr w:type="spellStart"/>
            <w:r>
              <w:t>Partisipasi</w:t>
            </w:r>
            <w:proofErr w:type="spellEnd"/>
            <w:r w:rsidR="00417A47">
              <w:t>]</w:t>
            </w:r>
            <w:r>
              <w:t xml:space="preserve"> </w:t>
            </w:r>
          </w:p>
        </w:tc>
      </w:tr>
      <w:tr w:rsidR="00902F90" w14:paraId="74D7AE84"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627A70ED" w14:textId="77777777" w:rsidR="00902F90" w:rsidRDefault="00902F90">
            <w:r w:rsidRPr="005049BB">
              <w:t>QISS</w:t>
            </w:r>
          </w:p>
        </w:tc>
        <w:tc>
          <w:tcPr>
            <w:tcW w:w="7508" w:type="dxa"/>
          </w:tcPr>
          <w:p w14:paraId="0E4B2BB0" w14:textId="57FF5415" w:rsidR="00902F90" w:rsidRDefault="00902F90">
            <w:pPr>
              <w:cnfStyle w:val="000000000000" w:firstRow="0" w:lastRow="0" w:firstColumn="0" w:lastColumn="0" w:oddVBand="0" w:evenVBand="0" w:oddHBand="0" w:evenHBand="0" w:firstRowFirstColumn="0" w:firstRowLastColumn="0" w:lastRowFirstColumn="0" w:lastRowLastColumn="0"/>
            </w:pPr>
            <w:r w:rsidRPr="005049BB">
              <w:t>Quality</w:t>
            </w:r>
            <w:r>
              <w:t xml:space="preserve"> Investment Support Service </w:t>
            </w:r>
            <w:r w:rsidR="00417A47">
              <w:t>[</w:t>
            </w:r>
            <w:r>
              <w:t>DFAT</w:t>
            </w:r>
            <w:r w:rsidR="00417A47">
              <w:t>]</w:t>
            </w:r>
          </w:p>
        </w:tc>
      </w:tr>
      <w:tr w:rsidR="00902F90" w14:paraId="7BA9FCDD"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114EE4E8" w14:textId="77777777" w:rsidR="00902F90" w:rsidRDefault="00902F90">
            <w:r>
              <w:t>RANHAM</w:t>
            </w:r>
          </w:p>
        </w:tc>
        <w:tc>
          <w:tcPr>
            <w:tcW w:w="7508" w:type="dxa"/>
          </w:tcPr>
          <w:p w14:paraId="1AB061F0" w14:textId="77777777" w:rsidR="00902F90" w:rsidRPr="00EC70CA" w:rsidRDefault="00902F90">
            <w:pPr>
              <w:cnfStyle w:val="000000000000" w:firstRow="0" w:lastRow="0" w:firstColumn="0" w:lastColumn="0" w:oddVBand="0" w:evenVBand="0" w:oddHBand="0" w:evenHBand="0" w:firstRowFirstColumn="0" w:firstRowLastColumn="0" w:lastRowFirstColumn="0" w:lastRowLastColumn="0"/>
            </w:pPr>
            <w:proofErr w:type="spellStart"/>
            <w:r w:rsidRPr="00486F72">
              <w:t>Rencana</w:t>
            </w:r>
            <w:proofErr w:type="spellEnd"/>
            <w:r w:rsidRPr="00486F72">
              <w:t xml:space="preserve"> Aksi Nasional Hak </w:t>
            </w:r>
            <w:proofErr w:type="spellStart"/>
            <w:r w:rsidRPr="00486F72">
              <w:t>Asasi</w:t>
            </w:r>
            <w:proofErr w:type="spellEnd"/>
            <w:r w:rsidRPr="00486F72">
              <w:t xml:space="preserve"> </w:t>
            </w:r>
            <w:proofErr w:type="spellStart"/>
            <w:r w:rsidRPr="00486F72">
              <w:t>Manusia</w:t>
            </w:r>
            <w:proofErr w:type="spellEnd"/>
            <w:r w:rsidRPr="00486F72">
              <w:t xml:space="preserve"> (</w:t>
            </w:r>
            <w:r w:rsidRPr="00EC70CA">
              <w:t>National Action Plan for Human Rights)</w:t>
            </w:r>
          </w:p>
        </w:tc>
      </w:tr>
      <w:tr w:rsidR="00902F90" w14:paraId="0BF91B2D"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4356B1D5" w14:textId="77777777" w:rsidR="00902F90" w:rsidRDefault="00902F90">
            <w:r w:rsidRPr="005049BB">
              <w:t>RPJMN</w:t>
            </w:r>
          </w:p>
        </w:tc>
        <w:tc>
          <w:tcPr>
            <w:tcW w:w="7508" w:type="dxa"/>
          </w:tcPr>
          <w:p w14:paraId="6FF1027B" w14:textId="77777777" w:rsidR="00902F90" w:rsidRDefault="00902F90">
            <w:pPr>
              <w:cnfStyle w:val="000000000000" w:firstRow="0" w:lastRow="0" w:firstColumn="0" w:lastColumn="0" w:oddVBand="0" w:evenVBand="0" w:oddHBand="0" w:evenHBand="0" w:firstRowFirstColumn="0" w:firstRowLastColumn="0" w:lastRowFirstColumn="0" w:lastRowLastColumn="0"/>
            </w:pPr>
            <w:proofErr w:type="spellStart"/>
            <w:r w:rsidRPr="005049BB">
              <w:t>Rencana</w:t>
            </w:r>
            <w:proofErr w:type="spellEnd"/>
            <w:r w:rsidRPr="005049BB">
              <w:t xml:space="preserve"> Pembangunan Jangka </w:t>
            </w:r>
            <w:proofErr w:type="spellStart"/>
            <w:r w:rsidRPr="005049BB">
              <w:t>Menengah</w:t>
            </w:r>
            <w:proofErr w:type="spellEnd"/>
            <w:r w:rsidRPr="005049BB">
              <w:t xml:space="preserve"> Nasional (National Medium-Term Development Plan)</w:t>
            </w:r>
          </w:p>
        </w:tc>
      </w:tr>
      <w:tr w:rsidR="00902F90" w14:paraId="35880B14"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6E9455CD" w14:textId="77777777" w:rsidR="00902F90" w:rsidRDefault="00902F90">
            <w:r w:rsidRPr="005049BB">
              <w:t>RPJPN</w:t>
            </w:r>
          </w:p>
        </w:tc>
        <w:tc>
          <w:tcPr>
            <w:tcW w:w="7508" w:type="dxa"/>
          </w:tcPr>
          <w:p w14:paraId="4BAC8C1D" w14:textId="77777777" w:rsidR="00902F90" w:rsidRDefault="00902F90">
            <w:pPr>
              <w:cnfStyle w:val="000000000000" w:firstRow="0" w:lastRow="0" w:firstColumn="0" w:lastColumn="0" w:oddVBand="0" w:evenVBand="0" w:oddHBand="0" w:evenHBand="0" w:firstRowFirstColumn="0" w:firstRowLastColumn="0" w:lastRowFirstColumn="0" w:lastRowLastColumn="0"/>
            </w:pPr>
            <w:proofErr w:type="spellStart"/>
            <w:r w:rsidRPr="005049BB">
              <w:t>Rencana</w:t>
            </w:r>
            <w:proofErr w:type="spellEnd"/>
            <w:r w:rsidRPr="005049BB">
              <w:t xml:space="preserve"> Pembangunan Jangka Panjang Nasional (National Long-Term Development Plan)</w:t>
            </w:r>
          </w:p>
        </w:tc>
      </w:tr>
      <w:tr w:rsidR="00902F90" w14:paraId="7512BA8D"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3F1DD03D" w14:textId="77777777" w:rsidR="00902F90" w:rsidRDefault="00902F90">
            <w:r w:rsidRPr="005049BB">
              <w:t>RSF</w:t>
            </w:r>
          </w:p>
        </w:tc>
        <w:tc>
          <w:tcPr>
            <w:tcW w:w="7508" w:type="dxa"/>
          </w:tcPr>
          <w:p w14:paraId="75CA830F"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Reporters Without Borders (Reporters Sans Frontières)</w:t>
            </w:r>
          </w:p>
        </w:tc>
      </w:tr>
      <w:tr w:rsidR="00902F90" w14:paraId="421C48B2"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6A8BA6D6" w14:textId="77777777" w:rsidR="00902F90" w:rsidRDefault="00902F90">
            <w:r w:rsidRPr="005049BB">
              <w:t>SA</w:t>
            </w:r>
          </w:p>
        </w:tc>
        <w:tc>
          <w:tcPr>
            <w:tcW w:w="7508" w:type="dxa"/>
          </w:tcPr>
          <w:p w14:paraId="0A8C4413" w14:textId="136AEE19" w:rsidR="00902F90" w:rsidRDefault="00902F90">
            <w:pPr>
              <w:cnfStyle w:val="000000000000" w:firstRow="0" w:lastRow="0" w:firstColumn="0" w:lastColumn="0" w:oddVBand="0" w:evenVBand="0" w:oddHBand="0" w:evenHBand="0" w:firstRowFirstColumn="0" w:firstRowLastColumn="0" w:lastRowFirstColumn="0" w:lastRowLastColumn="0"/>
            </w:pPr>
            <w:r w:rsidRPr="005049BB">
              <w:t xml:space="preserve">Subsidiary Arrangement </w:t>
            </w:r>
            <w:r w:rsidR="00417A47">
              <w:t>[</w:t>
            </w:r>
            <w:r w:rsidRPr="005049BB">
              <w:t xml:space="preserve">between DFAT and </w:t>
            </w:r>
            <w:proofErr w:type="spellStart"/>
            <w:r w:rsidRPr="005049BB">
              <w:t>GoI</w:t>
            </w:r>
            <w:proofErr w:type="spellEnd"/>
            <w:r w:rsidR="00417A47">
              <w:t>]</w:t>
            </w:r>
          </w:p>
        </w:tc>
      </w:tr>
      <w:tr w:rsidR="00902F90" w14:paraId="3D100C01"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521DAC8E" w14:textId="77777777" w:rsidR="00902F90" w:rsidRDefault="00902F90">
            <w:r w:rsidRPr="005049BB">
              <w:t>SDG</w:t>
            </w:r>
          </w:p>
        </w:tc>
        <w:tc>
          <w:tcPr>
            <w:tcW w:w="7508" w:type="dxa"/>
          </w:tcPr>
          <w:p w14:paraId="57719FE6"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Sustainable Development Goal</w:t>
            </w:r>
          </w:p>
        </w:tc>
      </w:tr>
      <w:tr w:rsidR="00902F90" w14:paraId="314872DD"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2BA946D9" w14:textId="77777777" w:rsidR="00902F90" w:rsidRDefault="00902F90">
            <w:r w:rsidRPr="005049BB">
              <w:t>SOGIESC</w:t>
            </w:r>
          </w:p>
        </w:tc>
        <w:tc>
          <w:tcPr>
            <w:tcW w:w="7508" w:type="dxa"/>
          </w:tcPr>
          <w:p w14:paraId="180FCD6C"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Sexual Orientation, Gender Identity and Expression, and Sex Characteristics</w:t>
            </w:r>
          </w:p>
        </w:tc>
      </w:tr>
      <w:tr w:rsidR="00902F90" w14:paraId="6E5C04CF"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436B5ED4" w14:textId="77777777" w:rsidR="00902F90" w:rsidRDefault="00902F90">
            <w:r w:rsidRPr="005049BB">
              <w:lastRenderedPageBreak/>
              <w:t>STA</w:t>
            </w:r>
          </w:p>
        </w:tc>
        <w:tc>
          <w:tcPr>
            <w:tcW w:w="7508" w:type="dxa"/>
          </w:tcPr>
          <w:p w14:paraId="0921BCFE"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Short-Term Adviser</w:t>
            </w:r>
          </w:p>
        </w:tc>
      </w:tr>
      <w:tr w:rsidR="00902F90" w14:paraId="0401CCC0"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5B315D4D" w14:textId="77777777" w:rsidR="00902F90" w:rsidRDefault="00902F90">
            <w:r w:rsidRPr="005049BB">
              <w:t>TAF</w:t>
            </w:r>
          </w:p>
        </w:tc>
        <w:tc>
          <w:tcPr>
            <w:tcW w:w="7508" w:type="dxa"/>
          </w:tcPr>
          <w:p w14:paraId="0FD54697"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The Asia Foundation</w:t>
            </w:r>
          </w:p>
        </w:tc>
      </w:tr>
      <w:tr w:rsidR="00902F90" w14:paraId="3C86FB72"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54189693" w14:textId="7759BD44" w:rsidR="00902F90" w:rsidRPr="005049BB" w:rsidRDefault="00902F90">
            <w:r>
              <w:t>TA</w:t>
            </w:r>
            <w:r w:rsidR="00DB0BC9">
              <w:t>P</w:t>
            </w:r>
          </w:p>
        </w:tc>
        <w:tc>
          <w:tcPr>
            <w:tcW w:w="7508" w:type="dxa"/>
          </w:tcPr>
          <w:p w14:paraId="4E55616A" w14:textId="48BECE41" w:rsidR="00902F90" w:rsidRPr="005049BB" w:rsidRDefault="00902F90">
            <w:pPr>
              <w:cnfStyle w:val="000000000000" w:firstRow="0" w:lastRow="0" w:firstColumn="0" w:lastColumn="0" w:oddVBand="0" w:evenVBand="0" w:oddHBand="0" w:evenHBand="0" w:firstRowFirstColumn="0" w:firstRowLastColumn="0" w:lastRowFirstColumn="0" w:lastRowLastColumn="0"/>
            </w:pPr>
            <w:r>
              <w:t xml:space="preserve">Technical Advisory </w:t>
            </w:r>
            <w:r w:rsidR="00DB0BC9">
              <w:t>Panel</w:t>
            </w:r>
          </w:p>
        </w:tc>
      </w:tr>
      <w:tr w:rsidR="00902F90" w14:paraId="04516805"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21691963" w14:textId="77777777" w:rsidR="00902F90" w:rsidRDefault="00902F90">
            <w:r w:rsidRPr="005049BB">
              <w:t>TPKS</w:t>
            </w:r>
          </w:p>
        </w:tc>
        <w:tc>
          <w:tcPr>
            <w:tcW w:w="7508" w:type="dxa"/>
          </w:tcPr>
          <w:p w14:paraId="57FF9DB1" w14:textId="77777777" w:rsidR="00902F90" w:rsidRDefault="00902F90">
            <w:pPr>
              <w:cnfStyle w:val="000000000000" w:firstRow="0" w:lastRow="0" w:firstColumn="0" w:lastColumn="0" w:oddVBand="0" w:evenVBand="0" w:oddHBand="0" w:evenHBand="0" w:firstRowFirstColumn="0" w:firstRowLastColumn="0" w:lastRowFirstColumn="0" w:lastRowLastColumn="0"/>
            </w:pPr>
            <w:proofErr w:type="spellStart"/>
            <w:r w:rsidRPr="005049BB">
              <w:t>Tindak</w:t>
            </w:r>
            <w:proofErr w:type="spellEnd"/>
            <w:r w:rsidRPr="005049BB">
              <w:t xml:space="preserve"> Pidana </w:t>
            </w:r>
            <w:proofErr w:type="spellStart"/>
            <w:r w:rsidRPr="005049BB">
              <w:t>Kekerasan</w:t>
            </w:r>
            <w:proofErr w:type="spellEnd"/>
            <w:r w:rsidRPr="005049BB">
              <w:t xml:space="preserve"> </w:t>
            </w:r>
            <w:proofErr w:type="spellStart"/>
            <w:r w:rsidRPr="005049BB">
              <w:t>Seksual</w:t>
            </w:r>
            <w:proofErr w:type="spellEnd"/>
            <w:r w:rsidRPr="005049BB">
              <w:t xml:space="preserve"> (Law on Sexual Violence Crimes)</w:t>
            </w:r>
          </w:p>
        </w:tc>
      </w:tr>
      <w:tr w:rsidR="00417A47" w14:paraId="21249709"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3E15257E" w14:textId="409DD278" w:rsidR="00417A47" w:rsidRDefault="00417A47">
            <w:r>
              <w:t>UK</w:t>
            </w:r>
          </w:p>
        </w:tc>
        <w:tc>
          <w:tcPr>
            <w:tcW w:w="7508" w:type="dxa"/>
          </w:tcPr>
          <w:p w14:paraId="4C4C2B43" w14:textId="4CB3C2E4" w:rsidR="00417A47" w:rsidRDefault="00417A47">
            <w:pPr>
              <w:cnfStyle w:val="000000000000" w:firstRow="0" w:lastRow="0" w:firstColumn="0" w:lastColumn="0" w:oddVBand="0" w:evenVBand="0" w:oddHBand="0" w:evenHBand="0" w:firstRowFirstColumn="0" w:firstRowLastColumn="0" w:lastRowFirstColumn="0" w:lastRowLastColumn="0"/>
            </w:pPr>
            <w:r>
              <w:t>United Kingdom</w:t>
            </w:r>
          </w:p>
        </w:tc>
      </w:tr>
      <w:tr w:rsidR="00417A47" w14:paraId="11BB2638"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3B765E5A" w14:textId="093B4D96" w:rsidR="00417A47" w:rsidRDefault="00417A47">
            <w:r>
              <w:t>UN</w:t>
            </w:r>
          </w:p>
        </w:tc>
        <w:tc>
          <w:tcPr>
            <w:tcW w:w="7508" w:type="dxa"/>
          </w:tcPr>
          <w:p w14:paraId="470E7C16" w14:textId="1EB3C89F" w:rsidR="00417A47" w:rsidRDefault="00417A47">
            <w:pPr>
              <w:cnfStyle w:val="000000000000" w:firstRow="0" w:lastRow="0" w:firstColumn="0" w:lastColumn="0" w:oddVBand="0" w:evenVBand="0" w:oddHBand="0" w:evenHBand="0" w:firstRowFirstColumn="0" w:firstRowLastColumn="0" w:lastRowFirstColumn="0" w:lastRowLastColumn="0"/>
            </w:pPr>
            <w:r>
              <w:t>United Nations</w:t>
            </w:r>
          </w:p>
        </w:tc>
      </w:tr>
      <w:tr w:rsidR="00902F90" w14:paraId="2D1BB643"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42103DB1" w14:textId="77777777" w:rsidR="00902F90" w:rsidRDefault="00902F90">
            <w:r>
              <w:t>UNDP</w:t>
            </w:r>
          </w:p>
        </w:tc>
        <w:tc>
          <w:tcPr>
            <w:tcW w:w="7508" w:type="dxa"/>
          </w:tcPr>
          <w:p w14:paraId="041B79C9" w14:textId="77777777" w:rsidR="00902F90" w:rsidRPr="005049BB" w:rsidRDefault="00902F90">
            <w:pPr>
              <w:cnfStyle w:val="000000000000" w:firstRow="0" w:lastRow="0" w:firstColumn="0" w:lastColumn="0" w:oddVBand="0" w:evenVBand="0" w:oddHBand="0" w:evenHBand="0" w:firstRowFirstColumn="0" w:firstRowLastColumn="0" w:lastRowFirstColumn="0" w:lastRowLastColumn="0"/>
            </w:pPr>
            <w:r>
              <w:t>United Nations Development Programme</w:t>
            </w:r>
          </w:p>
        </w:tc>
      </w:tr>
      <w:tr w:rsidR="00902F90" w14:paraId="56B04A71"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1B2C028E" w14:textId="77777777" w:rsidR="00902F90" w:rsidRDefault="00902F90">
            <w:r>
              <w:t>UNESCO</w:t>
            </w:r>
          </w:p>
        </w:tc>
        <w:tc>
          <w:tcPr>
            <w:tcW w:w="7508" w:type="dxa"/>
          </w:tcPr>
          <w:p w14:paraId="026ACFBD" w14:textId="24987D47" w:rsidR="00902F90" w:rsidRPr="00EC70CA" w:rsidRDefault="00902F90">
            <w:pPr>
              <w:cnfStyle w:val="000000000000" w:firstRow="0" w:lastRow="0" w:firstColumn="0" w:lastColumn="0" w:oddVBand="0" w:evenVBand="0" w:oddHBand="0" w:evenHBand="0" w:firstRowFirstColumn="0" w:firstRowLastColumn="0" w:lastRowFirstColumn="0" w:lastRowLastColumn="0"/>
            </w:pPr>
            <w:r>
              <w:t>United Nations</w:t>
            </w:r>
            <w:r w:rsidR="009762B4">
              <w:t xml:space="preserve"> </w:t>
            </w:r>
            <w:r>
              <w:t xml:space="preserve">Educational, Scientific and Cultural Organization </w:t>
            </w:r>
          </w:p>
        </w:tc>
      </w:tr>
      <w:tr w:rsidR="00902F90" w14:paraId="6D69886B"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4424C784" w14:textId="77777777" w:rsidR="00902F90" w:rsidRDefault="00902F90">
            <w:r w:rsidRPr="005049BB">
              <w:t>USAID</w:t>
            </w:r>
          </w:p>
        </w:tc>
        <w:tc>
          <w:tcPr>
            <w:tcW w:w="7508" w:type="dxa"/>
          </w:tcPr>
          <w:p w14:paraId="5206E41A"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United States Agency for International Development</w:t>
            </w:r>
          </w:p>
        </w:tc>
      </w:tr>
      <w:tr w:rsidR="00902F90" w14:paraId="6742967E"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04A35BF3" w14:textId="77777777" w:rsidR="00902F90" w:rsidRDefault="00902F90">
            <w:r w:rsidRPr="005049BB">
              <w:t>UU</w:t>
            </w:r>
          </w:p>
        </w:tc>
        <w:tc>
          <w:tcPr>
            <w:tcW w:w="7508" w:type="dxa"/>
          </w:tcPr>
          <w:p w14:paraId="0A0B1C1F" w14:textId="77777777" w:rsidR="00902F90" w:rsidRDefault="00902F90">
            <w:pPr>
              <w:cnfStyle w:val="000000000000" w:firstRow="0" w:lastRow="0" w:firstColumn="0" w:lastColumn="0" w:oddVBand="0" w:evenVBand="0" w:oddHBand="0" w:evenHBand="0" w:firstRowFirstColumn="0" w:firstRowLastColumn="0" w:lastRowFirstColumn="0" w:lastRowLastColumn="0"/>
            </w:pPr>
            <w:proofErr w:type="spellStart"/>
            <w:r w:rsidRPr="005049BB">
              <w:t>Undang-Undang</w:t>
            </w:r>
            <w:proofErr w:type="spellEnd"/>
            <w:r w:rsidRPr="005049BB">
              <w:t xml:space="preserve"> (Law)</w:t>
            </w:r>
          </w:p>
        </w:tc>
      </w:tr>
      <w:tr w:rsidR="00902F90" w14:paraId="239ABB5A"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009459B0" w14:textId="77777777" w:rsidR="00902F90" w:rsidRDefault="00902F90">
            <w:r w:rsidRPr="005049BB">
              <w:t>V-Dem</w:t>
            </w:r>
          </w:p>
        </w:tc>
        <w:tc>
          <w:tcPr>
            <w:tcW w:w="7508" w:type="dxa"/>
          </w:tcPr>
          <w:p w14:paraId="5641565B"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Varieties of Democracy Institute</w:t>
            </w:r>
          </w:p>
        </w:tc>
      </w:tr>
      <w:tr w:rsidR="00417A47" w14:paraId="44EB5B0A"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6A19181E" w14:textId="718572D7" w:rsidR="00417A47" w:rsidRPr="005049BB" w:rsidRDefault="00417A47">
            <w:proofErr w:type="spellStart"/>
            <w:r>
              <w:t>VfM</w:t>
            </w:r>
            <w:proofErr w:type="spellEnd"/>
          </w:p>
        </w:tc>
        <w:tc>
          <w:tcPr>
            <w:tcW w:w="7508" w:type="dxa"/>
          </w:tcPr>
          <w:p w14:paraId="5FBF31EE" w14:textId="4B75CFEC" w:rsidR="00417A47" w:rsidRPr="005049BB" w:rsidRDefault="00417A47">
            <w:pPr>
              <w:cnfStyle w:val="000000000000" w:firstRow="0" w:lastRow="0" w:firstColumn="0" w:lastColumn="0" w:oddVBand="0" w:evenVBand="0" w:oddHBand="0" w:evenHBand="0" w:firstRowFirstColumn="0" w:firstRowLastColumn="0" w:lastRowFirstColumn="0" w:lastRowLastColumn="0"/>
            </w:pPr>
            <w:r>
              <w:t>Value for Money</w:t>
            </w:r>
          </w:p>
        </w:tc>
      </w:tr>
      <w:tr w:rsidR="00902F90" w14:paraId="1789C191"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72FA80B3" w14:textId="77777777" w:rsidR="00902F90" w:rsidRDefault="00902F90">
            <w:r w:rsidRPr="005049BB">
              <w:t>WGI</w:t>
            </w:r>
          </w:p>
        </w:tc>
        <w:tc>
          <w:tcPr>
            <w:tcW w:w="7508" w:type="dxa"/>
          </w:tcPr>
          <w:p w14:paraId="0F28491E" w14:textId="7EC38E9C" w:rsidR="00902F90" w:rsidRDefault="00902F90">
            <w:pPr>
              <w:cnfStyle w:val="000000000000" w:firstRow="0" w:lastRow="0" w:firstColumn="0" w:lastColumn="0" w:oddVBand="0" w:evenVBand="0" w:oddHBand="0" w:evenHBand="0" w:firstRowFirstColumn="0" w:firstRowLastColumn="0" w:lastRowFirstColumn="0" w:lastRowLastColumn="0"/>
            </w:pPr>
            <w:r w:rsidRPr="005049BB">
              <w:t xml:space="preserve">Worldwide Governance Indicators </w:t>
            </w:r>
            <w:r w:rsidR="00550385">
              <w:t>[</w:t>
            </w:r>
            <w:r w:rsidRPr="005049BB">
              <w:t>World Bank</w:t>
            </w:r>
            <w:r w:rsidR="00550385">
              <w:t>]</w:t>
            </w:r>
          </w:p>
        </w:tc>
      </w:tr>
      <w:tr w:rsidR="00902F90" w14:paraId="47CB6C0D" w14:textId="77777777" w:rsidTr="00C5377B">
        <w:tc>
          <w:tcPr>
            <w:cnfStyle w:val="001000000000" w:firstRow="0" w:lastRow="0" w:firstColumn="1" w:lastColumn="0" w:oddVBand="0" w:evenVBand="0" w:oddHBand="0" w:evenHBand="0" w:firstRowFirstColumn="0" w:firstRowLastColumn="0" w:lastRowFirstColumn="0" w:lastRowLastColumn="0"/>
            <w:tcW w:w="1843" w:type="dxa"/>
          </w:tcPr>
          <w:p w14:paraId="1AD39DF6" w14:textId="77777777" w:rsidR="00902F90" w:rsidRDefault="00902F90">
            <w:r w:rsidRPr="005049BB">
              <w:t>WRO</w:t>
            </w:r>
          </w:p>
        </w:tc>
        <w:tc>
          <w:tcPr>
            <w:tcW w:w="7508" w:type="dxa"/>
          </w:tcPr>
          <w:p w14:paraId="435FA861" w14:textId="77777777" w:rsidR="00902F90" w:rsidRDefault="00902F90">
            <w:pPr>
              <w:cnfStyle w:val="000000000000" w:firstRow="0" w:lastRow="0" w:firstColumn="0" w:lastColumn="0" w:oddVBand="0" w:evenVBand="0" w:oddHBand="0" w:evenHBand="0" w:firstRowFirstColumn="0" w:firstRowLastColumn="0" w:lastRowFirstColumn="0" w:lastRowLastColumn="0"/>
            </w:pPr>
            <w:r w:rsidRPr="005049BB">
              <w:t>Women’s Rights Organisation</w:t>
            </w:r>
          </w:p>
        </w:tc>
      </w:tr>
      <w:bookmarkEnd w:id="1"/>
    </w:tbl>
    <w:p w14:paraId="6F8DDC1E" w14:textId="7F1BB57C" w:rsidR="001B05CE" w:rsidRDefault="001B05CE" w:rsidP="005D5F12">
      <w:pPr>
        <w:suppressAutoHyphens w:val="0"/>
        <w:spacing w:before="0" w:after="120" w:line="440" w:lineRule="atLeast"/>
        <w:rPr>
          <w:rFonts w:asciiTheme="majorHAnsi" w:hAnsiTheme="majorHAnsi" w:cstheme="majorHAnsi"/>
          <w:sz w:val="38"/>
          <w:szCs w:val="38"/>
        </w:rPr>
      </w:pPr>
      <w:r>
        <w:rPr>
          <w:rFonts w:asciiTheme="majorHAnsi" w:hAnsiTheme="majorHAnsi" w:cstheme="majorHAnsi"/>
          <w:sz w:val="38"/>
          <w:szCs w:val="38"/>
        </w:rPr>
        <w:br w:type="page"/>
      </w:r>
    </w:p>
    <w:p w14:paraId="3DFCAED4" w14:textId="5A22CD4A" w:rsidR="005D5F12" w:rsidRPr="00AF6885" w:rsidRDefault="00EB3B12" w:rsidP="004C5C41">
      <w:pPr>
        <w:pStyle w:val="Heading2"/>
        <w:spacing w:before="0"/>
        <w:rPr>
          <w:rFonts w:cstheme="majorHAnsi"/>
          <w:szCs w:val="38"/>
        </w:rPr>
      </w:pPr>
      <w:bookmarkStart w:id="337" w:name="_Toc232524308"/>
      <w:r>
        <w:rPr>
          <w:rFonts w:cstheme="majorHAnsi"/>
          <w:szCs w:val="38"/>
        </w:rPr>
        <w:lastRenderedPageBreak/>
        <w:t>Annex</w:t>
      </w:r>
      <w:r w:rsidR="005D5F12" w:rsidRPr="005D5F12">
        <w:rPr>
          <w:rFonts w:cstheme="majorHAnsi"/>
          <w:szCs w:val="38"/>
        </w:rPr>
        <w:t xml:space="preserve"> M: Alternative Text for Diagrams</w:t>
      </w:r>
      <w:bookmarkEnd w:id="337"/>
    </w:p>
    <w:p w14:paraId="21CBD861" w14:textId="77777777" w:rsidR="005D5F12" w:rsidRPr="004C5C41" w:rsidRDefault="005D5F12" w:rsidP="004C5C41">
      <w:pPr>
        <w:pStyle w:val="Heading5"/>
        <w:rPr>
          <w:rStyle w:val="Heading3Char"/>
          <w:bCs/>
          <w:iCs w:val="0"/>
        </w:rPr>
      </w:pPr>
      <w:r w:rsidRPr="004C5C41">
        <w:rPr>
          <w:rStyle w:val="Heading3Char"/>
          <w:b w:val="0"/>
          <w:iCs w:val="0"/>
        </w:rPr>
        <w:t>Figure 1: Program Logic Model</w:t>
      </w:r>
    </w:p>
    <w:p w14:paraId="2438C127" w14:textId="77777777" w:rsidR="005D5F12" w:rsidRPr="003A2268" w:rsidRDefault="005D5F12" w:rsidP="006F219B">
      <w:pPr>
        <w:suppressAutoHyphens w:val="0"/>
        <w:spacing w:before="0" w:after="120" w:line="240" w:lineRule="auto"/>
        <w:rPr>
          <w:rFonts w:cstheme="minorHAnsi"/>
          <w:b/>
          <w:bCs/>
        </w:rPr>
      </w:pPr>
      <w:r w:rsidRPr="003A2268">
        <w:rPr>
          <w:rFonts w:cstheme="minorHAnsi"/>
          <w:b/>
          <w:bCs/>
        </w:rPr>
        <w:t>Long Term Goal:</w:t>
      </w:r>
    </w:p>
    <w:p w14:paraId="3056CCAF" w14:textId="77777777" w:rsidR="005D5F12" w:rsidRPr="003A2268" w:rsidRDefault="005D5F12" w:rsidP="006F219B">
      <w:pPr>
        <w:suppressAutoHyphens w:val="0"/>
        <w:spacing w:before="0" w:after="120" w:line="240" w:lineRule="auto"/>
        <w:rPr>
          <w:rFonts w:cstheme="minorHAnsi"/>
        </w:rPr>
      </w:pPr>
      <w:r w:rsidRPr="003A2268">
        <w:rPr>
          <w:rFonts w:cstheme="minorHAnsi"/>
        </w:rPr>
        <w:t xml:space="preserve">Strengthened democratic resilience and participation in Indonesia in ways that align with national development goals. </w:t>
      </w:r>
    </w:p>
    <w:p w14:paraId="0CF73569" w14:textId="77777777" w:rsidR="005D5F12" w:rsidRPr="003A2268" w:rsidRDefault="005D5F12" w:rsidP="006F219B">
      <w:pPr>
        <w:suppressAutoHyphens w:val="0"/>
        <w:spacing w:before="0" w:after="120" w:line="240" w:lineRule="auto"/>
        <w:rPr>
          <w:rFonts w:cstheme="minorHAnsi"/>
          <w:b/>
          <w:bCs/>
        </w:rPr>
      </w:pPr>
      <w:r w:rsidRPr="003A2268">
        <w:rPr>
          <w:rFonts w:cstheme="minorHAnsi"/>
          <w:b/>
          <w:bCs/>
        </w:rPr>
        <w:t xml:space="preserve">Strategic Objective: </w:t>
      </w:r>
    </w:p>
    <w:p w14:paraId="02C8BCD6" w14:textId="77777777" w:rsidR="005D5F12" w:rsidRPr="003A2268" w:rsidRDefault="005D5F12" w:rsidP="006F219B">
      <w:pPr>
        <w:suppressAutoHyphens w:val="0"/>
        <w:spacing w:before="0" w:after="120" w:line="240" w:lineRule="auto"/>
        <w:rPr>
          <w:rFonts w:cstheme="minorHAnsi"/>
        </w:rPr>
      </w:pPr>
      <w:r w:rsidRPr="003A2268">
        <w:rPr>
          <w:rFonts w:cstheme="minorHAnsi"/>
        </w:rPr>
        <w:t xml:space="preserve">To support Indonesian state and non-state actors to strengthen substantive democracy. </w:t>
      </w:r>
    </w:p>
    <w:p w14:paraId="6A01205A" w14:textId="77777777" w:rsidR="005D5F12" w:rsidRPr="003A2268" w:rsidRDefault="005D5F12" w:rsidP="006F219B">
      <w:pPr>
        <w:suppressAutoHyphens w:val="0"/>
        <w:spacing w:before="0" w:after="120" w:line="240" w:lineRule="auto"/>
        <w:rPr>
          <w:rFonts w:cstheme="minorHAnsi"/>
          <w:b/>
          <w:bCs/>
        </w:rPr>
      </w:pPr>
      <w:r w:rsidRPr="003A2268">
        <w:rPr>
          <w:rFonts w:cstheme="minorHAnsi"/>
          <w:b/>
          <w:bCs/>
        </w:rPr>
        <w:t xml:space="preserve">End of Program Outcomes </w:t>
      </w:r>
    </w:p>
    <w:p w14:paraId="484308E5" w14:textId="77777777" w:rsidR="005D5F12" w:rsidRPr="003A2268" w:rsidRDefault="005D5F12" w:rsidP="006F219B">
      <w:pPr>
        <w:suppressAutoHyphens w:val="0"/>
        <w:spacing w:before="0" w:after="120" w:line="240" w:lineRule="auto"/>
        <w:rPr>
          <w:rFonts w:cstheme="minorHAnsi"/>
        </w:rPr>
      </w:pPr>
      <w:r w:rsidRPr="003A2268">
        <w:rPr>
          <w:rFonts w:cstheme="minorHAnsi"/>
        </w:rPr>
        <w:t xml:space="preserve">EOPO1: Strengthened Institutional Resilience: Key Indonesian state actors are better equipped to enhance public engagement and safeguard democracy. </w:t>
      </w:r>
    </w:p>
    <w:p w14:paraId="4EB90EC2" w14:textId="77777777" w:rsidR="005D5F12" w:rsidRPr="003A2268" w:rsidRDefault="005D5F12" w:rsidP="006F219B">
      <w:pPr>
        <w:suppressAutoHyphens w:val="0"/>
        <w:spacing w:before="0" w:after="120" w:line="240" w:lineRule="auto"/>
        <w:rPr>
          <w:rFonts w:cstheme="minorHAnsi"/>
        </w:rPr>
      </w:pPr>
      <w:r w:rsidRPr="003A2268">
        <w:rPr>
          <w:rFonts w:cstheme="minorHAnsi"/>
        </w:rPr>
        <w:t xml:space="preserve">EOPO2: Enhanced Democratic Integrity: Indonesian civil society actors enhance public engagement and promote democratic integrity in targeted areas. </w:t>
      </w:r>
    </w:p>
    <w:p w14:paraId="2C7812F4" w14:textId="77777777" w:rsidR="005D5F12" w:rsidRPr="003A2268" w:rsidRDefault="005D5F12" w:rsidP="006F219B">
      <w:pPr>
        <w:suppressAutoHyphens w:val="0"/>
        <w:spacing w:before="0" w:after="120" w:line="240" w:lineRule="auto"/>
        <w:rPr>
          <w:rFonts w:cstheme="minorHAnsi"/>
        </w:rPr>
      </w:pPr>
      <w:r w:rsidRPr="003A2268">
        <w:rPr>
          <w:rFonts w:cstheme="minorHAnsi"/>
        </w:rPr>
        <w:t xml:space="preserve">EOPO3: Collaborative Democratic Action: Indonesia’s state and non-state actors effectively engage with each other to strengthen democratic participation. </w:t>
      </w:r>
    </w:p>
    <w:p w14:paraId="157BD264" w14:textId="77777777" w:rsidR="005D5F12" w:rsidRPr="003A2268" w:rsidRDefault="005D5F12" w:rsidP="006F219B">
      <w:pPr>
        <w:suppressAutoHyphens w:val="0"/>
        <w:spacing w:before="0" w:after="120" w:line="240" w:lineRule="auto"/>
        <w:rPr>
          <w:rFonts w:cstheme="minorHAnsi"/>
          <w:b/>
          <w:bCs/>
        </w:rPr>
      </w:pPr>
      <w:r w:rsidRPr="003A2268">
        <w:rPr>
          <w:rFonts w:cstheme="minorHAnsi"/>
          <w:b/>
          <w:bCs/>
        </w:rPr>
        <w:t xml:space="preserve">Intermediate Outcomes </w:t>
      </w:r>
    </w:p>
    <w:p w14:paraId="07451C33" w14:textId="77777777" w:rsidR="005D5F12" w:rsidRPr="003A2268" w:rsidRDefault="005D5F12" w:rsidP="006F219B">
      <w:pPr>
        <w:suppressAutoHyphens w:val="0"/>
        <w:spacing w:before="0" w:after="120" w:line="240" w:lineRule="auto"/>
        <w:rPr>
          <w:rFonts w:cstheme="minorHAnsi"/>
        </w:rPr>
      </w:pPr>
      <w:r w:rsidRPr="003A2268">
        <w:rPr>
          <w:rFonts w:cstheme="minorHAnsi"/>
        </w:rPr>
        <w:t xml:space="preserve">IO1.1: Key Indonesian and Australian state actors have improved linkages and shared learning to reinforce democratic </w:t>
      </w:r>
    </w:p>
    <w:p w14:paraId="01578DBF" w14:textId="77777777" w:rsidR="005D5F12" w:rsidRPr="003A2268" w:rsidRDefault="005D5F12" w:rsidP="006F219B">
      <w:pPr>
        <w:suppressAutoHyphens w:val="0"/>
        <w:spacing w:before="0" w:after="120" w:line="240" w:lineRule="auto"/>
        <w:rPr>
          <w:rFonts w:cstheme="minorHAnsi"/>
        </w:rPr>
      </w:pPr>
      <w:r w:rsidRPr="003A2268">
        <w:rPr>
          <w:rFonts w:cstheme="minorHAnsi"/>
        </w:rPr>
        <w:t xml:space="preserve">Outputs: </w:t>
      </w:r>
    </w:p>
    <w:p w14:paraId="16E59B3A" w14:textId="77777777" w:rsidR="005D5F12" w:rsidRPr="003A2268" w:rsidRDefault="005D5F12" w:rsidP="00504B06">
      <w:pPr>
        <w:numPr>
          <w:ilvl w:val="1"/>
          <w:numId w:val="109"/>
        </w:numPr>
        <w:suppressAutoHyphens w:val="0"/>
        <w:spacing w:before="0" w:after="120" w:line="240" w:lineRule="auto"/>
        <w:rPr>
          <w:rFonts w:cstheme="minorHAnsi"/>
        </w:rPr>
      </w:pPr>
      <w:r w:rsidRPr="003A2268">
        <w:rPr>
          <w:rFonts w:cstheme="minorHAnsi"/>
        </w:rPr>
        <w:t xml:space="preserve">Peer-to-peer exchanges completed </w:t>
      </w:r>
    </w:p>
    <w:p w14:paraId="0180B473" w14:textId="77777777" w:rsidR="005D5F12" w:rsidRPr="003A2268" w:rsidRDefault="005D5F12" w:rsidP="00504B06">
      <w:pPr>
        <w:numPr>
          <w:ilvl w:val="1"/>
          <w:numId w:val="109"/>
        </w:numPr>
        <w:suppressAutoHyphens w:val="0"/>
        <w:spacing w:before="0" w:after="120" w:line="240" w:lineRule="auto"/>
        <w:rPr>
          <w:rFonts w:cstheme="minorHAnsi"/>
        </w:rPr>
      </w:pPr>
      <w:r w:rsidRPr="003A2268">
        <w:rPr>
          <w:rFonts w:cstheme="minorHAnsi"/>
        </w:rPr>
        <w:t>Joint study visits and workshops delivered</w:t>
      </w:r>
    </w:p>
    <w:p w14:paraId="41975D7B" w14:textId="77777777" w:rsidR="005D5F12" w:rsidRPr="003A2268" w:rsidRDefault="005D5F12" w:rsidP="00504B06">
      <w:pPr>
        <w:numPr>
          <w:ilvl w:val="1"/>
          <w:numId w:val="109"/>
        </w:numPr>
        <w:suppressAutoHyphens w:val="0"/>
        <w:spacing w:before="0" w:after="120" w:line="240" w:lineRule="auto"/>
        <w:rPr>
          <w:rFonts w:cstheme="minorHAnsi"/>
        </w:rPr>
      </w:pPr>
      <w:r w:rsidRPr="003A2268">
        <w:rPr>
          <w:rFonts w:cstheme="minorHAnsi"/>
        </w:rPr>
        <w:t xml:space="preserve">Dialogue forums held </w:t>
      </w:r>
    </w:p>
    <w:p w14:paraId="66EA14A2" w14:textId="77777777" w:rsidR="005D5F12" w:rsidRPr="003A2268" w:rsidRDefault="005D5F12" w:rsidP="006F219B">
      <w:pPr>
        <w:suppressAutoHyphens w:val="0"/>
        <w:spacing w:before="0" w:after="120" w:line="240" w:lineRule="auto"/>
        <w:rPr>
          <w:rFonts w:cstheme="minorHAnsi"/>
        </w:rPr>
      </w:pPr>
      <w:r w:rsidRPr="003A2268">
        <w:rPr>
          <w:rFonts w:cstheme="minorHAnsi"/>
        </w:rPr>
        <w:t xml:space="preserve">IO1.2: Key state actors demonstrate improved knowledge, skills, and practices that reinforce democratic processes and institutional integrity. </w:t>
      </w:r>
    </w:p>
    <w:p w14:paraId="3D26697D" w14:textId="77777777" w:rsidR="005D5F12" w:rsidRPr="003A2268" w:rsidRDefault="005D5F12" w:rsidP="006F219B">
      <w:pPr>
        <w:suppressAutoHyphens w:val="0"/>
        <w:spacing w:before="0" w:after="120" w:line="240" w:lineRule="auto"/>
        <w:rPr>
          <w:rFonts w:cstheme="minorHAnsi"/>
        </w:rPr>
      </w:pPr>
      <w:r w:rsidRPr="003A2268">
        <w:rPr>
          <w:rFonts w:cstheme="minorHAnsi"/>
        </w:rPr>
        <w:t xml:space="preserve">Outputs:  </w:t>
      </w:r>
    </w:p>
    <w:p w14:paraId="05A9A3B3" w14:textId="77777777" w:rsidR="005D5F12" w:rsidRPr="003A2268" w:rsidRDefault="005D5F12" w:rsidP="00504B06">
      <w:pPr>
        <w:numPr>
          <w:ilvl w:val="1"/>
          <w:numId w:val="109"/>
        </w:numPr>
        <w:suppressAutoHyphens w:val="0"/>
        <w:spacing w:before="0" w:after="120" w:line="240" w:lineRule="auto"/>
        <w:rPr>
          <w:rFonts w:cstheme="minorHAnsi"/>
        </w:rPr>
      </w:pPr>
      <w:r w:rsidRPr="003A2268">
        <w:rPr>
          <w:rFonts w:cstheme="minorHAnsi"/>
        </w:rPr>
        <w:t>Short courses, workshops, mentoring, and study visits completed (with GEDSI targets (Comp 1)</w:t>
      </w:r>
    </w:p>
    <w:p w14:paraId="57F9C1D9" w14:textId="77777777" w:rsidR="005D5F12" w:rsidRPr="003A2268" w:rsidRDefault="005D5F12" w:rsidP="00504B06">
      <w:pPr>
        <w:numPr>
          <w:ilvl w:val="1"/>
          <w:numId w:val="109"/>
        </w:numPr>
        <w:suppressAutoHyphens w:val="0"/>
        <w:spacing w:before="0" w:after="120" w:line="240" w:lineRule="auto"/>
        <w:rPr>
          <w:rFonts w:cstheme="minorHAnsi"/>
        </w:rPr>
      </w:pPr>
      <w:r w:rsidRPr="003A2268">
        <w:rPr>
          <w:rFonts w:cstheme="minorHAnsi"/>
        </w:rPr>
        <w:t>Technical Assistant delivered (Comp 2)</w:t>
      </w:r>
    </w:p>
    <w:p w14:paraId="238E8809" w14:textId="77777777" w:rsidR="005D5F12" w:rsidRPr="003A2268" w:rsidRDefault="005D5F12" w:rsidP="00504B06">
      <w:pPr>
        <w:numPr>
          <w:ilvl w:val="1"/>
          <w:numId w:val="109"/>
        </w:numPr>
        <w:suppressAutoHyphens w:val="0"/>
        <w:spacing w:before="0" w:after="120" w:line="240" w:lineRule="auto"/>
        <w:rPr>
          <w:rFonts w:cstheme="minorHAnsi"/>
        </w:rPr>
      </w:pPr>
      <w:r w:rsidRPr="003A2268">
        <w:rPr>
          <w:rFonts w:cstheme="minorHAnsi"/>
        </w:rPr>
        <w:t xml:space="preserve">Policy- relevant and GEDSI sensitive tools developed and in use (Comp 2) </w:t>
      </w:r>
    </w:p>
    <w:p w14:paraId="204DA60F" w14:textId="0C00D943" w:rsidR="003A2268" w:rsidRDefault="005D5F12" w:rsidP="006F219B">
      <w:pPr>
        <w:suppressAutoHyphens w:val="0"/>
        <w:spacing w:before="0" w:after="120" w:line="240" w:lineRule="auto"/>
        <w:rPr>
          <w:rFonts w:cstheme="minorHAnsi"/>
        </w:rPr>
      </w:pPr>
      <w:r w:rsidRPr="003A2268">
        <w:rPr>
          <w:rFonts w:cstheme="minorHAnsi"/>
        </w:rPr>
        <w:t>IO2.1: Civil society actors are better equipped, and increasingly collaborate with each other to promote democratic resilience, including with youths, women, people with disabilities, and for climate justice.</w:t>
      </w:r>
    </w:p>
    <w:p w14:paraId="7787B76A" w14:textId="254D449B" w:rsidR="005D5F12" w:rsidRPr="003A2268" w:rsidRDefault="005D5F12" w:rsidP="006F219B">
      <w:pPr>
        <w:suppressAutoHyphens w:val="0"/>
        <w:spacing w:before="0" w:after="0" w:line="240" w:lineRule="auto"/>
        <w:rPr>
          <w:rFonts w:cstheme="minorHAnsi"/>
        </w:rPr>
      </w:pPr>
      <w:r w:rsidRPr="003A2268">
        <w:rPr>
          <w:rFonts w:cstheme="minorHAnsi"/>
        </w:rPr>
        <w:t xml:space="preserve">Outputs: </w:t>
      </w:r>
    </w:p>
    <w:p w14:paraId="2C944A01" w14:textId="77777777" w:rsidR="005D5F12" w:rsidRPr="003A2268" w:rsidRDefault="005D5F12" w:rsidP="00504B06">
      <w:pPr>
        <w:numPr>
          <w:ilvl w:val="0"/>
          <w:numId w:val="110"/>
        </w:numPr>
        <w:suppressAutoHyphens w:val="0"/>
        <w:spacing w:before="0" w:after="0" w:line="240" w:lineRule="auto"/>
        <w:rPr>
          <w:rFonts w:cstheme="minorHAnsi"/>
        </w:rPr>
      </w:pPr>
      <w:r w:rsidRPr="003A2268">
        <w:rPr>
          <w:rFonts w:cstheme="minorHAnsi"/>
        </w:rPr>
        <w:t>Functional CSO coalitions</w:t>
      </w:r>
    </w:p>
    <w:p w14:paraId="4FE7E2CD" w14:textId="77777777" w:rsidR="005D5F12" w:rsidRPr="003A2268" w:rsidRDefault="005D5F12" w:rsidP="00504B06">
      <w:pPr>
        <w:numPr>
          <w:ilvl w:val="0"/>
          <w:numId w:val="110"/>
        </w:numPr>
        <w:suppressAutoHyphens w:val="0"/>
        <w:spacing w:before="0" w:after="120" w:line="240" w:lineRule="auto"/>
        <w:rPr>
          <w:rFonts w:cstheme="minorHAnsi"/>
        </w:rPr>
      </w:pPr>
      <w:r w:rsidRPr="003A2268">
        <w:rPr>
          <w:rFonts w:cstheme="minorHAnsi"/>
        </w:rPr>
        <w:t xml:space="preserve">Leadership programs delivered for youths, women, and people with disabilities </w:t>
      </w:r>
    </w:p>
    <w:p w14:paraId="0DF4B588" w14:textId="77777777" w:rsidR="005D5F12" w:rsidRPr="003A2268" w:rsidRDefault="005D5F12" w:rsidP="00504B06">
      <w:pPr>
        <w:numPr>
          <w:ilvl w:val="0"/>
          <w:numId w:val="110"/>
        </w:numPr>
        <w:suppressAutoHyphens w:val="0"/>
        <w:spacing w:before="0" w:after="120" w:line="240" w:lineRule="auto"/>
        <w:rPr>
          <w:rFonts w:cstheme="minorHAnsi"/>
        </w:rPr>
      </w:pPr>
      <w:r w:rsidRPr="003A2268">
        <w:rPr>
          <w:rFonts w:cstheme="minorHAnsi"/>
        </w:rPr>
        <w:t>Locally led initiatives funded</w:t>
      </w:r>
    </w:p>
    <w:p w14:paraId="7FE4DAD3" w14:textId="77777777" w:rsidR="005D5F12" w:rsidRPr="003A2268" w:rsidRDefault="005D5F12" w:rsidP="00504B06">
      <w:pPr>
        <w:numPr>
          <w:ilvl w:val="0"/>
          <w:numId w:val="110"/>
        </w:numPr>
        <w:suppressAutoHyphens w:val="0"/>
        <w:spacing w:before="0" w:after="120" w:line="240" w:lineRule="auto"/>
        <w:rPr>
          <w:rFonts w:cstheme="minorHAnsi"/>
        </w:rPr>
      </w:pPr>
      <w:r w:rsidRPr="003A2268">
        <w:rPr>
          <w:rFonts w:cstheme="minorHAnsi"/>
        </w:rPr>
        <w:t>Safeguard, scenario-planning and adaptive tools adopted</w:t>
      </w:r>
    </w:p>
    <w:p w14:paraId="09ABC83E" w14:textId="77777777" w:rsidR="005D5F12" w:rsidRPr="003A2268" w:rsidRDefault="005D5F12" w:rsidP="006F219B">
      <w:pPr>
        <w:suppressAutoHyphens w:val="0"/>
        <w:spacing w:before="0" w:after="120" w:line="240" w:lineRule="auto"/>
        <w:rPr>
          <w:rFonts w:cstheme="minorHAnsi"/>
        </w:rPr>
      </w:pPr>
      <w:r w:rsidRPr="003A2268">
        <w:rPr>
          <w:rFonts w:cstheme="minorHAnsi"/>
        </w:rPr>
        <w:t xml:space="preserve">IO2.2: The media are better able to deliver quality and independent journalism, uphold integrity, and counter mis/disinformation. </w:t>
      </w:r>
    </w:p>
    <w:p w14:paraId="1E2DA21B" w14:textId="77777777" w:rsidR="005D5F12" w:rsidRPr="003A2268" w:rsidRDefault="005D5F12" w:rsidP="006F219B">
      <w:pPr>
        <w:suppressAutoHyphens w:val="0"/>
        <w:spacing w:before="0" w:after="120" w:line="240" w:lineRule="auto"/>
        <w:rPr>
          <w:rFonts w:cstheme="minorHAnsi"/>
        </w:rPr>
      </w:pPr>
      <w:r w:rsidRPr="003A2268">
        <w:rPr>
          <w:rFonts w:cstheme="minorHAnsi"/>
        </w:rPr>
        <w:t xml:space="preserve">Outputs: </w:t>
      </w:r>
    </w:p>
    <w:p w14:paraId="57B0A665" w14:textId="77777777" w:rsidR="005D5F12" w:rsidRPr="003A2268" w:rsidRDefault="005D5F12" w:rsidP="00504B06">
      <w:pPr>
        <w:numPr>
          <w:ilvl w:val="0"/>
          <w:numId w:val="111"/>
        </w:numPr>
        <w:suppressAutoHyphens w:val="0"/>
        <w:spacing w:before="0" w:after="120" w:line="240" w:lineRule="auto"/>
        <w:rPr>
          <w:rFonts w:cstheme="minorHAnsi"/>
        </w:rPr>
      </w:pPr>
      <w:r w:rsidRPr="003A2268">
        <w:rPr>
          <w:rFonts w:cstheme="minorHAnsi"/>
        </w:rPr>
        <w:lastRenderedPageBreak/>
        <w:t>Trained media professionals apply integrity and verification skills</w:t>
      </w:r>
    </w:p>
    <w:p w14:paraId="2EEC6090" w14:textId="77777777" w:rsidR="005D5F12" w:rsidRPr="003A2268" w:rsidRDefault="005D5F12" w:rsidP="00504B06">
      <w:pPr>
        <w:numPr>
          <w:ilvl w:val="0"/>
          <w:numId w:val="111"/>
        </w:numPr>
        <w:suppressAutoHyphens w:val="0"/>
        <w:spacing w:before="0" w:after="120" w:line="240" w:lineRule="auto"/>
        <w:rPr>
          <w:rFonts w:cstheme="minorHAnsi"/>
        </w:rPr>
      </w:pPr>
      <w:r w:rsidRPr="003A2268">
        <w:rPr>
          <w:rFonts w:cstheme="minorHAnsi"/>
        </w:rPr>
        <w:t xml:space="preserve">Watchdog and fact-checking networks strengthened </w:t>
      </w:r>
    </w:p>
    <w:p w14:paraId="3D412F0F" w14:textId="77777777" w:rsidR="005D5F12" w:rsidRPr="003A2268" w:rsidRDefault="005D5F12" w:rsidP="00504B06">
      <w:pPr>
        <w:numPr>
          <w:ilvl w:val="0"/>
          <w:numId w:val="111"/>
        </w:numPr>
        <w:suppressAutoHyphens w:val="0"/>
        <w:spacing w:before="0" w:after="120" w:line="240" w:lineRule="auto"/>
        <w:rPr>
          <w:rFonts w:cstheme="minorHAnsi"/>
        </w:rPr>
      </w:pPr>
      <w:r w:rsidRPr="003A2268">
        <w:rPr>
          <w:rFonts w:cstheme="minorHAnsi"/>
        </w:rPr>
        <w:t>Civic education products/campaigns produced and disseminated</w:t>
      </w:r>
    </w:p>
    <w:p w14:paraId="08B71584" w14:textId="77777777" w:rsidR="005D5F12" w:rsidRPr="003A2268" w:rsidRDefault="005D5F12" w:rsidP="00504B06">
      <w:pPr>
        <w:numPr>
          <w:ilvl w:val="0"/>
          <w:numId w:val="111"/>
        </w:numPr>
        <w:suppressAutoHyphens w:val="0"/>
        <w:spacing w:before="0" w:after="120" w:line="240" w:lineRule="auto"/>
        <w:rPr>
          <w:rFonts w:cstheme="minorHAnsi"/>
        </w:rPr>
      </w:pPr>
      <w:r w:rsidRPr="003A2268">
        <w:rPr>
          <w:rFonts w:cstheme="minorHAnsi"/>
        </w:rPr>
        <w:t>Media literacy programs delivered at target scale</w:t>
      </w:r>
    </w:p>
    <w:p w14:paraId="72C10BDE" w14:textId="77777777" w:rsidR="005D5F12" w:rsidRPr="003A2268" w:rsidRDefault="005D5F12" w:rsidP="006F219B">
      <w:pPr>
        <w:suppressAutoHyphens w:val="0"/>
        <w:spacing w:before="0" w:after="120" w:line="240" w:lineRule="auto"/>
        <w:rPr>
          <w:rFonts w:cstheme="minorHAnsi"/>
        </w:rPr>
      </w:pPr>
      <w:r w:rsidRPr="003A2268">
        <w:rPr>
          <w:rFonts w:cstheme="minorHAnsi"/>
        </w:rPr>
        <w:t xml:space="preserve">IO3.1: Both state and non-state actors are better equipped and actively engage in more sustained democratic dialogue with each other. </w:t>
      </w:r>
    </w:p>
    <w:p w14:paraId="72F13636" w14:textId="77777777" w:rsidR="005D5F12" w:rsidRPr="003A2268" w:rsidRDefault="005D5F12" w:rsidP="006F219B">
      <w:pPr>
        <w:suppressAutoHyphens w:val="0"/>
        <w:spacing w:before="0" w:after="120" w:line="240" w:lineRule="auto"/>
        <w:rPr>
          <w:rFonts w:cstheme="minorHAnsi"/>
        </w:rPr>
      </w:pPr>
      <w:r w:rsidRPr="003A2268">
        <w:rPr>
          <w:rFonts w:cstheme="minorHAnsi"/>
        </w:rPr>
        <w:t>Outputs:</w:t>
      </w:r>
    </w:p>
    <w:p w14:paraId="2AB9AB7B" w14:textId="77777777" w:rsidR="005D5F12" w:rsidRPr="003A2268" w:rsidRDefault="005D5F12" w:rsidP="00504B06">
      <w:pPr>
        <w:numPr>
          <w:ilvl w:val="0"/>
          <w:numId w:val="112"/>
        </w:numPr>
        <w:suppressAutoHyphens w:val="0"/>
        <w:spacing w:before="0" w:after="120" w:line="240" w:lineRule="auto"/>
        <w:rPr>
          <w:rFonts w:cstheme="minorHAnsi"/>
        </w:rPr>
      </w:pPr>
      <w:r w:rsidRPr="003A2268">
        <w:rPr>
          <w:rFonts w:cstheme="minorHAnsi"/>
        </w:rPr>
        <w:t>Informal and formal multi stakeholder forums and deliberation platforms operational</w:t>
      </w:r>
    </w:p>
    <w:p w14:paraId="2FF45CE2" w14:textId="77777777" w:rsidR="005D5F12" w:rsidRPr="003A2268" w:rsidRDefault="005D5F12" w:rsidP="00504B06">
      <w:pPr>
        <w:numPr>
          <w:ilvl w:val="0"/>
          <w:numId w:val="112"/>
        </w:numPr>
        <w:suppressAutoHyphens w:val="0"/>
        <w:spacing w:before="0" w:after="120" w:line="240" w:lineRule="auto"/>
        <w:rPr>
          <w:rFonts w:cstheme="minorHAnsi"/>
        </w:rPr>
      </w:pPr>
      <w:r w:rsidRPr="003A2268">
        <w:rPr>
          <w:rFonts w:cstheme="minorHAnsi"/>
        </w:rPr>
        <w:t>Community-driven dialogue outputs and agreements documented</w:t>
      </w:r>
    </w:p>
    <w:p w14:paraId="4C9C23B7" w14:textId="77777777" w:rsidR="005D5F12" w:rsidRDefault="005D5F12" w:rsidP="00504B06">
      <w:pPr>
        <w:numPr>
          <w:ilvl w:val="0"/>
          <w:numId w:val="112"/>
        </w:numPr>
        <w:suppressAutoHyphens w:val="0"/>
        <w:spacing w:before="0" w:after="120" w:line="240" w:lineRule="auto"/>
        <w:rPr>
          <w:rFonts w:cstheme="minorHAnsi"/>
        </w:rPr>
      </w:pPr>
      <w:r w:rsidRPr="003A2268">
        <w:rPr>
          <w:rFonts w:cstheme="minorHAnsi"/>
        </w:rPr>
        <w:t>Safe-convening and risk mitigation protocols adopted</w:t>
      </w:r>
    </w:p>
    <w:p w14:paraId="551B121F" w14:textId="5B1D396F" w:rsidR="00EC73E0" w:rsidRDefault="00EC73E0" w:rsidP="00EC73E0">
      <w:pPr>
        <w:suppressAutoHyphens w:val="0"/>
        <w:spacing w:before="0" w:after="120" w:line="240" w:lineRule="auto"/>
        <w:rPr>
          <w:rFonts w:cstheme="minorHAnsi"/>
        </w:rPr>
      </w:pPr>
      <w:r>
        <w:rPr>
          <w:rFonts w:cstheme="minorHAnsi"/>
        </w:rPr>
        <w:t xml:space="preserve">The PSU manages component 1, which </w:t>
      </w:r>
      <w:r w:rsidR="00C91CDB">
        <w:rPr>
          <w:rFonts w:cstheme="minorHAnsi"/>
        </w:rPr>
        <w:t>focuses on IO1.1 and IO1.2.</w:t>
      </w:r>
    </w:p>
    <w:p w14:paraId="4E764AD1" w14:textId="0B2B7EA1" w:rsidR="00C91CDB" w:rsidRPr="003A2268" w:rsidRDefault="00C91CDB" w:rsidP="00EC73E0">
      <w:pPr>
        <w:suppressAutoHyphens w:val="0"/>
        <w:spacing w:before="0" w:after="120" w:line="240" w:lineRule="auto"/>
        <w:rPr>
          <w:rFonts w:cstheme="minorHAnsi"/>
        </w:rPr>
      </w:pPr>
      <w:r>
        <w:rPr>
          <w:rFonts w:cstheme="minorHAnsi"/>
        </w:rPr>
        <w:t xml:space="preserve">The </w:t>
      </w:r>
      <w:r w:rsidR="004A0D5C">
        <w:rPr>
          <w:rFonts w:cstheme="minorHAnsi"/>
        </w:rPr>
        <w:t>CSP manages component 2, which focuses on IO1.2, IO2.1, IO2.2 and IO3.1.</w:t>
      </w:r>
    </w:p>
    <w:p w14:paraId="1D13069D" w14:textId="7D14CABA" w:rsidR="005D5F12" w:rsidRPr="003A2268" w:rsidRDefault="005D5F12" w:rsidP="006F219B">
      <w:pPr>
        <w:suppressAutoHyphens w:val="0"/>
        <w:spacing w:before="0" w:after="120" w:line="240" w:lineRule="auto"/>
        <w:rPr>
          <w:rFonts w:cstheme="minorHAnsi"/>
          <w:b/>
          <w:bCs/>
        </w:rPr>
      </w:pPr>
      <w:r w:rsidRPr="003A2268">
        <w:rPr>
          <w:rFonts w:cstheme="minorHAnsi"/>
          <w:b/>
          <w:bCs/>
        </w:rPr>
        <w:t>Focus Area</w:t>
      </w:r>
      <w:r w:rsidR="004C5C41">
        <w:rPr>
          <w:rFonts w:cstheme="minorHAnsi"/>
          <w:b/>
          <w:bCs/>
        </w:rPr>
        <w:t>s</w:t>
      </w:r>
    </w:p>
    <w:p w14:paraId="7DF1746C" w14:textId="77777777" w:rsidR="005D5F12" w:rsidRPr="003A2268" w:rsidRDefault="005D5F12" w:rsidP="00504B06">
      <w:pPr>
        <w:numPr>
          <w:ilvl w:val="0"/>
          <w:numId w:val="113"/>
        </w:numPr>
        <w:suppressAutoHyphens w:val="0"/>
        <w:spacing w:before="0" w:after="120" w:line="240" w:lineRule="auto"/>
        <w:rPr>
          <w:rFonts w:cstheme="minorHAnsi"/>
        </w:rPr>
      </w:pPr>
      <w:r w:rsidRPr="003A2268">
        <w:rPr>
          <w:rFonts w:cstheme="minorHAnsi"/>
        </w:rPr>
        <w:t>Electoral integrity</w:t>
      </w:r>
    </w:p>
    <w:p w14:paraId="330C46B3" w14:textId="77777777" w:rsidR="005D5F12" w:rsidRPr="003A2268" w:rsidRDefault="005D5F12" w:rsidP="00504B06">
      <w:pPr>
        <w:numPr>
          <w:ilvl w:val="0"/>
          <w:numId w:val="113"/>
        </w:numPr>
        <w:suppressAutoHyphens w:val="0"/>
        <w:spacing w:before="0" w:after="120" w:line="240" w:lineRule="auto"/>
        <w:rPr>
          <w:rFonts w:cstheme="minorHAnsi"/>
        </w:rPr>
      </w:pPr>
      <w:r w:rsidRPr="003A2268">
        <w:rPr>
          <w:rFonts w:cstheme="minorHAnsi"/>
        </w:rPr>
        <w:t xml:space="preserve">Parliamentary Engagement </w:t>
      </w:r>
    </w:p>
    <w:p w14:paraId="7901176B" w14:textId="77777777" w:rsidR="005D5F12" w:rsidRPr="003A2268" w:rsidRDefault="005D5F12" w:rsidP="00504B06">
      <w:pPr>
        <w:numPr>
          <w:ilvl w:val="0"/>
          <w:numId w:val="113"/>
        </w:numPr>
        <w:suppressAutoHyphens w:val="0"/>
        <w:spacing w:before="0" w:after="120" w:line="240" w:lineRule="auto"/>
        <w:rPr>
          <w:rFonts w:cstheme="minorHAnsi"/>
        </w:rPr>
      </w:pPr>
      <w:r w:rsidRPr="003A2268">
        <w:rPr>
          <w:rFonts w:cstheme="minorHAnsi"/>
        </w:rPr>
        <w:t>Civic Participation and Education</w:t>
      </w:r>
    </w:p>
    <w:p w14:paraId="39EC4E45" w14:textId="77777777" w:rsidR="005D5F12" w:rsidRPr="003A2268" w:rsidRDefault="005D5F12" w:rsidP="00504B06">
      <w:pPr>
        <w:numPr>
          <w:ilvl w:val="0"/>
          <w:numId w:val="113"/>
        </w:numPr>
        <w:suppressAutoHyphens w:val="0"/>
        <w:spacing w:before="0" w:after="120" w:line="240" w:lineRule="auto"/>
        <w:rPr>
          <w:rFonts w:cstheme="minorHAnsi"/>
        </w:rPr>
      </w:pPr>
      <w:r w:rsidRPr="003A2268">
        <w:rPr>
          <w:rFonts w:cstheme="minorHAnsi"/>
        </w:rPr>
        <w:t>Independent and Quality Media</w:t>
      </w:r>
    </w:p>
    <w:p w14:paraId="39838435" w14:textId="77777777" w:rsidR="005D5F12" w:rsidRPr="003A2268" w:rsidRDefault="005D5F12" w:rsidP="00504B06">
      <w:pPr>
        <w:numPr>
          <w:ilvl w:val="0"/>
          <w:numId w:val="113"/>
        </w:numPr>
        <w:suppressAutoHyphens w:val="0"/>
        <w:spacing w:before="0" w:after="120" w:line="240" w:lineRule="auto"/>
        <w:rPr>
          <w:rFonts w:cstheme="minorHAnsi"/>
        </w:rPr>
      </w:pPr>
      <w:r w:rsidRPr="003A2268">
        <w:rPr>
          <w:rFonts w:cstheme="minorHAnsi"/>
        </w:rPr>
        <w:t>Countering Mis/Disinformation</w:t>
      </w:r>
    </w:p>
    <w:p w14:paraId="0573C89D" w14:textId="77777777" w:rsidR="005D5F12" w:rsidRPr="004C5C41" w:rsidRDefault="005D5F12" w:rsidP="004C5C41">
      <w:pPr>
        <w:pStyle w:val="Heading5"/>
        <w:rPr>
          <w:rStyle w:val="Heading3Char"/>
          <w:bCs/>
          <w:iCs w:val="0"/>
        </w:rPr>
      </w:pPr>
      <w:r w:rsidRPr="004C5C41">
        <w:rPr>
          <w:rStyle w:val="Heading3Char"/>
          <w:b w:val="0"/>
          <w:iCs w:val="0"/>
        </w:rPr>
        <w:t>Figure 2: Civil Society Partnership (CSP)</w:t>
      </w:r>
    </w:p>
    <w:p w14:paraId="45E3DCF7" w14:textId="77777777" w:rsidR="005D5F12" w:rsidRPr="003A2268" w:rsidRDefault="005D5F12" w:rsidP="006F219B">
      <w:pPr>
        <w:suppressAutoHyphens w:val="0"/>
        <w:spacing w:before="0" w:after="120" w:line="240" w:lineRule="auto"/>
        <w:rPr>
          <w:rFonts w:cstheme="minorHAnsi"/>
        </w:rPr>
      </w:pPr>
      <w:r w:rsidRPr="003A2268">
        <w:rPr>
          <w:rFonts w:cstheme="minorHAnsi"/>
        </w:rPr>
        <w:t>Figure 2 summarises the Civil Society Partnership in picture format. At the centre is the CSP Steering Committee led by the Convenor. Around this are 6 hexagon shapes showing partners representing different parts of civil society and working on different themes: 1) media (traditional and social); 2) academic and think tanks; 3) parliament accountability; 4) electoral integrity; 4) civic participation and education; 5) others (potential for future iterations).</w:t>
      </w:r>
    </w:p>
    <w:p w14:paraId="51A0D6D5" w14:textId="77777777" w:rsidR="005D5F12" w:rsidRPr="004C5C41" w:rsidRDefault="005D5F12" w:rsidP="004C5C41">
      <w:pPr>
        <w:pStyle w:val="Heading5"/>
        <w:rPr>
          <w:rStyle w:val="Heading3Char"/>
          <w:bCs/>
          <w:iCs w:val="0"/>
        </w:rPr>
      </w:pPr>
      <w:r w:rsidRPr="004C5C41">
        <w:rPr>
          <w:rStyle w:val="Heading3Char"/>
          <w:b w:val="0"/>
          <w:iCs w:val="0"/>
        </w:rPr>
        <w:t xml:space="preserve">Figure 3: </w:t>
      </w:r>
      <w:proofErr w:type="spellStart"/>
      <w:r w:rsidRPr="004C5C41">
        <w:rPr>
          <w:rStyle w:val="Heading3Char"/>
          <w:b w:val="0"/>
          <w:iCs w:val="0"/>
        </w:rPr>
        <w:t>Partisipasi</w:t>
      </w:r>
      <w:proofErr w:type="spellEnd"/>
      <w:r w:rsidRPr="004C5C41">
        <w:rPr>
          <w:rStyle w:val="Heading3Char"/>
          <w:b w:val="0"/>
          <w:iCs w:val="0"/>
        </w:rPr>
        <w:t xml:space="preserve"> Governance and Management Structure</w:t>
      </w:r>
    </w:p>
    <w:p w14:paraId="29D48EB2" w14:textId="0B7B2936" w:rsidR="0039460C" w:rsidRPr="003A2268" w:rsidRDefault="005D5F12" w:rsidP="004C5C41">
      <w:pPr>
        <w:suppressAutoHyphens w:val="0"/>
        <w:spacing w:before="0" w:after="120" w:line="240" w:lineRule="auto"/>
        <w:rPr>
          <w:rFonts w:cstheme="minorHAnsi"/>
        </w:rPr>
      </w:pPr>
      <w:r w:rsidRPr="003A2268">
        <w:rPr>
          <w:rFonts w:cstheme="minorHAnsi"/>
        </w:rPr>
        <w:t xml:space="preserve">Figure 3 describes the </w:t>
      </w:r>
      <w:proofErr w:type="spellStart"/>
      <w:r w:rsidRPr="003A2268">
        <w:rPr>
          <w:rFonts w:cstheme="minorHAnsi"/>
        </w:rPr>
        <w:t>Partisipasi</w:t>
      </w:r>
      <w:proofErr w:type="spellEnd"/>
      <w:r w:rsidRPr="003A2268">
        <w:rPr>
          <w:rFonts w:cstheme="minorHAnsi"/>
        </w:rPr>
        <w:t xml:space="preserve"> Governance and Management Structure. It sets out how functions relate to the DFAT Strategic Civil Society Coordination Meeting and/or the Program Advisory Board, as described in sections 5.1 and 5.2. The DFAT </w:t>
      </w:r>
      <w:proofErr w:type="spellStart"/>
      <w:r w:rsidRPr="003A2268">
        <w:rPr>
          <w:rFonts w:cstheme="minorHAnsi"/>
        </w:rPr>
        <w:t>Partisipasi</w:t>
      </w:r>
      <w:proofErr w:type="spellEnd"/>
      <w:r w:rsidRPr="003A2268">
        <w:rPr>
          <w:rFonts w:cstheme="minorHAnsi"/>
        </w:rPr>
        <w:t xml:space="preserve"> Reference Group communicates with other relevant DFAT programs and supports the Program Advisory Board. The DFAT Strategic Civil Society Coordination Meeting oversees other relevant DFAT programs. The Program Advisory Board provides advice on both Components 1 and 2. The CSP Steering Committee focuses on Component 2.</w:t>
      </w:r>
    </w:p>
    <w:sectPr w:rsidR="0039460C" w:rsidRPr="003A2268" w:rsidSect="00902F90">
      <w:pgSz w:w="11906" w:h="16838" w:code="9"/>
      <w:pgMar w:top="1701" w:right="1134" w:bottom="1418" w:left="1134" w:header="425" w:footer="493"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F5C6" w14:textId="77777777" w:rsidR="00F53F7D" w:rsidRDefault="00F53F7D" w:rsidP="00D37B04">
      <w:r>
        <w:separator/>
      </w:r>
    </w:p>
  </w:endnote>
  <w:endnote w:type="continuationSeparator" w:id="0">
    <w:p w14:paraId="43E5E1F3" w14:textId="77777777" w:rsidR="00F53F7D" w:rsidRDefault="00F53F7D" w:rsidP="00D37B04">
      <w:r>
        <w:continuationSeparator/>
      </w:r>
    </w:p>
  </w:endnote>
  <w:endnote w:type="continuationNotice" w:id="1">
    <w:p w14:paraId="30B8386F" w14:textId="77777777" w:rsidR="00F53F7D" w:rsidRDefault="00F53F7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13DB" w14:textId="37494E32" w:rsidR="00902F90" w:rsidRDefault="0073444D">
    <w:pPr>
      <w:pStyle w:val="Footer"/>
      <w:framePr w:wrap="none" w:vAnchor="text" w:hAnchor="margin" w:xAlign="right" w:y="1"/>
      <w:rPr>
        <w:rStyle w:val="PageNumber"/>
      </w:rPr>
    </w:pPr>
    <w:r>
      <w:rPr>
        <w:noProof/>
        <w:color w:val="495965" w:themeColor="text2"/>
      </w:rPr>
      <mc:AlternateContent>
        <mc:Choice Requires="wps">
          <w:drawing>
            <wp:anchor distT="0" distB="0" distL="0" distR="0" simplePos="0" relativeHeight="251660800" behindDoc="0" locked="0" layoutInCell="1" allowOverlap="1" wp14:anchorId="1249B280" wp14:editId="4D0DBB99">
              <wp:simplePos x="635" y="635"/>
              <wp:positionH relativeFrom="page">
                <wp:align>center</wp:align>
              </wp:positionH>
              <wp:positionV relativeFrom="page">
                <wp:align>bottom</wp:align>
              </wp:positionV>
              <wp:extent cx="622300" cy="452755"/>
              <wp:effectExtent l="0" t="0" r="6350" b="0"/>
              <wp:wrapNone/>
              <wp:docPr id="49051113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E4435C8" w14:textId="19D03EA8"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49B280" id="_x0000_t202" coordsize="21600,21600" o:spt="202" path="m,l,21600r21600,l21600,xe">
              <v:stroke joinstyle="miter"/>
              <v:path gradientshapeok="t" o:connecttype="rect"/>
            </v:shapetype>
            <v:shape id="Text Box 9" o:spid="_x0000_s1029" type="#_x0000_t202" alt="OFFICIAL" style="position:absolute;left:0;text-align:left;margin-left:0;margin-top:0;width:49pt;height:35.6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7E4435C8" w14:textId="19D03EA8"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v:textbox>
              <w10:wrap anchorx="page" anchory="page"/>
            </v:shape>
          </w:pict>
        </mc:Fallback>
      </mc:AlternateContent>
    </w:r>
  </w:p>
  <w:sdt>
    <w:sdtPr>
      <w:rPr>
        <w:rStyle w:val="PageNumber"/>
      </w:rPr>
      <w:id w:val="1760945158"/>
      <w:docPartObj>
        <w:docPartGallery w:val="Page Numbers (Bottom of Page)"/>
        <w:docPartUnique/>
      </w:docPartObj>
    </w:sdtPr>
    <w:sdtContent>
      <w:p w14:paraId="16AABA6A" w14:textId="77777777" w:rsidR="00902F90" w:rsidRDefault="00902F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9CAF3F" w14:textId="77777777" w:rsidR="00902F90" w:rsidRDefault="00902F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0CDE" w14:textId="6CDF3187" w:rsidR="00902F90" w:rsidRDefault="0073444D">
    <w:pPr>
      <w:pStyle w:val="Footer"/>
      <w:ind w:right="360"/>
      <w:jc w:val="right"/>
    </w:pPr>
    <w:r>
      <w:rPr>
        <w:noProof/>
      </w:rPr>
      <mc:AlternateContent>
        <mc:Choice Requires="wps">
          <w:drawing>
            <wp:anchor distT="0" distB="0" distL="0" distR="0" simplePos="0" relativeHeight="251665920" behindDoc="0" locked="0" layoutInCell="1" allowOverlap="1" wp14:anchorId="497BF36A" wp14:editId="3CD79E72">
              <wp:simplePos x="724619" y="10075653"/>
              <wp:positionH relativeFrom="page">
                <wp:align>center</wp:align>
              </wp:positionH>
              <wp:positionV relativeFrom="page">
                <wp:align>bottom</wp:align>
              </wp:positionV>
              <wp:extent cx="622300" cy="452755"/>
              <wp:effectExtent l="0" t="0" r="6350" b="0"/>
              <wp:wrapNone/>
              <wp:docPr id="690016164"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55EEE5A" w14:textId="65EAD2C0"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7BF36A" id="_x0000_t202" coordsize="21600,21600" o:spt="202" path="m,l,21600r21600,l21600,xe">
              <v:stroke joinstyle="miter"/>
              <v:path gradientshapeok="t" o:connecttype="rect"/>
            </v:shapetype>
            <v:shape id="Text Box 10" o:spid="_x0000_s1030" type="#_x0000_t202" alt="OFFICIAL" style="position:absolute;left:0;text-align:left;margin-left:0;margin-top:0;width:49pt;height:35.6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455EEE5A" w14:textId="65EAD2C0"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v:textbox>
              <w10:wrap anchorx="page" anchory="page"/>
            </v:shape>
          </w:pict>
        </mc:Fallback>
      </mc:AlternateContent>
    </w:r>
  </w:p>
  <w:p w14:paraId="307265A9" w14:textId="77777777" w:rsidR="00902F90" w:rsidRPr="00FC322F" w:rsidRDefault="00902F90" w:rsidP="00FC322F">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A0E55" w14:textId="1D5ADDDC" w:rsidR="00902F90" w:rsidRPr="00486F72" w:rsidRDefault="0073444D" w:rsidP="00F25185">
    <w:pPr>
      <w:pStyle w:val="Footer"/>
      <w:tabs>
        <w:tab w:val="left" w:pos="2595"/>
      </w:tabs>
      <w:ind w:left="0"/>
      <w:rPr>
        <w:color w:val="auto"/>
        <w:sz w:val="18"/>
        <w:szCs w:val="18"/>
      </w:rPr>
    </w:pPr>
    <w:r>
      <w:rPr>
        <w:noProof/>
        <w:color w:val="auto"/>
        <w:sz w:val="18"/>
        <w:szCs w:val="18"/>
      </w:rPr>
      <mc:AlternateContent>
        <mc:Choice Requires="wps">
          <w:drawing>
            <wp:anchor distT="0" distB="0" distL="0" distR="0" simplePos="0" relativeHeight="251664896" behindDoc="0" locked="0" layoutInCell="1" allowOverlap="1" wp14:anchorId="24EA5EA2" wp14:editId="0E56C60F">
              <wp:simplePos x="724619" y="10075653"/>
              <wp:positionH relativeFrom="page">
                <wp:align>center</wp:align>
              </wp:positionH>
              <wp:positionV relativeFrom="page">
                <wp:align>bottom</wp:align>
              </wp:positionV>
              <wp:extent cx="622300" cy="452755"/>
              <wp:effectExtent l="0" t="0" r="6350" b="0"/>
              <wp:wrapNone/>
              <wp:docPr id="94291709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778FA99" w14:textId="7732A4F5"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EA5EA2" id="_x0000_t202" coordsize="21600,21600" o:spt="202" path="m,l,21600r21600,l21600,xe">
              <v:stroke joinstyle="miter"/>
              <v:path gradientshapeok="t" o:connecttype="rect"/>
            </v:shapetype>
            <v:shape id="Text Box 8" o:spid="_x0000_s1032" type="#_x0000_t202" alt="OFFICIAL" style="position:absolute;margin-left:0;margin-top:0;width:49pt;height:35.6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7778FA99" w14:textId="7732A4F5"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CBD2" w14:textId="3C087FCE" w:rsidR="00902F90" w:rsidRDefault="0073444D">
    <w:pPr>
      <w:pStyle w:val="Footer"/>
      <w:framePr w:wrap="none" w:vAnchor="text" w:hAnchor="margin" w:xAlign="right" w:y="1"/>
      <w:rPr>
        <w:rStyle w:val="PageNumber"/>
      </w:rPr>
    </w:pPr>
    <w:r>
      <w:rPr>
        <w:noProof/>
        <w:color w:val="495965" w:themeColor="text2"/>
      </w:rPr>
      <mc:AlternateContent>
        <mc:Choice Requires="wps">
          <w:drawing>
            <wp:anchor distT="0" distB="0" distL="0" distR="0" simplePos="0" relativeHeight="251661824" behindDoc="0" locked="0" layoutInCell="1" allowOverlap="1" wp14:anchorId="2D1BD708" wp14:editId="69DE0D69">
              <wp:simplePos x="6398895" y="10075545"/>
              <wp:positionH relativeFrom="page">
                <wp:align>center</wp:align>
              </wp:positionH>
              <wp:positionV relativeFrom="page">
                <wp:align>bottom</wp:align>
              </wp:positionV>
              <wp:extent cx="622300" cy="452755"/>
              <wp:effectExtent l="0" t="0" r="6350" b="0"/>
              <wp:wrapNone/>
              <wp:docPr id="78312504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A734168" w14:textId="12A11910"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1BD708" id="_x0000_t202" coordsize="21600,21600" o:spt="202" path="m,l,21600r21600,l21600,xe">
              <v:stroke joinstyle="miter"/>
              <v:path gradientshapeok="t" o:connecttype="rect"/>
            </v:shapetype>
            <v:shape id="Text Box 11" o:spid="_x0000_s1035" type="#_x0000_t202" alt="OFFICIAL" style="position:absolute;left:0;text-align:left;margin-left:0;margin-top:0;width:49pt;height:35.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y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VXJr8fut1AdaSiEYd/eyXVDpe+FD08CacHULYk2&#10;PNKhW+hKDieLsxrw59/8MZ94pyhnHQmm5JYUzVn73dI+orZGA0djm4zpl3we6bF7cwskwym9CCeT&#10;SV4M7WhqBPNCcl7FQhQSVlK5km9H8zYMyqXnINVqlZJIRk6Ee7txMkJHuiKXz/2LQHciPNCmHmBU&#10;kyje8D7kxpverfaB2E9LidQORJ4YJwmmtZ6eS9T46/+UdXnUy1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D+QUjyDgIAABwE&#10;AAAOAAAAAAAAAAAAAAAAAC4CAABkcnMvZTJvRG9jLnhtbFBLAQItABQABgAIAAAAIQCmX8R22gAA&#10;AAMBAAAPAAAAAAAAAAAAAAAAAGgEAABkcnMvZG93bnJldi54bWxQSwUGAAAAAAQABADzAAAAbwUA&#10;AAAA&#10;" filled="f" stroked="f">
              <v:textbox style="mso-fit-shape-to-text:t" inset="0,0,0,15pt">
                <w:txbxContent>
                  <w:p w14:paraId="5A734168" w14:textId="12A11910"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v:textbox>
              <w10:wrap anchorx="page" anchory="page"/>
            </v:shape>
          </w:pict>
        </mc:Fallback>
      </mc:AlternateContent>
    </w:r>
  </w:p>
  <w:p w14:paraId="6BE421EB" w14:textId="0E6C43B1" w:rsidR="00902F90" w:rsidRDefault="00902F90" w:rsidP="00A51D63">
    <w:pPr>
      <w:pStyle w:val="Footer"/>
      <w:framePr w:wrap="none" w:vAnchor="text" w:hAnchor="margin" w:xAlign="right" w:y="1"/>
      <w:ind w:left="0"/>
      <w:rPr>
        <w:rStyle w:val="PageNumber"/>
      </w:rPr>
    </w:pPr>
  </w:p>
  <w:p w14:paraId="5FB4DE40" w14:textId="77777777" w:rsidR="00902F90" w:rsidRDefault="00902F90">
    <w:pPr>
      <w:pStyle w:val="Footer"/>
      <w:ind w:right="360"/>
      <w:jc w:val="right"/>
    </w:pPr>
  </w:p>
  <w:p w14:paraId="18809808" w14:textId="618AA550" w:rsidR="00902F90" w:rsidRPr="00486F72" w:rsidRDefault="00902F90" w:rsidP="00FF45C8">
    <w:pPr>
      <w:pStyle w:val="Footer"/>
      <w:rPr>
        <w:color w:val="595959" w:themeColor="text1" w:themeTint="A6"/>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5287" w14:textId="787DDEDB" w:rsidR="00902F90" w:rsidRPr="00B57CB6" w:rsidRDefault="0073444D">
    <w:pPr>
      <w:pStyle w:val="Footer"/>
      <w:framePr w:wrap="none" w:vAnchor="text" w:hAnchor="margin" w:xAlign="right" w:y="1"/>
      <w:rPr>
        <w:rStyle w:val="PageNumber"/>
        <w:sz w:val="18"/>
        <w:szCs w:val="18"/>
      </w:rPr>
    </w:pPr>
    <w:r>
      <w:rPr>
        <w:noProof/>
        <w:color w:val="495965" w:themeColor="text2"/>
      </w:rPr>
      <mc:AlternateContent>
        <mc:Choice Requires="wps">
          <w:drawing>
            <wp:anchor distT="0" distB="0" distL="0" distR="0" simplePos="0" relativeHeight="251662848" behindDoc="0" locked="0" layoutInCell="1" allowOverlap="1" wp14:anchorId="0FDB7D3C" wp14:editId="6FF8DE22">
              <wp:simplePos x="635" y="635"/>
              <wp:positionH relativeFrom="page">
                <wp:align>center</wp:align>
              </wp:positionH>
              <wp:positionV relativeFrom="page">
                <wp:align>bottom</wp:align>
              </wp:positionV>
              <wp:extent cx="622300" cy="452755"/>
              <wp:effectExtent l="0" t="0" r="6350" b="0"/>
              <wp:wrapNone/>
              <wp:docPr id="53986221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582C95C" w14:textId="6573B3A6"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DB7D3C" id="_x0000_t202" coordsize="21600,21600" o:spt="202" path="m,l,21600r21600,l21600,xe">
              <v:stroke joinstyle="miter"/>
              <v:path gradientshapeok="t" o:connecttype="rect"/>
            </v:shapetype>
            <v:shape id="Text Box 12" o:spid="_x0000_s1036" type="#_x0000_t202" alt="OFFICIAL" style="position:absolute;left:0;text-align:left;margin-left:0;margin-top:0;width:49pt;height:35.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CT/vrPDgIAABwE&#10;AAAOAAAAAAAAAAAAAAAAAC4CAABkcnMvZTJvRG9jLnhtbFBLAQItABQABgAIAAAAIQCmX8R22gAA&#10;AAMBAAAPAAAAAAAAAAAAAAAAAGgEAABkcnMvZG93bnJldi54bWxQSwUGAAAAAAQABADzAAAAbwUA&#10;AAAA&#10;" filled="f" stroked="f">
              <v:textbox style="mso-fit-shape-to-text:t" inset="0,0,0,15pt">
                <w:txbxContent>
                  <w:p w14:paraId="6582C95C" w14:textId="6573B3A6"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v:textbox>
              <w10:wrap anchorx="page" anchory="page"/>
            </v:shape>
          </w:pict>
        </mc:Fallback>
      </mc:AlternateContent>
    </w:r>
    <w:sdt>
      <w:sdtPr>
        <w:rPr>
          <w:rStyle w:val="PageNumber"/>
        </w:rPr>
        <w:id w:val="-1275315008"/>
        <w:docPartObj>
          <w:docPartGallery w:val="Page Numbers (Bottom of Page)"/>
          <w:docPartUnique/>
        </w:docPartObj>
      </w:sdtPr>
      <w:sdtEndPr>
        <w:rPr>
          <w:rStyle w:val="PageNumber"/>
          <w:sz w:val="18"/>
          <w:szCs w:val="18"/>
        </w:rPr>
      </w:sdtEndPr>
      <w:sdtContent>
        <w:r w:rsidR="00902F90" w:rsidRPr="00B57CB6">
          <w:rPr>
            <w:rStyle w:val="PageNumber"/>
            <w:sz w:val="18"/>
            <w:szCs w:val="18"/>
          </w:rPr>
          <w:fldChar w:fldCharType="begin"/>
        </w:r>
        <w:r w:rsidR="00902F90" w:rsidRPr="00B57CB6">
          <w:rPr>
            <w:rStyle w:val="PageNumber"/>
            <w:sz w:val="18"/>
            <w:szCs w:val="18"/>
          </w:rPr>
          <w:instrText xml:space="preserve"> PAGE </w:instrText>
        </w:r>
        <w:r w:rsidR="00902F90" w:rsidRPr="00B57CB6">
          <w:rPr>
            <w:rStyle w:val="PageNumber"/>
            <w:sz w:val="18"/>
            <w:szCs w:val="18"/>
          </w:rPr>
          <w:fldChar w:fldCharType="separate"/>
        </w:r>
        <w:r w:rsidR="00902F90" w:rsidRPr="00B57CB6">
          <w:rPr>
            <w:rStyle w:val="PageNumber"/>
            <w:noProof/>
            <w:sz w:val="18"/>
            <w:szCs w:val="18"/>
          </w:rPr>
          <w:t>ii</w:t>
        </w:r>
        <w:r w:rsidR="00902F90" w:rsidRPr="00B57CB6">
          <w:rPr>
            <w:rStyle w:val="PageNumber"/>
            <w:sz w:val="18"/>
            <w:szCs w:val="18"/>
          </w:rPr>
          <w:fldChar w:fldCharType="end"/>
        </w:r>
      </w:sdtContent>
    </w:sdt>
  </w:p>
  <w:p w14:paraId="6347C554" w14:textId="77777777" w:rsidR="00902F90" w:rsidRDefault="00902F90">
    <w:pPr>
      <w:pStyle w:val="Footer"/>
      <w:ind w:right="360"/>
      <w:jc w:val="right"/>
    </w:pPr>
  </w:p>
  <w:p w14:paraId="29A2599B" w14:textId="76F8BDB3" w:rsidR="00902F90" w:rsidRPr="00486F72" w:rsidRDefault="00902F90" w:rsidP="00FC322F">
    <w:pPr>
      <w:pStyle w:val="Footer"/>
      <w:rPr>
        <w:color w:val="595959" w:themeColor="text1" w:themeTint="A6"/>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F5261" w14:textId="687FE01B" w:rsidR="00902F90" w:rsidRDefault="0073444D">
    <w:pPr>
      <w:pStyle w:val="Footer"/>
      <w:framePr w:wrap="none" w:vAnchor="text" w:hAnchor="margin" w:xAlign="right" w:y="1"/>
      <w:rPr>
        <w:rStyle w:val="PageNumber"/>
      </w:rPr>
    </w:pPr>
    <w:r>
      <w:rPr>
        <w:noProof/>
        <w:color w:val="495965" w:themeColor="text2"/>
      </w:rPr>
      <mc:AlternateContent>
        <mc:Choice Requires="wps">
          <w:drawing>
            <wp:anchor distT="0" distB="0" distL="0" distR="0" simplePos="0" relativeHeight="251663872" behindDoc="0" locked="0" layoutInCell="1" allowOverlap="1" wp14:anchorId="0CC564E5" wp14:editId="407BC9A1">
              <wp:simplePos x="635" y="635"/>
              <wp:positionH relativeFrom="page">
                <wp:align>center</wp:align>
              </wp:positionH>
              <wp:positionV relativeFrom="page">
                <wp:align>bottom</wp:align>
              </wp:positionV>
              <wp:extent cx="622300" cy="452755"/>
              <wp:effectExtent l="0" t="0" r="6350" b="0"/>
              <wp:wrapNone/>
              <wp:docPr id="91730961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391EC65" w14:textId="5026C617"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C564E5" id="_x0000_t202" coordsize="21600,21600" o:spt="202" path="m,l,21600r21600,l21600,xe">
              <v:stroke joinstyle="miter"/>
              <v:path gradientshapeok="t" o:connecttype="rect"/>
            </v:shapetype>
            <v:shape id="Text Box 13" o:spid="_x0000_s1037" type="#_x0000_t202" alt="OFFICIAL" style="position:absolute;left:0;text-align:left;margin-left:0;margin-top:0;width:49pt;height:35.6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KIg3bQNAgAAHQQA&#10;AA4AAAAAAAAAAAAAAAAALgIAAGRycy9lMm9Eb2MueG1sUEsBAi0AFAAGAAgAAAAhAKZfxHbaAAAA&#10;AwEAAA8AAAAAAAAAAAAAAAAAZwQAAGRycy9kb3ducmV2LnhtbFBLBQYAAAAABAAEAPMAAABuBQAA&#10;AAA=&#10;" filled="f" stroked="f">
              <v:textbox style="mso-fit-shape-to-text:t" inset="0,0,0,15pt">
                <w:txbxContent>
                  <w:p w14:paraId="4391EC65" w14:textId="5026C617"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v:textbox>
              <w10:wrap anchorx="page" anchory="page"/>
            </v:shape>
          </w:pict>
        </mc:Fallback>
      </mc:AlternateContent>
    </w:r>
  </w:p>
  <w:sdt>
    <w:sdtPr>
      <w:rPr>
        <w:rStyle w:val="PageNumber"/>
      </w:rPr>
      <w:id w:val="-546292465"/>
      <w:docPartObj>
        <w:docPartGallery w:val="Page Numbers (Bottom of Page)"/>
        <w:docPartUnique/>
      </w:docPartObj>
    </w:sdtPr>
    <w:sdtContent>
      <w:p w14:paraId="593C63EC" w14:textId="77777777" w:rsidR="00902F90" w:rsidRDefault="00902F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F82522" w14:textId="77777777" w:rsidR="00902F90" w:rsidRPr="00486F72" w:rsidRDefault="00902F90">
    <w:pPr>
      <w:pStyle w:val="Footer"/>
      <w:ind w:right="360"/>
      <w:rPr>
        <w:color w:val="auto"/>
        <w:sz w:val="18"/>
        <w:szCs w:val="18"/>
      </w:rPr>
    </w:pPr>
    <w:proofErr w:type="spellStart"/>
    <w:r w:rsidRPr="00486F72">
      <w:rPr>
        <w:color w:val="auto"/>
        <w:sz w:val="18"/>
        <w:szCs w:val="18"/>
      </w:rPr>
      <w:t>Partisipasi</w:t>
    </w:r>
    <w:proofErr w:type="spellEnd"/>
    <w:r w:rsidRPr="00486F72">
      <w:rPr>
        <w:color w:val="auto"/>
        <w:sz w:val="18"/>
        <w:szCs w:val="18"/>
      </w:rPr>
      <w:t xml:space="preserve"> Investment Design Document</w:t>
    </w:r>
  </w:p>
  <w:p w14:paraId="33B577A6" w14:textId="77777777" w:rsidR="00902F90" w:rsidRPr="00486F72" w:rsidRDefault="00902F90">
    <w:pPr>
      <w:pStyle w:val="Footer"/>
      <w:rPr>
        <w:color w:val="auto"/>
        <w:sz w:val="18"/>
        <w:szCs w:val="18"/>
      </w:rPr>
    </w:pPr>
    <w:r w:rsidRPr="00486F72">
      <w:rPr>
        <w:color w:val="auto"/>
        <w:sz w:val="18"/>
        <w:szCs w:val="18"/>
      </w:rPr>
      <w:t>Draft: September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7789414"/>
      <w:docPartObj>
        <w:docPartGallery w:val="Page Numbers (Bottom of Page)"/>
        <w:docPartUnique/>
      </w:docPartObj>
    </w:sdtPr>
    <w:sdtContent>
      <w:p w14:paraId="2D06455E" w14:textId="77777777" w:rsidR="00902F90" w:rsidRDefault="00902F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78AC6F" w14:textId="783D5283" w:rsidR="00902F90" w:rsidRPr="00486F72" w:rsidRDefault="00902F90" w:rsidP="00A51D63">
    <w:pPr>
      <w:pStyle w:val="Footer"/>
      <w:ind w:left="0" w:right="360"/>
      <w:rPr>
        <w:color w:val="auto"/>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7187" w14:textId="6B013E6F" w:rsidR="00614230" w:rsidRDefault="0073444D">
    <w:pPr>
      <w:pStyle w:val="Footer"/>
      <w:framePr w:wrap="none" w:vAnchor="text" w:hAnchor="margin" w:xAlign="right" w:y="1"/>
      <w:rPr>
        <w:rStyle w:val="PageNumber"/>
      </w:rPr>
    </w:pPr>
    <w:r>
      <w:rPr>
        <w:noProof/>
        <w:color w:val="495965" w:themeColor="text2"/>
      </w:rPr>
      <mc:AlternateContent>
        <mc:Choice Requires="wps">
          <w:drawing>
            <wp:anchor distT="0" distB="0" distL="0" distR="0" simplePos="0" relativeHeight="251659776" behindDoc="0" locked="0" layoutInCell="1" allowOverlap="1" wp14:anchorId="29C525D5" wp14:editId="5C62B79B">
              <wp:simplePos x="635" y="635"/>
              <wp:positionH relativeFrom="page">
                <wp:align>center</wp:align>
              </wp:positionH>
              <wp:positionV relativeFrom="page">
                <wp:align>bottom</wp:align>
              </wp:positionV>
              <wp:extent cx="622300" cy="452755"/>
              <wp:effectExtent l="0" t="0" r="6350" b="0"/>
              <wp:wrapNone/>
              <wp:docPr id="614315894"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180A0D4" w14:textId="1EA6BCD5"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C525D5" id="_x0000_t202" coordsize="21600,21600" o:spt="202" path="m,l,21600r21600,l21600,xe">
              <v:stroke joinstyle="miter"/>
              <v:path gradientshapeok="t" o:connecttype="rect"/>
            </v:shapetype>
            <v:shape id="Text Box 15" o:spid="_x0000_s1038" type="#_x0000_t202" alt="OFFICIAL" style="position:absolute;left:0;text-align:left;margin-left:0;margin-top:0;width:49pt;height:35.6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JDQIAAB0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M+fb4kNAgAAHQQA&#10;AA4AAAAAAAAAAAAAAAAALgIAAGRycy9lMm9Eb2MueG1sUEsBAi0AFAAGAAgAAAAhAKZfxHbaAAAA&#10;AwEAAA8AAAAAAAAAAAAAAAAAZwQAAGRycy9kb3ducmV2LnhtbFBLBQYAAAAABAAEAPMAAABuBQAA&#10;AAA=&#10;" filled="f" stroked="f">
              <v:textbox style="mso-fit-shape-to-text:t" inset="0,0,0,15pt">
                <w:txbxContent>
                  <w:p w14:paraId="6180A0D4" w14:textId="1EA6BCD5"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v:textbox>
              <w10:wrap anchorx="page" anchory="page"/>
            </v:shape>
          </w:pict>
        </mc:Fallback>
      </mc:AlternateContent>
    </w:r>
    <w:sdt>
      <w:sdtPr>
        <w:rPr>
          <w:rStyle w:val="PageNumber"/>
        </w:rPr>
        <w:id w:val="1604691432"/>
        <w:docPartObj>
          <w:docPartGallery w:val="Page Numbers (Bottom of Page)"/>
          <w:docPartUnique/>
        </w:docPartObj>
      </w:sdtPr>
      <w:sdtContent>
        <w:r w:rsidR="00614230">
          <w:rPr>
            <w:rStyle w:val="PageNumber"/>
          </w:rPr>
          <w:fldChar w:fldCharType="begin"/>
        </w:r>
        <w:r w:rsidR="00614230">
          <w:rPr>
            <w:rStyle w:val="PageNumber"/>
          </w:rPr>
          <w:instrText xml:space="preserve"> PAGE </w:instrText>
        </w:r>
        <w:r w:rsidR="00614230">
          <w:rPr>
            <w:rStyle w:val="PageNumber"/>
          </w:rPr>
          <w:fldChar w:fldCharType="separate"/>
        </w:r>
        <w:r w:rsidR="00614230">
          <w:rPr>
            <w:rStyle w:val="PageNumber"/>
            <w:noProof/>
          </w:rPr>
          <w:t>4</w:t>
        </w:r>
        <w:r w:rsidR="00614230">
          <w:rPr>
            <w:rStyle w:val="PageNumber"/>
          </w:rPr>
          <w:fldChar w:fldCharType="end"/>
        </w:r>
      </w:sdtContent>
    </w:sdt>
  </w:p>
  <w:p w14:paraId="39D750A3" w14:textId="77777777" w:rsidR="00614230" w:rsidRDefault="006142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8DA82" w14:textId="77777777" w:rsidR="00F53F7D" w:rsidRPr="008C5A0E" w:rsidRDefault="00F53F7D" w:rsidP="00D37B04">
      <w:pPr>
        <w:pStyle w:val="Footer"/>
      </w:pPr>
    </w:p>
  </w:footnote>
  <w:footnote w:type="continuationSeparator" w:id="0">
    <w:p w14:paraId="2CC89DBA" w14:textId="77777777" w:rsidR="00F53F7D" w:rsidRDefault="00F53F7D" w:rsidP="00D37B04">
      <w:r>
        <w:continuationSeparator/>
      </w:r>
    </w:p>
  </w:footnote>
  <w:footnote w:type="continuationNotice" w:id="1">
    <w:p w14:paraId="6B5A185E" w14:textId="77777777" w:rsidR="00F53F7D" w:rsidRDefault="00F53F7D">
      <w:pPr>
        <w:spacing w:before="0" w:after="0" w:line="240" w:lineRule="auto"/>
      </w:pPr>
    </w:p>
  </w:footnote>
  <w:footnote w:id="2">
    <w:p w14:paraId="3EAC7645" w14:textId="08463E99" w:rsidR="0064558E" w:rsidRPr="00463B53" w:rsidRDefault="0064558E">
      <w:pPr>
        <w:pStyle w:val="FootnoteText"/>
        <w:rPr>
          <w:lang w:val="en-US"/>
        </w:rPr>
      </w:pPr>
      <w:r>
        <w:rPr>
          <w:rStyle w:val="FootnoteReference"/>
        </w:rPr>
        <w:footnoteRef/>
      </w:r>
      <w:r w:rsidRPr="00463B53">
        <w:rPr>
          <w:lang w:val="en-US"/>
        </w:rPr>
        <w:t xml:space="preserve"> </w:t>
      </w:r>
      <w:r w:rsidR="00C368DF" w:rsidRPr="00C368DF">
        <w:rPr>
          <w:lang w:val="en-US"/>
        </w:rPr>
        <w:t xml:space="preserve">Asian Barometer Survey. (2023). Public opinion and political trust in Indonesia. Retrieved from </w:t>
      </w:r>
      <w:hyperlink r:id="rId1" w:history="1">
        <w:r w:rsidR="00C368DF" w:rsidRPr="00C368DF">
          <w:rPr>
            <w:rStyle w:val="Hyperlink"/>
            <w:rFonts w:cstheme="minorBidi"/>
            <w:color w:val="7030A0"/>
            <w:lang w:val="en-US"/>
          </w:rPr>
          <w:t>https://asianbarometer.org</w:t>
        </w:r>
      </w:hyperlink>
      <w:r w:rsidR="00C368DF">
        <w:rPr>
          <w:lang w:val="en-US"/>
        </w:rPr>
        <w:t xml:space="preserve">  </w:t>
      </w:r>
    </w:p>
  </w:footnote>
  <w:footnote w:id="3">
    <w:p w14:paraId="6DD4928A" w14:textId="15886D8E" w:rsidR="002A0952" w:rsidRPr="008C22AF" w:rsidRDefault="00902F90" w:rsidP="002A0952">
      <w:pPr>
        <w:pStyle w:val="FootnoteText"/>
        <w:rPr>
          <w:lang w:val="en-AU"/>
        </w:rPr>
      </w:pPr>
      <w:r>
        <w:rPr>
          <w:rStyle w:val="FootnoteReference"/>
        </w:rPr>
        <w:footnoteRef/>
      </w:r>
      <w:r>
        <w:t xml:space="preserve"> International IDEA: </w:t>
      </w:r>
      <w:hyperlink r:id="rId2" w:history="1">
        <w:r w:rsidR="002A0952" w:rsidRPr="00060F9B">
          <w:rPr>
            <w:rStyle w:val="Hyperlink"/>
            <w:rFonts w:cstheme="minorBidi"/>
          </w:rPr>
          <w:t>https://www.idea.int/democracytracker/country/indonesia</w:t>
        </w:r>
      </w:hyperlink>
    </w:p>
  </w:footnote>
  <w:footnote w:id="4">
    <w:p w14:paraId="06892525" w14:textId="1B61E484" w:rsidR="002A0952" w:rsidRPr="008C22AF" w:rsidRDefault="00902F90" w:rsidP="002A0952">
      <w:pPr>
        <w:pStyle w:val="FootnoteText"/>
        <w:ind w:left="0" w:firstLine="0"/>
        <w:rPr>
          <w:lang w:val="en-AU"/>
        </w:rPr>
      </w:pPr>
      <w:r>
        <w:rPr>
          <w:rStyle w:val="FootnoteReference"/>
        </w:rPr>
        <w:footnoteRef/>
      </w:r>
      <w:r>
        <w:t xml:space="preserve"> Economist Intelligence Unit: </w:t>
      </w:r>
      <w:hyperlink r:id="rId3" w:history="1">
        <w:r w:rsidR="002A0952" w:rsidRPr="009B6E6B">
          <w:rPr>
            <w:rStyle w:val="Hyperlink"/>
            <w:rFonts w:cstheme="minorBidi"/>
            <w:color w:val="7030A0"/>
          </w:rPr>
          <w:t>https://www.eiu.com/n/</w:t>
        </w:r>
      </w:hyperlink>
    </w:p>
  </w:footnote>
  <w:footnote w:id="5">
    <w:p w14:paraId="2C722883" w14:textId="117D9FA3" w:rsidR="002A0952" w:rsidRPr="00BE0DA0" w:rsidRDefault="00902F90" w:rsidP="002A0952">
      <w:pPr>
        <w:pStyle w:val="FootnoteText"/>
        <w:ind w:left="0" w:firstLine="0"/>
        <w:rPr>
          <w:lang w:val="en-AU"/>
        </w:rPr>
      </w:pPr>
      <w:r>
        <w:rPr>
          <w:rStyle w:val="FootnoteReference"/>
        </w:rPr>
        <w:footnoteRef/>
      </w:r>
      <w:r>
        <w:t xml:space="preserve"> </w:t>
      </w:r>
      <w:r w:rsidRPr="00C8753D">
        <w:t>BPS, Indonesian Democracy Index data, 2009–2023</w:t>
      </w:r>
      <w:r>
        <w:t xml:space="preserve">, </w:t>
      </w:r>
      <w:hyperlink r:id="rId4" w:history="1">
        <w:r w:rsidR="002A0952" w:rsidRPr="009B6E6B">
          <w:rPr>
            <w:rStyle w:val="Hyperlink"/>
            <w:rFonts w:cstheme="minorBidi"/>
            <w:color w:val="7030A0"/>
          </w:rPr>
          <w:t>https://rstudio-pubs-static.s3.amazonaws.com/1224511_8adda0194e32482fa39ab6ee288ccb82.html</w:t>
        </w:r>
      </w:hyperlink>
    </w:p>
  </w:footnote>
  <w:footnote w:id="6">
    <w:p w14:paraId="1D6EEAF6" w14:textId="283ADDE3" w:rsidR="00902F90" w:rsidRPr="008C22AF" w:rsidRDefault="00902F90" w:rsidP="002A0952">
      <w:pPr>
        <w:pStyle w:val="FootnoteText"/>
        <w:ind w:left="0" w:firstLine="0"/>
        <w:rPr>
          <w:lang w:val="en-AU"/>
        </w:rPr>
      </w:pPr>
      <w:r>
        <w:rPr>
          <w:rStyle w:val="FootnoteReference"/>
        </w:rPr>
        <w:footnoteRef/>
      </w:r>
      <w:r>
        <w:t xml:space="preserve"> </w:t>
      </w:r>
      <w:r w:rsidRPr="00B0148C">
        <w:t>Indonesia's long-term development plan is the National Long-Term Development Plan 2025–2045 (RPJPN 2025–2045)</w:t>
      </w:r>
      <w:r w:rsidR="000C2545">
        <w:t>.</w:t>
      </w:r>
    </w:p>
  </w:footnote>
  <w:footnote w:id="7">
    <w:p w14:paraId="4338AB0B" w14:textId="294C67DD" w:rsidR="00902F90" w:rsidRPr="00A8075D" w:rsidRDefault="00902F90" w:rsidP="00902F90">
      <w:pPr>
        <w:pStyle w:val="FootnoteText"/>
        <w:rPr>
          <w:lang w:val="en-AU"/>
        </w:rPr>
      </w:pPr>
      <w:r>
        <w:rPr>
          <w:rStyle w:val="FootnoteReference"/>
        </w:rPr>
        <w:footnoteRef/>
      </w:r>
      <w:r>
        <w:t xml:space="preserve"> </w:t>
      </w:r>
      <w:r w:rsidR="00C84C43">
        <w:t xml:space="preserve">GoI </w:t>
      </w:r>
      <w:r w:rsidR="004D5F0E">
        <w:t>(</w:t>
      </w:r>
      <w:r>
        <w:t>2024</w:t>
      </w:r>
      <w:r w:rsidR="004D5F0E">
        <w:t>).</w:t>
      </w:r>
      <w:r>
        <w:t xml:space="preserve"> 2025</w:t>
      </w:r>
      <w:r w:rsidR="00783007">
        <w:t>–</w:t>
      </w:r>
      <w:r>
        <w:t>2045 National Long-Term Development Plan (RPJPN), p. 25.</w:t>
      </w:r>
    </w:p>
  </w:footnote>
  <w:footnote w:id="8">
    <w:p w14:paraId="0B8A8595" w14:textId="1561BA57" w:rsidR="002A0952" w:rsidRPr="002A0952" w:rsidRDefault="00902F90" w:rsidP="002A0952">
      <w:pPr>
        <w:pStyle w:val="FootnoteText"/>
      </w:pPr>
      <w:r>
        <w:rPr>
          <w:rStyle w:val="FootnoteReference"/>
        </w:rPr>
        <w:footnoteRef/>
      </w:r>
      <w:r>
        <w:t xml:space="preserve"> Reporters without Borders, 2025, </w:t>
      </w:r>
      <w:hyperlink r:id="rId5" w:history="1">
        <w:r w:rsidR="002A0952" w:rsidRPr="009B6E6B">
          <w:rPr>
            <w:rStyle w:val="Hyperlink"/>
            <w:rFonts w:cstheme="minorBidi"/>
            <w:color w:val="7030A0"/>
          </w:rPr>
          <w:t>https://rsf.org/en/country/indonesia</w:t>
        </w:r>
      </w:hyperlink>
    </w:p>
  </w:footnote>
  <w:footnote w:id="9">
    <w:p w14:paraId="204027D4" w14:textId="11FA563C" w:rsidR="002A0952" w:rsidRPr="009F2508" w:rsidRDefault="00902F90" w:rsidP="009F2508">
      <w:pPr>
        <w:pStyle w:val="FootnoteText"/>
        <w:rPr>
          <w:lang w:val="en-AU"/>
        </w:rPr>
      </w:pPr>
      <w:r>
        <w:rPr>
          <w:rStyle w:val="FootnoteReference"/>
        </w:rPr>
        <w:footnoteRef/>
      </w:r>
      <w:r>
        <w:t xml:space="preserve"> UNESCO, </w:t>
      </w:r>
      <w:r w:rsidRPr="00C8753D">
        <w:rPr>
          <w:lang w:val="en-AU"/>
        </w:rPr>
        <w:t>World Trends in Freedom of Expression and Media Development</w:t>
      </w:r>
      <w:r>
        <w:rPr>
          <w:b/>
          <w:bCs/>
          <w:lang w:val="en-AU"/>
        </w:rPr>
        <w:t xml:space="preserve">, </w:t>
      </w:r>
      <w:hyperlink r:id="rId6" w:history="1">
        <w:r w:rsidR="002A0952" w:rsidRPr="009B6E6B">
          <w:rPr>
            <w:rStyle w:val="Hyperlink"/>
            <w:rFonts w:cstheme="minorBidi"/>
            <w:color w:val="7030A0"/>
          </w:rPr>
          <w:t>https://www.unesco.org/en/world-media-trends</w:t>
        </w:r>
      </w:hyperlink>
    </w:p>
  </w:footnote>
  <w:footnote w:id="10">
    <w:p w14:paraId="0EF59872" w14:textId="77777777" w:rsidR="00742B5F" w:rsidRPr="00C86765" w:rsidRDefault="00742B5F" w:rsidP="00742B5F">
      <w:pPr>
        <w:pStyle w:val="FootnoteText"/>
        <w:spacing w:before="0"/>
        <w:rPr>
          <w:lang w:val="en-AU"/>
        </w:rPr>
      </w:pPr>
      <w:r>
        <w:rPr>
          <w:rStyle w:val="FootnoteReference"/>
        </w:rPr>
        <w:footnoteRef/>
      </w:r>
      <w:r>
        <w:t xml:space="preserve"> </w:t>
      </w:r>
      <w:r w:rsidRPr="00A0717D">
        <w:t>Mafindo &amp; CekFakta</w:t>
      </w:r>
      <w:r>
        <w:t>.</w:t>
      </w:r>
      <w:r w:rsidRPr="00A0717D">
        <w:t xml:space="preserve"> (2024). </w:t>
      </w:r>
      <w:r w:rsidRPr="00A0717D">
        <w:rPr>
          <w:i/>
          <w:iCs/>
        </w:rPr>
        <w:t>Fact-Checking Report: Indonesian Elections</w:t>
      </w:r>
      <w:r w:rsidRPr="00A0717D">
        <w:t>. Jakarta.</w:t>
      </w:r>
    </w:p>
  </w:footnote>
  <w:footnote w:id="11">
    <w:p w14:paraId="5B9F1E85" w14:textId="1467FA0A" w:rsidR="00902F90" w:rsidRPr="00C86765" w:rsidRDefault="00902F90" w:rsidP="00902F90">
      <w:pPr>
        <w:pStyle w:val="FootnoteText"/>
        <w:spacing w:before="0"/>
        <w:rPr>
          <w:lang w:val="en-AU"/>
        </w:rPr>
      </w:pPr>
      <w:r>
        <w:rPr>
          <w:rStyle w:val="FootnoteReference"/>
        </w:rPr>
        <w:footnoteRef/>
      </w:r>
      <w:r>
        <w:t xml:space="preserve"> </w:t>
      </w:r>
      <w:r w:rsidRPr="00474B73">
        <w:t>UNDP</w:t>
      </w:r>
      <w:r w:rsidR="004D5F0E">
        <w:t>.</w:t>
      </w:r>
      <w:r w:rsidRPr="00474B73">
        <w:t xml:space="preserve"> (2024). </w:t>
      </w:r>
      <w:r w:rsidRPr="00474B73">
        <w:rPr>
          <w:i/>
          <w:iCs/>
        </w:rPr>
        <w:t>Electoral Integrity and Disinformation Monitoring in Indonesia</w:t>
      </w:r>
      <w:r w:rsidRPr="00474B73">
        <w:t>. Jakarta.</w:t>
      </w:r>
    </w:p>
  </w:footnote>
  <w:footnote w:id="12">
    <w:p w14:paraId="0262BE32" w14:textId="14709C04" w:rsidR="00902F90" w:rsidRPr="00C86765" w:rsidRDefault="00902F90" w:rsidP="00902F90">
      <w:pPr>
        <w:pStyle w:val="FootnoteText"/>
        <w:spacing w:before="0"/>
        <w:rPr>
          <w:lang w:val="en-AU"/>
        </w:rPr>
      </w:pPr>
      <w:r>
        <w:rPr>
          <w:rStyle w:val="FootnoteReference"/>
        </w:rPr>
        <w:footnoteRef/>
      </w:r>
      <w:r>
        <w:t xml:space="preserve"> </w:t>
      </w:r>
      <w:r w:rsidRPr="00F941E7">
        <w:t>World Bank</w:t>
      </w:r>
      <w:r w:rsidR="004D5F0E">
        <w:t>.</w:t>
      </w:r>
      <w:r w:rsidRPr="00F941E7">
        <w:t xml:space="preserve"> (2023). </w:t>
      </w:r>
      <w:r w:rsidRPr="00F941E7">
        <w:rPr>
          <w:i/>
          <w:iCs/>
        </w:rPr>
        <w:t>Democracy and Digital Governance in Southeast Asia</w:t>
      </w:r>
      <w:r w:rsidRPr="00F941E7">
        <w:t>. Washington, DC.</w:t>
      </w:r>
    </w:p>
  </w:footnote>
  <w:footnote w:id="13">
    <w:p w14:paraId="21272A88" w14:textId="77777777" w:rsidR="00902F90" w:rsidRPr="003C23E5" w:rsidRDefault="00902F90" w:rsidP="00902F90">
      <w:pPr>
        <w:pStyle w:val="FootnoteText"/>
        <w:rPr>
          <w:lang w:val="en-AU"/>
        </w:rPr>
      </w:pPr>
    </w:p>
  </w:footnote>
  <w:footnote w:id="14">
    <w:p w14:paraId="55BC5A51" w14:textId="008A239D" w:rsidR="00902F90" w:rsidRPr="00C86765" w:rsidRDefault="00902F90" w:rsidP="00902F90">
      <w:pPr>
        <w:pStyle w:val="FootnoteText"/>
        <w:rPr>
          <w:lang w:val="en-AU"/>
        </w:rPr>
      </w:pPr>
      <w:r>
        <w:rPr>
          <w:rStyle w:val="FootnoteReference"/>
        </w:rPr>
        <w:footnoteRef/>
      </w:r>
      <w:r>
        <w:t xml:space="preserve"> </w:t>
      </w:r>
      <w:r w:rsidRPr="00254B11">
        <w:t>The </w:t>
      </w:r>
      <w:r w:rsidRPr="00254B11">
        <w:rPr>
          <w:b/>
          <w:bCs/>
        </w:rPr>
        <w:t>MEL Framework</w:t>
      </w:r>
      <w:r w:rsidRPr="00254B11">
        <w:t> is a program-specific structure that outlines desired results, indicators, data sources, and learning mechanisms. It guides internal monitoring, adaptive learning, and partner reflection. In contrast, the </w:t>
      </w:r>
      <w:r w:rsidRPr="00254B11">
        <w:rPr>
          <w:b/>
          <w:bCs/>
        </w:rPr>
        <w:t>Performance Assessment Framework</w:t>
      </w:r>
      <w:r w:rsidRPr="00254B11">
        <w:t> is a DFAT-wide structure used for formal performance reporting and strategic oversight. Indicators from the MEL Framework are mapped to PAF Tier 2 and Tier 3 indicators to ensure alignment and coherence.</w:t>
      </w:r>
    </w:p>
  </w:footnote>
  <w:footnote w:id="15">
    <w:p w14:paraId="35E1C359" w14:textId="77777777" w:rsidR="00902F90" w:rsidRPr="00B57CB6" w:rsidRDefault="00902F90" w:rsidP="00902F90">
      <w:pPr>
        <w:pStyle w:val="FootnoteText"/>
        <w:rPr>
          <w:lang w:val="en-AU"/>
        </w:rPr>
      </w:pPr>
      <w:r>
        <w:rPr>
          <w:rStyle w:val="FootnoteReference"/>
        </w:rPr>
        <w:footnoteRef/>
      </w:r>
      <w:r>
        <w:t xml:space="preserve"> See </w:t>
      </w:r>
      <w:hyperlink r:id="rId7" w:history="1">
        <w:r w:rsidRPr="009B6E6B">
          <w:rPr>
            <w:rStyle w:val="Hyperlink"/>
            <w:rFonts w:cstheme="minorBidi"/>
            <w:color w:val="7030A0"/>
          </w:rPr>
          <w:t>https://www.dfat.gov.au/sites/default/files/performance-delivery-framework.pdf</w:t>
        </w:r>
      </w:hyperlink>
      <w:r w:rsidRPr="009B6E6B">
        <w:rPr>
          <w:color w:val="7030A0"/>
        </w:rPr>
        <w:t xml:space="preserve"> </w:t>
      </w:r>
    </w:p>
  </w:footnote>
  <w:footnote w:id="16">
    <w:p w14:paraId="310FF2B8" w14:textId="77777777" w:rsidR="00902F90" w:rsidRPr="009B6E6B" w:rsidRDefault="00902F90" w:rsidP="00902F90">
      <w:pPr>
        <w:pStyle w:val="FootnoteText"/>
        <w:rPr>
          <w:color w:val="7030A0"/>
          <w:lang w:val="en-AU"/>
        </w:rPr>
      </w:pPr>
      <w:r>
        <w:rPr>
          <w:rStyle w:val="FootnoteReference"/>
        </w:rPr>
        <w:footnoteRef/>
      </w:r>
      <w:r>
        <w:t xml:space="preserve"> </w:t>
      </w:r>
      <w:r w:rsidRPr="001732F2">
        <w:t xml:space="preserve">The Constitutional Court of the Republic of Indonesia, </w:t>
      </w:r>
      <w:r w:rsidRPr="001732F2">
        <w:rPr>
          <w:i/>
          <w:iCs/>
        </w:rPr>
        <w:t>The 1945 Constitution of the Republic of Indonesia</w:t>
      </w:r>
      <w:r w:rsidRPr="001732F2">
        <w:t xml:space="preserve"> (Jakarta: MKRI),</w:t>
      </w:r>
      <w:r>
        <w:t xml:space="preserve"> 2022.</w:t>
      </w:r>
      <w:r w:rsidRPr="001732F2">
        <w:t xml:space="preserve"> </w:t>
      </w:r>
      <w:hyperlink r:id="rId8" w:tgtFrame="_new" w:history="1">
        <w:r w:rsidRPr="009B6E6B">
          <w:rPr>
            <w:rStyle w:val="Hyperlink"/>
            <w:color w:val="7030A0"/>
          </w:rPr>
          <w:t>https://en.mkri.id/download/constitution/constitution_1_1625426222_4c1e13f466840d7ed721.pdf</w:t>
        </w:r>
      </w:hyperlink>
      <w:r w:rsidRPr="009B6E6B">
        <w:rPr>
          <w:color w:val="7030A0"/>
        </w:rPr>
        <w:t>.</w:t>
      </w:r>
    </w:p>
  </w:footnote>
  <w:footnote w:id="17">
    <w:p w14:paraId="4BDF37F6" w14:textId="4A226899" w:rsidR="00902F90" w:rsidRPr="009B6E6B" w:rsidRDefault="00902F90" w:rsidP="00902F90">
      <w:pPr>
        <w:pStyle w:val="FootnoteText"/>
        <w:rPr>
          <w:color w:val="7030A0"/>
          <w:lang w:val="en-AU"/>
        </w:rPr>
      </w:pPr>
      <w:r>
        <w:rPr>
          <w:rStyle w:val="FootnoteReference"/>
        </w:rPr>
        <w:footnoteRef/>
      </w:r>
      <w:r>
        <w:t xml:space="preserve"> </w:t>
      </w:r>
      <w:r w:rsidRPr="001732F2">
        <w:t xml:space="preserve">World Bank. </w:t>
      </w:r>
      <w:r>
        <w:t>‘</w:t>
      </w:r>
      <w:r w:rsidRPr="001732F2">
        <w:t>Proportion of Seats Held by Women in National Parliaments (%).</w:t>
      </w:r>
      <w:r>
        <w:t>’</w:t>
      </w:r>
      <w:r w:rsidRPr="001732F2">
        <w:t xml:space="preserve"> </w:t>
      </w:r>
      <w:r w:rsidRPr="001732F2">
        <w:rPr>
          <w:i/>
          <w:iCs/>
        </w:rPr>
        <w:t>World Bank Data</w:t>
      </w:r>
      <w:r w:rsidRPr="001732F2">
        <w:t xml:space="preserve">, 2024. </w:t>
      </w:r>
      <w:hyperlink r:id="rId9" w:tgtFrame="_new" w:history="1">
        <w:r w:rsidR="007234D0">
          <w:rPr>
            <w:rStyle w:val="Hyperlink"/>
            <w:color w:val="7030A0"/>
          </w:rPr>
          <w:t>world bank data</w:t>
        </w:r>
      </w:hyperlink>
      <w:r w:rsidRPr="009B6E6B">
        <w:rPr>
          <w:color w:val="7030A0"/>
        </w:rPr>
        <w:t>.</w:t>
      </w:r>
    </w:p>
  </w:footnote>
  <w:footnote w:id="18">
    <w:p w14:paraId="4D72BE45" w14:textId="77777777" w:rsidR="00902F90" w:rsidRPr="009B6E6B" w:rsidRDefault="00902F90" w:rsidP="00902F90">
      <w:pPr>
        <w:pStyle w:val="FootnoteText"/>
        <w:rPr>
          <w:color w:val="7030A0"/>
          <w:lang w:val="en-AU"/>
        </w:rPr>
      </w:pPr>
      <w:r>
        <w:rPr>
          <w:rStyle w:val="FootnoteReference"/>
        </w:rPr>
        <w:footnoteRef/>
      </w:r>
      <w:r>
        <w:t xml:space="preserve"> </w:t>
      </w:r>
      <w:r w:rsidRPr="001732F2">
        <w:t xml:space="preserve">Kramer, Elisabeth. </w:t>
      </w:r>
      <w:r>
        <w:t>‘</w:t>
      </w:r>
      <w:r w:rsidRPr="001732F2">
        <w:t>Even with a 30% Quota in Place, Indonesian Women Face an Uphill Battle Running for Office.</w:t>
      </w:r>
      <w:r>
        <w:t>’</w:t>
      </w:r>
      <w:r w:rsidRPr="001732F2">
        <w:t xml:space="preserve"> </w:t>
      </w:r>
      <w:r w:rsidRPr="001732F2">
        <w:rPr>
          <w:i/>
          <w:iCs/>
        </w:rPr>
        <w:t>The Conversation</w:t>
      </w:r>
      <w:r w:rsidRPr="001732F2">
        <w:t>, March 22, 2024</w:t>
      </w:r>
      <w:r w:rsidRPr="009B6E6B">
        <w:rPr>
          <w:color w:val="7030A0"/>
        </w:rPr>
        <w:t xml:space="preserve">. </w:t>
      </w:r>
      <w:hyperlink r:id="rId10" w:tgtFrame="_new" w:history="1">
        <w:r w:rsidRPr="009B6E6B">
          <w:rPr>
            <w:rStyle w:val="Hyperlink"/>
            <w:color w:val="7030A0"/>
          </w:rPr>
          <w:t>https://theconversation.com/even-with-a-30-quota-in-place-indonesian-women-face-an-uphill-battle-running-for-office-222387</w:t>
        </w:r>
      </w:hyperlink>
      <w:r w:rsidRPr="009B6E6B">
        <w:rPr>
          <w:color w:val="7030A0"/>
        </w:rPr>
        <w:t>.</w:t>
      </w:r>
    </w:p>
  </w:footnote>
  <w:footnote w:id="19">
    <w:p w14:paraId="45FA381B" w14:textId="77777777" w:rsidR="00902F90" w:rsidRPr="009B6E6B" w:rsidRDefault="00902F90" w:rsidP="00902F90">
      <w:pPr>
        <w:pStyle w:val="FootnoteText"/>
        <w:rPr>
          <w:color w:val="7030A0"/>
          <w:lang w:val="en-AU"/>
        </w:rPr>
      </w:pPr>
      <w:r>
        <w:rPr>
          <w:rStyle w:val="FootnoteReference"/>
        </w:rPr>
        <w:footnoteRef/>
      </w:r>
      <w:r>
        <w:t xml:space="preserve"> </w:t>
      </w:r>
      <w:r w:rsidRPr="001732F2">
        <w:t xml:space="preserve">Friedrich-Ebert-Stiftung Asia. </w:t>
      </w:r>
      <w:r>
        <w:t>‘</w:t>
      </w:r>
      <w:r w:rsidRPr="001732F2">
        <w:t>The Paradox in Women’s Political Representation in Indonesia: More Women in Politics, but What Changes?</w:t>
      </w:r>
      <w:r>
        <w:t>’</w:t>
      </w:r>
      <w:r w:rsidRPr="001732F2">
        <w:t xml:space="preserve"> </w:t>
      </w:r>
      <w:r w:rsidRPr="001732F2">
        <w:rPr>
          <w:i/>
          <w:iCs/>
        </w:rPr>
        <w:t>FES Asia</w:t>
      </w:r>
      <w:r w:rsidRPr="001732F2">
        <w:t xml:space="preserve">, January 30, 2024. </w:t>
      </w:r>
      <w:hyperlink r:id="rId11" w:tgtFrame="_new" w:history="1">
        <w:r w:rsidRPr="009B6E6B">
          <w:rPr>
            <w:rStyle w:val="Hyperlink"/>
            <w:color w:val="7030A0"/>
          </w:rPr>
          <w:t>https://asia.fes.de/news/the-paradox-in-womens-political-representation-in-indonesia-more-women-in-politics-but-what-changes.html</w:t>
        </w:r>
      </w:hyperlink>
      <w:r w:rsidRPr="009B6E6B">
        <w:rPr>
          <w:color w:val="7030A0"/>
        </w:rPr>
        <w:t>.</w:t>
      </w:r>
    </w:p>
  </w:footnote>
  <w:footnote w:id="20">
    <w:p w14:paraId="2B4731E3" w14:textId="4E84FB67" w:rsidR="00902F90" w:rsidRPr="009B6E6B" w:rsidRDefault="00902F90" w:rsidP="00902F90">
      <w:pPr>
        <w:pStyle w:val="FootnoteText"/>
        <w:rPr>
          <w:color w:val="7030A0"/>
          <w:lang w:val="en-AU"/>
        </w:rPr>
      </w:pPr>
      <w:r>
        <w:rPr>
          <w:rStyle w:val="FootnoteReference"/>
        </w:rPr>
        <w:footnoteRef/>
      </w:r>
      <w:r>
        <w:t xml:space="preserve"> </w:t>
      </w:r>
      <w:r w:rsidRPr="001732F2">
        <w:t xml:space="preserve">United Nations Development Programme (UNDP) Indonesia. </w:t>
      </w:r>
      <w:r>
        <w:t>‘</w:t>
      </w:r>
      <w:r w:rsidRPr="001732F2">
        <w:t>Gender Equality</w:t>
      </w:r>
      <w:r>
        <w:t>’</w:t>
      </w:r>
      <w:r w:rsidR="00346912">
        <w:t>.</w:t>
      </w:r>
      <w:r w:rsidRPr="001732F2">
        <w:t xml:space="preserve"> </w:t>
      </w:r>
      <w:r w:rsidRPr="001732F2">
        <w:rPr>
          <w:i/>
          <w:iCs/>
        </w:rPr>
        <w:t>UNDP</w:t>
      </w:r>
      <w:r w:rsidRPr="001732F2">
        <w:t xml:space="preserve">, </w:t>
      </w:r>
      <w:r>
        <w:t>2025</w:t>
      </w:r>
      <w:r w:rsidRPr="001732F2">
        <w:t xml:space="preserve">. </w:t>
      </w:r>
      <w:hyperlink r:id="rId12" w:tgtFrame="_new" w:history="1">
        <w:r w:rsidRPr="009B6E6B">
          <w:rPr>
            <w:rStyle w:val="Hyperlink"/>
            <w:color w:val="7030A0"/>
          </w:rPr>
          <w:t>https://www.undp.org/indonesia/gender</w:t>
        </w:r>
      </w:hyperlink>
      <w:r w:rsidRPr="009B6E6B">
        <w:rPr>
          <w:color w:val="7030A0"/>
        </w:rPr>
        <w:t>.</w:t>
      </w:r>
    </w:p>
  </w:footnote>
  <w:footnote w:id="21">
    <w:p w14:paraId="65518F47" w14:textId="77777777" w:rsidR="00902F90" w:rsidRPr="00C506BD" w:rsidRDefault="00902F90" w:rsidP="00902F90">
      <w:pPr>
        <w:pStyle w:val="FootnoteText"/>
        <w:rPr>
          <w:lang w:val="en-AU"/>
        </w:rPr>
      </w:pPr>
      <w:r>
        <w:rPr>
          <w:rStyle w:val="FootnoteReference"/>
        </w:rPr>
        <w:footnoteRef/>
      </w:r>
      <w:r>
        <w:t xml:space="preserve"> </w:t>
      </w:r>
      <w:r w:rsidRPr="001732F2">
        <w:t xml:space="preserve">UN Women. </w:t>
      </w:r>
      <w:r>
        <w:t>‘</w:t>
      </w:r>
      <w:r w:rsidRPr="001732F2">
        <w:t>Indonesia.</w:t>
      </w:r>
      <w:r>
        <w:t>’</w:t>
      </w:r>
      <w:r w:rsidRPr="001732F2">
        <w:t xml:space="preserve"> </w:t>
      </w:r>
      <w:r w:rsidRPr="001732F2">
        <w:rPr>
          <w:i/>
          <w:iCs/>
        </w:rPr>
        <w:t>UN Women Data Hub</w:t>
      </w:r>
      <w:r w:rsidRPr="001732F2">
        <w:t xml:space="preserve">, </w:t>
      </w:r>
      <w:r>
        <w:t>2025</w:t>
      </w:r>
      <w:r w:rsidRPr="001732F2">
        <w:t xml:space="preserve">. </w:t>
      </w:r>
      <w:hyperlink r:id="rId13" w:tgtFrame="_new" w:history="1">
        <w:r w:rsidRPr="001732F2">
          <w:rPr>
            <w:rStyle w:val="Hyperlink"/>
          </w:rPr>
          <w:t>https://data.unwomen.org/country/indonesia</w:t>
        </w:r>
      </w:hyperlink>
      <w:r w:rsidRPr="001732F2">
        <w:t>.</w:t>
      </w:r>
      <w:bookmarkStart w:id="328" w:name="_Hlk216687300"/>
    </w:p>
    <w:bookmarkEnd w:id="328"/>
  </w:footnote>
  <w:footnote w:id="22">
    <w:p w14:paraId="04F29161" w14:textId="77777777" w:rsidR="00902F90" w:rsidRPr="00C506BD" w:rsidRDefault="00902F90" w:rsidP="00902F90">
      <w:pPr>
        <w:pStyle w:val="FootnoteText"/>
      </w:pPr>
      <w:r>
        <w:rPr>
          <w:rStyle w:val="FootnoteReference"/>
        </w:rPr>
        <w:footnoteRef/>
      </w:r>
      <w:r>
        <w:t xml:space="preserve"> </w:t>
      </w:r>
      <w:r w:rsidRPr="001732F2">
        <w:t xml:space="preserve">Asia Pacific Solidarity Network. </w:t>
      </w:r>
      <w:r>
        <w:t>‘</w:t>
      </w:r>
      <w:r w:rsidRPr="001732F2">
        <w:t>Komnas Perempuan Records General Decline in Violence against Women in 2023.</w:t>
      </w:r>
      <w:r>
        <w:t>’</w:t>
      </w:r>
      <w:r w:rsidRPr="001732F2">
        <w:t xml:space="preserve"> </w:t>
      </w:r>
      <w:r w:rsidRPr="001732F2">
        <w:rPr>
          <w:i/>
          <w:iCs/>
        </w:rPr>
        <w:t>Asia Pacific Solidarity Network</w:t>
      </w:r>
      <w:r w:rsidRPr="001732F2">
        <w:t xml:space="preserve">, March 7, 2024. </w:t>
      </w:r>
      <w:hyperlink r:id="rId14" w:tgtFrame="_new" w:history="1">
        <w:r w:rsidRPr="009B6E6B">
          <w:rPr>
            <w:rStyle w:val="Hyperlink"/>
            <w:color w:val="7030A0"/>
          </w:rPr>
          <w:t>https://www.asia-pacific-solidarity.net/news/2024-03-07/komnas-perempuan-records-general-decline-violence-against-women-2023.html</w:t>
        </w:r>
      </w:hyperlink>
      <w:r w:rsidRPr="001732F2">
        <w:t>.</w:t>
      </w:r>
    </w:p>
  </w:footnote>
  <w:footnote w:id="23">
    <w:p w14:paraId="68BFF001" w14:textId="77777777" w:rsidR="00902F90" w:rsidRPr="00C506BD" w:rsidRDefault="00902F90" w:rsidP="00902F90">
      <w:pPr>
        <w:pStyle w:val="FootnoteText"/>
      </w:pPr>
      <w:r>
        <w:rPr>
          <w:rStyle w:val="FootnoteReference"/>
        </w:rPr>
        <w:footnoteRef/>
      </w:r>
      <w:r>
        <w:t xml:space="preserve"> Ibid.</w:t>
      </w:r>
    </w:p>
  </w:footnote>
  <w:footnote w:id="24">
    <w:p w14:paraId="2667584A" w14:textId="22D62024" w:rsidR="00902F90" w:rsidRPr="00EF10D5" w:rsidRDefault="00902F90" w:rsidP="00902F90">
      <w:pPr>
        <w:pStyle w:val="FootnoteText"/>
      </w:pPr>
      <w:r>
        <w:rPr>
          <w:rStyle w:val="FootnoteReference"/>
        </w:rPr>
        <w:footnoteRef/>
      </w:r>
      <w:r>
        <w:t xml:space="preserve"> </w:t>
      </w:r>
      <w:r w:rsidRPr="001732F2">
        <w:t xml:space="preserve">World Bank. </w:t>
      </w:r>
      <w:r>
        <w:t>‘</w:t>
      </w:r>
      <w:r w:rsidRPr="001732F2">
        <w:t>Proportion of Women Subjected to Physical and/or Sexual Violence in Last 12 Months (%).</w:t>
      </w:r>
      <w:r>
        <w:t>’</w:t>
      </w:r>
      <w:r w:rsidRPr="001732F2">
        <w:t xml:space="preserve"> </w:t>
      </w:r>
      <w:r w:rsidRPr="001732F2">
        <w:rPr>
          <w:i/>
          <w:iCs/>
        </w:rPr>
        <w:t>World Bank Data</w:t>
      </w:r>
      <w:r w:rsidRPr="001732F2">
        <w:t xml:space="preserve">, 2024. </w:t>
      </w:r>
      <w:hyperlink r:id="rId15" w:tgtFrame="_new" w:history="1">
        <w:r w:rsidR="00880DB0">
          <w:rPr>
            <w:rStyle w:val="Hyperlink"/>
            <w:color w:val="7030A0"/>
          </w:rPr>
          <w:t>World Bank Data for Women Subject to Violence</w:t>
        </w:r>
      </w:hyperlink>
      <w:r w:rsidRPr="009B6E6B">
        <w:rPr>
          <w:color w:val="7030A0"/>
        </w:rPr>
        <w:t>.</w:t>
      </w:r>
    </w:p>
  </w:footnote>
  <w:footnote w:id="25">
    <w:p w14:paraId="65B2E75F" w14:textId="77777777" w:rsidR="00902F90" w:rsidRPr="00C506BD" w:rsidRDefault="00902F90" w:rsidP="00902F90">
      <w:pPr>
        <w:pStyle w:val="FootnoteText"/>
        <w:rPr>
          <w:lang w:val="en-AU"/>
        </w:rPr>
      </w:pPr>
      <w:r>
        <w:rPr>
          <w:rStyle w:val="FootnoteReference"/>
        </w:rPr>
        <w:footnoteRef/>
      </w:r>
      <w:r>
        <w:t xml:space="preserve"> </w:t>
      </w:r>
      <w:r w:rsidRPr="001732F2">
        <w:t xml:space="preserve">The Asia Foundation. </w:t>
      </w:r>
      <w:r>
        <w:t>‘</w:t>
      </w:r>
      <w:r w:rsidRPr="001732F2">
        <w:t>Delivering Justice: Helping Victims of Sexual Violence in Indonesia by Training Advocates and Paralegals.</w:t>
      </w:r>
      <w:r>
        <w:t>’</w:t>
      </w:r>
      <w:r w:rsidRPr="001732F2">
        <w:t xml:space="preserve"> </w:t>
      </w:r>
      <w:r w:rsidRPr="001732F2">
        <w:rPr>
          <w:i/>
          <w:iCs/>
        </w:rPr>
        <w:t>The Asia Foundation</w:t>
      </w:r>
      <w:r w:rsidRPr="001732F2">
        <w:t xml:space="preserve">, April 26, 2023. </w:t>
      </w:r>
      <w:hyperlink r:id="rId16" w:tgtFrame="_new" w:history="1">
        <w:r w:rsidRPr="009B6E6B">
          <w:rPr>
            <w:rStyle w:val="Hyperlink"/>
            <w:color w:val="7030A0"/>
          </w:rPr>
          <w:t>https://asiafoundation.org/delivering-justice-helping-victims-of-sexual-violence-in-indonesia-by-training-advocates-and-paralegals/</w:t>
        </w:r>
      </w:hyperlink>
      <w:r w:rsidRPr="009B6E6B">
        <w:rPr>
          <w:color w:val="7030A0"/>
        </w:rPr>
        <w:t>.</w:t>
      </w:r>
    </w:p>
  </w:footnote>
  <w:footnote w:id="26">
    <w:p w14:paraId="1B631536" w14:textId="77777777" w:rsidR="00902F90" w:rsidRPr="00C506BD" w:rsidRDefault="00902F90" w:rsidP="00902F90">
      <w:pPr>
        <w:pStyle w:val="FootnoteText"/>
        <w:rPr>
          <w:lang w:val="en-AU"/>
        </w:rPr>
      </w:pPr>
      <w:r>
        <w:rPr>
          <w:rStyle w:val="FootnoteReference"/>
        </w:rPr>
        <w:footnoteRef/>
      </w:r>
      <w:r>
        <w:t xml:space="preserve"> Ibid.</w:t>
      </w:r>
    </w:p>
  </w:footnote>
  <w:footnote w:id="27">
    <w:p w14:paraId="43316919" w14:textId="77777777" w:rsidR="00902F90" w:rsidRPr="00C506BD" w:rsidRDefault="00902F90" w:rsidP="00902F90">
      <w:pPr>
        <w:pStyle w:val="FootnoteText"/>
        <w:rPr>
          <w:lang w:val="en-AU"/>
        </w:rPr>
      </w:pPr>
      <w:r>
        <w:rPr>
          <w:rStyle w:val="FootnoteReference"/>
        </w:rPr>
        <w:footnoteRef/>
      </w:r>
      <w:r>
        <w:t xml:space="preserve"> Ibid. </w:t>
      </w:r>
    </w:p>
  </w:footnote>
  <w:footnote w:id="28">
    <w:p w14:paraId="5999AB90" w14:textId="77777777" w:rsidR="00902F90" w:rsidRPr="00EF10D5" w:rsidRDefault="00902F90" w:rsidP="00902F90">
      <w:pPr>
        <w:pStyle w:val="FootnoteText"/>
        <w:rPr>
          <w:lang w:val="en-AU"/>
        </w:rPr>
      </w:pPr>
      <w:r>
        <w:rPr>
          <w:rStyle w:val="FootnoteReference"/>
        </w:rPr>
        <w:footnoteRef/>
      </w:r>
      <w:r>
        <w:t xml:space="preserve"> Op. Cit. UNDP. 2025. </w:t>
      </w:r>
    </w:p>
  </w:footnote>
  <w:footnote w:id="29">
    <w:p w14:paraId="77579817" w14:textId="77777777" w:rsidR="00902F90" w:rsidRPr="00EF10D5" w:rsidRDefault="00902F90" w:rsidP="00902F90">
      <w:pPr>
        <w:pStyle w:val="FootnoteText"/>
        <w:rPr>
          <w:lang w:val="en-AU"/>
        </w:rPr>
      </w:pPr>
      <w:r>
        <w:rPr>
          <w:rStyle w:val="FootnoteReference"/>
        </w:rPr>
        <w:footnoteRef/>
      </w:r>
      <w:r>
        <w:t xml:space="preserve"> Op. Cit. UN Women. 2025. </w:t>
      </w:r>
    </w:p>
  </w:footnote>
  <w:footnote w:id="30">
    <w:p w14:paraId="76728FF5" w14:textId="77777777" w:rsidR="00902F90" w:rsidRPr="009B6E6B" w:rsidRDefault="00902F90" w:rsidP="00902F90">
      <w:pPr>
        <w:pStyle w:val="FootnoteText"/>
        <w:rPr>
          <w:color w:val="7030A0"/>
          <w:lang w:val="en-AU"/>
        </w:rPr>
      </w:pPr>
      <w:r>
        <w:rPr>
          <w:rStyle w:val="FootnoteReference"/>
        </w:rPr>
        <w:footnoteRef/>
      </w:r>
      <w:r>
        <w:t xml:space="preserve"> UNDP</w:t>
      </w:r>
      <w:r w:rsidRPr="001732F2">
        <w:t xml:space="preserve"> Indonesia. </w:t>
      </w:r>
      <w:r>
        <w:t>‘</w:t>
      </w:r>
      <w:r w:rsidRPr="001732F2">
        <w:t>UNDP Policy Volume: Indonesia Needs Strong Digital Inclusivity Index.</w:t>
      </w:r>
      <w:r>
        <w:t>’</w:t>
      </w:r>
      <w:r w:rsidRPr="001732F2">
        <w:t xml:space="preserve"> </w:t>
      </w:r>
      <w:r w:rsidRPr="001732F2">
        <w:rPr>
          <w:i/>
          <w:iCs/>
        </w:rPr>
        <w:t>UNDP</w:t>
      </w:r>
      <w:r w:rsidRPr="001732F2">
        <w:t xml:space="preserve">, July 3, 2024. </w:t>
      </w:r>
      <w:hyperlink r:id="rId17" w:tgtFrame="_new" w:history="1">
        <w:r w:rsidRPr="009B6E6B">
          <w:rPr>
            <w:rStyle w:val="Hyperlink"/>
            <w:color w:val="7030A0"/>
          </w:rPr>
          <w:t>https://www.undp.org/indonesia/press-releases/undp-policy-volume-indonesia-needs-strong-digital-inclusivity-index</w:t>
        </w:r>
      </w:hyperlink>
      <w:r w:rsidRPr="009B6E6B">
        <w:rPr>
          <w:color w:val="7030A0"/>
        </w:rPr>
        <w:t>.</w:t>
      </w:r>
    </w:p>
  </w:footnote>
  <w:footnote w:id="31">
    <w:p w14:paraId="24098F89" w14:textId="77777777" w:rsidR="00902F90" w:rsidRPr="00430470" w:rsidRDefault="00902F90" w:rsidP="00902F90">
      <w:pPr>
        <w:pStyle w:val="FootnoteText"/>
        <w:rPr>
          <w:lang w:val="en-AU"/>
        </w:rPr>
      </w:pPr>
      <w:r>
        <w:rPr>
          <w:rStyle w:val="FootnoteReference"/>
        </w:rPr>
        <w:footnoteRef/>
      </w:r>
      <w:r>
        <w:t xml:space="preserve"> </w:t>
      </w:r>
      <w:r w:rsidRPr="001732F2">
        <w:t xml:space="preserve">Suardana, I Ketut. </w:t>
      </w:r>
      <w:r>
        <w:t>‘</w:t>
      </w:r>
      <w:r w:rsidRPr="001732F2">
        <w:t>Inclusive Education for the Disabled in Indonesia: Policy and Implementation.</w:t>
      </w:r>
      <w:r>
        <w:t>’</w:t>
      </w:r>
      <w:r w:rsidRPr="001732F2">
        <w:t xml:space="preserve"> </w:t>
      </w:r>
      <w:r w:rsidRPr="001732F2">
        <w:rPr>
          <w:i/>
          <w:iCs/>
        </w:rPr>
        <w:t>Malaysian Journal of Communication</w:t>
      </w:r>
      <w:r w:rsidRPr="001732F2">
        <w:t xml:space="preserve"> 40, no. 1 (2024). </w:t>
      </w:r>
      <w:hyperlink r:id="rId18" w:tgtFrame="_new" w:history="1">
        <w:r w:rsidRPr="009B6E6B">
          <w:rPr>
            <w:rStyle w:val="Hyperlink"/>
            <w:color w:val="7030A0"/>
          </w:rPr>
          <w:t>https://ejournal.ukm.my/mjc/article/view/54709</w:t>
        </w:r>
      </w:hyperlink>
      <w:r w:rsidRPr="001732F2">
        <w:t>.</w:t>
      </w:r>
    </w:p>
  </w:footnote>
  <w:footnote w:id="32">
    <w:p w14:paraId="1DD4330B" w14:textId="77777777" w:rsidR="00902F90" w:rsidRPr="009D0C7C" w:rsidRDefault="00902F90" w:rsidP="00902F90">
      <w:pPr>
        <w:pStyle w:val="FootnoteText"/>
        <w:rPr>
          <w:lang w:val="en-AU"/>
        </w:rPr>
      </w:pPr>
      <w:r>
        <w:rPr>
          <w:rStyle w:val="FootnoteReference"/>
        </w:rPr>
        <w:footnoteRef/>
      </w:r>
      <w:r>
        <w:t xml:space="preserve"> Op. Cit. </w:t>
      </w:r>
      <w:r w:rsidRPr="001732F2">
        <w:t>UNDP Indonesia.</w:t>
      </w:r>
      <w:r>
        <w:t xml:space="preserve"> 2024. </w:t>
      </w:r>
    </w:p>
  </w:footnote>
  <w:footnote w:id="33">
    <w:p w14:paraId="70B6F047" w14:textId="77777777" w:rsidR="00902F90" w:rsidRPr="009766E5" w:rsidRDefault="00902F90" w:rsidP="00902F90">
      <w:pPr>
        <w:pStyle w:val="FootnoteText"/>
        <w:rPr>
          <w:lang w:val="sv-SE"/>
        </w:rPr>
      </w:pPr>
      <w:r>
        <w:rPr>
          <w:rStyle w:val="FootnoteReference"/>
        </w:rPr>
        <w:footnoteRef/>
      </w:r>
      <w:r>
        <w:t xml:space="preserve"> </w:t>
      </w:r>
      <w:r w:rsidRPr="001732F2">
        <w:t xml:space="preserve">Statistics Indonesia (BPS). </w:t>
      </w:r>
      <w:r w:rsidRPr="001732F2">
        <w:rPr>
          <w:i/>
          <w:iCs/>
        </w:rPr>
        <w:t>Portrait of Persons with Disabilities in Indonesia: Long Form PC2020 Results</w:t>
      </w:r>
      <w:r w:rsidRPr="001732F2">
        <w:t xml:space="preserve">. </w:t>
      </w:r>
      <w:r w:rsidRPr="009766E5">
        <w:rPr>
          <w:lang w:val="sv-SE"/>
        </w:rPr>
        <w:t xml:space="preserve">Jakarta: BPS, December 20, 2024. </w:t>
      </w:r>
      <w:hyperlink r:id="rId19" w:tgtFrame="_new" w:history="1">
        <w:r w:rsidRPr="009B6E6B">
          <w:rPr>
            <w:rStyle w:val="Hyperlink"/>
            <w:color w:val="7030A0"/>
            <w:lang w:val="sv-SE"/>
          </w:rPr>
          <w:t>https://www.bps.go.id/en/publication/2024/12/20/43880dc0f8be5ab92199f8b9/portrait-of-persons-with-disabilities-in-indonesia-long-form-pc2020-results.html</w:t>
        </w:r>
      </w:hyperlink>
      <w:r w:rsidRPr="009B6E6B">
        <w:rPr>
          <w:color w:val="7030A0"/>
          <w:lang w:val="sv-SE"/>
        </w:rPr>
        <w:t>.</w:t>
      </w:r>
    </w:p>
  </w:footnote>
  <w:footnote w:id="34">
    <w:p w14:paraId="352CD858" w14:textId="77777777" w:rsidR="00902F90" w:rsidRPr="009D0C7C" w:rsidRDefault="00902F90" w:rsidP="00902F90">
      <w:pPr>
        <w:pStyle w:val="FootnoteText"/>
        <w:rPr>
          <w:lang w:val="en-AU"/>
        </w:rPr>
      </w:pPr>
      <w:r>
        <w:rPr>
          <w:rStyle w:val="FootnoteReference"/>
        </w:rPr>
        <w:footnoteRef/>
      </w:r>
      <w:r>
        <w:t xml:space="preserve"> Ibid. </w:t>
      </w:r>
    </w:p>
  </w:footnote>
  <w:footnote w:id="35">
    <w:p w14:paraId="147467E3" w14:textId="77777777" w:rsidR="00902F90" w:rsidRPr="009D0C7C" w:rsidRDefault="00902F90" w:rsidP="00902F90">
      <w:pPr>
        <w:pStyle w:val="FootnoteText"/>
        <w:rPr>
          <w:lang w:val="en-AU"/>
        </w:rPr>
      </w:pPr>
      <w:r>
        <w:rPr>
          <w:rStyle w:val="FootnoteReference"/>
        </w:rPr>
        <w:footnoteRef/>
      </w:r>
      <w:r>
        <w:t xml:space="preserve"> </w:t>
      </w:r>
      <w:r w:rsidRPr="001732F2">
        <w:t xml:space="preserve">Monash University. </w:t>
      </w:r>
      <w:r w:rsidRPr="001732F2">
        <w:rPr>
          <w:i/>
          <w:iCs/>
        </w:rPr>
        <w:t>Disability in Indonesia</w:t>
      </w:r>
      <w:r w:rsidRPr="001732F2">
        <w:t xml:space="preserve">. Melbourne: Monash University, 2019. </w:t>
      </w:r>
      <w:hyperlink r:id="rId20" w:tgtFrame="_new" w:history="1">
        <w:r w:rsidRPr="009B6E6B">
          <w:rPr>
            <w:rStyle w:val="Hyperlink"/>
            <w:color w:val="7030A0"/>
          </w:rPr>
          <w:t>https://www.monash.edu/__data/assets/pdf_file/0003/1107138/Disability-in-Indonesia.pdf</w:t>
        </w:r>
      </w:hyperlink>
      <w:r w:rsidRPr="009B6E6B">
        <w:rPr>
          <w:color w:val="7030A0"/>
        </w:rPr>
        <w:t>.</w:t>
      </w:r>
    </w:p>
  </w:footnote>
  <w:footnote w:id="36">
    <w:p w14:paraId="50C2209E" w14:textId="77777777" w:rsidR="00902F90" w:rsidRPr="009D0C7C" w:rsidRDefault="00902F90" w:rsidP="00902F90">
      <w:pPr>
        <w:pStyle w:val="FootnoteText"/>
        <w:rPr>
          <w:lang w:val="en-AU"/>
        </w:rPr>
      </w:pPr>
      <w:r>
        <w:rPr>
          <w:rStyle w:val="FootnoteReference"/>
        </w:rPr>
        <w:footnoteRef/>
      </w:r>
      <w:r>
        <w:t xml:space="preserve"> Ibid. </w:t>
      </w:r>
    </w:p>
  </w:footnote>
  <w:footnote w:id="37">
    <w:p w14:paraId="426A2D3B" w14:textId="77777777" w:rsidR="00902F90" w:rsidRPr="009D0C7C" w:rsidRDefault="00902F90" w:rsidP="00902F90">
      <w:pPr>
        <w:pStyle w:val="FootnoteText"/>
        <w:rPr>
          <w:lang w:val="en-AU"/>
        </w:rPr>
      </w:pPr>
      <w:r>
        <w:rPr>
          <w:rStyle w:val="FootnoteReference"/>
        </w:rPr>
        <w:footnoteRef/>
      </w:r>
      <w:r>
        <w:t xml:space="preserve"> Ibid. </w:t>
      </w:r>
    </w:p>
  </w:footnote>
  <w:footnote w:id="38">
    <w:p w14:paraId="7E56167C" w14:textId="77777777" w:rsidR="00902F90" w:rsidRPr="009B6E6B" w:rsidRDefault="00902F90" w:rsidP="00902F90">
      <w:pPr>
        <w:pStyle w:val="FootnoteText"/>
        <w:rPr>
          <w:color w:val="7030A0"/>
        </w:rPr>
      </w:pPr>
      <w:r>
        <w:rPr>
          <w:rStyle w:val="FootnoteReference"/>
        </w:rPr>
        <w:footnoteRef/>
      </w:r>
      <w:r>
        <w:t xml:space="preserve"> </w:t>
      </w:r>
      <w:r w:rsidRPr="003C0A6A">
        <w:t>https://www.thejakartapost.com/news/2015/02/14/voters-with-disabilities-want-greater-acc</w:t>
      </w:r>
      <w:r w:rsidRPr="001732F2">
        <w:rPr>
          <w:sz w:val="22"/>
          <w:szCs w:val="22"/>
        </w:rPr>
        <w:t xml:space="preserve"> </w:t>
      </w:r>
      <w:r w:rsidRPr="001732F2">
        <w:t xml:space="preserve">Parlina, Ina. </w:t>
      </w:r>
      <w:r>
        <w:t>‘</w:t>
      </w:r>
      <w:r w:rsidRPr="001732F2">
        <w:t>Voters with Disabilities Want Greater Access.</w:t>
      </w:r>
      <w:r>
        <w:t>’</w:t>
      </w:r>
      <w:r w:rsidRPr="001732F2">
        <w:t xml:space="preserve"> </w:t>
      </w:r>
      <w:r w:rsidRPr="001732F2">
        <w:rPr>
          <w:i/>
          <w:iCs/>
        </w:rPr>
        <w:t>The Jakarta Post</w:t>
      </w:r>
      <w:r w:rsidRPr="001732F2">
        <w:t xml:space="preserve">, February 14, 2015. </w:t>
      </w:r>
      <w:hyperlink r:id="rId21" w:tgtFrame="_new" w:history="1">
        <w:r w:rsidRPr="009B6E6B">
          <w:rPr>
            <w:rStyle w:val="Hyperlink"/>
            <w:color w:val="7030A0"/>
          </w:rPr>
          <w:t>https://www.thejakartapost.com/news/2015/02/14/voters-with-disabilities-want-greater-access.html</w:t>
        </w:r>
      </w:hyperlink>
    </w:p>
  </w:footnote>
  <w:footnote w:id="39">
    <w:p w14:paraId="47A97C05" w14:textId="77777777" w:rsidR="00902F90" w:rsidRPr="009B6E6B" w:rsidRDefault="00902F90" w:rsidP="00902F90">
      <w:pPr>
        <w:pStyle w:val="FootnoteText"/>
        <w:rPr>
          <w:color w:val="7030A0"/>
        </w:rPr>
      </w:pPr>
      <w:r>
        <w:rPr>
          <w:rStyle w:val="FootnoteReference"/>
        </w:rPr>
        <w:footnoteRef/>
      </w:r>
      <w:r>
        <w:t xml:space="preserve"> </w:t>
      </w:r>
      <w:r w:rsidRPr="001732F2">
        <w:t xml:space="preserve">Soeriaatmadja, Wahyudi. </w:t>
      </w:r>
      <w:r>
        <w:t>‘</w:t>
      </w:r>
      <w:r w:rsidRPr="001732F2">
        <w:t>People with Disabilities in Indonesia Aim for Seats in Parliament in Hope of Endorsing Friendly Rules.</w:t>
      </w:r>
      <w:r>
        <w:t>’</w:t>
      </w:r>
      <w:r w:rsidRPr="001732F2">
        <w:t xml:space="preserve"> </w:t>
      </w:r>
      <w:r w:rsidRPr="001732F2">
        <w:rPr>
          <w:i/>
          <w:iCs/>
        </w:rPr>
        <w:t>The Straits Times</w:t>
      </w:r>
      <w:r w:rsidRPr="001732F2">
        <w:t>, May 4, 2023</w:t>
      </w:r>
      <w:r w:rsidRPr="009B6E6B">
        <w:rPr>
          <w:color w:val="7030A0"/>
        </w:rPr>
        <w:t xml:space="preserve">. </w:t>
      </w:r>
      <w:hyperlink r:id="rId22" w:tgtFrame="_new" w:history="1">
        <w:r w:rsidRPr="009B6E6B">
          <w:rPr>
            <w:rStyle w:val="Hyperlink"/>
            <w:color w:val="7030A0"/>
          </w:rPr>
          <w:t>https://www.straitstimes.com/asia/se-asia/people-with-disabilities-in-indonesia-aim-for-seats-in-parliament-in-hope-of-endorsing-friendly-rules</w:t>
        </w:r>
      </w:hyperlink>
      <w:r w:rsidRPr="009B6E6B">
        <w:rPr>
          <w:color w:val="7030A0"/>
        </w:rPr>
        <w:t>.</w:t>
      </w:r>
    </w:p>
  </w:footnote>
  <w:footnote w:id="40">
    <w:p w14:paraId="3A2A2913" w14:textId="662CEECB" w:rsidR="002A0952" w:rsidRPr="003C0A6A" w:rsidRDefault="00902F90" w:rsidP="00902F90">
      <w:pPr>
        <w:pStyle w:val="FootnoteText"/>
        <w:rPr>
          <w:lang w:val="en-AU"/>
        </w:rPr>
      </w:pPr>
      <w:r>
        <w:rPr>
          <w:rStyle w:val="FootnoteReference"/>
        </w:rPr>
        <w:footnoteRef/>
      </w:r>
      <w:r>
        <w:t xml:space="preserve"> </w:t>
      </w:r>
      <w:hyperlink r:id="rId23" w:history="1">
        <w:r w:rsidR="00926513">
          <w:rPr>
            <w:rStyle w:val="Hyperlink"/>
            <w:rFonts w:cstheme="minorBidi"/>
            <w:color w:val="7030A0"/>
          </w:rPr>
          <w:t>Strait Times: People with Disabilities in Indonesia Aim for Seats in Parliament</w:t>
        </w:r>
      </w:hyperlink>
    </w:p>
  </w:footnote>
  <w:footnote w:id="41">
    <w:p w14:paraId="5F2E0FE3" w14:textId="024115FA" w:rsidR="00902F90" w:rsidRPr="009766E5" w:rsidRDefault="00902F90" w:rsidP="00902F90">
      <w:pPr>
        <w:pStyle w:val="FootnoteText"/>
        <w:rPr>
          <w:lang w:val="sv-SE"/>
        </w:rPr>
      </w:pPr>
      <w:r>
        <w:rPr>
          <w:rStyle w:val="FootnoteReference"/>
        </w:rPr>
        <w:footnoteRef/>
      </w:r>
      <w:r w:rsidRPr="009766E5">
        <w:rPr>
          <w:lang w:val="sv-SE"/>
        </w:rPr>
        <w:t xml:space="preserve"> Op. Cit. Soeriaatmadja. 2023. </w:t>
      </w:r>
    </w:p>
  </w:footnote>
  <w:footnote w:id="42">
    <w:p w14:paraId="052466E3" w14:textId="3FBD59E8" w:rsidR="00902F90" w:rsidRPr="009B6E6B" w:rsidRDefault="00902F90" w:rsidP="00902F90">
      <w:pPr>
        <w:pStyle w:val="FootnoteText"/>
        <w:rPr>
          <w:color w:val="7030A0"/>
          <w:lang w:val="sv-SE"/>
        </w:rPr>
      </w:pPr>
      <w:r>
        <w:rPr>
          <w:rStyle w:val="FootnoteReference"/>
        </w:rPr>
        <w:footnoteRef/>
      </w:r>
      <w:r w:rsidRPr="009766E5">
        <w:rPr>
          <w:lang w:val="sv-SE"/>
        </w:rPr>
        <w:t xml:space="preserve"> Aliansi Masyarakat Adat Nusantara (AMAN). </w:t>
      </w:r>
      <w:r w:rsidRPr="009766E5">
        <w:rPr>
          <w:i/>
          <w:iCs/>
          <w:lang w:val="sv-SE"/>
        </w:rPr>
        <w:t>Catatan Tahunan 2022</w:t>
      </w:r>
      <w:r w:rsidRPr="009766E5">
        <w:rPr>
          <w:lang w:val="sv-SE"/>
        </w:rPr>
        <w:t xml:space="preserve">. Jakarta: AMAN, 2023. </w:t>
      </w:r>
      <w:hyperlink r:id="rId24" w:tgtFrame="_new" w:history="1">
        <w:r w:rsidR="00BD4EFD">
          <w:rPr>
            <w:rStyle w:val="Hyperlink"/>
            <w:color w:val="7030A0"/>
            <w:lang w:val="sv-SE"/>
          </w:rPr>
          <w:t>AMAN publication</w:t>
        </w:r>
      </w:hyperlink>
      <w:r w:rsidRPr="009B6E6B">
        <w:rPr>
          <w:color w:val="7030A0"/>
          <w:lang w:val="sv-SE"/>
        </w:rPr>
        <w:t>.</w:t>
      </w:r>
    </w:p>
  </w:footnote>
  <w:footnote w:id="43">
    <w:p w14:paraId="608BC9C3" w14:textId="77777777" w:rsidR="00902F90" w:rsidRPr="009B6E6B" w:rsidRDefault="00902F90" w:rsidP="00902F90">
      <w:pPr>
        <w:pStyle w:val="FootnoteText"/>
        <w:rPr>
          <w:color w:val="7030A0"/>
        </w:rPr>
      </w:pPr>
      <w:r>
        <w:rPr>
          <w:rStyle w:val="FootnoteReference"/>
        </w:rPr>
        <w:footnoteRef/>
      </w:r>
      <w:r>
        <w:t xml:space="preserve"> </w:t>
      </w:r>
      <w:r w:rsidRPr="001732F2">
        <w:t xml:space="preserve">Rahmadi Usman, Marsha Habib, Santi Kusumaningrum, and Widi Sari, </w:t>
      </w:r>
      <w:r>
        <w:t>‘</w:t>
      </w:r>
      <w:r w:rsidRPr="001732F2">
        <w:t>Improving the Civil Registry and Vital Statistics System in Indonesia Must Begin at the Village Level,</w:t>
      </w:r>
      <w:r>
        <w:t>’</w:t>
      </w:r>
      <w:r w:rsidRPr="001732F2">
        <w:t xml:space="preserve"> </w:t>
      </w:r>
      <w:r w:rsidRPr="001732F2">
        <w:rPr>
          <w:i/>
          <w:iCs/>
        </w:rPr>
        <w:t>Tolerance.ca</w:t>
      </w:r>
      <w:r w:rsidRPr="001732F2">
        <w:t xml:space="preserve">, August 27, 2021. </w:t>
      </w:r>
      <w:hyperlink r:id="rId25" w:tgtFrame="_new" w:history="1">
        <w:r w:rsidRPr="009B6E6B">
          <w:rPr>
            <w:rStyle w:val="Hyperlink"/>
            <w:color w:val="7030A0"/>
          </w:rPr>
          <w:t>https://theconversation.com/improving-the-civil-registry-and-vital-statistics-system-in-indonesia-must-begin-at-the-village-level-165892</w:t>
        </w:r>
      </w:hyperlink>
      <w:r w:rsidRPr="009B6E6B">
        <w:rPr>
          <w:color w:val="7030A0"/>
        </w:rPr>
        <w:t>.</w:t>
      </w:r>
    </w:p>
  </w:footnote>
  <w:footnote w:id="44">
    <w:p w14:paraId="308BFC86" w14:textId="77777777" w:rsidR="00902F90" w:rsidRPr="009B6E6B" w:rsidRDefault="00902F90" w:rsidP="00902F90">
      <w:pPr>
        <w:pStyle w:val="FootnoteText"/>
        <w:rPr>
          <w:color w:val="7030A0"/>
        </w:rPr>
      </w:pPr>
      <w:r>
        <w:rPr>
          <w:rStyle w:val="FootnoteReference"/>
        </w:rPr>
        <w:footnoteRef/>
      </w:r>
      <w:r>
        <w:t xml:space="preserve"> </w:t>
      </w:r>
      <w:r w:rsidRPr="001732F2">
        <w:t xml:space="preserve">Asia News Network. </w:t>
      </w:r>
      <w:r>
        <w:t>‘</w:t>
      </w:r>
      <w:r w:rsidRPr="001732F2">
        <w:t>Indonesia Still Denies Religious Minorities Freedom to Worship.</w:t>
      </w:r>
      <w:r>
        <w:t>’</w:t>
      </w:r>
      <w:r w:rsidRPr="001732F2">
        <w:t xml:space="preserve"> </w:t>
      </w:r>
      <w:r w:rsidRPr="001732F2">
        <w:rPr>
          <w:i/>
          <w:iCs/>
        </w:rPr>
        <w:t>Asia News Network</w:t>
      </w:r>
      <w:r w:rsidRPr="001732F2">
        <w:t xml:space="preserve">, January 24, 2024. </w:t>
      </w:r>
      <w:hyperlink r:id="rId26" w:tgtFrame="_new" w:history="1">
        <w:r w:rsidRPr="009B6E6B">
          <w:rPr>
            <w:rStyle w:val="Hyperlink"/>
            <w:color w:val="7030A0"/>
          </w:rPr>
          <w:t>https://asianews.network/indonesia-still-denies-religious-minorities-freedom-to-worship/</w:t>
        </w:r>
      </w:hyperlink>
      <w:r w:rsidRPr="009B6E6B">
        <w:rPr>
          <w:color w:val="7030A0"/>
        </w:rPr>
        <w:t>.</w:t>
      </w:r>
    </w:p>
  </w:footnote>
  <w:footnote w:id="45">
    <w:p w14:paraId="05635BA7" w14:textId="77777777" w:rsidR="00902F90" w:rsidRPr="009B6E6B" w:rsidRDefault="00902F90" w:rsidP="00902F90">
      <w:pPr>
        <w:pStyle w:val="FootnoteText"/>
        <w:rPr>
          <w:color w:val="7030A0"/>
        </w:rPr>
      </w:pPr>
      <w:r>
        <w:rPr>
          <w:rStyle w:val="FootnoteReference"/>
        </w:rPr>
        <w:footnoteRef/>
      </w:r>
      <w:r>
        <w:t xml:space="preserve"> </w:t>
      </w:r>
      <w:r w:rsidRPr="001732F2">
        <w:t xml:space="preserve">Stop the Persecution. </w:t>
      </w:r>
      <w:r>
        <w:t>‘</w:t>
      </w:r>
      <w:r w:rsidRPr="001732F2">
        <w:t>Discrimination Against Minority Groups Rampant: Komnas HAM.</w:t>
      </w:r>
      <w:r>
        <w:t>’</w:t>
      </w:r>
      <w:r w:rsidRPr="001732F2">
        <w:t xml:space="preserve"> </w:t>
      </w:r>
      <w:r w:rsidRPr="001732F2">
        <w:rPr>
          <w:i/>
          <w:iCs/>
        </w:rPr>
        <w:t>Stop the Persecution</w:t>
      </w:r>
      <w:r w:rsidRPr="001732F2">
        <w:t>, January 4, 2024</w:t>
      </w:r>
      <w:r w:rsidRPr="009B6E6B">
        <w:rPr>
          <w:color w:val="7030A0"/>
        </w:rPr>
        <w:t xml:space="preserve">. </w:t>
      </w:r>
      <w:hyperlink r:id="rId27" w:tgtFrame="_new" w:history="1">
        <w:r w:rsidRPr="009B6E6B">
          <w:rPr>
            <w:rStyle w:val="Hyperlink"/>
            <w:color w:val="7030A0"/>
          </w:rPr>
          <w:t>https://stopthepersecution.org/discrimination-against-minority-groups-rampant-komnas-ham/</w:t>
        </w:r>
      </w:hyperlink>
      <w:r w:rsidRPr="009B6E6B">
        <w:rPr>
          <w:color w:val="7030A0"/>
        </w:rPr>
        <w:t>.</w:t>
      </w:r>
    </w:p>
  </w:footnote>
  <w:footnote w:id="46">
    <w:p w14:paraId="4FBFC745" w14:textId="77777777" w:rsidR="00902F90" w:rsidRPr="00FC4583" w:rsidRDefault="00902F90" w:rsidP="00902F90">
      <w:pPr>
        <w:pStyle w:val="FootnoteText"/>
      </w:pPr>
      <w:r>
        <w:rPr>
          <w:rStyle w:val="FootnoteReference"/>
        </w:rPr>
        <w:footnoteRef/>
      </w:r>
      <w:r>
        <w:t xml:space="preserve"> Op. Cit. Asia News Network. 2024. </w:t>
      </w:r>
    </w:p>
  </w:footnote>
  <w:footnote w:id="47">
    <w:p w14:paraId="0B4C855A" w14:textId="77777777" w:rsidR="00902F90" w:rsidRPr="009B6E6B" w:rsidRDefault="00902F90" w:rsidP="00902F90">
      <w:pPr>
        <w:pStyle w:val="FootnoteText"/>
        <w:rPr>
          <w:color w:val="7030A0"/>
        </w:rPr>
      </w:pPr>
      <w:r>
        <w:rPr>
          <w:rStyle w:val="FootnoteReference"/>
        </w:rPr>
        <w:footnoteRef/>
      </w:r>
      <w:r>
        <w:t xml:space="preserve"> </w:t>
      </w:r>
      <w:r w:rsidRPr="00F37E3A">
        <w:t>Intergovernmental Panel on Climate Change (IPCC). Climate Change 2022: Impacts, Adaptation and Vulnerability. Working Group II Contribution to the Sixth Assessment Report. Cambridge: Cambridge University Press, 2022</w:t>
      </w:r>
      <w:r w:rsidRPr="009B6E6B">
        <w:rPr>
          <w:color w:val="7030A0"/>
        </w:rPr>
        <w:t xml:space="preserve">. </w:t>
      </w:r>
      <w:hyperlink r:id="rId28" w:history="1">
        <w:r w:rsidRPr="009B6E6B">
          <w:rPr>
            <w:rStyle w:val="Hyperlink"/>
            <w:color w:val="7030A0"/>
          </w:rPr>
          <w:t>https://www.ipcc.ch/report/ar6/wg2/</w:t>
        </w:r>
      </w:hyperlink>
    </w:p>
  </w:footnote>
  <w:footnote w:id="48">
    <w:p w14:paraId="11A474A9" w14:textId="77777777" w:rsidR="00902F90" w:rsidRPr="00CE6B65" w:rsidRDefault="00902F90" w:rsidP="00902F90">
      <w:pPr>
        <w:pStyle w:val="FootnoteText"/>
      </w:pPr>
      <w:r>
        <w:rPr>
          <w:rStyle w:val="FootnoteReference"/>
        </w:rPr>
        <w:footnoteRef/>
      </w:r>
      <w:r>
        <w:t xml:space="preserve"> </w:t>
      </w:r>
      <w:r w:rsidRPr="00F37E3A">
        <w:t xml:space="preserve">Intergovernmental Panel on Climate Change (IPCC). </w:t>
      </w:r>
      <w:r w:rsidRPr="00F37E3A">
        <w:rPr>
          <w:i/>
          <w:iCs/>
        </w:rPr>
        <w:t>Summary for Policymakers</w:t>
      </w:r>
      <w:r w:rsidRPr="00F37E3A">
        <w:t xml:space="preserve">, in </w:t>
      </w:r>
      <w:r w:rsidRPr="00F37E3A">
        <w:rPr>
          <w:i/>
          <w:iCs/>
        </w:rPr>
        <w:t>Climate Change 2022: Impacts, Adaptation and Vulnerability</w:t>
      </w:r>
      <w:r w:rsidRPr="00F37E3A">
        <w:t>. Cambridge: Cambridge University Press, 2022</w:t>
      </w:r>
      <w:r>
        <w:t xml:space="preserve">. </w:t>
      </w:r>
      <w:hyperlink r:id="rId29" w:history="1">
        <w:r w:rsidRPr="009B6E6B">
          <w:rPr>
            <w:rStyle w:val="Hyperlink"/>
            <w:color w:val="7030A0"/>
          </w:rPr>
          <w:t>https://www.ipcc.ch/report/ar6/wg2/chapter/summary-for-policymakers/</w:t>
        </w:r>
      </w:hyperlink>
    </w:p>
  </w:footnote>
  <w:footnote w:id="49">
    <w:p w14:paraId="6D1C3C40" w14:textId="77777777" w:rsidR="00902F90" w:rsidRPr="009B6E6B" w:rsidRDefault="00902F90" w:rsidP="00902F90">
      <w:pPr>
        <w:pStyle w:val="FootnoteText"/>
        <w:rPr>
          <w:color w:val="7030A0"/>
          <w:lang w:val="en-AU"/>
        </w:rPr>
      </w:pPr>
      <w:r>
        <w:rPr>
          <w:rStyle w:val="FootnoteReference"/>
        </w:rPr>
        <w:footnoteRef/>
      </w:r>
      <w:r>
        <w:t xml:space="preserve"> </w:t>
      </w:r>
      <w:r w:rsidRPr="006153F9">
        <w:t xml:space="preserve">International Institute for Democracy and Electoral Assistance (International IDEA). </w:t>
      </w:r>
      <w:r w:rsidRPr="006153F9">
        <w:rPr>
          <w:i/>
          <w:iCs/>
        </w:rPr>
        <w:t>Climate Change and Democracy: Insights from Asia and the Pacific, Chapter 6</w:t>
      </w:r>
      <w:r w:rsidRPr="006153F9">
        <w:t>. Stockholm: International IDEA, 202</w:t>
      </w:r>
      <w:r>
        <w:t>3</w:t>
      </w:r>
      <w:r w:rsidRPr="006153F9">
        <w:t xml:space="preserve">. </w:t>
      </w:r>
      <w:hyperlink r:id="rId30" w:tgtFrame="_new" w:history="1">
        <w:r w:rsidRPr="009B6E6B">
          <w:rPr>
            <w:rStyle w:val="Hyperlink"/>
            <w:color w:val="7030A0"/>
          </w:rPr>
          <w:t>https://www.idea.int/sites/default/files/publications/chapters/climate-change-and-democracy-insights-from-asia-pacific/ch6-climate-change-and-democracy-insights-from-asia-pacific.pdf</w:t>
        </w:r>
      </w:hyperlink>
    </w:p>
  </w:footnote>
  <w:footnote w:id="50">
    <w:p w14:paraId="6F4060AD" w14:textId="77777777" w:rsidR="00902F90" w:rsidRPr="009B6E6B" w:rsidRDefault="00902F90" w:rsidP="00902F90">
      <w:pPr>
        <w:pStyle w:val="FootnoteText"/>
        <w:rPr>
          <w:color w:val="7030A0"/>
          <w:lang w:val="en-AU"/>
        </w:rPr>
      </w:pPr>
      <w:r>
        <w:rPr>
          <w:rStyle w:val="FootnoteReference"/>
        </w:rPr>
        <w:footnoteRef/>
      </w:r>
      <w:r>
        <w:t xml:space="preserve"> </w:t>
      </w:r>
      <w:r w:rsidRPr="00DC3F7D">
        <w:t xml:space="preserve">Anna Lührmann and Bryan Rooney, </w:t>
      </w:r>
      <w:r w:rsidRPr="00DC3F7D">
        <w:rPr>
          <w:i/>
          <w:iCs/>
        </w:rPr>
        <w:t>Autocratization by Decree: States of Emergency and Democratic Decline</w:t>
      </w:r>
      <w:r w:rsidRPr="00DC3F7D">
        <w:t xml:space="preserve">, V-Dem Working Paper No. 85 (Gothenburg: Varieties of Democracy Institute, University of Gothenburg, 2020), </w:t>
      </w:r>
      <w:hyperlink r:id="rId31" w:tgtFrame="_new" w:history="1">
        <w:r w:rsidRPr="009B6E6B">
          <w:rPr>
            <w:rStyle w:val="Hyperlink"/>
            <w:color w:val="7030A0"/>
          </w:rPr>
          <w:t>https://v-dem.net/media/publications/wp_85.pdf</w:t>
        </w:r>
      </w:hyperlink>
    </w:p>
  </w:footnote>
  <w:footnote w:id="51">
    <w:p w14:paraId="13C9CFC0" w14:textId="77777777" w:rsidR="00902F90" w:rsidRPr="001F59B2" w:rsidRDefault="00902F90" w:rsidP="00902F90">
      <w:pPr>
        <w:pStyle w:val="FootnoteText"/>
        <w:rPr>
          <w:lang w:val="en-AU"/>
        </w:rPr>
      </w:pPr>
      <w:r>
        <w:rPr>
          <w:rStyle w:val="FootnoteReference"/>
        </w:rPr>
        <w:footnoteRef/>
      </w:r>
      <w:r>
        <w:t xml:space="preserve"> </w:t>
      </w:r>
      <w:r>
        <w:rPr>
          <w:lang w:val="en-AU"/>
        </w:rPr>
        <w:t xml:space="preserve">Ibid. </w:t>
      </w:r>
    </w:p>
  </w:footnote>
  <w:footnote w:id="52">
    <w:p w14:paraId="4033B8D0" w14:textId="77777777" w:rsidR="00902F90" w:rsidRPr="009B6E6B" w:rsidRDefault="00902F90" w:rsidP="00902F90">
      <w:pPr>
        <w:pStyle w:val="FootnoteText"/>
        <w:rPr>
          <w:color w:val="7030A0"/>
          <w:lang w:val="en-AU"/>
        </w:rPr>
      </w:pPr>
      <w:r>
        <w:rPr>
          <w:rStyle w:val="FootnoteReference"/>
        </w:rPr>
        <w:footnoteRef/>
      </w:r>
      <w:r>
        <w:t xml:space="preserve"> </w:t>
      </w:r>
      <w:r w:rsidRPr="00686CC0">
        <w:rPr>
          <w:lang w:val="en-AU"/>
        </w:rPr>
        <w:t xml:space="preserve">United Nations Development Programme (UNDP). </w:t>
      </w:r>
      <w:r>
        <w:rPr>
          <w:lang w:val="en-AU"/>
        </w:rPr>
        <w:t>‘</w:t>
      </w:r>
      <w:r w:rsidRPr="00686CC0">
        <w:rPr>
          <w:lang w:val="en-AU"/>
        </w:rPr>
        <w:t>What Are Climate Misinformation and Disinformation and How Can We Tackle Them?</w:t>
      </w:r>
      <w:r>
        <w:rPr>
          <w:lang w:val="en-AU"/>
        </w:rPr>
        <w:t>’</w:t>
      </w:r>
      <w:r w:rsidRPr="00686CC0">
        <w:rPr>
          <w:lang w:val="en-AU"/>
        </w:rPr>
        <w:t xml:space="preserve"> </w:t>
      </w:r>
      <w:r w:rsidRPr="00686CC0">
        <w:rPr>
          <w:i/>
          <w:iCs/>
          <w:lang w:val="en-AU"/>
        </w:rPr>
        <w:t>UNDP Climate Promise</w:t>
      </w:r>
      <w:r w:rsidRPr="00686CC0">
        <w:rPr>
          <w:lang w:val="en-AU"/>
        </w:rPr>
        <w:t xml:space="preserve">, </w:t>
      </w:r>
      <w:r>
        <w:rPr>
          <w:lang w:val="en-AU"/>
        </w:rPr>
        <w:t>May 1, 2025</w:t>
      </w:r>
      <w:r w:rsidRPr="00686CC0">
        <w:rPr>
          <w:lang w:val="en-AU"/>
        </w:rPr>
        <w:t xml:space="preserve">. </w:t>
      </w:r>
      <w:hyperlink r:id="rId32" w:tgtFrame="_new" w:history="1">
        <w:r w:rsidRPr="009B6E6B">
          <w:rPr>
            <w:rStyle w:val="Hyperlink"/>
            <w:color w:val="7030A0"/>
            <w:lang w:val="en-AU"/>
          </w:rPr>
          <w:t>https://climatepromise.undp.org/news-and-stories/what-are-climate-misinformation-and-disinformation-and-how-can-we-tackle-them</w:t>
        </w:r>
      </w:hyperlink>
      <w:r w:rsidRPr="009B6E6B">
        <w:rPr>
          <w:color w:val="7030A0"/>
          <w:lang w:val="en-AU"/>
        </w:rPr>
        <w:t>.</w:t>
      </w:r>
    </w:p>
  </w:footnote>
  <w:footnote w:id="53">
    <w:p w14:paraId="1B45E905" w14:textId="77777777" w:rsidR="00902F90" w:rsidRPr="009B6E6B" w:rsidRDefault="00902F90" w:rsidP="00902F90">
      <w:pPr>
        <w:pStyle w:val="FootnoteText"/>
        <w:rPr>
          <w:color w:val="7030A0"/>
        </w:rPr>
      </w:pPr>
      <w:r>
        <w:rPr>
          <w:rStyle w:val="FootnoteReference"/>
        </w:rPr>
        <w:footnoteRef/>
      </w:r>
      <w:r>
        <w:t xml:space="preserve"> </w:t>
      </w:r>
      <w:r w:rsidRPr="00FF62E2">
        <w:t xml:space="preserve">Willis, Rebecca, Nicole Curato, and Graham Smith. </w:t>
      </w:r>
      <w:r>
        <w:t>‘</w:t>
      </w:r>
      <w:r w:rsidRPr="00FF62E2">
        <w:t>Deliberative Democracy and the Climate Crisis.</w:t>
      </w:r>
      <w:r>
        <w:t>’</w:t>
      </w:r>
      <w:r w:rsidRPr="00FF62E2">
        <w:t xml:space="preserve"> </w:t>
      </w:r>
      <w:r w:rsidRPr="00FF62E2">
        <w:rPr>
          <w:i/>
          <w:iCs/>
        </w:rPr>
        <w:t>Wiley Interdisciplinary Reviews: Climate Change</w:t>
      </w:r>
      <w:r w:rsidRPr="00FF62E2">
        <w:t xml:space="preserve"> 13, no. 2 (2022). </w:t>
      </w:r>
      <w:hyperlink r:id="rId33" w:history="1">
        <w:r w:rsidRPr="009B6E6B">
          <w:rPr>
            <w:rStyle w:val="Hyperlink"/>
            <w:color w:val="7030A0"/>
          </w:rPr>
          <w:t>https://doi.org/10.1002/wcc.754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386A" w14:textId="6B09EC0C" w:rsidR="0073444D" w:rsidRDefault="0073444D">
    <w:pPr>
      <w:pStyle w:val="Header"/>
    </w:pPr>
    <w:r>
      <w:rPr>
        <w:noProof/>
      </w:rPr>
      <mc:AlternateContent>
        <mc:Choice Requires="wps">
          <w:drawing>
            <wp:anchor distT="0" distB="0" distL="0" distR="0" simplePos="0" relativeHeight="251666944" behindDoc="0" locked="0" layoutInCell="1" allowOverlap="1" wp14:anchorId="76B18BC8" wp14:editId="67D643D7">
              <wp:simplePos x="635" y="635"/>
              <wp:positionH relativeFrom="page">
                <wp:align>center</wp:align>
              </wp:positionH>
              <wp:positionV relativeFrom="page">
                <wp:align>top</wp:align>
              </wp:positionV>
              <wp:extent cx="622300" cy="452755"/>
              <wp:effectExtent l="0" t="0" r="6350" b="4445"/>
              <wp:wrapNone/>
              <wp:docPr id="3595138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36692C9" w14:textId="6119F36C"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B18BC8" id="_x0000_t202" coordsize="21600,21600" o:spt="202" path="m,l,21600r21600,l21600,xe">
              <v:stroke joinstyle="miter"/>
              <v:path gradientshapeok="t" o:connecttype="rect"/>
            </v:shapetype>
            <v:shape id="Text Box 2" o:spid="_x0000_s1027" type="#_x0000_t202" alt="OFFICIAL" style="position:absolute;left:0;text-align:left;margin-left:0;margin-top:0;width:49pt;height:35.6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136692C9" w14:textId="6119F36C"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160B" w14:textId="6359C8F3" w:rsidR="00902F90" w:rsidRPr="000854FD" w:rsidRDefault="0073444D" w:rsidP="00DB058C">
    <w:pPr>
      <w:pStyle w:val="Header"/>
      <w:tabs>
        <w:tab w:val="clear" w:pos="4513"/>
        <w:tab w:val="clear" w:pos="9026"/>
        <w:tab w:val="left" w:pos="9484"/>
      </w:tabs>
    </w:pPr>
    <w:r>
      <w:rPr>
        <w:noProof/>
        <w:lang w:val="en-AU" w:eastAsia="en-AU"/>
      </w:rPr>
      <mc:AlternateContent>
        <mc:Choice Requires="wps">
          <w:drawing>
            <wp:anchor distT="0" distB="0" distL="0" distR="0" simplePos="0" relativeHeight="251648512" behindDoc="0" locked="0" layoutInCell="1" allowOverlap="1" wp14:anchorId="067EF663" wp14:editId="290A668E">
              <wp:simplePos x="724619" y="267419"/>
              <wp:positionH relativeFrom="page">
                <wp:align>center</wp:align>
              </wp:positionH>
              <wp:positionV relativeFrom="page">
                <wp:align>top</wp:align>
              </wp:positionV>
              <wp:extent cx="622300" cy="452755"/>
              <wp:effectExtent l="0" t="0" r="6350" b="4445"/>
              <wp:wrapNone/>
              <wp:docPr id="17321359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7B033F7" w14:textId="6DC666BD"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7EF663" id="_x0000_t202" coordsize="21600,21600" o:spt="202" path="m,l,21600r21600,l21600,xe">
              <v:stroke joinstyle="miter"/>
              <v:path gradientshapeok="t" o:connecttype="rect"/>
            </v:shapetype>
            <v:shape id="Text Box 3" o:spid="_x0000_s1028" type="#_x0000_t202" alt="OFFICIAL" style="position:absolute;left:0;text-align:left;margin-left:0;margin-top:0;width:49pt;height:35.65pt;z-index:251648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67B033F7" w14:textId="6DC666BD"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v:textbox>
              <w10:wrap anchorx="page" anchory="page"/>
            </v:shape>
          </w:pict>
        </mc:Fallback>
      </mc:AlternateContent>
    </w:r>
    <w:r w:rsidR="00902F90" w:rsidRPr="00943730">
      <w:rPr>
        <w:noProof/>
        <w:lang w:val="en-AU" w:eastAsia="en-AU"/>
      </w:rPr>
      <w:drawing>
        <wp:anchor distT="0" distB="0" distL="114300" distR="114300" simplePos="0" relativeHeight="251646464" behindDoc="1" locked="1" layoutInCell="1" allowOverlap="1" wp14:anchorId="429C960A" wp14:editId="33C4CE5A">
          <wp:simplePos x="0" y="0"/>
          <wp:positionH relativeFrom="page">
            <wp:posOffset>-1183005</wp:posOffset>
          </wp:positionH>
          <wp:positionV relativeFrom="page">
            <wp:posOffset>51435</wp:posOffset>
          </wp:positionV>
          <wp:extent cx="12855575" cy="10692765"/>
          <wp:effectExtent l="0" t="0" r="0" b="635"/>
          <wp:wrapNone/>
          <wp:docPr id="78421603" name="Picture 784216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855575" cy="10692765"/>
                  </a:xfrm>
                  <a:prstGeom prst="rect">
                    <a:avLst/>
                  </a:prstGeom>
                </pic:spPr>
              </pic:pic>
            </a:graphicData>
          </a:graphic>
          <wp14:sizeRelH relativeFrom="margin">
            <wp14:pctWidth>0</wp14:pctWidth>
          </wp14:sizeRelH>
          <wp14:sizeRelV relativeFrom="margin">
            <wp14:pctHeight>0</wp14:pctHeight>
          </wp14:sizeRelV>
        </wp:anchor>
      </w:drawing>
    </w:r>
    <w:r w:rsidR="00902F9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0469" w14:textId="358F5938" w:rsidR="00902F90" w:rsidRPr="00943730" w:rsidRDefault="00FE31A1" w:rsidP="0028390D">
    <w:pPr>
      <w:pStyle w:val="QuoteHeading"/>
    </w:pPr>
    <w:r w:rsidRPr="00943730">
      <w:rPr>
        <w:noProof/>
        <w:lang w:val="en-AU" w:eastAsia="en-AU"/>
      </w:rPr>
      <w:drawing>
        <wp:inline distT="0" distB="0" distL="0" distR="0" wp14:anchorId="575E8A57" wp14:editId="2AD31B4B">
          <wp:extent cx="3166745" cy="554355"/>
          <wp:effectExtent l="0" t="0" r="0" b="0"/>
          <wp:docPr id="1165738549" name="Picture 1165738549" descr="Department of Foreign Affairs and Trad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738549" name="Picture 1165738549" descr="Department of Foreign Affairs and Trade crest"/>
                  <pic:cNvPicPr/>
                </pic:nvPicPr>
                <pic:blipFill>
                  <a:blip r:embed="rId1">
                    <a:extLst>
                      <a:ext uri="{28A0092B-C50C-407E-A947-70E740481C1C}">
                        <a14:useLocalDpi xmlns:a14="http://schemas.microsoft.com/office/drawing/2010/main" val="0"/>
                      </a:ext>
                    </a:extLst>
                  </a:blip>
                  <a:stretch>
                    <a:fillRect/>
                  </a:stretch>
                </pic:blipFill>
                <pic:spPr>
                  <a:xfrm>
                    <a:off x="0" y="0"/>
                    <a:ext cx="3166745" cy="554355"/>
                  </a:xfrm>
                  <a:prstGeom prst="rect">
                    <a:avLst/>
                  </a:prstGeom>
                </pic:spPr>
              </pic:pic>
            </a:graphicData>
          </a:graphic>
        </wp:inline>
      </w:drawing>
    </w:r>
    <w:r w:rsidR="0073444D">
      <w:rPr>
        <w:noProof/>
        <w:lang w:val="en-AU" w:eastAsia="en-AU"/>
      </w:rPr>
      <mc:AlternateContent>
        <mc:Choice Requires="wps">
          <w:drawing>
            <wp:anchor distT="0" distB="0" distL="0" distR="0" simplePos="0" relativeHeight="251649536" behindDoc="0" locked="0" layoutInCell="1" allowOverlap="1" wp14:anchorId="4E0614BC" wp14:editId="0B226650">
              <wp:simplePos x="724619" y="267419"/>
              <wp:positionH relativeFrom="page">
                <wp:align>center</wp:align>
              </wp:positionH>
              <wp:positionV relativeFrom="page">
                <wp:align>top</wp:align>
              </wp:positionV>
              <wp:extent cx="622300" cy="452755"/>
              <wp:effectExtent l="0" t="0" r="6350" b="4445"/>
              <wp:wrapNone/>
              <wp:docPr id="8650035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7ABD391" w14:textId="15E04BED"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0614BC" id="_x0000_t202" coordsize="21600,21600" o:spt="202" path="m,l,21600r21600,l21600,xe">
              <v:stroke joinstyle="miter"/>
              <v:path gradientshapeok="t" o:connecttype="rect"/>
            </v:shapetype>
            <v:shape id="_x0000_s1031" type="#_x0000_t202" alt="OFFICIAL" style="position:absolute;margin-left:0;margin-top:0;width:49pt;height:35.65pt;z-index:251649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77ABD391" w14:textId="15E04BED"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v:textbox>
              <w10:wrap anchorx="page" anchory="page"/>
            </v:shape>
          </w:pict>
        </mc:Fallback>
      </mc:AlternateContent>
    </w:r>
    <w:r w:rsidR="00902F90" w:rsidRPr="00252C04">
      <w:rPr>
        <w:noProof/>
        <w:lang w:val="en-AU" w:eastAsia="en-AU"/>
      </w:rPr>
      <w:drawing>
        <wp:anchor distT="0" distB="0" distL="114300" distR="114300" simplePos="0" relativeHeight="251647488" behindDoc="1" locked="1" layoutInCell="1" allowOverlap="1" wp14:anchorId="5088B951" wp14:editId="372C3A58">
          <wp:simplePos x="0" y="0"/>
          <wp:positionH relativeFrom="page">
            <wp:posOffset>11541760</wp:posOffset>
          </wp:positionH>
          <wp:positionV relativeFrom="page">
            <wp:posOffset>928370</wp:posOffset>
          </wp:positionV>
          <wp:extent cx="1115060" cy="512445"/>
          <wp:effectExtent l="0" t="0" r="8890" b="1905"/>
          <wp:wrapNone/>
          <wp:docPr id="1770577285" name="Picture 1770577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15060" cy="512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0F3D" w14:textId="1B6CFE2A" w:rsidR="009A15B6" w:rsidRPr="00943730" w:rsidRDefault="009A15B6" w:rsidP="0028390D">
    <w:pPr>
      <w:pStyle w:val="QuoteHeading"/>
    </w:pPr>
    <w:r>
      <w:rPr>
        <w:noProof/>
        <w:lang w:val="en-AU" w:eastAsia="en-AU"/>
      </w:rPr>
      <mc:AlternateContent>
        <mc:Choice Requires="wps">
          <w:drawing>
            <wp:anchor distT="0" distB="0" distL="0" distR="0" simplePos="0" relativeHeight="251668992" behindDoc="0" locked="0" layoutInCell="1" allowOverlap="1" wp14:anchorId="5153F280" wp14:editId="3F5F4D93">
              <wp:simplePos x="724619" y="267419"/>
              <wp:positionH relativeFrom="page">
                <wp:align>center</wp:align>
              </wp:positionH>
              <wp:positionV relativeFrom="page">
                <wp:align>top</wp:align>
              </wp:positionV>
              <wp:extent cx="622300" cy="452755"/>
              <wp:effectExtent l="0" t="0" r="6350" b="4445"/>
              <wp:wrapNone/>
              <wp:docPr id="13310010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7D626E9" w14:textId="77777777" w:rsidR="009A15B6" w:rsidRPr="0073444D" w:rsidRDefault="009A15B6"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53F280" id="_x0000_t202" coordsize="21600,21600" o:spt="202" path="m,l,21600r21600,l21600,xe">
              <v:stroke joinstyle="miter"/>
              <v:path gradientshapeok="t" o:connecttype="rect"/>
            </v:shapetype>
            <v:shape id="_x0000_s1033" type="#_x0000_t202" alt="OFFICIAL" style="position:absolute;margin-left:0;margin-top:0;width:49pt;height:35.6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9DQ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TUyNj9DqoTDeVh2Hdwct1Q6Y0I+CQ8LZi6JdHi&#10;Ix3aQFdyOFuc1eB//M0f84l3inLWkWBKbknRnJlvlvYRtZWM6ed8Hsnwo3s3GvbQ3gHJcEovwslk&#10;xjw0o6k9tC8k51UsRCFhJZUrOY7mHQ7Kpecg1WqVkkhGTuDGbp2M0JGuyOVz/yK8OxOOtKkHGNUk&#10;ile8D7nxZnCrAxL7aSmR2oHIM+MkwbTW83OJGv/1P2VdH/XyJwA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J/hS/Q0CAAAcBAAA&#10;DgAAAAAAAAAAAAAAAAAuAgAAZHJzL2Uyb0RvYy54bWxQSwECLQAUAAYACAAAACEARawYydkAAAAD&#10;AQAADwAAAAAAAAAAAAAAAABnBAAAZHJzL2Rvd25yZXYueG1sUEsFBgAAAAAEAAQA8wAAAG0FAAAA&#10;AA==&#10;" filled="f" stroked="f">
              <v:textbox style="mso-fit-shape-to-text:t" inset="0,15pt,0,0">
                <w:txbxContent>
                  <w:p w14:paraId="47D626E9" w14:textId="77777777" w:rsidR="009A15B6" w:rsidRPr="0073444D" w:rsidRDefault="009A15B6"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v:textbox>
              <w10:wrap anchorx="page" anchory="page"/>
            </v:shape>
          </w:pict>
        </mc:Fallback>
      </mc:AlternateContent>
    </w:r>
    <w:r w:rsidRPr="00252C04">
      <w:rPr>
        <w:noProof/>
        <w:lang w:val="en-AU" w:eastAsia="en-AU"/>
      </w:rPr>
      <w:drawing>
        <wp:anchor distT="0" distB="0" distL="114300" distR="114300" simplePos="0" relativeHeight="251667968" behindDoc="1" locked="1" layoutInCell="1" allowOverlap="1" wp14:anchorId="1B4BB096" wp14:editId="41C23CB0">
          <wp:simplePos x="0" y="0"/>
          <wp:positionH relativeFrom="page">
            <wp:posOffset>11541760</wp:posOffset>
          </wp:positionH>
          <wp:positionV relativeFrom="page">
            <wp:posOffset>928370</wp:posOffset>
          </wp:positionV>
          <wp:extent cx="1115060" cy="512445"/>
          <wp:effectExtent l="0" t="0" r="8890" b="1905"/>
          <wp:wrapNone/>
          <wp:docPr id="1382775396" name="Picture 13827753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5060" cy="512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ACBA" w14:textId="16543E1C" w:rsidR="00902F90" w:rsidRPr="000854FD" w:rsidRDefault="0073444D" w:rsidP="000418C7">
    <w:pPr>
      <w:pStyle w:val="QuoteHeading"/>
    </w:pPr>
    <w:r>
      <w:rPr>
        <w:noProof/>
        <w:lang w:val="en-AU" w:eastAsia="en-AU"/>
      </w:rPr>
      <mc:AlternateContent>
        <mc:Choice Requires="wps">
          <w:drawing>
            <wp:anchor distT="0" distB="0" distL="0" distR="0" simplePos="0" relativeHeight="251651584" behindDoc="0" locked="0" layoutInCell="1" allowOverlap="1" wp14:anchorId="2B84B6D5" wp14:editId="69CC56BB">
              <wp:simplePos x="720725" y="270510"/>
              <wp:positionH relativeFrom="page">
                <wp:align>center</wp:align>
              </wp:positionH>
              <wp:positionV relativeFrom="page">
                <wp:align>top</wp:align>
              </wp:positionV>
              <wp:extent cx="622300" cy="452755"/>
              <wp:effectExtent l="0" t="0" r="2540" b="4445"/>
              <wp:wrapNone/>
              <wp:docPr id="210436095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48074A9" w14:textId="60216375"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w:t>
                          </w:r>
                          <w:r w:rsidR="000418C7">
                            <w:rPr>
                              <w:rFonts w:ascii="Aptos" w:eastAsia="Aptos" w:hAnsi="Aptos" w:cs="Aptos"/>
                              <w:noProof/>
                              <w:color w:val="FF0000"/>
                              <w:sz w:val="24"/>
                              <w:szCs w:val="24"/>
                            </w:rPr>
                            <w:t>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84B6D5" id="_x0000_t202" coordsize="21600,21600" o:spt="202" path="m,l,21600r21600,l21600,xe">
              <v:stroke joinstyle="miter"/>
              <v:path gradientshapeok="t" o:connecttype="rect"/>
            </v:shapetype>
            <v:shape id="Text Box 4" o:spid="_x0000_s1034" type="#_x0000_t202" alt="OFFICIAL" style="position:absolute;margin-left:0;margin-top:0;width:49pt;height:35.6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SkfgwA0CAAAcBAAA&#10;DgAAAAAAAAAAAAAAAAAuAgAAZHJzL2Uyb0RvYy54bWxQSwECLQAUAAYACAAAACEARawYydkAAAAD&#10;AQAADwAAAAAAAAAAAAAAAABnBAAAZHJzL2Rvd25yZXYueG1sUEsFBgAAAAAEAAQA8wAAAG0FAAAA&#10;AA==&#10;" filled="f" stroked="f">
              <v:textbox style="mso-fit-shape-to-text:t" inset="0,15pt,0,0">
                <w:txbxContent>
                  <w:p w14:paraId="148074A9" w14:textId="60216375"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w:t>
                    </w:r>
                    <w:r w:rsidR="000418C7">
                      <w:rPr>
                        <w:rFonts w:ascii="Aptos" w:eastAsia="Aptos" w:hAnsi="Aptos" w:cs="Aptos"/>
                        <w:noProof/>
                        <w:color w:val="FF0000"/>
                        <w:sz w:val="24"/>
                        <w:szCs w:val="24"/>
                      </w:rPr>
                      <w:t>FFICIAL</w:t>
                    </w:r>
                  </w:p>
                </w:txbxContent>
              </v:textbox>
              <w10:wrap anchorx="page" anchory="page"/>
            </v:shape>
          </w:pict>
        </mc:Fallback>
      </mc:AlternateContent>
    </w:r>
    <w:r w:rsidR="00902F90" w:rsidRPr="00252C04">
      <w:rPr>
        <w:noProof/>
        <w:lang w:val="en-AU" w:eastAsia="en-AU"/>
      </w:rPr>
      <w:drawing>
        <wp:anchor distT="0" distB="0" distL="114300" distR="114300" simplePos="0" relativeHeight="251650560" behindDoc="1" locked="1" layoutInCell="1" allowOverlap="1" wp14:anchorId="08F84A5F" wp14:editId="3849D01D">
          <wp:simplePos x="0" y="0"/>
          <wp:positionH relativeFrom="page">
            <wp:posOffset>11541760</wp:posOffset>
          </wp:positionH>
          <wp:positionV relativeFrom="page">
            <wp:posOffset>928370</wp:posOffset>
          </wp:positionV>
          <wp:extent cx="1115060" cy="512445"/>
          <wp:effectExtent l="0" t="0" r="8890" b="1905"/>
          <wp:wrapNone/>
          <wp:docPr id="1506302332" name="Picture 15063023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5060" cy="512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FCF8" w14:textId="7B6A9B06" w:rsidR="00614230" w:rsidRDefault="0073444D" w:rsidP="00AA4B1E">
    <w:pPr>
      <w:pStyle w:val="Header"/>
      <w:jc w:val="right"/>
    </w:pPr>
    <w:r>
      <w:rPr>
        <w:noProof/>
      </w:rPr>
      <mc:AlternateContent>
        <mc:Choice Requires="wps">
          <w:drawing>
            <wp:anchor distT="0" distB="0" distL="0" distR="0" simplePos="0" relativeHeight="251656704" behindDoc="0" locked="0" layoutInCell="1" allowOverlap="1" wp14:anchorId="43CA34EF" wp14:editId="00B8764C">
              <wp:simplePos x="635" y="635"/>
              <wp:positionH relativeFrom="page">
                <wp:align>center</wp:align>
              </wp:positionH>
              <wp:positionV relativeFrom="page">
                <wp:align>top</wp:align>
              </wp:positionV>
              <wp:extent cx="622300" cy="452755"/>
              <wp:effectExtent l="0" t="0" r="6350" b="4445"/>
              <wp:wrapNone/>
              <wp:docPr id="202687764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5175F31" w14:textId="3CAB95B2"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CA34EF" id="_x0000_t202" coordsize="21600,21600" o:spt="202" path="m,l,21600r21600,l21600,xe">
              <v:stroke joinstyle="miter"/>
              <v:path gradientshapeok="t" o:connecttype="rect"/>
            </v:shapetype>
            <v:shape id="Text Box 5" o:spid="_x0000_s1039" type="#_x0000_t202" alt="OFFICIAL" style="position:absolute;left:0;text-align:left;margin-left:0;margin-top:0;width:49pt;height:35.6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l7DQIAAB0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Wvsvpja30N9xqkcDAv3lm9arL1lPjwxhxvGdlG1&#10;4REPqaCrKIwWJQ24H3/zx3wkHqOUdKiYihqUNCXqm8GFRHElY/45X0Q23OTeT4Y56jtAHc7xSVie&#10;zJgX1GRKB/oF9byOhTDEDMdyFQ2TeRcG6eJ74GK9TkmoI8vC1uwsj9CRr0jmc//CnB0ZD7iqB5jk&#10;xMpXxA+58aa362NA+tNWIrcDkSPlqMG01/G9RJH/+p+yrq969RM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5pnpew0CAAAdBAAA&#10;DgAAAAAAAAAAAAAAAAAuAgAAZHJzL2Uyb0RvYy54bWxQSwECLQAUAAYACAAAACEARawYydkAAAAD&#10;AQAADwAAAAAAAAAAAAAAAABnBAAAZHJzL2Rvd25yZXYueG1sUEsFBgAAAAAEAAQA8wAAAG0FAAAA&#10;AA==&#10;" filled="f" stroked="f">
              <v:textbox style="mso-fit-shape-to-text:t" inset="0,15pt,0,0">
                <w:txbxContent>
                  <w:p w14:paraId="15175F31" w14:textId="3CAB95B2"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v:textbox>
              <w10:wrap anchorx="page" anchory="page"/>
            </v:shape>
          </w:pict>
        </mc:Fallback>
      </mc:AlternateContent>
    </w:r>
  </w:p>
  <w:p w14:paraId="07695D6F" w14:textId="77777777" w:rsidR="00614230" w:rsidRDefault="00614230" w:rsidP="00943730">
    <w:pPr>
      <w:pStyle w:val="Header"/>
    </w:pPr>
  </w:p>
  <w:p w14:paraId="70322CA9" w14:textId="77777777" w:rsidR="00614230" w:rsidRDefault="00614230" w:rsidP="00943730">
    <w:pPr>
      <w:pStyle w:val="Header"/>
    </w:pPr>
  </w:p>
  <w:p w14:paraId="4FE83838" w14:textId="77777777" w:rsidR="00614230" w:rsidRPr="00943730" w:rsidRDefault="00614230" w:rsidP="00943730">
    <w:pPr>
      <w:pStyle w:val="Header"/>
    </w:pPr>
    <w:r w:rsidRPr="00252C04">
      <w:rPr>
        <w:noProof/>
        <w:lang w:val="en-AU" w:eastAsia="en-AU"/>
      </w:rPr>
      <w:drawing>
        <wp:anchor distT="0" distB="0" distL="114300" distR="114300" simplePos="0" relativeHeight="251655680" behindDoc="1" locked="1" layoutInCell="1" allowOverlap="1" wp14:anchorId="1057D2FD" wp14:editId="1445FC38">
          <wp:simplePos x="0" y="0"/>
          <wp:positionH relativeFrom="page">
            <wp:posOffset>11541760</wp:posOffset>
          </wp:positionH>
          <wp:positionV relativeFrom="page">
            <wp:posOffset>928370</wp:posOffset>
          </wp:positionV>
          <wp:extent cx="1115060" cy="512445"/>
          <wp:effectExtent l="0" t="0" r="8890" b="1905"/>
          <wp:wrapNone/>
          <wp:docPr id="1120828165" name="Picture 11208281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5060" cy="512445"/>
                  </a:xfrm>
                  <a:prstGeom prst="rect">
                    <a:avLst/>
                  </a:prstGeom>
                </pic:spPr>
              </pic:pic>
            </a:graphicData>
          </a:graphic>
          <wp14:sizeRelH relativeFrom="margin">
            <wp14:pctWidth>0</wp14:pctWidth>
          </wp14:sizeRelH>
          <wp14:sizeRelV relativeFrom="margin">
            <wp14:pctHeight>0</wp14:pctHeight>
          </wp14:sizeRelV>
        </wp:anchor>
      </w:drawing>
    </w:r>
    <w:r w:rsidRPr="00943730">
      <w:rPr>
        <w:noProof/>
        <w:lang w:val="en-AU" w:eastAsia="en-AU"/>
      </w:rPr>
      <w:drawing>
        <wp:anchor distT="0" distB="0" distL="114300" distR="114300" simplePos="0" relativeHeight="251654656" behindDoc="1" locked="1" layoutInCell="1" allowOverlap="1" wp14:anchorId="5BE9AEAF" wp14:editId="2EDF4E36">
          <wp:simplePos x="0" y="0"/>
          <wp:positionH relativeFrom="page">
            <wp:posOffset>-204470</wp:posOffset>
          </wp:positionH>
          <wp:positionV relativeFrom="page">
            <wp:posOffset>-13335</wp:posOffset>
          </wp:positionV>
          <wp:extent cx="12132310" cy="10692130"/>
          <wp:effectExtent l="0" t="0" r="0" b="1270"/>
          <wp:wrapNone/>
          <wp:docPr id="1064677714" name="Picture 10646777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2132310"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02A5" w14:textId="510794D6" w:rsidR="00902F90" w:rsidRDefault="0073444D" w:rsidP="00AA4B1E">
    <w:pPr>
      <w:pStyle w:val="Header"/>
      <w:jc w:val="right"/>
    </w:pPr>
    <w:r>
      <w:rPr>
        <w:noProof/>
      </w:rPr>
      <mc:AlternateContent>
        <mc:Choice Requires="wps">
          <w:drawing>
            <wp:anchor distT="0" distB="0" distL="0" distR="0" simplePos="0" relativeHeight="251657728" behindDoc="0" locked="0" layoutInCell="1" allowOverlap="1" wp14:anchorId="2AE5B44E" wp14:editId="639DA556">
              <wp:simplePos x="635" y="635"/>
              <wp:positionH relativeFrom="page">
                <wp:align>center</wp:align>
              </wp:positionH>
              <wp:positionV relativeFrom="page">
                <wp:align>top</wp:align>
              </wp:positionV>
              <wp:extent cx="622300" cy="452755"/>
              <wp:effectExtent l="0" t="0" r="6350" b="4445"/>
              <wp:wrapNone/>
              <wp:docPr id="81625687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16CCE49" w14:textId="66329A96"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E5B44E" id="_x0000_t202" coordsize="21600,21600" o:spt="202" path="m,l,21600r21600,l21600,xe">
              <v:stroke joinstyle="miter"/>
              <v:path gradientshapeok="t" o:connecttype="rect"/>
            </v:shapetype>
            <v:shape id="Text Box 6" o:spid="_x0000_s1040" type="#_x0000_t202" alt="OFFICIAL" style="position:absolute;left:0;text-align:left;margin-left:0;margin-top:0;width:49pt;height:35.6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tGDgIAAB0EAAAOAAAAZHJzL2Uyb0RvYy54bWysU8Fu2zAMvQ/YPwi6L3bSp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" filled="f" stroked="f">
              <v:textbox style="mso-fit-shape-to-text:t" inset="0,15pt,0,0">
                <w:txbxContent>
                  <w:p w14:paraId="216CCE49" w14:textId="66329A96"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v:textbox>
              <w10:wrap anchorx="page" anchory="page"/>
            </v:shape>
          </w:pict>
        </mc:Fallback>
      </mc:AlternateContent>
    </w:r>
  </w:p>
  <w:p w14:paraId="46A63B33" w14:textId="77777777" w:rsidR="00902F90" w:rsidRDefault="00902F90" w:rsidP="00943730">
    <w:pPr>
      <w:pStyle w:val="Header"/>
    </w:pPr>
  </w:p>
  <w:p w14:paraId="7239E366" w14:textId="77777777" w:rsidR="00902F90" w:rsidRDefault="00902F90" w:rsidP="00943730">
    <w:pPr>
      <w:pStyle w:val="Header"/>
    </w:pPr>
  </w:p>
  <w:p w14:paraId="31D5B206" w14:textId="77777777" w:rsidR="00902F90" w:rsidRPr="00943730" w:rsidRDefault="00902F90" w:rsidP="00943730">
    <w:pPr>
      <w:pStyle w:val="Header"/>
    </w:pPr>
    <w:r w:rsidRPr="00252C04">
      <w:rPr>
        <w:noProof/>
        <w:lang w:val="en-AU" w:eastAsia="en-AU"/>
      </w:rPr>
      <w:drawing>
        <wp:anchor distT="0" distB="0" distL="114300" distR="114300" simplePos="0" relativeHeight="251653632" behindDoc="1" locked="1" layoutInCell="1" allowOverlap="1" wp14:anchorId="28978357" wp14:editId="57967041">
          <wp:simplePos x="0" y="0"/>
          <wp:positionH relativeFrom="page">
            <wp:posOffset>11541760</wp:posOffset>
          </wp:positionH>
          <wp:positionV relativeFrom="page">
            <wp:posOffset>928370</wp:posOffset>
          </wp:positionV>
          <wp:extent cx="1115060" cy="512445"/>
          <wp:effectExtent l="0" t="0" r="8890" b="1905"/>
          <wp:wrapNone/>
          <wp:docPr id="476547138" name="Picture 476547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5060" cy="512445"/>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4AAD" w14:textId="7B3A1FD9" w:rsidR="00902F90" w:rsidRDefault="0073444D" w:rsidP="00AA4B1E">
    <w:pPr>
      <w:pStyle w:val="Header"/>
      <w:jc w:val="right"/>
    </w:pPr>
    <w:r>
      <w:rPr>
        <w:noProof/>
      </w:rPr>
      <mc:AlternateContent>
        <mc:Choice Requires="wps">
          <w:drawing>
            <wp:anchor distT="0" distB="0" distL="0" distR="0" simplePos="0" relativeHeight="251658752" behindDoc="0" locked="0" layoutInCell="1" allowOverlap="1" wp14:anchorId="7FE4C0FD" wp14:editId="179DE42B">
              <wp:simplePos x="635" y="635"/>
              <wp:positionH relativeFrom="page">
                <wp:align>center</wp:align>
              </wp:positionH>
              <wp:positionV relativeFrom="page">
                <wp:align>top</wp:align>
              </wp:positionV>
              <wp:extent cx="622300" cy="452755"/>
              <wp:effectExtent l="0" t="0" r="6350" b="4445"/>
              <wp:wrapNone/>
              <wp:docPr id="71242910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59B027B" w14:textId="76BAE273"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E4C0FD" id="_x0000_t202" coordsize="21600,21600" o:spt="202" path="m,l,21600r21600,l21600,xe">
              <v:stroke joinstyle="miter"/>
              <v:path gradientshapeok="t" o:connecttype="rect"/>
            </v:shapetype>
            <v:shape id="Text Box 7" o:spid="_x0000_s1041" type="#_x0000_t202" alt="OFFICIAL" style="position:absolute;left:0;text-align:left;margin-left:0;margin-top:0;width:49pt;height:35.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b2DgIAAB0EAAAOAAAAZHJzL2Uyb0RvYy54bWysU8Fu2zAMvQ/YPwi6L3aypu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" filled="f" stroked="f">
              <v:textbox style="mso-fit-shape-to-text:t" inset="0,15pt,0,0">
                <w:txbxContent>
                  <w:p w14:paraId="159B027B" w14:textId="76BAE273" w:rsidR="0073444D" w:rsidRPr="0073444D" w:rsidRDefault="0073444D" w:rsidP="0073444D">
                    <w:pPr>
                      <w:spacing w:after="0"/>
                      <w:rPr>
                        <w:rFonts w:ascii="Aptos" w:eastAsia="Aptos" w:hAnsi="Aptos" w:cs="Aptos"/>
                        <w:noProof/>
                        <w:color w:val="FF0000"/>
                        <w:sz w:val="24"/>
                        <w:szCs w:val="24"/>
                      </w:rPr>
                    </w:pPr>
                    <w:r w:rsidRPr="0073444D">
                      <w:rPr>
                        <w:rFonts w:ascii="Aptos" w:eastAsia="Aptos" w:hAnsi="Aptos" w:cs="Aptos"/>
                        <w:noProof/>
                        <w:color w:val="FF0000"/>
                        <w:sz w:val="24"/>
                        <w:szCs w:val="24"/>
                      </w:rPr>
                      <w:t>OFFICIAL</w:t>
                    </w:r>
                  </w:p>
                </w:txbxContent>
              </v:textbox>
              <w10:wrap anchorx="page" anchory="page"/>
            </v:shape>
          </w:pict>
        </mc:Fallback>
      </mc:AlternateContent>
    </w:r>
  </w:p>
  <w:p w14:paraId="33069941" w14:textId="77777777" w:rsidR="00902F90" w:rsidRDefault="00902F90" w:rsidP="00943730">
    <w:pPr>
      <w:pStyle w:val="Header"/>
    </w:pPr>
  </w:p>
  <w:p w14:paraId="1F321441" w14:textId="77777777" w:rsidR="00902F90" w:rsidRDefault="00902F90" w:rsidP="00943730">
    <w:pPr>
      <w:pStyle w:val="Header"/>
    </w:pPr>
  </w:p>
  <w:p w14:paraId="5F3FB995" w14:textId="77777777" w:rsidR="00902F90" w:rsidRPr="00943730" w:rsidRDefault="00902F90" w:rsidP="00943730">
    <w:pPr>
      <w:pStyle w:val="Header"/>
    </w:pPr>
    <w:r w:rsidRPr="00252C04">
      <w:rPr>
        <w:noProof/>
        <w:lang w:val="en-AU" w:eastAsia="en-AU"/>
      </w:rPr>
      <w:drawing>
        <wp:anchor distT="0" distB="0" distL="114300" distR="114300" simplePos="0" relativeHeight="251652608" behindDoc="1" locked="1" layoutInCell="1" allowOverlap="1" wp14:anchorId="0F358860" wp14:editId="13BD8938">
          <wp:simplePos x="0" y="0"/>
          <wp:positionH relativeFrom="page">
            <wp:posOffset>11541760</wp:posOffset>
          </wp:positionH>
          <wp:positionV relativeFrom="page">
            <wp:posOffset>928370</wp:posOffset>
          </wp:positionV>
          <wp:extent cx="1115060" cy="512445"/>
          <wp:effectExtent l="0" t="0" r="8890" b="1905"/>
          <wp:wrapNone/>
          <wp:docPr id="1250966323" name="Picture 12509663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15060" cy="5124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4BE"/>
    <w:multiLevelType w:val="multilevel"/>
    <w:tmpl w:val="64FA6A52"/>
    <w:styleLink w:val="CurrentList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892F58"/>
    <w:multiLevelType w:val="multilevel"/>
    <w:tmpl w:val="1736B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E4224"/>
    <w:multiLevelType w:val="multilevel"/>
    <w:tmpl w:val="2E5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4070A0"/>
    <w:multiLevelType w:val="multilevel"/>
    <w:tmpl w:val="EAE87678"/>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2C461A"/>
    <w:multiLevelType w:val="multilevel"/>
    <w:tmpl w:val="2E5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5E76D5"/>
    <w:multiLevelType w:val="multilevel"/>
    <w:tmpl w:val="72DAAE36"/>
    <w:styleLink w:val="CurrentList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464414"/>
    <w:multiLevelType w:val="multilevel"/>
    <w:tmpl w:val="4468D08C"/>
    <w:lvl w:ilvl="0">
      <w:start w:val="1"/>
      <w:numFmt w:val="bullet"/>
      <w:lvlText w:val=""/>
      <w:lvlJc w:val="left"/>
      <w:pPr>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7A61BA0"/>
    <w:multiLevelType w:val="hybridMultilevel"/>
    <w:tmpl w:val="72DAAE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93C7D40"/>
    <w:multiLevelType w:val="hybridMultilevel"/>
    <w:tmpl w:val="A6EEA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0AA51771"/>
    <w:multiLevelType w:val="hybridMultilevel"/>
    <w:tmpl w:val="FD068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CD708B"/>
    <w:multiLevelType w:val="multilevel"/>
    <w:tmpl w:val="2E5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1F3419"/>
    <w:multiLevelType w:val="multilevel"/>
    <w:tmpl w:val="2E5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9A1CE0"/>
    <w:multiLevelType w:val="multilevel"/>
    <w:tmpl w:val="F512538E"/>
    <w:lvl w:ilvl="0">
      <w:start w:val="1"/>
      <w:numFmt w:val="bullet"/>
      <w:lvlText w:val=""/>
      <w:lvlJc w:val="left"/>
      <w:pPr>
        <w:tabs>
          <w:tab w:val="num" w:pos="360"/>
        </w:tabs>
        <w:ind w:left="360" w:hanging="360"/>
      </w:pPr>
      <w:rPr>
        <w:rFonts w:ascii="Symbol" w:hAnsi="Symbol" w:hint="default"/>
        <w:sz w:val="20"/>
      </w:rPr>
    </w:lvl>
    <w:lvl w:ilvl="1">
      <w:start w:val="1"/>
      <w:numFmt w:val="upperRoman"/>
      <w:lvlText w:val="%2."/>
      <w:lvlJc w:val="right"/>
      <w:pPr>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0CF3035B"/>
    <w:multiLevelType w:val="hybridMultilevel"/>
    <w:tmpl w:val="B4F80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594381"/>
    <w:multiLevelType w:val="multilevel"/>
    <w:tmpl w:val="E0781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9D3A8F"/>
    <w:multiLevelType w:val="multilevel"/>
    <w:tmpl w:val="1DB64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9E6E17"/>
    <w:multiLevelType w:val="multilevel"/>
    <w:tmpl w:val="2E5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59E0A3A"/>
    <w:multiLevelType w:val="multilevel"/>
    <w:tmpl w:val="2E5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20" w15:restartNumberingAfterBreak="0">
    <w:nsid w:val="17B70928"/>
    <w:multiLevelType w:val="multilevel"/>
    <w:tmpl w:val="EA64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2B6807"/>
    <w:multiLevelType w:val="hybridMultilevel"/>
    <w:tmpl w:val="52D0542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2" w15:restartNumberingAfterBreak="0">
    <w:nsid w:val="18C030C5"/>
    <w:multiLevelType w:val="multilevel"/>
    <w:tmpl w:val="F512538E"/>
    <w:lvl w:ilvl="0">
      <w:start w:val="1"/>
      <w:numFmt w:val="bullet"/>
      <w:lvlText w:val=""/>
      <w:lvlJc w:val="left"/>
      <w:pPr>
        <w:tabs>
          <w:tab w:val="num" w:pos="1080"/>
        </w:tabs>
        <w:ind w:left="1080" w:hanging="360"/>
      </w:pPr>
      <w:rPr>
        <w:rFonts w:ascii="Symbol" w:hAnsi="Symbol" w:hint="default"/>
        <w:sz w:val="20"/>
      </w:rPr>
    </w:lvl>
    <w:lvl w:ilvl="1">
      <w:start w:val="1"/>
      <w:numFmt w:val="upperRoman"/>
      <w:lvlText w:val="%2."/>
      <w:lvlJc w:val="righ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1A9E4F6C"/>
    <w:multiLevelType w:val="hybridMultilevel"/>
    <w:tmpl w:val="5ABC4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C790380"/>
    <w:multiLevelType w:val="multilevel"/>
    <w:tmpl w:val="09C632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1C977E04"/>
    <w:multiLevelType w:val="multilevel"/>
    <w:tmpl w:val="6EAAF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C36C92"/>
    <w:multiLevelType w:val="hybridMultilevel"/>
    <w:tmpl w:val="E07A2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DCC6006"/>
    <w:multiLevelType w:val="multilevel"/>
    <w:tmpl w:val="4468D08C"/>
    <w:lvl w:ilvl="0">
      <w:start w:val="1"/>
      <w:numFmt w:val="bullet"/>
      <w:lvlText w:val=""/>
      <w:lvlJc w:val="left"/>
      <w:pPr>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1E5B4474"/>
    <w:multiLevelType w:val="hybridMultilevel"/>
    <w:tmpl w:val="C3F87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FD15F12"/>
    <w:multiLevelType w:val="multilevel"/>
    <w:tmpl w:val="FB82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051084F"/>
    <w:multiLevelType w:val="multilevel"/>
    <w:tmpl w:val="D718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AF1A60"/>
    <w:multiLevelType w:val="hybridMultilevel"/>
    <w:tmpl w:val="28F6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3896963"/>
    <w:multiLevelType w:val="multilevel"/>
    <w:tmpl w:val="2E5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6316582"/>
    <w:multiLevelType w:val="multilevel"/>
    <w:tmpl w:val="2E5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68B67EA"/>
    <w:multiLevelType w:val="multilevel"/>
    <w:tmpl w:val="D7B835FC"/>
    <w:styleLink w:val="CurrentList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6E14956"/>
    <w:multiLevelType w:val="hybridMultilevel"/>
    <w:tmpl w:val="3A30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F77563"/>
    <w:multiLevelType w:val="multilevel"/>
    <w:tmpl w:val="2E5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8186D14"/>
    <w:multiLevelType w:val="hybridMultilevel"/>
    <w:tmpl w:val="B9408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87B425C"/>
    <w:multiLevelType w:val="multilevel"/>
    <w:tmpl w:val="2E5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9CE07FF"/>
    <w:multiLevelType w:val="hybridMultilevel"/>
    <w:tmpl w:val="D6481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ACC0E46"/>
    <w:multiLevelType w:val="hybridMultilevel"/>
    <w:tmpl w:val="81783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B9B159F"/>
    <w:multiLevelType w:val="multilevel"/>
    <w:tmpl w:val="A64E6B1C"/>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2" w15:restartNumberingAfterBreak="0">
    <w:nsid w:val="2BDC43B8"/>
    <w:multiLevelType w:val="hybridMultilevel"/>
    <w:tmpl w:val="738AE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CD941C5"/>
    <w:multiLevelType w:val="multilevel"/>
    <w:tmpl w:val="2E5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D39252E"/>
    <w:multiLevelType w:val="hybridMultilevel"/>
    <w:tmpl w:val="354C11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F8F3637"/>
    <w:multiLevelType w:val="hybridMultilevel"/>
    <w:tmpl w:val="235E1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2720622"/>
    <w:multiLevelType w:val="hybridMultilevel"/>
    <w:tmpl w:val="129EBD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331B469B"/>
    <w:multiLevelType w:val="multilevel"/>
    <w:tmpl w:val="B74C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631236"/>
    <w:multiLevelType w:val="multilevel"/>
    <w:tmpl w:val="BFF6E89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8C15E1"/>
    <w:multiLevelType w:val="hybridMultilevel"/>
    <w:tmpl w:val="018A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562219D"/>
    <w:multiLevelType w:val="multilevel"/>
    <w:tmpl w:val="5C6E3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5B80651"/>
    <w:multiLevelType w:val="hybridMultilevel"/>
    <w:tmpl w:val="1178A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36075630"/>
    <w:multiLevelType w:val="multilevel"/>
    <w:tmpl w:val="F68CDF02"/>
    <w:lvl w:ilvl="0">
      <w:start w:val="1"/>
      <w:numFmt w:val="bullet"/>
      <w:lvlText w:val=""/>
      <w:lvlJc w:val="left"/>
      <w:pPr>
        <w:ind w:left="36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3" w15:restartNumberingAfterBreak="0">
    <w:nsid w:val="36883C2A"/>
    <w:multiLevelType w:val="multilevel"/>
    <w:tmpl w:val="2E5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A7565F9"/>
    <w:multiLevelType w:val="hybridMultilevel"/>
    <w:tmpl w:val="B5BEB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3BA13FD9"/>
    <w:multiLevelType w:val="multilevel"/>
    <w:tmpl w:val="34A6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A177B4"/>
    <w:multiLevelType w:val="hybridMultilevel"/>
    <w:tmpl w:val="849CD09E"/>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1C55818"/>
    <w:multiLevelType w:val="multilevel"/>
    <w:tmpl w:val="1982DE72"/>
    <w:styleLink w:val="CurrentList1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45C27888"/>
    <w:multiLevelType w:val="hybridMultilevel"/>
    <w:tmpl w:val="5796A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474C6A2F"/>
    <w:multiLevelType w:val="multilevel"/>
    <w:tmpl w:val="2E5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7A848C8"/>
    <w:multiLevelType w:val="multilevel"/>
    <w:tmpl w:val="C0EC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B9F5155"/>
    <w:multiLevelType w:val="multilevel"/>
    <w:tmpl w:val="ED82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BB818CA"/>
    <w:multiLevelType w:val="hybridMultilevel"/>
    <w:tmpl w:val="50BEE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BF411C1"/>
    <w:multiLevelType w:val="hybridMultilevel"/>
    <w:tmpl w:val="B1E41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D5631CC"/>
    <w:multiLevelType w:val="multilevel"/>
    <w:tmpl w:val="42CE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01616FD"/>
    <w:multiLevelType w:val="multilevel"/>
    <w:tmpl w:val="91E23504"/>
    <w:styleLink w:val="CurrentList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0231196"/>
    <w:multiLevelType w:val="multilevel"/>
    <w:tmpl w:val="1DB6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6E0F24"/>
    <w:multiLevelType w:val="multilevel"/>
    <w:tmpl w:val="0968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A9406A"/>
    <w:multiLevelType w:val="hybridMultilevel"/>
    <w:tmpl w:val="C7488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432536A"/>
    <w:multiLevelType w:val="hybridMultilevel"/>
    <w:tmpl w:val="84F4FF94"/>
    <w:lvl w:ilvl="0" w:tplc="86D0833C">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5BE1611"/>
    <w:multiLevelType w:val="hybridMultilevel"/>
    <w:tmpl w:val="870AF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5CF39EB"/>
    <w:multiLevelType w:val="multilevel"/>
    <w:tmpl w:val="9D52CEB8"/>
    <w:styleLink w:val="CurrentList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94315DA"/>
    <w:multiLevelType w:val="multilevel"/>
    <w:tmpl w:val="7D76997C"/>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800" w:hanging="720"/>
      </w:pPr>
      <w:rPr>
        <w:rFonts w:ascii="Calibri Light" w:eastAsia="Times New Roman" w:hAnsi="Calibri Light" w:cs="Calibri 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57252A"/>
    <w:multiLevelType w:val="hybridMultilevel"/>
    <w:tmpl w:val="C5B2B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75" w15:restartNumberingAfterBreak="0">
    <w:nsid w:val="5AAA643E"/>
    <w:multiLevelType w:val="hybridMultilevel"/>
    <w:tmpl w:val="2D8A611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C5C7D7F"/>
    <w:multiLevelType w:val="multilevel"/>
    <w:tmpl w:val="71AEA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D107155"/>
    <w:multiLevelType w:val="multilevel"/>
    <w:tmpl w:val="D7B835FC"/>
    <w:styleLink w:val="CurrentLi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D3C1EA7"/>
    <w:multiLevelType w:val="multilevel"/>
    <w:tmpl w:val="A6FA45D0"/>
    <w:numStyleLink w:val="BulletsList"/>
  </w:abstractNum>
  <w:abstractNum w:abstractNumId="79"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80" w15:restartNumberingAfterBreak="0">
    <w:nsid w:val="5E007FD2"/>
    <w:multiLevelType w:val="hybridMultilevel"/>
    <w:tmpl w:val="B5448E12"/>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E89667E"/>
    <w:multiLevelType w:val="hybridMultilevel"/>
    <w:tmpl w:val="81C8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FCB3E8C"/>
    <w:multiLevelType w:val="hybridMultilevel"/>
    <w:tmpl w:val="9F5AC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605329D7"/>
    <w:multiLevelType w:val="multilevel"/>
    <w:tmpl w:val="83BC2142"/>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60561C4C"/>
    <w:multiLevelType w:val="hybridMultilevel"/>
    <w:tmpl w:val="7E0AD25A"/>
    <w:lvl w:ilvl="0" w:tplc="DC16DEEC">
      <w:start w:val="1"/>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611701F6"/>
    <w:multiLevelType w:val="hybridMultilevel"/>
    <w:tmpl w:val="AEEC015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64793983"/>
    <w:multiLevelType w:val="multilevel"/>
    <w:tmpl w:val="C474436C"/>
    <w:styleLink w:val="CurrentList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7" w15:restartNumberingAfterBreak="0">
    <w:nsid w:val="676022EC"/>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69BF12CC"/>
    <w:multiLevelType w:val="multilevel"/>
    <w:tmpl w:val="A20646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C570D10"/>
    <w:multiLevelType w:val="multilevel"/>
    <w:tmpl w:val="BDB6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F11317B"/>
    <w:multiLevelType w:val="multilevel"/>
    <w:tmpl w:val="2E5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12C7164"/>
    <w:multiLevelType w:val="hybridMultilevel"/>
    <w:tmpl w:val="F064BE5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73107305"/>
    <w:multiLevelType w:val="multilevel"/>
    <w:tmpl w:val="A6FA45D0"/>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3" w15:restartNumberingAfterBreak="0">
    <w:nsid w:val="735732A5"/>
    <w:multiLevelType w:val="multilevel"/>
    <w:tmpl w:val="92207FB8"/>
    <w:styleLink w:val="CurrentList5"/>
    <w:lvl w:ilvl="0">
      <w:start w:val="1"/>
      <w:numFmt w:val="upperLetter"/>
      <w:lvlText w:val="%1."/>
      <w:lvlJc w:val="left"/>
      <w:pPr>
        <w:ind w:left="72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upperLetter"/>
      <w:lvlText w:val="%8."/>
      <w:lvlJc w:val="left"/>
      <w:pPr>
        <w:ind w:left="720" w:hanging="360"/>
      </w:pPr>
    </w:lvl>
    <w:lvl w:ilvl="8">
      <w:start w:val="1"/>
      <w:numFmt w:val="bullet"/>
      <w:lvlText w:val="•"/>
      <w:lvlJc w:val="left"/>
      <w:pPr>
        <w:ind w:left="3960" w:hanging="360"/>
      </w:pPr>
      <w:rPr>
        <w:rFonts w:ascii="Calibri Light" w:eastAsiaTheme="minorHAnsi" w:hAnsi="Calibri Light" w:cs="Calibri Light" w:hint="default"/>
      </w:rPr>
    </w:lvl>
  </w:abstractNum>
  <w:abstractNum w:abstractNumId="94" w15:restartNumberingAfterBreak="0">
    <w:nsid w:val="73781A86"/>
    <w:multiLevelType w:val="multilevel"/>
    <w:tmpl w:val="8EF6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6" w15:restartNumberingAfterBreak="0">
    <w:nsid w:val="79D4198C"/>
    <w:multiLevelType w:val="multilevel"/>
    <w:tmpl w:val="2E54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B815C2C"/>
    <w:multiLevelType w:val="multilevel"/>
    <w:tmpl w:val="4468D08C"/>
    <w:lvl w:ilvl="0">
      <w:start w:val="1"/>
      <w:numFmt w:val="bullet"/>
      <w:lvlText w:val=""/>
      <w:lvlJc w:val="left"/>
      <w:pPr>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8" w15:restartNumberingAfterBreak="0">
    <w:nsid w:val="7B9B4DAB"/>
    <w:multiLevelType w:val="hybridMultilevel"/>
    <w:tmpl w:val="C3725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7C0063F7"/>
    <w:multiLevelType w:val="multilevel"/>
    <w:tmpl w:val="4468D08C"/>
    <w:lvl w:ilvl="0">
      <w:start w:val="1"/>
      <w:numFmt w:val="bullet"/>
      <w:lvlText w:val=""/>
      <w:lvlJc w:val="left"/>
      <w:pPr>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0" w15:restartNumberingAfterBreak="0">
    <w:nsid w:val="7C2B5045"/>
    <w:multiLevelType w:val="multilevel"/>
    <w:tmpl w:val="A64E6B1C"/>
    <w:numStyleLink w:val="HeadingsList"/>
  </w:abstractNum>
  <w:abstractNum w:abstractNumId="101" w15:restartNumberingAfterBreak="0">
    <w:nsid w:val="7CE51E4D"/>
    <w:multiLevelType w:val="hybridMultilevel"/>
    <w:tmpl w:val="7178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D8819FB"/>
    <w:multiLevelType w:val="hybridMultilevel"/>
    <w:tmpl w:val="3E440C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ECC2D4F"/>
    <w:multiLevelType w:val="multilevel"/>
    <w:tmpl w:val="D2E2D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F007B8A"/>
    <w:multiLevelType w:val="multilevel"/>
    <w:tmpl w:val="4468D08C"/>
    <w:lvl w:ilvl="0">
      <w:start w:val="1"/>
      <w:numFmt w:val="bullet"/>
      <w:lvlText w:val=""/>
      <w:lvlJc w:val="left"/>
      <w:pPr>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5" w15:restartNumberingAfterBreak="0">
    <w:nsid w:val="7F36120E"/>
    <w:multiLevelType w:val="hybridMultilevel"/>
    <w:tmpl w:val="B49EA576"/>
    <w:lvl w:ilvl="0" w:tplc="1D2EE444">
      <w:start w:val="1"/>
      <w:numFmt w:val="upperLetter"/>
      <w:lvlText w:val="%1."/>
      <w:lvlJc w:val="left"/>
      <w:pPr>
        <w:ind w:left="720" w:hanging="360"/>
      </w:pPr>
      <w:rPr>
        <w:rFonts w:hint="default"/>
        <w:b w:val="0"/>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F3B5EF6"/>
    <w:multiLevelType w:val="hybridMultilevel"/>
    <w:tmpl w:val="1932E78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7F675791"/>
    <w:multiLevelType w:val="hybridMultilevel"/>
    <w:tmpl w:val="2D8A611E"/>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7F7A528B"/>
    <w:multiLevelType w:val="hybridMultilevel"/>
    <w:tmpl w:val="A39658C0"/>
    <w:lvl w:ilvl="0" w:tplc="7B640FF6">
      <w:start w:val="1"/>
      <w:numFmt w:val="bullet"/>
      <w:pStyle w:val="ListBullet"/>
      <w:lvlText w:val="›"/>
      <w:lvlJc w:val="left"/>
      <w:pPr>
        <w:ind w:left="0" w:hanging="360"/>
      </w:pPr>
      <w:rPr>
        <w:rFonts w:ascii="Times New Roman" w:hAnsi="Times New Roman" w:cs="Times New Roman" w:hint="default"/>
        <w:color w:val="auto"/>
        <w:position w:val="3"/>
      </w:rPr>
    </w:lvl>
    <w:lvl w:ilvl="1" w:tplc="FFFFFFFF">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16cid:durableId="463933323">
    <w:abstractNumId w:val="92"/>
  </w:num>
  <w:num w:numId="2" w16cid:durableId="380373926">
    <w:abstractNumId w:val="9"/>
  </w:num>
  <w:num w:numId="3" w16cid:durableId="372120983">
    <w:abstractNumId w:val="41"/>
  </w:num>
  <w:num w:numId="4" w16cid:durableId="390615848">
    <w:abstractNumId w:val="74"/>
  </w:num>
  <w:num w:numId="5" w16cid:durableId="930310843">
    <w:abstractNumId w:val="79"/>
  </w:num>
  <w:num w:numId="6" w16cid:durableId="1652710219">
    <w:abstractNumId w:val="78"/>
  </w:num>
  <w:num w:numId="7" w16cid:durableId="490633657">
    <w:abstractNumId w:val="41"/>
    <w:lvlOverride w:ilvl="0">
      <w:lvl w:ilvl="0">
        <w:start w:val="1"/>
        <w:numFmt w:val="decimal"/>
        <w:pStyle w:val="Heading1Numbered"/>
        <w:lvlText w:val="%1."/>
        <w:lvlJc w:val="left"/>
        <w:pPr>
          <w:ind w:left="567" w:hanging="567"/>
        </w:pPr>
        <w:rPr>
          <w:rFonts w:hint="default"/>
        </w:rPr>
      </w:lvl>
    </w:lvlOverride>
    <w:lvlOverride w:ilvl="1">
      <w:lvl w:ilvl="1">
        <w:start w:val="1"/>
        <w:numFmt w:val="decimal"/>
        <w:pStyle w:val="Heading2Numbered"/>
        <w:lvlText w:val="%1.%2"/>
        <w:lvlJc w:val="left"/>
        <w:pPr>
          <w:ind w:left="567" w:hanging="567"/>
        </w:pPr>
        <w:rPr>
          <w:rFonts w:hint="default"/>
        </w:rPr>
      </w:lvl>
    </w:lvlOverride>
    <w:lvlOverride w:ilvl="2">
      <w:lvl w:ilvl="2">
        <w:start w:val="1"/>
        <w:numFmt w:val="decimal"/>
        <w:pStyle w:val="Heading3Numbered"/>
        <w:lvlText w:val="%1.%2.%3"/>
        <w:lvlJc w:val="left"/>
        <w:pPr>
          <w:ind w:left="851" w:hanging="851"/>
        </w:pPr>
        <w:rPr>
          <w:rFonts w:hint="default"/>
        </w:r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lowerLetter"/>
        <w:lvlText w:val="%8."/>
        <w:lvlJc w:val="left"/>
        <w:pPr>
          <w:ind w:left="3600" w:hanging="360"/>
        </w:pPr>
        <w:rPr>
          <w:rFonts w:hint="default"/>
        </w:rPr>
      </w:lvl>
    </w:lvlOverride>
    <w:lvlOverride w:ilvl="8">
      <w:lvl w:ilvl="8">
        <w:start w:val="1"/>
        <w:numFmt w:val="lowerRoman"/>
        <w:lvlText w:val="%9."/>
        <w:lvlJc w:val="left"/>
        <w:pPr>
          <w:ind w:left="3960" w:hanging="360"/>
        </w:pPr>
        <w:rPr>
          <w:rFonts w:hint="default"/>
        </w:rPr>
      </w:lvl>
    </w:lvlOverride>
  </w:num>
  <w:num w:numId="8" w16cid:durableId="1669677604">
    <w:abstractNumId w:val="9"/>
  </w:num>
  <w:num w:numId="9" w16cid:durableId="1132865891">
    <w:abstractNumId w:val="19"/>
  </w:num>
  <w:num w:numId="10" w16cid:durableId="1975869933">
    <w:abstractNumId w:val="95"/>
  </w:num>
  <w:num w:numId="11" w16cid:durableId="748500793">
    <w:abstractNumId w:val="108"/>
  </w:num>
  <w:num w:numId="12" w16cid:durableId="265620802">
    <w:abstractNumId w:val="20"/>
  </w:num>
  <w:num w:numId="13" w16cid:durableId="1056011608">
    <w:abstractNumId w:val="41"/>
    <w:lvlOverride w:ilvl="0">
      <w:lvl w:ilvl="0">
        <w:start w:val="1"/>
        <w:numFmt w:val="decimal"/>
        <w:pStyle w:val="Heading1Numbered"/>
        <w:lvlText w:val="%1."/>
        <w:lvlJc w:val="left"/>
        <w:pPr>
          <w:ind w:left="360" w:hanging="360"/>
        </w:pPr>
        <w:rPr>
          <w:rFonts w:hint="default"/>
        </w:rPr>
      </w:lvl>
    </w:lvlOverride>
    <w:lvlOverride w:ilvl="1">
      <w:lvl w:ilvl="1">
        <w:start w:val="1"/>
        <w:numFmt w:val="decimal"/>
        <w:pStyle w:val="Heading2Numbered"/>
        <w:lvlText w:val="%1.%2"/>
        <w:lvlJc w:val="left"/>
        <w:pPr>
          <w:ind w:left="1134" w:hanging="567"/>
        </w:pPr>
      </w:lvl>
    </w:lvlOverride>
    <w:lvlOverride w:ilvl="2">
      <w:lvl w:ilvl="2">
        <w:start w:val="1"/>
        <w:numFmt w:val="decimal"/>
        <w:pStyle w:val="Heading3Numbered"/>
        <w:lvlText w:val="%1.%2.%3"/>
        <w:lvlJc w:val="left"/>
        <w:pPr>
          <w:ind w:left="851" w:hanging="851"/>
        </w:pPr>
      </w:lvl>
    </w:lvlOverride>
    <w:lvlOverride w:ilvl="3">
      <w:lvl w:ilvl="3">
        <w:start w:val="1"/>
        <w:numFmt w:val="decimal"/>
        <w:lvlText w:val="(%4)"/>
        <w:lvlJc w:val="left"/>
        <w:pPr>
          <w:ind w:left="2160" w:hanging="360"/>
        </w:pPr>
        <w:rPr>
          <w:rFonts w:hint="default"/>
        </w:rPr>
      </w:lvl>
    </w:lvlOverride>
    <w:lvlOverride w:ilvl="4">
      <w:lvl w:ilvl="4">
        <w:start w:val="1"/>
        <w:numFmt w:val="lowerLetter"/>
        <w:lvlText w:val="(%5)"/>
        <w:lvlJc w:val="left"/>
        <w:pPr>
          <w:ind w:left="2520" w:hanging="360"/>
        </w:pPr>
        <w:rPr>
          <w:rFonts w:hint="default"/>
        </w:rPr>
      </w:lvl>
    </w:lvlOverride>
    <w:lvlOverride w:ilvl="5">
      <w:lvl w:ilvl="5">
        <w:start w:val="1"/>
        <w:numFmt w:val="lowerRoman"/>
        <w:lvlText w:val="(%6)"/>
        <w:lvlJc w:val="left"/>
        <w:pPr>
          <w:ind w:left="2880" w:hanging="360"/>
        </w:pPr>
        <w:rPr>
          <w:rFonts w:hint="default"/>
        </w:rPr>
      </w:lvl>
    </w:lvlOverride>
    <w:lvlOverride w:ilvl="6">
      <w:lvl w:ilvl="6">
        <w:start w:val="1"/>
        <w:numFmt w:val="decimal"/>
        <w:lvlText w:val="%7."/>
        <w:lvlJc w:val="left"/>
        <w:pPr>
          <w:ind w:left="3240" w:hanging="360"/>
        </w:pPr>
        <w:rPr>
          <w:rFonts w:hint="default"/>
        </w:rPr>
      </w:lvl>
    </w:lvlOverride>
    <w:lvlOverride w:ilvl="7">
      <w:lvl w:ilvl="7">
        <w:start w:val="1"/>
        <w:numFmt w:val="upperLetter"/>
        <w:lvlText w:val="%8."/>
        <w:lvlJc w:val="left"/>
        <w:pPr>
          <w:ind w:left="3600" w:hanging="360"/>
        </w:pPr>
      </w:lvl>
    </w:lvlOverride>
    <w:lvlOverride w:ilvl="8">
      <w:lvl w:ilvl="8">
        <w:start w:val="1"/>
        <w:numFmt w:val="lowerRoman"/>
        <w:lvlText w:val="%9."/>
        <w:lvlJc w:val="left"/>
        <w:pPr>
          <w:ind w:left="3960" w:hanging="360"/>
        </w:pPr>
        <w:rPr>
          <w:rFonts w:hint="default"/>
        </w:rPr>
      </w:lvl>
    </w:lvlOverride>
  </w:num>
  <w:num w:numId="14" w16cid:durableId="1277717619">
    <w:abstractNumId w:val="89"/>
  </w:num>
  <w:num w:numId="15" w16cid:durableId="343283443">
    <w:abstractNumId w:val="64"/>
  </w:num>
  <w:num w:numId="16" w16cid:durableId="430122415">
    <w:abstractNumId w:val="47"/>
  </w:num>
  <w:num w:numId="17" w16cid:durableId="1391882927">
    <w:abstractNumId w:val="72"/>
  </w:num>
  <w:num w:numId="18" w16cid:durableId="1231235797">
    <w:abstractNumId w:val="94"/>
  </w:num>
  <w:num w:numId="19" w16cid:durableId="1005936963">
    <w:abstractNumId w:val="25"/>
  </w:num>
  <w:num w:numId="20" w16cid:durableId="1051616567">
    <w:abstractNumId w:val="24"/>
  </w:num>
  <w:num w:numId="21" w16cid:durableId="1072922008">
    <w:abstractNumId w:val="52"/>
  </w:num>
  <w:num w:numId="22" w16cid:durableId="1785415650">
    <w:abstractNumId w:val="3"/>
  </w:num>
  <w:num w:numId="23" w16cid:durableId="2135442837">
    <w:abstractNumId w:val="46"/>
  </w:num>
  <w:num w:numId="24" w16cid:durableId="572667376">
    <w:abstractNumId w:val="88"/>
  </w:num>
  <w:num w:numId="25" w16cid:durableId="1131485056">
    <w:abstractNumId w:val="30"/>
  </w:num>
  <w:num w:numId="26" w16cid:durableId="1883902953">
    <w:abstractNumId w:val="102"/>
  </w:num>
  <w:num w:numId="27" w16cid:durableId="1236236171">
    <w:abstractNumId w:val="7"/>
  </w:num>
  <w:num w:numId="28" w16cid:durableId="361976498">
    <w:abstractNumId w:val="105"/>
  </w:num>
  <w:num w:numId="29" w16cid:durableId="864828939">
    <w:abstractNumId w:val="99"/>
  </w:num>
  <w:num w:numId="30" w16cid:durableId="884487017">
    <w:abstractNumId w:val="6"/>
  </w:num>
  <w:num w:numId="31" w16cid:durableId="1259212747">
    <w:abstractNumId w:val="27"/>
  </w:num>
  <w:num w:numId="32" w16cid:durableId="562134304">
    <w:abstractNumId w:val="104"/>
  </w:num>
  <w:num w:numId="33" w16cid:durableId="2072652251">
    <w:abstractNumId w:val="97"/>
  </w:num>
  <w:num w:numId="34" w16cid:durableId="1725643122">
    <w:abstractNumId w:val="17"/>
  </w:num>
  <w:num w:numId="35" w16cid:durableId="268776992">
    <w:abstractNumId w:val="32"/>
  </w:num>
  <w:num w:numId="36" w16cid:durableId="689256323">
    <w:abstractNumId w:val="77"/>
  </w:num>
  <w:num w:numId="37" w16cid:durableId="1219048594">
    <w:abstractNumId w:val="83"/>
  </w:num>
  <w:num w:numId="38" w16cid:durableId="1388458567">
    <w:abstractNumId w:val="34"/>
  </w:num>
  <w:num w:numId="39" w16cid:durableId="476340546">
    <w:abstractNumId w:val="65"/>
  </w:num>
  <w:num w:numId="40" w16cid:durableId="1936478028">
    <w:abstractNumId w:val="84"/>
  </w:num>
  <w:num w:numId="41" w16cid:durableId="1845316706">
    <w:abstractNumId w:val="23"/>
  </w:num>
  <w:num w:numId="42" w16cid:durableId="522718167">
    <w:abstractNumId w:val="70"/>
  </w:num>
  <w:num w:numId="43" w16cid:durableId="1377579422">
    <w:abstractNumId w:val="51"/>
  </w:num>
  <w:num w:numId="44" w16cid:durableId="1311128510">
    <w:abstractNumId w:val="36"/>
  </w:num>
  <w:num w:numId="45" w16cid:durableId="2000309081">
    <w:abstractNumId w:val="59"/>
  </w:num>
  <w:num w:numId="46" w16cid:durableId="554512110">
    <w:abstractNumId w:val="93"/>
  </w:num>
  <w:num w:numId="47" w16cid:durableId="11614898">
    <w:abstractNumId w:val="96"/>
  </w:num>
  <w:num w:numId="48" w16cid:durableId="659041022">
    <w:abstractNumId w:val="4"/>
  </w:num>
  <w:num w:numId="49" w16cid:durableId="1015575023">
    <w:abstractNumId w:val="33"/>
  </w:num>
  <w:num w:numId="50" w16cid:durableId="1683244850">
    <w:abstractNumId w:val="12"/>
  </w:num>
  <w:num w:numId="51" w16cid:durableId="43414773">
    <w:abstractNumId w:val="53"/>
  </w:num>
  <w:num w:numId="52" w16cid:durableId="423963409">
    <w:abstractNumId w:val="90"/>
  </w:num>
  <w:num w:numId="53" w16cid:durableId="1572499404">
    <w:abstractNumId w:val="38"/>
  </w:num>
  <w:num w:numId="54" w16cid:durableId="836265647">
    <w:abstractNumId w:val="2"/>
  </w:num>
  <w:num w:numId="55" w16cid:durableId="1859851201">
    <w:abstractNumId w:val="11"/>
  </w:num>
  <w:num w:numId="56" w16cid:durableId="1624731459">
    <w:abstractNumId w:val="43"/>
  </w:num>
  <w:num w:numId="57" w16cid:durableId="2116830259">
    <w:abstractNumId w:val="18"/>
  </w:num>
  <w:num w:numId="58" w16cid:durableId="1804230736">
    <w:abstractNumId w:val="35"/>
  </w:num>
  <w:num w:numId="59" w16cid:durableId="849492325">
    <w:abstractNumId w:val="10"/>
  </w:num>
  <w:num w:numId="60" w16cid:durableId="2089232554">
    <w:abstractNumId w:val="39"/>
  </w:num>
  <w:num w:numId="61" w16cid:durableId="1151599151">
    <w:abstractNumId w:val="98"/>
  </w:num>
  <w:num w:numId="62" w16cid:durableId="2025130091">
    <w:abstractNumId w:val="75"/>
  </w:num>
  <w:num w:numId="63" w16cid:durableId="1993408739">
    <w:abstractNumId w:val="69"/>
  </w:num>
  <w:num w:numId="64" w16cid:durableId="1004749758">
    <w:abstractNumId w:val="21"/>
  </w:num>
  <w:num w:numId="65" w16cid:durableId="1815096204">
    <w:abstractNumId w:val="63"/>
  </w:num>
  <w:num w:numId="66" w16cid:durableId="761612516">
    <w:abstractNumId w:val="14"/>
  </w:num>
  <w:num w:numId="67" w16cid:durableId="1365518338">
    <w:abstractNumId w:val="31"/>
  </w:num>
  <w:num w:numId="68" w16cid:durableId="610893555">
    <w:abstractNumId w:val="22"/>
  </w:num>
  <w:num w:numId="69" w16cid:durableId="1373460792">
    <w:abstractNumId w:val="106"/>
  </w:num>
  <w:num w:numId="70" w16cid:durableId="459961193">
    <w:abstractNumId w:val="86"/>
  </w:num>
  <w:num w:numId="71" w16cid:durableId="913052750">
    <w:abstractNumId w:val="0"/>
  </w:num>
  <w:num w:numId="72" w16cid:durableId="570115697">
    <w:abstractNumId w:val="71"/>
  </w:num>
  <w:num w:numId="73" w16cid:durableId="968516493">
    <w:abstractNumId w:val="87"/>
  </w:num>
  <w:num w:numId="74" w16cid:durableId="1520854338">
    <w:abstractNumId w:val="57"/>
  </w:num>
  <w:num w:numId="75" w16cid:durableId="1713068920">
    <w:abstractNumId w:val="85"/>
  </w:num>
  <w:num w:numId="76" w16cid:durableId="2129734381">
    <w:abstractNumId w:val="67"/>
  </w:num>
  <w:num w:numId="77" w16cid:durableId="1853714769">
    <w:abstractNumId w:val="8"/>
  </w:num>
  <w:num w:numId="78" w16cid:durableId="929316296">
    <w:abstractNumId w:val="82"/>
  </w:num>
  <w:num w:numId="79" w16cid:durableId="218370803">
    <w:abstractNumId w:val="44"/>
  </w:num>
  <w:num w:numId="80" w16cid:durableId="1529219647">
    <w:abstractNumId w:val="68"/>
  </w:num>
  <w:num w:numId="81" w16cid:durableId="1298341770">
    <w:abstractNumId w:val="45"/>
  </w:num>
  <w:num w:numId="82" w16cid:durableId="1309749939">
    <w:abstractNumId w:val="29"/>
  </w:num>
  <w:num w:numId="83" w16cid:durableId="1935824822">
    <w:abstractNumId w:val="37"/>
  </w:num>
  <w:num w:numId="84" w16cid:durableId="646515547">
    <w:abstractNumId w:val="62"/>
  </w:num>
  <w:num w:numId="85" w16cid:durableId="1628050475">
    <w:abstractNumId w:val="48"/>
  </w:num>
  <w:num w:numId="86" w16cid:durableId="507529144">
    <w:abstractNumId w:val="42"/>
  </w:num>
  <w:num w:numId="87" w16cid:durableId="272596695">
    <w:abstractNumId w:val="15"/>
  </w:num>
  <w:num w:numId="88" w16cid:durableId="334695619">
    <w:abstractNumId w:val="50"/>
  </w:num>
  <w:num w:numId="89" w16cid:durableId="830022680">
    <w:abstractNumId w:val="61"/>
  </w:num>
  <w:num w:numId="90" w16cid:durableId="1727030319">
    <w:abstractNumId w:val="76"/>
  </w:num>
  <w:num w:numId="91" w16cid:durableId="564530743">
    <w:abstractNumId w:val="1"/>
  </w:num>
  <w:num w:numId="92" w16cid:durableId="1725105027">
    <w:abstractNumId w:val="66"/>
  </w:num>
  <w:num w:numId="93" w16cid:durableId="943347787">
    <w:abstractNumId w:val="16"/>
  </w:num>
  <w:num w:numId="94" w16cid:durableId="151408960">
    <w:abstractNumId w:val="103"/>
  </w:num>
  <w:num w:numId="95" w16cid:durableId="1143351159">
    <w:abstractNumId w:val="55"/>
  </w:num>
  <w:num w:numId="96" w16cid:durableId="1143348849">
    <w:abstractNumId w:val="28"/>
  </w:num>
  <w:num w:numId="97" w16cid:durableId="2105106394">
    <w:abstractNumId w:val="60"/>
  </w:num>
  <w:num w:numId="98" w16cid:durableId="993681169">
    <w:abstractNumId w:val="73"/>
  </w:num>
  <w:num w:numId="99" w16cid:durableId="156069082">
    <w:abstractNumId w:val="49"/>
  </w:num>
  <w:num w:numId="100" w16cid:durableId="1820682733">
    <w:abstractNumId w:val="13"/>
  </w:num>
  <w:num w:numId="101" w16cid:durableId="1274095884">
    <w:abstractNumId w:val="81"/>
  </w:num>
  <w:num w:numId="102" w16cid:durableId="1471629322">
    <w:abstractNumId w:val="91"/>
  </w:num>
  <w:num w:numId="103" w16cid:durableId="2103606385">
    <w:abstractNumId w:val="80"/>
  </w:num>
  <w:num w:numId="104" w16cid:durableId="532423954">
    <w:abstractNumId w:val="107"/>
  </w:num>
  <w:num w:numId="105" w16cid:durableId="572667112">
    <w:abstractNumId w:val="5"/>
  </w:num>
  <w:num w:numId="106" w16cid:durableId="247429926">
    <w:abstractNumId w:val="56"/>
  </w:num>
  <w:num w:numId="107" w16cid:durableId="1760713089">
    <w:abstractNumId w:val="100"/>
  </w:num>
  <w:num w:numId="108" w16cid:durableId="377437337">
    <w:abstractNumId w:val="101"/>
  </w:num>
  <w:num w:numId="109" w16cid:durableId="694425598">
    <w:abstractNumId w:val="6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28882891">
    <w:abstractNumId w:val="54"/>
  </w:num>
  <w:num w:numId="111" w16cid:durableId="1758475778">
    <w:abstractNumId w:val="58"/>
  </w:num>
  <w:num w:numId="112" w16cid:durableId="1508397930">
    <w:abstractNumId w:val="40"/>
  </w:num>
  <w:num w:numId="113" w16cid:durableId="768699639">
    <w:abstractNumId w:val="26"/>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583"/>
    <w:rsid w:val="00000E29"/>
    <w:rsid w:val="00000ED0"/>
    <w:rsid w:val="00001AAC"/>
    <w:rsid w:val="00001ADA"/>
    <w:rsid w:val="00001DA8"/>
    <w:rsid w:val="000020C1"/>
    <w:rsid w:val="00002395"/>
    <w:rsid w:val="00002709"/>
    <w:rsid w:val="00002B43"/>
    <w:rsid w:val="00003410"/>
    <w:rsid w:val="00004C13"/>
    <w:rsid w:val="00004E63"/>
    <w:rsid w:val="000055A6"/>
    <w:rsid w:val="000069EE"/>
    <w:rsid w:val="00007450"/>
    <w:rsid w:val="0001170A"/>
    <w:rsid w:val="00011BD8"/>
    <w:rsid w:val="0001225B"/>
    <w:rsid w:val="0001264E"/>
    <w:rsid w:val="00013B38"/>
    <w:rsid w:val="00015088"/>
    <w:rsid w:val="000156E1"/>
    <w:rsid w:val="00016BE2"/>
    <w:rsid w:val="0002080A"/>
    <w:rsid w:val="00020F7D"/>
    <w:rsid w:val="0002151E"/>
    <w:rsid w:val="00022256"/>
    <w:rsid w:val="000231BF"/>
    <w:rsid w:val="00023745"/>
    <w:rsid w:val="000237DF"/>
    <w:rsid w:val="00023DEE"/>
    <w:rsid w:val="00024559"/>
    <w:rsid w:val="00024D3B"/>
    <w:rsid w:val="00025BB8"/>
    <w:rsid w:val="000264EB"/>
    <w:rsid w:val="0002782F"/>
    <w:rsid w:val="00030654"/>
    <w:rsid w:val="00031153"/>
    <w:rsid w:val="00031A51"/>
    <w:rsid w:val="00031FA1"/>
    <w:rsid w:val="0003216F"/>
    <w:rsid w:val="000327A0"/>
    <w:rsid w:val="0003368F"/>
    <w:rsid w:val="00034C91"/>
    <w:rsid w:val="00035BBF"/>
    <w:rsid w:val="00035EBE"/>
    <w:rsid w:val="00035F09"/>
    <w:rsid w:val="0003672D"/>
    <w:rsid w:val="0003728A"/>
    <w:rsid w:val="00037599"/>
    <w:rsid w:val="00037792"/>
    <w:rsid w:val="00037E6D"/>
    <w:rsid w:val="00040099"/>
    <w:rsid w:val="0004049E"/>
    <w:rsid w:val="000418C7"/>
    <w:rsid w:val="000424CD"/>
    <w:rsid w:val="00042B7F"/>
    <w:rsid w:val="000448CD"/>
    <w:rsid w:val="00044962"/>
    <w:rsid w:val="00044DCE"/>
    <w:rsid w:val="00044F8C"/>
    <w:rsid w:val="00045782"/>
    <w:rsid w:val="00045D2F"/>
    <w:rsid w:val="0004604F"/>
    <w:rsid w:val="00046B61"/>
    <w:rsid w:val="00046D71"/>
    <w:rsid w:val="00047497"/>
    <w:rsid w:val="00050806"/>
    <w:rsid w:val="00051096"/>
    <w:rsid w:val="000512CC"/>
    <w:rsid w:val="00052FAA"/>
    <w:rsid w:val="00052FF4"/>
    <w:rsid w:val="000541F7"/>
    <w:rsid w:val="0005433C"/>
    <w:rsid w:val="000546D9"/>
    <w:rsid w:val="00054E4D"/>
    <w:rsid w:val="00054FEF"/>
    <w:rsid w:val="000550A1"/>
    <w:rsid w:val="000552E3"/>
    <w:rsid w:val="0005727A"/>
    <w:rsid w:val="000572A7"/>
    <w:rsid w:val="00057587"/>
    <w:rsid w:val="00060073"/>
    <w:rsid w:val="000616C6"/>
    <w:rsid w:val="000619CB"/>
    <w:rsid w:val="00061ABF"/>
    <w:rsid w:val="00062070"/>
    <w:rsid w:val="000620D7"/>
    <w:rsid w:val="000621C4"/>
    <w:rsid w:val="00063454"/>
    <w:rsid w:val="000634B7"/>
    <w:rsid w:val="0006543E"/>
    <w:rsid w:val="00065BF2"/>
    <w:rsid w:val="00066309"/>
    <w:rsid w:val="000672A1"/>
    <w:rsid w:val="0006768E"/>
    <w:rsid w:val="000679CA"/>
    <w:rsid w:val="00070EC8"/>
    <w:rsid w:val="00070F10"/>
    <w:rsid w:val="00070F7C"/>
    <w:rsid w:val="00071DC5"/>
    <w:rsid w:val="000725A9"/>
    <w:rsid w:val="000727B0"/>
    <w:rsid w:val="000732A0"/>
    <w:rsid w:val="0007340D"/>
    <w:rsid w:val="00074FB9"/>
    <w:rsid w:val="00075D09"/>
    <w:rsid w:val="00076051"/>
    <w:rsid w:val="000762D1"/>
    <w:rsid w:val="00077A99"/>
    <w:rsid w:val="0008003A"/>
    <w:rsid w:val="000804A7"/>
    <w:rsid w:val="000807AC"/>
    <w:rsid w:val="00080B0B"/>
    <w:rsid w:val="00080D06"/>
    <w:rsid w:val="000811DD"/>
    <w:rsid w:val="00081EAB"/>
    <w:rsid w:val="00082E00"/>
    <w:rsid w:val="000836DE"/>
    <w:rsid w:val="0008383E"/>
    <w:rsid w:val="00083D68"/>
    <w:rsid w:val="00083F20"/>
    <w:rsid w:val="00083FC3"/>
    <w:rsid w:val="000840DE"/>
    <w:rsid w:val="000844FB"/>
    <w:rsid w:val="000847FA"/>
    <w:rsid w:val="00084A7A"/>
    <w:rsid w:val="000854FD"/>
    <w:rsid w:val="00085D0F"/>
    <w:rsid w:val="0008656B"/>
    <w:rsid w:val="000868E5"/>
    <w:rsid w:val="000876F2"/>
    <w:rsid w:val="000878F4"/>
    <w:rsid w:val="00090287"/>
    <w:rsid w:val="00090DF2"/>
    <w:rsid w:val="00090F25"/>
    <w:rsid w:val="000927A4"/>
    <w:rsid w:val="00092A2D"/>
    <w:rsid w:val="00093915"/>
    <w:rsid w:val="0009534C"/>
    <w:rsid w:val="00095A25"/>
    <w:rsid w:val="00095CEE"/>
    <w:rsid w:val="00096E0B"/>
    <w:rsid w:val="00096F74"/>
    <w:rsid w:val="00097630"/>
    <w:rsid w:val="0009774A"/>
    <w:rsid w:val="00097953"/>
    <w:rsid w:val="00097CD2"/>
    <w:rsid w:val="000A037B"/>
    <w:rsid w:val="000A1486"/>
    <w:rsid w:val="000A196A"/>
    <w:rsid w:val="000A217A"/>
    <w:rsid w:val="000A254B"/>
    <w:rsid w:val="000A27BC"/>
    <w:rsid w:val="000A378B"/>
    <w:rsid w:val="000A5178"/>
    <w:rsid w:val="000A57A1"/>
    <w:rsid w:val="000A79A3"/>
    <w:rsid w:val="000B027B"/>
    <w:rsid w:val="000B20D3"/>
    <w:rsid w:val="000B21B1"/>
    <w:rsid w:val="000B26B5"/>
    <w:rsid w:val="000B34AF"/>
    <w:rsid w:val="000B37F5"/>
    <w:rsid w:val="000B3B24"/>
    <w:rsid w:val="000B3E27"/>
    <w:rsid w:val="000B4528"/>
    <w:rsid w:val="000B4CAB"/>
    <w:rsid w:val="000B4DC3"/>
    <w:rsid w:val="000B5602"/>
    <w:rsid w:val="000B5869"/>
    <w:rsid w:val="000B6F1E"/>
    <w:rsid w:val="000C0018"/>
    <w:rsid w:val="000C1EF8"/>
    <w:rsid w:val="000C21C5"/>
    <w:rsid w:val="000C2545"/>
    <w:rsid w:val="000C25CA"/>
    <w:rsid w:val="000C2C96"/>
    <w:rsid w:val="000C3571"/>
    <w:rsid w:val="000C3DD9"/>
    <w:rsid w:val="000C466A"/>
    <w:rsid w:val="000C5750"/>
    <w:rsid w:val="000C60C6"/>
    <w:rsid w:val="000C60D7"/>
    <w:rsid w:val="000C7E10"/>
    <w:rsid w:val="000D1343"/>
    <w:rsid w:val="000D193C"/>
    <w:rsid w:val="000D1D6E"/>
    <w:rsid w:val="000D2974"/>
    <w:rsid w:val="000D29BF"/>
    <w:rsid w:val="000D2ED7"/>
    <w:rsid w:val="000D2FF2"/>
    <w:rsid w:val="000D3612"/>
    <w:rsid w:val="000D3B5A"/>
    <w:rsid w:val="000D4287"/>
    <w:rsid w:val="000D4F9A"/>
    <w:rsid w:val="000D58E0"/>
    <w:rsid w:val="000D5B25"/>
    <w:rsid w:val="000D5D1F"/>
    <w:rsid w:val="000D6432"/>
    <w:rsid w:val="000D659F"/>
    <w:rsid w:val="000D66A4"/>
    <w:rsid w:val="000D66D6"/>
    <w:rsid w:val="000D6F30"/>
    <w:rsid w:val="000D7087"/>
    <w:rsid w:val="000D7EC3"/>
    <w:rsid w:val="000E0F47"/>
    <w:rsid w:val="000E1988"/>
    <w:rsid w:val="000E2816"/>
    <w:rsid w:val="000E2C4E"/>
    <w:rsid w:val="000E2DB6"/>
    <w:rsid w:val="000E3041"/>
    <w:rsid w:val="000E4790"/>
    <w:rsid w:val="000E4AFA"/>
    <w:rsid w:val="000E4E5B"/>
    <w:rsid w:val="000E4FCC"/>
    <w:rsid w:val="000E5E51"/>
    <w:rsid w:val="000E6DE6"/>
    <w:rsid w:val="000F0855"/>
    <w:rsid w:val="000F1393"/>
    <w:rsid w:val="000F1937"/>
    <w:rsid w:val="000F1995"/>
    <w:rsid w:val="000F1F61"/>
    <w:rsid w:val="000F225F"/>
    <w:rsid w:val="000F23B8"/>
    <w:rsid w:val="000F264F"/>
    <w:rsid w:val="000F2663"/>
    <w:rsid w:val="000F2946"/>
    <w:rsid w:val="000F328E"/>
    <w:rsid w:val="000F3AC6"/>
    <w:rsid w:val="000F4042"/>
    <w:rsid w:val="000F465B"/>
    <w:rsid w:val="000F5140"/>
    <w:rsid w:val="000F59C9"/>
    <w:rsid w:val="000F5A79"/>
    <w:rsid w:val="000F5B08"/>
    <w:rsid w:val="000F5D96"/>
    <w:rsid w:val="000F61BA"/>
    <w:rsid w:val="000F7E65"/>
    <w:rsid w:val="00100154"/>
    <w:rsid w:val="001003F7"/>
    <w:rsid w:val="0010055A"/>
    <w:rsid w:val="00100A65"/>
    <w:rsid w:val="00101651"/>
    <w:rsid w:val="001016E2"/>
    <w:rsid w:val="00101774"/>
    <w:rsid w:val="00101C20"/>
    <w:rsid w:val="001022F3"/>
    <w:rsid w:val="00102662"/>
    <w:rsid w:val="00103430"/>
    <w:rsid w:val="001036E4"/>
    <w:rsid w:val="00103C7E"/>
    <w:rsid w:val="001049A5"/>
    <w:rsid w:val="00104B24"/>
    <w:rsid w:val="001064F1"/>
    <w:rsid w:val="00106D2B"/>
    <w:rsid w:val="00106E51"/>
    <w:rsid w:val="00106F95"/>
    <w:rsid w:val="00107083"/>
    <w:rsid w:val="00107F08"/>
    <w:rsid w:val="00110319"/>
    <w:rsid w:val="00110361"/>
    <w:rsid w:val="00111A63"/>
    <w:rsid w:val="0011290C"/>
    <w:rsid w:val="00112932"/>
    <w:rsid w:val="00112CDF"/>
    <w:rsid w:val="00113247"/>
    <w:rsid w:val="00113288"/>
    <w:rsid w:val="001133A7"/>
    <w:rsid w:val="00113A2E"/>
    <w:rsid w:val="00113FFA"/>
    <w:rsid w:val="00114D55"/>
    <w:rsid w:val="0011575C"/>
    <w:rsid w:val="001160D1"/>
    <w:rsid w:val="0011788A"/>
    <w:rsid w:val="001179BC"/>
    <w:rsid w:val="0012035E"/>
    <w:rsid w:val="0012039B"/>
    <w:rsid w:val="001214BE"/>
    <w:rsid w:val="00121CB7"/>
    <w:rsid w:val="00121DDD"/>
    <w:rsid w:val="0012310D"/>
    <w:rsid w:val="00123676"/>
    <w:rsid w:val="00123E4C"/>
    <w:rsid w:val="00123FDC"/>
    <w:rsid w:val="001244BC"/>
    <w:rsid w:val="00125118"/>
    <w:rsid w:val="00125EF2"/>
    <w:rsid w:val="00125F2D"/>
    <w:rsid w:val="00125FE9"/>
    <w:rsid w:val="00126509"/>
    <w:rsid w:val="0012688A"/>
    <w:rsid w:val="00130E0D"/>
    <w:rsid w:val="0013101C"/>
    <w:rsid w:val="0013109C"/>
    <w:rsid w:val="001326A6"/>
    <w:rsid w:val="00132CDF"/>
    <w:rsid w:val="00134B14"/>
    <w:rsid w:val="00134B2F"/>
    <w:rsid w:val="0013519C"/>
    <w:rsid w:val="0013553B"/>
    <w:rsid w:val="0013566A"/>
    <w:rsid w:val="0013599C"/>
    <w:rsid w:val="00135A35"/>
    <w:rsid w:val="00136409"/>
    <w:rsid w:val="00136D1C"/>
    <w:rsid w:val="001376C3"/>
    <w:rsid w:val="001377E9"/>
    <w:rsid w:val="001379B5"/>
    <w:rsid w:val="00137C09"/>
    <w:rsid w:val="00137FD3"/>
    <w:rsid w:val="0014026B"/>
    <w:rsid w:val="0014076E"/>
    <w:rsid w:val="00140E25"/>
    <w:rsid w:val="00140EB8"/>
    <w:rsid w:val="00141673"/>
    <w:rsid w:val="00142318"/>
    <w:rsid w:val="001424CC"/>
    <w:rsid w:val="00142DBB"/>
    <w:rsid w:val="00142F7B"/>
    <w:rsid w:val="00143ADB"/>
    <w:rsid w:val="00143F82"/>
    <w:rsid w:val="0014453E"/>
    <w:rsid w:val="00144D93"/>
    <w:rsid w:val="001457CB"/>
    <w:rsid w:val="00145BF9"/>
    <w:rsid w:val="001461D6"/>
    <w:rsid w:val="001461E1"/>
    <w:rsid w:val="00146204"/>
    <w:rsid w:val="0014655D"/>
    <w:rsid w:val="00146FFD"/>
    <w:rsid w:val="001475B0"/>
    <w:rsid w:val="00147F00"/>
    <w:rsid w:val="0015109B"/>
    <w:rsid w:val="001518B7"/>
    <w:rsid w:val="001524A0"/>
    <w:rsid w:val="00152983"/>
    <w:rsid w:val="00152C5A"/>
    <w:rsid w:val="001541EA"/>
    <w:rsid w:val="0015470E"/>
    <w:rsid w:val="00154AD6"/>
    <w:rsid w:val="00154E46"/>
    <w:rsid w:val="00155297"/>
    <w:rsid w:val="00155837"/>
    <w:rsid w:val="00155AE2"/>
    <w:rsid w:val="001561DC"/>
    <w:rsid w:val="001562D5"/>
    <w:rsid w:val="001564D1"/>
    <w:rsid w:val="001568B8"/>
    <w:rsid w:val="00157647"/>
    <w:rsid w:val="001576E6"/>
    <w:rsid w:val="00157752"/>
    <w:rsid w:val="0015781B"/>
    <w:rsid w:val="001579CE"/>
    <w:rsid w:val="00162B26"/>
    <w:rsid w:val="001654FF"/>
    <w:rsid w:val="00166227"/>
    <w:rsid w:val="0016666E"/>
    <w:rsid w:val="001671A1"/>
    <w:rsid w:val="00170873"/>
    <w:rsid w:val="00170A01"/>
    <w:rsid w:val="001711A0"/>
    <w:rsid w:val="0017182C"/>
    <w:rsid w:val="001718E5"/>
    <w:rsid w:val="00172996"/>
    <w:rsid w:val="00172A0E"/>
    <w:rsid w:val="00173568"/>
    <w:rsid w:val="00173C3F"/>
    <w:rsid w:val="00174DAD"/>
    <w:rsid w:val="00175142"/>
    <w:rsid w:val="001754B8"/>
    <w:rsid w:val="00176238"/>
    <w:rsid w:val="001762E4"/>
    <w:rsid w:val="001763AE"/>
    <w:rsid w:val="001764F8"/>
    <w:rsid w:val="00176553"/>
    <w:rsid w:val="00176A2F"/>
    <w:rsid w:val="001773AB"/>
    <w:rsid w:val="001808EB"/>
    <w:rsid w:val="00180AE5"/>
    <w:rsid w:val="00181057"/>
    <w:rsid w:val="00181760"/>
    <w:rsid w:val="00182098"/>
    <w:rsid w:val="00182BE9"/>
    <w:rsid w:val="0018342F"/>
    <w:rsid w:val="0018411E"/>
    <w:rsid w:val="001845D6"/>
    <w:rsid w:val="00184E79"/>
    <w:rsid w:val="001855B7"/>
    <w:rsid w:val="0018565C"/>
    <w:rsid w:val="00186006"/>
    <w:rsid w:val="001863C1"/>
    <w:rsid w:val="00187CA8"/>
    <w:rsid w:val="001907BA"/>
    <w:rsid w:val="00190EE3"/>
    <w:rsid w:val="00190F84"/>
    <w:rsid w:val="00190FD6"/>
    <w:rsid w:val="001915F5"/>
    <w:rsid w:val="001916D7"/>
    <w:rsid w:val="0019182C"/>
    <w:rsid w:val="001924CE"/>
    <w:rsid w:val="00192D33"/>
    <w:rsid w:val="001935D4"/>
    <w:rsid w:val="00193C2B"/>
    <w:rsid w:val="00194351"/>
    <w:rsid w:val="0019471D"/>
    <w:rsid w:val="00195174"/>
    <w:rsid w:val="00195C3E"/>
    <w:rsid w:val="00196626"/>
    <w:rsid w:val="001967DF"/>
    <w:rsid w:val="00196AC0"/>
    <w:rsid w:val="00196E7B"/>
    <w:rsid w:val="00197303"/>
    <w:rsid w:val="0019757E"/>
    <w:rsid w:val="001A037E"/>
    <w:rsid w:val="001A051B"/>
    <w:rsid w:val="001A0BA9"/>
    <w:rsid w:val="001A1126"/>
    <w:rsid w:val="001A1683"/>
    <w:rsid w:val="001A1AD0"/>
    <w:rsid w:val="001A1C0E"/>
    <w:rsid w:val="001A1FA8"/>
    <w:rsid w:val="001A31B0"/>
    <w:rsid w:val="001A3206"/>
    <w:rsid w:val="001A361A"/>
    <w:rsid w:val="001A48D8"/>
    <w:rsid w:val="001A4924"/>
    <w:rsid w:val="001A4DF0"/>
    <w:rsid w:val="001A5681"/>
    <w:rsid w:val="001A65D8"/>
    <w:rsid w:val="001A668F"/>
    <w:rsid w:val="001A68BA"/>
    <w:rsid w:val="001A764E"/>
    <w:rsid w:val="001A7F14"/>
    <w:rsid w:val="001A7F9B"/>
    <w:rsid w:val="001B01DE"/>
    <w:rsid w:val="001B0305"/>
    <w:rsid w:val="001B03C3"/>
    <w:rsid w:val="001B05CE"/>
    <w:rsid w:val="001B0F81"/>
    <w:rsid w:val="001B1922"/>
    <w:rsid w:val="001B1FF9"/>
    <w:rsid w:val="001B2B4B"/>
    <w:rsid w:val="001B2BAE"/>
    <w:rsid w:val="001B30EF"/>
    <w:rsid w:val="001B328F"/>
    <w:rsid w:val="001B3887"/>
    <w:rsid w:val="001B3AD5"/>
    <w:rsid w:val="001B3D5B"/>
    <w:rsid w:val="001B3E15"/>
    <w:rsid w:val="001B4DD2"/>
    <w:rsid w:val="001B51F9"/>
    <w:rsid w:val="001B5236"/>
    <w:rsid w:val="001B5240"/>
    <w:rsid w:val="001B6156"/>
    <w:rsid w:val="001B6AD6"/>
    <w:rsid w:val="001B6C13"/>
    <w:rsid w:val="001B7516"/>
    <w:rsid w:val="001B79A0"/>
    <w:rsid w:val="001C2895"/>
    <w:rsid w:val="001C298B"/>
    <w:rsid w:val="001C2CFC"/>
    <w:rsid w:val="001C4831"/>
    <w:rsid w:val="001C70C7"/>
    <w:rsid w:val="001C7D56"/>
    <w:rsid w:val="001C7D67"/>
    <w:rsid w:val="001D04D1"/>
    <w:rsid w:val="001D09F2"/>
    <w:rsid w:val="001D17EF"/>
    <w:rsid w:val="001D1C6A"/>
    <w:rsid w:val="001D23B4"/>
    <w:rsid w:val="001D38D7"/>
    <w:rsid w:val="001D3D69"/>
    <w:rsid w:val="001D42FF"/>
    <w:rsid w:val="001D46C4"/>
    <w:rsid w:val="001D46E7"/>
    <w:rsid w:val="001D47B2"/>
    <w:rsid w:val="001D5081"/>
    <w:rsid w:val="001D5331"/>
    <w:rsid w:val="001D5F0E"/>
    <w:rsid w:val="001D663E"/>
    <w:rsid w:val="001D6CC3"/>
    <w:rsid w:val="001D7837"/>
    <w:rsid w:val="001D7D17"/>
    <w:rsid w:val="001D7DFA"/>
    <w:rsid w:val="001E0351"/>
    <w:rsid w:val="001E077F"/>
    <w:rsid w:val="001E08BD"/>
    <w:rsid w:val="001E0DD7"/>
    <w:rsid w:val="001E12DD"/>
    <w:rsid w:val="001E1DC0"/>
    <w:rsid w:val="001E2200"/>
    <w:rsid w:val="001E3BD2"/>
    <w:rsid w:val="001E4280"/>
    <w:rsid w:val="001E44CC"/>
    <w:rsid w:val="001E4ABC"/>
    <w:rsid w:val="001E74AA"/>
    <w:rsid w:val="001E773E"/>
    <w:rsid w:val="001E7A87"/>
    <w:rsid w:val="001E7CDD"/>
    <w:rsid w:val="001F0B87"/>
    <w:rsid w:val="001F155B"/>
    <w:rsid w:val="001F1CEB"/>
    <w:rsid w:val="001F1F49"/>
    <w:rsid w:val="001F224F"/>
    <w:rsid w:val="001F2F32"/>
    <w:rsid w:val="001F39F8"/>
    <w:rsid w:val="001F4BE3"/>
    <w:rsid w:val="001F4E2D"/>
    <w:rsid w:val="001F4E99"/>
    <w:rsid w:val="001F677D"/>
    <w:rsid w:val="001F6B24"/>
    <w:rsid w:val="001F6BB0"/>
    <w:rsid w:val="001F6BCB"/>
    <w:rsid w:val="001F6C8E"/>
    <w:rsid w:val="001F7BFC"/>
    <w:rsid w:val="001F7D18"/>
    <w:rsid w:val="001F7D3A"/>
    <w:rsid w:val="001F7FD9"/>
    <w:rsid w:val="00200227"/>
    <w:rsid w:val="00200253"/>
    <w:rsid w:val="00200269"/>
    <w:rsid w:val="00200C0F"/>
    <w:rsid w:val="00202656"/>
    <w:rsid w:val="002028FE"/>
    <w:rsid w:val="00202A30"/>
    <w:rsid w:val="00203277"/>
    <w:rsid w:val="0020410D"/>
    <w:rsid w:val="0020437A"/>
    <w:rsid w:val="00204576"/>
    <w:rsid w:val="00204B86"/>
    <w:rsid w:val="002050FF"/>
    <w:rsid w:val="002052CF"/>
    <w:rsid w:val="00205430"/>
    <w:rsid w:val="00205B2E"/>
    <w:rsid w:val="002069F5"/>
    <w:rsid w:val="00206A7C"/>
    <w:rsid w:val="00206EED"/>
    <w:rsid w:val="00207430"/>
    <w:rsid w:val="00207ADB"/>
    <w:rsid w:val="00207E81"/>
    <w:rsid w:val="002105AA"/>
    <w:rsid w:val="00210790"/>
    <w:rsid w:val="00211305"/>
    <w:rsid w:val="00211845"/>
    <w:rsid w:val="00211ADB"/>
    <w:rsid w:val="0021240F"/>
    <w:rsid w:val="00212750"/>
    <w:rsid w:val="00212A04"/>
    <w:rsid w:val="00213A33"/>
    <w:rsid w:val="00213B4C"/>
    <w:rsid w:val="00213FB3"/>
    <w:rsid w:val="002144E9"/>
    <w:rsid w:val="00214CF4"/>
    <w:rsid w:val="00215141"/>
    <w:rsid w:val="002152F5"/>
    <w:rsid w:val="00215C4D"/>
    <w:rsid w:val="002164CC"/>
    <w:rsid w:val="00216A62"/>
    <w:rsid w:val="00216AE0"/>
    <w:rsid w:val="00216B94"/>
    <w:rsid w:val="00216E10"/>
    <w:rsid w:val="002170BD"/>
    <w:rsid w:val="002174C2"/>
    <w:rsid w:val="002200D9"/>
    <w:rsid w:val="00220707"/>
    <w:rsid w:val="00221613"/>
    <w:rsid w:val="00221AD6"/>
    <w:rsid w:val="00221F3F"/>
    <w:rsid w:val="0022231A"/>
    <w:rsid w:val="00222E39"/>
    <w:rsid w:val="0022311B"/>
    <w:rsid w:val="00223226"/>
    <w:rsid w:val="002234E6"/>
    <w:rsid w:val="002237A7"/>
    <w:rsid w:val="00224132"/>
    <w:rsid w:val="0022413B"/>
    <w:rsid w:val="00224206"/>
    <w:rsid w:val="00224513"/>
    <w:rsid w:val="002246C6"/>
    <w:rsid w:val="002256DF"/>
    <w:rsid w:val="00225AED"/>
    <w:rsid w:val="00225FBD"/>
    <w:rsid w:val="00226454"/>
    <w:rsid w:val="00226574"/>
    <w:rsid w:val="002274FC"/>
    <w:rsid w:val="00230DEC"/>
    <w:rsid w:val="002311F8"/>
    <w:rsid w:val="00231F6E"/>
    <w:rsid w:val="00232976"/>
    <w:rsid w:val="00232D6B"/>
    <w:rsid w:val="0023372E"/>
    <w:rsid w:val="00234106"/>
    <w:rsid w:val="00234615"/>
    <w:rsid w:val="00234D0E"/>
    <w:rsid w:val="00235CFF"/>
    <w:rsid w:val="0023764A"/>
    <w:rsid w:val="00237BCC"/>
    <w:rsid w:val="0024035C"/>
    <w:rsid w:val="00240972"/>
    <w:rsid w:val="00241041"/>
    <w:rsid w:val="00241BA0"/>
    <w:rsid w:val="002423B1"/>
    <w:rsid w:val="002423E8"/>
    <w:rsid w:val="00243DD0"/>
    <w:rsid w:val="00244694"/>
    <w:rsid w:val="00244DF3"/>
    <w:rsid w:val="00246B63"/>
    <w:rsid w:val="00246D9E"/>
    <w:rsid w:val="0024754F"/>
    <w:rsid w:val="00250B50"/>
    <w:rsid w:val="00252C04"/>
    <w:rsid w:val="00252D02"/>
    <w:rsid w:val="00252D6A"/>
    <w:rsid w:val="002530C5"/>
    <w:rsid w:val="00253328"/>
    <w:rsid w:val="00253557"/>
    <w:rsid w:val="00253D0C"/>
    <w:rsid w:val="0025548E"/>
    <w:rsid w:val="00255886"/>
    <w:rsid w:val="002561D2"/>
    <w:rsid w:val="002575E5"/>
    <w:rsid w:val="00257C87"/>
    <w:rsid w:val="00257E14"/>
    <w:rsid w:val="00257FA4"/>
    <w:rsid w:val="002602EF"/>
    <w:rsid w:val="0026053D"/>
    <w:rsid w:val="00261622"/>
    <w:rsid w:val="002618FE"/>
    <w:rsid w:val="00261DF8"/>
    <w:rsid w:val="002630F7"/>
    <w:rsid w:val="002647E5"/>
    <w:rsid w:val="002656B2"/>
    <w:rsid w:val="00265B52"/>
    <w:rsid w:val="00265FED"/>
    <w:rsid w:val="002667B4"/>
    <w:rsid w:val="00266F04"/>
    <w:rsid w:val="00266F6C"/>
    <w:rsid w:val="00267B6D"/>
    <w:rsid w:val="00267E95"/>
    <w:rsid w:val="0027015E"/>
    <w:rsid w:val="0027053D"/>
    <w:rsid w:val="00270BEA"/>
    <w:rsid w:val="0027114E"/>
    <w:rsid w:val="002713BF"/>
    <w:rsid w:val="002721D9"/>
    <w:rsid w:val="00272393"/>
    <w:rsid w:val="002723A3"/>
    <w:rsid w:val="0027271E"/>
    <w:rsid w:val="00273D1A"/>
    <w:rsid w:val="00274D51"/>
    <w:rsid w:val="002755E0"/>
    <w:rsid w:val="002759BE"/>
    <w:rsid w:val="0027635B"/>
    <w:rsid w:val="00276C4B"/>
    <w:rsid w:val="00276F11"/>
    <w:rsid w:val="0027770A"/>
    <w:rsid w:val="0027793A"/>
    <w:rsid w:val="00277F22"/>
    <w:rsid w:val="002802A8"/>
    <w:rsid w:val="002802CA"/>
    <w:rsid w:val="002807A2"/>
    <w:rsid w:val="0028175C"/>
    <w:rsid w:val="00281A05"/>
    <w:rsid w:val="00281AB4"/>
    <w:rsid w:val="002823BA"/>
    <w:rsid w:val="0028390D"/>
    <w:rsid w:val="00284002"/>
    <w:rsid w:val="0028413B"/>
    <w:rsid w:val="00285471"/>
    <w:rsid w:val="0028585E"/>
    <w:rsid w:val="00285DCE"/>
    <w:rsid w:val="00285FCD"/>
    <w:rsid w:val="0028602A"/>
    <w:rsid w:val="00290FA9"/>
    <w:rsid w:val="002913A5"/>
    <w:rsid w:val="0029157F"/>
    <w:rsid w:val="002917BD"/>
    <w:rsid w:val="00291AA6"/>
    <w:rsid w:val="00292534"/>
    <w:rsid w:val="00292CAD"/>
    <w:rsid w:val="00293357"/>
    <w:rsid w:val="00293BD0"/>
    <w:rsid w:val="002942F2"/>
    <w:rsid w:val="002943E8"/>
    <w:rsid w:val="0029472B"/>
    <w:rsid w:val="00294BA6"/>
    <w:rsid w:val="00294DA3"/>
    <w:rsid w:val="002950D1"/>
    <w:rsid w:val="0029513D"/>
    <w:rsid w:val="0029599A"/>
    <w:rsid w:val="00297126"/>
    <w:rsid w:val="00297D9B"/>
    <w:rsid w:val="00297EFB"/>
    <w:rsid w:val="002A01B1"/>
    <w:rsid w:val="002A05BC"/>
    <w:rsid w:val="002A0952"/>
    <w:rsid w:val="002A0B2B"/>
    <w:rsid w:val="002A0B4B"/>
    <w:rsid w:val="002A1471"/>
    <w:rsid w:val="002A29A5"/>
    <w:rsid w:val="002A33A0"/>
    <w:rsid w:val="002A349C"/>
    <w:rsid w:val="002A3616"/>
    <w:rsid w:val="002A4444"/>
    <w:rsid w:val="002A450F"/>
    <w:rsid w:val="002A54AD"/>
    <w:rsid w:val="002A5DFE"/>
    <w:rsid w:val="002A61DA"/>
    <w:rsid w:val="002A65F4"/>
    <w:rsid w:val="002A6BB0"/>
    <w:rsid w:val="002A6EA9"/>
    <w:rsid w:val="002A7598"/>
    <w:rsid w:val="002A78F5"/>
    <w:rsid w:val="002A7B40"/>
    <w:rsid w:val="002B1703"/>
    <w:rsid w:val="002B1DEE"/>
    <w:rsid w:val="002B3897"/>
    <w:rsid w:val="002B3B9F"/>
    <w:rsid w:val="002B52AD"/>
    <w:rsid w:val="002B5CBF"/>
    <w:rsid w:val="002B5E10"/>
    <w:rsid w:val="002B60C2"/>
    <w:rsid w:val="002B61B1"/>
    <w:rsid w:val="002B63D5"/>
    <w:rsid w:val="002B6412"/>
    <w:rsid w:val="002B7632"/>
    <w:rsid w:val="002B7993"/>
    <w:rsid w:val="002B7D5F"/>
    <w:rsid w:val="002C03EA"/>
    <w:rsid w:val="002C0553"/>
    <w:rsid w:val="002C12CE"/>
    <w:rsid w:val="002C1EC9"/>
    <w:rsid w:val="002C214D"/>
    <w:rsid w:val="002C22FC"/>
    <w:rsid w:val="002C271E"/>
    <w:rsid w:val="002C3227"/>
    <w:rsid w:val="002C36B3"/>
    <w:rsid w:val="002C3ADB"/>
    <w:rsid w:val="002C47A4"/>
    <w:rsid w:val="002C4F6C"/>
    <w:rsid w:val="002C59F2"/>
    <w:rsid w:val="002C5A17"/>
    <w:rsid w:val="002C5CAD"/>
    <w:rsid w:val="002C658A"/>
    <w:rsid w:val="002C6644"/>
    <w:rsid w:val="002C683C"/>
    <w:rsid w:val="002C793D"/>
    <w:rsid w:val="002D0A0D"/>
    <w:rsid w:val="002D1058"/>
    <w:rsid w:val="002D2043"/>
    <w:rsid w:val="002D2334"/>
    <w:rsid w:val="002D2641"/>
    <w:rsid w:val="002D2ED0"/>
    <w:rsid w:val="002D35DB"/>
    <w:rsid w:val="002D439D"/>
    <w:rsid w:val="002D4628"/>
    <w:rsid w:val="002D57D4"/>
    <w:rsid w:val="002D5B25"/>
    <w:rsid w:val="002D6BFD"/>
    <w:rsid w:val="002D70E4"/>
    <w:rsid w:val="002E0033"/>
    <w:rsid w:val="002E0801"/>
    <w:rsid w:val="002E1548"/>
    <w:rsid w:val="002E182C"/>
    <w:rsid w:val="002E1D77"/>
    <w:rsid w:val="002E200C"/>
    <w:rsid w:val="002E25A3"/>
    <w:rsid w:val="002E277D"/>
    <w:rsid w:val="002E385E"/>
    <w:rsid w:val="002E45FB"/>
    <w:rsid w:val="002E4FAB"/>
    <w:rsid w:val="002E589C"/>
    <w:rsid w:val="002F1341"/>
    <w:rsid w:val="002F1D07"/>
    <w:rsid w:val="002F1D8A"/>
    <w:rsid w:val="002F2B4C"/>
    <w:rsid w:val="002F36B6"/>
    <w:rsid w:val="002F3A22"/>
    <w:rsid w:val="002F3ABB"/>
    <w:rsid w:val="002F3E4F"/>
    <w:rsid w:val="002F4409"/>
    <w:rsid w:val="002F44B0"/>
    <w:rsid w:val="002F4846"/>
    <w:rsid w:val="002F48C7"/>
    <w:rsid w:val="002F4999"/>
    <w:rsid w:val="002F4F2B"/>
    <w:rsid w:val="002F541D"/>
    <w:rsid w:val="002F5641"/>
    <w:rsid w:val="002F57CB"/>
    <w:rsid w:val="002F5CF9"/>
    <w:rsid w:val="002F6AB7"/>
    <w:rsid w:val="002F6EA7"/>
    <w:rsid w:val="002F70A6"/>
    <w:rsid w:val="002F7ECB"/>
    <w:rsid w:val="003002C0"/>
    <w:rsid w:val="00300E50"/>
    <w:rsid w:val="00301144"/>
    <w:rsid w:val="0030192B"/>
    <w:rsid w:val="003031C6"/>
    <w:rsid w:val="003031FC"/>
    <w:rsid w:val="00303279"/>
    <w:rsid w:val="00304984"/>
    <w:rsid w:val="00305182"/>
    <w:rsid w:val="00305AA6"/>
    <w:rsid w:val="00305DF2"/>
    <w:rsid w:val="003106B3"/>
    <w:rsid w:val="00311477"/>
    <w:rsid w:val="0031274B"/>
    <w:rsid w:val="00312BF8"/>
    <w:rsid w:val="00312C35"/>
    <w:rsid w:val="003130A8"/>
    <w:rsid w:val="003135A3"/>
    <w:rsid w:val="00313CF1"/>
    <w:rsid w:val="00314819"/>
    <w:rsid w:val="003148B7"/>
    <w:rsid w:val="003158C3"/>
    <w:rsid w:val="003161E8"/>
    <w:rsid w:val="003169BA"/>
    <w:rsid w:val="00316E7D"/>
    <w:rsid w:val="003177BB"/>
    <w:rsid w:val="00317CFA"/>
    <w:rsid w:val="00320AAD"/>
    <w:rsid w:val="0032118F"/>
    <w:rsid w:val="003219E2"/>
    <w:rsid w:val="0032249A"/>
    <w:rsid w:val="00324332"/>
    <w:rsid w:val="003243B1"/>
    <w:rsid w:val="00325285"/>
    <w:rsid w:val="00325803"/>
    <w:rsid w:val="0032639F"/>
    <w:rsid w:val="00326529"/>
    <w:rsid w:val="003272B1"/>
    <w:rsid w:val="003274CD"/>
    <w:rsid w:val="0032787F"/>
    <w:rsid w:val="003300FB"/>
    <w:rsid w:val="0033033A"/>
    <w:rsid w:val="0033060E"/>
    <w:rsid w:val="00330DB9"/>
    <w:rsid w:val="00330FEB"/>
    <w:rsid w:val="0033212C"/>
    <w:rsid w:val="0033324A"/>
    <w:rsid w:val="00333501"/>
    <w:rsid w:val="00333B96"/>
    <w:rsid w:val="00334576"/>
    <w:rsid w:val="00334B8D"/>
    <w:rsid w:val="00335BE6"/>
    <w:rsid w:val="00336333"/>
    <w:rsid w:val="00336701"/>
    <w:rsid w:val="00336DD9"/>
    <w:rsid w:val="00336E91"/>
    <w:rsid w:val="00336EB0"/>
    <w:rsid w:val="003370D7"/>
    <w:rsid w:val="0033729A"/>
    <w:rsid w:val="00337582"/>
    <w:rsid w:val="00337E16"/>
    <w:rsid w:val="00340511"/>
    <w:rsid w:val="00340858"/>
    <w:rsid w:val="00340C0C"/>
    <w:rsid w:val="0034229C"/>
    <w:rsid w:val="003425E1"/>
    <w:rsid w:val="0034279F"/>
    <w:rsid w:val="0034281B"/>
    <w:rsid w:val="003428D8"/>
    <w:rsid w:val="003429CE"/>
    <w:rsid w:val="003429FE"/>
    <w:rsid w:val="00342D7B"/>
    <w:rsid w:val="00343C2E"/>
    <w:rsid w:val="0034493F"/>
    <w:rsid w:val="00344B46"/>
    <w:rsid w:val="00345455"/>
    <w:rsid w:val="003457C4"/>
    <w:rsid w:val="00345D63"/>
    <w:rsid w:val="00346912"/>
    <w:rsid w:val="00346ACE"/>
    <w:rsid w:val="00347536"/>
    <w:rsid w:val="00347681"/>
    <w:rsid w:val="0034772B"/>
    <w:rsid w:val="00347AFC"/>
    <w:rsid w:val="003509C9"/>
    <w:rsid w:val="00350E6A"/>
    <w:rsid w:val="00351178"/>
    <w:rsid w:val="0035119D"/>
    <w:rsid w:val="0035135B"/>
    <w:rsid w:val="00351A88"/>
    <w:rsid w:val="00351C72"/>
    <w:rsid w:val="00352912"/>
    <w:rsid w:val="00352DFA"/>
    <w:rsid w:val="003540F2"/>
    <w:rsid w:val="003545A7"/>
    <w:rsid w:val="00354C6F"/>
    <w:rsid w:val="00354CF4"/>
    <w:rsid w:val="00354EBF"/>
    <w:rsid w:val="00354EE4"/>
    <w:rsid w:val="003550A1"/>
    <w:rsid w:val="003559D8"/>
    <w:rsid w:val="00357DBB"/>
    <w:rsid w:val="0036028D"/>
    <w:rsid w:val="003603BC"/>
    <w:rsid w:val="00360641"/>
    <w:rsid w:val="00361471"/>
    <w:rsid w:val="00361580"/>
    <w:rsid w:val="0036178A"/>
    <w:rsid w:val="00361C95"/>
    <w:rsid w:val="00361C9B"/>
    <w:rsid w:val="003629C3"/>
    <w:rsid w:val="00362D12"/>
    <w:rsid w:val="00362F7D"/>
    <w:rsid w:val="00362FAF"/>
    <w:rsid w:val="0036353D"/>
    <w:rsid w:val="003635C2"/>
    <w:rsid w:val="0036458A"/>
    <w:rsid w:val="00364B61"/>
    <w:rsid w:val="00364CEA"/>
    <w:rsid w:val="00365284"/>
    <w:rsid w:val="00365ADD"/>
    <w:rsid w:val="00365F47"/>
    <w:rsid w:val="0036659F"/>
    <w:rsid w:val="003665C7"/>
    <w:rsid w:val="0036674B"/>
    <w:rsid w:val="00366983"/>
    <w:rsid w:val="00366E57"/>
    <w:rsid w:val="003672D8"/>
    <w:rsid w:val="00367B75"/>
    <w:rsid w:val="00370597"/>
    <w:rsid w:val="003706CE"/>
    <w:rsid w:val="00370D3E"/>
    <w:rsid w:val="00370F25"/>
    <w:rsid w:val="0037223C"/>
    <w:rsid w:val="00372364"/>
    <w:rsid w:val="0037371F"/>
    <w:rsid w:val="003741DE"/>
    <w:rsid w:val="003748C2"/>
    <w:rsid w:val="00374D09"/>
    <w:rsid w:val="00374D34"/>
    <w:rsid w:val="00374E78"/>
    <w:rsid w:val="00376A03"/>
    <w:rsid w:val="00376A9B"/>
    <w:rsid w:val="00377CE0"/>
    <w:rsid w:val="00377ED3"/>
    <w:rsid w:val="00381CA6"/>
    <w:rsid w:val="003826F7"/>
    <w:rsid w:val="00383106"/>
    <w:rsid w:val="00383641"/>
    <w:rsid w:val="00383A58"/>
    <w:rsid w:val="00384265"/>
    <w:rsid w:val="00384D40"/>
    <w:rsid w:val="0038561C"/>
    <w:rsid w:val="00385C6E"/>
    <w:rsid w:val="0038620D"/>
    <w:rsid w:val="003872D9"/>
    <w:rsid w:val="003872DE"/>
    <w:rsid w:val="003873D0"/>
    <w:rsid w:val="003875AF"/>
    <w:rsid w:val="00390732"/>
    <w:rsid w:val="00391257"/>
    <w:rsid w:val="00391299"/>
    <w:rsid w:val="00391887"/>
    <w:rsid w:val="00392ED5"/>
    <w:rsid w:val="0039344A"/>
    <w:rsid w:val="0039409E"/>
    <w:rsid w:val="0039460C"/>
    <w:rsid w:val="00394CB7"/>
    <w:rsid w:val="00394D62"/>
    <w:rsid w:val="00395163"/>
    <w:rsid w:val="0039561A"/>
    <w:rsid w:val="00395848"/>
    <w:rsid w:val="00395A89"/>
    <w:rsid w:val="00396790"/>
    <w:rsid w:val="003969CE"/>
    <w:rsid w:val="00396B3A"/>
    <w:rsid w:val="003A0448"/>
    <w:rsid w:val="003A0EBD"/>
    <w:rsid w:val="003A1DEC"/>
    <w:rsid w:val="003A2268"/>
    <w:rsid w:val="003A3496"/>
    <w:rsid w:val="003A36E0"/>
    <w:rsid w:val="003A3843"/>
    <w:rsid w:val="003A5897"/>
    <w:rsid w:val="003A693B"/>
    <w:rsid w:val="003B0240"/>
    <w:rsid w:val="003B05B8"/>
    <w:rsid w:val="003B0CF3"/>
    <w:rsid w:val="003B1211"/>
    <w:rsid w:val="003B1334"/>
    <w:rsid w:val="003B1341"/>
    <w:rsid w:val="003B149C"/>
    <w:rsid w:val="003B16A2"/>
    <w:rsid w:val="003B1A18"/>
    <w:rsid w:val="003B1C1B"/>
    <w:rsid w:val="003B1D9D"/>
    <w:rsid w:val="003B2C18"/>
    <w:rsid w:val="003B376C"/>
    <w:rsid w:val="003B3C10"/>
    <w:rsid w:val="003B4A9F"/>
    <w:rsid w:val="003B4F12"/>
    <w:rsid w:val="003B514B"/>
    <w:rsid w:val="003B5FDC"/>
    <w:rsid w:val="003C0629"/>
    <w:rsid w:val="003C1370"/>
    <w:rsid w:val="003C1415"/>
    <w:rsid w:val="003C212E"/>
    <w:rsid w:val="003C2268"/>
    <w:rsid w:val="003C2807"/>
    <w:rsid w:val="003C299B"/>
    <w:rsid w:val="003C2B94"/>
    <w:rsid w:val="003C4243"/>
    <w:rsid w:val="003C4514"/>
    <w:rsid w:val="003C4A5D"/>
    <w:rsid w:val="003C5383"/>
    <w:rsid w:val="003C569C"/>
    <w:rsid w:val="003C589B"/>
    <w:rsid w:val="003C5DB4"/>
    <w:rsid w:val="003C6D48"/>
    <w:rsid w:val="003C7E89"/>
    <w:rsid w:val="003D1BA9"/>
    <w:rsid w:val="003D1CBF"/>
    <w:rsid w:val="003D25C7"/>
    <w:rsid w:val="003D37C1"/>
    <w:rsid w:val="003D3C35"/>
    <w:rsid w:val="003D45B4"/>
    <w:rsid w:val="003D4982"/>
    <w:rsid w:val="003D4A91"/>
    <w:rsid w:val="003D51B2"/>
    <w:rsid w:val="003D5375"/>
    <w:rsid w:val="003D5AB7"/>
    <w:rsid w:val="003D711F"/>
    <w:rsid w:val="003D71B9"/>
    <w:rsid w:val="003D7F87"/>
    <w:rsid w:val="003E0267"/>
    <w:rsid w:val="003E09E7"/>
    <w:rsid w:val="003E0CA1"/>
    <w:rsid w:val="003E0FDB"/>
    <w:rsid w:val="003E1098"/>
    <w:rsid w:val="003E1614"/>
    <w:rsid w:val="003E2DD1"/>
    <w:rsid w:val="003E37D1"/>
    <w:rsid w:val="003E40C0"/>
    <w:rsid w:val="003E59F9"/>
    <w:rsid w:val="003E5C41"/>
    <w:rsid w:val="003E5D87"/>
    <w:rsid w:val="003E5FC5"/>
    <w:rsid w:val="003E6D79"/>
    <w:rsid w:val="003E77AB"/>
    <w:rsid w:val="003F06FB"/>
    <w:rsid w:val="003F0B68"/>
    <w:rsid w:val="003F1DC6"/>
    <w:rsid w:val="003F2041"/>
    <w:rsid w:val="003F3A5F"/>
    <w:rsid w:val="003F3FF5"/>
    <w:rsid w:val="003F41FC"/>
    <w:rsid w:val="003F59D6"/>
    <w:rsid w:val="003F6986"/>
    <w:rsid w:val="003F7774"/>
    <w:rsid w:val="003F77D7"/>
    <w:rsid w:val="003F7903"/>
    <w:rsid w:val="00400266"/>
    <w:rsid w:val="00400570"/>
    <w:rsid w:val="00400D6B"/>
    <w:rsid w:val="00400E8A"/>
    <w:rsid w:val="00401288"/>
    <w:rsid w:val="00401B24"/>
    <w:rsid w:val="00401BF4"/>
    <w:rsid w:val="00401D5D"/>
    <w:rsid w:val="00402085"/>
    <w:rsid w:val="004028E7"/>
    <w:rsid w:val="00402ACC"/>
    <w:rsid w:val="0040311A"/>
    <w:rsid w:val="00403970"/>
    <w:rsid w:val="00403A2D"/>
    <w:rsid w:val="00403F97"/>
    <w:rsid w:val="00404762"/>
    <w:rsid w:val="004047B6"/>
    <w:rsid w:val="00404D8D"/>
    <w:rsid w:val="00405535"/>
    <w:rsid w:val="00405BF2"/>
    <w:rsid w:val="00406F87"/>
    <w:rsid w:val="004079FB"/>
    <w:rsid w:val="00407EAB"/>
    <w:rsid w:val="00407F92"/>
    <w:rsid w:val="004120EC"/>
    <w:rsid w:val="00412805"/>
    <w:rsid w:val="004133C3"/>
    <w:rsid w:val="0041359A"/>
    <w:rsid w:val="00413817"/>
    <w:rsid w:val="00414596"/>
    <w:rsid w:val="00415230"/>
    <w:rsid w:val="00415EF1"/>
    <w:rsid w:val="00416420"/>
    <w:rsid w:val="00416899"/>
    <w:rsid w:val="00417746"/>
    <w:rsid w:val="0041784C"/>
    <w:rsid w:val="00417A47"/>
    <w:rsid w:val="00417CE7"/>
    <w:rsid w:val="00420E83"/>
    <w:rsid w:val="00420E8A"/>
    <w:rsid w:val="0042138A"/>
    <w:rsid w:val="004227B5"/>
    <w:rsid w:val="00422885"/>
    <w:rsid w:val="00423657"/>
    <w:rsid w:val="00423F31"/>
    <w:rsid w:val="00424A41"/>
    <w:rsid w:val="004256A6"/>
    <w:rsid w:val="004258D4"/>
    <w:rsid w:val="0042606D"/>
    <w:rsid w:val="004267D4"/>
    <w:rsid w:val="004267F2"/>
    <w:rsid w:val="00426BCE"/>
    <w:rsid w:val="00426ED4"/>
    <w:rsid w:val="0042725B"/>
    <w:rsid w:val="00430CC1"/>
    <w:rsid w:val="0043137A"/>
    <w:rsid w:val="0043181C"/>
    <w:rsid w:val="00431899"/>
    <w:rsid w:val="00431A22"/>
    <w:rsid w:val="00431CB6"/>
    <w:rsid w:val="00431CBC"/>
    <w:rsid w:val="004321A0"/>
    <w:rsid w:val="00432FB5"/>
    <w:rsid w:val="00433251"/>
    <w:rsid w:val="00434471"/>
    <w:rsid w:val="0043481B"/>
    <w:rsid w:val="0043598A"/>
    <w:rsid w:val="00435ABA"/>
    <w:rsid w:val="0043631F"/>
    <w:rsid w:val="00436BE2"/>
    <w:rsid w:val="00437490"/>
    <w:rsid w:val="00437BCB"/>
    <w:rsid w:val="00440BD7"/>
    <w:rsid w:val="00441A68"/>
    <w:rsid w:val="00441ADB"/>
    <w:rsid w:val="00442055"/>
    <w:rsid w:val="00442059"/>
    <w:rsid w:val="0044761A"/>
    <w:rsid w:val="004476D5"/>
    <w:rsid w:val="004501E9"/>
    <w:rsid w:val="0045039B"/>
    <w:rsid w:val="0045082E"/>
    <w:rsid w:val="00451604"/>
    <w:rsid w:val="00451678"/>
    <w:rsid w:val="004516C9"/>
    <w:rsid w:val="0045259F"/>
    <w:rsid w:val="00453888"/>
    <w:rsid w:val="004555F1"/>
    <w:rsid w:val="004558EF"/>
    <w:rsid w:val="00455AEA"/>
    <w:rsid w:val="00455C07"/>
    <w:rsid w:val="00455FFA"/>
    <w:rsid w:val="004563A1"/>
    <w:rsid w:val="004567DB"/>
    <w:rsid w:val="00457D59"/>
    <w:rsid w:val="00457ED6"/>
    <w:rsid w:val="00457F7C"/>
    <w:rsid w:val="0046077C"/>
    <w:rsid w:val="00460930"/>
    <w:rsid w:val="00460A9A"/>
    <w:rsid w:val="004618CB"/>
    <w:rsid w:val="00461B4A"/>
    <w:rsid w:val="00461D2F"/>
    <w:rsid w:val="00462006"/>
    <w:rsid w:val="00462032"/>
    <w:rsid w:val="004632E1"/>
    <w:rsid w:val="00463A15"/>
    <w:rsid w:val="00463B53"/>
    <w:rsid w:val="00463ECB"/>
    <w:rsid w:val="004642E6"/>
    <w:rsid w:val="00464CE2"/>
    <w:rsid w:val="00464DBA"/>
    <w:rsid w:val="004663BB"/>
    <w:rsid w:val="00466B8B"/>
    <w:rsid w:val="00467FAC"/>
    <w:rsid w:val="004703D1"/>
    <w:rsid w:val="004712F8"/>
    <w:rsid w:val="00471475"/>
    <w:rsid w:val="004721A2"/>
    <w:rsid w:val="00473299"/>
    <w:rsid w:val="004735E6"/>
    <w:rsid w:val="00473DFF"/>
    <w:rsid w:val="0047441E"/>
    <w:rsid w:val="00474B0A"/>
    <w:rsid w:val="00474D7F"/>
    <w:rsid w:val="0047546C"/>
    <w:rsid w:val="004758F9"/>
    <w:rsid w:val="004759CD"/>
    <w:rsid w:val="00475E11"/>
    <w:rsid w:val="0047632C"/>
    <w:rsid w:val="00477045"/>
    <w:rsid w:val="004772A5"/>
    <w:rsid w:val="004775C1"/>
    <w:rsid w:val="0048020E"/>
    <w:rsid w:val="00480B0C"/>
    <w:rsid w:val="00480B2D"/>
    <w:rsid w:val="0048112D"/>
    <w:rsid w:val="004813A1"/>
    <w:rsid w:val="00481E40"/>
    <w:rsid w:val="00482636"/>
    <w:rsid w:val="00482AE8"/>
    <w:rsid w:val="00482CAC"/>
    <w:rsid w:val="004836BF"/>
    <w:rsid w:val="00483E3D"/>
    <w:rsid w:val="00483FEA"/>
    <w:rsid w:val="0048420A"/>
    <w:rsid w:val="0048492D"/>
    <w:rsid w:val="004849DE"/>
    <w:rsid w:val="00484F7E"/>
    <w:rsid w:val="004863AA"/>
    <w:rsid w:val="00486804"/>
    <w:rsid w:val="00486BD3"/>
    <w:rsid w:val="00486EFA"/>
    <w:rsid w:val="00490951"/>
    <w:rsid w:val="00490CDC"/>
    <w:rsid w:val="00491293"/>
    <w:rsid w:val="004912C9"/>
    <w:rsid w:val="00491C32"/>
    <w:rsid w:val="00491C3F"/>
    <w:rsid w:val="00492102"/>
    <w:rsid w:val="00493780"/>
    <w:rsid w:val="004939C4"/>
    <w:rsid w:val="00496F33"/>
    <w:rsid w:val="004A05A1"/>
    <w:rsid w:val="004A0984"/>
    <w:rsid w:val="004A0D5C"/>
    <w:rsid w:val="004A0E3A"/>
    <w:rsid w:val="004A133B"/>
    <w:rsid w:val="004A1AED"/>
    <w:rsid w:val="004A2BA8"/>
    <w:rsid w:val="004A2BE1"/>
    <w:rsid w:val="004A3A4D"/>
    <w:rsid w:val="004A3CBC"/>
    <w:rsid w:val="004A4C56"/>
    <w:rsid w:val="004A5267"/>
    <w:rsid w:val="004A632A"/>
    <w:rsid w:val="004A6656"/>
    <w:rsid w:val="004A6E08"/>
    <w:rsid w:val="004A750C"/>
    <w:rsid w:val="004A7923"/>
    <w:rsid w:val="004B096B"/>
    <w:rsid w:val="004B2159"/>
    <w:rsid w:val="004B2167"/>
    <w:rsid w:val="004B2454"/>
    <w:rsid w:val="004B266F"/>
    <w:rsid w:val="004B28E9"/>
    <w:rsid w:val="004B292D"/>
    <w:rsid w:val="004B2E22"/>
    <w:rsid w:val="004B3745"/>
    <w:rsid w:val="004B3775"/>
    <w:rsid w:val="004B4BC6"/>
    <w:rsid w:val="004B4C3D"/>
    <w:rsid w:val="004B58EB"/>
    <w:rsid w:val="004B59B1"/>
    <w:rsid w:val="004B62CB"/>
    <w:rsid w:val="004B6AE2"/>
    <w:rsid w:val="004B6C64"/>
    <w:rsid w:val="004B6EE3"/>
    <w:rsid w:val="004B7B77"/>
    <w:rsid w:val="004C0002"/>
    <w:rsid w:val="004C0F2C"/>
    <w:rsid w:val="004C14AC"/>
    <w:rsid w:val="004C14BD"/>
    <w:rsid w:val="004C1535"/>
    <w:rsid w:val="004C1B72"/>
    <w:rsid w:val="004C1B97"/>
    <w:rsid w:val="004C27A4"/>
    <w:rsid w:val="004C2F20"/>
    <w:rsid w:val="004C369F"/>
    <w:rsid w:val="004C3B4D"/>
    <w:rsid w:val="004C458F"/>
    <w:rsid w:val="004C4F86"/>
    <w:rsid w:val="004C502E"/>
    <w:rsid w:val="004C5C41"/>
    <w:rsid w:val="004C5C83"/>
    <w:rsid w:val="004C6342"/>
    <w:rsid w:val="004C6C77"/>
    <w:rsid w:val="004C71C0"/>
    <w:rsid w:val="004C7995"/>
    <w:rsid w:val="004D0330"/>
    <w:rsid w:val="004D0A77"/>
    <w:rsid w:val="004D0BA0"/>
    <w:rsid w:val="004D1725"/>
    <w:rsid w:val="004D1F4D"/>
    <w:rsid w:val="004D23CD"/>
    <w:rsid w:val="004D2831"/>
    <w:rsid w:val="004D50BA"/>
    <w:rsid w:val="004D5589"/>
    <w:rsid w:val="004D558D"/>
    <w:rsid w:val="004D5E30"/>
    <w:rsid w:val="004D5F0E"/>
    <w:rsid w:val="004D6133"/>
    <w:rsid w:val="004D72FA"/>
    <w:rsid w:val="004D781B"/>
    <w:rsid w:val="004E053B"/>
    <w:rsid w:val="004E058F"/>
    <w:rsid w:val="004E1ADA"/>
    <w:rsid w:val="004E1FE3"/>
    <w:rsid w:val="004E2CBA"/>
    <w:rsid w:val="004E2DDC"/>
    <w:rsid w:val="004E3B87"/>
    <w:rsid w:val="004E4142"/>
    <w:rsid w:val="004E4374"/>
    <w:rsid w:val="004E4C46"/>
    <w:rsid w:val="004E6320"/>
    <w:rsid w:val="004E6FBE"/>
    <w:rsid w:val="004F0C53"/>
    <w:rsid w:val="004F174D"/>
    <w:rsid w:val="004F1756"/>
    <w:rsid w:val="004F2AF9"/>
    <w:rsid w:val="004F3939"/>
    <w:rsid w:val="004F3A7D"/>
    <w:rsid w:val="004F3BE6"/>
    <w:rsid w:val="004F41C2"/>
    <w:rsid w:val="004F4301"/>
    <w:rsid w:val="004F4713"/>
    <w:rsid w:val="004F52AB"/>
    <w:rsid w:val="004F569C"/>
    <w:rsid w:val="004F69E8"/>
    <w:rsid w:val="004F7050"/>
    <w:rsid w:val="004F70E2"/>
    <w:rsid w:val="004F7512"/>
    <w:rsid w:val="0050075E"/>
    <w:rsid w:val="00500C41"/>
    <w:rsid w:val="00500EA6"/>
    <w:rsid w:val="00501555"/>
    <w:rsid w:val="00501CF8"/>
    <w:rsid w:val="00501EB9"/>
    <w:rsid w:val="00502C36"/>
    <w:rsid w:val="00502F7F"/>
    <w:rsid w:val="00503456"/>
    <w:rsid w:val="005036A8"/>
    <w:rsid w:val="0050469C"/>
    <w:rsid w:val="00504827"/>
    <w:rsid w:val="005048E9"/>
    <w:rsid w:val="00504B06"/>
    <w:rsid w:val="00505091"/>
    <w:rsid w:val="005056E4"/>
    <w:rsid w:val="00505B41"/>
    <w:rsid w:val="0050669D"/>
    <w:rsid w:val="00507B02"/>
    <w:rsid w:val="00507E3C"/>
    <w:rsid w:val="00510360"/>
    <w:rsid w:val="00510495"/>
    <w:rsid w:val="005108B5"/>
    <w:rsid w:val="00510921"/>
    <w:rsid w:val="00510AD3"/>
    <w:rsid w:val="00510B80"/>
    <w:rsid w:val="005111CD"/>
    <w:rsid w:val="005115F4"/>
    <w:rsid w:val="00511A56"/>
    <w:rsid w:val="0051224F"/>
    <w:rsid w:val="00512712"/>
    <w:rsid w:val="00512772"/>
    <w:rsid w:val="00512A11"/>
    <w:rsid w:val="00512EBC"/>
    <w:rsid w:val="00513050"/>
    <w:rsid w:val="00513348"/>
    <w:rsid w:val="0051342B"/>
    <w:rsid w:val="00513AD8"/>
    <w:rsid w:val="00513EF5"/>
    <w:rsid w:val="00513EFE"/>
    <w:rsid w:val="00514014"/>
    <w:rsid w:val="00514FD9"/>
    <w:rsid w:val="00515849"/>
    <w:rsid w:val="00516A5C"/>
    <w:rsid w:val="00516FB0"/>
    <w:rsid w:val="00517333"/>
    <w:rsid w:val="005204D2"/>
    <w:rsid w:val="00520FC1"/>
    <w:rsid w:val="005215D5"/>
    <w:rsid w:val="00521D3F"/>
    <w:rsid w:val="00522183"/>
    <w:rsid w:val="00522396"/>
    <w:rsid w:val="00527F53"/>
    <w:rsid w:val="00530310"/>
    <w:rsid w:val="0053195F"/>
    <w:rsid w:val="00531ACD"/>
    <w:rsid w:val="00533112"/>
    <w:rsid w:val="00533B5D"/>
    <w:rsid w:val="00533C86"/>
    <w:rsid w:val="00534003"/>
    <w:rsid w:val="00534C96"/>
    <w:rsid w:val="00534D71"/>
    <w:rsid w:val="005350D5"/>
    <w:rsid w:val="00535572"/>
    <w:rsid w:val="00535862"/>
    <w:rsid w:val="00536461"/>
    <w:rsid w:val="00536C0B"/>
    <w:rsid w:val="0053712D"/>
    <w:rsid w:val="00537CB4"/>
    <w:rsid w:val="00537FDD"/>
    <w:rsid w:val="0054026D"/>
    <w:rsid w:val="005403E0"/>
    <w:rsid w:val="0054060F"/>
    <w:rsid w:val="00540F9A"/>
    <w:rsid w:val="00541AC0"/>
    <w:rsid w:val="00541ADB"/>
    <w:rsid w:val="00542B8C"/>
    <w:rsid w:val="00543434"/>
    <w:rsid w:val="005434E6"/>
    <w:rsid w:val="005449CA"/>
    <w:rsid w:val="00545097"/>
    <w:rsid w:val="005456EF"/>
    <w:rsid w:val="00545FBC"/>
    <w:rsid w:val="00546950"/>
    <w:rsid w:val="00546CAF"/>
    <w:rsid w:val="00546F37"/>
    <w:rsid w:val="005474D7"/>
    <w:rsid w:val="00550385"/>
    <w:rsid w:val="0055048C"/>
    <w:rsid w:val="00550953"/>
    <w:rsid w:val="005509E9"/>
    <w:rsid w:val="00550EAA"/>
    <w:rsid w:val="005528F4"/>
    <w:rsid w:val="00553585"/>
    <w:rsid w:val="00555407"/>
    <w:rsid w:val="00555464"/>
    <w:rsid w:val="00555A24"/>
    <w:rsid w:val="00555B77"/>
    <w:rsid w:val="00556DBF"/>
    <w:rsid w:val="005573E5"/>
    <w:rsid w:val="0055793B"/>
    <w:rsid w:val="00557AA3"/>
    <w:rsid w:val="00557C57"/>
    <w:rsid w:val="005603FA"/>
    <w:rsid w:val="00561833"/>
    <w:rsid w:val="00561B0A"/>
    <w:rsid w:val="005633AB"/>
    <w:rsid w:val="00564002"/>
    <w:rsid w:val="00564773"/>
    <w:rsid w:val="00565425"/>
    <w:rsid w:val="00565A6B"/>
    <w:rsid w:val="00565CF8"/>
    <w:rsid w:val="00566D33"/>
    <w:rsid w:val="00567510"/>
    <w:rsid w:val="005676F6"/>
    <w:rsid w:val="00571FCE"/>
    <w:rsid w:val="00572836"/>
    <w:rsid w:val="00572986"/>
    <w:rsid w:val="00572AD6"/>
    <w:rsid w:val="00574269"/>
    <w:rsid w:val="00575709"/>
    <w:rsid w:val="00575710"/>
    <w:rsid w:val="00575C2B"/>
    <w:rsid w:val="0057655E"/>
    <w:rsid w:val="0057665D"/>
    <w:rsid w:val="00576773"/>
    <w:rsid w:val="005767AB"/>
    <w:rsid w:val="005769C2"/>
    <w:rsid w:val="00576C6E"/>
    <w:rsid w:val="00577116"/>
    <w:rsid w:val="005776D0"/>
    <w:rsid w:val="0058088E"/>
    <w:rsid w:val="00581014"/>
    <w:rsid w:val="005813D9"/>
    <w:rsid w:val="00581F63"/>
    <w:rsid w:val="005823BE"/>
    <w:rsid w:val="005829AB"/>
    <w:rsid w:val="00583032"/>
    <w:rsid w:val="005832FF"/>
    <w:rsid w:val="00584CFA"/>
    <w:rsid w:val="00584D21"/>
    <w:rsid w:val="00585EA4"/>
    <w:rsid w:val="0058643D"/>
    <w:rsid w:val="00586B11"/>
    <w:rsid w:val="00586E41"/>
    <w:rsid w:val="00587B9B"/>
    <w:rsid w:val="00587FD3"/>
    <w:rsid w:val="005911AF"/>
    <w:rsid w:val="00591479"/>
    <w:rsid w:val="00591FDA"/>
    <w:rsid w:val="005920D9"/>
    <w:rsid w:val="00592A46"/>
    <w:rsid w:val="0059354F"/>
    <w:rsid w:val="00593FD8"/>
    <w:rsid w:val="00595A04"/>
    <w:rsid w:val="00595B12"/>
    <w:rsid w:val="005978DF"/>
    <w:rsid w:val="005A08C5"/>
    <w:rsid w:val="005A09C4"/>
    <w:rsid w:val="005A1B92"/>
    <w:rsid w:val="005A20F6"/>
    <w:rsid w:val="005A269B"/>
    <w:rsid w:val="005A2ACB"/>
    <w:rsid w:val="005A426F"/>
    <w:rsid w:val="005A473E"/>
    <w:rsid w:val="005A4AB9"/>
    <w:rsid w:val="005A4D2F"/>
    <w:rsid w:val="005A5237"/>
    <w:rsid w:val="005A5783"/>
    <w:rsid w:val="005A5EA6"/>
    <w:rsid w:val="005A71A4"/>
    <w:rsid w:val="005A761E"/>
    <w:rsid w:val="005A78DC"/>
    <w:rsid w:val="005A7962"/>
    <w:rsid w:val="005A7F33"/>
    <w:rsid w:val="005B0116"/>
    <w:rsid w:val="005B0160"/>
    <w:rsid w:val="005B027A"/>
    <w:rsid w:val="005B077B"/>
    <w:rsid w:val="005B0D00"/>
    <w:rsid w:val="005B12EE"/>
    <w:rsid w:val="005B14EB"/>
    <w:rsid w:val="005B1CE0"/>
    <w:rsid w:val="005B206B"/>
    <w:rsid w:val="005B2106"/>
    <w:rsid w:val="005B2D99"/>
    <w:rsid w:val="005B3534"/>
    <w:rsid w:val="005B37F2"/>
    <w:rsid w:val="005B38D2"/>
    <w:rsid w:val="005B3C54"/>
    <w:rsid w:val="005B53E7"/>
    <w:rsid w:val="005B557A"/>
    <w:rsid w:val="005B55E8"/>
    <w:rsid w:val="005B563F"/>
    <w:rsid w:val="005B66A8"/>
    <w:rsid w:val="005B6A4A"/>
    <w:rsid w:val="005B6E03"/>
    <w:rsid w:val="005B6E1F"/>
    <w:rsid w:val="005B6FA5"/>
    <w:rsid w:val="005B6FCD"/>
    <w:rsid w:val="005B7859"/>
    <w:rsid w:val="005B7EB4"/>
    <w:rsid w:val="005C065C"/>
    <w:rsid w:val="005C0840"/>
    <w:rsid w:val="005C1784"/>
    <w:rsid w:val="005C2E1F"/>
    <w:rsid w:val="005C3210"/>
    <w:rsid w:val="005C3646"/>
    <w:rsid w:val="005C393A"/>
    <w:rsid w:val="005C3C0C"/>
    <w:rsid w:val="005C4187"/>
    <w:rsid w:val="005C4335"/>
    <w:rsid w:val="005C47F3"/>
    <w:rsid w:val="005C4909"/>
    <w:rsid w:val="005C49FE"/>
    <w:rsid w:val="005C51DE"/>
    <w:rsid w:val="005C5A47"/>
    <w:rsid w:val="005C6485"/>
    <w:rsid w:val="005C6956"/>
    <w:rsid w:val="005C6E83"/>
    <w:rsid w:val="005C7489"/>
    <w:rsid w:val="005C7D05"/>
    <w:rsid w:val="005D02EB"/>
    <w:rsid w:val="005D02F2"/>
    <w:rsid w:val="005D058C"/>
    <w:rsid w:val="005D084C"/>
    <w:rsid w:val="005D09EC"/>
    <w:rsid w:val="005D0BD6"/>
    <w:rsid w:val="005D1323"/>
    <w:rsid w:val="005D235B"/>
    <w:rsid w:val="005D29CE"/>
    <w:rsid w:val="005D2CB6"/>
    <w:rsid w:val="005D2FAC"/>
    <w:rsid w:val="005D30AA"/>
    <w:rsid w:val="005D3655"/>
    <w:rsid w:val="005D365C"/>
    <w:rsid w:val="005D3EC7"/>
    <w:rsid w:val="005D40D8"/>
    <w:rsid w:val="005D5579"/>
    <w:rsid w:val="005D57B6"/>
    <w:rsid w:val="005D5B43"/>
    <w:rsid w:val="005D5F12"/>
    <w:rsid w:val="005D6054"/>
    <w:rsid w:val="005D73D7"/>
    <w:rsid w:val="005D76D2"/>
    <w:rsid w:val="005D7998"/>
    <w:rsid w:val="005D7AB3"/>
    <w:rsid w:val="005D7C6C"/>
    <w:rsid w:val="005E09CB"/>
    <w:rsid w:val="005E0BBB"/>
    <w:rsid w:val="005E1A49"/>
    <w:rsid w:val="005E26E1"/>
    <w:rsid w:val="005E3445"/>
    <w:rsid w:val="005E3779"/>
    <w:rsid w:val="005E3A7A"/>
    <w:rsid w:val="005E3B54"/>
    <w:rsid w:val="005E4830"/>
    <w:rsid w:val="005E4F0D"/>
    <w:rsid w:val="005E557F"/>
    <w:rsid w:val="005E5FE9"/>
    <w:rsid w:val="005E67A2"/>
    <w:rsid w:val="005E6DC7"/>
    <w:rsid w:val="005E7D35"/>
    <w:rsid w:val="005F079C"/>
    <w:rsid w:val="005F07CD"/>
    <w:rsid w:val="005F151D"/>
    <w:rsid w:val="005F2161"/>
    <w:rsid w:val="005F234A"/>
    <w:rsid w:val="005F280D"/>
    <w:rsid w:val="005F2E15"/>
    <w:rsid w:val="005F301B"/>
    <w:rsid w:val="005F36A5"/>
    <w:rsid w:val="005F37A6"/>
    <w:rsid w:val="005F3956"/>
    <w:rsid w:val="005F3C22"/>
    <w:rsid w:val="005F3CC1"/>
    <w:rsid w:val="005F402B"/>
    <w:rsid w:val="005F66AA"/>
    <w:rsid w:val="00600202"/>
    <w:rsid w:val="0060039C"/>
    <w:rsid w:val="0060323E"/>
    <w:rsid w:val="00605A12"/>
    <w:rsid w:val="00605B02"/>
    <w:rsid w:val="00606553"/>
    <w:rsid w:val="00606D60"/>
    <w:rsid w:val="00606DDF"/>
    <w:rsid w:val="006070B2"/>
    <w:rsid w:val="00607963"/>
    <w:rsid w:val="006103C4"/>
    <w:rsid w:val="0061054D"/>
    <w:rsid w:val="00610946"/>
    <w:rsid w:val="006109C9"/>
    <w:rsid w:val="0061249D"/>
    <w:rsid w:val="00612CC9"/>
    <w:rsid w:val="00612D2F"/>
    <w:rsid w:val="00612D59"/>
    <w:rsid w:val="00613160"/>
    <w:rsid w:val="0061318B"/>
    <w:rsid w:val="00613D2C"/>
    <w:rsid w:val="0061408C"/>
    <w:rsid w:val="00614230"/>
    <w:rsid w:val="0061427B"/>
    <w:rsid w:val="006153D1"/>
    <w:rsid w:val="00615775"/>
    <w:rsid w:val="00615A07"/>
    <w:rsid w:val="00615A6F"/>
    <w:rsid w:val="00616DAA"/>
    <w:rsid w:val="0061799B"/>
    <w:rsid w:val="00620178"/>
    <w:rsid w:val="00621448"/>
    <w:rsid w:val="006214CA"/>
    <w:rsid w:val="0062184B"/>
    <w:rsid w:val="00621C95"/>
    <w:rsid w:val="006221A7"/>
    <w:rsid w:val="00622283"/>
    <w:rsid w:val="00622A33"/>
    <w:rsid w:val="00622B86"/>
    <w:rsid w:val="00622C0B"/>
    <w:rsid w:val="00622C1F"/>
    <w:rsid w:val="00623642"/>
    <w:rsid w:val="006238CC"/>
    <w:rsid w:val="0062394B"/>
    <w:rsid w:val="00623BA1"/>
    <w:rsid w:val="00623C75"/>
    <w:rsid w:val="00624C43"/>
    <w:rsid w:val="00624CBD"/>
    <w:rsid w:val="00625304"/>
    <w:rsid w:val="00626ABB"/>
    <w:rsid w:val="00626AF4"/>
    <w:rsid w:val="00627F47"/>
    <w:rsid w:val="00630561"/>
    <w:rsid w:val="00631983"/>
    <w:rsid w:val="00631CA2"/>
    <w:rsid w:val="0063242E"/>
    <w:rsid w:val="00632B90"/>
    <w:rsid w:val="006333D9"/>
    <w:rsid w:val="006346BC"/>
    <w:rsid w:val="0063484C"/>
    <w:rsid w:val="006358CA"/>
    <w:rsid w:val="00635B2A"/>
    <w:rsid w:val="00636836"/>
    <w:rsid w:val="00636AA3"/>
    <w:rsid w:val="00636E91"/>
    <w:rsid w:val="00637652"/>
    <w:rsid w:val="00640E97"/>
    <w:rsid w:val="00640F5F"/>
    <w:rsid w:val="00641218"/>
    <w:rsid w:val="0064197A"/>
    <w:rsid w:val="00642222"/>
    <w:rsid w:val="00642BDF"/>
    <w:rsid w:val="006433B5"/>
    <w:rsid w:val="006434E2"/>
    <w:rsid w:val="006436E1"/>
    <w:rsid w:val="006437FC"/>
    <w:rsid w:val="00643AC7"/>
    <w:rsid w:val="0064404E"/>
    <w:rsid w:val="0064558E"/>
    <w:rsid w:val="00646463"/>
    <w:rsid w:val="00651F9F"/>
    <w:rsid w:val="0065228D"/>
    <w:rsid w:val="00652762"/>
    <w:rsid w:val="00652BA8"/>
    <w:rsid w:val="006530AC"/>
    <w:rsid w:val="00653CE5"/>
    <w:rsid w:val="00653D93"/>
    <w:rsid w:val="00654B61"/>
    <w:rsid w:val="00654D84"/>
    <w:rsid w:val="00655417"/>
    <w:rsid w:val="00655863"/>
    <w:rsid w:val="006563C1"/>
    <w:rsid w:val="006564E6"/>
    <w:rsid w:val="00656937"/>
    <w:rsid w:val="006570CA"/>
    <w:rsid w:val="006570E0"/>
    <w:rsid w:val="0066039E"/>
    <w:rsid w:val="00660C73"/>
    <w:rsid w:val="00660DB0"/>
    <w:rsid w:val="0066189A"/>
    <w:rsid w:val="00661D1D"/>
    <w:rsid w:val="0066207F"/>
    <w:rsid w:val="0066230A"/>
    <w:rsid w:val="0066290E"/>
    <w:rsid w:val="006629C2"/>
    <w:rsid w:val="006636BD"/>
    <w:rsid w:val="0066397D"/>
    <w:rsid w:val="006647A2"/>
    <w:rsid w:val="006649BB"/>
    <w:rsid w:val="0066513C"/>
    <w:rsid w:val="006654A8"/>
    <w:rsid w:val="00665D77"/>
    <w:rsid w:val="006663A5"/>
    <w:rsid w:val="0066652A"/>
    <w:rsid w:val="00666E35"/>
    <w:rsid w:val="0066721E"/>
    <w:rsid w:val="00667FED"/>
    <w:rsid w:val="00670224"/>
    <w:rsid w:val="0067022A"/>
    <w:rsid w:val="0067180B"/>
    <w:rsid w:val="00671988"/>
    <w:rsid w:val="006719C3"/>
    <w:rsid w:val="00671ADC"/>
    <w:rsid w:val="00671B7D"/>
    <w:rsid w:val="00671F9B"/>
    <w:rsid w:val="0067283D"/>
    <w:rsid w:val="00673874"/>
    <w:rsid w:val="0067498D"/>
    <w:rsid w:val="00674AD1"/>
    <w:rsid w:val="00674FDB"/>
    <w:rsid w:val="00675EE4"/>
    <w:rsid w:val="00675FA9"/>
    <w:rsid w:val="006769F9"/>
    <w:rsid w:val="00677554"/>
    <w:rsid w:val="00677C49"/>
    <w:rsid w:val="00677D05"/>
    <w:rsid w:val="00677D2C"/>
    <w:rsid w:val="006804B2"/>
    <w:rsid w:val="00680522"/>
    <w:rsid w:val="006806E0"/>
    <w:rsid w:val="0068075B"/>
    <w:rsid w:val="006819C2"/>
    <w:rsid w:val="00681EC5"/>
    <w:rsid w:val="00681F9C"/>
    <w:rsid w:val="00682167"/>
    <w:rsid w:val="00682547"/>
    <w:rsid w:val="00682605"/>
    <w:rsid w:val="006838D6"/>
    <w:rsid w:val="0068425B"/>
    <w:rsid w:val="00684763"/>
    <w:rsid w:val="00685044"/>
    <w:rsid w:val="00685325"/>
    <w:rsid w:val="00685CD5"/>
    <w:rsid w:val="00685E41"/>
    <w:rsid w:val="00687BBA"/>
    <w:rsid w:val="00690A66"/>
    <w:rsid w:val="00691D0D"/>
    <w:rsid w:val="00692953"/>
    <w:rsid w:val="00692D14"/>
    <w:rsid w:val="00693DCB"/>
    <w:rsid w:val="0069471C"/>
    <w:rsid w:val="00694D4A"/>
    <w:rsid w:val="006952DA"/>
    <w:rsid w:val="00695737"/>
    <w:rsid w:val="00695802"/>
    <w:rsid w:val="00696C31"/>
    <w:rsid w:val="006977D4"/>
    <w:rsid w:val="00697E50"/>
    <w:rsid w:val="006A0332"/>
    <w:rsid w:val="006A0854"/>
    <w:rsid w:val="006A111E"/>
    <w:rsid w:val="006A1E37"/>
    <w:rsid w:val="006A3668"/>
    <w:rsid w:val="006A43AF"/>
    <w:rsid w:val="006A4F78"/>
    <w:rsid w:val="006A5326"/>
    <w:rsid w:val="006A56E7"/>
    <w:rsid w:val="006A56F8"/>
    <w:rsid w:val="006A62E3"/>
    <w:rsid w:val="006A75BF"/>
    <w:rsid w:val="006B012E"/>
    <w:rsid w:val="006B0B95"/>
    <w:rsid w:val="006B0F55"/>
    <w:rsid w:val="006B1007"/>
    <w:rsid w:val="006B1DBC"/>
    <w:rsid w:val="006B2291"/>
    <w:rsid w:val="006B22C7"/>
    <w:rsid w:val="006B244B"/>
    <w:rsid w:val="006B3324"/>
    <w:rsid w:val="006B3341"/>
    <w:rsid w:val="006B3E1A"/>
    <w:rsid w:val="006B5D0E"/>
    <w:rsid w:val="006B637E"/>
    <w:rsid w:val="006B644F"/>
    <w:rsid w:val="006B6C6D"/>
    <w:rsid w:val="006B7730"/>
    <w:rsid w:val="006C04CF"/>
    <w:rsid w:val="006C0A5A"/>
    <w:rsid w:val="006C0AD2"/>
    <w:rsid w:val="006C122D"/>
    <w:rsid w:val="006C1901"/>
    <w:rsid w:val="006C1B01"/>
    <w:rsid w:val="006C1BDA"/>
    <w:rsid w:val="006C2293"/>
    <w:rsid w:val="006C305B"/>
    <w:rsid w:val="006C3AC6"/>
    <w:rsid w:val="006C3E52"/>
    <w:rsid w:val="006C41C6"/>
    <w:rsid w:val="006C42AF"/>
    <w:rsid w:val="006C4360"/>
    <w:rsid w:val="006C4979"/>
    <w:rsid w:val="006C51A9"/>
    <w:rsid w:val="006C5383"/>
    <w:rsid w:val="006C5FC2"/>
    <w:rsid w:val="006C787C"/>
    <w:rsid w:val="006D01AA"/>
    <w:rsid w:val="006D2088"/>
    <w:rsid w:val="006D2882"/>
    <w:rsid w:val="006D2D84"/>
    <w:rsid w:val="006D2DA8"/>
    <w:rsid w:val="006D2E31"/>
    <w:rsid w:val="006D2F0B"/>
    <w:rsid w:val="006D338D"/>
    <w:rsid w:val="006D35D6"/>
    <w:rsid w:val="006D3A00"/>
    <w:rsid w:val="006D3AF0"/>
    <w:rsid w:val="006D43E5"/>
    <w:rsid w:val="006D5570"/>
    <w:rsid w:val="006D5EC1"/>
    <w:rsid w:val="006D6C4B"/>
    <w:rsid w:val="006D75DE"/>
    <w:rsid w:val="006D7FA0"/>
    <w:rsid w:val="006E022E"/>
    <w:rsid w:val="006E087A"/>
    <w:rsid w:val="006E1561"/>
    <w:rsid w:val="006E35A4"/>
    <w:rsid w:val="006E3CCE"/>
    <w:rsid w:val="006E48F4"/>
    <w:rsid w:val="006E5540"/>
    <w:rsid w:val="006E645D"/>
    <w:rsid w:val="006F0719"/>
    <w:rsid w:val="006F078A"/>
    <w:rsid w:val="006F143E"/>
    <w:rsid w:val="006F219B"/>
    <w:rsid w:val="006F3B47"/>
    <w:rsid w:val="006F4C8C"/>
    <w:rsid w:val="006F519A"/>
    <w:rsid w:val="006F52D6"/>
    <w:rsid w:val="006F5A89"/>
    <w:rsid w:val="006F5B46"/>
    <w:rsid w:val="006F5D58"/>
    <w:rsid w:val="006F602A"/>
    <w:rsid w:val="006F67D8"/>
    <w:rsid w:val="006F74F6"/>
    <w:rsid w:val="0070004D"/>
    <w:rsid w:val="0070047A"/>
    <w:rsid w:val="00701328"/>
    <w:rsid w:val="007019FC"/>
    <w:rsid w:val="00701BBD"/>
    <w:rsid w:val="0070215C"/>
    <w:rsid w:val="00705735"/>
    <w:rsid w:val="00705F5E"/>
    <w:rsid w:val="00706D22"/>
    <w:rsid w:val="007071F3"/>
    <w:rsid w:val="00711558"/>
    <w:rsid w:val="007118A8"/>
    <w:rsid w:val="00711D8E"/>
    <w:rsid w:val="00712672"/>
    <w:rsid w:val="00712A85"/>
    <w:rsid w:val="0071346C"/>
    <w:rsid w:val="007155B1"/>
    <w:rsid w:val="00715B96"/>
    <w:rsid w:val="00715C69"/>
    <w:rsid w:val="00715ECB"/>
    <w:rsid w:val="00715FCA"/>
    <w:rsid w:val="00716657"/>
    <w:rsid w:val="00717166"/>
    <w:rsid w:val="00717570"/>
    <w:rsid w:val="00720C0A"/>
    <w:rsid w:val="0072252A"/>
    <w:rsid w:val="00722D72"/>
    <w:rsid w:val="007234D0"/>
    <w:rsid w:val="00724AE6"/>
    <w:rsid w:val="00725117"/>
    <w:rsid w:val="00725625"/>
    <w:rsid w:val="007256B0"/>
    <w:rsid w:val="007258EC"/>
    <w:rsid w:val="007262FD"/>
    <w:rsid w:val="007265FC"/>
    <w:rsid w:val="00726BD9"/>
    <w:rsid w:val="00726EDA"/>
    <w:rsid w:val="00727EDF"/>
    <w:rsid w:val="007300AB"/>
    <w:rsid w:val="00730712"/>
    <w:rsid w:val="0073111A"/>
    <w:rsid w:val="00731B54"/>
    <w:rsid w:val="007325C2"/>
    <w:rsid w:val="007329E4"/>
    <w:rsid w:val="00733273"/>
    <w:rsid w:val="0073444D"/>
    <w:rsid w:val="00734508"/>
    <w:rsid w:val="00734C81"/>
    <w:rsid w:val="00734E3F"/>
    <w:rsid w:val="00735957"/>
    <w:rsid w:val="00736182"/>
    <w:rsid w:val="00736985"/>
    <w:rsid w:val="00736A8C"/>
    <w:rsid w:val="007372E8"/>
    <w:rsid w:val="007376B8"/>
    <w:rsid w:val="007404A5"/>
    <w:rsid w:val="00740B7D"/>
    <w:rsid w:val="0074153C"/>
    <w:rsid w:val="00741ED1"/>
    <w:rsid w:val="00742167"/>
    <w:rsid w:val="0074233B"/>
    <w:rsid w:val="00742B5F"/>
    <w:rsid w:val="00742BBC"/>
    <w:rsid w:val="00743624"/>
    <w:rsid w:val="00743745"/>
    <w:rsid w:val="00744A43"/>
    <w:rsid w:val="0074508D"/>
    <w:rsid w:val="00745557"/>
    <w:rsid w:val="00745AB5"/>
    <w:rsid w:val="00745DF5"/>
    <w:rsid w:val="00746CAF"/>
    <w:rsid w:val="00747836"/>
    <w:rsid w:val="00750085"/>
    <w:rsid w:val="00750977"/>
    <w:rsid w:val="00750F1C"/>
    <w:rsid w:val="0075114B"/>
    <w:rsid w:val="00751452"/>
    <w:rsid w:val="0075151D"/>
    <w:rsid w:val="00751C49"/>
    <w:rsid w:val="00753042"/>
    <w:rsid w:val="0075389E"/>
    <w:rsid w:val="007547EB"/>
    <w:rsid w:val="00755492"/>
    <w:rsid w:val="00755D0F"/>
    <w:rsid w:val="007561A9"/>
    <w:rsid w:val="00757E61"/>
    <w:rsid w:val="00760470"/>
    <w:rsid w:val="00760C8D"/>
    <w:rsid w:val="00761928"/>
    <w:rsid w:val="0076220F"/>
    <w:rsid w:val="0076250F"/>
    <w:rsid w:val="00762CAC"/>
    <w:rsid w:val="0076336D"/>
    <w:rsid w:val="00763F54"/>
    <w:rsid w:val="0076451F"/>
    <w:rsid w:val="00764C4C"/>
    <w:rsid w:val="00765787"/>
    <w:rsid w:val="00766C48"/>
    <w:rsid w:val="00766D53"/>
    <w:rsid w:val="00767B62"/>
    <w:rsid w:val="00767D67"/>
    <w:rsid w:val="00770374"/>
    <w:rsid w:val="007706B8"/>
    <w:rsid w:val="00770B00"/>
    <w:rsid w:val="00770E25"/>
    <w:rsid w:val="007730F5"/>
    <w:rsid w:val="00773E4C"/>
    <w:rsid w:val="00774045"/>
    <w:rsid w:val="00774058"/>
    <w:rsid w:val="00774A4F"/>
    <w:rsid w:val="00774EE4"/>
    <w:rsid w:val="0077501C"/>
    <w:rsid w:val="00775151"/>
    <w:rsid w:val="0077517C"/>
    <w:rsid w:val="00777F98"/>
    <w:rsid w:val="00780420"/>
    <w:rsid w:val="00780CDA"/>
    <w:rsid w:val="00780FA5"/>
    <w:rsid w:val="00781064"/>
    <w:rsid w:val="0078122C"/>
    <w:rsid w:val="00782168"/>
    <w:rsid w:val="0078260E"/>
    <w:rsid w:val="00783007"/>
    <w:rsid w:val="00783027"/>
    <w:rsid w:val="00783DF4"/>
    <w:rsid w:val="00783EB5"/>
    <w:rsid w:val="007853E7"/>
    <w:rsid w:val="0078575A"/>
    <w:rsid w:val="007858A5"/>
    <w:rsid w:val="00785DC6"/>
    <w:rsid w:val="007860DC"/>
    <w:rsid w:val="00786824"/>
    <w:rsid w:val="0078686D"/>
    <w:rsid w:val="00787958"/>
    <w:rsid w:val="007900A9"/>
    <w:rsid w:val="00790561"/>
    <w:rsid w:val="007909C2"/>
    <w:rsid w:val="00791F3A"/>
    <w:rsid w:val="0079294F"/>
    <w:rsid w:val="00792BF0"/>
    <w:rsid w:val="0079377A"/>
    <w:rsid w:val="00793C87"/>
    <w:rsid w:val="00794448"/>
    <w:rsid w:val="0079531F"/>
    <w:rsid w:val="007955E7"/>
    <w:rsid w:val="007960F9"/>
    <w:rsid w:val="00796280"/>
    <w:rsid w:val="00796524"/>
    <w:rsid w:val="00796B9C"/>
    <w:rsid w:val="00797227"/>
    <w:rsid w:val="007A06C0"/>
    <w:rsid w:val="007A06C1"/>
    <w:rsid w:val="007A076E"/>
    <w:rsid w:val="007A0C55"/>
    <w:rsid w:val="007A15B2"/>
    <w:rsid w:val="007A1A39"/>
    <w:rsid w:val="007A24C5"/>
    <w:rsid w:val="007A26F1"/>
    <w:rsid w:val="007A3554"/>
    <w:rsid w:val="007A3E59"/>
    <w:rsid w:val="007A53DB"/>
    <w:rsid w:val="007A58D4"/>
    <w:rsid w:val="007A59BB"/>
    <w:rsid w:val="007A5CB8"/>
    <w:rsid w:val="007A5CF4"/>
    <w:rsid w:val="007A71D8"/>
    <w:rsid w:val="007B049D"/>
    <w:rsid w:val="007B07DE"/>
    <w:rsid w:val="007B0ADE"/>
    <w:rsid w:val="007B1137"/>
    <w:rsid w:val="007B12E2"/>
    <w:rsid w:val="007B1A6F"/>
    <w:rsid w:val="007B1AD6"/>
    <w:rsid w:val="007B236E"/>
    <w:rsid w:val="007B26D1"/>
    <w:rsid w:val="007B2A85"/>
    <w:rsid w:val="007B32E4"/>
    <w:rsid w:val="007B347E"/>
    <w:rsid w:val="007B349D"/>
    <w:rsid w:val="007B36FE"/>
    <w:rsid w:val="007B407D"/>
    <w:rsid w:val="007B43DD"/>
    <w:rsid w:val="007B43FA"/>
    <w:rsid w:val="007B5A20"/>
    <w:rsid w:val="007B6200"/>
    <w:rsid w:val="007B6295"/>
    <w:rsid w:val="007B62AC"/>
    <w:rsid w:val="007B6749"/>
    <w:rsid w:val="007B6947"/>
    <w:rsid w:val="007B6C68"/>
    <w:rsid w:val="007B6F11"/>
    <w:rsid w:val="007C048C"/>
    <w:rsid w:val="007C0541"/>
    <w:rsid w:val="007C39DB"/>
    <w:rsid w:val="007C3AA7"/>
    <w:rsid w:val="007C3FB3"/>
    <w:rsid w:val="007C4C88"/>
    <w:rsid w:val="007C4F1B"/>
    <w:rsid w:val="007C4FCB"/>
    <w:rsid w:val="007C565B"/>
    <w:rsid w:val="007C574C"/>
    <w:rsid w:val="007C5C90"/>
    <w:rsid w:val="007C6443"/>
    <w:rsid w:val="007D0A2C"/>
    <w:rsid w:val="007D12D7"/>
    <w:rsid w:val="007D12FA"/>
    <w:rsid w:val="007D13ED"/>
    <w:rsid w:val="007D2C70"/>
    <w:rsid w:val="007D2E75"/>
    <w:rsid w:val="007D31CA"/>
    <w:rsid w:val="007D3D33"/>
    <w:rsid w:val="007D414F"/>
    <w:rsid w:val="007D429B"/>
    <w:rsid w:val="007D531F"/>
    <w:rsid w:val="007D61A7"/>
    <w:rsid w:val="007D68C7"/>
    <w:rsid w:val="007D78C8"/>
    <w:rsid w:val="007D7CC1"/>
    <w:rsid w:val="007D7F40"/>
    <w:rsid w:val="007E18EE"/>
    <w:rsid w:val="007E1B96"/>
    <w:rsid w:val="007E1FB5"/>
    <w:rsid w:val="007E2177"/>
    <w:rsid w:val="007E2DEE"/>
    <w:rsid w:val="007E312C"/>
    <w:rsid w:val="007E34BE"/>
    <w:rsid w:val="007E477D"/>
    <w:rsid w:val="007E4C59"/>
    <w:rsid w:val="007E5823"/>
    <w:rsid w:val="007E5F95"/>
    <w:rsid w:val="007E6105"/>
    <w:rsid w:val="007E7242"/>
    <w:rsid w:val="007E736B"/>
    <w:rsid w:val="007E74B6"/>
    <w:rsid w:val="007F10F8"/>
    <w:rsid w:val="007F1465"/>
    <w:rsid w:val="007F15D0"/>
    <w:rsid w:val="007F1868"/>
    <w:rsid w:val="007F1DA6"/>
    <w:rsid w:val="007F1DDD"/>
    <w:rsid w:val="007F1DEE"/>
    <w:rsid w:val="007F2827"/>
    <w:rsid w:val="007F2FB4"/>
    <w:rsid w:val="007F3242"/>
    <w:rsid w:val="007F3395"/>
    <w:rsid w:val="007F3707"/>
    <w:rsid w:val="007F45E3"/>
    <w:rsid w:val="007F45EF"/>
    <w:rsid w:val="007F4E1C"/>
    <w:rsid w:val="007F4E26"/>
    <w:rsid w:val="007F5434"/>
    <w:rsid w:val="007F7B1D"/>
    <w:rsid w:val="007F7F5C"/>
    <w:rsid w:val="00800609"/>
    <w:rsid w:val="00801417"/>
    <w:rsid w:val="00801B9F"/>
    <w:rsid w:val="0080204D"/>
    <w:rsid w:val="00802D2F"/>
    <w:rsid w:val="008044A6"/>
    <w:rsid w:val="008048DB"/>
    <w:rsid w:val="00804D27"/>
    <w:rsid w:val="008050EE"/>
    <w:rsid w:val="00805640"/>
    <w:rsid w:val="008056CC"/>
    <w:rsid w:val="00805B9A"/>
    <w:rsid w:val="00805B9C"/>
    <w:rsid w:val="00805DB7"/>
    <w:rsid w:val="00806836"/>
    <w:rsid w:val="00806B57"/>
    <w:rsid w:val="00807101"/>
    <w:rsid w:val="00810A84"/>
    <w:rsid w:val="00810F52"/>
    <w:rsid w:val="00810FE5"/>
    <w:rsid w:val="0081127D"/>
    <w:rsid w:val="00811D8C"/>
    <w:rsid w:val="00812932"/>
    <w:rsid w:val="008132AB"/>
    <w:rsid w:val="008135AD"/>
    <w:rsid w:val="00813857"/>
    <w:rsid w:val="0081399B"/>
    <w:rsid w:val="00813B27"/>
    <w:rsid w:val="00815653"/>
    <w:rsid w:val="00815A9B"/>
    <w:rsid w:val="00815ADB"/>
    <w:rsid w:val="008164D9"/>
    <w:rsid w:val="0081659F"/>
    <w:rsid w:val="008165E3"/>
    <w:rsid w:val="00820AF5"/>
    <w:rsid w:val="00821390"/>
    <w:rsid w:val="008218D5"/>
    <w:rsid w:val="008226A4"/>
    <w:rsid w:val="00822A1B"/>
    <w:rsid w:val="00823ECB"/>
    <w:rsid w:val="00824224"/>
    <w:rsid w:val="008249A3"/>
    <w:rsid w:val="00824D18"/>
    <w:rsid w:val="00825928"/>
    <w:rsid w:val="00825BCF"/>
    <w:rsid w:val="00826641"/>
    <w:rsid w:val="00826652"/>
    <w:rsid w:val="00826CEE"/>
    <w:rsid w:val="0083052F"/>
    <w:rsid w:val="00830F31"/>
    <w:rsid w:val="00831221"/>
    <w:rsid w:val="0083139E"/>
    <w:rsid w:val="008317D0"/>
    <w:rsid w:val="00831A67"/>
    <w:rsid w:val="00831EAB"/>
    <w:rsid w:val="0083254D"/>
    <w:rsid w:val="00832DBD"/>
    <w:rsid w:val="008339FF"/>
    <w:rsid w:val="00833C41"/>
    <w:rsid w:val="00833E77"/>
    <w:rsid w:val="00833F41"/>
    <w:rsid w:val="00834C0A"/>
    <w:rsid w:val="008354EA"/>
    <w:rsid w:val="008356EF"/>
    <w:rsid w:val="008359C9"/>
    <w:rsid w:val="00836D97"/>
    <w:rsid w:val="0083739E"/>
    <w:rsid w:val="0083768F"/>
    <w:rsid w:val="00837C57"/>
    <w:rsid w:val="008412A2"/>
    <w:rsid w:val="008417A1"/>
    <w:rsid w:val="0084233F"/>
    <w:rsid w:val="00843040"/>
    <w:rsid w:val="00843541"/>
    <w:rsid w:val="0084377D"/>
    <w:rsid w:val="00845151"/>
    <w:rsid w:val="00845FBC"/>
    <w:rsid w:val="0084601F"/>
    <w:rsid w:val="0084612D"/>
    <w:rsid w:val="0084677D"/>
    <w:rsid w:val="008475F0"/>
    <w:rsid w:val="0084772C"/>
    <w:rsid w:val="00847C0A"/>
    <w:rsid w:val="00847DAB"/>
    <w:rsid w:val="008509E0"/>
    <w:rsid w:val="00850EF3"/>
    <w:rsid w:val="00851C8E"/>
    <w:rsid w:val="008522F2"/>
    <w:rsid w:val="0085254B"/>
    <w:rsid w:val="008528E2"/>
    <w:rsid w:val="00852A78"/>
    <w:rsid w:val="00852D6A"/>
    <w:rsid w:val="00853FF2"/>
    <w:rsid w:val="008540B8"/>
    <w:rsid w:val="008557A7"/>
    <w:rsid w:val="00856873"/>
    <w:rsid w:val="00856CAD"/>
    <w:rsid w:val="008570AE"/>
    <w:rsid w:val="00857279"/>
    <w:rsid w:val="0085737B"/>
    <w:rsid w:val="008574B6"/>
    <w:rsid w:val="0085788B"/>
    <w:rsid w:val="00860A4D"/>
    <w:rsid w:val="00860E73"/>
    <w:rsid w:val="00861A89"/>
    <w:rsid w:val="008638A2"/>
    <w:rsid w:val="00863A86"/>
    <w:rsid w:val="00864657"/>
    <w:rsid w:val="008646E3"/>
    <w:rsid w:val="00864BA2"/>
    <w:rsid w:val="00865528"/>
    <w:rsid w:val="00866B55"/>
    <w:rsid w:val="00867466"/>
    <w:rsid w:val="0087031D"/>
    <w:rsid w:val="00870928"/>
    <w:rsid w:val="00871243"/>
    <w:rsid w:val="008714C5"/>
    <w:rsid w:val="008717E1"/>
    <w:rsid w:val="00871E1F"/>
    <w:rsid w:val="00871E3A"/>
    <w:rsid w:val="00872391"/>
    <w:rsid w:val="00872773"/>
    <w:rsid w:val="00872B07"/>
    <w:rsid w:val="00872DAE"/>
    <w:rsid w:val="00873F19"/>
    <w:rsid w:val="008740BA"/>
    <w:rsid w:val="008752F1"/>
    <w:rsid w:val="008754CC"/>
    <w:rsid w:val="008757F4"/>
    <w:rsid w:val="00875ABD"/>
    <w:rsid w:val="00875D0C"/>
    <w:rsid w:val="00876052"/>
    <w:rsid w:val="00877728"/>
    <w:rsid w:val="00880DB0"/>
    <w:rsid w:val="00881E5F"/>
    <w:rsid w:val="00882266"/>
    <w:rsid w:val="0088233C"/>
    <w:rsid w:val="0088339E"/>
    <w:rsid w:val="00883409"/>
    <w:rsid w:val="0088399A"/>
    <w:rsid w:val="00883A58"/>
    <w:rsid w:val="00883BAC"/>
    <w:rsid w:val="00884127"/>
    <w:rsid w:val="008841D1"/>
    <w:rsid w:val="008842DD"/>
    <w:rsid w:val="00884783"/>
    <w:rsid w:val="008850DA"/>
    <w:rsid w:val="008853B9"/>
    <w:rsid w:val="00885803"/>
    <w:rsid w:val="00885943"/>
    <w:rsid w:val="00885A62"/>
    <w:rsid w:val="00886F89"/>
    <w:rsid w:val="008879ED"/>
    <w:rsid w:val="00887A9F"/>
    <w:rsid w:val="00890B08"/>
    <w:rsid w:val="008913BB"/>
    <w:rsid w:val="008916ED"/>
    <w:rsid w:val="00891A5A"/>
    <w:rsid w:val="00891A8C"/>
    <w:rsid w:val="00891EF1"/>
    <w:rsid w:val="0089270C"/>
    <w:rsid w:val="00892910"/>
    <w:rsid w:val="008929B8"/>
    <w:rsid w:val="00893285"/>
    <w:rsid w:val="008935F1"/>
    <w:rsid w:val="0089405C"/>
    <w:rsid w:val="008942BE"/>
    <w:rsid w:val="008945A3"/>
    <w:rsid w:val="0089502A"/>
    <w:rsid w:val="00895B4D"/>
    <w:rsid w:val="00895B63"/>
    <w:rsid w:val="00895C51"/>
    <w:rsid w:val="00895DF9"/>
    <w:rsid w:val="00896D07"/>
    <w:rsid w:val="00897751"/>
    <w:rsid w:val="00897AA5"/>
    <w:rsid w:val="00897F93"/>
    <w:rsid w:val="00897FA2"/>
    <w:rsid w:val="00897FBC"/>
    <w:rsid w:val="008A0587"/>
    <w:rsid w:val="008A0825"/>
    <w:rsid w:val="008A0D42"/>
    <w:rsid w:val="008A1652"/>
    <w:rsid w:val="008A25C6"/>
    <w:rsid w:val="008A2D24"/>
    <w:rsid w:val="008A3037"/>
    <w:rsid w:val="008A305E"/>
    <w:rsid w:val="008A3370"/>
    <w:rsid w:val="008A3DC3"/>
    <w:rsid w:val="008A3F49"/>
    <w:rsid w:val="008A439E"/>
    <w:rsid w:val="008A4543"/>
    <w:rsid w:val="008A4E22"/>
    <w:rsid w:val="008A5047"/>
    <w:rsid w:val="008A5AFE"/>
    <w:rsid w:val="008A5BB2"/>
    <w:rsid w:val="008A61F5"/>
    <w:rsid w:val="008A6518"/>
    <w:rsid w:val="008A66E5"/>
    <w:rsid w:val="008A6B9A"/>
    <w:rsid w:val="008A6E4C"/>
    <w:rsid w:val="008A71FB"/>
    <w:rsid w:val="008A720B"/>
    <w:rsid w:val="008B0BE0"/>
    <w:rsid w:val="008B1449"/>
    <w:rsid w:val="008B1E80"/>
    <w:rsid w:val="008B2494"/>
    <w:rsid w:val="008B2965"/>
    <w:rsid w:val="008B2D66"/>
    <w:rsid w:val="008B3FAA"/>
    <w:rsid w:val="008B3FC4"/>
    <w:rsid w:val="008B3FCE"/>
    <w:rsid w:val="008B5551"/>
    <w:rsid w:val="008B5B56"/>
    <w:rsid w:val="008B5B96"/>
    <w:rsid w:val="008B5BCB"/>
    <w:rsid w:val="008B66A1"/>
    <w:rsid w:val="008B7B73"/>
    <w:rsid w:val="008C0470"/>
    <w:rsid w:val="008C2018"/>
    <w:rsid w:val="008C3FEB"/>
    <w:rsid w:val="008C50DD"/>
    <w:rsid w:val="008C5176"/>
    <w:rsid w:val="008C5387"/>
    <w:rsid w:val="008C5A0E"/>
    <w:rsid w:val="008C618F"/>
    <w:rsid w:val="008C6E1E"/>
    <w:rsid w:val="008C6EF3"/>
    <w:rsid w:val="008C74E9"/>
    <w:rsid w:val="008C79DC"/>
    <w:rsid w:val="008D0681"/>
    <w:rsid w:val="008D09DE"/>
    <w:rsid w:val="008D0C70"/>
    <w:rsid w:val="008D0DC0"/>
    <w:rsid w:val="008D1DB7"/>
    <w:rsid w:val="008D29D9"/>
    <w:rsid w:val="008D3E42"/>
    <w:rsid w:val="008D4216"/>
    <w:rsid w:val="008D72C6"/>
    <w:rsid w:val="008D7BE9"/>
    <w:rsid w:val="008E02E4"/>
    <w:rsid w:val="008E0B6F"/>
    <w:rsid w:val="008E0BA0"/>
    <w:rsid w:val="008E1843"/>
    <w:rsid w:val="008E2582"/>
    <w:rsid w:val="008E3240"/>
    <w:rsid w:val="008E449F"/>
    <w:rsid w:val="008E5AA7"/>
    <w:rsid w:val="008E6405"/>
    <w:rsid w:val="008E6CA6"/>
    <w:rsid w:val="008E7E42"/>
    <w:rsid w:val="008F028A"/>
    <w:rsid w:val="008F09F6"/>
    <w:rsid w:val="008F0B02"/>
    <w:rsid w:val="008F1219"/>
    <w:rsid w:val="008F1740"/>
    <w:rsid w:val="008F1E16"/>
    <w:rsid w:val="008F2343"/>
    <w:rsid w:val="008F288D"/>
    <w:rsid w:val="008F30D5"/>
    <w:rsid w:val="008F3FD1"/>
    <w:rsid w:val="008F4BB7"/>
    <w:rsid w:val="008F514B"/>
    <w:rsid w:val="008F5711"/>
    <w:rsid w:val="008F6158"/>
    <w:rsid w:val="008F699B"/>
    <w:rsid w:val="008F71A6"/>
    <w:rsid w:val="008F7A10"/>
    <w:rsid w:val="008F7B27"/>
    <w:rsid w:val="008F7D18"/>
    <w:rsid w:val="008F7DE9"/>
    <w:rsid w:val="008F7E8E"/>
    <w:rsid w:val="009008DD"/>
    <w:rsid w:val="00901937"/>
    <w:rsid w:val="00901A7C"/>
    <w:rsid w:val="00902F90"/>
    <w:rsid w:val="00905B72"/>
    <w:rsid w:val="009060CC"/>
    <w:rsid w:val="00906997"/>
    <w:rsid w:val="00906CE1"/>
    <w:rsid w:val="00906F23"/>
    <w:rsid w:val="009100C9"/>
    <w:rsid w:val="0091027D"/>
    <w:rsid w:val="00910534"/>
    <w:rsid w:val="0091055F"/>
    <w:rsid w:val="00910940"/>
    <w:rsid w:val="00911414"/>
    <w:rsid w:val="00912CD8"/>
    <w:rsid w:val="0091341B"/>
    <w:rsid w:val="0091364A"/>
    <w:rsid w:val="00914176"/>
    <w:rsid w:val="009149AF"/>
    <w:rsid w:val="00914AAE"/>
    <w:rsid w:val="0091610D"/>
    <w:rsid w:val="00920747"/>
    <w:rsid w:val="00921409"/>
    <w:rsid w:val="00921C01"/>
    <w:rsid w:val="0092232D"/>
    <w:rsid w:val="00922831"/>
    <w:rsid w:val="00922E0E"/>
    <w:rsid w:val="009238AC"/>
    <w:rsid w:val="00924075"/>
    <w:rsid w:val="00924833"/>
    <w:rsid w:val="00924B81"/>
    <w:rsid w:val="00925B85"/>
    <w:rsid w:val="00925E9C"/>
    <w:rsid w:val="00926513"/>
    <w:rsid w:val="00926966"/>
    <w:rsid w:val="0092738F"/>
    <w:rsid w:val="00927F88"/>
    <w:rsid w:val="00930B8F"/>
    <w:rsid w:val="00931438"/>
    <w:rsid w:val="00931541"/>
    <w:rsid w:val="00931D20"/>
    <w:rsid w:val="00934927"/>
    <w:rsid w:val="00934CED"/>
    <w:rsid w:val="00935A23"/>
    <w:rsid w:val="009372AC"/>
    <w:rsid w:val="00940875"/>
    <w:rsid w:val="009409AE"/>
    <w:rsid w:val="009412D3"/>
    <w:rsid w:val="009424C9"/>
    <w:rsid w:val="00942C02"/>
    <w:rsid w:val="00942D44"/>
    <w:rsid w:val="009434D3"/>
    <w:rsid w:val="009435D6"/>
    <w:rsid w:val="00943730"/>
    <w:rsid w:val="009438EA"/>
    <w:rsid w:val="00944986"/>
    <w:rsid w:val="00945131"/>
    <w:rsid w:val="009469B9"/>
    <w:rsid w:val="00950652"/>
    <w:rsid w:val="00950A44"/>
    <w:rsid w:val="00950EA0"/>
    <w:rsid w:val="009520C1"/>
    <w:rsid w:val="00952D4B"/>
    <w:rsid w:val="00954145"/>
    <w:rsid w:val="00954A1F"/>
    <w:rsid w:val="00954F66"/>
    <w:rsid w:val="00955388"/>
    <w:rsid w:val="009553BD"/>
    <w:rsid w:val="00955C79"/>
    <w:rsid w:val="009570C9"/>
    <w:rsid w:val="00960403"/>
    <w:rsid w:val="00960914"/>
    <w:rsid w:val="00960A4B"/>
    <w:rsid w:val="00960C75"/>
    <w:rsid w:val="00960E68"/>
    <w:rsid w:val="009613A6"/>
    <w:rsid w:val="00961856"/>
    <w:rsid w:val="00961E72"/>
    <w:rsid w:val="00962086"/>
    <w:rsid w:val="00963B4B"/>
    <w:rsid w:val="00964BFF"/>
    <w:rsid w:val="00964CDE"/>
    <w:rsid w:val="00965459"/>
    <w:rsid w:val="00965506"/>
    <w:rsid w:val="00966683"/>
    <w:rsid w:val="00966D4F"/>
    <w:rsid w:val="00966D66"/>
    <w:rsid w:val="009678FD"/>
    <w:rsid w:val="00967E42"/>
    <w:rsid w:val="009705E9"/>
    <w:rsid w:val="00971EDE"/>
    <w:rsid w:val="00973828"/>
    <w:rsid w:val="009742BF"/>
    <w:rsid w:val="009743CF"/>
    <w:rsid w:val="009755A3"/>
    <w:rsid w:val="00975611"/>
    <w:rsid w:val="00975821"/>
    <w:rsid w:val="00975C8C"/>
    <w:rsid w:val="00975CA5"/>
    <w:rsid w:val="009762B4"/>
    <w:rsid w:val="009763A6"/>
    <w:rsid w:val="00976F13"/>
    <w:rsid w:val="00977A11"/>
    <w:rsid w:val="00980888"/>
    <w:rsid w:val="009808A1"/>
    <w:rsid w:val="00981CB7"/>
    <w:rsid w:val="00983AED"/>
    <w:rsid w:val="00983C1F"/>
    <w:rsid w:val="00985E93"/>
    <w:rsid w:val="0098607E"/>
    <w:rsid w:val="00986225"/>
    <w:rsid w:val="00986590"/>
    <w:rsid w:val="009868CC"/>
    <w:rsid w:val="009871BA"/>
    <w:rsid w:val="0099019F"/>
    <w:rsid w:val="00990A4E"/>
    <w:rsid w:val="00990D2A"/>
    <w:rsid w:val="00990F78"/>
    <w:rsid w:val="009910FE"/>
    <w:rsid w:val="00991152"/>
    <w:rsid w:val="00991497"/>
    <w:rsid w:val="009914CC"/>
    <w:rsid w:val="00991DD4"/>
    <w:rsid w:val="00991E53"/>
    <w:rsid w:val="00992813"/>
    <w:rsid w:val="00992C76"/>
    <w:rsid w:val="00992F30"/>
    <w:rsid w:val="00993785"/>
    <w:rsid w:val="00993E88"/>
    <w:rsid w:val="0099441E"/>
    <w:rsid w:val="00995288"/>
    <w:rsid w:val="00995A26"/>
    <w:rsid w:val="00995D4A"/>
    <w:rsid w:val="009969D6"/>
    <w:rsid w:val="00996C6D"/>
    <w:rsid w:val="00996E40"/>
    <w:rsid w:val="00997494"/>
    <w:rsid w:val="009A016A"/>
    <w:rsid w:val="009A0B6A"/>
    <w:rsid w:val="009A15B6"/>
    <w:rsid w:val="009A187A"/>
    <w:rsid w:val="009A2470"/>
    <w:rsid w:val="009A2AFE"/>
    <w:rsid w:val="009A3582"/>
    <w:rsid w:val="009A39BD"/>
    <w:rsid w:val="009A3B65"/>
    <w:rsid w:val="009A3C3A"/>
    <w:rsid w:val="009A3D2D"/>
    <w:rsid w:val="009A3DD2"/>
    <w:rsid w:val="009A4587"/>
    <w:rsid w:val="009A47BA"/>
    <w:rsid w:val="009A5067"/>
    <w:rsid w:val="009A58C6"/>
    <w:rsid w:val="009B0280"/>
    <w:rsid w:val="009B11B5"/>
    <w:rsid w:val="009B1435"/>
    <w:rsid w:val="009B1602"/>
    <w:rsid w:val="009B170C"/>
    <w:rsid w:val="009B25EE"/>
    <w:rsid w:val="009B2EE8"/>
    <w:rsid w:val="009B3B8E"/>
    <w:rsid w:val="009B48FB"/>
    <w:rsid w:val="009B4D3B"/>
    <w:rsid w:val="009B5025"/>
    <w:rsid w:val="009B5725"/>
    <w:rsid w:val="009B5A27"/>
    <w:rsid w:val="009B6281"/>
    <w:rsid w:val="009B6E6B"/>
    <w:rsid w:val="009B7942"/>
    <w:rsid w:val="009B794F"/>
    <w:rsid w:val="009B7D8D"/>
    <w:rsid w:val="009C11A8"/>
    <w:rsid w:val="009C1467"/>
    <w:rsid w:val="009C1693"/>
    <w:rsid w:val="009C1821"/>
    <w:rsid w:val="009C1E9F"/>
    <w:rsid w:val="009C2358"/>
    <w:rsid w:val="009C268D"/>
    <w:rsid w:val="009C2E6F"/>
    <w:rsid w:val="009C3AFD"/>
    <w:rsid w:val="009C5410"/>
    <w:rsid w:val="009C596B"/>
    <w:rsid w:val="009C5C73"/>
    <w:rsid w:val="009C6357"/>
    <w:rsid w:val="009C689D"/>
    <w:rsid w:val="009C6992"/>
    <w:rsid w:val="009C6E16"/>
    <w:rsid w:val="009C7192"/>
    <w:rsid w:val="009C7884"/>
    <w:rsid w:val="009C78A3"/>
    <w:rsid w:val="009C7C32"/>
    <w:rsid w:val="009D088E"/>
    <w:rsid w:val="009D0D76"/>
    <w:rsid w:val="009D0E8D"/>
    <w:rsid w:val="009D111C"/>
    <w:rsid w:val="009D11E6"/>
    <w:rsid w:val="009D1611"/>
    <w:rsid w:val="009D1B98"/>
    <w:rsid w:val="009D1D69"/>
    <w:rsid w:val="009D1F50"/>
    <w:rsid w:val="009D2245"/>
    <w:rsid w:val="009D2F33"/>
    <w:rsid w:val="009D3551"/>
    <w:rsid w:val="009D4551"/>
    <w:rsid w:val="009D4B9C"/>
    <w:rsid w:val="009D4C62"/>
    <w:rsid w:val="009D53E2"/>
    <w:rsid w:val="009D63A3"/>
    <w:rsid w:val="009D63FC"/>
    <w:rsid w:val="009D64A2"/>
    <w:rsid w:val="009D6691"/>
    <w:rsid w:val="009D6FA6"/>
    <w:rsid w:val="009D7154"/>
    <w:rsid w:val="009D7407"/>
    <w:rsid w:val="009D77F8"/>
    <w:rsid w:val="009E00F3"/>
    <w:rsid w:val="009E0866"/>
    <w:rsid w:val="009E1746"/>
    <w:rsid w:val="009E219E"/>
    <w:rsid w:val="009E24E3"/>
    <w:rsid w:val="009E2525"/>
    <w:rsid w:val="009E273C"/>
    <w:rsid w:val="009E3778"/>
    <w:rsid w:val="009E4410"/>
    <w:rsid w:val="009E4A99"/>
    <w:rsid w:val="009E5B8D"/>
    <w:rsid w:val="009E6190"/>
    <w:rsid w:val="009F00BB"/>
    <w:rsid w:val="009F0F0D"/>
    <w:rsid w:val="009F0FCA"/>
    <w:rsid w:val="009F1350"/>
    <w:rsid w:val="009F13A3"/>
    <w:rsid w:val="009F15E6"/>
    <w:rsid w:val="009F2379"/>
    <w:rsid w:val="009F2508"/>
    <w:rsid w:val="009F37A2"/>
    <w:rsid w:val="009F4060"/>
    <w:rsid w:val="009F494B"/>
    <w:rsid w:val="009F4B56"/>
    <w:rsid w:val="009F4C21"/>
    <w:rsid w:val="009F4F6D"/>
    <w:rsid w:val="009F5854"/>
    <w:rsid w:val="009F6286"/>
    <w:rsid w:val="009F6423"/>
    <w:rsid w:val="009F6A44"/>
    <w:rsid w:val="009F6FA4"/>
    <w:rsid w:val="009F76ED"/>
    <w:rsid w:val="009F7D6B"/>
    <w:rsid w:val="00A00FC8"/>
    <w:rsid w:val="00A01158"/>
    <w:rsid w:val="00A01BB3"/>
    <w:rsid w:val="00A02589"/>
    <w:rsid w:val="00A03AC6"/>
    <w:rsid w:val="00A0491E"/>
    <w:rsid w:val="00A06FFC"/>
    <w:rsid w:val="00A07161"/>
    <w:rsid w:val="00A0728F"/>
    <w:rsid w:val="00A07A84"/>
    <w:rsid w:val="00A110B2"/>
    <w:rsid w:val="00A112FE"/>
    <w:rsid w:val="00A11887"/>
    <w:rsid w:val="00A12580"/>
    <w:rsid w:val="00A13380"/>
    <w:rsid w:val="00A13CF1"/>
    <w:rsid w:val="00A14155"/>
    <w:rsid w:val="00A15525"/>
    <w:rsid w:val="00A15784"/>
    <w:rsid w:val="00A15D94"/>
    <w:rsid w:val="00A17595"/>
    <w:rsid w:val="00A175B3"/>
    <w:rsid w:val="00A179CD"/>
    <w:rsid w:val="00A20E68"/>
    <w:rsid w:val="00A221BA"/>
    <w:rsid w:val="00A232C9"/>
    <w:rsid w:val="00A2339E"/>
    <w:rsid w:val="00A23409"/>
    <w:rsid w:val="00A2343D"/>
    <w:rsid w:val="00A234B7"/>
    <w:rsid w:val="00A23E2F"/>
    <w:rsid w:val="00A23EB9"/>
    <w:rsid w:val="00A24A62"/>
    <w:rsid w:val="00A24AF1"/>
    <w:rsid w:val="00A24BA1"/>
    <w:rsid w:val="00A24DA8"/>
    <w:rsid w:val="00A25088"/>
    <w:rsid w:val="00A26C8E"/>
    <w:rsid w:val="00A26DEC"/>
    <w:rsid w:val="00A2725D"/>
    <w:rsid w:val="00A27380"/>
    <w:rsid w:val="00A27BD5"/>
    <w:rsid w:val="00A27FF1"/>
    <w:rsid w:val="00A316C0"/>
    <w:rsid w:val="00A3176C"/>
    <w:rsid w:val="00A31A5A"/>
    <w:rsid w:val="00A31C2F"/>
    <w:rsid w:val="00A31C9F"/>
    <w:rsid w:val="00A32858"/>
    <w:rsid w:val="00A3285A"/>
    <w:rsid w:val="00A32A49"/>
    <w:rsid w:val="00A344A8"/>
    <w:rsid w:val="00A3486C"/>
    <w:rsid w:val="00A34B57"/>
    <w:rsid w:val="00A355D9"/>
    <w:rsid w:val="00A35699"/>
    <w:rsid w:val="00A36763"/>
    <w:rsid w:val="00A37823"/>
    <w:rsid w:val="00A37A1C"/>
    <w:rsid w:val="00A400FA"/>
    <w:rsid w:val="00A4144F"/>
    <w:rsid w:val="00A41FDD"/>
    <w:rsid w:val="00A420C8"/>
    <w:rsid w:val="00A42137"/>
    <w:rsid w:val="00A423DB"/>
    <w:rsid w:val="00A4366C"/>
    <w:rsid w:val="00A4394C"/>
    <w:rsid w:val="00A4438E"/>
    <w:rsid w:val="00A444DB"/>
    <w:rsid w:val="00A4478A"/>
    <w:rsid w:val="00A44AC1"/>
    <w:rsid w:val="00A44D17"/>
    <w:rsid w:val="00A44E3D"/>
    <w:rsid w:val="00A46641"/>
    <w:rsid w:val="00A46E83"/>
    <w:rsid w:val="00A47522"/>
    <w:rsid w:val="00A503D0"/>
    <w:rsid w:val="00A50A9E"/>
    <w:rsid w:val="00A50AED"/>
    <w:rsid w:val="00A50EA5"/>
    <w:rsid w:val="00A50FCF"/>
    <w:rsid w:val="00A5100A"/>
    <w:rsid w:val="00A51D63"/>
    <w:rsid w:val="00A51E15"/>
    <w:rsid w:val="00A52FA8"/>
    <w:rsid w:val="00A53A4D"/>
    <w:rsid w:val="00A53C72"/>
    <w:rsid w:val="00A53F53"/>
    <w:rsid w:val="00A54BF7"/>
    <w:rsid w:val="00A54C6C"/>
    <w:rsid w:val="00A55451"/>
    <w:rsid w:val="00A55B64"/>
    <w:rsid w:val="00A55BF5"/>
    <w:rsid w:val="00A56414"/>
    <w:rsid w:val="00A56973"/>
    <w:rsid w:val="00A577EC"/>
    <w:rsid w:val="00A607C8"/>
    <w:rsid w:val="00A60F27"/>
    <w:rsid w:val="00A6135F"/>
    <w:rsid w:val="00A61395"/>
    <w:rsid w:val="00A615D5"/>
    <w:rsid w:val="00A619B2"/>
    <w:rsid w:val="00A61B4D"/>
    <w:rsid w:val="00A6254C"/>
    <w:rsid w:val="00A63079"/>
    <w:rsid w:val="00A631CA"/>
    <w:rsid w:val="00A633D0"/>
    <w:rsid w:val="00A64085"/>
    <w:rsid w:val="00A645EA"/>
    <w:rsid w:val="00A64A42"/>
    <w:rsid w:val="00A64FBA"/>
    <w:rsid w:val="00A651EE"/>
    <w:rsid w:val="00A657DC"/>
    <w:rsid w:val="00A65BF4"/>
    <w:rsid w:val="00A6647A"/>
    <w:rsid w:val="00A66F21"/>
    <w:rsid w:val="00A674A3"/>
    <w:rsid w:val="00A702BF"/>
    <w:rsid w:val="00A757CC"/>
    <w:rsid w:val="00A7582C"/>
    <w:rsid w:val="00A760B2"/>
    <w:rsid w:val="00A76E17"/>
    <w:rsid w:val="00A77ADF"/>
    <w:rsid w:val="00A80586"/>
    <w:rsid w:val="00A80F95"/>
    <w:rsid w:val="00A822F6"/>
    <w:rsid w:val="00A842E0"/>
    <w:rsid w:val="00A8471A"/>
    <w:rsid w:val="00A85603"/>
    <w:rsid w:val="00A85663"/>
    <w:rsid w:val="00A85A3B"/>
    <w:rsid w:val="00A86335"/>
    <w:rsid w:val="00A86DE6"/>
    <w:rsid w:val="00A87743"/>
    <w:rsid w:val="00A90086"/>
    <w:rsid w:val="00A90403"/>
    <w:rsid w:val="00A90703"/>
    <w:rsid w:val="00A91795"/>
    <w:rsid w:val="00A920DF"/>
    <w:rsid w:val="00A924E3"/>
    <w:rsid w:val="00A92671"/>
    <w:rsid w:val="00A92B05"/>
    <w:rsid w:val="00A92B7C"/>
    <w:rsid w:val="00A92DB1"/>
    <w:rsid w:val="00A93150"/>
    <w:rsid w:val="00A93500"/>
    <w:rsid w:val="00A936AB"/>
    <w:rsid w:val="00A93F96"/>
    <w:rsid w:val="00A94B1C"/>
    <w:rsid w:val="00A95022"/>
    <w:rsid w:val="00A95811"/>
    <w:rsid w:val="00A96692"/>
    <w:rsid w:val="00A97355"/>
    <w:rsid w:val="00A97BF1"/>
    <w:rsid w:val="00AA01AA"/>
    <w:rsid w:val="00AA0547"/>
    <w:rsid w:val="00AA0DAC"/>
    <w:rsid w:val="00AA13F2"/>
    <w:rsid w:val="00AA1F83"/>
    <w:rsid w:val="00AA200E"/>
    <w:rsid w:val="00AA2068"/>
    <w:rsid w:val="00AA23BB"/>
    <w:rsid w:val="00AA2581"/>
    <w:rsid w:val="00AA2965"/>
    <w:rsid w:val="00AA298A"/>
    <w:rsid w:val="00AA2A37"/>
    <w:rsid w:val="00AA2DF3"/>
    <w:rsid w:val="00AA315B"/>
    <w:rsid w:val="00AA3BC8"/>
    <w:rsid w:val="00AA4B1E"/>
    <w:rsid w:val="00AA4D4F"/>
    <w:rsid w:val="00AA7614"/>
    <w:rsid w:val="00AA7F5D"/>
    <w:rsid w:val="00AB0724"/>
    <w:rsid w:val="00AB0948"/>
    <w:rsid w:val="00AB10FC"/>
    <w:rsid w:val="00AB48A9"/>
    <w:rsid w:val="00AB5180"/>
    <w:rsid w:val="00AB7567"/>
    <w:rsid w:val="00AB773B"/>
    <w:rsid w:val="00AB7962"/>
    <w:rsid w:val="00AB7F70"/>
    <w:rsid w:val="00AB7FEC"/>
    <w:rsid w:val="00AC164A"/>
    <w:rsid w:val="00AC16AD"/>
    <w:rsid w:val="00AC2E6C"/>
    <w:rsid w:val="00AC2E82"/>
    <w:rsid w:val="00AC45D8"/>
    <w:rsid w:val="00AC7396"/>
    <w:rsid w:val="00AC7B34"/>
    <w:rsid w:val="00AD029C"/>
    <w:rsid w:val="00AD048A"/>
    <w:rsid w:val="00AD0683"/>
    <w:rsid w:val="00AD0A00"/>
    <w:rsid w:val="00AD11B2"/>
    <w:rsid w:val="00AD14D3"/>
    <w:rsid w:val="00AD156A"/>
    <w:rsid w:val="00AD1B12"/>
    <w:rsid w:val="00AD27DA"/>
    <w:rsid w:val="00AD28CC"/>
    <w:rsid w:val="00AD2AA5"/>
    <w:rsid w:val="00AD2AC8"/>
    <w:rsid w:val="00AD3692"/>
    <w:rsid w:val="00AD40B7"/>
    <w:rsid w:val="00AD473F"/>
    <w:rsid w:val="00AD574B"/>
    <w:rsid w:val="00AD5F3F"/>
    <w:rsid w:val="00AD6261"/>
    <w:rsid w:val="00AD6C4C"/>
    <w:rsid w:val="00AD72A5"/>
    <w:rsid w:val="00AE0C35"/>
    <w:rsid w:val="00AE2290"/>
    <w:rsid w:val="00AE3A80"/>
    <w:rsid w:val="00AE3FC8"/>
    <w:rsid w:val="00AE4323"/>
    <w:rsid w:val="00AE448A"/>
    <w:rsid w:val="00AE4BA9"/>
    <w:rsid w:val="00AE4BB5"/>
    <w:rsid w:val="00AE509E"/>
    <w:rsid w:val="00AE50ED"/>
    <w:rsid w:val="00AE5228"/>
    <w:rsid w:val="00AE6FD1"/>
    <w:rsid w:val="00AF0A4C"/>
    <w:rsid w:val="00AF0F9C"/>
    <w:rsid w:val="00AF2050"/>
    <w:rsid w:val="00AF2E4D"/>
    <w:rsid w:val="00AF34E7"/>
    <w:rsid w:val="00AF374C"/>
    <w:rsid w:val="00AF3E95"/>
    <w:rsid w:val="00AF50E2"/>
    <w:rsid w:val="00AF52CC"/>
    <w:rsid w:val="00AF587F"/>
    <w:rsid w:val="00AF602D"/>
    <w:rsid w:val="00AF6885"/>
    <w:rsid w:val="00AF72BE"/>
    <w:rsid w:val="00AF72D9"/>
    <w:rsid w:val="00AF7FC0"/>
    <w:rsid w:val="00B00B07"/>
    <w:rsid w:val="00B00D39"/>
    <w:rsid w:val="00B00E78"/>
    <w:rsid w:val="00B014AB"/>
    <w:rsid w:val="00B01FA9"/>
    <w:rsid w:val="00B03CA8"/>
    <w:rsid w:val="00B03E9D"/>
    <w:rsid w:val="00B055CD"/>
    <w:rsid w:val="00B0794A"/>
    <w:rsid w:val="00B07D01"/>
    <w:rsid w:val="00B11765"/>
    <w:rsid w:val="00B1187E"/>
    <w:rsid w:val="00B12244"/>
    <w:rsid w:val="00B13056"/>
    <w:rsid w:val="00B13A13"/>
    <w:rsid w:val="00B142AE"/>
    <w:rsid w:val="00B14DEE"/>
    <w:rsid w:val="00B14EA1"/>
    <w:rsid w:val="00B153E0"/>
    <w:rsid w:val="00B1569B"/>
    <w:rsid w:val="00B164FC"/>
    <w:rsid w:val="00B170C5"/>
    <w:rsid w:val="00B17C7A"/>
    <w:rsid w:val="00B17C95"/>
    <w:rsid w:val="00B20339"/>
    <w:rsid w:val="00B20C8D"/>
    <w:rsid w:val="00B20EFE"/>
    <w:rsid w:val="00B213D1"/>
    <w:rsid w:val="00B22583"/>
    <w:rsid w:val="00B22BF3"/>
    <w:rsid w:val="00B238B4"/>
    <w:rsid w:val="00B23A65"/>
    <w:rsid w:val="00B23C60"/>
    <w:rsid w:val="00B241B9"/>
    <w:rsid w:val="00B24A26"/>
    <w:rsid w:val="00B24CF2"/>
    <w:rsid w:val="00B25737"/>
    <w:rsid w:val="00B2762A"/>
    <w:rsid w:val="00B27928"/>
    <w:rsid w:val="00B27A14"/>
    <w:rsid w:val="00B30373"/>
    <w:rsid w:val="00B3161A"/>
    <w:rsid w:val="00B334A2"/>
    <w:rsid w:val="00B334DE"/>
    <w:rsid w:val="00B33C0A"/>
    <w:rsid w:val="00B34780"/>
    <w:rsid w:val="00B348F1"/>
    <w:rsid w:val="00B36C8A"/>
    <w:rsid w:val="00B36E59"/>
    <w:rsid w:val="00B37B28"/>
    <w:rsid w:val="00B403F6"/>
    <w:rsid w:val="00B40C1C"/>
    <w:rsid w:val="00B416F0"/>
    <w:rsid w:val="00B41E38"/>
    <w:rsid w:val="00B42A95"/>
    <w:rsid w:val="00B42E34"/>
    <w:rsid w:val="00B430BC"/>
    <w:rsid w:val="00B43210"/>
    <w:rsid w:val="00B4376C"/>
    <w:rsid w:val="00B43812"/>
    <w:rsid w:val="00B43D1A"/>
    <w:rsid w:val="00B43E18"/>
    <w:rsid w:val="00B43E6D"/>
    <w:rsid w:val="00B44BB5"/>
    <w:rsid w:val="00B44F9A"/>
    <w:rsid w:val="00B4513C"/>
    <w:rsid w:val="00B45F9E"/>
    <w:rsid w:val="00B467D3"/>
    <w:rsid w:val="00B46ABD"/>
    <w:rsid w:val="00B4723C"/>
    <w:rsid w:val="00B474E1"/>
    <w:rsid w:val="00B502FB"/>
    <w:rsid w:val="00B50DAC"/>
    <w:rsid w:val="00B5110A"/>
    <w:rsid w:val="00B51BB8"/>
    <w:rsid w:val="00B51E7E"/>
    <w:rsid w:val="00B522E9"/>
    <w:rsid w:val="00B5240C"/>
    <w:rsid w:val="00B52C4C"/>
    <w:rsid w:val="00B55E19"/>
    <w:rsid w:val="00B56122"/>
    <w:rsid w:val="00B56EF2"/>
    <w:rsid w:val="00B57258"/>
    <w:rsid w:val="00B5758B"/>
    <w:rsid w:val="00B57B5D"/>
    <w:rsid w:val="00B60212"/>
    <w:rsid w:val="00B6046E"/>
    <w:rsid w:val="00B6065D"/>
    <w:rsid w:val="00B607CC"/>
    <w:rsid w:val="00B615BA"/>
    <w:rsid w:val="00B61703"/>
    <w:rsid w:val="00B62510"/>
    <w:rsid w:val="00B6305D"/>
    <w:rsid w:val="00B64142"/>
    <w:rsid w:val="00B64631"/>
    <w:rsid w:val="00B64689"/>
    <w:rsid w:val="00B6484F"/>
    <w:rsid w:val="00B649A7"/>
    <w:rsid w:val="00B65019"/>
    <w:rsid w:val="00B66393"/>
    <w:rsid w:val="00B669AB"/>
    <w:rsid w:val="00B703DC"/>
    <w:rsid w:val="00B7068E"/>
    <w:rsid w:val="00B710DD"/>
    <w:rsid w:val="00B711FF"/>
    <w:rsid w:val="00B718B7"/>
    <w:rsid w:val="00B719A9"/>
    <w:rsid w:val="00B71D45"/>
    <w:rsid w:val="00B720F0"/>
    <w:rsid w:val="00B73423"/>
    <w:rsid w:val="00B73FC6"/>
    <w:rsid w:val="00B74BAD"/>
    <w:rsid w:val="00B75659"/>
    <w:rsid w:val="00B75D63"/>
    <w:rsid w:val="00B75F6C"/>
    <w:rsid w:val="00B7730B"/>
    <w:rsid w:val="00B77941"/>
    <w:rsid w:val="00B77B0B"/>
    <w:rsid w:val="00B77F32"/>
    <w:rsid w:val="00B80567"/>
    <w:rsid w:val="00B812CD"/>
    <w:rsid w:val="00B8227F"/>
    <w:rsid w:val="00B82930"/>
    <w:rsid w:val="00B82ECB"/>
    <w:rsid w:val="00B85267"/>
    <w:rsid w:val="00B85521"/>
    <w:rsid w:val="00B85591"/>
    <w:rsid w:val="00B85D48"/>
    <w:rsid w:val="00B8743B"/>
    <w:rsid w:val="00B91BF2"/>
    <w:rsid w:val="00B91E89"/>
    <w:rsid w:val="00B931AC"/>
    <w:rsid w:val="00B9339B"/>
    <w:rsid w:val="00B9366D"/>
    <w:rsid w:val="00B94322"/>
    <w:rsid w:val="00B943C4"/>
    <w:rsid w:val="00B94758"/>
    <w:rsid w:val="00B94B75"/>
    <w:rsid w:val="00B94DD6"/>
    <w:rsid w:val="00B94E68"/>
    <w:rsid w:val="00B9511B"/>
    <w:rsid w:val="00B95FC0"/>
    <w:rsid w:val="00B96300"/>
    <w:rsid w:val="00B971AA"/>
    <w:rsid w:val="00B97AAE"/>
    <w:rsid w:val="00BA0198"/>
    <w:rsid w:val="00BA01C4"/>
    <w:rsid w:val="00BA075B"/>
    <w:rsid w:val="00BA1295"/>
    <w:rsid w:val="00BA1DB3"/>
    <w:rsid w:val="00BA257D"/>
    <w:rsid w:val="00BA4739"/>
    <w:rsid w:val="00BA4A86"/>
    <w:rsid w:val="00BA4B6D"/>
    <w:rsid w:val="00BA4F59"/>
    <w:rsid w:val="00BA50E6"/>
    <w:rsid w:val="00BA5EF5"/>
    <w:rsid w:val="00BA6638"/>
    <w:rsid w:val="00BA7134"/>
    <w:rsid w:val="00BA7ED3"/>
    <w:rsid w:val="00BB0D57"/>
    <w:rsid w:val="00BB133D"/>
    <w:rsid w:val="00BB1456"/>
    <w:rsid w:val="00BB169F"/>
    <w:rsid w:val="00BB1B0A"/>
    <w:rsid w:val="00BB269D"/>
    <w:rsid w:val="00BB26C5"/>
    <w:rsid w:val="00BB309D"/>
    <w:rsid w:val="00BB3C2C"/>
    <w:rsid w:val="00BB5E9F"/>
    <w:rsid w:val="00BB62FB"/>
    <w:rsid w:val="00BB687C"/>
    <w:rsid w:val="00BB745F"/>
    <w:rsid w:val="00BBF7E8"/>
    <w:rsid w:val="00BC13AE"/>
    <w:rsid w:val="00BC244A"/>
    <w:rsid w:val="00BC260C"/>
    <w:rsid w:val="00BC31BD"/>
    <w:rsid w:val="00BC41C9"/>
    <w:rsid w:val="00BC45A4"/>
    <w:rsid w:val="00BC49ED"/>
    <w:rsid w:val="00BC4C39"/>
    <w:rsid w:val="00BC4F69"/>
    <w:rsid w:val="00BC521F"/>
    <w:rsid w:val="00BC56D9"/>
    <w:rsid w:val="00BC5745"/>
    <w:rsid w:val="00BC59AC"/>
    <w:rsid w:val="00BC5FE8"/>
    <w:rsid w:val="00BC60B4"/>
    <w:rsid w:val="00BC6594"/>
    <w:rsid w:val="00BC74FB"/>
    <w:rsid w:val="00BD011D"/>
    <w:rsid w:val="00BD039E"/>
    <w:rsid w:val="00BD0E66"/>
    <w:rsid w:val="00BD1F82"/>
    <w:rsid w:val="00BD2A94"/>
    <w:rsid w:val="00BD345D"/>
    <w:rsid w:val="00BD3F37"/>
    <w:rsid w:val="00BD4EFD"/>
    <w:rsid w:val="00BD5091"/>
    <w:rsid w:val="00BD5A61"/>
    <w:rsid w:val="00BD6941"/>
    <w:rsid w:val="00BD78BA"/>
    <w:rsid w:val="00BD7A74"/>
    <w:rsid w:val="00BE0011"/>
    <w:rsid w:val="00BE0CA4"/>
    <w:rsid w:val="00BE0D11"/>
    <w:rsid w:val="00BE1F68"/>
    <w:rsid w:val="00BE31AE"/>
    <w:rsid w:val="00BE3835"/>
    <w:rsid w:val="00BE4844"/>
    <w:rsid w:val="00BE4FDF"/>
    <w:rsid w:val="00BE6074"/>
    <w:rsid w:val="00BE651B"/>
    <w:rsid w:val="00BE6697"/>
    <w:rsid w:val="00BE7005"/>
    <w:rsid w:val="00BF0A06"/>
    <w:rsid w:val="00BF17C1"/>
    <w:rsid w:val="00BF1BE1"/>
    <w:rsid w:val="00BF253D"/>
    <w:rsid w:val="00BF2DB7"/>
    <w:rsid w:val="00BF492E"/>
    <w:rsid w:val="00BF4B53"/>
    <w:rsid w:val="00BF4DE6"/>
    <w:rsid w:val="00BF5733"/>
    <w:rsid w:val="00BF5781"/>
    <w:rsid w:val="00BF6899"/>
    <w:rsid w:val="00BF6E44"/>
    <w:rsid w:val="00BF7047"/>
    <w:rsid w:val="00BF7852"/>
    <w:rsid w:val="00C000E5"/>
    <w:rsid w:val="00C00A3F"/>
    <w:rsid w:val="00C00C4B"/>
    <w:rsid w:val="00C0141C"/>
    <w:rsid w:val="00C027D7"/>
    <w:rsid w:val="00C02973"/>
    <w:rsid w:val="00C02C1E"/>
    <w:rsid w:val="00C03CDD"/>
    <w:rsid w:val="00C0494A"/>
    <w:rsid w:val="00C04D62"/>
    <w:rsid w:val="00C05E69"/>
    <w:rsid w:val="00C06B13"/>
    <w:rsid w:val="00C072FD"/>
    <w:rsid w:val="00C103F9"/>
    <w:rsid w:val="00C1073D"/>
    <w:rsid w:val="00C10BC8"/>
    <w:rsid w:val="00C10C20"/>
    <w:rsid w:val="00C11EC0"/>
    <w:rsid w:val="00C1305F"/>
    <w:rsid w:val="00C141F8"/>
    <w:rsid w:val="00C14D09"/>
    <w:rsid w:val="00C14DF2"/>
    <w:rsid w:val="00C14F70"/>
    <w:rsid w:val="00C1534F"/>
    <w:rsid w:val="00C15569"/>
    <w:rsid w:val="00C159C9"/>
    <w:rsid w:val="00C15C93"/>
    <w:rsid w:val="00C16EDA"/>
    <w:rsid w:val="00C1725E"/>
    <w:rsid w:val="00C172B4"/>
    <w:rsid w:val="00C17CB5"/>
    <w:rsid w:val="00C21057"/>
    <w:rsid w:val="00C210B5"/>
    <w:rsid w:val="00C2146E"/>
    <w:rsid w:val="00C22226"/>
    <w:rsid w:val="00C22F68"/>
    <w:rsid w:val="00C23267"/>
    <w:rsid w:val="00C23A69"/>
    <w:rsid w:val="00C23C47"/>
    <w:rsid w:val="00C24546"/>
    <w:rsid w:val="00C24E7C"/>
    <w:rsid w:val="00C25BDB"/>
    <w:rsid w:val="00C25C0D"/>
    <w:rsid w:val="00C25E6D"/>
    <w:rsid w:val="00C26873"/>
    <w:rsid w:val="00C26F44"/>
    <w:rsid w:val="00C277A3"/>
    <w:rsid w:val="00C27D1C"/>
    <w:rsid w:val="00C27D25"/>
    <w:rsid w:val="00C30E60"/>
    <w:rsid w:val="00C31301"/>
    <w:rsid w:val="00C31D5E"/>
    <w:rsid w:val="00C32E2C"/>
    <w:rsid w:val="00C33490"/>
    <w:rsid w:val="00C336EF"/>
    <w:rsid w:val="00C3403A"/>
    <w:rsid w:val="00C34618"/>
    <w:rsid w:val="00C346EF"/>
    <w:rsid w:val="00C35294"/>
    <w:rsid w:val="00C355C9"/>
    <w:rsid w:val="00C356A5"/>
    <w:rsid w:val="00C359A4"/>
    <w:rsid w:val="00C3637E"/>
    <w:rsid w:val="00C368DF"/>
    <w:rsid w:val="00C377F9"/>
    <w:rsid w:val="00C40EDC"/>
    <w:rsid w:val="00C41078"/>
    <w:rsid w:val="00C41371"/>
    <w:rsid w:val="00C42098"/>
    <w:rsid w:val="00C422E0"/>
    <w:rsid w:val="00C42541"/>
    <w:rsid w:val="00C42CDE"/>
    <w:rsid w:val="00C436F3"/>
    <w:rsid w:val="00C43EF2"/>
    <w:rsid w:val="00C44448"/>
    <w:rsid w:val="00C45247"/>
    <w:rsid w:val="00C459C1"/>
    <w:rsid w:val="00C45F2A"/>
    <w:rsid w:val="00C4621D"/>
    <w:rsid w:val="00C467A6"/>
    <w:rsid w:val="00C46A99"/>
    <w:rsid w:val="00C50C98"/>
    <w:rsid w:val="00C515B0"/>
    <w:rsid w:val="00C5182A"/>
    <w:rsid w:val="00C52C74"/>
    <w:rsid w:val="00C52D0C"/>
    <w:rsid w:val="00C5336F"/>
    <w:rsid w:val="00C534E1"/>
    <w:rsid w:val="00C5377B"/>
    <w:rsid w:val="00C53CA9"/>
    <w:rsid w:val="00C53D50"/>
    <w:rsid w:val="00C53E69"/>
    <w:rsid w:val="00C543EE"/>
    <w:rsid w:val="00C5465C"/>
    <w:rsid w:val="00C5466D"/>
    <w:rsid w:val="00C54706"/>
    <w:rsid w:val="00C5471F"/>
    <w:rsid w:val="00C54CAD"/>
    <w:rsid w:val="00C55801"/>
    <w:rsid w:val="00C56074"/>
    <w:rsid w:val="00C562BC"/>
    <w:rsid w:val="00C573CF"/>
    <w:rsid w:val="00C57BDA"/>
    <w:rsid w:val="00C60196"/>
    <w:rsid w:val="00C602BB"/>
    <w:rsid w:val="00C6148C"/>
    <w:rsid w:val="00C614CB"/>
    <w:rsid w:val="00C61901"/>
    <w:rsid w:val="00C61F93"/>
    <w:rsid w:val="00C620A6"/>
    <w:rsid w:val="00C625CC"/>
    <w:rsid w:val="00C62FC6"/>
    <w:rsid w:val="00C6330D"/>
    <w:rsid w:val="00C63EE9"/>
    <w:rsid w:val="00C64AE3"/>
    <w:rsid w:val="00C64B9D"/>
    <w:rsid w:val="00C65941"/>
    <w:rsid w:val="00C700BF"/>
    <w:rsid w:val="00C70105"/>
    <w:rsid w:val="00C706D9"/>
    <w:rsid w:val="00C70A80"/>
    <w:rsid w:val="00C719D2"/>
    <w:rsid w:val="00C71EF2"/>
    <w:rsid w:val="00C73E18"/>
    <w:rsid w:val="00C7446F"/>
    <w:rsid w:val="00C7473F"/>
    <w:rsid w:val="00C74ED0"/>
    <w:rsid w:val="00C75093"/>
    <w:rsid w:val="00C75106"/>
    <w:rsid w:val="00C754E8"/>
    <w:rsid w:val="00C75926"/>
    <w:rsid w:val="00C75F20"/>
    <w:rsid w:val="00C764D0"/>
    <w:rsid w:val="00C7789D"/>
    <w:rsid w:val="00C8029C"/>
    <w:rsid w:val="00C80320"/>
    <w:rsid w:val="00C80374"/>
    <w:rsid w:val="00C80783"/>
    <w:rsid w:val="00C80FE8"/>
    <w:rsid w:val="00C812EF"/>
    <w:rsid w:val="00C8179D"/>
    <w:rsid w:val="00C81D34"/>
    <w:rsid w:val="00C81E7D"/>
    <w:rsid w:val="00C82C7E"/>
    <w:rsid w:val="00C83767"/>
    <w:rsid w:val="00C8455D"/>
    <w:rsid w:val="00C84C43"/>
    <w:rsid w:val="00C84D0D"/>
    <w:rsid w:val="00C8510B"/>
    <w:rsid w:val="00C85A7D"/>
    <w:rsid w:val="00C85EAD"/>
    <w:rsid w:val="00C86C30"/>
    <w:rsid w:val="00C875C7"/>
    <w:rsid w:val="00C875E1"/>
    <w:rsid w:val="00C90698"/>
    <w:rsid w:val="00C9088A"/>
    <w:rsid w:val="00C90FE4"/>
    <w:rsid w:val="00C9112C"/>
    <w:rsid w:val="00C91CDB"/>
    <w:rsid w:val="00C91E86"/>
    <w:rsid w:val="00C92473"/>
    <w:rsid w:val="00C92762"/>
    <w:rsid w:val="00C93409"/>
    <w:rsid w:val="00C94188"/>
    <w:rsid w:val="00C946CA"/>
    <w:rsid w:val="00C94AAA"/>
    <w:rsid w:val="00C95785"/>
    <w:rsid w:val="00C96568"/>
    <w:rsid w:val="00C9661C"/>
    <w:rsid w:val="00C974B3"/>
    <w:rsid w:val="00CA157D"/>
    <w:rsid w:val="00CA16F3"/>
    <w:rsid w:val="00CA1CD3"/>
    <w:rsid w:val="00CA1DDC"/>
    <w:rsid w:val="00CA3000"/>
    <w:rsid w:val="00CA37B1"/>
    <w:rsid w:val="00CA40BA"/>
    <w:rsid w:val="00CA488B"/>
    <w:rsid w:val="00CA490A"/>
    <w:rsid w:val="00CA530C"/>
    <w:rsid w:val="00CA5E15"/>
    <w:rsid w:val="00CA6515"/>
    <w:rsid w:val="00CB0E6C"/>
    <w:rsid w:val="00CB1959"/>
    <w:rsid w:val="00CB1AC2"/>
    <w:rsid w:val="00CB205B"/>
    <w:rsid w:val="00CB2600"/>
    <w:rsid w:val="00CB4197"/>
    <w:rsid w:val="00CB49D4"/>
    <w:rsid w:val="00CB54D6"/>
    <w:rsid w:val="00CB6D6C"/>
    <w:rsid w:val="00CB7724"/>
    <w:rsid w:val="00CB7859"/>
    <w:rsid w:val="00CB7D4A"/>
    <w:rsid w:val="00CC0698"/>
    <w:rsid w:val="00CC0ADF"/>
    <w:rsid w:val="00CC21CD"/>
    <w:rsid w:val="00CC29B5"/>
    <w:rsid w:val="00CC30C0"/>
    <w:rsid w:val="00CC33BF"/>
    <w:rsid w:val="00CC3745"/>
    <w:rsid w:val="00CC45DA"/>
    <w:rsid w:val="00CC4D39"/>
    <w:rsid w:val="00CC5297"/>
    <w:rsid w:val="00CC564D"/>
    <w:rsid w:val="00CC5F8A"/>
    <w:rsid w:val="00CC5FA8"/>
    <w:rsid w:val="00CC6062"/>
    <w:rsid w:val="00CC64DC"/>
    <w:rsid w:val="00CC7315"/>
    <w:rsid w:val="00CC741B"/>
    <w:rsid w:val="00CC7EB7"/>
    <w:rsid w:val="00CD0E4B"/>
    <w:rsid w:val="00CD2113"/>
    <w:rsid w:val="00CD268C"/>
    <w:rsid w:val="00CD2916"/>
    <w:rsid w:val="00CD363B"/>
    <w:rsid w:val="00CD4211"/>
    <w:rsid w:val="00CD4A27"/>
    <w:rsid w:val="00CD4BB2"/>
    <w:rsid w:val="00CD5C79"/>
    <w:rsid w:val="00CD5DE3"/>
    <w:rsid w:val="00CD6823"/>
    <w:rsid w:val="00CD6AFE"/>
    <w:rsid w:val="00CD7D59"/>
    <w:rsid w:val="00CE02E1"/>
    <w:rsid w:val="00CE0BF1"/>
    <w:rsid w:val="00CE10FC"/>
    <w:rsid w:val="00CE2CE6"/>
    <w:rsid w:val="00CE2EBB"/>
    <w:rsid w:val="00CE3341"/>
    <w:rsid w:val="00CE432F"/>
    <w:rsid w:val="00CE4476"/>
    <w:rsid w:val="00CE4C89"/>
    <w:rsid w:val="00CE5FF3"/>
    <w:rsid w:val="00CE63BD"/>
    <w:rsid w:val="00CE65A9"/>
    <w:rsid w:val="00CE672B"/>
    <w:rsid w:val="00CE691B"/>
    <w:rsid w:val="00CE72C0"/>
    <w:rsid w:val="00CE77E1"/>
    <w:rsid w:val="00CE7F40"/>
    <w:rsid w:val="00CF01B8"/>
    <w:rsid w:val="00CF041B"/>
    <w:rsid w:val="00CF0722"/>
    <w:rsid w:val="00CF07BA"/>
    <w:rsid w:val="00CF0CE2"/>
    <w:rsid w:val="00CF1E0A"/>
    <w:rsid w:val="00CF22E2"/>
    <w:rsid w:val="00CF2B2D"/>
    <w:rsid w:val="00CF37F4"/>
    <w:rsid w:val="00CF4242"/>
    <w:rsid w:val="00CF4374"/>
    <w:rsid w:val="00CF66B3"/>
    <w:rsid w:val="00CF6797"/>
    <w:rsid w:val="00CF69B6"/>
    <w:rsid w:val="00D00552"/>
    <w:rsid w:val="00D0089A"/>
    <w:rsid w:val="00D008AA"/>
    <w:rsid w:val="00D00AAF"/>
    <w:rsid w:val="00D00E7B"/>
    <w:rsid w:val="00D00EFC"/>
    <w:rsid w:val="00D01156"/>
    <w:rsid w:val="00D01361"/>
    <w:rsid w:val="00D01441"/>
    <w:rsid w:val="00D01462"/>
    <w:rsid w:val="00D016AE"/>
    <w:rsid w:val="00D01A87"/>
    <w:rsid w:val="00D02428"/>
    <w:rsid w:val="00D0296C"/>
    <w:rsid w:val="00D02B4C"/>
    <w:rsid w:val="00D04474"/>
    <w:rsid w:val="00D04530"/>
    <w:rsid w:val="00D04531"/>
    <w:rsid w:val="00D045E4"/>
    <w:rsid w:val="00D047A9"/>
    <w:rsid w:val="00D04AE9"/>
    <w:rsid w:val="00D04D33"/>
    <w:rsid w:val="00D06F27"/>
    <w:rsid w:val="00D072F8"/>
    <w:rsid w:val="00D076F4"/>
    <w:rsid w:val="00D10A49"/>
    <w:rsid w:val="00D113CB"/>
    <w:rsid w:val="00D140A2"/>
    <w:rsid w:val="00D1467B"/>
    <w:rsid w:val="00D14748"/>
    <w:rsid w:val="00D164F1"/>
    <w:rsid w:val="00D16948"/>
    <w:rsid w:val="00D16FEE"/>
    <w:rsid w:val="00D17B7D"/>
    <w:rsid w:val="00D17B90"/>
    <w:rsid w:val="00D20714"/>
    <w:rsid w:val="00D20F96"/>
    <w:rsid w:val="00D21872"/>
    <w:rsid w:val="00D22B08"/>
    <w:rsid w:val="00D232C9"/>
    <w:rsid w:val="00D23654"/>
    <w:rsid w:val="00D24DCC"/>
    <w:rsid w:val="00D25980"/>
    <w:rsid w:val="00D263EF"/>
    <w:rsid w:val="00D26554"/>
    <w:rsid w:val="00D2719F"/>
    <w:rsid w:val="00D31A22"/>
    <w:rsid w:val="00D3207D"/>
    <w:rsid w:val="00D322C0"/>
    <w:rsid w:val="00D32D6F"/>
    <w:rsid w:val="00D33266"/>
    <w:rsid w:val="00D33DEC"/>
    <w:rsid w:val="00D33DED"/>
    <w:rsid w:val="00D3423F"/>
    <w:rsid w:val="00D34E5A"/>
    <w:rsid w:val="00D350A2"/>
    <w:rsid w:val="00D3558F"/>
    <w:rsid w:val="00D35DA1"/>
    <w:rsid w:val="00D36065"/>
    <w:rsid w:val="00D3669D"/>
    <w:rsid w:val="00D37476"/>
    <w:rsid w:val="00D37B04"/>
    <w:rsid w:val="00D37F9F"/>
    <w:rsid w:val="00D403C4"/>
    <w:rsid w:val="00D40640"/>
    <w:rsid w:val="00D40BDD"/>
    <w:rsid w:val="00D40D15"/>
    <w:rsid w:val="00D413F0"/>
    <w:rsid w:val="00D424C0"/>
    <w:rsid w:val="00D42B50"/>
    <w:rsid w:val="00D434E6"/>
    <w:rsid w:val="00D436A1"/>
    <w:rsid w:val="00D43E77"/>
    <w:rsid w:val="00D4522E"/>
    <w:rsid w:val="00D46C3A"/>
    <w:rsid w:val="00D47290"/>
    <w:rsid w:val="00D474C9"/>
    <w:rsid w:val="00D505B4"/>
    <w:rsid w:val="00D51C7D"/>
    <w:rsid w:val="00D527B9"/>
    <w:rsid w:val="00D52B1A"/>
    <w:rsid w:val="00D52F15"/>
    <w:rsid w:val="00D52F76"/>
    <w:rsid w:val="00D530EA"/>
    <w:rsid w:val="00D540C6"/>
    <w:rsid w:val="00D5415E"/>
    <w:rsid w:val="00D548E2"/>
    <w:rsid w:val="00D54C1C"/>
    <w:rsid w:val="00D55B8A"/>
    <w:rsid w:val="00D55D53"/>
    <w:rsid w:val="00D567F4"/>
    <w:rsid w:val="00D57976"/>
    <w:rsid w:val="00D57BB7"/>
    <w:rsid w:val="00D60A6F"/>
    <w:rsid w:val="00D60AA6"/>
    <w:rsid w:val="00D613B1"/>
    <w:rsid w:val="00D61EC2"/>
    <w:rsid w:val="00D61FEF"/>
    <w:rsid w:val="00D630A8"/>
    <w:rsid w:val="00D63B7C"/>
    <w:rsid w:val="00D6469B"/>
    <w:rsid w:val="00D64BD1"/>
    <w:rsid w:val="00D6554D"/>
    <w:rsid w:val="00D657E5"/>
    <w:rsid w:val="00D6615A"/>
    <w:rsid w:val="00D666B7"/>
    <w:rsid w:val="00D66E38"/>
    <w:rsid w:val="00D6703E"/>
    <w:rsid w:val="00D678B4"/>
    <w:rsid w:val="00D67958"/>
    <w:rsid w:val="00D67BE8"/>
    <w:rsid w:val="00D704B7"/>
    <w:rsid w:val="00D704DC"/>
    <w:rsid w:val="00D714CC"/>
    <w:rsid w:val="00D7168A"/>
    <w:rsid w:val="00D717D8"/>
    <w:rsid w:val="00D717FC"/>
    <w:rsid w:val="00D71EAC"/>
    <w:rsid w:val="00D72447"/>
    <w:rsid w:val="00D724C0"/>
    <w:rsid w:val="00D72CD9"/>
    <w:rsid w:val="00D73194"/>
    <w:rsid w:val="00D74166"/>
    <w:rsid w:val="00D741D3"/>
    <w:rsid w:val="00D7455F"/>
    <w:rsid w:val="00D74897"/>
    <w:rsid w:val="00D749A8"/>
    <w:rsid w:val="00D74BD0"/>
    <w:rsid w:val="00D74C3B"/>
    <w:rsid w:val="00D7513C"/>
    <w:rsid w:val="00D759B7"/>
    <w:rsid w:val="00D75B20"/>
    <w:rsid w:val="00D761A5"/>
    <w:rsid w:val="00D76584"/>
    <w:rsid w:val="00D76A64"/>
    <w:rsid w:val="00D773D7"/>
    <w:rsid w:val="00D802E7"/>
    <w:rsid w:val="00D80435"/>
    <w:rsid w:val="00D8117D"/>
    <w:rsid w:val="00D8180E"/>
    <w:rsid w:val="00D81AA3"/>
    <w:rsid w:val="00D81FF4"/>
    <w:rsid w:val="00D82200"/>
    <w:rsid w:val="00D822EA"/>
    <w:rsid w:val="00D83D2A"/>
    <w:rsid w:val="00D83E58"/>
    <w:rsid w:val="00D84191"/>
    <w:rsid w:val="00D84B33"/>
    <w:rsid w:val="00D851B5"/>
    <w:rsid w:val="00D854BB"/>
    <w:rsid w:val="00D862A4"/>
    <w:rsid w:val="00D86625"/>
    <w:rsid w:val="00D86F7C"/>
    <w:rsid w:val="00D86FD4"/>
    <w:rsid w:val="00D905F7"/>
    <w:rsid w:val="00D907DA"/>
    <w:rsid w:val="00D90AA2"/>
    <w:rsid w:val="00D90C35"/>
    <w:rsid w:val="00D90D85"/>
    <w:rsid w:val="00D91720"/>
    <w:rsid w:val="00D91F56"/>
    <w:rsid w:val="00D91FF5"/>
    <w:rsid w:val="00D92254"/>
    <w:rsid w:val="00D924BF"/>
    <w:rsid w:val="00D92C57"/>
    <w:rsid w:val="00D9357D"/>
    <w:rsid w:val="00D93927"/>
    <w:rsid w:val="00D93E86"/>
    <w:rsid w:val="00D94313"/>
    <w:rsid w:val="00D96123"/>
    <w:rsid w:val="00D962DA"/>
    <w:rsid w:val="00D966E8"/>
    <w:rsid w:val="00DA02E8"/>
    <w:rsid w:val="00DA071D"/>
    <w:rsid w:val="00DA1336"/>
    <w:rsid w:val="00DA2363"/>
    <w:rsid w:val="00DA29FD"/>
    <w:rsid w:val="00DA2B68"/>
    <w:rsid w:val="00DA49D4"/>
    <w:rsid w:val="00DA4DDD"/>
    <w:rsid w:val="00DA50F5"/>
    <w:rsid w:val="00DA5A93"/>
    <w:rsid w:val="00DA641E"/>
    <w:rsid w:val="00DA6FB2"/>
    <w:rsid w:val="00DA7184"/>
    <w:rsid w:val="00DA7CB4"/>
    <w:rsid w:val="00DB058C"/>
    <w:rsid w:val="00DB06E7"/>
    <w:rsid w:val="00DB071C"/>
    <w:rsid w:val="00DB0BC9"/>
    <w:rsid w:val="00DB13EA"/>
    <w:rsid w:val="00DB185E"/>
    <w:rsid w:val="00DB3736"/>
    <w:rsid w:val="00DB44E5"/>
    <w:rsid w:val="00DB57C5"/>
    <w:rsid w:val="00DB5C7E"/>
    <w:rsid w:val="00DB601D"/>
    <w:rsid w:val="00DB60C2"/>
    <w:rsid w:val="00DB6772"/>
    <w:rsid w:val="00DB7692"/>
    <w:rsid w:val="00DB7B4A"/>
    <w:rsid w:val="00DB7F68"/>
    <w:rsid w:val="00DC06C3"/>
    <w:rsid w:val="00DC0F95"/>
    <w:rsid w:val="00DC1322"/>
    <w:rsid w:val="00DC1A37"/>
    <w:rsid w:val="00DC2AB3"/>
    <w:rsid w:val="00DC3585"/>
    <w:rsid w:val="00DC3611"/>
    <w:rsid w:val="00DC42BA"/>
    <w:rsid w:val="00DC4D74"/>
    <w:rsid w:val="00DC51ED"/>
    <w:rsid w:val="00DC5E86"/>
    <w:rsid w:val="00DC6C2E"/>
    <w:rsid w:val="00DC6C8A"/>
    <w:rsid w:val="00DC72C5"/>
    <w:rsid w:val="00DC7545"/>
    <w:rsid w:val="00DC7D94"/>
    <w:rsid w:val="00DD0126"/>
    <w:rsid w:val="00DD019D"/>
    <w:rsid w:val="00DD0643"/>
    <w:rsid w:val="00DD098D"/>
    <w:rsid w:val="00DD10C7"/>
    <w:rsid w:val="00DD1679"/>
    <w:rsid w:val="00DD1BF1"/>
    <w:rsid w:val="00DD27FE"/>
    <w:rsid w:val="00DD2F64"/>
    <w:rsid w:val="00DD3246"/>
    <w:rsid w:val="00DD499F"/>
    <w:rsid w:val="00DD581E"/>
    <w:rsid w:val="00DD699C"/>
    <w:rsid w:val="00DD6EE3"/>
    <w:rsid w:val="00DD6FF8"/>
    <w:rsid w:val="00DD751E"/>
    <w:rsid w:val="00DD782E"/>
    <w:rsid w:val="00DD797A"/>
    <w:rsid w:val="00DD7CA1"/>
    <w:rsid w:val="00DE074F"/>
    <w:rsid w:val="00DE0827"/>
    <w:rsid w:val="00DE084C"/>
    <w:rsid w:val="00DE1642"/>
    <w:rsid w:val="00DE1793"/>
    <w:rsid w:val="00DE1897"/>
    <w:rsid w:val="00DE2C03"/>
    <w:rsid w:val="00DE31B4"/>
    <w:rsid w:val="00DE380D"/>
    <w:rsid w:val="00DE391D"/>
    <w:rsid w:val="00DE398B"/>
    <w:rsid w:val="00DE3EC8"/>
    <w:rsid w:val="00DE45A2"/>
    <w:rsid w:val="00DE4C2D"/>
    <w:rsid w:val="00DE5AD7"/>
    <w:rsid w:val="00DE5EA5"/>
    <w:rsid w:val="00DE6339"/>
    <w:rsid w:val="00DE658B"/>
    <w:rsid w:val="00DE67C3"/>
    <w:rsid w:val="00DE6E95"/>
    <w:rsid w:val="00DE718B"/>
    <w:rsid w:val="00DE78DD"/>
    <w:rsid w:val="00DF0760"/>
    <w:rsid w:val="00DF213A"/>
    <w:rsid w:val="00DF4C82"/>
    <w:rsid w:val="00DF681E"/>
    <w:rsid w:val="00DF6899"/>
    <w:rsid w:val="00DF6B95"/>
    <w:rsid w:val="00DF70A2"/>
    <w:rsid w:val="00E0021C"/>
    <w:rsid w:val="00E007A1"/>
    <w:rsid w:val="00E01384"/>
    <w:rsid w:val="00E01C5A"/>
    <w:rsid w:val="00E02606"/>
    <w:rsid w:val="00E03430"/>
    <w:rsid w:val="00E043A9"/>
    <w:rsid w:val="00E04F57"/>
    <w:rsid w:val="00E051F4"/>
    <w:rsid w:val="00E06563"/>
    <w:rsid w:val="00E06B24"/>
    <w:rsid w:val="00E10666"/>
    <w:rsid w:val="00E11090"/>
    <w:rsid w:val="00E125CF"/>
    <w:rsid w:val="00E1292C"/>
    <w:rsid w:val="00E12B79"/>
    <w:rsid w:val="00E12C85"/>
    <w:rsid w:val="00E13257"/>
    <w:rsid w:val="00E13314"/>
    <w:rsid w:val="00E13F00"/>
    <w:rsid w:val="00E14528"/>
    <w:rsid w:val="00E14801"/>
    <w:rsid w:val="00E14BF5"/>
    <w:rsid w:val="00E14EEB"/>
    <w:rsid w:val="00E14F51"/>
    <w:rsid w:val="00E15B2A"/>
    <w:rsid w:val="00E16E3E"/>
    <w:rsid w:val="00E173C5"/>
    <w:rsid w:val="00E201C0"/>
    <w:rsid w:val="00E20A29"/>
    <w:rsid w:val="00E218D1"/>
    <w:rsid w:val="00E221F7"/>
    <w:rsid w:val="00E22572"/>
    <w:rsid w:val="00E22DD0"/>
    <w:rsid w:val="00E239A4"/>
    <w:rsid w:val="00E23A30"/>
    <w:rsid w:val="00E23C19"/>
    <w:rsid w:val="00E24082"/>
    <w:rsid w:val="00E24FAF"/>
    <w:rsid w:val="00E253B7"/>
    <w:rsid w:val="00E25CE3"/>
    <w:rsid w:val="00E266E6"/>
    <w:rsid w:val="00E26BBC"/>
    <w:rsid w:val="00E27C7D"/>
    <w:rsid w:val="00E30E33"/>
    <w:rsid w:val="00E31A10"/>
    <w:rsid w:val="00E32BCC"/>
    <w:rsid w:val="00E33262"/>
    <w:rsid w:val="00E33ECA"/>
    <w:rsid w:val="00E34921"/>
    <w:rsid w:val="00E34985"/>
    <w:rsid w:val="00E34CDE"/>
    <w:rsid w:val="00E357B7"/>
    <w:rsid w:val="00E378CE"/>
    <w:rsid w:val="00E408FE"/>
    <w:rsid w:val="00E40C39"/>
    <w:rsid w:val="00E4273E"/>
    <w:rsid w:val="00E436BA"/>
    <w:rsid w:val="00E44452"/>
    <w:rsid w:val="00E44913"/>
    <w:rsid w:val="00E44A10"/>
    <w:rsid w:val="00E44B1B"/>
    <w:rsid w:val="00E467E4"/>
    <w:rsid w:val="00E46A4D"/>
    <w:rsid w:val="00E5166B"/>
    <w:rsid w:val="00E524BB"/>
    <w:rsid w:val="00E52956"/>
    <w:rsid w:val="00E53402"/>
    <w:rsid w:val="00E53800"/>
    <w:rsid w:val="00E55339"/>
    <w:rsid w:val="00E56EA6"/>
    <w:rsid w:val="00E57B45"/>
    <w:rsid w:val="00E57EF8"/>
    <w:rsid w:val="00E6081F"/>
    <w:rsid w:val="00E61216"/>
    <w:rsid w:val="00E6213B"/>
    <w:rsid w:val="00E622EF"/>
    <w:rsid w:val="00E623F3"/>
    <w:rsid w:val="00E6274C"/>
    <w:rsid w:val="00E63062"/>
    <w:rsid w:val="00E63A14"/>
    <w:rsid w:val="00E63CBE"/>
    <w:rsid w:val="00E640AA"/>
    <w:rsid w:val="00E64AC5"/>
    <w:rsid w:val="00E6520F"/>
    <w:rsid w:val="00E6521E"/>
    <w:rsid w:val="00E6521F"/>
    <w:rsid w:val="00E66374"/>
    <w:rsid w:val="00E665BC"/>
    <w:rsid w:val="00E66F18"/>
    <w:rsid w:val="00E674AE"/>
    <w:rsid w:val="00E67843"/>
    <w:rsid w:val="00E70E12"/>
    <w:rsid w:val="00E711F8"/>
    <w:rsid w:val="00E71333"/>
    <w:rsid w:val="00E7144B"/>
    <w:rsid w:val="00E72E0F"/>
    <w:rsid w:val="00E73018"/>
    <w:rsid w:val="00E7302D"/>
    <w:rsid w:val="00E730CD"/>
    <w:rsid w:val="00E73423"/>
    <w:rsid w:val="00E7398A"/>
    <w:rsid w:val="00E73A4B"/>
    <w:rsid w:val="00E7505E"/>
    <w:rsid w:val="00E7531D"/>
    <w:rsid w:val="00E75562"/>
    <w:rsid w:val="00E75D00"/>
    <w:rsid w:val="00E7745E"/>
    <w:rsid w:val="00E775AC"/>
    <w:rsid w:val="00E77751"/>
    <w:rsid w:val="00E77838"/>
    <w:rsid w:val="00E81418"/>
    <w:rsid w:val="00E81E34"/>
    <w:rsid w:val="00E81F08"/>
    <w:rsid w:val="00E8296D"/>
    <w:rsid w:val="00E829A0"/>
    <w:rsid w:val="00E82D8A"/>
    <w:rsid w:val="00E83DA4"/>
    <w:rsid w:val="00E8457B"/>
    <w:rsid w:val="00E852D4"/>
    <w:rsid w:val="00E85A0C"/>
    <w:rsid w:val="00E85FC0"/>
    <w:rsid w:val="00E85FDD"/>
    <w:rsid w:val="00E873D9"/>
    <w:rsid w:val="00E87BE1"/>
    <w:rsid w:val="00E90B59"/>
    <w:rsid w:val="00E91362"/>
    <w:rsid w:val="00E9152F"/>
    <w:rsid w:val="00E919E5"/>
    <w:rsid w:val="00E91BC2"/>
    <w:rsid w:val="00E91CAB"/>
    <w:rsid w:val="00E92E3D"/>
    <w:rsid w:val="00E92EFE"/>
    <w:rsid w:val="00E93182"/>
    <w:rsid w:val="00E934DE"/>
    <w:rsid w:val="00E942A4"/>
    <w:rsid w:val="00E94575"/>
    <w:rsid w:val="00E949FA"/>
    <w:rsid w:val="00E95247"/>
    <w:rsid w:val="00E952B9"/>
    <w:rsid w:val="00E9555E"/>
    <w:rsid w:val="00E970D9"/>
    <w:rsid w:val="00E9762C"/>
    <w:rsid w:val="00E978D4"/>
    <w:rsid w:val="00E97E0C"/>
    <w:rsid w:val="00EA04B2"/>
    <w:rsid w:val="00EA10D2"/>
    <w:rsid w:val="00EA20F3"/>
    <w:rsid w:val="00EA258E"/>
    <w:rsid w:val="00EA3132"/>
    <w:rsid w:val="00EA36D3"/>
    <w:rsid w:val="00EA3B77"/>
    <w:rsid w:val="00EA3CD5"/>
    <w:rsid w:val="00EA4D56"/>
    <w:rsid w:val="00EA5A32"/>
    <w:rsid w:val="00EA6114"/>
    <w:rsid w:val="00EA672A"/>
    <w:rsid w:val="00EA674F"/>
    <w:rsid w:val="00EA7105"/>
    <w:rsid w:val="00EB02C1"/>
    <w:rsid w:val="00EB050B"/>
    <w:rsid w:val="00EB0B8C"/>
    <w:rsid w:val="00EB111B"/>
    <w:rsid w:val="00EB22BE"/>
    <w:rsid w:val="00EB361B"/>
    <w:rsid w:val="00EB3ACC"/>
    <w:rsid w:val="00EB3B12"/>
    <w:rsid w:val="00EB3D43"/>
    <w:rsid w:val="00EB3D49"/>
    <w:rsid w:val="00EB6B36"/>
    <w:rsid w:val="00EB6FFB"/>
    <w:rsid w:val="00EB73A8"/>
    <w:rsid w:val="00EB74EB"/>
    <w:rsid w:val="00EB774D"/>
    <w:rsid w:val="00EB79DE"/>
    <w:rsid w:val="00EC0076"/>
    <w:rsid w:val="00EC250B"/>
    <w:rsid w:val="00EC2931"/>
    <w:rsid w:val="00EC35BC"/>
    <w:rsid w:val="00EC37D5"/>
    <w:rsid w:val="00EC38B7"/>
    <w:rsid w:val="00EC3C66"/>
    <w:rsid w:val="00EC471C"/>
    <w:rsid w:val="00EC5C3B"/>
    <w:rsid w:val="00EC6858"/>
    <w:rsid w:val="00EC6A03"/>
    <w:rsid w:val="00EC73E0"/>
    <w:rsid w:val="00EC75A5"/>
    <w:rsid w:val="00EC7640"/>
    <w:rsid w:val="00EC7C33"/>
    <w:rsid w:val="00EC7E03"/>
    <w:rsid w:val="00ED04DD"/>
    <w:rsid w:val="00ED17E8"/>
    <w:rsid w:val="00ED1B01"/>
    <w:rsid w:val="00ED1CF3"/>
    <w:rsid w:val="00ED2831"/>
    <w:rsid w:val="00ED378A"/>
    <w:rsid w:val="00ED3EBA"/>
    <w:rsid w:val="00ED3F98"/>
    <w:rsid w:val="00ED43D1"/>
    <w:rsid w:val="00ED4C3F"/>
    <w:rsid w:val="00ED5B9E"/>
    <w:rsid w:val="00ED61B6"/>
    <w:rsid w:val="00EE0A9C"/>
    <w:rsid w:val="00EE0C10"/>
    <w:rsid w:val="00EE134B"/>
    <w:rsid w:val="00EE1735"/>
    <w:rsid w:val="00EE25F4"/>
    <w:rsid w:val="00EE2E5C"/>
    <w:rsid w:val="00EE302D"/>
    <w:rsid w:val="00EE3098"/>
    <w:rsid w:val="00EE30A4"/>
    <w:rsid w:val="00EE3DEA"/>
    <w:rsid w:val="00EE4249"/>
    <w:rsid w:val="00EE4A13"/>
    <w:rsid w:val="00EE4AE6"/>
    <w:rsid w:val="00EE4C12"/>
    <w:rsid w:val="00EE4DED"/>
    <w:rsid w:val="00EE4EE1"/>
    <w:rsid w:val="00EE4FF6"/>
    <w:rsid w:val="00EE5DC8"/>
    <w:rsid w:val="00EE7239"/>
    <w:rsid w:val="00EE7939"/>
    <w:rsid w:val="00EF00B4"/>
    <w:rsid w:val="00EF0112"/>
    <w:rsid w:val="00EF09C5"/>
    <w:rsid w:val="00EF11E5"/>
    <w:rsid w:val="00EF1A8A"/>
    <w:rsid w:val="00EF1CE3"/>
    <w:rsid w:val="00EF1F3E"/>
    <w:rsid w:val="00EF20C9"/>
    <w:rsid w:val="00EF38B1"/>
    <w:rsid w:val="00EF4574"/>
    <w:rsid w:val="00EF4D3C"/>
    <w:rsid w:val="00EF53ED"/>
    <w:rsid w:val="00EF573B"/>
    <w:rsid w:val="00EF5FB3"/>
    <w:rsid w:val="00EF6F97"/>
    <w:rsid w:val="00F00795"/>
    <w:rsid w:val="00F0099B"/>
    <w:rsid w:val="00F022AE"/>
    <w:rsid w:val="00F024FA"/>
    <w:rsid w:val="00F02845"/>
    <w:rsid w:val="00F02A34"/>
    <w:rsid w:val="00F02D9E"/>
    <w:rsid w:val="00F03620"/>
    <w:rsid w:val="00F04041"/>
    <w:rsid w:val="00F04C5E"/>
    <w:rsid w:val="00F04E18"/>
    <w:rsid w:val="00F0553C"/>
    <w:rsid w:val="00F066B5"/>
    <w:rsid w:val="00F0674F"/>
    <w:rsid w:val="00F06A1B"/>
    <w:rsid w:val="00F06BC9"/>
    <w:rsid w:val="00F06D24"/>
    <w:rsid w:val="00F07BB4"/>
    <w:rsid w:val="00F10347"/>
    <w:rsid w:val="00F104B8"/>
    <w:rsid w:val="00F105C4"/>
    <w:rsid w:val="00F10C84"/>
    <w:rsid w:val="00F11236"/>
    <w:rsid w:val="00F12B8B"/>
    <w:rsid w:val="00F12F93"/>
    <w:rsid w:val="00F130D8"/>
    <w:rsid w:val="00F14788"/>
    <w:rsid w:val="00F148C3"/>
    <w:rsid w:val="00F14D45"/>
    <w:rsid w:val="00F159A2"/>
    <w:rsid w:val="00F15C8C"/>
    <w:rsid w:val="00F162B1"/>
    <w:rsid w:val="00F162C4"/>
    <w:rsid w:val="00F16CBC"/>
    <w:rsid w:val="00F178BC"/>
    <w:rsid w:val="00F20B3C"/>
    <w:rsid w:val="00F220EB"/>
    <w:rsid w:val="00F226F7"/>
    <w:rsid w:val="00F22CF4"/>
    <w:rsid w:val="00F23887"/>
    <w:rsid w:val="00F2394D"/>
    <w:rsid w:val="00F23959"/>
    <w:rsid w:val="00F24164"/>
    <w:rsid w:val="00F24686"/>
    <w:rsid w:val="00F25185"/>
    <w:rsid w:val="00F252A7"/>
    <w:rsid w:val="00F2576F"/>
    <w:rsid w:val="00F25A93"/>
    <w:rsid w:val="00F25B0F"/>
    <w:rsid w:val="00F26351"/>
    <w:rsid w:val="00F2684E"/>
    <w:rsid w:val="00F26E4D"/>
    <w:rsid w:val="00F27456"/>
    <w:rsid w:val="00F275DB"/>
    <w:rsid w:val="00F2779E"/>
    <w:rsid w:val="00F307A8"/>
    <w:rsid w:val="00F30ADF"/>
    <w:rsid w:val="00F30EA0"/>
    <w:rsid w:val="00F316A8"/>
    <w:rsid w:val="00F31AB8"/>
    <w:rsid w:val="00F32068"/>
    <w:rsid w:val="00F333DE"/>
    <w:rsid w:val="00F33449"/>
    <w:rsid w:val="00F337E1"/>
    <w:rsid w:val="00F342A5"/>
    <w:rsid w:val="00F34BA2"/>
    <w:rsid w:val="00F366A6"/>
    <w:rsid w:val="00F36FF3"/>
    <w:rsid w:val="00F374EB"/>
    <w:rsid w:val="00F37EB0"/>
    <w:rsid w:val="00F40139"/>
    <w:rsid w:val="00F4057F"/>
    <w:rsid w:val="00F40828"/>
    <w:rsid w:val="00F408F2"/>
    <w:rsid w:val="00F41492"/>
    <w:rsid w:val="00F41A7E"/>
    <w:rsid w:val="00F421E8"/>
    <w:rsid w:val="00F42784"/>
    <w:rsid w:val="00F4313A"/>
    <w:rsid w:val="00F432B7"/>
    <w:rsid w:val="00F4344B"/>
    <w:rsid w:val="00F43A4E"/>
    <w:rsid w:val="00F43AAD"/>
    <w:rsid w:val="00F43E33"/>
    <w:rsid w:val="00F445A7"/>
    <w:rsid w:val="00F4558F"/>
    <w:rsid w:val="00F45679"/>
    <w:rsid w:val="00F458C1"/>
    <w:rsid w:val="00F46700"/>
    <w:rsid w:val="00F46926"/>
    <w:rsid w:val="00F46E6E"/>
    <w:rsid w:val="00F4715F"/>
    <w:rsid w:val="00F471E1"/>
    <w:rsid w:val="00F503FE"/>
    <w:rsid w:val="00F5143C"/>
    <w:rsid w:val="00F5170F"/>
    <w:rsid w:val="00F51A49"/>
    <w:rsid w:val="00F53F7D"/>
    <w:rsid w:val="00F5404C"/>
    <w:rsid w:val="00F54796"/>
    <w:rsid w:val="00F5550A"/>
    <w:rsid w:val="00F563E3"/>
    <w:rsid w:val="00F56564"/>
    <w:rsid w:val="00F579A6"/>
    <w:rsid w:val="00F57FED"/>
    <w:rsid w:val="00F602CB"/>
    <w:rsid w:val="00F60E9B"/>
    <w:rsid w:val="00F61E71"/>
    <w:rsid w:val="00F61ED3"/>
    <w:rsid w:val="00F61FFF"/>
    <w:rsid w:val="00F62314"/>
    <w:rsid w:val="00F62E10"/>
    <w:rsid w:val="00F63593"/>
    <w:rsid w:val="00F63808"/>
    <w:rsid w:val="00F64235"/>
    <w:rsid w:val="00F65078"/>
    <w:rsid w:val="00F66123"/>
    <w:rsid w:val="00F66537"/>
    <w:rsid w:val="00F666E3"/>
    <w:rsid w:val="00F66DEB"/>
    <w:rsid w:val="00F66FCB"/>
    <w:rsid w:val="00F675D6"/>
    <w:rsid w:val="00F67F27"/>
    <w:rsid w:val="00F70885"/>
    <w:rsid w:val="00F716E0"/>
    <w:rsid w:val="00F71D60"/>
    <w:rsid w:val="00F72872"/>
    <w:rsid w:val="00F729EF"/>
    <w:rsid w:val="00F72FA4"/>
    <w:rsid w:val="00F731F9"/>
    <w:rsid w:val="00F7349C"/>
    <w:rsid w:val="00F73B6C"/>
    <w:rsid w:val="00F744A2"/>
    <w:rsid w:val="00F745A5"/>
    <w:rsid w:val="00F7541D"/>
    <w:rsid w:val="00F755F4"/>
    <w:rsid w:val="00F75846"/>
    <w:rsid w:val="00F759F2"/>
    <w:rsid w:val="00F764B6"/>
    <w:rsid w:val="00F772E6"/>
    <w:rsid w:val="00F77434"/>
    <w:rsid w:val="00F7765A"/>
    <w:rsid w:val="00F77CAE"/>
    <w:rsid w:val="00F80CE5"/>
    <w:rsid w:val="00F80DDB"/>
    <w:rsid w:val="00F81349"/>
    <w:rsid w:val="00F819EB"/>
    <w:rsid w:val="00F82271"/>
    <w:rsid w:val="00F82B6B"/>
    <w:rsid w:val="00F82CF7"/>
    <w:rsid w:val="00F82E8F"/>
    <w:rsid w:val="00F83428"/>
    <w:rsid w:val="00F835B5"/>
    <w:rsid w:val="00F84AA2"/>
    <w:rsid w:val="00F84EF6"/>
    <w:rsid w:val="00F850C2"/>
    <w:rsid w:val="00F852B8"/>
    <w:rsid w:val="00F854D6"/>
    <w:rsid w:val="00F87C79"/>
    <w:rsid w:val="00F87CD3"/>
    <w:rsid w:val="00F90B24"/>
    <w:rsid w:val="00F911BF"/>
    <w:rsid w:val="00F91636"/>
    <w:rsid w:val="00F91B37"/>
    <w:rsid w:val="00F91D9E"/>
    <w:rsid w:val="00F92FC5"/>
    <w:rsid w:val="00F93508"/>
    <w:rsid w:val="00F93A43"/>
    <w:rsid w:val="00F93E09"/>
    <w:rsid w:val="00F93FB2"/>
    <w:rsid w:val="00F94A1F"/>
    <w:rsid w:val="00F950A1"/>
    <w:rsid w:val="00F95854"/>
    <w:rsid w:val="00F96AD3"/>
    <w:rsid w:val="00F96BB9"/>
    <w:rsid w:val="00F97380"/>
    <w:rsid w:val="00F9789F"/>
    <w:rsid w:val="00FA072E"/>
    <w:rsid w:val="00FA0CAA"/>
    <w:rsid w:val="00FA1115"/>
    <w:rsid w:val="00FA11F4"/>
    <w:rsid w:val="00FA1EFC"/>
    <w:rsid w:val="00FA29B6"/>
    <w:rsid w:val="00FA43C9"/>
    <w:rsid w:val="00FA542D"/>
    <w:rsid w:val="00FA555D"/>
    <w:rsid w:val="00FA5809"/>
    <w:rsid w:val="00FA5DCC"/>
    <w:rsid w:val="00FA6021"/>
    <w:rsid w:val="00FA628D"/>
    <w:rsid w:val="00FA66B9"/>
    <w:rsid w:val="00FA68DA"/>
    <w:rsid w:val="00FA697F"/>
    <w:rsid w:val="00FA74EB"/>
    <w:rsid w:val="00FA76DB"/>
    <w:rsid w:val="00FA76DE"/>
    <w:rsid w:val="00FA7A80"/>
    <w:rsid w:val="00FA7B83"/>
    <w:rsid w:val="00FB0CC5"/>
    <w:rsid w:val="00FB16E1"/>
    <w:rsid w:val="00FB180F"/>
    <w:rsid w:val="00FB1915"/>
    <w:rsid w:val="00FB19C4"/>
    <w:rsid w:val="00FB1E62"/>
    <w:rsid w:val="00FB2276"/>
    <w:rsid w:val="00FB2966"/>
    <w:rsid w:val="00FB2DE4"/>
    <w:rsid w:val="00FB3B62"/>
    <w:rsid w:val="00FB40A4"/>
    <w:rsid w:val="00FB4E59"/>
    <w:rsid w:val="00FB50E5"/>
    <w:rsid w:val="00FB5FD8"/>
    <w:rsid w:val="00FB6567"/>
    <w:rsid w:val="00FC01DE"/>
    <w:rsid w:val="00FC1A56"/>
    <w:rsid w:val="00FC2C20"/>
    <w:rsid w:val="00FC31DE"/>
    <w:rsid w:val="00FC322F"/>
    <w:rsid w:val="00FC3405"/>
    <w:rsid w:val="00FC3448"/>
    <w:rsid w:val="00FC38A5"/>
    <w:rsid w:val="00FC3AE7"/>
    <w:rsid w:val="00FC609E"/>
    <w:rsid w:val="00FC764C"/>
    <w:rsid w:val="00FD0844"/>
    <w:rsid w:val="00FD089D"/>
    <w:rsid w:val="00FD0C88"/>
    <w:rsid w:val="00FD150D"/>
    <w:rsid w:val="00FD227F"/>
    <w:rsid w:val="00FD2398"/>
    <w:rsid w:val="00FD279A"/>
    <w:rsid w:val="00FD2F76"/>
    <w:rsid w:val="00FD381B"/>
    <w:rsid w:val="00FD4399"/>
    <w:rsid w:val="00FD49EA"/>
    <w:rsid w:val="00FD5071"/>
    <w:rsid w:val="00FD5BFC"/>
    <w:rsid w:val="00FD5D3F"/>
    <w:rsid w:val="00FD632F"/>
    <w:rsid w:val="00FD677E"/>
    <w:rsid w:val="00FD67C7"/>
    <w:rsid w:val="00FD6B64"/>
    <w:rsid w:val="00FD6EA5"/>
    <w:rsid w:val="00FD70A7"/>
    <w:rsid w:val="00FD77CD"/>
    <w:rsid w:val="00FD7E7D"/>
    <w:rsid w:val="00FE06CA"/>
    <w:rsid w:val="00FE0D26"/>
    <w:rsid w:val="00FE167C"/>
    <w:rsid w:val="00FE1798"/>
    <w:rsid w:val="00FE1822"/>
    <w:rsid w:val="00FE1944"/>
    <w:rsid w:val="00FE2EC5"/>
    <w:rsid w:val="00FE31A1"/>
    <w:rsid w:val="00FE31DD"/>
    <w:rsid w:val="00FE346E"/>
    <w:rsid w:val="00FE48F8"/>
    <w:rsid w:val="00FE5048"/>
    <w:rsid w:val="00FE5066"/>
    <w:rsid w:val="00FE5625"/>
    <w:rsid w:val="00FE5858"/>
    <w:rsid w:val="00FE6309"/>
    <w:rsid w:val="00FE6837"/>
    <w:rsid w:val="00FE6D51"/>
    <w:rsid w:val="00FE6F2A"/>
    <w:rsid w:val="00FE707F"/>
    <w:rsid w:val="00FE7081"/>
    <w:rsid w:val="00FE7161"/>
    <w:rsid w:val="00FE74F0"/>
    <w:rsid w:val="00FE77A7"/>
    <w:rsid w:val="00FF03A6"/>
    <w:rsid w:val="00FF0DFB"/>
    <w:rsid w:val="00FF11E0"/>
    <w:rsid w:val="00FF1B06"/>
    <w:rsid w:val="00FF320D"/>
    <w:rsid w:val="00FF3BD7"/>
    <w:rsid w:val="00FF3F71"/>
    <w:rsid w:val="00FF45C8"/>
    <w:rsid w:val="00FF54A5"/>
    <w:rsid w:val="00FF5A82"/>
    <w:rsid w:val="00FF6049"/>
    <w:rsid w:val="00FF68C5"/>
    <w:rsid w:val="00FF6EDD"/>
    <w:rsid w:val="00FF7498"/>
    <w:rsid w:val="03444096"/>
    <w:rsid w:val="05AB6AF0"/>
    <w:rsid w:val="05FA4405"/>
    <w:rsid w:val="0646F99C"/>
    <w:rsid w:val="0718A19B"/>
    <w:rsid w:val="09A5284B"/>
    <w:rsid w:val="09B5AAB8"/>
    <w:rsid w:val="09C3CE46"/>
    <w:rsid w:val="0A1450B2"/>
    <w:rsid w:val="0C5E8993"/>
    <w:rsid w:val="0EC4D471"/>
    <w:rsid w:val="0EE60CCE"/>
    <w:rsid w:val="0EF77E90"/>
    <w:rsid w:val="10BF55EB"/>
    <w:rsid w:val="10DBE78F"/>
    <w:rsid w:val="11ECBFD8"/>
    <w:rsid w:val="1227540F"/>
    <w:rsid w:val="133B7C49"/>
    <w:rsid w:val="1362498C"/>
    <w:rsid w:val="13984594"/>
    <w:rsid w:val="14668C41"/>
    <w:rsid w:val="14878F4B"/>
    <w:rsid w:val="14FDA6AD"/>
    <w:rsid w:val="163990D0"/>
    <w:rsid w:val="16D2EFC3"/>
    <w:rsid w:val="183D5774"/>
    <w:rsid w:val="1897E62C"/>
    <w:rsid w:val="190E57AD"/>
    <w:rsid w:val="1A8922C9"/>
    <w:rsid w:val="1ADBFB80"/>
    <w:rsid w:val="1B97B83D"/>
    <w:rsid w:val="1BC996EA"/>
    <w:rsid w:val="1C1FE46F"/>
    <w:rsid w:val="1DA5F46F"/>
    <w:rsid w:val="1DC0C38B"/>
    <w:rsid w:val="1E36800A"/>
    <w:rsid w:val="1F29A392"/>
    <w:rsid w:val="20D384E4"/>
    <w:rsid w:val="21AAD640"/>
    <w:rsid w:val="2205C579"/>
    <w:rsid w:val="22780DD2"/>
    <w:rsid w:val="229DCEAA"/>
    <w:rsid w:val="22DAAE5B"/>
    <w:rsid w:val="23C9CA69"/>
    <w:rsid w:val="24015DCA"/>
    <w:rsid w:val="24AFF80F"/>
    <w:rsid w:val="251C484E"/>
    <w:rsid w:val="2642EB83"/>
    <w:rsid w:val="26515299"/>
    <w:rsid w:val="29B74EE7"/>
    <w:rsid w:val="29BBEC0E"/>
    <w:rsid w:val="2A3009BA"/>
    <w:rsid w:val="2B8FB908"/>
    <w:rsid w:val="2C013C71"/>
    <w:rsid w:val="2D0DF314"/>
    <w:rsid w:val="2E14FD5D"/>
    <w:rsid w:val="2FAFF8E6"/>
    <w:rsid w:val="30902A23"/>
    <w:rsid w:val="30DDC09E"/>
    <w:rsid w:val="31BF4C17"/>
    <w:rsid w:val="328D7155"/>
    <w:rsid w:val="32DDF080"/>
    <w:rsid w:val="3555B07C"/>
    <w:rsid w:val="36A05970"/>
    <w:rsid w:val="36BD3B83"/>
    <w:rsid w:val="372DF13C"/>
    <w:rsid w:val="38124139"/>
    <w:rsid w:val="385F3070"/>
    <w:rsid w:val="39AAC5C7"/>
    <w:rsid w:val="3AAF7724"/>
    <w:rsid w:val="3AB5E55A"/>
    <w:rsid w:val="3AB7C50E"/>
    <w:rsid w:val="3B87F12F"/>
    <w:rsid w:val="3BB5FEED"/>
    <w:rsid w:val="3CA69FB3"/>
    <w:rsid w:val="3CD82910"/>
    <w:rsid w:val="3F07B209"/>
    <w:rsid w:val="411AF113"/>
    <w:rsid w:val="444C8F2F"/>
    <w:rsid w:val="44DF8683"/>
    <w:rsid w:val="4518B908"/>
    <w:rsid w:val="4518E013"/>
    <w:rsid w:val="453ED4BF"/>
    <w:rsid w:val="454F39B3"/>
    <w:rsid w:val="45A17CCA"/>
    <w:rsid w:val="46330F3E"/>
    <w:rsid w:val="467D834C"/>
    <w:rsid w:val="46CB1DCB"/>
    <w:rsid w:val="47212461"/>
    <w:rsid w:val="4802ED60"/>
    <w:rsid w:val="490F148C"/>
    <w:rsid w:val="49D414D7"/>
    <w:rsid w:val="4AE2BA2F"/>
    <w:rsid w:val="4AE4F2F2"/>
    <w:rsid w:val="4B135235"/>
    <w:rsid w:val="4B25B67C"/>
    <w:rsid w:val="4C4F89DC"/>
    <w:rsid w:val="4D4A0764"/>
    <w:rsid w:val="4E3A79B3"/>
    <w:rsid w:val="4ED0F74C"/>
    <w:rsid w:val="4F1A373F"/>
    <w:rsid w:val="50A3E1CE"/>
    <w:rsid w:val="51E0AE41"/>
    <w:rsid w:val="51E9604E"/>
    <w:rsid w:val="5219A75B"/>
    <w:rsid w:val="527656AC"/>
    <w:rsid w:val="53112885"/>
    <w:rsid w:val="5316B565"/>
    <w:rsid w:val="5381D344"/>
    <w:rsid w:val="553BD02C"/>
    <w:rsid w:val="555E5420"/>
    <w:rsid w:val="564BCE0D"/>
    <w:rsid w:val="565B4A54"/>
    <w:rsid w:val="576CCC65"/>
    <w:rsid w:val="59AE94D4"/>
    <w:rsid w:val="5A26EBCF"/>
    <w:rsid w:val="5CA97A6E"/>
    <w:rsid w:val="5CE38C52"/>
    <w:rsid w:val="5D19C422"/>
    <w:rsid w:val="5D9CA69A"/>
    <w:rsid w:val="5DB9F578"/>
    <w:rsid w:val="5F62B2BB"/>
    <w:rsid w:val="6193C5B9"/>
    <w:rsid w:val="62379468"/>
    <w:rsid w:val="626970D5"/>
    <w:rsid w:val="62735219"/>
    <w:rsid w:val="6542144D"/>
    <w:rsid w:val="65D594BD"/>
    <w:rsid w:val="66DB7F3A"/>
    <w:rsid w:val="67FACB89"/>
    <w:rsid w:val="68985B5C"/>
    <w:rsid w:val="69BA8AF8"/>
    <w:rsid w:val="6A86E4B5"/>
    <w:rsid w:val="6AA04761"/>
    <w:rsid w:val="6AEAE753"/>
    <w:rsid w:val="6B026B24"/>
    <w:rsid w:val="6B05F1CF"/>
    <w:rsid w:val="6B54FC83"/>
    <w:rsid w:val="6C16FB2A"/>
    <w:rsid w:val="6C8100F4"/>
    <w:rsid w:val="6C9E1C41"/>
    <w:rsid w:val="6D408668"/>
    <w:rsid w:val="6EB4D159"/>
    <w:rsid w:val="6EFB498A"/>
    <w:rsid w:val="6FA86E15"/>
    <w:rsid w:val="6FDEC15C"/>
    <w:rsid w:val="7038DB35"/>
    <w:rsid w:val="70413022"/>
    <w:rsid w:val="7089B0B2"/>
    <w:rsid w:val="70B2A21F"/>
    <w:rsid w:val="71A80C5F"/>
    <w:rsid w:val="729618AE"/>
    <w:rsid w:val="739E110B"/>
    <w:rsid w:val="742D33CA"/>
    <w:rsid w:val="74378466"/>
    <w:rsid w:val="7490C2DE"/>
    <w:rsid w:val="74EB8600"/>
    <w:rsid w:val="755888D1"/>
    <w:rsid w:val="7584C6A9"/>
    <w:rsid w:val="766CDAF1"/>
    <w:rsid w:val="770754E8"/>
    <w:rsid w:val="775E0E35"/>
    <w:rsid w:val="7806B6AE"/>
    <w:rsid w:val="78E583E2"/>
    <w:rsid w:val="78F88796"/>
    <w:rsid w:val="78FDA9BD"/>
    <w:rsid w:val="7959061E"/>
    <w:rsid w:val="7AE430A8"/>
    <w:rsid w:val="7B10107D"/>
    <w:rsid w:val="7CD3D98B"/>
    <w:rsid w:val="7D31C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289E9"/>
  <w15:docId w15:val="{745BBED5-183A-405E-9851-11C4B6FB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locked="0"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B55E8"/>
    <w:pPr>
      <w:suppressAutoHyphens/>
      <w:spacing w:before="120" w:after="60" w:line="260" w:lineRule="atLeast"/>
    </w:pPr>
    <w:rPr>
      <w:color w:val="495965" w:themeColor="text2"/>
      <w:lang w:val="en-GB"/>
    </w:rPr>
  </w:style>
  <w:style w:type="paragraph" w:styleId="Heading1">
    <w:name w:val="heading 1"/>
    <w:basedOn w:val="Normal"/>
    <w:next w:val="Normal"/>
    <w:link w:val="Heading1Char"/>
    <w:uiPriority w:val="9"/>
    <w:qFormat/>
    <w:rsid w:val="007706B8"/>
    <w:pPr>
      <w:keepNext/>
      <w:keepLines/>
      <w:spacing w:before="0" w:after="180" w:line="380" w:lineRule="exact"/>
      <w:contextualSpacing/>
      <w:outlineLvl w:val="0"/>
    </w:pPr>
    <w:rPr>
      <w:rFonts w:asciiTheme="majorHAnsi" w:eastAsiaTheme="majorEastAsia" w:hAnsiTheme="majorHAnsi" w:cstheme="majorBidi"/>
      <w:b/>
      <w:bCs/>
      <w:caps/>
      <w:sz w:val="38"/>
      <w:szCs w:val="28"/>
    </w:rPr>
  </w:style>
  <w:style w:type="paragraph" w:styleId="Heading2">
    <w:name w:val="heading 2"/>
    <w:basedOn w:val="Heading1"/>
    <w:next w:val="Normal"/>
    <w:link w:val="Heading2Char"/>
    <w:uiPriority w:val="9"/>
    <w:unhideWhenUsed/>
    <w:qFormat/>
    <w:rsid w:val="00983AED"/>
    <w:pPr>
      <w:spacing w:before="480" w:after="120"/>
      <w:outlineLvl w:val="1"/>
    </w:pPr>
    <w:rPr>
      <w:b w:val="0"/>
      <w:bCs w:val="0"/>
      <w:szCs w:val="26"/>
    </w:rPr>
  </w:style>
  <w:style w:type="paragraph" w:styleId="Heading3">
    <w:name w:val="heading 3"/>
    <w:basedOn w:val="Heading2"/>
    <w:next w:val="Normal"/>
    <w:link w:val="Heading3Char"/>
    <w:uiPriority w:val="9"/>
    <w:unhideWhenUsed/>
    <w:qFormat/>
    <w:rsid w:val="00ED2831"/>
    <w:p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A4144F"/>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7706B8"/>
    <w:pPr>
      <w:spacing w:line="200" w:lineRule="atLeast"/>
      <w:outlineLvl w:val="4"/>
    </w:pPr>
    <w:rPr>
      <w:b/>
      <w:sz w:val="22"/>
    </w:rPr>
  </w:style>
  <w:style w:type="paragraph" w:styleId="Heading6">
    <w:name w:val="heading 6"/>
    <w:basedOn w:val="Heading5"/>
    <w:next w:val="Normal"/>
    <w:link w:val="Heading6Char"/>
    <w:uiPriority w:val="9"/>
    <w:unhideWhenUsed/>
    <w:qFormat/>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locked/>
    <w:rsid w:val="00486804"/>
    <w:pPr>
      <w:outlineLvl w:val="6"/>
    </w:pPr>
    <w:rPr>
      <w:i/>
      <w:iCs w:val="0"/>
    </w:rPr>
  </w:style>
  <w:style w:type="paragraph" w:styleId="Heading8">
    <w:name w:val="heading 8"/>
    <w:basedOn w:val="Heading7"/>
    <w:next w:val="Normal"/>
    <w:link w:val="Heading8Char"/>
    <w:uiPriority w:val="9"/>
    <w:semiHidden/>
    <w:unhideWhenUsed/>
    <w:qFormat/>
    <w:locked/>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486804"/>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B8"/>
    <w:rPr>
      <w:rFonts w:asciiTheme="majorHAnsi" w:eastAsiaTheme="majorEastAsia" w:hAnsiTheme="majorHAnsi" w:cstheme="majorBidi"/>
      <w:b/>
      <w:bCs/>
      <w:caps/>
      <w:color w:val="495965" w:themeColor="text2"/>
      <w:sz w:val="38"/>
      <w:szCs w:val="28"/>
      <w:lang w:val="en-GB"/>
    </w:rPr>
  </w:style>
  <w:style w:type="character" w:customStyle="1" w:styleId="Heading2Char">
    <w:name w:val="Heading 2 Char"/>
    <w:basedOn w:val="DefaultParagraphFont"/>
    <w:link w:val="Heading2"/>
    <w:uiPriority w:val="9"/>
    <w:rsid w:val="00983AED"/>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uiPriority w:val="9"/>
    <w:rsid w:val="00ED2831"/>
    <w:rPr>
      <w:rFonts w:asciiTheme="majorHAnsi" w:eastAsiaTheme="majorEastAsia" w:hAnsiTheme="majorHAnsi" w:cstheme="majorBidi"/>
      <w:bCs/>
      <w:color w:val="495965" w:themeColor="text2"/>
      <w:sz w:val="30"/>
      <w:szCs w:val="26"/>
      <w:lang w:val="en-GB"/>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64BD1"/>
    <w:pPr>
      <w:spacing w:after="0"/>
    </w:pPr>
    <w:rPr>
      <w:spacing w:val="-10"/>
      <w:kern w:val="28"/>
      <w:szCs w:val="52"/>
    </w:rPr>
  </w:style>
  <w:style w:type="character" w:customStyle="1" w:styleId="TitleChar">
    <w:name w:val="Title Char"/>
    <w:basedOn w:val="DefaultParagraphFont"/>
    <w:link w:val="Title"/>
    <w:uiPriority w:val="10"/>
    <w:rsid w:val="00D64BD1"/>
    <w:rPr>
      <w:rFonts w:asciiTheme="majorHAnsi" w:eastAsiaTheme="majorEastAsia" w:hAnsiTheme="majorHAnsi" w:cstheme="majorBidi"/>
      <w:b/>
      <w:bCs/>
      <w:caps/>
      <w:color w:val="495965" w:themeColor="text2"/>
      <w:spacing w:val="-10"/>
      <w:kern w:val="28"/>
      <w:sz w:val="38"/>
      <w:szCs w:val="52"/>
    </w:rPr>
  </w:style>
  <w:style w:type="paragraph" w:styleId="Subtitle">
    <w:name w:val="Subtitle"/>
    <w:basedOn w:val="Title"/>
    <w:next w:val="Normal"/>
    <w:link w:val="SubtitleChar"/>
    <w:uiPriority w:val="11"/>
    <w:qFormat/>
    <w:rsid w:val="00D64BD1"/>
    <w:pPr>
      <w:numPr>
        <w:ilvl w:val="1"/>
      </w:numPr>
      <w:spacing w:before="60" w:after="300"/>
    </w:pPr>
    <w:rPr>
      <w:rFonts w:asciiTheme="minorHAnsi" w:hAnsiTheme="minorHAnsi"/>
      <w:b w:val="0"/>
      <w:iCs/>
      <w:szCs w:val="24"/>
    </w:rPr>
  </w:style>
  <w:style w:type="character" w:customStyle="1" w:styleId="SubtitleChar">
    <w:name w:val="Subtitle Char"/>
    <w:basedOn w:val="DefaultParagraphFont"/>
    <w:link w:val="Subtitle"/>
    <w:uiPriority w:val="11"/>
    <w:rsid w:val="00D64BD1"/>
    <w:rPr>
      <w:rFonts w:eastAsiaTheme="majorEastAsia" w:cstheme="majorBidi"/>
      <w:bCs/>
      <w:iCs/>
      <w:caps/>
      <w:color w:val="495965" w:themeColor="text2"/>
      <w:spacing w:val="-10"/>
      <w:kern w:val="28"/>
      <w:sz w:val="38"/>
      <w:szCs w:val="24"/>
    </w:rPr>
  </w:style>
  <w:style w:type="paragraph" w:customStyle="1" w:styleId="Bullet1">
    <w:name w:val="Bullet 1"/>
    <w:basedOn w:val="Normal"/>
    <w:qFormat/>
    <w:rsid w:val="007706B8"/>
    <w:pPr>
      <w:numPr>
        <w:numId w:val="6"/>
      </w:numPr>
      <w:spacing w:before="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2684E"/>
    <w:pPr>
      <w:numPr>
        <w:numId w:val="8"/>
      </w:numPr>
      <w:spacing w:before="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107"/>
      </w:numPr>
    </w:pPr>
  </w:style>
  <w:style w:type="paragraph" w:customStyle="1" w:styleId="Heading2Numbered">
    <w:name w:val="Heading 2 Numbered"/>
    <w:basedOn w:val="Heading2"/>
    <w:next w:val="Normal"/>
    <w:qFormat/>
    <w:rsid w:val="00ED2831"/>
    <w:pPr>
      <w:numPr>
        <w:ilvl w:val="1"/>
        <w:numId w:val="107"/>
      </w:numPr>
      <w:spacing w:after="60"/>
    </w:pPr>
    <w:rPr>
      <w:bCs/>
    </w:rPr>
  </w:style>
  <w:style w:type="paragraph" w:customStyle="1" w:styleId="Heading3Numbered">
    <w:name w:val="Heading 3 Numbered"/>
    <w:basedOn w:val="Heading3"/>
    <w:next w:val="Normal"/>
    <w:qFormat/>
    <w:rsid w:val="00ED2831"/>
    <w:pPr>
      <w:numPr>
        <w:ilvl w:val="2"/>
        <w:numId w:val="107"/>
      </w:numPr>
      <w:spacing w:before="300" w:after="60"/>
    </w:pPr>
    <w:rPr>
      <w:szCs w:val="22"/>
    </w:rPr>
  </w:style>
  <w:style w:type="numbering" w:customStyle="1" w:styleId="BulletsList">
    <w:name w:val="Bullets List"/>
    <w:uiPriority w:val="99"/>
    <w:rsid w:val="007706B8"/>
    <w:pPr>
      <w:numPr>
        <w:numId w:val="1"/>
      </w:numPr>
    </w:pPr>
  </w:style>
  <w:style w:type="numbering" w:customStyle="1" w:styleId="Numberedlist">
    <w:name w:val="Numbered list"/>
    <w:uiPriority w:val="99"/>
    <w:rsid w:val="00F2684E"/>
    <w:pPr>
      <w:numPr>
        <w:numId w:val="2"/>
      </w:numPr>
    </w:pPr>
  </w:style>
  <w:style w:type="numbering" w:customStyle="1" w:styleId="HeadingsList">
    <w:name w:val="Headings List"/>
    <w:uiPriority w:val="99"/>
    <w:rsid w:val="001E1DC0"/>
    <w:pPr>
      <w:numPr>
        <w:numId w:val="3"/>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D2831"/>
    <w:pPr>
      <w:suppressAutoHyphens w:val="0"/>
      <w:spacing w:after="600"/>
      <w:contextualSpacing w:val="0"/>
      <w:outlineLvl w:val="9"/>
    </w:pPr>
    <w:rPr>
      <w:bCs w:val="0"/>
      <w:szCs w:val="32"/>
    </w:rPr>
  </w:style>
  <w:style w:type="character" w:customStyle="1" w:styleId="Heading4Char">
    <w:name w:val="Heading 4 Char"/>
    <w:basedOn w:val="DefaultParagraphFont"/>
    <w:link w:val="Heading4"/>
    <w:uiPriority w:val="9"/>
    <w:rsid w:val="00A4144F"/>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7D429B"/>
    <w:pPr>
      <w:pBdr>
        <w:top w:val="single" w:sz="4" w:space="6" w:color="65C5B4" w:themeColor="accent1"/>
        <w:between w:val="single" w:sz="4" w:space="6" w:color="65C5B4" w:themeColor="accent1"/>
      </w:pBdr>
      <w:tabs>
        <w:tab w:val="left" w:pos="660"/>
        <w:tab w:val="right" w:pos="9639"/>
      </w:tabs>
      <w:spacing w:before="40" w:after="40" w:line="240" w:lineRule="auto"/>
    </w:pPr>
    <w:rPr>
      <w:b/>
      <w:caps/>
      <w:noProof/>
      <w:color w:val="296C60" w:themeColor="accent1" w:themeShade="80"/>
      <w:sz w:val="24"/>
    </w:rPr>
  </w:style>
  <w:style w:type="paragraph" w:styleId="TOC2">
    <w:name w:val="toc 2"/>
    <w:basedOn w:val="Normal"/>
    <w:next w:val="Normal"/>
    <w:autoRedefine/>
    <w:uiPriority w:val="39"/>
    <w:unhideWhenUsed/>
    <w:rsid w:val="00134B14"/>
    <w:pPr>
      <w:spacing w:before="40" w:after="40" w:line="240" w:lineRule="auto"/>
      <w:ind w:left="198"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FC322F"/>
    <w:pPr>
      <w:tabs>
        <w:tab w:val="center" w:pos="4513"/>
        <w:tab w:val="right" w:pos="9026"/>
      </w:tabs>
      <w:spacing w:before="0" w:after="0"/>
      <w:ind w:left="227"/>
    </w:pPr>
    <w:rPr>
      <w:b/>
      <w:caps/>
      <w:color w:val="FFFFFF" w:themeColor="background1"/>
      <w:sz w:val="20"/>
    </w:r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ED283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7706B8"/>
    <w:pPr>
      <w:spacing w:before="400" w:after="400" w:line="280" w:lineRule="exact"/>
    </w:pPr>
    <w:rPr>
      <w:b/>
      <w:color w:val="ACD08C" w:themeColor="accent2"/>
      <w:sz w:val="28"/>
    </w:rPr>
  </w:style>
  <w:style w:type="table" w:styleId="TableGrid">
    <w:name w:val="Table Grid"/>
    <w:basedOn w:val="TableNormal"/>
    <w:uiPriority w:val="39"/>
    <w:locked/>
    <w:rsid w:val="00ED2831"/>
    <w:pPr>
      <w:spacing w:after="0" w:line="240" w:lineRule="auto"/>
    </w:pPr>
    <w:tblPr/>
  </w:style>
  <w:style w:type="character" w:customStyle="1" w:styleId="HeaderChar">
    <w:name w:val="Header Char"/>
    <w:basedOn w:val="DefaultParagraphFont"/>
    <w:link w:val="Header"/>
    <w:uiPriority w:val="99"/>
    <w:rsid w:val="00FC322F"/>
    <w:rPr>
      <w:b/>
      <w:caps/>
      <w:color w:val="FFFFFF" w:themeColor="background1"/>
      <w:sz w:val="20"/>
      <w:lang w:val="en-GB"/>
    </w:rPr>
  </w:style>
  <w:style w:type="numbering" w:customStyle="1" w:styleId="FigureTitles">
    <w:name w:val="Figure Titles"/>
    <w:uiPriority w:val="99"/>
    <w:rsid w:val="006346BC"/>
    <w:pPr>
      <w:numPr>
        <w:numId w:val="5"/>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D32D6F"/>
    <w:rPr>
      <w:b/>
      <w:i/>
      <w:iCs/>
      <w:color w:val="495965" w:themeColor="text2"/>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7706B8"/>
    <w:rPr>
      <w:rFonts w:asciiTheme="majorHAnsi" w:eastAsiaTheme="majorEastAsia" w:hAnsiTheme="majorHAnsi" w:cstheme="majorBidi"/>
      <w:b/>
      <w:bCs/>
      <w:iCs/>
      <w:color w:val="495965" w:themeColor="text2"/>
      <w:szCs w:val="26"/>
      <w:lang w:val="en-GB"/>
    </w:rPr>
  </w:style>
  <w:style w:type="paragraph" w:styleId="Caption">
    <w:name w:val="caption"/>
    <w:basedOn w:val="Normal"/>
    <w:next w:val="Normal"/>
    <w:uiPriority w:val="35"/>
    <w:unhideWhenUsed/>
    <w:qFormat/>
    <w:rsid w:val="001214BE"/>
    <w:pPr>
      <w:spacing w:before="240" w:after="180" w:line="240" w:lineRule="atLeast"/>
      <w:contextualSpacing/>
    </w:pPr>
    <w:rPr>
      <w:b/>
      <w:iCs/>
      <w:sz w:val="20"/>
      <w:szCs w:val="18"/>
    </w:rPr>
  </w:style>
  <w:style w:type="paragraph" w:styleId="Footer">
    <w:name w:val="footer"/>
    <w:basedOn w:val="Normal"/>
    <w:link w:val="FooterChar"/>
    <w:uiPriority w:val="99"/>
    <w:unhideWhenUsed/>
    <w:rsid w:val="00FC322F"/>
    <w:pPr>
      <w:spacing w:before="0" w:after="0" w:line="240" w:lineRule="exact"/>
      <w:ind w:left="284" w:right="284"/>
    </w:pPr>
    <w:rPr>
      <w:color w:val="FFFFFF" w:themeColor="background1"/>
    </w:rPr>
  </w:style>
  <w:style w:type="character" w:customStyle="1" w:styleId="FooterChar">
    <w:name w:val="Footer Char"/>
    <w:basedOn w:val="DefaultParagraphFont"/>
    <w:link w:val="Footer"/>
    <w:uiPriority w:val="99"/>
    <w:rsid w:val="00FC322F"/>
    <w:rPr>
      <w:color w:val="FFFFFF" w:themeColor="background1"/>
      <w:lang w:val="en-GB"/>
    </w:rPr>
  </w:style>
  <w:style w:type="character" w:customStyle="1" w:styleId="Heading6Char">
    <w:name w:val="Heading 6 Char"/>
    <w:basedOn w:val="DefaultParagraphFont"/>
    <w:link w:val="Heading6"/>
    <w:uiPriority w:val="9"/>
    <w:rsid w:val="00486804"/>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D64BD1"/>
    <w:pPr>
      <w:spacing w:before="0" w:after="180" w:line="320" w:lineRule="atLeast"/>
    </w:pPr>
    <w:rPr>
      <w:iCs/>
      <w:sz w:val="28"/>
    </w:rPr>
  </w:style>
  <w:style w:type="character" w:customStyle="1" w:styleId="QuoteChar">
    <w:name w:val="Quote Char"/>
    <w:basedOn w:val="DefaultParagraphFont"/>
    <w:link w:val="Quote"/>
    <w:uiPriority w:val="29"/>
    <w:rsid w:val="00D64BD1"/>
    <w:rPr>
      <w:iCs/>
      <w:color w:val="495965" w:themeColor="text2"/>
      <w:sz w:val="28"/>
      <w:lang w:val="en-GB"/>
    </w:rPr>
  </w:style>
  <w:style w:type="paragraph" w:customStyle="1" w:styleId="QuoteHeading">
    <w:name w:val="Quote Heading"/>
    <w:basedOn w:val="Quote"/>
    <w:qFormat/>
    <w:locked/>
    <w:rsid w:val="00C5182A"/>
    <w:rPr>
      <w:b/>
      <w:sz w:val="20"/>
    </w:rPr>
  </w:style>
  <w:style w:type="paragraph" w:styleId="FootnoteText">
    <w:name w:val="footnote text"/>
    <w:aliases w:val=" Char,single space,Char,Footnote Text Char3,Footnote Text Char2 Char,Footnote Text Char1 Char Char,Footnote Text Char Char Char Char,Footnote Text Char Char1 Char,Footnote Text Char1 Char1,Footnote Text Char Char Char1,C"/>
    <w:basedOn w:val="Normal"/>
    <w:link w:val="FootnoteTextChar"/>
    <w:uiPriority w:val="99"/>
    <w:unhideWhenUsed/>
    <w:qFormat/>
    <w:rsid w:val="008C5A0E"/>
    <w:pPr>
      <w:spacing w:before="60" w:after="0" w:line="140" w:lineRule="atLeast"/>
      <w:ind w:left="170" w:hanging="170"/>
    </w:pPr>
    <w:rPr>
      <w:sz w:val="12"/>
      <w:szCs w:val="20"/>
    </w:rPr>
  </w:style>
  <w:style w:type="character" w:customStyle="1" w:styleId="FootnoteTextChar">
    <w:name w:val="Footnote Text Char"/>
    <w:aliases w:val=" Char Char,single space Char,Char Char,Footnote Text Char3 Char,Footnote Text Char2 Char Char,Footnote Text Char1 Char Char Char,Footnote Text Char Char Char Char Char,Footnote Text Char Char1 Char Char,Footnote Text Char1 Char1 Char"/>
    <w:basedOn w:val="DefaultParagraphFont"/>
    <w:link w:val="FootnoteText"/>
    <w:uiPriority w:val="99"/>
    <w:rsid w:val="008C5A0E"/>
    <w:rPr>
      <w:color w:val="495965" w:themeColor="text2"/>
      <w:sz w:val="12"/>
      <w:szCs w:val="20"/>
    </w:rPr>
  </w:style>
  <w:style w:type="character" w:styleId="FootnoteReference">
    <w:name w:val="footnote reference"/>
    <w:aliases w:val="Normal + Font:9 Point,Superscript 3 Point Times"/>
    <w:basedOn w:val="DefaultParagraphFont"/>
    <w:uiPriority w:val="99"/>
    <w:unhideWhenUsed/>
    <w:rsid w:val="003002C0"/>
    <w:rPr>
      <w:vertAlign w:val="superscript"/>
    </w:rPr>
  </w:style>
  <w:style w:type="paragraph" w:customStyle="1" w:styleId="GreyRoundBoxText">
    <w:name w:val="Grey Round Box Text"/>
    <w:basedOn w:val="Normal"/>
    <w:qFormat/>
    <w:rsid w:val="000D66D6"/>
    <w:pPr>
      <w:spacing w:before="0"/>
    </w:pPr>
    <w:rPr>
      <w:b/>
      <w:caps/>
      <w:color w:val="FFFFFF" w:themeColor="background1"/>
      <w:sz w:val="18"/>
    </w:rPr>
  </w:style>
  <w:style w:type="character" w:customStyle="1" w:styleId="Green">
    <w:name w:val="Green"/>
    <w:basedOn w:val="DefaultParagraphFont"/>
    <w:uiPriority w:val="1"/>
    <w:qFormat/>
    <w:rsid w:val="00961E72"/>
    <w:rPr>
      <w:color w:val="ACD08C" w:themeColor="accent2"/>
    </w:rPr>
  </w:style>
  <w:style w:type="paragraph" w:customStyle="1" w:styleId="PhotoMargins">
    <w:name w:val="Photo Margins"/>
    <w:basedOn w:val="Normal"/>
    <w:qFormat/>
    <w:rsid w:val="00992C76"/>
  </w:style>
  <w:style w:type="paragraph" w:customStyle="1" w:styleId="PhotoLeft">
    <w:name w:val="Photo Left"/>
    <w:basedOn w:val="PhotoMargins"/>
    <w:qFormat/>
    <w:rsid w:val="00F82271"/>
    <w:pPr>
      <w:ind w:left="-851"/>
    </w:pPr>
  </w:style>
  <w:style w:type="paragraph" w:customStyle="1" w:styleId="PhotoRight">
    <w:name w:val="Photo Right"/>
    <w:basedOn w:val="PhotoMargins"/>
    <w:qFormat/>
    <w:rsid w:val="00F82271"/>
    <w:pPr>
      <w:ind w:right="-851"/>
      <w:jc w:val="right"/>
    </w:pPr>
  </w:style>
  <w:style w:type="paragraph" w:customStyle="1" w:styleId="PhotoCaption">
    <w:name w:val="Photo Caption"/>
    <w:basedOn w:val="Normal"/>
    <w:qFormat/>
    <w:rsid w:val="00897FA2"/>
    <w:pPr>
      <w:spacing w:after="200" w:line="200" w:lineRule="atLeast"/>
      <w:jc w:val="right"/>
    </w:pPr>
    <w:rPr>
      <w:sz w:val="16"/>
    </w:rPr>
  </w:style>
  <w:style w:type="table" w:customStyle="1" w:styleId="DFATTable1">
    <w:name w:val="DFAT Table 1"/>
    <w:basedOn w:val="TableNormal"/>
    <w:uiPriority w:val="99"/>
    <w:rsid w:val="00C06B13"/>
    <w:pPr>
      <w:spacing w:before="60" w:after="60" w:line="260" w:lineRule="atLeast"/>
    </w:pPr>
    <w:rPr>
      <w:rFonts w:ascii="Calibri" w:hAnsi="Calibri"/>
    </w:rPr>
    <w:tblPr/>
    <w:tblStylePr w:type="firstRow">
      <w:rPr>
        <w:b w:val="0"/>
      </w:rPr>
    </w:tblStylePr>
    <w:tblStylePr w:type="lastRow">
      <w:rPr>
        <w:b/>
        <w:color w:val="FFFFFF"/>
      </w:r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pPr>
    <w:rPr>
      <w:color w:val="495965" w:themeColor="text2"/>
      <w:sz w:val="14"/>
    </w:rPr>
  </w:style>
  <w:style w:type="paragraph" w:customStyle="1" w:styleId="Heading1smallspaceafter">
    <w:name w:val="Heading 1 small space after"/>
    <w:basedOn w:val="Heading1"/>
    <w:qFormat/>
    <w:rsid w:val="00F25A93"/>
    <w:pPr>
      <w:spacing w:after="600"/>
      <w:contextualSpacing w:val="0"/>
    </w:pPr>
  </w:style>
  <w:style w:type="paragraph" w:customStyle="1" w:styleId="TableBullet1">
    <w:name w:val="Table Bullet 1"/>
    <w:basedOn w:val="Bullet1"/>
    <w:qFormat/>
    <w:rsid w:val="00ED2831"/>
    <w:pPr>
      <w:numPr>
        <w:numId w:val="0"/>
      </w:numPr>
      <w:spacing w:before="60" w:line="220" w:lineRule="atLeast"/>
      <w:ind w:left="284" w:hanging="284"/>
    </w:pPr>
    <w:rPr>
      <w:rFonts w:ascii="Calibri" w:hAnsi="Calibri"/>
      <w:sz w:val="18"/>
    </w:rPr>
  </w:style>
  <w:style w:type="paragraph" w:customStyle="1" w:styleId="TableBullet2">
    <w:name w:val="Table Bullet 2"/>
    <w:basedOn w:val="Bullet2"/>
    <w:qFormat/>
    <w:rsid w:val="00ED2831"/>
    <w:pPr>
      <w:numPr>
        <w:ilvl w:val="0"/>
        <w:numId w:val="0"/>
      </w:numPr>
      <w:spacing w:before="60" w:line="220" w:lineRule="atLeast"/>
      <w:ind w:left="568" w:hanging="284"/>
    </w:pPr>
    <w:rPr>
      <w:rFonts w:ascii="Calibri" w:hAnsi="Calibri"/>
      <w:sz w:val="18"/>
    </w:rPr>
  </w:style>
  <w:style w:type="paragraph" w:customStyle="1" w:styleId="TableBullet3">
    <w:name w:val="Table Bullet 3"/>
    <w:basedOn w:val="Bullet3"/>
    <w:qFormat/>
    <w:rsid w:val="00ED2831"/>
    <w:pPr>
      <w:numPr>
        <w:ilvl w:val="0"/>
        <w:numId w:val="0"/>
      </w:numPr>
      <w:spacing w:before="60" w:line="220" w:lineRule="atLeast"/>
      <w:ind w:left="852" w:hanging="284"/>
    </w:pPr>
    <w:rPr>
      <w:rFonts w:ascii="Calibri" w:hAnsi="Calibri"/>
      <w:sz w:val="18"/>
    </w:rPr>
  </w:style>
  <w:style w:type="paragraph" w:customStyle="1" w:styleId="TableHeaderRow">
    <w:name w:val="Table Header Row"/>
    <w:basedOn w:val="Normal"/>
    <w:qFormat/>
    <w:rsid w:val="00C06B13"/>
    <w:pPr>
      <w:framePr w:hSpace="180" w:wrap="around" w:vAnchor="page" w:hAnchor="margin" w:y="5061"/>
      <w:spacing w:before="60"/>
    </w:pPr>
    <w:rPr>
      <w:rFonts w:ascii="Calibri" w:hAnsi="Calibri"/>
      <w:b/>
      <w:szCs w:val="21"/>
    </w:rPr>
  </w:style>
  <w:style w:type="paragraph" w:customStyle="1" w:styleId="TableNumberedList1">
    <w:name w:val="Table Numbered List 1"/>
    <w:basedOn w:val="NumberedList1"/>
    <w:qFormat/>
    <w:rsid w:val="00ED2831"/>
    <w:pPr>
      <w:spacing w:before="60" w:line="220" w:lineRule="atLeast"/>
    </w:pPr>
    <w:rPr>
      <w:rFonts w:ascii="Calibri" w:hAnsi="Calibri"/>
      <w:sz w:val="18"/>
    </w:rPr>
  </w:style>
  <w:style w:type="paragraph" w:customStyle="1" w:styleId="TableNumberedList2">
    <w:name w:val="Table Numbered List 2"/>
    <w:basedOn w:val="NumberedList2"/>
    <w:qFormat/>
    <w:rsid w:val="00ED2831"/>
    <w:pPr>
      <w:spacing w:before="60" w:line="220" w:lineRule="atLeast"/>
    </w:pPr>
    <w:rPr>
      <w:rFonts w:ascii="Calibri" w:hAnsi="Calibri"/>
      <w:sz w:val="18"/>
    </w:rPr>
  </w:style>
  <w:style w:type="paragraph" w:customStyle="1" w:styleId="TableNumberedList3">
    <w:name w:val="Table Numbered List 3"/>
    <w:basedOn w:val="NumberedList3"/>
    <w:qFormat/>
    <w:rsid w:val="00ED2831"/>
    <w:pPr>
      <w:spacing w:before="60" w:line="220" w:lineRule="atLeast"/>
      <w:ind w:left="851"/>
    </w:pPr>
    <w:rPr>
      <w:rFonts w:ascii="Calibri" w:hAnsi="Calibri"/>
      <w:sz w:val="18"/>
    </w:rPr>
  </w:style>
  <w:style w:type="paragraph" w:customStyle="1" w:styleId="TableSourceNotes">
    <w:name w:val="Table Source Notes"/>
    <w:basedOn w:val="Normal"/>
    <w:qFormat/>
    <w:rsid w:val="00ED2831"/>
    <w:pPr>
      <w:tabs>
        <w:tab w:val="left" w:pos="284"/>
      </w:tabs>
      <w:spacing w:line="160" w:lineRule="atLeast"/>
      <w:ind w:left="284" w:hanging="284"/>
      <w:contextualSpacing/>
    </w:pPr>
    <w:rPr>
      <w:sz w:val="12"/>
    </w:rPr>
  </w:style>
  <w:style w:type="paragraph" w:customStyle="1" w:styleId="TableTotalRow">
    <w:name w:val="Table Total Row"/>
    <w:basedOn w:val="Normal"/>
    <w:qFormat/>
    <w:rsid w:val="00CF07BA"/>
    <w:pPr>
      <w:spacing w:before="60"/>
    </w:pPr>
    <w:rPr>
      <w:rFonts w:ascii="Calibri" w:hAnsi="Calibri"/>
      <w:b/>
      <w:color w:val="FFFFFF" w:themeColor="background1"/>
    </w:rPr>
  </w:style>
  <w:style w:type="paragraph" w:customStyle="1" w:styleId="BoxHeading">
    <w:name w:val="Box Heading"/>
    <w:basedOn w:val="Heading3"/>
    <w:qFormat/>
    <w:locked/>
    <w:rsid w:val="00ED2831"/>
    <w:pPr>
      <w:spacing w:before="60"/>
    </w:pPr>
  </w:style>
  <w:style w:type="paragraph" w:customStyle="1" w:styleId="QuoteAuthor">
    <w:name w:val="Quote Author"/>
    <w:basedOn w:val="Quote"/>
    <w:qFormat/>
    <w:rsid w:val="00D64BD1"/>
    <w:pPr>
      <w:spacing w:after="60" w:line="200" w:lineRule="atLeast"/>
    </w:pPr>
    <w:rPr>
      <w:sz w:val="16"/>
    </w:rPr>
  </w:style>
  <w:style w:type="paragraph" w:customStyle="1" w:styleId="TableText">
    <w:name w:val="Table Text"/>
    <w:basedOn w:val="Normal"/>
    <w:qFormat/>
    <w:rsid w:val="0080204D"/>
    <w:pPr>
      <w:framePr w:hSpace="180" w:wrap="around" w:vAnchor="page" w:hAnchor="margin" w:y="5061"/>
      <w:spacing w:before="60"/>
    </w:pPr>
    <w:rPr>
      <w:rFonts w:ascii="Calibri" w:hAnsi="Calibri"/>
      <w:szCs w:val="21"/>
    </w:rPr>
  </w:style>
  <w:style w:type="paragraph" w:customStyle="1" w:styleId="PhotoCredit">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locked/>
    <w:rsid w:val="00A61B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B4D"/>
    <w:rPr>
      <w:rFonts w:ascii="Tahoma" w:hAnsi="Tahoma" w:cs="Tahoma"/>
      <w:color w:val="495965" w:themeColor="text2"/>
      <w:sz w:val="16"/>
      <w:szCs w:val="16"/>
      <w:lang w:val="en-GB"/>
    </w:rPr>
  </w:style>
  <w:style w:type="paragraph" w:customStyle="1" w:styleId="SpacebeforeTitle">
    <w:name w:val="Space before Title"/>
    <w:basedOn w:val="Normal"/>
    <w:qFormat/>
    <w:rsid w:val="00B33C0A"/>
    <w:pPr>
      <w:spacing w:after="900"/>
    </w:pPr>
  </w:style>
  <w:style w:type="paragraph" w:customStyle="1" w:styleId="Box1Text">
    <w:name w:val="Box 1 Text"/>
    <w:basedOn w:val="Normal"/>
    <w:qFormat/>
    <w:rsid w:val="00E8296D"/>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lang w:val="en-AU"/>
    </w:rPr>
  </w:style>
  <w:style w:type="paragraph" w:customStyle="1" w:styleId="Box1Heading">
    <w:name w:val="Box 1 Heading"/>
    <w:basedOn w:val="Box1Text"/>
    <w:qFormat/>
    <w:rsid w:val="00E8296D"/>
    <w:pPr>
      <w:keepNext/>
      <w:spacing w:line="300" w:lineRule="atLeast"/>
    </w:pPr>
    <w:rPr>
      <w:b/>
      <w:sz w:val="26"/>
    </w:rPr>
  </w:style>
  <w:style w:type="paragraph" w:customStyle="1" w:styleId="Box2Text">
    <w:name w:val="Box 2 Text"/>
    <w:basedOn w:val="Box1Text"/>
    <w:qFormat/>
    <w:rsid w:val="00522396"/>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E8296D"/>
    <w:pPr>
      <w:keepNext/>
      <w:spacing w:line="300" w:lineRule="atLeast"/>
    </w:pPr>
    <w:rPr>
      <w:b/>
      <w:sz w:val="26"/>
    </w:rPr>
  </w:style>
  <w:style w:type="paragraph" w:customStyle="1" w:styleId="Box1Bullet">
    <w:name w:val="Box 1 Bullet"/>
    <w:basedOn w:val="Box1Text"/>
    <w:qFormat/>
    <w:rsid w:val="00C42541"/>
    <w:pPr>
      <w:numPr>
        <w:numId w:val="9"/>
      </w:numPr>
      <w:ind w:left="454" w:hanging="170"/>
    </w:pPr>
  </w:style>
  <w:style w:type="paragraph" w:customStyle="1" w:styleId="Box2Bullet">
    <w:name w:val="Box 2 Bullet"/>
    <w:basedOn w:val="Box2Text"/>
    <w:qFormat/>
    <w:rsid w:val="00C42541"/>
    <w:pPr>
      <w:numPr>
        <w:numId w:val="10"/>
      </w:numPr>
      <w:ind w:left="454" w:hanging="170"/>
    </w:pPr>
  </w:style>
  <w:style w:type="paragraph" w:styleId="BodyText">
    <w:name w:val="Body Text"/>
    <w:basedOn w:val="Normal"/>
    <w:link w:val="BodyTextChar"/>
    <w:uiPriority w:val="99"/>
    <w:unhideWhenUsed/>
    <w:rsid w:val="000020C1"/>
  </w:style>
  <w:style w:type="character" w:customStyle="1" w:styleId="BodyTextChar">
    <w:name w:val="Body Text Char"/>
    <w:basedOn w:val="DefaultParagraphFont"/>
    <w:link w:val="BodyText"/>
    <w:uiPriority w:val="99"/>
    <w:rsid w:val="000020C1"/>
    <w:rPr>
      <w:color w:val="495965" w:themeColor="text2"/>
      <w:lang w:val="en-GB"/>
    </w:rPr>
  </w:style>
  <w:style w:type="paragraph" w:styleId="BodyText2">
    <w:name w:val="Body Text 2"/>
    <w:basedOn w:val="Normal"/>
    <w:link w:val="BodyText2Char"/>
    <w:uiPriority w:val="99"/>
    <w:semiHidden/>
    <w:unhideWhenUsed/>
    <w:locked/>
    <w:rsid w:val="000020C1"/>
    <w:pPr>
      <w:spacing w:line="480" w:lineRule="auto"/>
    </w:pPr>
  </w:style>
  <w:style w:type="character" w:customStyle="1" w:styleId="BodyText2Char">
    <w:name w:val="Body Text 2 Char"/>
    <w:basedOn w:val="DefaultParagraphFont"/>
    <w:link w:val="BodyText2"/>
    <w:uiPriority w:val="99"/>
    <w:semiHidden/>
    <w:rsid w:val="000020C1"/>
    <w:rPr>
      <w:color w:val="495965" w:themeColor="text2"/>
      <w:lang w:val="en-GB"/>
    </w:rPr>
  </w:style>
  <w:style w:type="paragraph" w:styleId="BodyText3">
    <w:name w:val="Body Text 3"/>
    <w:basedOn w:val="Normal"/>
    <w:link w:val="BodyText3Char"/>
    <w:uiPriority w:val="99"/>
    <w:semiHidden/>
    <w:unhideWhenUsed/>
    <w:locked/>
    <w:rsid w:val="000020C1"/>
    <w:rPr>
      <w:sz w:val="16"/>
      <w:szCs w:val="16"/>
    </w:rPr>
  </w:style>
  <w:style w:type="character" w:customStyle="1" w:styleId="BodyText3Char">
    <w:name w:val="Body Text 3 Char"/>
    <w:basedOn w:val="DefaultParagraphFont"/>
    <w:link w:val="BodyText3"/>
    <w:uiPriority w:val="99"/>
    <w:semiHidden/>
    <w:rsid w:val="000020C1"/>
    <w:rPr>
      <w:color w:val="495965" w:themeColor="text2"/>
      <w:sz w:val="16"/>
      <w:szCs w:val="16"/>
      <w:lang w:val="en-GB"/>
    </w:rPr>
  </w:style>
  <w:style w:type="paragraph" w:styleId="BodyTextFirstIndent">
    <w:name w:val="Body Text First Indent"/>
    <w:basedOn w:val="NormalIndented"/>
    <w:link w:val="BodyTextFirstIndentChar"/>
    <w:uiPriority w:val="99"/>
    <w:unhideWhenUsed/>
    <w:rsid w:val="000020C1"/>
  </w:style>
  <w:style w:type="character" w:customStyle="1" w:styleId="BodyTextFirstIndentChar">
    <w:name w:val="Body Text First Indent Char"/>
    <w:basedOn w:val="BodyTextChar"/>
    <w:link w:val="BodyTextFirstIndent"/>
    <w:uiPriority w:val="99"/>
    <w:rsid w:val="000020C1"/>
    <w:rPr>
      <w:color w:val="495965" w:themeColor="text2"/>
      <w:lang w:val="en-GB"/>
    </w:rPr>
  </w:style>
  <w:style w:type="paragraph" w:styleId="BodyTextIndent">
    <w:name w:val="Body Text Indent"/>
    <w:basedOn w:val="Normal"/>
    <w:link w:val="BodyTextIndentChar"/>
    <w:uiPriority w:val="99"/>
    <w:semiHidden/>
    <w:unhideWhenUsed/>
    <w:locked/>
    <w:rsid w:val="000020C1"/>
    <w:pPr>
      <w:spacing w:after="120"/>
      <w:ind w:left="283"/>
    </w:pPr>
  </w:style>
  <w:style w:type="character" w:customStyle="1" w:styleId="BodyTextIndentChar">
    <w:name w:val="Body Text Indent Char"/>
    <w:basedOn w:val="DefaultParagraphFont"/>
    <w:link w:val="BodyTextIndent"/>
    <w:uiPriority w:val="99"/>
    <w:semiHidden/>
    <w:rsid w:val="000020C1"/>
    <w:rPr>
      <w:color w:val="495965" w:themeColor="text2"/>
      <w:lang w:val="en-GB"/>
    </w:rPr>
  </w:style>
  <w:style w:type="paragraph" w:styleId="BodyTextFirstIndent2">
    <w:name w:val="Body Text First Indent 2"/>
    <w:basedOn w:val="BodyTextIndent"/>
    <w:link w:val="BodyTextFirstIndent2Char"/>
    <w:uiPriority w:val="99"/>
    <w:semiHidden/>
    <w:unhideWhenUsed/>
    <w:locked/>
    <w:rsid w:val="00E8457B"/>
    <w:pPr>
      <w:spacing w:after="60"/>
      <w:ind w:left="567"/>
    </w:pPr>
  </w:style>
  <w:style w:type="character" w:customStyle="1" w:styleId="BodyTextFirstIndent2Char">
    <w:name w:val="Body Text First Indent 2 Char"/>
    <w:basedOn w:val="BodyTextIndentChar"/>
    <w:link w:val="BodyTextFirstIndent2"/>
    <w:uiPriority w:val="99"/>
    <w:semiHidden/>
    <w:rsid w:val="00E8457B"/>
    <w:rPr>
      <w:color w:val="495965" w:themeColor="text2"/>
      <w:lang w:val="en-GB"/>
    </w:rPr>
  </w:style>
  <w:style w:type="paragraph" w:styleId="BlockText">
    <w:name w:val="Block Text"/>
    <w:basedOn w:val="Normal"/>
    <w:uiPriority w:val="99"/>
    <w:unhideWhenUsed/>
    <w:locked/>
    <w:rsid w:val="00E8457B"/>
    <w:pPr>
      <w:pBdr>
        <w:top w:val="single" w:sz="2" w:space="10" w:color="65C5B4" w:themeColor="accent1"/>
        <w:left w:val="single" w:sz="2" w:space="10" w:color="65C5B4" w:themeColor="accent1"/>
        <w:bottom w:val="single" w:sz="2" w:space="10" w:color="65C5B4" w:themeColor="accent1"/>
        <w:right w:val="single" w:sz="2" w:space="10" w:color="65C5B4" w:themeColor="accent1"/>
      </w:pBdr>
      <w:ind w:left="1152" w:right="1152"/>
    </w:pPr>
    <w:rPr>
      <w:rFonts w:eastAsiaTheme="minorEastAsia"/>
      <w:i/>
      <w:iCs/>
      <w:color w:val="65C5B4" w:themeColor="accent1"/>
    </w:rPr>
  </w:style>
  <w:style w:type="table" w:customStyle="1" w:styleId="DFATTable2">
    <w:name w:val="DFAT Table 2"/>
    <w:basedOn w:val="TableNormal"/>
    <w:uiPriority w:val="99"/>
    <w:rsid w:val="00482AE8"/>
    <w:pPr>
      <w:spacing w:after="0" w:line="260" w:lineRule="atLeast"/>
    </w:pPr>
    <w:rPr>
      <w:rFonts w:ascii="Calibri" w:hAnsi="Calibri"/>
      <w:color w:val="495965" w:themeColor="text2"/>
    </w:rPr>
    <w:tblPr/>
  </w:style>
  <w:style w:type="character" w:styleId="CommentReference">
    <w:name w:val="annotation reference"/>
    <w:basedOn w:val="DefaultParagraphFont"/>
    <w:uiPriority w:val="99"/>
    <w:semiHidden/>
    <w:unhideWhenUsed/>
    <w:rsid w:val="005204D2"/>
    <w:rPr>
      <w:sz w:val="16"/>
      <w:szCs w:val="16"/>
    </w:rPr>
  </w:style>
  <w:style w:type="paragraph" w:styleId="CommentText">
    <w:name w:val="annotation text"/>
    <w:basedOn w:val="Normal"/>
    <w:link w:val="CommentTextChar"/>
    <w:uiPriority w:val="99"/>
    <w:unhideWhenUsed/>
    <w:rsid w:val="005204D2"/>
    <w:pPr>
      <w:spacing w:line="240" w:lineRule="auto"/>
    </w:pPr>
    <w:rPr>
      <w:sz w:val="20"/>
      <w:szCs w:val="20"/>
    </w:rPr>
  </w:style>
  <w:style w:type="character" w:customStyle="1" w:styleId="CommentTextChar">
    <w:name w:val="Comment Text Char"/>
    <w:basedOn w:val="DefaultParagraphFont"/>
    <w:link w:val="CommentText"/>
    <w:uiPriority w:val="99"/>
    <w:rsid w:val="005204D2"/>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5204D2"/>
    <w:rPr>
      <w:b/>
      <w:bCs/>
    </w:rPr>
  </w:style>
  <w:style w:type="character" w:customStyle="1" w:styleId="CommentSubjectChar">
    <w:name w:val="Comment Subject Char"/>
    <w:basedOn w:val="CommentTextChar"/>
    <w:link w:val="CommentSubject"/>
    <w:uiPriority w:val="99"/>
    <w:semiHidden/>
    <w:rsid w:val="005204D2"/>
    <w:rPr>
      <w:b/>
      <w:bCs/>
      <w:color w:val="495965" w:themeColor="text2"/>
      <w:sz w:val="20"/>
      <w:szCs w:val="20"/>
      <w:lang w:val="en-GB"/>
    </w:rPr>
  </w:style>
  <w:style w:type="character" w:customStyle="1" w:styleId="ColourAccent1">
    <w:name w:val="Colour Accent 1"/>
    <w:basedOn w:val="DefaultParagraphFont"/>
    <w:uiPriority w:val="1"/>
    <w:qFormat/>
    <w:locked/>
    <w:rsid w:val="001214BE"/>
    <w:rPr>
      <w:color w:val="65C5B4" w:themeColor="accent1"/>
    </w:rPr>
  </w:style>
  <w:style w:type="paragraph" w:styleId="ListParagraph">
    <w:name w:val="List Paragraph"/>
    <w:aliases w:val="List Paragraph1,List Paragraph11,List Paragraph2,Bulit List -  Paragraph,Main numbered paragraph,Numbered List Paragraph,bullet 1,Recommendation,L,List Paragraph111,F5 List Paragraph,Dot pt,CV text,Numbered Paragraph,Bulleted Para,列 出 段 落"/>
    <w:basedOn w:val="Normal"/>
    <w:link w:val="ListParagraphChar"/>
    <w:uiPriority w:val="34"/>
    <w:qFormat/>
    <w:locked/>
    <w:rsid w:val="00A32858"/>
    <w:pPr>
      <w:ind w:left="720"/>
      <w:contextualSpacing/>
    </w:pPr>
  </w:style>
  <w:style w:type="paragraph" w:styleId="ListBullet">
    <w:name w:val="List Bullet"/>
    <w:basedOn w:val="BodyText"/>
    <w:qFormat/>
    <w:locked/>
    <w:rsid w:val="00A32858"/>
    <w:pPr>
      <w:numPr>
        <w:numId w:val="11"/>
      </w:numPr>
      <w:tabs>
        <w:tab w:val="left" w:pos="284"/>
      </w:tabs>
      <w:suppressAutoHyphens w:val="0"/>
      <w:spacing w:before="0" w:after="120" w:line="280" w:lineRule="exact"/>
    </w:pPr>
    <w:rPr>
      <w:rFonts w:ascii="Franklin Gothic Book" w:eastAsia="Times New Roman" w:hAnsi="Franklin Gothic Book" w:cs="Times New Roman"/>
      <w:sz w:val="21"/>
      <w:szCs w:val="24"/>
      <w:lang w:val="en-AU" w:eastAsia="en-AU"/>
    </w:rPr>
  </w:style>
  <w:style w:type="table" w:customStyle="1" w:styleId="TableGrid1">
    <w:name w:val="Table Grid1"/>
    <w:basedOn w:val="TableNormal"/>
    <w:next w:val="TableGrid"/>
    <w:uiPriority w:val="39"/>
    <w:locked/>
    <w:rsid w:val="00B22583"/>
    <w:pPr>
      <w:spacing w:after="0" w:line="240" w:lineRule="auto"/>
    </w:pPr>
    <w:tblPr/>
  </w:style>
  <w:style w:type="character" w:styleId="BookTitle">
    <w:name w:val="Book Title"/>
    <w:aliases w:val="Table/Chart Title"/>
    <w:basedOn w:val="Heading2Char"/>
    <w:uiPriority w:val="33"/>
    <w:qFormat/>
    <w:locked/>
    <w:rsid w:val="00B22583"/>
    <w:rPr>
      <w:rFonts w:ascii="Calibri" w:eastAsiaTheme="majorEastAsia" w:hAnsi="Calibri" w:cstheme="majorBidi"/>
      <w:b/>
      <w:caps w:val="0"/>
      <w:color w:val="7C8C88"/>
      <w:sz w:val="26"/>
      <w:szCs w:val="26"/>
      <w:lang w:val="en-GB"/>
    </w:rPr>
  </w:style>
  <w:style w:type="paragraph" w:customStyle="1" w:styleId="Tablecolumnheading">
    <w:name w:val="Table column heading"/>
    <w:basedOn w:val="Normal"/>
    <w:qFormat/>
    <w:rsid w:val="00B22583"/>
    <w:pPr>
      <w:keepNext/>
      <w:suppressAutoHyphens w:val="0"/>
      <w:spacing w:before="57" w:after="57" w:line="220" w:lineRule="atLeast"/>
      <w:ind w:left="96" w:right="96"/>
      <w:jc w:val="center"/>
    </w:pPr>
    <w:rPr>
      <w:rFonts w:eastAsia="Times New Roman" w:cs="Times New Roman"/>
      <w:b/>
      <w:color w:val="FFFFFF" w:themeColor="background1"/>
      <w:sz w:val="20"/>
      <w:szCs w:val="20"/>
      <w:lang w:val="en-AU"/>
    </w:rPr>
  </w:style>
  <w:style w:type="paragraph" w:customStyle="1" w:styleId="BodyTextHanging">
    <w:name w:val="Body Text Hanging"/>
    <w:basedOn w:val="BodyText"/>
    <w:link w:val="BodyTextHangingChar"/>
    <w:qFormat/>
    <w:rsid w:val="00B22583"/>
    <w:pPr>
      <w:spacing w:before="0" w:after="120" w:line="240" w:lineRule="auto"/>
    </w:pPr>
    <w:rPr>
      <w:rFonts w:ascii="Calibri" w:hAnsi="Calibri"/>
      <w:color w:val="000000" w:themeColor="text1"/>
      <w:lang w:eastAsia="en-AU"/>
    </w:rPr>
  </w:style>
  <w:style w:type="character" w:customStyle="1" w:styleId="BodyTextHangingChar">
    <w:name w:val="Body Text Hanging Char"/>
    <w:basedOn w:val="BodyTextChar"/>
    <w:link w:val="BodyTextHanging"/>
    <w:rsid w:val="00B22583"/>
    <w:rPr>
      <w:rFonts w:ascii="Calibri" w:hAnsi="Calibri"/>
      <w:color w:val="000000" w:themeColor="text1"/>
      <w:lang w:val="en-GB" w:eastAsia="en-AU"/>
    </w:rPr>
  </w:style>
  <w:style w:type="table" w:styleId="GridTable1Light">
    <w:name w:val="Grid Table 1 Light"/>
    <w:basedOn w:val="TableNormal"/>
    <w:uiPriority w:val="46"/>
    <w:locked/>
    <w:rsid w:val="0036178A"/>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BE6074"/>
    <w:rPr>
      <w:color w:val="800080" w:themeColor="followedHyperlink"/>
      <w:u w:val="single"/>
    </w:rPr>
  </w:style>
  <w:style w:type="paragraph" w:styleId="Revision">
    <w:name w:val="Revision"/>
    <w:hidden/>
    <w:uiPriority w:val="99"/>
    <w:semiHidden/>
    <w:rsid w:val="00A64085"/>
    <w:pPr>
      <w:spacing w:after="0" w:line="240" w:lineRule="auto"/>
    </w:pPr>
    <w:rPr>
      <w:color w:val="495965" w:themeColor="text2"/>
      <w:lang w:val="en-GB"/>
    </w:rPr>
  </w:style>
  <w:style w:type="character" w:customStyle="1" w:styleId="ListParagraphChar">
    <w:name w:val="List Paragraph Char"/>
    <w:aliases w:val="List Paragraph1 Char,List Paragraph11 Char,List Paragraph2 Char,Bulit List -  Paragraph Char,Main numbered paragraph Char,Numbered List Paragraph Char,bullet 1 Char,Recommendation Char,L Char,List Paragraph111 Char,Dot pt Char"/>
    <w:basedOn w:val="DefaultParagraphFont"/>
    <w:link w:val="ListParagraph"/>
    <w:uiPriority w:val="34"/>
    <w:locked/>
    <w:rsid w:val="007A26F1"/>
    <w:rPr>
      <w:color w:val="495965" w:themeColor="text2"/>
      <w:lang w:val="en-GB"/>
    </w:rPr>
  </w:style>
  <w:style w:type="character" w:styleId="UnresolvedMention">
    <w:name w:val="Unresolved Mention"/>
    <w:basedOn w:val="DefaultParagraphFont"/>
    <w:uiPriority w:val="99"/>
    <w:semiHidden/>
    <w:unhideWhenUsed/>
    <w:rsid w:val="002200D9"/>
    <w:rPr>
      <w:color w:val="605E5C"/>
      <w:shd w:val="clear" w:color="auto" w:fill="E1DFDD"/>
    </w:rPr>
  </w:style>
  <w:style w:type="character" w:customStyle="1" w:styleId="normaltextrun">
    <w:name w:val="normaltextrun"/>
    <w:basedOn w:val="DefaultParagraphFont"/>
    <w:rsid w:val="00CA5E15"/>
  </w:style>
  <w:style w:type="character" w:customStyle="1" w:styleId="findhit">
    <w:name w:val="findhit"/>
    <w:basedOn w:val="DefaultParagraphFont"/>
    <w:rsid w:val="00CA5E15"/>
  </w:style>
  <w:style w:type="table" w:customStyle="1" w:styleId="TableGrid2">
    <w:name w:val="Table Grid2"/>
    <w:basedOn w:val="TableNormal"/>
    <w:next w:val="TableGrid"/>
    <w:uiPriority w:val="39"/>
    <w:rsid w:val="00902F90"/>
    <w:pPr>
      <w:spacing w:after="0" w:line="240" w:lineRule="auto"/>
    </w:pPr>
    <w:rPr>
      <w:rFonts w:ascii="Arial" w:eastAsia="Arial" w:hAnsi="Arial" w:cs="Times New Roman"/>
    </w:rPr>
    <w:tblPr/>
  </w:style>
  <w:style w:type="character" w:styleId="Mention">
    <w:name w:val="Mention"/>
    <w:basedOn w:val="DefaultParagraphFont"/>
    <w:uiPriority w:val="99"/>
    <w:unhideWhenUsed/>
    <w:rsid w:val="00902F90"/>
    <w:rPr>
      <w:color w:val="2B579A"/>
      <w:shd w:val="clear" w:color="auto" w:fill="E1DFDD"/>
    </w:rPr>
  </w:style>
  <w:style w:type="table" w:styleId="TableGridLight">
    <w:name w:val="Grid Table Light"/>
    <w:basedOn w:val="TableNormal"/>
    <w:uiPriority w:val="99"/>
    <w:locked/>
    <w:rsid w:val="00902F90"/>
    <w:pPr>
      <w:spacing w:after="0" w:line="240" w:lineRule="auto"/>
    </w:pPr>
    <w:rPr>
      <w:rFonts w:eastAsiaTheme="minorEastAsia"/>
      <w:lang w:val="en-US"/>
    </w:rPr>
    <w:tblPr/>
  </w:style>
  <w:style w:type="numbering" w:customStyle="1" w:styleId="CurrentList1">
    <w:name w:val="Current List1"/>
    <w:uiPriority w:val="99"/>
    <w:rsid w:val="00902F90"/>
    <w:pPr>
      <w:numPr>
        <w:numId w:val="36"/>
      </w:numPr>
    </w:pPr>
  </w:style>
  <w:style w:type="numbering" w:customStyle="1" w:styleId="CurrentList2">
    <w:name w:val="Current List2"/>
    <w:uiPriority w:val="99"/>
    <w:rsid w:val="00902F90"/>
    <w:pPr>
      <w:numPr>
        <w:numId w:val="37"/>
      </w:numPr>
    </w:pPr>
  </w:style>
  <w:style w:type="numbering" w:customStyle="1" w:styleId="CurrentList3">
    <w:name w:val="Current List3"/>
    <w:uiPriority w:val="99"/>
    <w:rsid w:val="00902F90"/>
    <w:pPr>
      <w:numPr>
        <w:numId w:val="38"/>
      </w:numPr>
    </w:pPr>
  </w:style>
  <w:style w:type="numbering" w:customStyle="1" w:styleId="CurrentList4">
    <w:name w:val="Current List4"/>
    <w:uiPriority w:val="99"/>
    <w:rsid w:val="00902F90"/>
    <w:pPr>
      <w:numPr>
        <w:numId w:val="39"/>
      </w:numPr>
    </w:pPr>
  </w:style>
  <w:style w:type="character" w:customStyle="1" w:styleId="eop">
    <w:name w:val="eop"/>
    <w:basedOn w:val="DefaultParagraphFont"/>
    <w:rsid w:val="00902F90"/>
  </w:style>
  <w:style w:type="paragraph" w:styleId="NormalWeb">
    <w:name w:val="Normal (Web)"/>
    <w:basedOn w:val="Normal"/>
    <w:uiPriority w:val="99"/>
    <w:unhideWhenUsed/>
    <w:rsid w:val="00902F90"/>
    <w:pPr>
      <w:spacing w:after="120" w:line="240" w:lineRule="auto"/>
    </w:pPr>
    <w:rPr>
      <w:rFonts w:ascii="Times New Roman" w:hAnsi="Times New Roman" w:cs="Times New Roman"/>
      <w:sz w:val="24"/>
      <w:szCs w:val="24"/>
    </w:rPr>
  </w:style>
  <w:style w:type="table" w:styleId="GridTable1Light-Accent1">
    <w:name w:val="Grid Table 1 Light Accent 1"/>
    <w:basedOn w:val="TableNormal"/>
    <w:uiPriority w:val="46"/>
    <w:locked/>
    <w:rsid w:val="00902F90"/>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numbering" w:customStyle="1" w:styleId="CurrentList5">
    <w:name w:val="Current List5"/>
    <w:uiPriority w:val="99"/>
    <w:rsid w:val="00902F90"/>
    <w:pPr>
      <w:numPr>
        <w:numId w:val="46"/>
      </w:numPr>
    </w:pPr>
  </w:style>
  <w:style w:type="table" w:styleId="GridTable4-Accent1">
    <w:name w:val="Grid Table 4 Accent 1"/>
    <w:basedOn w:val="TableNormal"/>
    <w:uiPriority w:val="49"/>
    <w:locked/>
    <w:rsid w:val="00902F90"/>
    <w:pPr>
      <w:spacing w:after="0" w:line="240" w:lineRule="auto"/>
    </w:p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GridTable7Colorful-Accent6">
    <w:name w:val="Grid Table 7 Colorful Accent 6"/>
    <w:basedOn w:val="TableNormal"/>
    <w:uiPriority w:val="52"/>
    <w:locked/>
    <w:rsid w:val="00902F90"/>
    <w:pPr>
      <w:spacing w:after="0" w:line="240" w:lineRule="auto"/>
    </w:pPr>
    <w:rPr>
      <w:color w:val="005C66" w:themeColor="accent6" w:themeShade="BF"/>
      <w:kern w:val="2"/>
      <w:sz w:val="24"/>
      <w:szCs w:val="24"/>
      <w14:ligatures w14:val="standardContextual"/>
    </w:rP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styleId="GridTable3-Accent3">
    <w:name w:val="Grid Table 3 Accent 3"/>
    <w:basedOn w:val="TableNormal"/>
    <w:uiPriority w:val="48"/>
    <w:locked/>
    <w:rsid w:val="00902F90"/>
    <w:pPr>
      <w:spacing w:after="0" w:line="240" w:lineRule="auto"/>
    </w:pPr>
    <w:rPr>
      <w:kern w:val="2"/>
      <w:sz w:val="24"/>
      <w:szCs w:val="24"/>
      <w14:ligatures w14:val="standardContextual"/>
    </w:rPr>
    <w:tblPr/>
    <w:tblStylePr w:type="firstRow">
      <w:rPr>
        <w:b/>
        <w:bCs/>
      </w:rPr>
    </w:tblStylePr>
    <w:tblStylePr w:type="lastRow">
      <w:rPr>
        <w:b/>
        <w:bCs/>
      </w:rPr>
    </w:tblStylePr>
    <w:tblStylePr w:type="firstCol">
      <w:pPr>
        <w:jc w:val="right"/>
      </w:pPr>
      <w:rPr>
        <w:i/>
        <w:iCs/>
      </w:rPr>
    </w:tblStylePr>
    <w:tblStylePr w:type="lastCol">
      <w:rPr>
        <w:i/>
        <w:iCs/>
      </w:rPr>
    </w:tblStylePr>
  </w:style>
  <w:style w:type="table" w:styleId="ListTable3-Accent1">
    <w:name w:val="List Table 3 Accent 1"/>
    <w:basedOn w:val="TableNormal"/>
    <w:uiPriority w:val="48"/>
    <w:locked/>
    <w:rsid w:val="00902F90"/>
    <w:pPr>
      <w:spacing w:after="0" w:line="240" w:lineRule="auto"/>
    </w:pPr>
    <w:rPr>
      <w:kern w:val="2"/>
      <w:sz w:val="24"/>
      <w:szCs w:val="24"/>
      <w14:ligatures w14:val="standardContextual"/>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styleId="NoSpacing">
    <w:name w:val="No Spacing"/>
    <w:link w:val="NoSpacingChar"/>
    <w:uiPriority w:val="1"/>
    <w:qFormat/>
    <w:rsid w:val="00902F9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02F90"/>
    <w:rPr>
      <w:rFonts w:eastAsiaTheme="minorEastAsia"/>
      <w:lang w:val="en-US"/>
    </w:rPr>
  </w:style>
  <w:style w:type="numbering" w:customStyle="1" w:styleId="CurrentList6">
    <w:name w:val="Current List6"/>
    <w:uiPriority w:val="99"/>
    <w:rsid w:val="00902F90"/>
    <w:pPr>
      <w:numPr>
        <w:numId w:val="70"/>
      </w:numPr>
    </w:pPr>
  </w:style>
  <w:style w:type="numbering" w:customStyle="1" w:styleId="CurrentList7">
    <w:name w:val="Current List7"/>
    <w:uiPriority w:val="99"/>
    <w:rsid w:val="00902F90"/>
    <w:pPr>
      <w:numPr>
        <w:numId w:val="71"/>
      </w:numPr>
    </w:pPr>
  </w:style>
  <w:style w:type="numbering" w:customStyle="1" w:styleId="CurrentList8">
    <w:name w:val="Current List8"/>
    <w:uiPriority w:val="99"/>
    <w:rsid w:val="00902F90"/>
    <w:pPr>
      <w:numPr>
        <w:numId w:val="72"/>
      </w:numPr>
    </w:pPr>
  </w:style>
  <w:style w:type="numbering" w:customStyle="1" w:styleId="CurrentList9">
    <w:name w:val="Current List9"/>
    <w:uiPriority w:val="99"/>
    <w:rsid w:val="00902F90"/>
    <w:pPr>
      <w:numPr>
        <w:numId w:val="73"/>
      </w:numPr>
    </w:pPr>
  </w:style>
  <w:style w:type="numbering" w:customStyle="1" w:styleId="CurrentList10">
    <w:name w:val="Current List10"/>
    <w:uiPriority w:val="99"/>
    <w:rsid w:val="00902F90"/>
    <w:pPr>
      <w:numPr>
        <w:numId w:val="74"/>
      </w:numPr>
    </w:pPr>
  </w:style>
  <w:style w:type="character" w:customStyle="1" w:styleId="grame">
    <w:name w:val="grame"/>
    <w:basedOn w:val="DefaultParagraphFont"/>
    <w:rsid w:val="00902F90"/>
  </w:style>
  <w:style w:type="table" w:styleId="PlainTable1">
    <w:name w:val="Plain Table 1"/>
    <w:basedOn w:val="TableNormal"/>
    <w:uiPriority w:val="41"/>
    <w:locked/>
    <w:rsid w:val="00902F90"/>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6C3AC6"/>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 w:type="numbering" w:customStyle="1" w:styleId="CurrentList11">
    <w:name w:val="Current List11"/>
    <w:uiPriority w:val="99"/>
    <w:rsid w:val="003E0267"/>
    <w:pPr>
      <w:numPr>
        <w:numId w:val="10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9846">
      <w:bodyDiv w:val="1"/>
      <w:marLeft w:val="0"/>
      <w:marRight w:val="0"/>
      <w:marTop w:val="0"/>
      <w:marBottom w:val="0"/>
      <w:divBdr>
        <w:top w:val="none" w:sz="0" w:space="0" w:color="auto"/>
        <w:left w:val="none" w:sz="0" w:space="0" w:color="auto"/>
        <w:bottom w:val="none" w:sz="0" w:space="0" w:color="auto"/>
        <w:right w:val="none" w:sz="0" w:space="0" w:color="auto"/>
      </w:divBdr>
    </w:div>
    <w:div w:id="120079536">
      <w:bodyDiv w:val="1"/>
      <w:marLeft w:val="0"/>
      <w:marRight w:val="0"/>
      <w:marTop w:val="0"/>
      <w:marBottom w:val="0"/>
      <w:divBdr>
        <w:top w:val="none" w:sz="0" w:space="0" w:color="auto"/>
        <w:left w:val="none" w:sz="0" w:space="0" w:color="auto"/>
        <w:bottom w:val="none" w:sz="0" w:space="0" w:color="auto"/>
        <w:right w:val="none" w:sz="0" w:space="0" w:color="auto"/>
      </w:divBdr>
    </w:div>
    <w:div w:id="236864963">
      <w:bodyDiv w:val="1"/>
      <w:marLeft w:val="0"/>
      <w:marRight w:val="0"/>
      <w:marTop w:val="0"/>
      <w:marBottom w:val="0"/>
      <w:divBdr>
        <w:top w:val="none" w:sz="0" w:space="0" w:color="auto"/>
        <w:left w:val="none" w:sz="0" w:space="0" w:color="auto"/>
        <w:bottom w:val="none" w:sz="0" w:space="0" w:color="auto"/>
        <w:right w:val="none" w:sz="0" w:space="0" w:color="auto"/>
      </w:divBdr>
    </w:div>
    <w:div w:id="782962159">
      <w:bodyDiv w:val="1"/>
      <w:marLeft w:val="0"/>
      <w:marRight w:val="0"/>
      <w:marTop w:val="0"/>
      <w:marBottom w:val="0"/>
      <w:divBdr>
        <w:top w:val="none" w:sz="0" w:space="0" w:color="auto"/>
        <w:left w:val="none" w:sz="0" w:space="0" w:color="auto"/>
        <w:bottom w:val="none" w:sz="0" w:space="0" w:color="auto"/>
        <w:right w:val="none" w:sz="0" w:space="0" w:color="auto"/>
      </w:divBdr>
    </w:div>
    <w:div w:id="957178690">
      <w:bodyDiv w:val="1"/>
      <w:marLeft w:val="0"/>
      <w:marRight w:val="0"/>
      <w:marTop w:val="0"/>
      <w:marBottom w:val="0"/>
      <w:divBdr>
        <w:top w:val="none" w:sz="0" w:space="0" w:color="auto"/>
        <w:left w:val="none" w:sz="0" w:space="0" w:color="auto"/>
        <w:bottom w:val="none" w:sz="0" w:space="0" w:color="auto"/>
        <w:right w:val="none" w:sz="0" w:space="0" w:color="auto"/>
      </w:divBdr>
    </w:div>
    <w:div w:id="1228611659">
      <w:bodyDiv w:val="1"/>
      <w:marLeft w:val="0"/>
      <w:marRight w:val="0"/>
      <w:marTop w:val="0"/>
      <w:marBottom w:val="0"/>
      <w:divBdr>
        <w:top w:val="none" w:sz="0" w:space="0" w:color="auto"/>
        <w:left w:val="none" w:sz="0" w:space="0" w:color="auto"/>
        <w:bottom w:val="none" w:sz="0" w:space="0" w:color="auto"/>
        <w:right w:val="none" w:sz="0" w:space="0" w:color="auto"/>
      </w:divBdr>
    </w:div>
    <w:div w:id="1378823522">
      <w:bodyDiv w:val="1"/>
      <w:marLeft w:val="0"/>
      <w:marRight w:val="0"/>
      <w:marTop w:val="0"/>
      <w:marBottom w:val="0"/>
      <w:divBdr>
        <w:top w:val="none" w:sz="0" w:space="0" w:color="auto"/>
        <w:left w:val="none" w:sz="0" w:space="0" w:color="auto"/>
        <w:bottom w:val="none" w:sz="0" w:space="0" w:color="auto"/>
        <w:right w:val="none" w:sz="0" w:space="0" w:color="auto"/>
      </w:divBdr>
    </w:div>
    <w:div w:id="1405907158">
      <w:bodyDiv w:val="1"/>
      <w:marLeft w:val="0"/>
      <w:marRight w:val="0"/>
      <w:marTop w:val="0"/>
      <w:marBottom w:val="0"/>
      <w:divBdr>
        <w:top w:val="none" w:sz="0" w:space="0" w:color="auto"/>
        <w:left w:val="none" w:sz="0" w:space="0" w:color="auto"/>
        <w:bottom w:val="none" w:sz="0" w:space="0" w:color="auto"/>
        <w:right w:val="none" w:sz="0" w:space="0" w:color="auto"/>
      </w:divBdr>
    </w:div>
    <w:div w:id="1564563155">
      <w:bodyDiv w:val="1"/>
      <w:marLeft w:val="0"/>
      <w:marRight w:val="0"/>
      <w:marTop w:val="0"/>
      <w:marBottom w:val="0"/>
      <w:divBdr>
        <w:top w:val="none" w:sz="0" w:space="0" w:color="auto"/>
        <w:left w:val="none" w:sz="0" w:space="0" w:color="auto"/>
        <w:bottom w:val="none" w:sz="0" w:space="0" w:color="auto"/>
        <w:right w:val="none" w:sz="0" w:space="0" w:color="auto"/>
      </w:divBdr>
    </w:div>
    <w:div w:id="1633750969">
      <w:bodyDiv w:val="1"/>
      <w:marLeft w:val="0"/>
      <w:marRight w:val="0"/>
      <w:marTop w:val="0"/>
      <w:marBottom w:val="0"/>
      <w:divBdr>
        <w:top w:val="none" w:sz="0" w:space="0" w:color="auto"/>
        <w:left w:val="none" w:sz="0" w:space="0" w:color="auto"/>
        <w:bottom w:val="none" w:sz="0" w:space="0" w:color="auto"/>
        <w:right w:val="none" w:sz="0" w:space="0" w:color="auto"/>
      </w:divBdr>
    </w:div>
    <w:div w:id="1684436393">
      <w:bodyDiv w:val="1"/>
      <w:marLeft w:val="0"/>
      <w:marRight w:val="0"/>
      <w:marTop w:val="0"/>
      <w:marBottom w:val="0"/>
      <w:divBdr>
        <w:top w:val="none" w:sz="0" w:space="0" w:color="auto"/>
        <w:left w:val="none" w:sz="0" w:space="0" w:color="auto"/>
        <w:bottom w:val="none" w:sz="0" w:space="0" w:color="auto"/>
        <w:right w:val="none" w:sz="0" w:space="0" w:color="auto"/>
      </w:divBdr>
    </w:div>
    <w:div w:id="1771196521">
      <w:bodyDiv w:val="1"/>
      <w:marLeft w:val="0"/>
      <w:marRight w:val="0"/>
      <w:marTop w:val="0"/>
      <w:marBottom w:val="0"/>
      <w:divBdr>
        <w:top w:val="none" w:sz="0" w:space="0" w:color="auto"/>
        <w:left w:val="none" w:sz="0" w:space="0" w:color="auto"/>
        <w:bottom w:val="none" w:sz="0" w:space="0" w:color="auto"/>
        <w:right w:val="none" w:sz="0" w:space="0" w:color="auto"/>
      </w:divBdr>
    </w:div>
    <w:div w:id="1921059139">
      <w:bodyDiv w:val="1"/>
      <w:marLeft w:val="0"/>
      <w:marRight w:val="0"/>
      <w:marTop w:val="0"/>
      <w:marBottom w:val="0"/>
      <w:divBdr>
        <w:top w:val="none" w:sz="0" w:space="0" w:color="auto"/>
        <w:left w:val="none" w:sz="0" w:space="0" w:color="auto"/>
        <w:bottom w:val="none" w:sz="0" w:space="0" w:color="auto"/>
        <w:right w:val="none" w:sz="0" w:space="0" w:color="auto"/>
      </w:divBdr>
    </w:div>
    <w:div w:id="1960214129">
      <w:bodyDiv w:val="1"/>
      <w:marLeft w:val="0"/>
      <w:marRight w:val="0"/>
      <w:marTop w:val="0"/>
      <w:marBottom w:val="0"/>
      <w:divBdr>
        <w:top w:val="none" w:sz="0" w:space="0" w:color="auto"/>
        <w:left w:val="none" w:sz="0" w:space="0" w:color="auto"/>
        <w:bottom w:val="none" w:sz="0" w:space="0" w:color="auto"/>
        <w:right w:val="none" w:sz="0" w:space="0" w:color="auto"/>
      </w:divBdr>
    </w:div>
    <w:div w:id="1989282819">
      <w:bodyDiv w:val="1"/>
      <w:marLeft w:val="0"/>
      <w:marRight w:val="0"/>
      <w:marTop w:val="0"/>
      <w:marBottom w:val="0"/>
      <w:divBdr>
        <w:top w:val="none" w:sz="0" w:space="0" w:color="auto"/>
        <w:left w:val="none" w:sz="0" w:space="0" w:color="auto"/>
        <w:bottom w:val="none" w:sz="0" w:space="0" w:color="auto"/>
        <w:right w:val="none" w:sz="0" w:space="0" w:color="auto"/>
      </w:divBdr>
    </w:div>
    <w:div w:id="211408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6.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www.dfat.gov.au/about-us/publications/dfat-design-monitoring-evaluation-learning-standards" TargetMode="Externa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3" Type="http://schemas.openxmlformats.org/officeDocument/2006/relationships/hyperlink" Target="https://data.unwomen.org/country/indonesia" TargetMode="External"/><Relationship Id="rId18" Type="http://schemas.openxmlformats.org/officeDocument/2006/relationships/hyperlink" Target="https://ejournal.ukm.my/mjc/article/view/54709" TargetMode="External"/><Relationship Id="rId26" Type="http://schemas.openxmlformats.org/officeDocument/2006/relationships/hyperlink" Target="https://asianews.network/indonesia-still-denies-religious-minorities-freedom-to-worship/" TargetMode="External"/><Relationship Id="rId3" Type="http://schemas.openxmlformats.org/officeDocument/2006/relationships/hyperlink" Target="https://www.eiu.com/n/" TargetMode="External"/><Relationship Id="rId21" Type="http://schemas.openxmlformats.org/officeDocument/2006/relationships/hyperlink" Target="https://www.thejakartapost.com/news/2015/02/14/voters-with-disabilities-want-greater-access.html" TargetMode="External"/><Relationship Id="rId7" Type="http://schemas.openxmlformats.org/officeDocument/2006/relationships/hyperlink" Target="https://www.dfat.gov.au/sites/default/files/performance-delivery-framework.pdf" TargetMode="External"/><Relationship Id="rId12" Type="http://schemas.openxmlformats.org/officeDocument/2006/relationships/hyperlink" Target="https://www.undp.org/indonesia/gender" TargetMode="External"/><Relationship Id="rId17" Type="http://schemas.openxmlformats.org/officeDocument/2006/relationships/hyperlink" Target="https://www.undp.org/indonesia/press-releases/undp-policy-volume-indonesia-needs-strong-digital-inclusivity-index" TargetMode="External"/><Relationship Id="rId25" Type="http://schemas.openxmlformats.org/officeDocument/2006/relationships/hyperlink" Target="https://theconversation.com/improving-the-civil-registry-and-vital-statistics-system-in-indonesia-must-begin-at-the-village-level-165892" TargetMode="External"/><Relationship Id="rId33" Type="http://schemas.openxmlformats.org/officeDocument/2006/relationships/hyperlink" Target="https://doi.org/10.1002/wcc.754" TargetMode="External"/><Relationship Id="rId2" Type="http://schemas.openxmlformats.org/officeDocument/2006/relationships/hyperlink" Target="https://www.idea.int/democracytracker/country/indonesia" TargetMode="External"/><Relationship Id="rId16" Type="http://schemas.openxmlformats.org/officeDocument/2006/relationships/hyperlink" Target="https://asiafoundation.org/delivering-justice-helping-victims-of-sexual-violence-in-indonesia-by-training-advocates-and-paralegals/" TargetMode="External"/><Relationship Id="rId20" Type="http://schemas.openxmlformats.org/officeDocument/2006/relationships/hyperlink" Target="https://www.monash.edu/__data/assets/pdf_file/0003/1107138/Disability-in-Indonesia.pdf" TargetMode="External"/><Relationship Id="rId29" Type="http://schemas.openxmlformats.org/officeDocument/2006/relationships/hyperlink" Target="https://www.ipcc.ch/report/ar6/wg2/chapter/summary-for-policymakers/" TargetMode="External"/><Relationship Id="rId1" Type="http://schemas.openxmlformats.org/officeDocument/2006/relationships/hyperlink" Target="https://asianbarometer.org" TargetMode="External"/><Relationship Id="rId6" Type="http://schemas.openxmlformats.org/officeDocument/2006/relationships/hyperlink" Target="https://www.unesco.org/en/world-media-trends" TargetMode="External"/><Relationship Id="rId11" Type="http://schemas.openxmlformats.org/officeDocument/2006/relationships/hyperlink" Target="https://asia.fes.de/news/the-paradox-in-womens-political-representation-in-indonesia-more-women-in-politics-but-what-changes.html" TargetMode="External"/><Relationship Id="rId24" Type="http://schemas.openxmlformats.org/officeDocument/2006/relationships/hyperlink" Target="https://aman.or.id/files/publication-documentation/94650CATATAN%20TAHUN%202022%20AMAN%20%281%29.pdf" TargetMode="External"/><Relationship Id="rId32" Type="http://schemas.openxmlformats.org/officeDocument/2006/relationships/hyperlink" Target="https://climatepromise.undp.org/news-and-stories/what-are-climate-misinformation-and-disinformation-and-how-can-we-tackle-them?utm_source=chatgpt.com" TargetMode="External"/><Relationship Id="rId5" Type="http://schemas.openxmlformats.org/officeDocument/2006/relationships/hyperlink" Target="https://rsf.org/en/country/indonesia" TargetMode="External"/><Relationship Id="rId15" Type="http://schemas.openxmlformats.org/officeDocument/2006/relationships/hyperlink" Target="https://data.worldbank.org/indicator/SG.VAW.REAS.ZS?locations=ID&amp;view=chart" TargetMode="External"/><Relationship Id="rId23" Type="http://schemas.openxmlformats.org/officeDocument/2006/relationships/hyperlink" Target="https://www.straitstimes.com/asia/se-asia/people-with-disabilities-in-indonesia-aim-for-seats-in-parliament-in-hope-of-endorsing-friendly-rules?utm_source=chatgpt.com" TargetMode="External"/><Relationship Id="rId28" Type="http://schemas.openxmlformats.org/officeDocument/2006/relationships/hyperlink" Target="https://www.ipcc.ch/report/ar6/wg2/" TargetMode="External"/><Relationship Id="rId10" Type="http://schemas.openxmlformats.org/officeDocument/2006/relationships/hyperlink" Target="https://theconversation.com/even-with-a-30-quota-in-place-indonesian-women-face-an-uphill-battle-running-for-office-222387" TargetMode="External"/><Relationship Id="rId19" Type="http://schemas.openxmlformats.org/officeDocument/2006/relationships/hyperlink" Target="https://www.bps.go.id/en/publication/2024/12/20/43880dc0f8be5ab92199f8b9/portrait-of-persons-with-disabilities-in-indonesia-long-form-pc2020-results.html" TargetMode="External"/><Relationship Id="rId31" Type="http://schemas.openxmlformats.org/officeDocument/2006/relationships/hyperlink" Target="https://v-dem.net/media/publications/wp_85.pdf?utm_source=chatgpt.com" TargetMode="External"/><Relationship Id="rId4" Type="http://schemas.openxmlformats.org/officeDocument/2006/relationships/hyperlink" Target="https://rstudio-pubs-static.s3.amazonaws.com/1224511_8adda0194e32482fa39ab6ee288ccb82.html" TargetMode="External"/><Relationship Id="rId9" Type="http://schemas.openxmlformats.org/officeDocument/2006/relationships/hyperlink" Target="https://data.worldbank.org/indicator/SG.GEN.PARL.ZS?view=chart" TargetMode="External"/><Relationship Id="rId14" Type="http://schemas.openxmlformats.org/officeDocument/2006/relationships/hyperlink" Target="https://www.asia-pacific-solidarity.net/news/2024-03-07/komnas-perempuan-records-general-decline-violence-against-women-2023.html" TargetMode="External"/><Relationship Id="rId22" Type="http://schemas.openxmlformats.org/officeDocument/2006/relationships/hyperlink" Target="https://www.straitstimes.com/asia/se-asia/people-with-disabilities-in-indonesia-aim-for-seats-in-parliament-in-hope-of-endorsing-friendly-rules" TargetMode="External"/><Relationship Id="rId27" Type="http://schemas.openxmlformats.org/officeDocument/2006/relationships/hyperlink" Target="https://stopthepersecution.org/discrimination-against-minority-groups-rampant-komnas-ham/" TargetMode="External"/><Relationship Id="rId30" Type="http://schemas.openxmlformats.org/officeDocument/2006/relationships/hyperlink" Target="https://www.idea.int/sites/default/files/publications/chapters/climate-change-and-democracy-insights-from-asia-pacific/ch6-climate-change-and-democracy-insights-from-asia-pacific.pdf?utm_source=chatgpt.com" TargetMode="External"/><Relationship Id="rId8" Type="http://schemas.openxmlformats.org/officeDocument/2006/relationships/hyperlink" Target="https://en.mkri.id/download/constitution/constitution_1_1625426222_4c1e13f466840d7ed72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Partisipasi: the Indonesia Democratic Participation Program</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1c2fcc-f76a-400a-bec0-50724da038bb">
      <Terms xmlns="http://schemas.microsoft.com/office/infopath/2007/PartnerControls"/>
    </lcf76f155ced4ddcb4097134ff3c332f>
    <TaxCatchAll xmlns="b66c5beb-45d0-4632-a30e-11c4a81254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7E2283A425BEE46AE9EBC8481F2BB02" ma:contentTypeVersion="10" ma:contentTypeDescription="Create a new document." ma:contentTypeScope="" ma:versionID="e767c283237503c0bb4261566ef612bf">
  <xsd:schema xmlns:xsd="http://www.w3.org/2001/XMLSchema" xmlns:xs="http://www.w3.org/2001/XMLSchema" xmlns:p="http://schemas.microsoft.com/office/2006/metadata/properties" xmlns:ns2="841c2fcc-f76a-400a-bec0-50724da038bb" xmlns:ns3="b66c5beb-45d0-4632-a30e-11c4a81254da" targetNamespace="http://schemas.microsoft.com/office/2006/metadata/properties" ma:root="true" ma:fieldsID="d39d0e955ead7ce8a74019909ca1b3ec" ns2:_="" ns3:_="">
    <xsd:import namespace="841c2fcc-f76a-400a-bec0-50724da038bb"/>
    <xsd:import namespace="b66c5beb-45d0-4632-a30e-11c4a8125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c2fcc-f76a-400a-bec0-50724da03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2d92b5-746e-49a8-aa32-1dfdc1be395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6c5beb-45d0-4632-a30e-11c4a8125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5a8eb3-7a5b-4c81-8d7a-261f7d3befd2}" ma:internalName="TaxCatchAll" ma:showField="CatchAllData" ma:web="b66c5beb-45d0-4632-a30e-11c4a8125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31E436-1803-4297-898A-86BC94190F01}">
  <ds:schemaRefs>
    <ds:schemaRef ds:uri="http://schemas.microsoft.com/office/2006/metadata/properties"/>
    <ds:schemaRef ds:uri="http://schemas.microsoft.com/office/infopath/2007/PartnerControls"/>
    <ds:schemaRef ds:uri="841c2fcc-f76a-400a-bec0-50724da038bb"/>
    <ds:schemaRef ds:uri="b66c5beb-45d0-4632-a30e-11c4a81254da"/>
  </ds:schemaRefs>
</ds:datastoreItem>
</file>

<file path=customXml/itemProps3.xml><?xml version="1.0" encoding="utf-8"?>
<ds:datastoreItem xmlns:ds="http://schemas.openxmlformats.org/officeDocument/2006/customXml" ds:itemID="{96C6EDDC-5C53-4C49-A72B-522698F1A113}">
  <ds:schemaRefs>
    <ds:schemaRef ds:uri="http://schemas.microsoft.com/sharepoint/v3/contenttype/forms"/>
  </ds:schemaRefs>
</ds:datastoreItem>
</file>

<file path=customXml/itemProps4.xml><?xml version="1.0" encoding="utf-8"?>
<ds:datastoreItem xmlns:ds="http://schemas.openxmlformats.org/officeDocument/2006/customXml" ds:itemID="{1646C378-F66F-464F-ADAA-9EF07A05A021}">
  <ds:schemaRefs>
    <ds:schemaRef ds:uri="http://schemas.openxmlformats.org/officeDocument/2006/bibliography"/>
  </ds:schemaRefs>
</ds:datastoreItem>
</file>

<file path=customXml/itemProps5.xml><?xml version="1.0" encoding="utf-8"?>
<ds:datastoreItem xmlns:ds="http://schemas.openxmlformats.org/officeDocument/2006/customXml" ds:itemID="{18047B7B-847B-4607-8F0E-B63EE973C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c2fcc-f76a-400a-bec0-50724da038bb"/>
    <ds:schemaRef ds:uri="b66c5beb-45d0-4632-a30e-11c4a8125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98</Pages>
  <Words>36151</Words>
  <Characters>236431</Characters>
  <Application>Microsoft Office Word</Application>
  <DocSecurity>0</DocSecurity>
  <Lines>4635</Lines>
  <Paragraphs>2163</Paragraphs>
  <ScaleCrop>false</ScaleCrop>
  <HeadingPairs>
    <vt:vector size="2" baseType="variant">
      <vt:variant>
        <vt:lpstr>Title</vt:lpstr>
      </vt:variant>
      <vt:variant>
        <vt:i4>1</vt:i4>
      </vt:variant>
    </vt:vector>
  </HeadingPairs>
  <TitlesOfParts>
    <vt:vector size="1" baseType="lpstr">
      <vt:lpstr>Investment Design Document</vt:lpstr>
    </vt:vector>
  </TitlesOfParts>
  <Company/>
  <LinksUpToDate>false</LinksUpToDate>
  <CharactersWithSpaces>270419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Democratic Participation Program (Partisipasi) - Design Document</dc:title>
  <dc:subject/>
  <dc:creator>Primatia Romana</dc:creator>
  <cp:keywords>[SEC=OFFICIAL]</cp:keywords>
  <cp:revision>32</cp:revision>
  <cp:lastPrinted>2026-05-21T09:30:00Z</cp:lastPrinted>
  <dcterms:created xsi:type="dcterms:W3CDTF">2026-06-16T10:31:00Z</dcterms:created>
  <dcterms:modified xsi:type="dcterms:W3CDTF">2026-06-22T22:58:00Z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MinimumSecurityClassification">
    <vt:lpwstr>OFFICIAL</vt:lpwstr>
  </property>
  <property fmtid="{D5CDD505-2E9C-101B-9397-08002B2CF9AE}" pid="3" name="PM_SecurityClassification">
    <vt:lpwstr>OFFICIAL</vt:lpwstr>
  </property>
  <property fmtid="{D5CDD505-2E9C-101B-9397-08002B2CF9AE}" pid="4" name="PMHMAC">
    <vt:lpwstr>v=2022.1;a=SHA256;h=2905D458FB1EC19620EA1DD81FB802D36EE87C464A999917B75375A63B21B4EB</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859344052EC50ECCBAFF08BE4512BD707C9E9AE8</vt:lpwstr>
  </property>
  <property fmtid="{D5CDD505-2E9C-101B-9397-08002B2CF9AE}" pid="9" name="PM_Originating_FileId">
    <vt:lpwstr>1FF7E5DC14D444DAA887E4DA98360471</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2023-04-27T04:56:04Z</vt:lpwstr>
  </property>
  <property fmtid="{D5CDD505-2E9C-101B-9397-08002B2CF9AE}" pid="13" name="PM_ProtectiveMarkingImage_Header">
    <vt:lpwstr>C:\Program Files (x86)\Common Files\janusNET Shared\janusSEAL\Images\DocumentSlashBlue.png</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2022.1</vt:lpwstr>
  </property>
  <property fmtid="{D5CDD505-2E9C-101B-9397-08002B2CF9AE}" pid="20" name="PM_Hash_Salt_Prev">
    <vt:lpwstr>58340158E1981F1552B9546EC5411993</vt:lpwstr>
  </property>
  <property fmtid="{D5CDD505-2E9C-101B-9397-08002B2CF9AE}" pid="21" name="PM_Hash_Salt">
    <vt:lpwstr>A5EB1980AE1E3885AF740108F008A1C8</vt:lpwstr>
  </property>
  <property fmtid="{D5CDD505-2E9C-101B-9397-08002B2CF9AE}" pid="22" name="PM_Hash_SHA1">
    <vt:lpwstr>B9810752753A7547386D8C13A04AF1FCF7638CCE</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PM_Display">
    <vt:lpwstr>OFFICIAL</vt:lpwstr>
  </property>
  <property fmtid="{D5CDD505-2E9C-101B-9397-08002B2CF9AE}" pid="26" name="PMUuid">
    <vt:lpwstr>v=2022.2;d=gov.au;g=46DD6D7C-8107-577B-BC6E-F348953B2E44</vt:lpwstr>
  </property>
  <property fmtid="{D5CDD505-2E9C-101B-9397-08002B2CF9AE}" pid="27" name="PM_OriginatorUserAccountName_SHA256">
    <vt:lpwstr>3A1DDDCA8252CF2380E3D5047574E53B7B06569487608C73531AE3BB72126456</vt:lpwstr>
  </property>
  <property fmtid="{D5CDD505-2E9C-101B-9397-08002B2CF9AE}" pid="28" name="PM_OriginatorDomainName_SHA256">
    <vt:lpwstr>6F3591835F3B2A8A025B00B5BA6418010DA3A17C9C26EA9C049FFD28039489A2</vt:lpwstr>
  </property>
  <property fmtid="{D5CDD505-2E9C-101B-9397-08002B2CF9AE}" pid="29" name="PM_Caveats_Count">
    <vt:lpwstr>0</vt:lpwstr>
  </property>
  <property fmtid="{D5CDD505-2E9C-101B-9397-08002B2CF9AE}" pid="30" name="ContentTypeId">
    <vt:lpwstr>0x01010017E2283A425BEE46AE9EBC8481F2BB02</vt:lpwstr>
  </property>
  <property fmtid="{D5CDD505-2E9C-101B-9397-08002B2CF9AE}" pid="31" name="MediaServiceImageTags">
    <vt:lpwstr/>
  </property>
  <property fmtid="{D5CDD505-2E9C-101B-9397-08002B2CF9AE}" pid="32" name="PM_Expires">
    <vt:lpwstr/>
  </property>
  <property fmtid="{D5CDD505-2E9C-101B-9397-08002B2CF9AE}" pid="33" name="PM_DownTo">
    <vt:lpwstr/>
  </property>
  <property fmtid="{D5CDD505-2E9C-101B-9397-08002B2CF9AE}" pid="34" name="ClassificationContentMarkingHeaderShapeIds">
    <vt:lpwstr>338ee817,156dbf14,673e4c31,7d6dfffa,78cfb2cf,30a7176a,2a76ce32</vt:lpwstr>
  </property>
  <property fmtid="{D5CDD505-2E9C-101B-9397-08002B2CF9AE}" pid="35" name="ClassificationContentMarkingHeaderFontProps">
    <vt:lpwstr>#ff0000,12,Aptos</vt:lpwstr>
  </property>
  <property fmtid="{D5CDD505-2E9C-101B-9397-08002B2CF9AE}" pid="36" name="ClassificationContentMarkingHeaderText">
    <vt:lpwstr>OFFICIAL</vt:lpwstr>
  </property>
  <property fmtid="{D5CDD505-2E9C-101B-9397-08002B2CF9AE}" pid="37" name="ClassificationContentMarkingFooterShapeIds">
    <vt:lpwstr>3833c5e5,1d3c9b1f,2920cfa4,2ead8a35,202da4c8,36ad08ae,1ef3c014,249db776</vt:lpwstr>
  </property>
  <property fmtid="{D5CDD505-2E9C-101B-9397-08002B2CF9AE}" pid="38" name="ClassificationContentMarkingFooterFontProps">
    <vt:lpwstr>#ff0000,12,Aptos</vt:lpwstr>
  </property>
  <property fmtid="{D5CDD505-2E9C-101B-9397-08002B2CF9AE}" pid="39" name="ClassificationContentMarkingFooterText">
    <vt:lpwstr>OFFICIAL</vt:lpwstr>
  </property>
</Properties>
</file>