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C3" w:rsidRPr="00E148C3" w:rsidRDefault="00E148C3" w:rsidP="00E148C3">
      <w:pPr>
        <w:pStyle w:val="Header"/>
        <w:rPr>
          <w:rFonts w:asciiTheme="majorHAnsi" w:hAnsiTheme="majorHAnsi"/>
          <w:b/>
          <w:sz w:val="28"/>
          <w:szCs w:val="28"/>
        </w:rPr>
      </w:pPr>
      <w:r w:rsidRPr="00E148C3">
        <w:rPr>
          <w:rFonts w:asciiTheme="majorHAnsi" w:hAnsiTheme="majorHAnsi"/>
          <w:b/>
          <w:sz w:val="28"/>
          <w:szCs w:val="28"/>
        </w:rPr>
        <w:t>DFAT Management Response to</w:t>
      </w:r>
      <w:r w:rsidR="00271BCA">
        <w:rPr>
          <w:rFonts w:asciiTheme="majorHAnsi" w:hAnsiTheme="majorHAnsi"/>
          <w:b/>
          <w:sz w:val="28"/>
          <w:szCs w:val="28"/>
        </w:rPr>
        <w:t xml:space="preserve"> the</w:t>
      </w:r>
      <w:r w:rsidRPr="00E148C3">
        <w:rPr>
          <w:rFonts w:asciiTheme="majorHAnsi" w:hAnsiTheme="majorHAnsi"/>
          <w:b/>
          <w:sz w:val="28"/>
          <w:szCs w:val="28"/>
        </w:rPr>
        <w:t xml:space="preserve"> Evaluation of Youth </w:t>
      </w:r>
      <w:proofErr w:type="gramStart"/>
      <w:r w:rsidRPr="00E148C3">
        <w:rPr>
          <w:rFonts w:asciiTheme="majorHAnsi" w:hAnsiTheme="majorHAnsi"/>
          <w:b/>
          <w:sz w:val="28"/>
          <w:szCs w:val="28"/>
        </w:rPr>
        <w:t>With</w:t>
      </w:r>
      <w:proofErr w:type="gramEnd"/>
      <w:r w:rsidR="00271BCA">
        <w:rPr>
          <w:rFonts w:asciiTheme="majorHAnsi" w:hAnsiTheme="majorHAnsi"/>
          <w:b/>
          <w:sz w:val="28"/>
          <w:szCs w:val="28"/>
        </w:rPr>
        <w:t xml:space="preserve"> A Mission Medical Ships</w:t>
      </w:r>
      <w:r w:rsidR="00613009">
        <w:rPr>
          <w:rFonts w:asciiTheme="majorHAnsi" w:hAnsiTheme="majorHAnsi"/>
          <w:b/>
          <w:sz w:val="28"/>
          <w:szCs w:val="28"/>
        </w:rPr>
        <w:t xml:space="preserve"> Australia</w:t>
      </w:r>
    </w:p>
    <w:p w:rsidR="00E148C3" w:rsidRDefault="00E148C3" w:rsidP="00F721CD">
      <w:pPr>
        <w:rPr>
          <w:rFonts w:asciiTheme="majorHAnsi" w:hAnsiTheme="majorHAnsi"/>
        </w:rPr>
      </w:pPr>
    </w:p>
    <w:p w:rsidR="00F721CD" w:rsidRDefault="00271BCA" w:rsidP="00F721C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Youth </w:t>
      </w:r>
      <w:proofErr w:type="gramStart"/>
      <w:r>
        <w:rPr>
          <w:rFonts w:asciiTheme="majorHAnsi" w:hAnsiTheme="majorHAnsi"/>
        </w:rPr>
        <w:t>With A</w:t>
      </w:r>
      <w:proofErr w:type="gramEnd"/>
      <w:r>
        <w:rPr>
          <w:rFonts w:asciiTheme="majorHAnsi" w:hAnsiTheme="majorHAnsi"/>
        </w:rPr>
        <w:t xml:space="preserve"> Mission Medical Ships </w:t>
      </w:r>
      <w:r w:rsidR="00613009">
        <w:rPr>
          <w:rFonts w:asciiTheme="majorHAnsi" w:hAnsiTheme="majorHAnsi"/>
        </w:rPr>
        <w:t xml:space="preserve">Australia </w:t>
      </w:r>
      <w:bookmarkStart w:id="0" w:name="_GoBack"/>
      <w:bookmarkEnd w:id="0"/>
      <w:r>
        <w:rPr>
          <w:rFonts w:asciiTheme="majorHAnsi" w:hAnsiTheme="majorHAnsi"/>
        </w:rPr>
        <w:t>(YWAM</w:t>
      </w:r>
      <w:r w:rsidR="00613009">
        <w:rPr>
          <w:rFonts w:asciiTheme="majorHAnsi" w:hAnsiTheme="majorHAnsi"/>
        </w:rPr>
        <w:t xml:space="preserve"> MSA</w:t>
      </w:r>
      <w:r>
        <w:rPr>
          <w:rFonts w:asciiTheme="majorHAnsi" w:hAnsiTheme="majorHAnsi"/>
        </w:rPr>
        <w:t>)</w:t>
      </w:r>
      <w:r w:rsidR="006130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has been providing health services </w:t>
      </w:r>
      <w:r w:rsidR="00BC5361">
        <w:rPr>
          <w:rFonts w:asciiTheme="majorHAnsi" w:hAnsiTheme="majorHAnsi"/>
        </w:rPr>
        <w:t xml:space="preserve">to PNG since 2010. For most of this </w:t>
      </w:r>
      <w:proofErr w:type="gramStart"/>
      <w:r w:rsidR="00BC5361">
        <w:rPr>
          <w:rFonts w:asciiTheme="majorHAnsi" w:hAnsiTheme="majorHAnsi"/>
        </w:rPr>
        <w:t>time</w:t>
      </w:r>
      <w:proofErr w:type="gramEnd"/>
      <w:r w:rsidR="00BC5361">
        <w:rPr>
          <w:rFonts w:asciiTheme="majorHAnsi" w:hAnsiTheme="majorHAnsi"/>
        </w:rPr>
        <w:t xml:space="preserve"> the Australian Government, th</w:t>
      </w:r>
      <w:r w:rsidR="00613009">
        <w:rPr>
          <w:rFonts w:asciiTheme="majorHAnsi" w:hAnsiTheme="majorHAnsi"/>
        </w:rPr>
        <w:t>r</w:t>
      </w:r>
      <w:r w:rsidR="00BC5361">
        <w:rPr>
          <w:rFonts w:asciiTheme="majorHAnsi" w:hAnsiTheme="majorHAnsi"/>
        </w:rPr>
        <w:t xml:space="preserve">ough </w:t>
      </w:r>
      <w:proofErr w:type="spellStart"/>
      <w:r w:rsidR="00BC5361">
        <w:rPr>
          <w:rFonts w:asciiTheme="majorHAnsi" w:hAnsiTheme="majorHAnsi"/>
        </w:rPr>
        <w:t>AusAID</w:t>
      </w:r>
      <w:proofErr w:type="spellEnd"/>
      <w:r w:rsidR="00BC5361">
        <w:rPr>
          <w:rFonts w:asciiTheme="majorHAnsi" w:hAnsiTheme="majorHAnsi"/>
        </w:rPr>
        <w:t xml:space="preserve"> and later DFAT, has made a contribution to YWAM</w:t>
      </w:r>
      <w:r w:rsidR="00613009">
        <w:rPr>
          <w:rFonts w:asciiTheme="majorHAnsi" w:hAnsiTheme="majorHAnsi"/>
        </w:rPr>
        <w:t xml:space="preserve"> MSA</w:t>
      </w:r>
      <w:r w:rsidR="00BC5361">
        <w:rPr>
          <w:rFonts w:asciiTheme="majorHAnsi" w:hAnsiTheme="majorHAnsi"/>
        </w:rPr>
        <w:t>’s service costs. T</w:t>
      </w:r>
      <w:r w:rsidR="001229FB">
        <w:rPr>
          <w:rFonts w:asciiTheme="majorHAnsi" w:hAnsiTheme="majorHAnsi"/>
        </w:rPr>
        <w:t>his</w:t>
      </w:r>
      <w:r w:rsidR="00F721CD" w:rsidRPr="00615B11">
        <w:rPr>
          <w:rFonts w:asciiTheme="majorHAnsi" w:hAnsiTheme="majorHAnsi"/>
        </w:rPr>
        <w:t xml:space="preserve"> evaluation</w:t>
      </w:r>
      <w:r w:rsidR="001309BE">
        <w:rPr>
          <w:rFonts w:asciiTheme="majorHAnsi" w:hAnsiTheme="majorHAnsi"/>
        </w:rPr>
        <w:t xml:space="preserve"> was </w:t>
      </w:r>
      <w:r w:rsidR="001309BE" w:rsidRPr="001309BE">
        <w:rPr>
          <w:rFonts w:asciiTheme="majorHAnsi" w:hAnsiTheme="majorHAnsi"/>
        </w:rPr>
        <w:t>commissioned to review YWAM</w:t>
      </w:r>
      <w:r w:rsidR="00613009">
        <w:rPr>
          <w:rFonts w:asciiTheme="majorHAnsi" w:hAnsiTheme="majorHAnsi"/>
        </w:rPr>
        <w:t xml:space="preserve"> MSA</w:t>
      </w:r>
      <w:r w:rsidR="00BC5361">
        <w:rPr>
          <w:rFonts w:asciiTheme="majorHAnsi" w:hAnsiTheme="majorHAnsi"/>
        </w:rPr>
        <w:t>’s</w:t>
      </w:r>
      <w:r w:rsidR="001309BE" w:rsidRPr="001309BE">
        <w:rPr>
          <w:rFonts w:asciiTheme="majorHAnsi" w:hAnsiTheme="majorHAnsi"/>
        </w:rPr>
        <w:t xml:space="preserve"> activities between the last quarter of 2015 and </w:t>
      </w:r>
      <w:r w:rsidR="00DE246D">
        <w:rPr>
          <w:rFonts w:asciiTheme="majorHAnsi" w:hAnsiTheme="majorHAnsi"/>
        </w:rPr>
        <w:t>December 2017, with a particularly focus on Western Province.</w:t>
      </w:r>
      <w:r w:rsidR="001309BE">
        <w:rPr>
          <w:rFonts w:asciiTheme="majorHAnsi" w:hAnsiTheme="majorHAnsi"/>
        </w:rPr>
        <w:t xml:space="preserve"> It </w:t>
      </w:r>
      <w:r w:rsidR="00F721CD" w:rsidRPr="00615B11">
        <w:rPr>
          <w:rFonts w:asciiTheme="majorHAnsi" w:hAnsiTheme="majorHAnsi"/>
        </w:rPr>
        <w:t>sought to assess the effect</w:t>
      </w:r>
      <w:r w:rsidR="00521B3C">
        <w:rPr>
          <w:rFonts w:asciiTheme="majorHAnsi" w:hAnsiTheme="majorHAnsi"/>
        </w:rPr>
        <w:t>iveness and efficiency of YWAM</w:t>
      </w:r>
      <w:r w:rsidR="00613009">
        <w:rPr>
          <w:rFonts w:asciiTheme="majorHAnsi" w:hAnsiTheme="majorHAnsi"/>
        </w:rPr>
        <w:t xml:space="preserve"> MSA</w:t>
      </w:r>
      <w:r w:rsidR="00013A4B">
        <w:rPr>
          <w:rFonts w:asciiTheme="majorHAnsi" w:hAnsiTheme="majorHAnsi"/>
        </w:rPr>
        <w:t>’</w:t>
      </w:r>
      <w:r w:rsidR="00521B3C">
        <w:rPr>
          <w:rFonts w:asciiTheme="majorHAnsi" w:hAnsiTheme="majorHAnsi"/>
        </w:rPr>
        <w:t>s</w:t>
      </w:r>
      <w:r w:rsidR="00F721CD" w:rsidRPr="00615B11">
        <w:rPr>
          <w:rFonts w:asciiTheme="majorHAnsi" w:hAnsiTheme="majorHAnsi"/>
        </w:rPr>
        <w:t xml:space="preserve"> approach</w:t>
      </w:r>
      <w:r w:rsidR="00013A4B">
        <w:rPr>
          <w:rFonts w:asciiTheme="majorHAnsi" w:hAnsiTheme="majorHAnsi"/>
        </w:rPr>
        <w:t xml:space="preserve"> to health service delivery</w:t>
      </w:r>
      <w:r w:rsidR="00F721CD" w:rsidRPr="00615B11">
        <w:rPr>
          <w:rFonts w:asciiTheme="majorHAnsi" w:hAnsiTheme="majorHAnsi"/>
        </w:rPr>
        <w:t xml:space="preserve">, </w:t>
      </w:r>
      <w:r w:rsidR="00013A4B">
        <w:rPr>
          <w:rFonts w:asciiTheme="majorHAnsi" w:hAnsiTheme="majorHAnsi"/>
        </w:rPr>
        <w:t xml:space="preserve">to identify </w:t>
      </w:r>
      <w:r w:rsidR="00F721CD" w:rsidRPr="00615B11">
        <w:rPr>
          <w:rFonts w:asciiTheme="majorHAnsi" w:hAnsiTheme="majorHAnsi"/>
        </w:rPr>
        <w:t xml:space="preserve">lessons and provide recommendations that </w:t>
      </w:r>
      <w:r w:rsidR="00AB6B34">
        <w:rPr>
          <w:rFonts w:asciiTheme="majorHAnsi" w:hAnsiTheme="majorHAnsi"/>
        </w:rPr>
        <w:t xml:space="preserve">might </w:t>
      </w:r>
      <w:r w:rsidR="00F721CD" w:rsidRPr="00615B11">
        <w:rPr>
          <w:rFonts w:asciiTheme="majorHAnsi" w:hAnsiTheme="majorHAnsi"/>
        </w:rPr>
        <w:t>inform DFAT’s</w:t>
      </w:r>
      <w:r w:rsidR="00615B11">
        <w:rPr>
          <w:rFonts w:asciiTheme="majorHAnsi" w:hAnsiTheme="majorHAnsi"/>
        </w:rPr>
        <w:t xml:space="preserve"> future</w:t>
      </w:r>
      <w:r w:rsidR="00013A4B">
        <w:rPr>
          <w:rFonts w:asciiTheme="majorHAnsi" w:hAnsiTheme="majorHAnsi"/>
        </w:rPr>
        <w:t xml:space="preserve"> </w:t>
      </w:r>
      <w:r w:rsidR="00F721CD" w:rsidRPr="00615B11">
        <w:rPr>
          <w:rFonts w:asciiTheme="majorHAnsi" w:hAnsiTheme="majorHAnsi"/>
        </w:rPr>
        <w:t>engagement with YWAM.</w:t>
      </w:r>
      <w:r w:rsidR="00A430F2">
        <w:rPr>
          <w:rFonts w:asciiTheme="majorHAnsi" w:hAnsiTheme="majorHAnsi"/>
        </w:rPr>
        <w:t xml:space="preserve"> </w:t>
      </w:r>
      <w:r w:rsidR="00AF458F">
        <w:rPr>
          <w:rFonts w:asciiTheme="majorHAnsi" w:hAnsiTheme="majorHAnsi"/>
        </w:rPr>
        <w:t>DFAT wishes to thank YWAM</w:t>
      </w:r>
      <w:r w:rsidR="00613009">
        <w:rPr>
          <w:rFonts w:asciiTheme="majorHAnsi" w:hAnsiTheme="majorHAnsi"/>
        </w:rPr>
        <w:t xml:space="preserve"> MSA</w:t>
      </w:r>
      <w:r w:rsidR="00AF458F">
        <w:rPr>
          <w:rFonts w:asciiTheme="majorHAnsi" w:hAnsiTheme="majorHAnsi"/>
        </w:rPr>
        <w:t xml:space="preserve"> for the cooperative and open spirit with which it approached the evaluation, and</w:t>
      </w:r>
      <w:r w:rsidR="00BC5361">
        <w:rPr>
          <w:rFonts w:asciiTheme="majorHAnsi" w:hAnsiTheme="majorHAnsi"/>
        </w:rPr>
        <w:t xml:space="preserve"> for </w:t>
      </w:r>
      <w:r w:rsidR="00AF458F">
        <w:rPr>
          <w:rFonts w:asciiTheme="majorHAnsi" w:hAnsiTheme="majorHAnsi"/>
        </w:rPr>
        <w:t xml:space="preserve">the </w:t>
      </w:r>
      <w:proofErr w:type="gramStart"/>
      <w:r w:rsidR="00AF458F">
        <w:rPr>
          <w:rFonts w:asciiTheme="majorHAnsi" w:hAnsiTheme="majorHAnsi"/>
        </w:rPr>
        <w:t>support</w:t>
      </w:r>
      <w:proofErr w:type="gramEnd"/>
      <w:r w:rsidR="00AF458F">
        <w:rPr>
          <w:rFonts w:asciiTheme="majorHAnsi" w:hAnsiTheme="majorHAnsi"/>
        </w:rPr>
        <w:t xml:space="preserve"> it provided to the evaluation team during its mission.</w:t>
      </w:r>
    </w:p>
    <w:p w:rsidR="001309BE" w:rsidRPr="001309BE" w:rsidRDefault="00013A4B" w:rsidP="001309BE">
      <w:pPr>
        <w:rPr>
          <w:rFonts w:asciiTheme="majorHAnsi" w:hAnsiTheme="majorHAnsi"/>
        </w:rPr>
      </w:pPr>
      <w:r>
        <w:rPr>
          <w:rFonts w:asciiTheme="majorHAnsi" w:hAnsiTheme="majorHAnsi"/>
        </w:rPr>
        <w:t>DFAT accepts the main findings of the evaluation report</w:t>
      </w:r>
      <w:r w:rsidR="00AF3843">
        <w:rPr>
          <w:rFonts w:asciiTheme="majorHAnsi" w:hAnsiTheme="majorHAnsi"/>
        </w:rPr>
        <w:t xml:space="preserve">, while noting the caveats in relation to the financial analysis that </w:t>
      </w:r>
      <w:proofErr w:type="gramStart"/>
      <w:r w:rsidR="00AF3843">
        <w:rPr>
          <w:rFonts w:asciiTheme="majorHAnsi" w:hAnsiTheme="majorHAnsi"/>
        </w:rPr>
        <w:t>have been raised</w:t>
      </w:r>
      <w:proofErr w:type="gramEnd"/>
      <w:r w:rsidR="00AF3843">
        <w:rPr>
          <w:rFonts w:asciiTheme="majorHAnsi" w:hAnsiTheme="majorHAnsi"/>
        </w:rPr>
        <w:t xml:space="preserve"> by YWAM</w:t>
      </w:r>
      <w:r w:rsidR="00613009">
        <w:rPr>
          <w:rFonts w:asciiTheme="majorHAnsi" w:hAnsiTheme="majorHAnsi"/>
        </w:rPr>
        <w:t xml:space="preserve"> MSA</w:t>
      </w:r>
      <w:r w:rsidR="00AF3843">
        <w:rPr>
          <w:rFonts w:asciiTheme="majorHAnsi" w:hAnsiTheme="majorHAnsi"/>
        </w:rPr>
        <w:t xml:space="preserve"> and are noted in its Management Response</w:t>
      </w:r>
      <w:r w:rsidR="00BC5361">
        <w:rPr>
          <w:rFonts w:asciiTheme="majorHAnsi" w:hAnsiTheme="majorHAnsi"/>
        </w:rPr>
        <w:t xml:space="preserve"> (published</w:t>
      </w:r>
      <w:r w:rsidR="00595D10">
        <w:rPr>
          <w:rFonts w:asciiTheme="majorHAnsi" w:hAnsiTheme="majorHAnsi"/>
        </w:rPr>
        <w:t xml:space="preserve"> as a separate document</w:t>
      </w:r>
      <w:r w:rsidR="00BC5361">
        <w:rPr>
          <w:rFonts w:asciiTheme="majorHAnsi" w:hAnsiTheme="majorHAnsi"/>
        </w:rPr>
        <w:t xml:space="preserve"> on the DFAT website).</w:t>
      </w:r>
      <w:r>
        <w:rPr>
          <w:rFonts w:asciiTheme="majorHAnsi" w:hAnsiTheme="majorHAnsi"/>
        </w:rPr>
        <w:t xml:space="preserve"> The evaluation team found </w:t>
      </w:r>
      <w:r w:rsidR="00F721CD" w:rsidRPr="001309BE">
        <w:rPr>
          <w:rFonts w:asciiTheme="majorHAnsi" w:hAnsiTheme="majorHAnsi"/>
        </w:rPr>
        <w:t>that</w:t>
      </w:r>
      <w:r w:rsidR="001309BE" w:rsidRPr="001309BE">
        <w:rPr>
          <w:rFonts w:asciiTheme="majorHAnsi" w:hAnsiTheme="majorHAnsi"/>
        </w:rPr>
        <w:t xml:space="preserve"> YWAM</w:t>
      </w:r>
      <w:r>
        <w:rPr>
          <w:rFonts w:asciiTheme="majorHAnsi" w:hAnsiTheme="majorHAnsi"/>
        </w:rPr>
        <w:t xml:space="preserve"> </w:t>
      </w:r>
      <w:r w:rsidR="00613009">
        <w:rPr>
          <w:rFonts w:asciiTheme="majorHAnsi" w:hAnsiTheme="majorHAnsi"/>
        </w:rPr>
        <w:t xml:space="preserve">MSA </w:t>
      </w:r>
      <w:r w:rsidR="001309BE" w:rsidRPr="001309BE">
        <w:rPr>
          <w:rFonts w:asciiTheme="majorHAnsi" w:hAnsiTheme="majorHAnsi"/>
        </w:rPr>
        <w:t xml:space="preserve">has delivered on its contractual obligations and exceeded </w:t>
      </w:r>
      <w:r w:rsidR="00BC5361">
        <w:rPr>
          <w:rFonts w:asciiTheme="majorHAnsi" w:hAnsiTheme="majorHAnsi"/>
        </w:rPr>
        <w:t xml:space="preserve">the </w:t>
      </w:r>
      <w:r w:rsidR="001309BE" w:rsidRPr="001309BE">
        <w:rPr>
          <w:rFonts w:asciiTheme="majorHAnsi" w:hAnsiTheme="majorHAnsi"/>
        </w:rPr>
        <w:t xml:space="preserve">quantitative targets for service delivery under the funding </w:t>
      </w:r>
      <w:r w:rsidR="00613009">
        <w:rPr>
          <w:rFonts w:asciiTheme="majorHAnsi" w:hAnsiTheme="majorHAnsi"/>
        </w:rPr>
        <w:t>agreement</w:t>
      </w:r>
      <w:r w:rsidR="001309BE" w:rsidRPr="001309BE">
        <w:rPr>
          <w:rFonts w:asciiTheme="majorHAnsi" w:hAnsiTheme="majorHAnsi"/>
        </w:rPr>
        <w:t>, with the organisation developing strong relationships across all levels of government</w:t>
      </w:r>
      <w:r w:rsidR="00E148C3">
        <w:rPr>
          <w:rFonts w:asciiTheme="majorHAnsi" w:hAnsiTheme="majorHAnsi"/>
        </w:rPr>
        <w:t xml:space="preserve"> in PNG</w:t>
      </w:r>
      <w:r w:rsidR="001309BE" w:rsidRPr="001309BE">
        <w:rPr>
          <w:rFonts w:asciiTheme="majorHAnsi" w:hAnsiTheme="majorHAnsi"/>
        </w:rPr>
        <w:t xml:space="preserve">. </w:t>
      </w:r>
      <w:r w:rsidR="001309BE">
        <w:rPr>
          <w:rFonts w:asciiTheme="majorHAnsi" w:hAnsiTheme="majorHAnsi"/>
        </w:rPr>
        <w:t xml:space="preserve">In particular, </w:t>
      </w:r>
      <w:r w:rsidR="001309BE" w:rsidRPr="001309BE">
        <w:rPr>
          <w:rFonts w:asciiTheme="majorHAnsi" w:hAnsiTheme="majorHAnsi"/>
        </w:rPr>
        <w:t>YWAM</w:t>
      </w:r>
      <w:r w:rsidR="00521B3C">
        <w:rPr>
          <w:rFonts w:asciiTheme="majorHAnsi" w:hAnsiTheme="majorHAnsi"/>
        </w:rPr>
        <w:t xml:space="preserve"> </w:t>
      </w:r>
      <w:r w:rsidR="00613009">
        <w:rPr>
          <w:rFonts w:asciiTheme="majorHAnsi" w:hAnsiTheme="majorHAnsi"/>
        </w:rPr>
        <w:t xml:space="preserve">MSA </w:t>
      </w:r>
      <w:r w:rsidR="001309BE" w:rsidRPr="001309BE">
        <w:rPr>
          <w:rFonts w:asciiTheme="majorHAnsi" w:hAnsiTheme="majorHAnsi"/>
        </w:rPr>
        <w:t xml:space="preserve">has contributed to </w:t>
      </w:r>
      <w:r>
        <w:rPr>
          <w:rFonts w:asciiTheme="majorHAnsi" w:hAnsiTheme="majorHAnsi"/>
        </w:rPr>
        <w:t xml:space="preserve">improving </w:t>
      </w:r>
      <w:r w:rsidR="001309BE" w:rsidRPr="001309BE">
        <w:rPr>
          <w:rFonts w:asciiTheme="majorHAnsi" w:hAnsiTheme="majorHAnsi"/>
        </w:rPr>
        <w:t xml:space="preserve">access to </w:t>
      </w:r>
      <w:r w:rsidR="001309BE">
        <w:rPr>
          <w:rFonts w:asciiTheme="majorHAnsi" w:hAnsiTheme="majorHAnsi"/>
        </w:rPr>
        <w:t>primary health care services</w:t>
      </w:r>
      <w:r w:rsidR="00521B3C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 xml:space="preserve">a number of </w:t>
      </w:r>
      <w:r w:rsidR="00521B3C">
        <w:rPr>
          <w:rFonts w:asciiTheme="majorHAnsi" w:hAnsiTheme="majorHAnsi"/>
        </w:rPr>
        <w:t>remote locations of PNG</w:t>
      </w:r>
      <w:r w:rsidR="001309BE">
        <w:rPr>
          <w:rFonts w:asciiTheme="majorHAnsi" w:hAnsiTheme="majorHAnsi"/>
        </w:rPr>
        <w:t xml:space="preserve">. </w:t>
      </w:r>
      <w:r w:rsidR="00E148C3">
        <w:rPr>
          <w:rFonts w:asciiTheme="majorHAnsi" w:hAnsiTheme="majorHAnsi"/>
        </w:rPr>
        <w:t xml:space="preserve">DFAT also notes </w:t>
      </w:r>
      <w:r w:rsidR="00AF458F">
        <w:rPr>
          <w:rFonts w:asciiTheme="majorHAnsi" w:hAnsiTheme="majorHAnsi"/>
        </w:rPr>
        <w:t xml:space="preserve">the finding </w:t>
      </w:r>
      <w:r w:rsidR="00E148C3">
        <w:rPr>
          <w:rFonts w:asciiTheme="majorHAnsi" w:hAnsiTheme="majorHAnsi"/>
        </w:rPr>
        <w:t xml:space="preserve">that </w:t>
      </w:r>
      <w:r w:rsidR="001309BE" w:rsidRPr="001309BE">
        <w:rPr>
          <w:rFonts w:asciiTheme="majorHAnsi" w:hAnsiTheme="majorHAnsi"/>
        </w:rPr>
        <w:t>YWAM</w:t>
      </w:r>
      <w:r w:rsidR="00613009">
        <w:rPr>
          <w:rFonts w:asciiTheme="majorHAnsi" w:hAnsiTheme="majorHAnsi"/>
        </w:rPr>
        <w:t xml:space="preserve"> MSA</w:t>
      </w:r>
      <w:r>
        <w:rPr>
          <w:rFonts w:asciiTheme="majorHAnsi" w:hAnsiTheme="majorHAnsi"/>
        </w:rPr>
        <w:t xml:space="preserve">’s </w:t>
      </w:r>
      <w:r w:rsidR="00521B3C">
        <w:rPr>
          <w:rFonts w:asciiTheme="majorHAnsi" w:hAnsiTheme="majorHAnsi"/>
        </w:rPr>
        <w:t xml:space="preserve">operational </w:t>
      </w:r>
      <w:r w:rsidR="001309BE" w:rsidRPr="001309BE">
        <w:rPr>
          <w:rFonts w:asciiTheme="majorHAnsi" w:hAnsiTheme="majorHAnsi"/>
        </w:rPr>
        <w:t xml:space="preserve">coordination at the provincial and national levels </w:t>
      </w:r>
      <w:proofErr w:type="gramStart"/>
      <w:r>
        <w:rPr>
          <w:rFonts w:asciiTheme="majorHAnsi" w:hAnsiTheme="majorHAnsi"/>
        </w:rPr>
        <w:t>could be improved</w:t>
      </w:r>
      <w:proofErr w:type="gramEnd"/>
      <w:r>
        <w:rPr>
          <w:rFonts w:asciiTheme="majorHAnsi" w:hAnsiTheme="majorHAnsi"/>
        </w:rPr>
        <w:t xml:space="preserve"> </w:t>
      </w:r>
      <w:r w:rsidR="001309BE" w:rsidRPr="001309BE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 xml:space="preserve">enable better </w:t>
      </w:r>
      <w:r w:rsidR="001309BE" w:rsidRPr="001309BE">
        <w:rPr>
          <w:rFonts w:asciiTheme="majorHAnsi" w:hAnsiTheme="majorHAnsi"/>
        </w:rPr>
        <w:t>c</w:t>
      </w:r>
      <w:r w:rsidR="00521B3C">
        <w:rPr>
          <w:rFonts w:asciiTheme="majorHAnsi" w:hAnsiTheme="majorHAnsi"/>
        </w:rPr>
        <w:t xml:space="preserve">oordination and use of services, </w:t>
      </w:r>
      <w:r w:rsidR="001309BE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 xml:space="preserve">that further work should be done to strengthen </w:t>
      </w:r>
      <w:r w:rsidR="001309BE">
        <w:rPr>
          <w:rFonts w:asciiTheme="majorHAnsi" w:hAnsiTheme="majorHAnsi"/>
        </w:rPr>
        <w:t>monito</w:t>
      </w:r>
      <w:r w:rsidR="00521B3C">
        <w:rPr>
          <w:rFonts w:asciiTheme="majorHAnsi" w:hAnsiTheme="majorHAnsi"/>
        </w:rPr>
        <w:t xml:space="preserve">ring and evaluation to inform program operational decision-making. </w:t>
      </w:r>
    </w:p>
    <w:p w:rsidR="000E1A53" w:rsidRPr="001309BE" w:rsidRDefault="00013A4B" w:rsidP="006F78F6">
      <w:pPr>
        <w:rPr>
          <w:rFonts w:asciiTheme="majorHAnsi" w:hAnsiTheme="majorHAnsi"/>
        </w:rPr>
      </w:pPr>
      <w:r>
        <w:rPr>
          <w:rFonts w:asciiTheme="majorHAnsi" w:hAnsiTheme="majorHAnsi"/>
        </w:rPr>
        <w:t>The evaluation team provided four recommendations to DFAT and fourteen recommendations to YWAM</w:t>
      </w:r>
      <w:r w:rsidR="00613009">
        <w:rPr>
          <w:rFonts w:asciiTheme="majorHAnsi" w:hAnsiTheme="majorHAnsi"/>
        </w:rPr>
        <w:t xml:space="preserve"> MSA</w:t>
      </w:r>
      <w:r>
        <w:rPr>
          <w:rFonts w:asciiTheme="majorHAnsi" w:hAnsiTheme="majorHAnsi"/>
        </w:rPr>
        <w:t xml:space="preserve">. </w:t>
      </w:r>
      <w:r w:rsidR="00E148C3">
        <w:rPr>
          <w:rFonts w:asciiTheme="majorHAnsi" w:hAnsiTheme="majorHAnsi"/>
        </w:rPr>
        <w:t xml:space="preserve">DFAT’s responses to these recommendations </w:t>
      </w:r>
      <w:proofErr w:type="gramStart"/>
      <w:r w:rsidR="00E148C3">
        <w:rPr>
          <w:rFonts w:asciiTheme="majorHAnsi" w:hAnsiTheme="majorHAnsi"/>
        </w:rPr>
        <w:t>are provided</w:t>
      </w:r>
      <w:proofErr w:type="gramEnd"/>
      <w:r w:rsidR="00E148C3">
        <w:rPr>
          <w:rFonts w:asciiTheme="majorHAnsi" w:hAnsiTheme="majorHAnsi"/>
        </w:rPr>
        <w:t xml:space="preserve"> below. </w:t>
      </w:r>
    </w:p>
    <w:tbl>
      <w:tblPr>
        <w:tblStyle w:val="TableGrid"/>
        <w:tblpPr w:leftFromText="180" w:rightFromText="180" w:vertAnchor="text" w:tblpY="1"/>
        <w:tblOverlap w:val="never"/>
        <w:tblW w:w="13948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8363"/>
        <w:gridCol w:w="1479"/>
      </w:tblGrid>
      <w:tr w:rsidR="00DE246D" w:rsidRPr="0068134B" w:rsidTr="006723A3">
        <w:trPr>
          <w:tblHeader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DE246D" w:rsidRPr="0068134B" w:rsidRDefault="00DE246D" w:rsidP="00013A4B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Recommendations for DFAT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E246D" w:rsidRPr="0068134B" w:rsidRDefault="00DE246D" w:rsidP="006723A3">
            <w:pPr>
              <w:spacing w:before="24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68134B">
              <w:rPr>
                <w:rFonts w:asciiTheme="majorHAnsi" w:hAnsiTheme="majorHAnsi"/>
                <w:b/>
                <w:sz w:val="20"/>
                <w:szCs w:val="20"/>
              </w:rPr>
              <w:t xml:space="preserve">Response </w:t>
            </w:r>
          </w:p>
        </w:tc>
        <w:tc>
          <w:tcPr>
            <w:tcW w:w="8363" w:type="dxa"/>
            <w:shd w:val="clear" w:color="auto" w:fill="BDD6EE" w:themeFill="accent1" w:themeFillTint="66"/>
            <w:vAlign w:val="center"/>
          </w:tcPr>
          <w:p w:rsidR="00DE246D" w:rsidRPr="0068134B" w:rsidRDefault="00DE246D" w:rsidP="00013A4B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Explanation and </w:t>
            </w:r>
            <w:r w:rsidRPr="0068134B">
              <w:rPr>
                <w:rFonts w:asciiTheme="majorHAnsi" w:hAnsiTheme="majorHAnsi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479" w:type="dxa"/>
            <w:shd w:val="clear" w:color="auto" w:fill="BDD6EE" w:themeFill="accent1" w:themeFillTint="66"/>
            <w:vAlign w:val="center"/>
          </w:tcPr>
          <w:p w:rsidR="00DE246D" w:rsidRPr="0068134B" w:rsidRDefault="00DE246D" w:rsidP="00013A4B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68134B">
              <w:rPr>
                <w:rFonts w:asciiTheme="majorHAnsi" w:hAnsiTheme="majorHAnsi"/>
                <w:b/>
                <w:sz w:val="20"/>
                <w:szCs w:val="20"/>
              </w:rPr>
              <w:t xml:space="preserve">Timeframe </w:t>
            </w:r>
          </w:p>
        </w:tc>
      </w:tr>
      <w:tr w:rsidR="00DE246D" w:rsidRPr="0068134B" w:rsidTr="006723A3">
        <w:tc>
          <w:tcPr>
            <w:tcW w:w="2972" w:type="dxa"/>
          </w:tcPr>
          <w:p w:rsidR="00DE246D" w:rsidRPr="00483EA7" w:rsidRDefault="00DE246D" w:rsidP="00E148C3">
            <w:pPr>
              <w:pStyle w:val="ListParagraph"/>
              <w:numPr>
                <w:ilvl w:val="0"/>
                <w:numId w:val="1"/>
              </w:numPr>
              <w:spacing w:before="240"/>
              <w:ind w:left="164" w:hanging="218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Consider </w:t>
            </w:r>
            <w:r w:rsidRPr="00483EA7">
              <w:rPr>
                <w:rFonts w:asciiTheme="majorHAnsi" w:hAnsiTheme="majorHAnsi"/>
                <w:sz w:val="20"/>
                <w:szCs w:val="20"/>
              </w:rPr>
              <w:t>developing a costing model for remote patro</w:t>
            </w:r>
            <w:r>
              <w:rPr>
                <w:rFonts w:asciiTheme="majorHAnsi" w:hAnsiTheme="majorHAnsi"/>
                <w:sz w:val="20"/>
                <w:szCs w:val="20"/>
              </w:rPr>
              <w:t>l based health services in PNG.</w:t>
            </w:r>
          </w:p>
          <w:p w:rsidR="00DE246D" w:rsidRDefault="00DE246D" w:rsidP="00E148C3">
            <w:pPr>
              <w:pStyle w:val="Default"/>
              <w:spacing w:before="240"/>
              <w:rPr>
                <w:rFonts w:asciiTheme="majorHAnsi" w:hAnsiTheme="majorHAnsi"/>
                <w:sz w:val="20"/>
                <w:szCs w:val="20"/>
              </w:rPr>
            </w:pPr>
          </w:p>
          <w:p w:rsidR="00DE246D" w:rsidRPr="0068134B" w:rsidRDefault="00DE246D" w:rsidP="00E148C3">
            <w:pPr>
              <w:pStyle w:val="ListParagraph"/>
              <w:spacing w:before="240"/>
              <w:ind w:left="164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246D" w:rsidRPr="0068134B" w:rsidRDefault="00BB31D7" w:rsidP="006723A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Partially a</w:t>
            </w:r>
            <w:r w:rsidR="00DE246D">
              <w:rPr>
                <w:rFonts w:asciiTheme="majorHAnsi" w:hAnsiTheme="majorHAnsi"/>
                <w:sz w:val="20"/>
                <w:szCs w:val="20"/>
              </w:rPr>
              <w:t xml:space="preserve">greed </w:t>
            </w:r>
          </w:p>
        </w:tc>
        <w:tc>
          <w:tcPr>
            <w:tcW w:w="8363" w:type="dxa"/>
          </w:tcPr>
          <w:p w:rsidR="00AF3843" w:rsidRDefault="00BB31D7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DFAT notes that</w:t>
            </w:r>
            <w:r w:rsidR="00C366AB">
              <w:rPr>
                <w:rFonts w:asciiTheme="majorHAnsi" w:hAnsiTheme="majorHAnsi"/>
                <w:sz w:val="20"/>
                <w:szCs w:val="20"/>
              </w:rPr>
              <w:t>, because of the limited data available,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health service delivery </w:t>
            </w:r>
            <w:r>
              <w:rPr>
                <w:rFonts w:asciiTheme="majorHAnsi" w:hAnsiTheme="majorHAnsi"/>
                <w:sz w:val="20"/>
                <w:szCs w:val="20"/>
              </w:rPr>
              <w:t>cost comparisons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 able to be provided by the evaluation team were only </w:t>
            </w:r>
            <w:r>
              <w:rPr>
                <w:rFonts w:asciiTheme="majorHAnsi" w:hAnsiTheme="majorHAnsi"/>
                <w:sz w:val="20"/>
                <w:szCs w:val="20"/>
              </w:rPr>
              <w:t>very rough approximation</w:t>
            </w:r>
            <w:r w:rsidR="00C366AB">
              <w:rPr>
                <w:rFonts w:asciiTheme="majorHAnsi" w:hAnsiTheme="majorHAnsi"/>
                <w:sz w:val="20"/>
                <w:szCs w:val="20"/>
              </w:rPr>
              <w:t>s</w:t>
            </w:r>
            <w:r w:rsidR="00AF458F">
              <w:rPr>
                <w:rFonts w:asciiTheme="majorHAnsi" w:hAnsiTheme="majorHAnsi"/>
                <w:sz w:val="20"/>
                <w:szCs w:val="20"/>
              </w:rPr>
              <w:t xml:space="preserve"> of the actual costs of delivering health services in these parts of P</w:t>
            </w:r>
            <w:r w:rsidR="00613009">
              <w:rPr>
                <w:rFonts w:asciiTheme="majorHAnsi" w:hAnsiTheme="majorHAnsi"/>
                <w:sz w:val="20"/>
                <w:szCs w:val="20"/>
              </w:rPr>
              <w:t>NG</w:t>
            </w:r>
            <w:r w:rsidR="00AF458F">
              <w:rPr>
                <w:rFonts w:asciiTheme="majorHAnsi" w:hAnsiTheme="majorHAnsi"/>
                <w:sz w:val="20"/>
                <w:szCs w:val="20"/>
              </w:rPr>
              <w:t xml:space="preserve">, and are therefore </w:t>
            </w:r>
            <w:r>
              <w:rPr>
                <w:rFonts w:asciiTheme="majorHAnsi" w:hAnsiTheme="majorHAnsi"/>
                <w:sz w:val="20"/>
                <w:szCs w:val="20"/>
              </w:rPr>
              <w:t>of limited utility</w:t>
            </w:r>
            <w:r w:rsidR="00AF458F">
              <w:rPr>
                <w:rFonts w:asciiTheme="majorHAnsi" w:hAnsiTheme="majorHAnsi"/>
                <w:sz w:val="20"/>
                <w:szCs w:val="20"/>
              </w:rPr>
              <w:t xml:space="preserve"> in assessing relative service </w:t>
            </w:r>
            <w:r w:rsidR="00C366AB">
              <w:rPr>
                <w:rFonts w:asciiTheme="majorHAnsi" w:hAnsiTheme="majorHAnsi"/>
                <w:sz w:val="20"/>
                <w:szCs w:val="20"/>
              </w:rPr>
              <w:t>efficiencies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AF3843">
              <w:rPr>
                <w:rFonts w:asciiTheme="majorHAnsi" w:hAnsiTheme="majorHAnsi"/>
                <w:sz w:val="20"/>
                <w:szCs w:val="20"/>
              </w:rPr>
              <w:t xml:space="preserve">This point </w:t>
            </w:r>
            <w:proofErr w:type="gramStart"/>
            <w:r w:rsidR="00AF3843">
              <w:rPr>
                <w:rFonts w:asciiTheme="majorHAnsi" w:hAnsiTheme="majorHAnsi"/>
                <w:sz w:val="20"/>
                <w:szCs w:val="20"/>
              </w:rPr>
              <w:t>is also made</w:t>
            </w:r>
            <w:proofErr w:type="gramEnd"/>
            <w:r w:rsidR="00AF3843">
              <w:rPr>
                <w:rFonts w:asciiTheme="majorHAnsi" w:hAnsiTheme="majorHAnsi"/>
                <w:sz w:val="20"/>
                <w:szCs w:val="20"/>
              </w:rPr>
              <w:t xml:space="preserve"> in the preamble to YWAM’s Management Response. </w:t>
            </w:r>
          </w:p>
          <w:p w:rsidR="00BB31D7" w:rsidRDefault="00BB31D7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While recognising that it would be useful to gain a better understanding of the costs involved in delivering health services to remote areas of PNG, 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DFAT believes that </w:t>
            </w:r>
            <w:r w:rsidR="00F4412B">
              <w:rPr>
                <w:rFonts w:asciiTheme="majorHAnsi" w:hAnsiTheme="majorHAnsi"/>
                <w:sz w:val="20"/>
                <w:szCs w:val="20"/>
              </w:rPr>
              <w:t xml:space="preserve">any work of this nature </w:t>
            </w:r>
            <w:proofErr w:type="gramStart"/>
            <w:r w:rsidR="00F4412B">
              <w:rPr>
                <w:rFonts w:asciiTheme="majorHAnsi" w:hAnsiTheme="majorHAnsi"/>
                <w:sz w:val="20"/>
                <w:szCs w:val="20"/>
              </w:rPr>
              <w:t>should be undertaken</w:t>
            </w:r>
            <w:proofErr w:type="gramEnd"/>
            <w:r w:rsidR="00F4412B">
              <w:rPr>
                <w:rFonts w:asciiTheme="majorHAnsi" w:hAnsiTheme="majorHAnsi"/>
                <w:sz w:val="20"/>
                <w:szCs w:val="20"/>
              </w:rPr>
              <w:t xml:space="preserve"> with the agreement of and in co</w:t>
            </w:r>
            <w:r w:rsidR="00AF458F">
              <w:rPr>
                <w:rFonts w:asciiTheme="majorHAnsi" w:hAnsiTheme="majorHAnsi"/>
                <w:sz w:val="20"/>
                <w:szCs w:val="20"/>
              </w:rPr>
              <w:t xml:space="preserve">llaboration </w:t>
            </w:r>
            <w:r w:rsidR="00F4412B">
              <w:rPr>
                <w:rFonts w:asciiTheme="majorHAnsi" w:hAnsiTheme="majorHAnsi"/>
                <w:sz w:val="20"/>
                <w:szCs w:val="20"/>
              </w:rPr>
              <w:t>with the PNG Government.</w:t>
            </w:r>
          </w:p>
          <w:p w:rsidR="00C366AB" w:rsidRPr="00B56FA2" w:rsidRDefault="00BB31D7" w:rsidP="00595D10">
            <w:pPr>
              <w:spacing w:before="240"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DFAT </w:t>
            </w:r>
            <w:r w:rsidR="00E148C3">
              <w:rPr>
                <w:rFonts w:asciiTheme="majorHAnsi" w:hAnsiTheme="majorHAnsi"/>
                <w:sz w:val="20"/>
                <w:szCs w:val="20"/>
              </w:rPr>
              <w:t xml:space="preserve">is aware </w:t>
            </w:r>
            <w:r>
              <w:rPr>
                <w:rFonts w:asciiTheme="majorHAnsi" w:hAnsiTheme="majorHAnsi"/>
                <w:sz w:val="20"/>
                <w:szCs w:val="20"/>
              </w:rPr>
              <w:t>that some years ago the PNG National Economic and Fiscal Commission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 (NEFC)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412B">
              <w:rPr>
                <w:rFonts w:asciiTheme="majorHAnsi" w:hAnsiTheme="majorHAnsi"/>
                <w:sz w:val="20"/>
                <w:szCs w:val="20"/>
              </w:rPr>
              <w:t xml:space="preserve">undertook </w:t>
            </w:r>
            <w:r w:rsidR="00E148C3">
              <w:rPr>
                <w:rFonts w:asciiTheme="majorHAnsi" w:hAnsiTheme="majorHAnsi"/>
                <w:sz w:val="20"/>
                <w:szCs w:val="20"/>
              </w:rPr>
              <w:t xml:space="preserve">studies </w:t>
            </w:r>
            <w:r w:rsidR="00F4412B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estimate the costs of patrol-based health services. </w:t>
            </w:r>
            <w:proofErr w:type="gramStart"/>
            <w:r w:rsidR="00F4412B">
              <w:rPr>
                <w:rFonts w:asciiTheme="majorHAnsi" w:hAnsiTheme="majorHAnsi"/>
                <w:sz w:val="20"/>
                <w:szCs w:val="20"/>
              </w:rPr>
              <w:t>DFAT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 has </w:t>
            </w:r>
            <w:r w:rsidR="00F4412B">
              <w:rPr>
                <w:rFonts w:asciiTheme="majorHAnsi" w:hAnsiTheme="majorHAnsi"/>
                <w:sz w:val="20"/>
                <w:szCs w:val="20"/>
              </w:rPr>
              <w:t>therefore s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ought </w:t>
            </w:r>
            <w:r w:rsidR="00F4412B">
              <w:rPr>
                <w:rFonts w:asciiTheme="majorHAnsi" w:hAnsiTheme="majorHAnsi"/>
                <w:sz w:val="20"/>
                <w:szCs w:val="20"/>
              </w:rPr>
              <w:t xml:space="preserve">the views of NEFC on the potential benefits of updated estimates, and 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r w:rsidR="00F4412B">
              <w:rPr>
                <w:rFonts w:asciiTheme="majorHAnsi" w:hAnsiTheme="majorHAnsi"/>
                <w:sz w:val="20"/>
                <w:szCs w:val="20"/>
              </w:rPr>
              <w:t xml:space="preserve">consider working with the NEFC to commission further research to update and extend these </w:t>
            </w:r>
            <w:r w:rsidR="00C366AB">
              <w:rPr>
                <w:rFonts w:asciiTheme="majorHAnsi" w:hAnsiTheme="majorHAnsi"/>
                <w:sz w:val="20"/>
                <w:szCs w:val="20"/>
              </w:rPr>
              <w:t>studies</w:t>
            </w:r>
            <w:r w:rsidR="00F4412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79" w:type="dxa"/>
          </w:tcPr>
          <w:p w:rsidR="00DE246D" w:rsidRPr="0068134B" w:rsidRDefault="00595D10" w:rsidP="00595D10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August </w:t>
            </w:r>
            <w:r w:rsidR="00DE246D">
              <w:rPr>
                <w:rFonts w:asciiTheme="majorHAnsi" w:hAnsiTheme="majorHAnsi"/>
                <w:sz w:val="20"/>
                <w:szCs w:val="20"/>
              </w:rPr>
              <w:t xml:space="preserve">2018 </w:t>
            </w:r>
          </w:p>
        </w:tc>
      </w:tr>
      <w:tr w:rsidR="00DE246D" w:rsidRPr="0068134B" w:rsidTr="006723A3">
        <w:tc>
          <w:tcPr>
            <w:tcW w:w="2972" w:type="dxa"/>
            <w:vAlign w:val="center"/>
          </w:tcPr>
          <w:p w:rsidR="00DE246D" w:rsidRPr="00777E11" w:rsidRDefault="00DE246D" w:rsidP="00E148C3">
            <w:pPr>
              <w:pStyle w:val="ListParagraph"/>
              <w:numPr>
                <w:ilvl w:val="0"/>
                <w:numId w:val="1"/>
              </w:numPr>
              <w:spacing w:before="240"/>
              <w:ind w:left="164" w:hanging="218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777E11">
              <w:rPr>
                <w:rFonts w:asciiTheme="majorHAnsi" w:hAnsiTheme="majorHAnsi"/>
                <w:sz w:val="20"/>
                <w:szCs w:val="20"/>
              </w:rPr>
              <w:t xml:space="preserve">nvest in partnership with YWAM </w:t>
            </w:r>
            <w:r w:rsidR="00613009">
              <w:rPr>
                <w:rFonts w:asciiTheme="majorHAnsi" w:hAnsiTheme="majorHAnsi"/>
                <w:sz w:val="20"/>
                <w:szCs w:val="20"/>
              </w:rPr>
              <w:t xml:space="preserve">MSA </w:t>
            </w:r>
            <w:r w:rsidRPr="00777E11">
              <w:rPr>
                <w:rFonts w:asciiTheme="majorHAnsi" w:hAnsiTheme="majorHAnsi"/>
                <w:sz w:val="20"/>
                <w:szCs w:val="20"/>
              </w:rPr>
              <w:t>by providing a more thorough review and response to submitted reports and by working with YWAM</w:t>
            </w:r>
            <w:r w:rsidR="00613009">
              <w:rPr>
                <w:rFonts w:asciiTheme="majorHAnsi" w:hAnsiTheme="majorHAnsi"/>
                <w:sz w:val="20"/>
                <w:szCs w:val="20"/>
              </w:rPr>
              <w:t xml:space="preserve"> MSA</w:t>
            </w:r>
            <w:r w:rsidRPr="00777E11">
              <w:rPr>
                <w:rFonts w:asciiTheme="majorHAnsi" w:hAnsiTheme="majorHAnsi"/>
                <w:sz w:val="20"/>
                <w:szCs w:val="20"/>
              </w:rPr>
              <w:t xml:space="preserve"> and GoPNG to agree on mutually beneficial priorities and outcome areas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E246D" w:rsidRPr="0068134B" w:rsidRDefault="00DE246D" w:rsidP="00E148C3">
            <w:pPr>
              <w:pStyle w:val="ListParagraph"/>
              <w:spacing w:before="240"/>
              <w:ind w:left="164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246D" w:rsidRPr="0068134B" w:rsidRDefault="00DE246D" w:rsidP="006723A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68134B">
              <w:rPr>
                <w:rFonts w:asciiTheme="majorHAnsi" w:hAnsiTheme="majorHAnsi"/>
                <w:sz w:val="20"/>
                <w:szCs w:val="20"/>
              </w:rPr>
              <w:t>Agree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8363" w:type="dxa"/>
          </w:tcPr>
          <w:p w:rsidR="00DE246D" w:rsidRPr="0068134B" w:rsidRDefault="00DE246D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its discussions with YWAM </w:t>
            </w:r>
            <w:r w:rsidR="00613009">
              <w:rPr>
                <w:rFonts w:asciiTheme="majorHAnsi" w:hAnsiTheme="majorHAnsi"/>
                <w:sz w:val="20"/>
                <w:szCs w:val="20"/>
              </w:rPr>
              <w:t xml:space="preserve">MSA 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options for 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further </w:t>
            </w:r>
            <w:r>
              <w:rPr>
                <w:rFonts w:asciiTheme="majorHAnsi" w:hAnsiTheme="majorHAnsi"/>
                <w:sz w:val="20"/>
                <w:szCs w:val="20"/>
              </w:rPr>
              <w:t>financial support, DFAT will consider the most appropriate mechanisms for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148C3">
              <w:rPr>
                <w:rFonts w:asciiTheme="majorHAnsi" w:hAnsiTheme="majorHAnsi"/>
                <w:sz w:val="20"/>
                <w:szCs w:val="20"/>
              </w:rPr>
              <w:t>setting priorities and</w:t>
            </w:r>
            <w:r w:rsidR="00C366AB">
              <w:rPr>
                <w:rFonts w:asciiTheme="majorHAnsi" w:hAnsiTheme="majorHAnsi"/>
                <w:sz w:val="20"/>
                <w:szCs w:val="20"/>
              </w:rPr>
              <w:t xml:space="preserve"> for</w:t>
            </w:r>
            <w:r w:rsidR="00E148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6B34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provision and </w:t>
            </w:r>
            <w:r w:rsidR="00595D10">
              <w:rPr>
                <w:rFonts w:asciiTheme="majorHAnsi" w:hAnsiTheme="majorHAnsi"/>
                <w:sz w:val="20"/>
                <w:szCs w:val="20"/>
              </w:rPr>
              <w:t xml:space="preserve">thorough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review of </w:t>
            </w:r>
            <w:r w:rsidR="00521B3C">
              <w:rPr>
                <w:rFonts w:asciiTheme="majorHAnsi" w:hAnsiTheme="majorHAnsi"/>
                <w:sz w:val="20"/>
                <w:szCs w:val="20"/>
              </w:rPr>
              <w:t>reports.</w:t>
            </w:r>
            <w:r w:rsidR="00595D1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DE246D" w:rsidRPr="0068134B" w:rsidRDefault="00595D10" w:rsidP="00595D10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August</w:t>
            </w:r>
            <w:r w:rsidR="00DE246D">
              <w:rPr>
                <w:rFonts w:asciiTheme="majorHAnsi" w:hAnsiTheme="majorHAnsi"/>
                <w:sz w:val="20"/>
                <w:szCs w:val="20"/>
              </w:rPr>
              <w:t xml:space="preserve"> 2018 onwards</w:t>
            </w:r>
          </w:p>
        </w:tc>
      </w:tr>
      <w:tr w:rsidR="00DE246D" w:rsidRPr="0068134B" w:rsidTr="006723A3">
        <w:tc>
          <w:tcPr>
            <w:tcW w:w="2972" w:type="dxa"/>
            <w:vAlign w:val="center"/>
          </w:tcPr>
          <w:p w:rsidR="00DE246D" w:rsidRPr="00777E11" w:rsidRDefault="00DE246D" w:rsidP="00E148C3">
            <w:pPr>
              <w:pStyle w:val="ListParagraph"/>
              <w:numPr>
                <w:ilvl w:val="0"/>
                <w:numId w:val="1"/>
              </w:numPr>
              <w:spacing w:before="240"/>
              <w:ind w:left="164" w:hanging="218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Prioritise </w:t>
            </w:r>
            <w:r w:rsidRPr="00777E11">
              <w:rPr>
                <w:rFonts w:asciiTheme="majorHAnsi" w:hAnsiTheme="majorHAnsi"/>
                <w:sz w:val="20"/>
                <w:szCs w:val="20"/>
              </w:rPr>
              <w:t>mid-term evaluations for new partner organisations to support stronger partnership and improve learning</w:t>
            </w:r>
            <w:r w:rsidR="00521B3C">
              <w:rPr>
                <w:rFonts w:asciiTheme="majorHAnsi" w:hAnsiTheme="majorHAnsi"/>
                <w:sz w:val="20"/>
                <w:szCs w:val="20"/>
              </w:rPr>
              <w:t>.</w:t>
            </w:r>
            <w:r w:rsidRPr="00777E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E246D" w:rsidRPr="0068134B" w:rsidRDefault="00DE246D" w:rsidP="00E148C3">
            <w:pPr>
              <w:pStyle w:val="ListParagraph"/>
              <w:spacing w:before="240"/>
              <w:ind w:left="164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246D" w:rsidRPr="0068134B" w:rsidRDefault="00DE246D" w:rsidP="006723A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68134B">
              <w:rPr>
                <w:rFonts w:asciiTheme="majorHAnsi" w:hAnsiTheme="majorHAnsi"/>
                <w:sz w:val="20"/>
                <w:szCs w:val="20"/>
              </w:rPr>
              <w:t>Agree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</w:p>
        </w:tc>
        <w:tc>
          <w:tcPr>
            <w:tcW w:w="8363" w:type="dxa"/>
          </w:tcPr>
          <w:p w:rsidR="00DE246D" w:rsidRPr="0068134B" w:rsidRDefault="00DE246D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Mid-term reviews are usually included in all medium and </w:t>
            </w:r>
            <w:r w:rsidR="00521B3C">
              <w:rPr>
                <w:rFonts w:asciiTheme="majorHAnsi" w:hAnsiTheme="majorHAnsi"/>
                <w:sz w:val="20"/>
                <w:szCs w:val="20"/>
              </w:rPr>
              <w:t>longer-term</w:t>
            </w:r>
            <w:r w:rsidR="00613009">
              <w:rPr>
                <w:rFonts w:asciiTheme="majorHAnsi" w:hAnsiTheme="majorHAnsi"/>
                <w:sz w:val="20"/>
                <w:szCs w:val="20"/>
              </w:rPr>
              <w:t xml:space="preserve"> DFAT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grants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, and this approach </w:t>
            </w:r>
            <w:proofErr w:type="gramStart"/>
            <w:r w:rsidR="00AB6B34">
              <w:rPr>
                <w:rFonts w:asciiTheme="majorHAnsi" w:hAnsiTheme="majorHAnsi"/>
                <w:sz w:val="20"/>
                <w:szCs w:val="20"/>
              </w:rPr>
              <w:t xml:space="preserve">will be </w:t>
            </w:r>
            <w:r w:rsidR="00595D10">
              <w:rPr>
                <w:rFonts w:asciiTheme="majorHAnsi" w:hAnsiTheme="majorHAnsi"/>
                <w:sz w:val="20"/>
                <w:szCs w:val="20"/>
              </w:rPr>
              <w:t>continued</w:t>
            </w:r>
            <w:proofErr w:type="gramEnd"/>
            <w:r w:rsidR="00595D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3009">
              <w:rPr>
                <w:rFonts w:asciiTheme="majorHAnsi" w:hAnsiTheme="majorHAnsi"/>
                <w:sz w:val="20"/>
                <w:szCs w:val="20"/>
              </w:rPr>
              <w:t>in any future funding agreement with YWAM MSA.</w:t>
            </w:r>
          </w:p>
        </w:tc>
        <w:tc>
          <w:tcPr>
            <w:tcW w:w="1479" w:type="dxa"/>
          </w:tcPr>
          <w:p w:rsidR="00DE246D" w:rsidRPr="0068134B" w:rsidRDefault="00DE246D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Ongoing</w:t>
            </w:r>
          </w:p>
        </w:tc>
      </w:tr>
      <w:tr w:rsidR="00DE246D" w:rsidRPr="0068134B" w:rsidTr="006723A3">
        <w:tc>
          <w:tcPr>
            <w:tcW w:w="2972" w:type="dxa"/>
            <w:vAlign w:val="center"/>
          </w:tcPr>
          <w:p w:rsidR="00DE246D" w:rsidRPr="00777E11" w:rsidRDefault="00DE246D" w:rsidP="00E148C3">
            <w:pPr>
              <w:pStyle w:val="Default"/>
              <w:spacing w:before="240"/>
              <w:rPr>
                <w:rFonts w:asciiTheme="majorHAnsi" w:hAnsiTheme="majorHAnsi" w:cstheme="minorBidi"/>
                <w:color w:val="auto"/>
                <w:sz w:val="20"/>
                <w:szCs w:val="20"/>
              </w:rPr>
            </w:pPr>
            <w:r w:rsidRPr="00204DAF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 w:cstheme="minorBidi"/>
                <w:color w:val="auto"/>
                <w:sz w:val="20"/>
                <w:szCs w:val="20"/>
              </w:rPr>
              <w:t>T</w:t>
            </w:r>
            <w:r w:rsidRPr="00777E11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he competitive grants program presents an </w:t>
            </w:r>
            <w:r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  </w:t>
            </w:r>
            <w:r w:rsidRPr="00777E11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>opportunity to consider YWAM</w:t>
            </w:r>
            <w:r w:rsidR="00613009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 MSA</w:t>
            </w:r>
            <w:r w:rsidR="00014487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>’s</w:t>
            </w:r>
            <w:r w:rsidRPr="00777E11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 appetite for responding to findings and recommendations in this evaluation and to strengthen coordination and collaboration with GoPNG</w:t>
            </w:r>
            <w:r w:rsidR="00521B3C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>.</w:t>
            </w:r>
            <w:r w:rsidRPr="00777E11">
              <w:rPr>
                <w:rFonts w:asciiTheme="majorHAnsi" w:hAnsiTheme="majorHAnsi" w:cstheme="minorBidi"/>
                <w:color w:val="auto"/>
                <w:sz w:val="20"/>
                <w:szCs w:val="20"/>
              </w:rPr>
              <w:t xml:space="preserve"> </w:t>
            </w:r>
          </w:p>
          <w:p w:rsidR="00DE246D" w:rsidRPr="0068134B" w:rsidRDefault="00DE246D" w:rsidP="00E148C3">
            <w:pPr>
              <w:pStyle w:val="ListParagraph"/>
              <w:spacing w:before="240"/>
              <w:ind w:left="164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246D" w:rsidRPr="0068134B" w:rsidRDefault="00DE246D" w:rsidP="006723A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Agreed </w:t>
            </w:r>
          </w:p>
        </w:tc>
        <w:tc>
          <w:tcPr>
            <w:tcW w:w="8363" w:type="dxa"/>
          </w:tcPr>
          <w:p w:rsidR="00DE246D" w:rsidRPr="0068134B" w:rsidRDefault="00DE246D" w:rsidP="00E148C3">
            <w:pPr>
              <w:pStyle w:val="ListParagraph"/>
              <w:spacing w:before="240"/>
              <w:ind w:left="0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DFAT will consider the appropriateness of its </w:t>
            </w:r>
            <w:r w:rsidR="00521B3C">
              <w:rPr>
                <w:rFonts w:asciiTheme="majorHAnsi" w:hAnsiTheme="majorHAnsi"/>
                <w:sz w:val="20"/>
                <w:szCs w:val="20"/>
              </w:rPr>
              <w:t>competitive grants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program in relation to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possible</w:t>
            </w:r>
            <w:r w:rsidR="00AB6B34">
              <w:rPr>
                <w:rFonts w:asciiTheme="majorHAnsi" w:hAnsiTheme="majorHAnsi"/>
                <w:sz w:val="20"/>
                <w:szCs w:val="20"/>
              </w:rPr>
              <w:t xml:space="preserve"> future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support to YWAM</w:t>
            </w:r>
            <w:r w:rsidR="00613009">
              <w:rPr>
                <w:rFonts w:asciiTheme="majorHAnsi" w:hAnsiTheme="majorHAnsi"/>
                <w:sz w:val="20"/>
                <w:szCs w:val="20"/>
              </w:rPr>
              <w:t xml:space="preserve"> MSA.</w:t>
            </w:r>
          </w:p>
        </w:tc>
        <w:tc>
          <w:tcPr>
            <w:tcW w:w="1479" w:type="dxa"/>
          </w:tcPr>
          <w:p w:rsidR="00DE246D" w:rsidRPr="0068134B" w:rsidRDefault="00521B3C" w:rsidP="00E148C3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Ongoing</w:t>
            </w:r>
          </w:p>
        </w:tc>
      </w:tr>
    </w:tbl>
    <w:p w:rsidR="009C6FEE" w:rsidRDefault="002F27B1"/>
    <w:sectPr w:rsidR="009C6FEE" w:rsidSect="009210E8">
      <w:headerReference w:type="default" r:id="rId8"/>
      <w:footerReference w:type="default" r:id="rId9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F6" w:rsidRDefault="006F78F6" w:rsidP="006F78F6">
      <w:pPr>
        <w:spacing w:after="0" w:line="240" w:lineRule="auto"/>
      </w:pPr>
      <w:r>
        <w:separator/>
      </w:r>
    </w:p>
  </w:endnote>
  <w:endnote w:type="continuationSeparator" w:id="0">
    <w:p w:rsidR="006F78F6" w:rsidRDefault="006F78F6" w:rsidP="006F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1186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317" w:rsidRPr="00A16317" w:rsidRDefault="00A70DE3" w:rsidP="00A16317">
        <w:pPr>
          <w:pStyle w:val="Footer"/>
          <w:ind w:left="9167" w:firstLine="3793"/>
          <w:rPr>
            <w:sz w:val="16"/>
            <w:szCs w:val="16"/>
          </w:rPr>
        </w:pPr>
        <w:r w:rsidRPr="00A16317">
          <w:rPr>
            <w:sz w:val="16"/>
            <w:szCs w:val="16"/>
          </w:rPr>
          <w:t xml:space="preserve">Page | </w:t>
        </w:r>
        <w:r w:rsidRPr="00A16317">
          <w:rPr>
            <w:sz w:val="16"/>
            <w:szCs w:val="16"/>
          </w:rPr>
          <w:fldChar w:fldCharType="begin"/>
        </w:r>
        <w:r w:rsidRPr="00A16317">
          <w:rPr>
            <w:sz w:val="16"/>
            <w:szCs w:val="16"/>
          </w:rPr>
          <w:instrText xml:space="preserve"> PAGE   \* MERGEFORMAT </w:instrText>
        </w:r>
        <w:r w:rsidRPr="00A16317">
          <w:rPr>
            <w:sz w:val="16"/>
            <w:szCs w:val="16"/>
          </w:rPr>
          <w:fldChar w:fldCharType="separate"/>
        </w:r>
        <w:r w:rsidR="002F27B1">
          <w:rPr>
            <w:noProof/>
            <w:sz w:val="16"/>
            <w:szCs w:val="16"/>
          </w:rPr>
          <w:t>2</w:t>
        </w:r>
        <w:r w:rsidRPr="00A16317">
          <w:rPr>
            <w:noProof/>
            <w:sz w:val="16"/>
            <w:szCs w:val="16"/>
          </w:rPr>
          <w:fldChar w:fldCharType="end"/>
        </w:r>
      </w:p>
    </w:sdtContent>
  </w:sdt>
  <w:p w:rsidR="00343CB3" w:rsidRDefault="002F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F6" w:rsidRDefault="006F78F6" w:rsidP="006F78F6">
      <w:pPr>
        <w:spacing w:after="0" w:line="240" w:lineRule="auto"/>
      </w:pPr>
      <w:r>
        <w:separator/>
      </w:r>
    </w:p>
  </w:footnote>
  <w:footnote w:type="continuationSeparator" w:id="0">
    <w:p w:rsidR="006F78F6" w:rsidRDefault="006F78F6" w:rsidP="006F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3" w:rsidRPr="00E4236A" w:rsidRDefault="006F78F6">
    <w:pPr>
      <w:pStyle w:val="Header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E7"/>
    <w:multiLevelType w:val="hybridMultilevel"/>
    <w:tmpl w:val="BBE82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4B5"/>
    <w:multiLevelType w:val="hybridMultilevel"/>
    <w:tmpl w:val="11AAF122"/>
    <w:lvl w:ilvl="0" w:tplc="A9AEEE00">
      <w:start w:val="1"/>
      <w:numFmt w:val="lowerLetter"/>
      <w:lvlText w:val="%1)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08ED19EC"/>
    <w:multiLevelType w:val="hybridMultilevel"/>
    <w:tmpl w:val="4232C7C4"/>
    <w:lvl w:ilvl="0" w:tplc="98CEA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A47"/>
    <w:multiLevelType w:val="hybridMultilevel"/>
    <w:tmpl w:val="D1A65C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E16DF"/>
    <w:multiLevelType w:val="hybridMultilevel"/>
    <w:tmpl w:val="BEA8E1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6"/>
    <w:rsid w:val="00013A4B"/>
    <w:rsid w:val="00014487"/>
    <w:rsid w:val="000E1A53"/>
    <w:rsid w:val="001229FB"/>
    <w:rsid w:val="001309BE"/>
    <w:rsid w:val="00204DAF"/>
    <w:rsid w:val="00246AEE"/>
    <w:rsid w:val="00271BCA"/>
    <w:rsid w:val="002F27B1"/>
    <w:rsid w:val="00324F06"/>
    <w:rsid w:val="003A01A8"/>
    <w:rsid w:val="003D346D"/>
    <w:rsid w:val="00403DA0"/>
    <w:rsid w:val="00483AA5"/>
    <w:rsid w:val="00483EA7"/>
    <w:rsid w:val="004B0F5F"/>
    <w:rsid w:val="0051655F"/>
    <w:rsid w:val="00521B3C"/>
    <w:rsid w:val="00533E7D"/>
    <w:rsid w:val="00581F52"/>
    <w:rsid w:val="00582BB1"/>
    <w:rsid w:val="00595D10"/>
    <w:rsid w:val="005E0E05"/>
    <w:rsid w:val="00613009"/>
    <w:rsid w:val="00615B11"/>
    <w:rsid w:val="006452FD"/>
    <w:rsid w:val="006723A3"/>
    <w:rsid w:val="00673DEA"/>
    <w:rsid w:val="006F78F6"/>
    <w:rsid w:val="0071556C"/>
    <w:rsid w:val="00777E11"/>
    <w:rsid w:val="007824E7"/>
    <w:rsid w:val="007E5BE3"/>
    <w:rsid w:val="00851F4F"/>
    <w:rsid w:val="008A7358"/>
    <w:rsid w:val="009F212B"/>
    <w:rsid w:val="00A430F2"/>
    <w:rsid w:val="00A70DE3"/>
    <w:rsid w:val="00AB53D2"/>
    <w:rsid w:val="00AB6B34"/>
    <w:rsid w:val="00AF3843"/>
    <w:rsid w:val="00AF458F"/>
    <w:rsid w:val="00B63B0C"/>
    <w:rsid w:val="00BB31D7"/>
    <w:rsid w:val="00BC5361"/>
    <w:rsid w:val="00C366AB"/>
    <w:rsid w:val="00CF0AA3"/>
    <w:rsid w:val="00DB1796"/>
    <w:rsid w:val="00DE1A86"/>
    <w:rsid w:val="00DE246D"/>
    <w:rsid w:val="00E142F0"/>
    <w:rsid w:val="00E148C3"/>
    <w:rsid w:val="00E553CB"/>
    <w:rsid w:val="00ED72F8"/>
    <w:rsid w:val="00F4412B"/>
    <w:rsid w:val="00F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15BED"/>
  <w15:chartTrackingRefBased/>
  <w15:docId w15:val="{96F97CDD-4B53-4E2F-9693-CF50DD8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1,List Paragraph11,L,Recommendation,CV text,Table text"/>
    <w:basedOn w:val="Normal"/>
    <w:link w:val="ListParagraphChar"/>
    <w:uiPriority w:val="34"/>
    <w:qFormat/>
    <w:rsid w:val="006F78F6"/>
    <w:pPr>
      <w:ind w:left="720"/>
      <w:contextualSpacing/>
    </w:pPr>
  </w:style>
  <w:style w:type="character" w:customStyle="1" w:styleId="ListParagraphChar">
    <w:name w:val="List Paragraph Char"/>
    <w:aliases w:val="Bullets Char,List Paragraph1 Char,List Paragraph11 Char,L Char,Recommendation Char,CV text Char,Table text Char"/>
    <w:basedOn w:val="DefaultParagraphFont"/>
    <w:link w:val="ListParagraph"/>
    <w:uiPriority w:val="34"/>
    <w:locked/>
    <w:rsid w:val="006F78F6"/>
  </w:style>
  <w:style w:type="paragraph" w:styleId="Header">
    <w:name w:val="header"/>
    <w:basedOn w:val="Normal"/>
    <w:link w:val="HeaderChar"/>
    <w:uiPriority w:val="99"/>
    <w:unhideWhenUsed/>
    <w:rsid w:val="006F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F6"/>
  </w:style>
  <w:style w:type="paragraph" w:styleId="Footer">
    <w:name w:val="footer"/>
    <w:basedOn w:val="Normal"/>
    <w:link w:val="FooterChar"/>
    <w:uiPriority w:val="99"/>
    <w:unhideWhenUsed/>
    <w:rsid w:val="006F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F6"/>
  </w:style>
  <w:style w:type="paragraph" w:customStyle="1" w:styleId="Default">
    <w:name w:val="Default"/>
    <w:rsid w:val="00483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918A2-1E8A-4591-BFBC-E12593552AC8}"/>
</file>

<file path=customXml/itemProps2.xml><?xml version="1.0" encoding="utf-8"?>
<ds:datastoreItem xmlns:ds="http://schemas.openxmlformats.org/officeDocument/2006/customXml" ds:itemID="{2FF2C07B-7FA3-4456-B19D-114487756BA9}"/>
</file>

<file path=customXml/itemProps3.xml><?xml version="1.0" encoding="utf-8"?>
<ds:datastoreItem xmlns:ds="http://schemas.openxmlformats.org/officeDocument/2006/customXml" ds:itemID="{927EAB6F-3F82-4D4D-BEA2-CE3E273D0D62}"/>
</file>

<file path=customXml/itemProps4.xml><?xml version="1.0" encoding="utf-8"?>
<ds:datastoreItem xmlns:ds="http://schemas.openxmlformats.org/officeDocument/2006/customXml" ds:itemID="{D902BEA4-7846-46D8-8453-8911F456B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Edirisuriya, Dilani</dc:creator>
  <cp:keywords/>
  <dc:description/>
  <cp:lastModifiedBy>Lindenmayer, Peter</cp:lastModifiedBy>
  <cp:revision>5</cp:revision>
  <cp:lastPrinted>2018-07-16T07:26:00Z</cp:lastPrinted>
  <dcterms:created xsi:type="dcterms:W3CDTF">2018-08-07T04:48:00Z</dcterms:created>
  <dcterms:modified xsi:type="dcterms:W3CDTF">2018-08-07T06:59:00Z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555d7fec-ebf5-413e-a70e-c44041576673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1185200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