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B16B" w14:textId="77777777" w:rsidR="0059146A" w:rsidRDefault="0059146A" w:rsidP="005B5769">
      <w:pPr>
        <w:pStyle w:val="ListBullet"/>
        <w:tabs>
          <w:tab w:val="clear" w:pos="284"/>
        </w:tabs>
      </w:pPr>
      <w:bookmarkStart w:id="0" w:name="_GoBack"/>
      <w:bookmarkEnd w:id="0"/>
    </w:p>
    <w:p w14:paraId="5FE710D7" w14:textId="77777777" w:rsidR="0059146A" w:rsidRDefault="0059146A" w:rsidP="005B5769">
      <w:pPr>
        <w:pStyle w:val="ListBullet"/>
        <w:tabs>
          <w:tab w:val="clear" w:pos="284"/>
        </w:tabs>
      </w:pPr>
    </w:p>
    <w:p w14:paraId="3E7DE012" w14:textId="77777777" w:rsidR="0059146A" w:rsidRPr="0059146A" w:rsidRDefault="0059146A" w:rsidP="005B5769">
      <w:pPr>
        <w:pStyle w:val="ListBullet"/>
        <w:tabs>
          <w:tab w:val="clear" w:pos="284"/>
        </w:tabs>
      </w:pPr>
    </w:p>
    <w:p w14:paraId="7E09F5D1" w14:textId="77777777" w:rsidR="00A56F14" w:rsidRPr="0059146A" w:rsidRDefault="00A56F14" w:rsidP="0059146A">
      <w:pPr>
        <w:pStyle w:val="ListBullet"/>
        <w:tabs>
          <w:tab w:val="clear" w:pos="284"/>
        </w:tabs>
      </w:pPr>
    </w:p>
    <w:p w14:paraId="5F28469D" w14:textId="77777777" w:rsidR="00A56F14" w:rsidRDefault="00A56F14" w:rsidP="00A56F14">
      <w:pPr>
        <w:spacing w:after="200" w:line="276" w:lineRule="auto"/>
        <w:rPr>
          <w:b/>
        </w:rPr>
      </w:pPr>
    </w:p>
    <w:p w14:paraId="2729E042" w14:textId="77777777" w:rsidR="00A56F14" w:rsidRDefault="00A56F14" w:rsidP="00A56F14">
      <w:pPr>
        <w:spacing w:after="200" w:line="276" w:lineRule="auto"/>
        <w:rPr>
          <w:b/>
        </w:rPr>
      </w:pPr>
    </w:p>
    <w:p w14:paraId="0C8D1B0C" w14:textId="77777777" w:rsidR="00C6626C" w:rsidRDefault="00C6626C" w:rsidP="00A56F14"/>
    <w:p w14:paraId="1C535163" w14:textId="77777777" w:rsidR="00C6626C" w:rsidRDefault="00C6626C" w:rsidP="00A56F14"/>
    <w:p w14:paraId="4365F504" w14:textId="77777777" w:rsidR="00C6626C" w:rsidRDefault="00C6626C" w:rsidP="00A56F14"/>
    <w:p w14:paraId="3975812E" w14:textId="77777777" w:rsidR="00C6626C" w:rsidRDefault="00C6626C" w:rsidP="00A56F14"/>
    <w:p w14:paraId="6BE99CAC" w14:textId="77777777" w:rsidR="00C6626C" w:rsidRDefault="00C6626C" w:rsidP="00A56F14"/>
    <w:p w14:paraId="7C2C5FF4" w14:textId="77777777" w:rsidR="00C6626C" w:rsidRDefault="00C6626C" w:rsidP="00A56F14"/>
    <w:p w14:paraId="4D69FC04" w14:textId="77777777" w:rsidR="00C6626C" w:rsidRDefault="00C6626C" w:rsidP="00A56F14"/>
    <w:p w14:paraId="75F60057" w14:textId="77777777" w:rsidR="00C6626C" w:rsidRDefault="00C6626C" w:rsidP="00A56F14"/>
    <w:p w14:paraId="7977F01B" w14:textId="77777777" w:rsidR="00C6626C" w:rsidRDefault="00C6626C" w:rsidP="00A56F14"/>
    <w:p w14:paraId="0943283C" w14:textId="77777777" w:rsidR="00C6626C" w:rsidRDefault="00C6626C" w:rsidP="00A56F14"/>
    <w:p w14:paraId="706B32FA" w14:textId="77777777" w:rsidR="00C6626C" w:rsidRDefault="00C6626C" w:rsidP="00A56F14"/>
    <w:p w14:paraId="5B8F8EF7" w14:textId="77777777" w:rsidR="00C6626C" w:rsidRDefault="00C6626C" w:rsidP="00A56F14"/>
    <w:p w14:paraId="2D6C742C" w14:textId="77777777" w:rsidR="00C6626C" w:rsidRDefault="00C6626C" w:rsidP="00A56F14"/>
    <w:p w14:paraId="34B178AD" w14:textId="77777777" w:rsidR="00C6626C" w:rsidRDefault="00C6626C" w:rsidP="00A56F14"/>
    <w:p w14:paraId="176F63A2" w14:textId="77777777" w:rsidR="00C6626C" w:rsidRDefault="00C6626C" w:rsidP="00A56F14"/>
    <w:p w14:paraId="274E0F13" w14:textId="77777777" w:rsidR="00C6626C" w:rsidRDefault="00C6626C" w:rsidP="00A56F14"/>
    <w:p w14:paraId="78A521D8" w14:textId="77777777" w:rsidR="00C6626C" w:rsidRDefault="00C6626C" w:rsidP="00A56F14"/>
    <w:p w14:paraId="7210426B" w14:textId="77777777" w:rsidR="00C6626C" w:rsidRDefault="00C6626C" w:rsidP="00A56F14"/>
    <w:p w14:paraId="74D0F2E3" w14:textId="77777777" w:rsidR="00C6626C" w:rsidRDefault="00C6626C" w:rsidP="00A56F14"/>
    <w:p w14:paraId="0F02DD96" w14:textId="77777777" w:rsidR="00C6626C" w:rsidRDefault="00C6626C" w:rsidP="00A56F14"/>
    <w:p w14:paraId="7BFB855A" w14:textId="77777777" w:rsidR="00C6626C" w:rsidRDefault="00C6626C" w:rsidP="00A56F14"/>
    <w:p w14:paraId="7B37C0EF" w14:textId="77777777"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7295A8E6" wp14:editId="7295A8E7">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7295A8E8" wp14:editId="7295A8E9">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14:paraId="24F178C0" w14:textId="23F3B6C1"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14:paraId="5EB23531" w14:textId="77777777" w:rsidR="00C6626C" w:rsidRDefault="009021DE" w:rsidP="00A56F14">
      <w:r>
        <w:rPr>
          <w:sz w:val="40"/>
        </w:rPr>
        <w:t>Papua New Guinea</w:t>
      </w:r>
    </w:p>
    <w:p w14:paraId="75AF71AA" w14:textId="77777777" w:rsidR="00C6626C" w:rsidRPr="002A51CA" w:rsidRDefault="00C6626C" w:rsidP="00A56F14">
      <w:pPr>
        <w:rPr>
          <w:sz w:val="24"/>
        </w:rPr>
      </w:pPr>
      <w:r w:rsidRPr="002A51CA">
        <w:rPr>
          <w:sz w:val="24"/>
        </w:rPr>
        <w:t>September 201</w:t>
      </w:r>
      <w:r w:rsidR="00D7713F">
        <w:rPr>
          <w:sz w:val="24"/>
        </w:rPr>
        <w:t>9</w:t>
      </w:r>
    </w:p>
    <w:p w14:paraId="66A870EE" w14:textId="77777777"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67014322" w14:textId="77777777" w:rsidR="00D7713F" w:rsidRPr="00BB648A" w:rsidRDefault="00725180" w:rsidP="00D7713F">
      <w:pPr>
        <w:pStyle w:val="Title"/>
        <w:spacing w:before="120" w:after="240" w:line="300" w:lineRule="exact"/>
        <w:contextualSpacing w:val="0"/>
        <w:rPr>
          <w:szCs w:val="38"/>
        </w:rPr>
      </w:pPr>
      <w:r>
        <w:rPr>
          <w:sz w:val="40"/>
        </w:rPr>
        <w:lastRenderedPageBreak/>
        <w:t>Papua New Guinea</w:t>
      </w:r>
      <w:r w:rsidRPr="00BB648A">
        <w:rPr>
          <w:szCs w:val="38"/>
        </w:rPr>
        <w:t xml:space="preserve"> </w:t>
      </w:r>
      <w:r w:rsidR="00D7713F" w:rsidRPr="00BB648A">
        <w:rPr>
          <w:szCs w:val="38"/>
        </w:rPr>
        <w:t>Aid Program Performance Information 201</w:t>
      </w:r>
      <w:r w:rsidR="00F46D79">
        <w:rPr>
          <w:szCs w:val="38"/>
        </w:rPr>
        <w:t>8-19</w:t>
      </w:r>
    </w:p>
    <w:p w14:paraId="3679660A" w14:textId="77777777" w:rsidR="00725180" w:rsidRPr="00725180" w:rsidRDefault="00C6626C" w:rsidP="00725180">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t>Key Messages</w:t>
      </w:r>
    </w:p>
    <w:p w14:paraId="08A91EAF" w14:textId="58E64D5A" w:rsidR="00093C7F" w:rsidRDefault="005003FC" w:rsidP="005003FC">
      <w:pPr>
        <w:rPr>
          <w:color w:val="auto"/>
        </w:rPr>
      </w:pPr>
      <w:r w:rsidRPr="00084537">
        <w:rPr>
          <w:color w:val="auto"/>
        </w:rPr>
        <w:t xml:space="preserve">Papua New Guinea is </w:t>
      </w:r>
      <w:r w:rsidR="00C43C94">
        <w:rPr>
          <w:color w:val="auto"/>
        </w:rPr>
        <w:t>a close</w:t>
      </w:r>
      <w:r w:rsidR="005136F4" w:rsidRPr="00084537">
        <w:rPr>
          <w:color w:val="auto"/>
        </w:rPr>
        <w:t xml:space="preserve"> neighbour and </w:t>
      </w:r>
      <w:r w:rsidR="00C43C94">
        <w:rPr>
          <w:color w:val="auto"/>
        </w:rPr>
        <w:t>friend</w:t>
      </w:r>
      <w:r w:rsidRPr="00084537">
        <w:rPr>
          <w:color w:val="auto"/>
        </w:rPr>
        <w:t xml:space="preserve">. </w:t>
      </w:r>
      <w:r w:rsidR="00093C7F">
        <w:rPr>
          <w:color w:val="auto"/>
        </w:rPr>
        <w:t>The importance of a</w:t>
      </w:r>
      <w:r w:rsidRPr="00084537">
        <w:rPr>
          <w:color w:val="auto"/>
        </w:rPr>
        <w:t xml:space="preserve"> stable and prosperous Pap</w:t>
      </w:r>
      <w:r w:rsidR="00E8323E" w:rsidRPr="00084537">
        <w:rPr>
          <w:color w:val="auto"/>
        </w:rPr>
        <w:t>ua New Guinea</w:t>
      </w:r>
      <w:r w:rsidR="00093C7F" w:rsidRPr="00093C7F">
        <w:rPr>
          <w:color w:val="auto"/>
        </w:rPr>
        <w:t xml:space="preserve"> </w:t>
      </w:r>
      <w:r w:rsidR="002B3D5B">
        <w:rPr>
          <w:color w:val="auto"/>
        </w:rPr>
        <w:t>i</w:t>
      </w:r>
      <w:r w:rsidR="00093C7F">
        <w:rPr>
          <w:color w:val="auto"/>
        </w:rPr>
        <w:t xml:space="preserve">s </w:t>
      </w:r>
      <w:r w:rsidR="00922763">
        <w:rPr>
          <w:color w:val="auto"/>
        </w:rPr>
        <w:t>articulated</w:t>
      </w:r>
      <w:r w:rsidR="002B3D5B">
        <w:rPr>
          <w:color w:val="auto"/>
        </w:rPr>
        <w:t xml:space="preserve"> in</w:t>
      </w:r>
      <w:r w:rsidR="00093C7F" w:rsidRPr="00084537">
        <w:rPr>
          <w:color w:val="auto"/>
        </w:rPr>
        <w:t xml:space="preserve"> Australia’s Foreign Policy White Paper.</w:t>
      </w:r>
      <w:r w:rsidR="006F3F5D">
        <w:rPr>
          <w:color w:val="auto"/>
        </w:rPr>
        <w:t xml:space="preserve"> </w:t>
      </w:r>
      <w:r w:rsidR="00093C7F">
        <w:rPr>
          <w:color w:val="auto"/>
        </w:rPr>
        <w:t>The Pacific</w:t>
      </w:r>
      <w:r w:rsidR="00E8323E" w:rsidRPr="00084537">
        <w:rPr>
          <w:color w:val="auto"/>
        </w:rPr>
        <w:t xml:space="preserve"> Step-</w:t>
      </w:r>
      <w:r w:rsidR="00704736">
        <w:rPr>
          <w:color w:val="auto"/>
        </w:rPr>
        <w:t>u</w:t>
      </w:r>
      <w:r w:rsidR="00704736" w:rsidRPr="00084537">
        <w:rPr>
          <w:color w:val="auto"/>
        </w:rPr>
        <w:t xml:space="preserve">p </w:t>
      </w:r>
      <w:r w:rsidR="00093C7F">
        <w:rPr>
          <w:color w:val="auto"/>
        </w:rPr>
        <w:t>announced by Prime Minister Morrison</w:t>
      </w:r>
      <w:r w:rsidR="004A6301">
        <w:rPr>
          <w:color w:val="auto"/>
        </w:rPr>
        <w:t xml:space="preserve"> in November 2018</w:t>
      </w:r>
      <w:r w:rsidR="00093C7F">
        <w:rPr>
          <w:color w:val="auto"/>
        </w:rPr>
        <w:t xml:space="preserve"> </w:t>
      </w:r>
      <w:r w:rsidR="00C43C94">
        <w:rPr>
          <w:color w:val="auto"/>
        </w:rPr>
        <w:t>emphasises</w:t>
      </w:r>
      <w:r w:rsidR="00093C7F">
        <w:rPr>
          <w:color w:val="auto"/>
        </w:rPr>
        <w:t xml:space="preserve"> the importance of Papua New Guinea to Australia</w:t>
      </w:r>
      <w:r w:rsidR="00093C7F" w:rsidRPr="00093C7F">
        <w:rPr>
          <w:color w:val="auto"/>
        </w:rPr>
        <w:t>.</w:t>
      </w:r>
    </w:p>
    <w:p w14:paraId="36251B7D" w14:textId="4A927859" w:rsidR="00E433EA" w:rsidRDefault="00E433EA" w:rsidP="00E433EA">
      <w:pPr>
        <w:rPr>
          <w:color w:val="auto"/>
        </w:rPr>
      </w:pPr>
      <w:r w:rsidRPr="00A450A6">
        <w:rPr>
          <w:color w:val="auto"/>
        </w:rPr>
        <w:t xml:space="preserve">The </w:t>
      </w:r>
      <w:r w:rsidR="00C43C94">
        <w:rPr>
          <w:color w:val="auto"/>
        </w:rPr>
        <w:t>past</w:t>
      </w:r>
      <w:r w:rsidRPr="00A450A6">
        <w:rPr>
          <w:color w:val="auto"/>
        </w:rPr>
        <w:t xml:space="preserve"> year has been significant for Australia’s relationship with Papua New Gui</w:t>
      </w:r>
      <w:r w:rsidR="00C43C94">
        <w:rPr>
          <w:color w:val="auto"/>
        </w:rPr>
        <w:t xml:space="preserve">nea in the development sphere. </w:t>
      </w:r>
      <w:r w:rsidRPr="00A450A6">
        <w:rPr>
          <w:color w:val="auto"/>
        </w:rPr>
        <w:t xml:space="preserve">Australia’s assistance </w:t>
      </w:r>
      <w:r w:rsidR="00C43C94">
        <w:rPr>
          <w:color w:val="auto"/>
        </w:rPr>
        <w:t>supported</w:t>
      </w:r>
      <w:r w:rsidRPr="00A450A6">
        <w:rPr>
          <w:color w:val="auto"/>
        </w:rPr>
        <w:t xml:space="preserve"> Papua New Guinea’s successful hosting of A</w:t>
      </w:r>
      <w:r>
        <w:rPr>
          <w:color w:val="auto"/>
        </w:rPr>
        <w:t>sia-Pacific Economic Cooperation (APEC) meeting</w:t>
      </w:r>
      <w:r w:rsidRPr="00A450A6">
        <w:rPr>
          <w:color w:val="auto"/>
        </w:rPr>
        <w:t xml:space="preserve"> in Novemb</w:t>
      </w:r>
      <w:r w:rsidR="00C43C94">
        <w:rPr>
          <w:color w:val="auto"/>
        </w:rPr>
        <w:t xml:space="preserve">er 2018. </w:t>
      </w:r>
      <w:r w:rsidRPr="00A450A6">
        <w:rPr>
          <w:color w:val="auto"/>
        </w:rPr>
        <w:t>Activities associated with the Pacific Step-up contin</w:t>
      </w:r>
      <w:r w:rsidR="00C43C94">
        <w:rPr>
          <w:color w:val="auto"/>
        </w:rPr>
        <w:t>ue to be rolled out and comple</w:t>
      </w:r>
      <w:r w:rsidR="005C1ADE">
        <w:rPr>
          <w:color w:val="auto"/>
        </w:rPr>
        <w:t>ment</w:t>
      </w:r>
      <w:r w:rsidRPr="00A450A6">
        <w:rPr>
          <w:color w:val="auto"/>
        </w:rPr>
        <w:t xml:space="preserve"> our</w:t>
      </w:r>
      <w:r w:rsidR="00C43C94">
        <w:rPr>
          <w:color w:val="auto"/>
        </w:rPr>
        <w:t xml:space="preserve"> existing development program. </w:t>
      </w:r>
      <w:r w:rsidRPr="00A450A6">
        <w:rPr>
          <w:color w:val="auto"/>
        </w:rPr>
        <w:t xml:space="preserve">Increasing </w:t>
      </w:r>
      <w:r>
        <w:rPr>
          <w:color w:val="auto"/>
        </w:rPr>
        <w:t>m</w:t>
      </w:r>
      <w:r w:rsidR="00C43C94">
        <w:rPr>
          <w:color w:val="auto"/>
        </w:rPr>
        <w:t>inisterial and senior official</w:t>
      </w:r>
      <w:r w:rsidRPr="00A450A6">
        <w:rPr>
          <w:color w:val="auto"/>
        </w:rPr>
        <w:t>s</w:t>
      </w:r>
      <w:r w:rsidR="00C43C94">
        <w:rPr>
          <w:color w:val="auto"/>
        </w:rPr>
        <w:t>’</w:t>
      </w:r>
      <w:r w:rsidRPr="00A450A6">
        <w:rPr>
          <w:color w:val="auto"/>
        </w:rPr>
        <w:t xml:space="preserve"> visits have occurred strengthening relationship</w:t>
      </w:r>
      <w:r>
        <w:rPr>
          <w:color w:val="auto"/>
        </w:rPr>
        <w:t>s</w:t>
      </w:r>
      <w:r w:rsidRPr="00A450A6">
        <w:rPr>
          <w:color w:val="auto"/>
        </w:rPr>
        <w:t xml:space="preserve"> and progre</w:t>
      </w:r>
      <w:r>
        <w:rPr>
          <w:color w:val="auto"/>
        </w:rPr>
        <w:t>s</w:t>
      </w:r>
      <w:r w:rsidRPr="00A450A6">
        <w:rPr>
          <w:color w:val="auto"/>
        </w:rPr>
        <w:t>s</w:t>
      </w:r>
      <w:r>
        <w:rPr>
          <w:color w:val="auto"/>
        </w:rPr>
        <w:t>ing</w:t>
      </w:r>
      <w:r w:rsidRPr="00A450A6">
        <w:rPr>
          <w:color w:val="auto"/>
        </w:rPr>
        <w:t xml:space="preserve"> key </w:t>
      </w:r>
      <w:r w:rsidR="00B423F5" w:rsidRPr="00A450A6">
        <w:rPr>
          <w:color w:val="auto"/>
        </w:rPr>
        <w:t>initiatives</w:t>
      </w:r>
      <w:r w:rsidR="00C43C94">
        <w:rPr>
          <w:color w:val="auto"/>
        </w:rPr>
        <w:t xml:space="preserve">. </w:t>
      </w:r>
      <w:r w:rsidRPr="00A450A6">
        <w:rPr>
          <w:color w:val="auto"/>
        </w:rPr>
        <w:t>These developments and ot</w:t>
      </w:r>
      <w:r w:rsidR="005C1ADE">
        <w:rPr>
          <w:color w:val="auto"/>
        </w:rPr>
        <w:t xml:space="preserve">hers have intensified the strength, depth and pace </w:t>
      </w:r>
      <w:r w:rsidRPr="00A450A6">
        <w:rPr>
          <w:color w:val="auto"/>
        </w:rPr>
        <w:t xml:space="preserve">of our relationship with Papua New Guinea. </w:t>
      </w:r>
    </w:p>
    <w:p w14:paraId="29A4BB0E" w14:textId="77777777" w:rsidR="00700B19" w:rsidRDefault="003A6250" w:rsidP="003A6250">
      <w:pPr>
        <w:rPr>
          <w:color w:val="auto"/>
        </w:rPr>
      </w:pPr>
      <w:r w:rsidRPr="00084537">
        <w:rPr>
          <w:color w:val="auto"/>
        </w:rPr>
        <w:t>This report summarises the performanc</w:t>
      </w:r>
      <w:r w:rsidR="002B3D5B">
        <w:rPr>
          <w:color w:val="auto"/>
        </w:rPr>
        <w:t>e of Australia’s development program to</w:t>
      </w:r>
      <w:r w:rsidRPr="00084537">
        <w:rPr>
          <w:color w:val="auto"/>
        </w:rPr>
        <w:t xml:space="preserve"> Papua New Guinea</w:t>
      </w:r>
      <w:r w:rsidR="00094875" w:rsidRPr="00084537">
        <w:rPr>
          <w:color w:val="auto"/>
        </w:rPr>
        <w:t xml:space="preserve"> from July 2018 to June 2019</w:t>
      </w:r>
      <w:r w:rsidRPr="00084537">
        <w:rPr>
          <w:color w:val="auto"/>
        </w:rPr>
        <w:t xml:space="preserve"> against the Papua New Guinea Aid Investment Plan 2015-2019 (AIP). Under the AIP, Aust</w:t>
      </w:r>
      <w:r w:rsidR="002B3D5B">
        <w:rPr>
          <w:color w:val="auto"/>
        </w:rPr>
        <w:t xml:space="preserve">ralia </w:t>
      </w:r>
      <w:r w:rsidR="00A8436B">
        <w:rPr>
          <w:color w:val="auto"/>
        </w:rPr>
        <w:t xml:space="preserve">focussed on three </w:t>
      </w:r>
      <w:r w:rsidRPr="00084537">
        <w:rPr>
          <w:color w:val="auto"/>
        </w:rPr>
        <w:t xml:space="preserve">development objectives: Promoting Effective Governance; Enabling Economic Growth; and Enhancing Human Development. </w:t>
      </w:r>
    </w:p>
    <w:p w14:paraId="08921EB4" w14:textId="73024039" w:rsidR="003A6250" w:rsidRPr="00084537" w:rsidRDefault="003A6250" w:rsidP="003A6250">
      <w:pPr>
        <w:rPr>
          <w:color w:val="auto"/>
        </w:rPr>
      </w:pPr>
      <w:r w:rsidRPr="00084537">
        <w:rPr>
          <w:color w:val="auto"/>
        </w:rPr>
        <w:t xml:space="preserve">In 2018-19, progress has largely met expectations in the Enabling Economic Growth objective </w:t>
      </w:r>
      <w:r w:rsidR="00C43C94">
        <w:rPr>
          <w:color w:val="auto"/>
        </w:rPr>
        <w:t>which</w:t>
      </w:r>
      <w:r w:rsidRPr="00084537">
        <w:rPr>
          <w:color w:val="auto"/>
        </w:rPr>
        <w:t xml:space="preserve"> is rated </w:t>
      </w:r>
      <w:r w:rsidR="00A8436B">
        <w:rPr>
          <w:color w:val="auto"/>
        </w:rPr>
        <w:t>green (</w:t>
      </w:r>
      <w:r w:rsidRPr="00084537">
        <w:rPr>
          <w:color w:val="auto"/>
        </w:rPr>
        <w:t>on track</w:t>
      </w:r>
      <w:r w:rsidR="00A8436B">
        <w:rPr>
          <w:color w:val="auto"/>
        </w:rPr>
        <w:t>)</w:t>
      </w:r>
      <w:r w:rsidR="00094875" w:rsidRPr="00084537">
        <w:rPr>
          <w:color w:val="auto"/>
        </w:rPr>
        <w:t>,</w:t>
      </w:r>
      <w:r w:rsidRPr="00084537">
        <w:rPr>
          <w:color w:val="auto"/>
        </w:rPr>
        <w:t xml:space="preserve"> with most performance milestones being achieved. </w:t>
      </w:r>
      <w:r w:rsidR="00A8436B">
        <w:rPr>
          <w:color w:val="auto"/>
        </w:rPr>
        <w:t xml:space="preserve">Both </w:t>
      </w:r>
      <w:r w:rsidRPr="00084537">
        <w:rPr>
          <w:color w:val="auto"/>
        </w:rPr>
        <w:t xml:space="preserve">Promoting Effective Governance and Enhancing Human Development are rated amber as progress is less than expected. While these </w:t>
      </w:r>
      <w:r w:rsidR="00A8436B">
        <w:rPr>
          <w:color w:val="auto"/>
        </w:rPr>
        <w:t xml:space="preserve">two objectives have improved </w:t>
      </w:r>
      <w:r w:rsidR="00E8323E" w:rsidRPr="00084537">
        <w:rPr>
          <w:color w:val="auto"/>
        </w:rPr>
        <w:t>over the previous 12 months, due to slow progress</w:t>
      </w:r>
      <w:r w:rsidRPr="00084537">
        <w:rPr>
          <w:color w:val="auto"/>
        </w:rPr>
        <w:t xml:space="preserve"> </w:t>
      </w:r>
      <w:r w:rsidR="00700B19">
        <w:rPr>
          <w:color w:val="auto"/>
        </w:rPr>
        <w:t>in previous years</w:t>
      </w:r>
      <w:r w:rsidRPr="00084537">
        <w:rPr>
          <w:color w:val="auto"/>
        </w:rPr>
        <w:t xml:space="preserve"> </w:t>
      </w:r>
      <w:r w:rsidR="000C74FD" w:rsidRPr="00084537">
        <w:rPr>
          <w:color w:val="auto"/>
        </w:rPr>
        <w:t>and continuing diff</w:t>
      </w:r>
      <w:r w:rsidR="00A8436B">
        <w:rPr>
          <w:color w:val="auto"/>
        </w:rPr>
        <w:t>icul</w:t>
      </w:r>
      <w:r w:rsidR="002B3D5B">
        <w:rPr>
          <w:color w:val="auto"/>
        </w:rPr>
        <w:t xml:space="preserve">ties with some investments, there is </w:t>
      </w:r>
      <w:r w:rsidR="00C43C94">
        <w:rPr>
          <w:color w:val="auto"/>
        </w:rPr>
        <w:t>in</w:t>
      </w:r>
      <w:r w:rsidR="002B3D5B">
        <w:rPr>
          <w:color w:val="auto"/>
        </w:rPr>
        <w:t>sufficient</w:t>
      </w:r>
      <w:r w:rsidR="00A8436B">
        <w:rPr>
          <w:color w:val="auto"/>
        </w:rPr>
        <w:t xml:space="preserve"> justification </w:t>
      </w:r>
      <w:r w:rsidR="00C43C94">
        <w:rPr>
          <w:color w:val="auto"/>
        </w:rPr>
        <w:t>and</w:t>
      </w:r>
      <w:r w:rsidR="00A8436B">
        <w:rPr>
          <w:color w:val="auto"/>
        </w:rPr>
        <w:t xml:space="preserve"> evidence to </w:t>
      </w:r>
      <w:r w:rsidR="002B3D5B">
        <w:rPr>
          <w:color w:val="auto"/>
        </w:rPr>
        <w:t xml:space="preserve">rate them </w:t>
      </w:r>
      <w:r w:rsidR="00E8323E" w:rsidRPr="00084537">
        <w:rPr>
          <w:color w:val="auto"/>
        </w:rPr>
        <w:t>gree</w:t>
      </w:r>
      <w:r w:rsidR="00E433EA">
        <w:rPr>
          <w:color w:val="auto"/>
        </w:rPr>
        <w:t>n</w:t>
      </w:r>
      <w:r w:rsidR="00630E80" w:rsidRPr="00084537">
        <w:rPr>
          <w:color w:val="auto"/>
        </w:rPr>
        <w:t xml:space="preserve"> in 2018-19</w:t>
      </w:r>
      <w:r w:rsidRPr="00084537">
        <w:rPr>
          <w:color w:val="auto"/>
        </w:rPr>
        <w:t xml:space="preserve">. </w:t>
      </w:r>
    </w:p>
    <w:p w14:paraId="1A10B171" w14:textId="77777777" w:rsidR="000C74FD" w:rsidRPr="00084537" w:rsidRDefault="000C74FD" w:rsidP="000C74FD">
      <w:pPr>
        <w:rPr>
          <w:b/>
          <w:color w:val="auto"/>
        </w:rPr>
      </w:pPr>
      <w:r w:rsidRPr="00084537">
        <w:rPr>
          <w:b/>
          <w:color w:val="auto"/>
        </w:rPr>
        <w:t xml:space="preserve">Promoting Effective Governance </w:t>
      </w:r>
    </w:p>
    <w:p w14:paraId="5DF2AC86" w14:textId="64453177" w:rsidR="00FE0286" w:rsidRPr="00084537" w:rsidRDefault="00FE0286" w:rsidP="00FE0286">
      <w:pPr>
        <w:rPr>
          <w:color w:val="auto"/>
        </w:rPr>
      </w:pPr>
      <w:r w:rsidRPr="00434BD7">
        <w:rPr>
          <w:color w:val="auto"/>
        </w:rPr>
        <w:t>Papua New Guinea’s governance environment remains challenging. Long-term governance assessments suggest that the credibility of national policy-making and the effectiveness of the public serv</w:t>
      </w:r>
      <w:r w:rsidR="00E8323E" w:rsidRPr="00434BD7">
        <w:rPr>
          <w:color w:val="auto"/>
        </w:rPr>
        <w:t>ice are holding steady or modestly</w:t>
      </w:r>
      <w:r w:rsidRPr="00434BD7">
        <w:rPr>
          <w:color w:val="auto"/>
        </w:rPr>
        <w:t xml:space="preserve"> improving in most areas</w:t>
      </w:r>
      <w:r w:rsidR="00407EBA" w:rsidRPr="00434BD7">
        <w:rPr>
          <w:color w:val="auto"/>
        </w:rPr>
        <w:t xml:space="preserve">. </w:t>
      </w:r>
      <w:r w:rsidR="005136F4" w:rsidRPr="00434BD7">
        <w:rPr>
          <w:color w:val="auto"/>
        </w:rPr>
        <w:t>A</w:t>
      </w:r>
      <w:r w:rsidR="00B56FE6" w:rsidRPr="00434BD7">
        <w:rPr>
          <w:color w:val="auto"/>
        </w:rPr>
        <w:t>n</w:t>
      </w:r>
      <w:r w:rsidR="005136F4" w:rsidRPr="00434BD7">
        <w:rPr>
          <w:color w:val="auto"/>
        </w:rPr>
        <w:t xml:space="preserve"> </w:t>
      </w:r>
      <w:r w:rsidRPr="00434BD7">
        <w:rPr>
          <w:color w:val="auto"/>
        </w:rPr>
        <w:t>exception</w:t>
      </w:r>
      <w:r w:rsidR="005136F4" w:rsidRPr="00434BD7">
        <w:rPr>
          <w:color w:val="auto"/>
        </w:rPr>
        <w:t xml:space="preserve"> is law and</w:t>
      </w:r>
      <w:r w:rsidR="004A6301" w:rsidRPr="00434BD7">
        <w:rPr>
          <w:color w:val="auto"/>
        </w:rPr>
        <w:t xml:space="preserve"> order </w:t>
      </w:r>
      <w:r w:rsidR="00B56FE6" w:rsidRPr="00434BD7">
        <w:rPr>
          <w:color w:val="auto"/>
        </w:rPr>
        <w:t>which appears to be deteriorating</w:t>
      </w:r>
      <w:r w:rsidRPr="00434BD7">
        <w:rPr>
          <w:color w:val="auto"/>
        </w:rPr>
        <w:t xml:space="preserve">. </w:t>
      </w:r>
      <w:r w:rsidR="005136F4" w:rsidRPr="00434BD7">
        <w:rPr>
          <w:color w:val="auto"/>
        </w:rPr>
        <w:t>In addition,</w:t>
      </w:r>
      <w:r w:rsidRPr="00434BD7">
        <w:rPr>
          <w:color w:val="auto"/>
        </w:rPr>
        <w:t xml:space="preserve"> Papua New Guinea</w:t>
      </w:r>
      <w:r w:rsidR="00C43C94">
        <w:rPr>
          <w:color w:val="auto"/>
        </w:rPr>
        <w:t xml:space="preserve">’s </w:t>
      </w:r>
      <w:r w:rsidRPr="00434BD7">
        <w:rPr>
          <w:color w:val="auto"/>
        </w:rPr>
        <w:t>civil soc</w:t>
      </w:r>
      <w:r w:rsidR="00E8323E" w:rsidRPr="00434BD7">
        <w:rPr>
          <w:color w:val="auto"/>
        </w:rPr>
        <w:t xml:space="preserve">iety sector </w:t>
      </w:r>
      <w:r w:rsidR="00C43C94">
        <w:rPr>
          <w:color w:val="auto"/>
        </w:rPr>
        <w:t xml:space="preserve">is still building </w:t>
      </w:r>
      <w:r w:rsidR="002F1033">
        <w:rPr>
          <w:color w:val="auto"/>
        </w:rPr>
        <w:t xml:space="preserve">its </w:t>
      </w:r>
      <w:r w:rsidR="00C43C94">
        <w:rPr>
          <w:color w:val="auto"/>
        </w:rPr>
        <w:t>capacity to support</w:t>
      </w:r>
      <w:r w:rsidRPr="00434BD7">
        <w:rPr>
          <w:color w:val="auto"/>
        </w:rPr>
        <w:t xml:space="preserve"> g</w:t>
      </w:r>
      <w:r w:rsidR="005136F4" w:rsidRPr="00434BD7">
        <w:rPr>
          <w:color w:val="auto"/>
        </w:rPr>
        <w:t>ood policy-making</w:t>
      </w:r>
      <w:r w:rsidRPr="00434BD7">
        <w:rPr>
          <w:color w:val="auto"/>
        </w:rPr>
        <w:t>.</w:t>
      </w:r>
    </w:p>
    <w:p w14:paraId="41D16D37" w14:textId="679C8AB3" w:rsidR="00FE0286" w:rsidRPr="00084537" w:rsidRDefault="00C43C94" w:rsidP="00FE0286">
      <w:pPr>
        <w:rPr>
          <w:color w:val="auto"/>
        </w:rPr>
      </w:pPr>
      <w:r>
        <w:rPr>
          <w:color w:val="auto"/>
        </w:rPr>
        <w:t>The effectiveness of the s</w:t>
      </w:r>
      <w:r w:rsidR="00FE0286" w:rsidRPr="00084537">
        <w:rPr>
          <w:color w:val="auto"/>
        </w:rPr>
        <w:t>tate is most challenged at the sub</w:t>
      </w:r>
      <w:r w:rsidR="00E8323E" w:rsidRPr="00084537">
        <w:rPr>
          <w:color w:val="auto"/>
        </w:rPr>
        <w:t>national level where capacity remains</w:t>
      </w:r>
      <w:r w:rsidR="00FE0286" w:rsidRPr="00084537">
        <w:rPr>
          <w:color w:val="auto"/>
        </w:rPr>
        <w:t xml:space="preserve"> weak. </w:t>
      </w:r>
      <w:r w:rsidR="00E8323E" w:rsidRPr="00084537">
        <w:rPr>
          <w:color w:val="auto"/>
        </w:rPr>
        <w:t xml:space="preserve">The </w:t>
      </w:r>
      <w:r w:rsidR="005136F4" w:rsidRPr="00084537">
        <w:rPr>
          <w:color w:val="auto"/>
        </w:rPr>
        <w:t>Government</w:t>
      </w:r>
      <w:r w:rsidR="00E8323E" w:rsidRPr="00084537">
        <w:rPr>
          <w:color w:val="auto"/>
        </w:rPr>
        <w:t xml:space="preserve"> of </w:t>
      </w:r>
      <w:r w:rsidR="00F17276" w:rsidRPr="00084537">
        <w:rPr>
          <w:color w:val="auto"/>
        </w:rPr>
        <w:t xml:space="preserve">Papua New Guinea </w:t>
      </w:r>
      <w:r w:rsidR="00E8323E" w:rsidRPr="00084537">
        <w:rPr>
          <w:color w:val="auto"/>
        </w:rPr>
        <w:t>still needs to reach an agreed approach</w:t>
      </w:r>
      <w:r w:rsidR="00FE0286" w:rsidRPr="00084537">
        <w:rPr>
          <w:color w:val="auto"/>
        </w:rPr>
        <w:t xml:space="preserve"> on decentralisation: </w:t>
      </w:r>
      <w:r w:rsidR="00FE0286" w:rsidRPr="00922763">
        <w:rPr>
          <w:color w:val="auto"/>
        </w:rPr>
        <w:t xml:space="preserve">one that achieves efficiencies and economies of scale in service delivery and balances the interests of provinces and districts. </w:t>
      </w:r>
    </w:p>
    <w:p w14:paraId="188E129C" w14:textId="2F348BC8" w:rsidR="00E93165" w:rsidRDefault="00FE0286" w:rsidP="00FE0286">
      <w:pPr>
        <w:rPr>
          <w:color w:val="auto"/>
        </w:rPr>
      </w:pPr>
      <w:r w:rsidRPr="00084537">
        <w:rPr>
          <w:color w:val="auto"/>
        </w:rPr>
        <w:t>Australia is supporting governance improvements at national and subnational level</w:t>
      </w:r>
      <w:r w:rsidR="00C43C94">
        <w:rPr>
          <w:color w:val="auto"/>
        </w:rPr>
        <w:t>s</w:t>
      </w:r>
      <w:r w:rsidRPr="00084537">
        <w:rPr>
          <w:color w:val="auto"/>
        </w:rPr>
        <w:t>. While we are contributing to improvements, three key lessons have e</w:t>
      </w:r>
      <w:r w:rsidR="00E8323E" w:rsidRPr="00084537">
        <w:rPr>
          <w:color w:val="auto"/>
        </w:rPr>
        <w:t>merged</w:t>
      </w:r>
      <w:r w:rsidR="005136F4" w:rsidRPr="00084537">
        <w:rPr>
          <w:color w:val="auto"/>
        </w:rPr>
        <w:t xml:space="preserve"> which</w:t>
      </w:r>
      <w:r w:rsidR="00E8323E" w:rsidRPr="00084537">
        <w:rPr>
          <w:color w:val="auto"/>
        </w:rPr>
        <w:t xml:space="preserve"> suggest a </w:t>
      </w:r>
      <w:r w:rsidR="00C43C94">
        <w:rPr>
          <w:color w:val="auto"/>
        </w:rPr>
        <w:t>refinement</w:t>
      </w:r>
      <w:r w:rsidR="00E8323E" w:rsidRPr="00084537">
        <w:rPr>
          <w:color w:val="auto"/>
        </w:rPr>
        <w:t xml:space="preserve"> of our approach is </w:t>
      </w:r>
      <w:r w:rsidR="00C43C94">
        <w:rPr>
          <w:color w:val="auto"/>
        </w:rPr>
        <w:t>possible</w:t>
      </w:r>
      <w:r w:rsidR="00E8323E" w:rsidRPr="00084537">
        <w:rPr>
          <w:color w:val="auto"/>
        </w:rPr>
        <w:t>.</w:t>
      </w:r>
      <w:r w:rsidR="006F3F5D">
        <w:rPr>
          <w:color w:val="auto"/>
        </w:rPr>
        <w:t xml:space="preserve"> </w:t>
      </w:r>
      <w:r w:rsidR="00E8323E" w:rsidRPr="00084537">
        <w:rPr>
          <w:color w:val="auto"/>
        </w:rPr>
        <w:t xml:space="preserve">These are that </w:t>
      </w:r>
      <w:r w:rsidRPr="00084537">
        <w:rPr>
          <w:color w:val="auto"/>
        </w:rPr>
        <w:t xml:space="preserve">in some sectors we are focused on engaging with formal government agencies and not working sufficiently with </w:t>
      </w:r>
      <w:r w:rsidR="002B3D5B">
        <w:rPr>
          <w:color w:val="auto"/>
        </w:rPr>
        <w:t>others</w:t>
      </w:r>
      <w:r w:rsidRPr="00084537">
        <w:rPr>
          <w:color w:val="auto"/>
        </w:rPr>
        <w:t xml:space="preserve"> to encourage re</w:t>
      </w:r>
      <w:r w:rsidR="002B3D5B">
        <w:rPr>
          <w:color w:val="auto"/>
        </w:rPr>
        <w:t>form</w:t>
      </w:r>
      <w:r w:rsidRPr="00084537">
        <w:rPr>
          <w:color w:val="auto"/>
        </w:rPr>
        <w:t>;</w:t>
      </w:r>
      <w:r w:rsidR="00E8323E" w:rsidRPr="00084537">
        <w:rPr>
          <w:color w:val="auto"/>
        </w:rPr>
        <w:t xml:space="preserve"> </w:t>
      </w:r>
      <w:r w:rsidRPr="00084537">
        <w:rPr>
          <w:color w:val="auto"/>
        </w:rPr>
        <w:t xml:space="preserve">we are too </w:t>
      </w:r>
      <w:r w:rsidR="00C43C94">
        <w:rPr>
          <w:color w:val="auto"/>
        </w:rPr>
        <w:t>dependent on</w:t>
      </w:r>
      <w:r w:rsidRPr="00084537">
        <w:rPr>
          <w:color w:val="auto"/>
        </w:rPr>
        <w:t xml:space="preserve"> capacity building through traditional technical assi</w:t>
      </w:r>
      <w:r w:rsidR="00C43C94">
        <w:rPr>
          <w:color w:val="auto"/>
        </w:rPr>
        <w:t xml:space="preserve">stance and </w:t>
      </w:r>
      <w:r w:rsidR="007258E3" w:rsidRPr="00084537">
        <w:rPr>
          <w:color w:val="auto"/>
        </w:rPr>
        <w:t xml:space="preserve">training modalities; and </w:t>
      </w:r>
      <w:r w:rsidRPr="00084537">
        <w:rPr>
          <w:color w:val="auto"/>
        </w:rPr>
        <w:t xml:space="preserve">we </w:t>
      </w:r>
      <w:r w:rsidR="00C43C94">
        <w:rPr>
          <w:color w:val="auto"/>
        </w:rPr>
        <w:t>can increase support for</w:t>
      </w:r>
      <w:r w:rsidRPr="00084537">
        <w:rPr>
          <w:color w:val="auto"/>
        </w:rPr>
        <w:t xml:space="preserve"> pro</w:t>
      </w:r>
      <w:r w:rsidR="007258E3" w:rsidRPr="00084537">
        <w:rPr>
          <w:color w:val="auto"/>
        </w:rPr>
        <w:t xml:space="preserve">gressive reformers </w:t>
      </w:r>
      <w:r w:rsidRPr="00084537">
        <w:rPr>
          <w:color w:val="auto"/>
        </w:rPr>
        <w:t>at national and subnational levels.</w:t>
      </w:r>
    </w:p>
    <w:p w14:paraId="7F549088" w14:textId="596C2A4F" w:rsidR="006126DB" w:rsidRPr="006126DB" w:rsidRDefault="00326FE0" w:rsidP="006126DB">
      <w:pPr>
        <w:rPr>
          <w:color w:val="auto"/>
        </w:rPr>
      </w:pPr>
      <w:r>
        <w:rPr>
          <w:color w:val="auto"/>
        </w:rPr>
        <w:t xml:space="preserve">We have contributed to </w:t>
      </w:r>
      <w:r w:rsidR="006126DB">
        <w:rPr>
          <w:color w:val="auto"/>
        </w:rPr>
        <w:t xml:space="preserve">notable outcomes in governance </w:t>
      </w:r>
      <w:r>
        <w:rPr>
          <w:color w:val="auto"/>
        </w:rPr>
        <w:t>dur</w:t>
      </w:r>
      <w:r w:rsidR="006126DB">
        <w:rPr>
          <w:color w:val="auto"/>
        </w:rPr>
        <w:t>ing 2018-19.</w:t>
      </w:r>
      <w:r w:rsidR="006F3F5D">
        <w:rPr>
          <w:color w:val="auto"/>
        </w:rPr>
        <w:t xml:space="preserve"> </w:t>
      </w:r>
      <w:r w:rsidRPr="00326FE0">
        <w:rPr>
          <w:color w:val="auto"/>
        </w:rPr>
        <w:t xml:space="preserve">Our law and justice investment is improving community safety and security, </w:t>
      </w:r>
      <w:r w:rsidR="00412BA2">
        <w:rPr>
          <w:color w:val="auto"/>
        </w:rPr>
        <w:t>supporting victims of</w:t>
      </w:r>
      <w:r w:rsidRPr="00326FE0">
        <w:rPr>
          <w:color w:val="auto"/>
        </w:rPr>
        <w:t xml:space="preserve"> family and sexual violence, strengthening legal services and </w:t>
      </w:r>
      <w:r w:rsidR="00412BA2">
        <w:rPr>
          <w:color w:val="auto"/>
        </w:rPr>
        <w:t xml:space="preserve">helping fight </w:t>
      </w:r>
      <w:r w:rsidRPr="00326FE0">
        <w:rPr>
          <w:color w:val="auto"/>
        </w:rPr>
        <w:t>corruption. Australia has supported the construction of 25 specialist police Family and Sexual Vio</w:t>
      </w:r>
      <w:r w:rsidR="002B3D5B">
        <w:rPr>
          <w:color w:val="auto"/>
        </w:rPr>
        <w:t xml:space="preserve">lence Units around </w:t>
      </w:r>
      <w:r w:rsidR="009F0FD2">
        <w:rPr>
          <w:color w:val="auto"/>
        </w:rPr>
        <w:t>Papua New Guinea</w:t>
      </w:r>
      <w:r w:rsidR="002B3D5B">
        <w:rPr>
          <w:color w:val="auto"/>
        </w:rPr>
        <w:t>, enabling</w:t>
      </w:r>
      <w:r w:rsidRPr="00326FE0">
        <w:rPr>
          <w:color w:val="auto"/>
        </w:rPr>
        <w:t xml:space="preserve"> over 55,000 survivors of violence to access support.</w:t>
      </w:r>
      <w:r w:rsidR="006126DB">
        <w:rPr>
          <w:color w:val="auto"/>
        </w:rPr>
        <w:t xml:space="preserve"> </w:t>
      </w:r>
      <w:r w:rsidR="006126DB" w:rsidRPr="006126DB">
        <w:rPr>
          <w:color w:val="auto"/>
        </w:rPr>
        <w:t>The long-standing C</w:t>
      </w:r>
      <w:r w:rsidR="00132C6B">
        <w:rPr>
          <w:color w:val="auto"/>
        </w:rPr>
        <w:t xml:space="preserve">hurch Partnership Program </w:t>
      </w:r>
      <w:r w:rsidR="002B3D5B">
        <w:rPr>
          <w:color w:val="auto"/>
        </w:rPr>
        <w:t xml:space="preserve">continued to </w:t>
      </w:r>
      <w:r w:rsidR="00CB55A3">
        <w:rPr>
          <w:color w:val="auto"/>
        </w:rPr>
        <w:t>deliver services</w:t>
      </w:r>
      <w:r w:rsidR="006126DB">
        <w:rPr>
          <w:color w:val="auto"/>
        </w:rPr>
        <w:t xml:space="preserve"> in 2018-19 including </w:t>
      </w:r>
      <w:r w:rsidR="002B3D5B">
        <w:rPr>
          <w:color w:val="auto"/>
        </w:rPr>
        <w:t>livelihoods</w:t>
      </w:r>
      <w:r w:rsidR="006126DB">
        <w:rPr>
          <w:color w:val="auto"/>
        </w:rPr>
        <w:t xml:space="preserve"> training to almost 18,000 people and </w:t>
      </w:r>
      <w:r w:rsidR="00CB55A3">
        <w:rPr>
          <w:color w:val="auto"/>
        </w:rPr>
        <w:t xml:space="preserve">literacy training to </w:t>
      </w:r>
      <w:r w:rsidR="006126DB">
        <w:rPr>
          <w:color w:val="auto"/>
        </w:rPr>
        <w:t xml:space="preserve">more than 4,600 </w:t>
      </w:r>
      <w:r w:rsidR="002B3D5B">
        <w:rPr>
          <w:color w:val="auto"/>
        </w:rPr>
        <w:t>adults</w:t>
      </w:r>
      <w:r w:rsidR="006126DB">
        <w:rPr>
          <w:color w:val="auto"/>
        </w:rPr>
        <w:t>.</w:t>
      </w:r>
    </w:p>
    <w:p w14:paraId="56C13F2A" w14:textId="77777777" w:rsidR="00412BA2" w:rsidRDefault="00412BA2" w:rsidP="00FE0286">
      <w:pPr>
        <w:rPr>
          <w:b/>
          <w:color w:val="auto"/>
        </w:rPr>
      </w:pPr>
    </w:p>
    <w:p w14:paraId="54446935" w14:textId="2E784379" w:rsidR="00430EF0" w:rsidRPr="00084537" w:rsidRDefault="00430EF0" w:rsidP="00FE0286">
      <w:pPr>
        <w:rPr>
          <w:b/>
          <w:color w:val="auto"/>
        </w:rPr>
      </w:pPr>
      <w:r w:rsidRPr="00084537">
        <w:rPr>
          <w:b/>
          <w:color w:val="auto"/>
        </w:rPr>
        <w:lastRenderedPageBreak/>
        <w:t xml:space="preserve">Enabling Economic Growth </w:t>
      </w:r>
    </w:p>
    <w:p w14:paraId="7D5A2467" w14:textId="79917774" w:rsidR="000A5C3D" w:rsidRDefault="00AD4C44" w:rsidP="00AD4C44">
      <w:pPr>
        <w:rPr>
          <w:color w:val="auto"/>
        </w:rPr>
      </w:pPr>
      <w:r w:rsidRPr="00084537">
        <w:rPr>
          <w:color w:val="auto"/>
        </w:rPr>
        <w:t xml:space="preserve">Australia’s </w:t>
      </w:r>
      <w:r w:rsidR="007258E3" w:rsidRPr="00084537">
        <w:rPr>
          <w:color w:val="auto"/>
        </w:rPr>
        <w:t xml:space="preserve">economic growth programs </w:t>
      </w:r>
      <w:r w:rsidR="00CB55A3">
        <w:rPr>
          <w:color w:val="auto"/>
        </w:rPr>
        <w:t>support</w:t>
      </w:r>
      <w:r w:rsidRPr="00084537">
        <w:rPr>
          <w:color w:val="auto"/>
        </w:rPr>
        <w:t xml:space="preserve"> Papua New Guinea </w:t>
      </w:r>
      <w:r w:rsidR="007258E3" w:rsidRPr="00084537">
        <w:rPr>
          <w:color w:val="auto"/>
        </w:rPr>
        <w:t xml:space="preserve">to </w:t>
      </w:r>
      <w:r w:rsidRPr="00084537">
        <w:rPr>
          <w:color w:val="auto"/>
        </w:rPr>
        <w:t>build a stronger, more diversified economy</w:t>
      </w:r>
      <w:r w:rsidR="00AD698B">
        <w:rPr>
          <w:color w:val="auto"/>
        </w:rPr>
        <w:t xml:space="preserve"> and reduce poverty</w:t>
      </w:r>
      <w:r w:rsidRPr="00084537">
        <w:rPr>
          <w:color w:val="auto"/>
        </w:rPr>
        <w:t xml:space="preserve">. This objective is rated </w:t>
      </w:r>
      <w:r w:rsidR="007258E3" w:rsidRPr="00084537">
        <w:rPr>
          <w:color w:val="auto"/>
        </w:rPr>
        <w:t>green (on track)</w:t>
      </w:r>
      <w:r w:rsidRPr="00084537">
        <w:rPr>
          <w:color w:val="auto"/>
        </w:rPr>
        <w:t xml:space="preserve"> as k</w:t>
      </w:r>
      <w:r w:rsidR="00407EBA">
        <w:rPr>
          <w:color w:val="auto"/>
        </w:rPr>
        <w:t>ey benchmarks for</w:t>
      </w:r>
      <w:r w:rsidRPr="00084537">
        <w:rPr>
          <w:color w:val="auto"/>
        </w:rPr>
        <w:t xml:space="preserve"> the Economic Governance and Inclusive Growth Partnership, Transport Sector Support Program and Incentive Fund were delivered in line with expectations. </w:t>
      </w:r>
    </w:p>
    <w:p w14:paraId="23549800" w14:textId="65F418E3" w:rsidR="0078334D" w:rsidRDefault="0078334D" w:rsidP="0078334D">
      <w:pPr>
        <w:rPr>
          <w:color w:val="auto"/>
        </w:rPr>
      </w:pPr>
      <w:r w:rsidRPr="00084537">
        <w:rPr>
          <w:color w:val="auto"/>
        </w:rPr>
        <w:t xml:space="preserve">In 2018-19, </w:t>
      </w:r>
      <w:r w:rsidR="00E20B51" w:rsidRPr="007601E2">
        <w:rPr>
          <w:color w:val="auto"/>
        </w:rPr>
        <w:t xml:space="preserve">Australia </w:t>
      </w:r>
      <w:r w:rsidR="00CB55A3">
        <w:rPr>
          <w:color w:val="auto"/>
        </w:rPr>
        <w:t>helped</w:t>
      </w:r>
      <w:r>
        <w:rPr>
          <w:color w:val="auto"/>
        </w:rPr>
        <w:t xml:space="preserve"> </w:t>
      </w:r>
      <w:r w:rsidRPr="00B87257">
        <w:rPr>
          <w:color w:val="auto"/>
        </w:rPr>
        <w:t xml:space="preserve">the </w:t>
      </w:r>
      <w:r w:rsidR="00E20B51">
        <w:rPr>
          <w:color w:val="auto"/>
        </w:rPr>
        <w:t xml:space="preserve">Government of </w:t>
      </w:r>
      <w:r w:rsidRPr="00B87257">
        <w:rPr>
          <w:color w:val="auto"/>
        </w:rPr>
        <w:t xml:space="preserve">Papua New Guinea </w:t>
      </w:r>
      <w:r>
        <w:rPr>
          <w:color w:val="auto"/>
        </w:rPr>
        <w:t>to secure USD1.1 b</w:t>
      </w:r>
      <w:r w:rsidRPr="00B87257">
        <w:rPr>
          <w:color w:val="auto"/>
        </w:rPr>
        <w:t xml:space="preserve">illion in </w:t>
      </w:r>
      <w:r w:rsidR="00E20B51">
        <w:rPr>
          <w:color w:val="auto"/>
        </w:rPr>
        <w:t xml:space="preserve">international </w:t>
      </w:r>
      <w:r w:rsidRPr="00B87257">
        <w:rPr>
          <w:color w:val="auto"/>
        </w:rPr>
        <w:t xml:space="preserve">finance from the </w:t>
      </w:r>
      <w:r>
        <w:rPr>
          <w:color w:val="auto"/>
        </w:rPr>
        <w:t>Asian Development Bank</w:t>
      </w:r>
      <w:r w:rsidRPr="00B87257">
        <w:rPr>
          <w:color w:val="auto"/>
        </w:rPr>
        <w:t xml:space="preserve"> and World Bank, and </w:t>
      </w:r>
      <w:r w:rsidR="00CB55A3">
        <w:rPr>
          <w:color w:val="auto"/>
        </w:rPr>
        <w:t>to</w:t>
      </w:r>
      <w:r w:rsidRPr="00B87257">
        <w:rPr>
          <w:color w:val="auto"/>
        </w:rPr>
        <w:t xml:space="preserve"> launch Papua New Guinea’s inaugural sovereign bond. </w:t>
      </w:r>
      <w:r w:rsidRPr="009C4AB3">
        <w:rPr>
          <w:color w:val="auto"/>
        </w:rPr>
        <w:t>The new</w:t>
      </w:r>
      <w:r>
        <w:rPr>
          <w:color w:val="auto"/>
        </w:rPr>
        <w:t xml:space="preserve"> loans and sovereign bond are predicted to save the government </w:t>
      </w:r>
      <w:r w:rsidRPr="009C4AB3">
        <w:rPr>
          <w:color w:val="auto"/>
        </w:rPr>
        <w:t>up to U</w:t>
      </w:r>
      <w:r>
        <w:rPr>
          <w:color w:val="auto"/>
        </w:rPr>
        <w:t>S$1.4 billion over the lifetime</w:t>
      </w:r>
      <w:r w:rsidRPr="009C4AB3">
        <w:rPr>
          <w:color w:val="auto"/>
        </w:rPr>
        <w:t xml:space="preserve"> of the loans compared to borrowing similar amounts through domestic markets</w:t>
      </w:r>
      <w:r>
        <w:rPr>
          <w:color w:val="auto"/>
        </w:rPr>
        <w:t>. Our t</w:t>
      </w:r>
      <w:r w:rsidRPr="00B87257">
        <w:rPr>
          <w:color w:val="auto"/>
        </w:rPr>
        <w:t xml:space="preserve">echnical assistance </w:t>
      </w:r>
      <w:r w:rsidR="00CB55A3">
        <w:rPr>
          <w:color w:val="auto"/>
        </w:rPr>
        <w:t>supported</w:t>
      </w:r>
      <w:r>
        <w:rPr>
          <w:color w:val="auto"/>
        </w:rPr>
        <w:t xml:space="preserve"> the G</w:t>
      </w:r>
      <w:r w:rsidR="00CB55A3">
        <w:rPr>
          <w:color w:val="auto"/>
        </w:rPr>
        <w:t>overnment</w:t>
      </w:r>
      <w:r w:rsidRPr="00B87257">
        <w:rPr>
          <w:color w:val="auto"/>
        </w:rPr>
        <w:t xml:space="preserve"> to meet the commitments required of multilateral banks and bond investors.</w:t>
      </w:r>
      <w:r w:rsidR="00E20B51">
        <w:rPr>
          <w:color w:val="auto"/>
        </w:rPr>
        <w:t xml:space="preserve"> </w:t>
      </w:r>
    </w:p>
    <w:p w14:paraId="24D6D4D7" w14:textId="60F78296" w:rsidR="00AD4C44" w:rsidRPr="00084537" w:rsidRDefault="00AD4C44" w:rsidP="00AD4C44">
      <w:pPr>
        <w:rPr>
          <w:color w:val="auto"/>
        </w:rPr>
      </w:pPr>
      <w:r w:rsidRPr="00084537">
        <w:rPr>
          <w:color w:val="auto"/>
        </w:rPr>
        <w:t xml:space="preserve">We also supported improvements to government procurement systems, which will reduce corruption and improve service delivery. </w:t>
      </w:r>
      <w:r w:rsidR="00CB55A3">
        <w:rPr>
          <w:color w:val="auto"/>
        </w:rPr>
        <w:t>We helped maintain and reconstruct</w:t>
      </w:r>
      <w:r w:rsidRPr="00084537">
        <w:rPr>
          <w:color w:val="auto"/>
        </w:rPr>
        <w:t xml:space="preserve"> over 1,</w:t>
      </w:r>
      <w:r w:rsidR="004A47A7">
        <w:rPr>
          <w:color w:val="auto"/>
        </w:rPr>
        <w:t>7</w:t>
      </w:r>
      <w:r w:rsidRPr="00084537">
        <w:rPr>
          <w:color w:val="auto"/>
        </w:rPr>
        <w:t>00 kilometres of roads, supporting our</w:t>
      </w:r>
      <w:r w:rsidR="007258E3" w:rsidRPr="00084537">
        <w:rPr>
          <w:color w:val="auto"/>
        </w:rPr>
        <w:t xml:space="preserve"> </w:t>
      </w:r>
      <w:r w:rsidR="005136F4" w:rsidRPr="00084537">
        <w:rPr>
          <w:color w:val="auto"/>
        </w:rPr>
        <w:t>long-term</w:t>
      </w:r>
      <w:r w:rsidR="007258E3" w:rsidRPr="00084537">
        <w:rPr>
          <w:color w:val="auto"/>
        </w:rPr>
        <w:t xml:space="preserve"> </w:t>
      </w:r>
      <w:r w:rsidRPr="00084537">
        <w:rPr>
          <w:color w:val="auto"/>
        </w:rPr>
        <w:t xml:space="preserve">goal of a safe, reliable transport system that enables economic and social </w:t>
      </w:r>
      <w:r w:rsidR="007258E3" w:rsidRPr="00084537">
        <w:rPr>
          <w:color w:val="auto"/>
        </w:rPr>
        <w:t>dividends</w:t>
      </w:r>
      <w:r w:rsidRPr="00084537">
        <w:rPr>
          <w:color w:val="auto"/>
        </w:rPr>
        <w:t xml:space="preserve"> in Papua New Guinea. In the </w:t>
      </w:r>
      <w:r w:rsidR="00CB55A3">
        <w:rPr>
          <w:color w:val="auto"/>
        </w:rPr>
        <w:t>p</w:t>
      </w:r>
      <w:r w:rsidRPr="00084537">
        <w:rPr>
          <w:color w:val="auto"/>
        </w:rPr>
        <w:t xml:space="preserve">ast year, we </w:t>
      </w:r>
      <w:r w:rsidR="00CB55A3">
        <w:rPr>
          <w:color w:val="auto"/>
        </w:rPr>
        <w:t>began</w:t>
      </w:r>
      <w:r w:rsidRPr="00084537">
        <w:rPr>
          <w:color w:val="auto"/>
        </w:rPr>
        <w:t xml:space="preserve"> the Coral Sea Cable project, which will deliver </w:t>
      </w:r>
      <w:r w:rsidR="00CB55A3">
        <w:rPr>
          <w:color w:val="auto"/>
        </w:rPr>
        <w:t xml:space="preserve">data capacity of </w:t>
      </w:r>
      <w:r w:rsidRPr="00084537">
        <w:rPr>
          <w:color w:val="auto"/>
        </w:rPr>
        <w:t>2</w:t>
      </w:r>
      <w:r w:rsidR="007258E3" w:rsidRPr="00084537">
        <w:rPr>
          <w:color w:val="auto"/>
        </w:rPr>
        <w:t>0 terabits per second (</w:t>
      </w:r>
      <w:r w:rsidRPr="00084537">
        <w:rPr>
          <w:color w:val="auto"/>
        </w:rPr>
        <w:t>or 800 times more than the existing capacity</w:t>
      </w:r>
      <w:r w:rsidR="007258E3" w:rsidRPr="00084537">
        <w:rPr>
          <w:color w:val="auto"/>
        </w:rPr>
        <w:t xml:space="preserve">) </w:t>
      </w:r>
      <w:r w:rsidRPr="00084537">
        <w:rPr>
          <w:color w:val="auto"/>
        </w:rPr>
        <w:t>to Papua New Guinea by the end of 2019.</w:t>
      </w:r>
    </w:p>
    <w:p w14:paraId="27C5926F" w14:textId="3E3DCBE8" w:rsidR="00430EF0" w:rsidRPr="00084537" w:rsidRDefault="007E0821" w:rsidP="000C74FD">
      <w:pPr>
        <w:rPr>
          <w:b/>
          <w:color w:val="auto"/>
        </w:rPr>
      </w:pPr>
      <w:r w:rsidRPr="00084537">
        <w:rPr>
          <w:b/>
          <w:color w:val="auto"/>
        </w:rPr>
        <w:t>Enhancing Human Development</w:t>
      </w:r>
    </w:p>
    <w:p w14:paraId="6B0544CD" w14:textId="758A194B" w:rsidR="00FE0286" w:rsidRPr="00084537" w:rsidRDefault="00FE0286" w:rsidP="00FE0286">
      <w:pPr>
        <w:rPr>
          <w:color w:val="auto"/>
          <w:lang w:val="en-AU"/>
        </w:rPr>
      </w:pPr>
      <w:r w:rsidRPr="00084537">
        <w:rPr>
          <w:color w:val="auto"/>
        </w:rPr>
        <w:t>Improving service delivery outcomes in Papua New Guinea remains challenging. High rates of population growth and urbanisation are</w:t>
      </w:r>
      <w:r w:rsidR="00E05E30">
        <w:rPr>
          <w:color w:val="auto"/>
        </w:rPr>
        <w:t xml:space="preserve"> outstripping the ability of </w:t>
      </w:r>
      <w:r w:rsidR="00700B19">
        <w:rPr>
          <w:color w:val="auto"/>
        </w:rPr>
        <w:t>government</w:t>
      </w:r>
      <w:r w:rsidRPr="00084537">
        <w:rPr>
          <w:color w:val="auto"/>
        </w:rPr>
        <w:t xml:space="preserve"> system</w:t>
      </w:r>
      <w:r w:rsidR="00E05E30">
        <w:rPr>
          <w:color w:val="auto"/>
        </w:rPr>
        <w:t>s</w:t>
      </w:r>
      <w:r w:rsidR="002B3D5B">
        <w:rPr>
          <w:color w:val="auto"/>
        </w:rPr>
        <w:t xml:space="preserve"> to keep pace. The cost</w:t>
      </w:r>
      <w:r w:rsidRPr="00084537">
        <w:rPr>
          <w:color w:val="auto"/>
        </w:rPr>
        <w:t xml:space="preserve"> of </w:t>
      </w:r>
      <w:r w:rsidR="002B3D5B">
        <w:rPr>
          <w:color w:val="auto"/>
        </w:rPr>
        <w:t xml:space="preserve">service </w:t>
      </w:r>
      <w:r w:rsidRPr="00084537">
        <w:rPr>
          <w:color w:val="auto"/>
        </w:rPr>
        <w:t xml:space="preserve">delivery across </w:t>
      </w:r>
      <w:r w:rsidR="000B6C89" w:rsidRPr="00084537">
        <w:rPr>
          <w:color w:val="auto"/>
        </w:rPr>
        <w:t>Papua New Guinea</w:t>
      </w:r>
      <w:r w:rsidRPr="00084537">
        <w:rPr>
          <w:color w:val="auto"/>
        </w:rPr>
        <w:t xml:space="preserve">’s </w:t>
      </w:r>
      <w:r w:rsidR="00700B19">
        <w:rPr>
          <w:color w:val="auto"/>
        </w:rPr>
        <w:t>difficult</w:t>
      </w:r>
      <w:r w:rsidRPr="00084537">
        <w:rPr>
          <w:color w:val="auto"/>
        </w:rPr>
        <w:t xml:space="preserve"> terrain are </w:t>
      </w:r>
      <w:r w:rsidR="00CB55A3">
        <w:rPr>
          <w:color w:val="auto"/>
        </w:rPr>
        <w:t>high</w:t>
      </w:r>
      <w:r w:rsidRPr="00084537">
        <w:rPr>
          <w:color w:val="auto"/>
        </w:rPr>
        <w:t>. Those costs increase throug</w:t>
      </w:r>
      <w:r w:rsidR="00CB55A3">
        <w:rPr>
          <w:color w:val="auto"/>
        </w:rPr>
        <w:t xml:space="preserve">h corruption and weak </w:t>
      </w:r>
      <w:r w:rsidR="000E5BF4" w:rsidRPr="00084537">
        <w:rPr>
          <w:color w:val="auto"/>
        </w:rPr>
        <w:t>management</w:t>
      </w:r>
      <w:r w:rsidR="00CB55A3">
        <w:rPr>
          <w:color w:val="auto"/>
        </w:rPr>
        <w:t>.</w:t>
      </w:r>
      <w:r w:rsidR="000E5BF4" w:rsidRPr="00084537">
        <w:rPr>
          <w:color w:val="auto"/>
        </w:rPr>
        <w:t xml:space="preserve"> </w:t>
      </w:r>
      <w:r w:rsidR="000B6C89" w:rsidRPr="00084537">
        <w:rPr>
          <w:color w:val="auto"/>
        </w:rPr>
        <w:t>Papua New Guinea</w:t>
      </w:r>
      <w:r w:rsidRPr="00084537">
        <w:rPr>
          <w:color w:val="auto"/>
        </w:rPr>
        <w:t xml:space="preserve">’s broader fiscal situation means that financing gaps remain. Papua New Guinea’s </w:t>
      </w:r>
      <w:r w:rsidR="002B3D5B">
        <w:rPr>
          <w:color w:val="auto"/>
        </w:rPr>
        <w:t xml:space="preserve">health budget is around $50 </w:t>
      </w:r>
      <w:r w:rsidRPr="00084537">
        <w:rPr>
          <w:color w:val="auto"/>
        </w:rPr>
        <w:t xml:space="preserve">per capita, or 100 times less than Australia’s. Estimates suggest that Papua </w:t>
      </w:r>
      <w:r w:rsidR="005136F4" w:rsidRPr="00084537">
        <w:rPr>
          <w:color w:val="auto"/>
        </w:rPr>
        <w:t xml:space="preserve">New Guinea needs an additional </w:t>
      </w:r>
      <w:r w:rsidRPr="00084537">
        <w:rPr>
          <w:color w:val="auto"/>
        </w:rPr>
        <w:t>$1 billion each year through to 2030 to invest in basic education to lift learning outcomes.</w:t>
      </w:r>
      <w:r w:rsidR="00E111CC" w:rsidRPr="00084537">
        <w:rPr>
          <w:color w:val="auto"/>
        </w:rPr>
        <w:t xml:space="preserve"> </w:t>
      </w:r>
      <w:r w:rsidRPr="00084537">
        <w:rPr>
          <w:color w:val="auto"/>
        </w:rPr>
        <w:t xml:space="preserve">In both health and education, this level of resourcing is beyond the reach of </w:t>
      </w:r>
      <w:r w:rsidR="00F17276" w:rsidRPr="00084537">
        <w:rPr>
          <w:color w:val="auto"/>
        </w:rPr>
        <w:t xml:space="preserve">Papua New Guinea </w:t>
      </w:r>
      <w:r w:rsidRPr="00084537">
        <w:rPr>
          <w:color w:val="auto"/>
        </w:rPr>
        <w:t xml:space="preserve">and its international partners. </w:t>
      </w:r>
    </w:p>
    <w:p w14:paraId="442D6CAD" w14:textId="40888486" w:rsidR="00FE0286" w:rsidRPr="00084537" w:rsidRDefault="00FE0286" w:rsidP="00FE0286">
      <w:pPr>
        <w:rPr>
          <w:color w:val="auto"/>
        </w:rPr>
      </w:pPr>
      <w:r w:rsidRPr="00084537">
        <w:rPr>
          <w:color w:val="auto"/>
        </w:rPr>
        <w:t>Fina</w:t>
      </w:r>
      <w:r w:rsidR="00CB55A3">
        <w:rPr>
          <w:color w:val="auto"/>
        </w:rPr>
        <w:t>nce</w:t>
      </w:r>
      <w:r w:rsidRPr="00084537">
        <w:rPr>
          <w:color w:val="auto"/>
        </w:rPr>
        <w:t xml:space="preserve"> is not the only constraint</w:t>
      </w:r>
      <w:r w:rsidR="005136F4" w:rsidRPr="00084537">
        <w:rPr>
          <w:color w:val="auto"/>
        </w:rPr>
        <w:t xml:space="preserve">. </w:t>
      </w:r>
      <w:r w:rsidR="00CB55A3">
        <w:rPr>
          <w:color w:val="auto"/>
        </w:rPr>
        <w:t>Issues</w:t>
      </w:r>
      <w:r w:rsidR="005136F4" w:rsidRPr="00084537">
        <w:rPr>
          <w:color w:val="auto"/>
        </w:rPr>
        <w:t xml:space="preserve"> such as </w:t>
      </w:r>
      <w:r w:rsidRPr="00084537">
        <w:rPr>
          <w:color w:val="auto"/>
        </w:rPr>
        <w:t>insufficient and poorly trained workforces, inadequate systems for public financial management, insufficient and deteriorating roads and social infrastructure, fragmented governance and financing structures, inefficient procurement and logistics systems, gender</w:t>
      </w:r>
      <w:r w:rsidR="00E433EA">
        <w:rPr>
          <w:color w:val="auto"/>
        </w:rPr>
        <w:t xml:space="preserve"> inequality</w:t>
      </w:r>
      <w:r w:rsidR="00132C6B">
        <w:rPr>
          <w:color w:val="auto"/>
        </w:rPr>
        <w:t>,</w:t>
      </w:r>
      <w:r w:rsidRPr="00084537">
        <w:rPr>
          <w:color w:val="auto"/>
        </w:rPr>
        <w:t xml:space="preserve"> and poor nutrition and stunting all contribute to Papua New Guinea’s human development outco</w:t>
      </w:r>
      <w:r w:rsidR="000E5BF4" w:rsidRPr="00084537">
        <w:rPr>
          <w:color w:val="auto"/>
        </w:rPr>
        <w:t>mes being difficult to improve.</w:t>
      </w:r>
    </w:p>
    <w:p w14:paraId="1DAEFA99" w14:textId="5E420EBA" w:rsidR="00FE0286" w:rsidRPr="00084537" w:rsidRDefault="00CB55A3" w:rsidP="00FE0286">
      <w:pPr>
        <w:rPr>
          <w:color w:val="auto"/>
        </w:rPr>
      </w:pPr>
      <w:r>
        <w:rPr>
          <w:color w:val="auto"/>
        </w:rPr>
        <w:t>N</w:t>
      </w:r>
      <w:r w:rsidR="00894B0B">
        <w:rPr>
          <w:color w:val="auto"/>
        </w:rPr>
        <w:t>onetheless</w:t>
      </w:r>
      <w:r>
        <w:rPr>
          <w:color w:val="auto"/>
        </w:rPr>
        <w:t>, progress has been made</w:t>
      </w:r>
      <w:r w:rsidR="00FE0286" w:rsidRPr="00084537">
        <w:rPr>
          <w:color w:val="auto"/>
        </w:rPr>
        <w:t>. Under-five mortal</w:t>
      </w:r>
      <w:r w:rsidR="000E5BF4" w:rsidRPr="00084537">
        <w:rPr>
          <w:color w:val="auto"/>
        </w:rPr>
        <w:t xml:space="preserve">ity has </w:t>
      </w:r>
      <w:r>
        <w:rPr>
          <w:color w:val="auto"/>
        </w:rPr>
        <w:t>fallen</w:t>
      </w:r>
      <w:r w:rsidR="00FE0286" w:rsidRPr="00084537">
        <w:rPr>
          <w:color w:val="auto"/>
        </w:rPr>
        <w:t>. Recent international assessments suggest num</w:t>
      </w:r>
      <w:r w:rsidR="000E5BF4" w:rsidRPr="00084537">
        <w:rPr>
          <w:color w:val="auto"/>
        </w:rPr>
        <w:t>eracy is improving</w:t>
      </w:r>
      <w:r w:rsidR="00FE0286" w:rsidRPr="00084537">
        <w:rPr>
          <w:color w:val="auto"/>
        </w:rPr>
        <w:t xml:space="preserve"> though literacy continues to lag. </w:t>
      </w:r>
      <w:r>
        <w:rPr>
          <w:color w:val="auto"/>
        </w:rPr>
        <w:t>O</w:t>
      </w:r>
      <w:r w:rsidR="00FE0286" w:rsidRPr="00084537">
        <w:rPr>
          <w:color w:val="auto"/>
        </w:rPr>
        <w:t xml:space="preserve">ur support is </w:t>
      </w:r>
      <w:r>
        <w:rPr>
          <w:color w:val="auto"/>
        </w:rPr>
        <w:t>making</w:t>
      </w:r>
      <w:r w:rsidR="00FE0286" w:rsidRPr="00084537">
        <w:rPr>
          <w:color w:val="auto"/>
        </w:rPr>
        <w:t xml:space="preserve"> a positive </w:t>
      </w:r>
      <w:r>
        <w:rPr>
          <w:color w:val="auto"/>
        </w:rPr>
        <w:t>contribution</w:t>
      </w:r>
      <w:r w:rsidR="00FE0286" w:rsidRPr="00084537">
        <w:rPr>
          <w:color w:val="auto"/>
        </w:rPr>
        <w:t>. Functional grants through some provincial heal</w:t>
      </w:r>
      <w:r w:rsidR="00E05E30">
        <w:rPr>
          <w:color w:val="auto"/>
        </w:rPr>
        <w:t>th authorit</w:t>
      </w:r>
      <w:r w:rsidR="002B3D5B">
        <w:rPr>
          <w:color w:val="auto"/>
        </w:rPr>
        <w:t>ies are now flowing</w:t>
      </w:r>
      <w:r w:rsidR="00FE0286" w:rsidRPr="00084537">
        <w:rPr>
          <w:color w:val="auto"/>
        </w:rPr>
        <w:t xml:space="preserve">. While the outbreak of polio </w:t>
      </w:r>
      <w:r w:rsidR="00E05E30">
        <w:rPr>
          <w:color w:val="auto"/>
        </w:rPr>
        <w:t xml:space="preserve">in </w:t>
      </w:r>
      <w:r w:rsidR="004A6301">
        <w:rPr>
          <w:color w:val="auto"/>
        </w:rPr>
        <w:t xml:space="preserve">June 2018 and the </w:t>
      </w:r>
      <w:r>
        <w:rPr>
          <w:color w:val="auto"/>
        </w:rPr>
        <w:t>ongoing challenges of</w:t>
      </w:r>
      <w:r w:rsidR="004A6301">
        <w:rPr>
          <w:color w:val="auto"/>
        </w:rPr>
        <w:t xml:space="preserve"> multi-drug resistant </w:t>
      </w:r>
      <w:r w:rsidR="006126DB">
        <w:rPr>
          <w:color w:val="auto"/>
        </w:rPr>
        <w:t>tuberculosis</w:t>
      </w:r>
      <w:r w:rsidR="004A6301">
        <w:rPr>
          <w:color w:val="auto"/>
        </w:rPr>
        <w:t xml:space="preserve"> </w:t>
      </w:r>
      <w:r>
        <w:rPr>
          <w:color w:val="auto"/>
        </w:rPr>
        <w:t>indicates</w:t>
      </w:r>
      <w:r w:rsidR="00FE0286" w:rsidRPr="00084537">
        <w:rPr>
          <w:color w:val="auto"/>
        </w:rPr>
        <w:t xml:space="preserve"> health system weakness, Australia played a pivotal role in supporting </w:t>
      </w:r>
      <w:r w:rsidR="000B6C89" w:rsidRPr="00084537">
        <w:rPr>
          <w:color w:val="auto"/>
        </w:rPr>
        <w:t>Papua New Guinea</w:t>
      </w:r>
      <w:r w:rsidR="00FE0286" w:rsidRPr="00084537">
        <w:rPr>
          <w:color w:val="auto"/>
        </w:rPr>
        <w:t xml:space="preserve">’s response to the outbreak. </w:t>
      </w:r>
      <w:r>
        <w:rPr>
          <w:color w:val="auto"/>
        </w:rPr>
        <w:t>W</w:t>
      </w:r>
      <w:r w:rsidR="002B75FB" w:rsidRPr="002B75FB">
        <w:rPr>
          <w:color w:val="auto"/>
        </w:rPr>
        <w:t>e helped vaccinate over 3.3 million children for polio, helping to interrupt the spread of the disease</w:t>
      </w:r>
      <w:r w:rsidR="006C0607">
        <w:rPr>
          <w:color w:val="auto"/>
        </w:rPr>
        <w:t>.</w:t>
      </w:r>
      <w:r w:rsidR="002B75FB" w:rsidRPr="002B75FB">
        <w:rPr>
          <w:color w:val="auto"/>
        </w:rPr>
        <w:t xml:space="preserve"> </w:t>
      </w:r>
      <w:r w:rsidR="00FE0286" w:rsidRPr="00084537">
        <w:rPr>
          <w:color w:val="auto"/>
        </w:rPr>
        <w:t>The response is now strengthening the overall system, and demonstrates that with sufficient financing and oversight the system can work effectively.</w:t>
      </w:r>
      <w:r w:rsidR="00E111CC" w:rsidRPr="00084537">
        <w:rPr>
          <w:color w:val="auto"/>
        </w:rPr>
        <w:t xml:space="preserve"> </w:t>
      </w:r>
      <w:r w:rsidR="00E05E30">
        <w:rPr>
          <w:color w:val="auto"/>
        </w:rPr>
        <w:t>We have supported higher e</w:t>
      </w:r>
      <w:r w:rsidR="00FE0286" w:rsidRPr="00084537">
        <w:rPr>
          <w:color w:val="auto"/>
        </w:rPr>
        <w:t xml:space="preserve">ducation reforms including the establishment of a National Skills Development </w:t>
      </w:r>
      <w:r w:rsidR="006126DB" w:rsidRPr="00084537">
        <w:rPr>
          <w:color w:val="auto"/>
        </w:rPr>
        <w:t>Agency, which</w:t>
      </w:r>
      <w:r w:rsidR="00FE0286" w:rsidRPr="00084537">
        <w:rPr>
          <w:color w:val="auto"/>
        </w:rPr>
        <w:t xml:space="preserve"> will engage industry, the education sector, investors, training providers and employers to </w:t>
      </w:r>
      <w:r w:rsidR="007258E3" w:rsidRPr="00084537">
        <w:rPr>
          <w:color w:val="auto"/>
        </w:rPr>
        <w:t>ensure a coordinated Technical and Vocational Education and Training (TVET)</w:t>
      </w:r>
      <w:r w:rsidR="00FE0286" w:rsidRPr="00084537">
        <w:rPr>
          <w:color w:val="auto"/>
        </w:rPr>
        <w:t xml:space="preserve"> sector that meets </w:t>
      </w:r>
      <w:r w:rsidR="00F17276" w:rsidRPr="00084537">
        <w:rPr>
          <w:color w:val="auto"/>
        </w:rPr>
        <w:t xml:space="preserve">Papua New Guinea </w:t>
      </w:r>
      <w:r w:rsidR="002B3D5B">
        <w:rPr>
          <w:color w:val="auto"/>
        </w:rPr>
        <w:t>and international standards.</w:t>
      </w:r>
    </w:p>
    <w:p w14:paraId="7857D506" w14:textId="77777777" w:rsidR="003704ED" w:rsidRPr="00084537" w:rsidRDefault="003704ED">
      <w:pPr>
        <w:suppressAutoHyphens w:val="0"/>
        <w:spacing w:before="0" w:after="120" w:line="440" w:lineRule="atLeast"/>
        <w:rPr>
          <w:rFonts w:asciiTheme="majorHAnsi" w:eastAsiaTheme="majorEastAsia" w:hAnsiTheme="majorHAnsi" w:cstheme="majorBidi"/>
          <w:caps/>
          <w:color w:val="auto"/>
          <w:sz w:val="38"/>
          <w:szCs w:val="26"/>
        </w:rPr>
      </w:pPr>
      <w:r w:rsidRPr="00084537">
        <w:rPr>
          <w:rFonts w:asciiTheme="majorHAnsi" w:eastAsiaTheme="majorEastAsia" w:hAnsiTheme="majorHAnsi" w:cstheme="majorBidi"/>
          <w:caps/>
          <w:color w:val="auto"/>
          <w:sz w:val="38"/>
          <w:szCs w:val="26"/>
        </w:rPr>
        <w:br w:type="page"/>
      </w:r>
    </w:p>
    <w:p w14:paraId="1C0C9864" w14:textId="4374F13F" w:rsidR="00C6626C" w:rsidRPr="00C61187" w:rsidRDefault="00D7713F" w:rsidP="00FE0286">
      <w:pPr>
        <w:pStyle w:val="ListBullet"/>
        <w:tabs>
          <w:tab w:val="clear" w:pos="284"/>
        </w:tabs>
        <w:spacing w:before="360" w:line="300" w:lineRule="exact"/>
        <w:rPr>
          <w:kern w:val="28"/>
        </w:rPr>
      </w:pPr>
      <w:r>
        <w:rPr>
          <w:rFonts w:asciiTheme="majorHAnsi" w:eastAsiaTheme="majorEastAsia" w:hAnsiTheme="majorHAnsi" w:cstheme="majorBidi"/>
          <w:caps/>
          <w:color w:val="495965" w:themeColor="text2"/>
          <w:sz w:val="38"/>
          <w:szCs w:val="26"/>
          <w:lang w:val="en-GB" w:eastAsia="en-US"/>
        </w:rPr>
        <w:lastRenderedPageBreak/>
        <w:t xml:space="preserve">Context </w:t>
      </w:r>
    </w:p>
    <w:p w14:paraId="46D82A76" w14:textId="77777777" w:rsidR="00E433EA" w:rsidRDefault="00B75F1B" w:rsidP="00B75F1B">
      <w:pPr>
        <w:rPr>
          <w:color w:val="auto"/>
        </w:rPr>
      </w:pPr>
      <w:r w:rsidRPr="00B75F1B">
        <w:rPr>
          <w:color w:val="auto"/>
        </w:rPr>
        <w:t xml:space="preserve">Australia and Papua New Guinea are strong partners of strategic importance to one another. We have shared history, values, extensive people-to-people ties, and a commitment to a secure and prosperous Indo-Pacific region.  </w:t>
      </w:r>
    </w:p>
    <w:p w14:paraId="29E91EB7" w14:textId="32682BFB" w:rsidR="00B75F1B" w:rsidRPr="00B75F1B" w:rsidRDefault="00B75F1B" w:rsidP="00B75F1B">
      <w:pPr>
        <w:rPr>
          <w:color w:val="auto"/>
        </w:rPr>
      </w:pPr>
      <w:r w:rsidRPr="00B75F1B">
        <w:rPr>
          <w:color w:val="auto"/>
        </w:rPr>
        <w:t xml:space="preserve">Papua New Guinea’s economic outlook </w:t>
      </w:r>
      <w:r w:rsidR="00B62057">
        <w:rPr>
          <w:color w:val="auto"/>
        </w:rPr>
        <w:t>is conditional on securing</w:t>
      </w:r>
      <w:r w:rsidRPr="00B75F1B">
        <w:rPr>
          <w:color w:val="auto"/>
        </w:rPr>
        <w:t xml:space="preserve"> major new resource projects. After ten years of resource-led growth, Papua New Guinea’s Treasury estimates the economy contracted by 0.6 per cent in 2018 due to disrupted mining and energy operations caused by a major earthquake in February 2018.   The economy is expected to rebound in 2019, with growth projected at </w:t>
      </w:r>
      <w:r w:rsidR="005C1ADE">
        <w:rPr>
          <w:color w:val="auto"/>
        </w:rPr>
        <w:br/>
      </w:r>
      <w:r w:rsidRPr="00B75F1B">
        <w:rPr>
          <w:color w:val="auto"/>
        </w:rPr>
        <w:t>4.4</w:t>
      </w:r>
      <w:r>
        <w:rPr>
          <w:color w:val="auto"/>
        </w:rPr>
        <w:t xml:space="preserve"> per cent.</w:t>
      </w:r>
    </w:p>
    <w:p w14:paraId="537B7992" w14:textId="51C71E00" w:rsidR="00B75F1B" w:rsidRPr="00B75F1B" w:rsidRDefault="00B75F1B" w:rsidP="00B75F1B">
      <w:pPr>
        <w:rPr>
          <w:color w:val="auto"/>
        </w:rPr>
      </w:pPr>
      <w:r w:rsidRPr="00B75F1B">
        <w:rPr>
          <w:color w:val="auto"/>
        </w:rPr>
        <w:t>Australia is the largest development donor to Papua New Guinea, providing total Official Development Assistance (ODA) of $578 million in 2018-19. Australia’s ODA represents eight per cent of Papua New Guinea’s national budget - a small fraction of the estimated financial resources needed for Papua New Guinea to achieve its Vision 2050 or Medium Term Development Plan II</w:t>
      </w:r>
      <w:r>
        <w:rPr>
          <w:color w:val="auto"/>
        </w:rPr>
        <w:t xml:space="preserve">I ambitions.  </w:t>
      </w:r>
    </w:p>
    <w:p w14:paraId="18506C31" w14:textId="77BD660D" w:rsidR="00B75F1B" w:rsidRPr="00B75F1B" w:rsidRDefault="00B75F1B" w:rsidP="00B75F1B">
      <w:pPr>
        <w:rPr>
          <w:color w:val="auto"/>
        </w:rPr>
      </w:pPr>
      <w:r w:rsidRPr="00B75F1B">
        <w:rPr>
          <w:color w:val="auto"/>
        </w:rPr>
        <w:t>Papua New Guinea hosted APEC in November 2018 and Australia provided significant support in the lead up to and during the event</w:t>
      </w:r>
      <w:r w:rsidR="001D2804">
        <w:rPr>
          <w:color w:val="auto"/>
        </w:rPr>
        <w:t xml:space="preserve">. </w:t>
      </w:r>
      <w:r w:rsidRPr="00B75F1B">
        <w:rPr>
          <w:color w:val="auto"/>
        </w:rPr>
        <w:t xml:space="preserve">Prime Minister Morrison joined Papua New Guinea, Japan, New Zealand and the United States </w:t>
      </w:r>
      <w:r w:rsidR="001D2804">
        <w:rPr>
          <w:color w:val="auto"/>
        </w:rPr>
        <w:t>at the event to announce</w:t>
      </w:r>
      <w:r w:rsidRPr="00B75F1B">
        <w:rPr>
          <w:color w:val="auto"/>
        </w:rPr>
        <w:t xml:space="preserve"> the Electrification Partnership, which </w:t>
      </w:r>
      <w:r w:rsidR="001D2804">
        <w:rPr>
          <w:color w:val="auto"/>
        </w:rPr>
        <w:t>aims to</w:t>
      </w:r>
      <w:r w:rsidRPr="00B75F1B">
        <w:rPr>
          <w:color w:val="auto"/>
        </w:rPr>
        <w:t xml:space="preserve"> see 70 per cent of </w:t>
      </w:r>
      <w:r w:rsidR="001D2804">
        <w:rPr>
          <w:color w:val="auto"/>
        </w:rPr>
        <w:t>Papua New Guinea’s</w:t>
      </w:r>
      <w:r w:rsidRPr="00B75F1B">
        <w:rPr>
          <w:color w:val="auto"/>
        </w:rPr>
        <w:t xml:space="preserve"> citizens </w:t>
      </w:r>
      <w:r>
        <w:rPr>
          <w:color w:val="auto"/>
        </w:rPr>
        <w:t xml:space="preserve">with access to </w:t>
      </w:r>
      <w:r w:rsidR="00E433EA">
        <w:rPr>
          <w:color w:val="auto"/>
        </w:rPr>
        <w:t>electricity</w:t>
      </w:r>
      <w:r>
        <w:rPr>
          <w:color w:val="auto"/>
        </w:rPr>
        <w:t xml:space="preserve"> by 2030.  </w:t>
      </w:r>
    </w:p>
    <w:p w14:paraId="766C3A41" w14:textId="743E59D0" w:rsidR="00B75F1B" w:rsidRPr="00B75F1B" w:rsidRDefault="00B75F1B" w:rsidP="00B75F1B">
      <w:pPr>
        <w:rPr>
          <w:color w:val="auto"/>
        </w:rPr>
      </w:pPr>
      <w:r w:rsidRPr="00B75F1B">
        <w:rPr>
          <w:color w:val="auto"/>
        </w:rPr>
        <w:t xml:space="preserve">As APEC ended, the pace of engagement between Australia and Papua New Guinea continued to grow though the implementation of Pacific Step-up activities </w:t>
      </w:r>
      <w:r w:rsidR="00E433EA">
        <w:rPr>
          <w:color w:val="auto"/>
        </w:rPr>
        <w:t>in</w:t>
      </w:r>
      <w:r w:rsidRPr="00B75F1B">
        <w:rPr>
          <w:color w:val="auto"/>
        </w:rPr>
        <w:t xml:space="preserve"> infrastructure, media, sport, people-to -people links, cooperation between churches, labour mobility and secondary schools</w:t>
      </w:r>
      <w:r w:rsidR="005C1ADE">
        <w:rPr>
          <w:color w:val="auto"/>
        </w:rPr>
        <w:t>.  Visits of m</w:t>
      </w:r>
      <w:r w:rsidRPr="00B75F1B">
        <w:rPr>
          <w:color w:val="auto"/>
        </w:rPr>
        <w:t>inisters and senior officials in both directions rose to new heights reflecting a</w:t>
      </w:r>
      <w:r w:rsidR="005C1ADE">
        <w:rPr>
          <w:color w:val="auto"/>
        </w:rPr>
        <w:t>n intensification of</w:t>
      </w:r>
      <w:r>
        <w:rPr>
          <w:color w:val="auto"/>
        </w:rPr>
        <w:t xml:space="preserve"> the bilateral relationship.</w:t>
      </w:r>
    </w:p>
    <w:p w14:paraId="795121CB" w14:textId="05FAAA69" w:rsidR="00B75F1B" w:rsidRPr="00B75F1B" w:rsidRDefault="001D2804" w:rsidP="00B75F1B">
      <w:pPr>
        <w:rPr>
          <w:color w:val="auto"/>
        </w:rPr>
      </w:pPr>
      <w:r>
        <w:rPr>
          <w:color w:val="auto"/>
        </w:rPr>
        <w:t>S</w:t>
      </w:r>
      <w:r w:rsidR="00B75F1B" w:rsidRPr="00B75F1B">
        <w:rPr>
          <w:color w:val="auto"/>
        </w:rPr>
        <w:t>taff at Post and Desk continued to deliver Australia’s largest development program to a high standard.  For example, where two programs were rated as requiring improvement in 2017-18’s Investment Quality Reporting period, both were successfully remediate</w:t>
      </w:r>
      <w:r w:rsidR="00B75F1B">
        <w:rPr>
          <w:color w:val="auto"/>
        </w:rPr>
        <w:t>d during th</w:t>
      </w:r>
      <w:r w:rsidR="00E433EA">
        <w:rPr>
          <w:color w:val="auto"/>
        </w:rPr>
        <w:t>e 2018-19</w:t>
      </w:r>
      <w:r w:rsidR="00B75F1B">
        <w:rPr>
          <w:color w:val="auto"/>
        </w:rPr>
        <w:t xml:space="preserve"> period.</w:t>
      </w:r>
    </w:p>
    <w:p w14:paraId="2D820B23" w14:textId="42972B79" w:rsidR="00B75F1B" w:rsidRPr="00B75F1B" w:rsidRDefault="00B75F1B" w:rsidP="00B75F1B">
      <w:pPr>
        <w:rPr>
          <w:color w:val="auto"/>
        </w:rPr>
      </w:pPr>
      <w:r w:rsidRPr="00B75F1B">
        <w:rPr>
          <w:color w:val="auto"/>
        </w:rPr>
        <w:t xml:space="preserve">A change of Prime Minister late in the reporting period </w:t>
      </w:r>
      <w:r w:rsidR="001D2804">
        <w:rPr>
          <w:color w:val="auto"/>
        </w:rPr>
        <w:t>has</w:t>
      </w:r>
      <w:r w:rsidRPr="00B75F1B">
        <w:rPr>
          <w:color w:val="auto"/>
        </w:rPr>
        <w:t xml:space="preserve"> implications for the priorities of our development program going forward. Prime Minister Marape appointed a new Minister for Foreign Affairs and Trade, and subsequently a new Minister for National Planning and Monitoring, who are our key interlocutors on development issues. </w:t>
      </w:r>
    </w:p>
    <w:p w14:paraId="70F205CB" w14:textId="243E6C7F" w:rsidR="00B75F1B" w:rsidRPr="00B75F1B" w:rsidRDefault="00B75F1B" w:rsidP="00B75F1B">
      <w:pPr>
        <w:rPr>
          <w:color w:val="auto"/>
        </w:rPr>
      </w:pPr>
      <w:r w:rsidRPr="00B75F1B">
        <w:rPr>
          <w:color w:val="auto"/>
        </w:rPr>
        <w:t xml:space="preserve">The strength of the bilateral relationship was emphasised during the Annual Leaders’ Dialogue in July 2019 when the Prime Ministers </w:t>
      </w:r>
      <w:r w:rsidR="001D2804">
        <w:rPr>
          <w:color w:val="auto"/>
        </w:rPr>
        <w:t>of</w:t>
      </w:r>
      <w:r w:rsidRPr="00B75F1B">
        <w:rPr>
          <w:color w:val="auto"/>
        </w:rPr>
        <w:t xml:space="preserve"> both countries agreed to progress a Comprehensive Strategic and Economic Partnership (CSEP). The Partnership will centre on six pillars: strong democracies for a stable future; close friends, enduring ties; an economic partnership for prosperity; strategic cooperation for security and stability; social and human development; and near neighbours, global partners. Development cooperation will </w:t>
      </w:r>
      <w:r w:rsidR="00E616FA">
        <w:rPr>
          <w:color w:val="auto"/>
        </w:rPr>
        <w:t>support</w:t>
      </w:r>
      <w:r w:rsidRPr="00B75F1B">
        <w:rPr>
          <w:color w:val="auto"/>
        </w:rPr>
        <w:t xml:space="preserve"> economic and strategic objectives under the CSEP</w:t>
      </w:r>
    </w:p>
    <w:p w14:paraId="4B92C3CD" w14:textId="5ECDC9DF" w:rsidR="00FC4381" w:rsidRDefault="00FC4381">
      <w:pPr>
        <w:suppressAutoHyphens w:val="0"/>
        <w:spacing w:before="0" w:after="120" w:line="440" w:lineRule="atLeast"/>
        <w:rPr>
          <w:rFonts w:asciiTheme="majorHAnsi" w:eastAsiaTheme="majorEastAsia" w:hAnsiTheme="majorHAnsi" w:cstheme="majorBidi"/>
          <w:caps/>
          <w:sz w:val="38"/>
          <w:szCs w:val="26"/>
        </w:rPr>
      </w:pPr>
    </w:p>
    <w:p w14:paraId="4A5405F1" w14:textId="77777777" w:rsidR="00B41BD8" w:rsidRDefault="00B41BD8">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38C12DD0" w14:textId="4FC4C204" w:rsidR="00C6626C" w:rsidRPr="002A51CA" w:rsidRDefault="00C6626C" w:rsidP="00077842">
      <w:pPr>
        <w:suppressAutoHyphens w:val="0"/>
        <w:spacing w:before="0" w:after="120" w:line="440"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Expenditure</w:t>
      </w:r>
    </w:p>
    <w:p w14:paraId="66074B38" w14:textId="5824E234"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1D61EC">
        <w:rPr>
          <w:b/>
          <w:noProof/>
          <w:sz w:val="24"/>
        </w:rPr>
        <w:t>1</w:t>
      </w:r>
      <w:r w:rsidRPr="008C2F58">
        <w:rPr>
          <w:b/>
          <w:noProof/>
          <w:sz w:val="24"/>
        </w:rPr>
        <w:fldChar w:fldCharType="end"/>
      </w:r>
      <w:r w:rsidRPr="008C2F58">
        <w:rPr>
          <w:b/>
          <w:sz w:val="24"/>
        </w:rPr>
        <w:t xml:space="preserve"> Total ODA Expenditure in FY 201</w:t>
      </w:r>
      <w:r w:rsidR="00F46D79">
        <w:rPr>
          <w:b/>
          <w:sz w:val="24"/>
        </w:rPr>
        <w:t>8-19</w:t>
      </w:r>
    </w:p>
    <w:tbl>
      <w:tblPr>
        <w:tblStyle w:val="TableGrid"/>
        <w:tblW w:w="9639" w:type="dxa"/>
        <w:tblLook w:val="04A0" w:firstRow="1" w:lastRow="0" w:firstColumn="1" w:lastColumn="0" w:noHBand="0" w:noVBand="1"/>
      </w:tblPr>
      <w:tblGrid>
        <w:gridCol w:w="6374"/>
        <w:gridCol w:w="1423"/>
        <w:gridCol w:w="1842"/>
      </w:tblGrid>
      <w:tr w:rsidR="00184818" w14:paraId="6ADC7353" w14:textId="77777777" w:rsidTr="003E2BE7">
        <w:tc>
          <w:tcPr>
            <w:tcW w:w="6374" w:type="dxa"/>
          </w:tcPr>
          <w:p w14:paraId="40DD8833" w14:textId="77777777" w:rsidR="00184818" w:rsidRDefault="00184818" w:rsidP="00355959">
            <w:pPr>
              <w:spacing w:before="60"/>
              <w:rPr>
                <w:b/>
                <w:sz w:val="24"/>
              </w:rPr>
            </w:pPr>
            <w:r w:rsidRPr="00BE6C6D">
              <w:rPr>
                <w:sz w:val="20"/>
              </w:rPr>
              <w:t>Objective</w:t>
            </w:r>
          </w:p>
        </w:tc>
        <w:tc>
          <w:tcPr>
            <w:tcW w:w="1423" w:type="dxa"/>
          </w:tcPr>
          <w:p w14:paraId="0DBED2BD" w14:textId="77777777" w:rsidR="00184818" w:rsidRDefault="00184818" w:rsidP="00355959">
            <w:pPr>
              <w:spacing w:before="60"/>
              <w:jc w:val="center"/>
              <w:rPr>
                <w:b/>
                <w:sz w:val="24"/>
              </w:rPr>
            </w:pPr>
            <w:r w:rsidRPr="00BE6C6D">
              <w:rPr>
                <w:sz w:val="20"/>
              </w:rPr>
              <w:t>A$ million</w:t>
            </w:r>
          </w:p>
        </w:tc>
        <w:tc>
          <w:tcPr>
            <w:tcW w:w="1842" w:type="dxa"/>
          </w:tcPr>
          <w:p w14:paraId="6CA757B4" w14:textId="77777777" w:rsidR="00184818" w:rsidRDefault="00DE6D49" w:rsidP="00DE6D49">
            <w:pPr>
              <w:spacing w:before="60"/>
              <w:ind w:right="-546"/>
              <w:rPr>
                <w:b/>
                <w:sz w:val="24"/>
              </w:rPr>
            </w:pPr>
            <w:r>
              <w:rPr>
                <w:sz w:val="20"/>
              </w:rPr>
              <w:t xml:space="preserve">     </w:t>
            </w:r>
            <w:r w:rsidR="00184818" w:rsidRPr="00BE6C6D">
              <w:rPr>
                <w:sz w:val="20"/>
              </w:rPr>
              <w:t>% of total ODA</w:t>
            </w:r>
          </w:p>
        </w:tc>
      </w:tr>
      <w:tr w:rsidR="00184818" w14:paraId="2FCFF90D" w14:textId="77777777" w:rsidTr="003E2BE7">
        <w:tc>
          <w:tcPr>
            <w:tcW w:w="6374" w:type="dxa"/>
          </w:tcPr>
          <w:p w14:paraId="26411663" w14:textId="77777777" w:rsidR="00184818" w:rsidRDefault="00DE6D49" w:rsidP="00355959">
            <w:pPr>
              <w:spacing w:before="60"/>
              <w:rPr>
                <w:b/>
                <w:sz w:val="24"/>
              </w:rPr>
            </w:pPr>
            <w:r w:rsidRPr="00DE6D49">
              <w:rPr>
                <w:sz w:val="20"/>
              </w:rPr>
              <w:t>Promoting Effective Governance</w:t>
            </w:r>
          </w:p>
        </w:tc>
        <w:tc>
          <w:tcPr>
            <w:tcW w:w="1423" w:type="dxa"/>
          </w:tcPr>
          <w:p w14:paraId="2A04A8B6" w14:textId="278B6579" w:rsidR="00184818" w:rsidRDefault="00FC05C4" w:rsidP="00884C8C">
            <w:pPr>
              <w:spacing w:before="60"/>
              <w:jc w:val="center"/>
              <w:rPr>
                <w:b/>
                <w:sz w:val="24"/>
              </w:rPr>
            </w:pPr>
            <w:r>
              <w:rPr>
                <w:b/>
                <w:sz w:val="24"/>
              </w:rPr>
              <w:t>$156.6</w:t>
            </w:r>
          </w:p>
        </w:tc>
        <w:tc>
          <w:tcPr>
            <w:tcW w:w="1842" w:type="dxa"/>
          </w:tcPr>
          <w:p w14:paraId="0FC9124E" w14:textId="6D563E49" w:rsidR="00184818" w:rsidRDefault="00C25196" w:rsidP="00884C8C">
            <w:pPr>
              <w:spacing w:before="60"/>
              <w:jc w:val="center"/>
              <w:rPr>
                <w:b/>
                <w:sz w:val="24"/>
              </w:rPr>
            </w:pPr>
            <w:r>
              <w:rPr>
                <w:b/>
                <w:sz w:val="24"/>
              </w:rPr>
              <w:t>27%</w:t>
            </w:r>
          </w:p>
        </w:tc>
      </w:tr>
      <w:tr w:rsidR="00184818" w14:paraId="56025702" w14:textId="77777777" w:rsidTr="003E2BE7">
        <w:tc>
          <w:tcPr>
            <w:tcW w:w="6374" w:type="dxa"/>
          </w:tcPr>
          <w:p w14:paraId="589242D6" w14:textId="77777777" w:rsidR="00184818" w:rsidRDefault="00DE6D49" w:rsidP="00355959">
            <w:pPr>
              <w:spacing w:before="60"/>
              <w:rPr>
                <w:b/>
                <w:sz w:val="24"/>
              </w:rPr>
            </w:pPr>
            <w:r w:rsidRPr="00DE6D49">
              <w:rPr>
                <w:sz w:val="20"/>
              </w:rPr>
              <w:t>Enabling Economic Growth</w:t>
            </w:r>
          </w:p>
        </w:tc>
        <w:tc>
          <w:tcPr>
            <w:tcW w:w="1423" w:type="dxa"/>
          </w:tcPr>
          <w:p w14:paraId="7E1AE0C8" w14:textId="25C9D2D6" w:rsidR="00184818" w:rsidRDefault="00FC05C4" w:rsidP="00884C8C">
            <w:pPr>
              <w:spacing w:before="60"/>
              <w:jc w:val="center"/>
              <w:rPr>
                <w:b/>
                <w:sz w:val="24"/>
              </w:rPr>
            </w:pPr>
            <w:r>
              <w:rPr>
                <w:b/>
                <w:sz w:val="24"/>
              </w:rPr>
              <w:t>$152.4</w:t>
            </w:r>
          </w:p>
        </w:tc>
        <w:tc>
          <w:tcPr>
            <w:tcW w:w="1842" w:type="dxa"/>
          </w:tcPr>
          <w:p w14:paraId="682E5F13" w14:textId="71F5C61A" w:rsidR="00184818" w:rsidRDefault="00C25196" w:rsidP="00884C8C">
            <w:pPr>
              <w:spacing w:before="60"/>
              <w:jc w:val="center"/>
              <w:rPr>
                <w:b/>
                <w:sz w:val="24"/>
              </w:rPr>
            </w:pPr>
            <w:r>
              <w:rPr>
                <w:b/>
                <w:sz w:val="24"/>
              </w:rPr>
              <w:t>26%</w:t>
            </w:r>
          </w:p>
        </w:tc>
      </w:tr>
      <w:tr w:rsidR="00184818" w14:paraId="217728A7" w14:textId="77777777" w:rsidTr="003E2BE7">
        <w:tc>
          <w:tcPr>
            <w:tcW w:w="6374" w:type="dxa"/>
          </w:tcPr>
          <w:p w14:paraId="32D0D247" w14:textId="77777777" w:rsidR="00184818" w:rsidRDefault="00DE6D49" w:rsidP="00355959">
            <w:pPr>
              <w:spacing w:before="60"/>
              <w:rPr>
                <w:b/>
                <w:sz w:val="24"/>
              </w:rPr>
            </w:pPr>
            <w:r w:rsidRPr="00DE6D49">
              <w:rPr>
                <w:sz w:val="20"/>
              </w:rPr>
              <w:t>Enhancing Human Development</w:t>
            </w:r>
          </w:p>
        </w:tc>
        <w:tc>
          <w:tcPr>
            <w:tcW w:w="1423" w:type="dxa"/>
          </w:tcPr>
          <w:p w14:paraId="101FAC83" w14:textId="09FE5B23" w:rsidR="00184818" w:rsidRDefault="00FC05C4" w:rsidP="00884C8C">
            <w:pPr>
              <w:spacing w:before="60"/>
              <w:jc w:val="center"/>
              <w:rPr>
                <w:b/>
                <w:sz w:val="24"/>
              </w:rPr>
            </w:pPr>
            <w:r>
              <w:rPr>
                <w:b/>
                <w:sz w:val="24"/>
              </w:rPr>
              <w:t>$188.5</w:t>
            </w:r>
          </w:p>
        </w:tc>
        <w:tc>
          <w:tcPr>
            <w:tcW w:w="1842" w:type="dxa"/>
          </w:tcPr>
          <w:p w14:paraId="2A29D257" w14:textId="7D961039" w:rsidR="00184818" w:rsidRDefault="00C25196" w:rsidP="00884C8C">
            <w:pPr>
              <w:spacing w:before="60"/>
              <w:jc w:val="center"/>
              <w:rPr>
                <w:b/>
                <w:sz w:val="24"/>
              </w:rPr>
            </w:pPr>
            <w:r>
              <w:rPr>
                <w:b/>
                <w:sz w:val="24"/>
              </w:rPr>
              <w:t>33%</w:t>
            </w:r>
          </w:p>
        </w:tc>
      </w:tr>
      <w:tr w:rsidR="00DE6D49" w14:paraId="54F64F06" w14:textId="77777777" w:rsidTr="003E2BE7">
        <w:tc>
          <w:tcPr>
            <w:tcW w:w="6374" w:type="dxa"/>
          </w:tcPr>
          <w:p w14:paraId="735F485C" w14:textId="77777777" w:rsidR="00DE6D49" w:rsidRPr="00DE6D49" w:rsidRDefault="00DE6D49" w:rsidP="00355959">
            <w:pPr>
              <w:spacing w:before="60"/>
              <w:rPr>
                <w:sz w:val="20"/>
              </w:rPr>
            </w:pPr>
            <w:r>
              <w:rPr>
                <w:sz w:val="20"/>
              </w:rPr>
              <w:t>Other</w:t>
            </w:r>
          </w:p>
        </w:tc>
        <w:tc>
          <w:tcPr>
            <w:tcW w:w="1423" w:type="dxa"/>
          </w:tcPr>
          <w:p w14:paraId="2967EC62" w14:textId="6256C195" w:rsidR="00DE6D49" w:rsidRDefault="00FC05C4" w:rsidP="00884C8C">
            <w:pPr>
              <w:spacing w:before="60"/>
              <w:jc w:val="center"/>
              <w:rPr>
                <w:b/>
                <w:sz w:val="24"/>
              </w:rPr>
            </w:pPr>
            <w:r>
              <w:rPr>
                <w:b/>
                <w:sz w:val="24"/>
              </w:rPr>
              <w:t>$7.8</w:t>
            </w:r>
          </w:p>
        </w:tc>
        <w:tc>
          <w:tcPr>
            <w:tcW w:w="1842" w:type="dxa"/>
          </w:tcPr>
          <w:p w14:paraId="12E421ED" w14:textId="58F64FC8" w:rsidR="00DE6D49" w:rsidRDefault="00C25196" w:rsidP="00884C8C">
            <w:pPr>
              <w:spacing w:before="60"/>
              <w:jc w:val="center"/>
              <w:rPr>
                <w:b/>
                <w:sz w:val="24"/>
              </w:rPr>
            </w:pPr>
            <w:r>
              <w:rPr>
                <w:b/>
                <w:sz w:val="24"/>
              </w:rPr>
              <w:t>0.01%</w:t>
            </w:r>
          </w:p>
        </w:tc>
      </w:tr>
      <w:tr w:rsidR="00184818" w14:paraId="5425590A" w14:textId="77777777" w:rsidTr="003E2BE7">
        <w:tc>
          <w:tcPr>
            <w:tcW w:w="6374" w:type="dxa"/>
          </w:tcPr>
          <w:p w14:paraId="08426F6D" w14:textId="77777777" w:rsidR="00184818" w:rsidRDefault="00184818" w:rsidP="00355959">
            <w:pPr>
              <w:spacing w:before="60"/>
              <w:rPr>
                <w:b/>
                <w:sz w:val="24"/>
              </w:rPr>
            </w:pPr>
            <w:r w:rsidRPr="00BE6C6D">
              <w:rPr>
                <w:sz w:val="20"/>
              </w:rPr>
              <w:t>Sub-Total Bilateral</w:t>
            </w:r>
          </w:p>
        </w:tc>
        <w:tc>
          <w:tcPr>
            <w:tcW w:w="1423" w:type="dxa"/>
          </w:tcPr>
          <w:p w14:paraId="77B95EB1" w14:textId="721F0F08" w:rsidR="00184818" w:rsidRDefault="00FC05C4" w:rsidP="00884C8C">
            <w:pPr>
              <w:spacing w:before="60"/>
              <w:jc w:val="center"/>
              <w:rPr>
                <w:b/>
                <w:sz w:val="24"/>
              </w:rPr>
            </w:pPr>
            <w:r>
              <w:rPr>
                <w:b/>
                <w:sz w:val="24"/>
              </w:rPr>
              <w:t>$505.3</w:t>
            </w:r>
          </w:p>
        </w:tc>
        <w:tc>
          <w:tcPr>
            <w:tcW w:w="1842" w:type="dxa"/>
          </w:tcPr>
          <w:p w14:paraId="1D72B20D" w14:textId="07EF0760" w:rsidR="00184818" w:rsidRDefault="00C25196" w:rsidP="00884C8C">
            <w:pPr>
              <w:spacing w:before="60"/>
              <w:jc w:val="center"/>
              <w:rPr>
                <w:b/>
                <w:sz w:val="24"/>
              </w:rPr>
            </w:pPr>
            <w:r>
              <w:rPr>
                <w:b/>
                <w:sz w:val="24"/>
              </w:rPr>
              <w:t>87%</w:t>
            </w:r>
          </w:p>
        </w:tc>
      </w:tr>
      <w:tr w:rsidR="00184818" w14:paraId="4C1292E0" w14:textId="77777777" w:rsidTr="003E2BE7">
        <w:tc>
          <w:tcPr>
            <w:tcW w:w="6374" w:type="dxa"/>
          </w:tcPr>
          <w:p w14:paraId="37D5B6F1" w14:textId="77777777" w:rsidR="00184818" w:rsidRDefault="00184818" w:rsidP="00355959">
            <w:pPr>
              <w:spacing w:before="60"/>
              <w:rPr>
                <w:b/>
                <w:sz w:val="24"/>
              </w:rPr>
            </w:pPr>
            <w:r w:rsidRPr="00BE6C6D">
              <w:rPr>
                <w:sz w:val="20"/>
              </w:rPr>
              <w:t>Regional and Global</w:t>
            </w:r>
          </w:p>
        </w:tc>
        <w:tc>
          <w:tcPr>
            <w:tcW w:w="1423" w:type="dxa"/>
          </w:tcPr>
          <w:p w14:paraId="1CD7FB04" w14:textId="33D50481" w:rsidR="00FC05C4" w:rsidRDefault="00FC05C4" w:rsidP="00884C8C">
            <w:pPr>
              <w:spacing w:before="60"/>
              <w:jc w:val="center"/>
              <w:rPr>
                <w:b/>
                <w:sz w:val="24"/>
              </w:rPr>
            </w:pPr>
            <w:r>
              <w:rPr>
                <w:b/>
                <w:sz w:val="24"/>
              </w:rPr>
              <w:t>$45.2</w:t>
            </w:r>
          </w:p>
        </w:tc>
        <w:tc>
          <w:tcPr>
            <w:tcW w:w="1842" w:type="dxa"/>
          </w:tcPr>
          <w:p w14:paraId="24C59C86" w14:textId="19CE078B" w:rsidR="00184818" w:rsidRDefault="00C25196" w:rsidP="00884C8C">
            <w:pPr>
              <w:spacing w:before="60"/>
              <w:jc w:val="center"/>
              <w:rPr>
                <w:b/>
                <w:sz w:val="24"/>
              </w:rPr>
            </w:pPr>
            <w:r>
              <w:rPr>
                <w:b/>
                <w:sz w:val="24"/>
              </w:rPr>
              <w:t>8%</w:t>
            </w:r>
          </w:p>
        </w:tc>
      </w:tr>
      <w:tr w:rsidR="00184818" w14:paraId="1EBD0884" w14:textId="77777777" w:rsidTr="003E2BE7">
        <w:tc>
          <w:tcPr>
            <w:tcW w:w="6374" w:type="dxa"/>
          </w:tcPr>
          <w:p w14:paraId="7F997F2D" w14:textId="77777777" w:rsidR="00184818" w:rsidRDefault="00184818" w:rsidP="00355959">
            <w:pPr>
              <w:spacing w:before="60"/>
              <w:rPr>
                <w:b/>
                <w:sz w:val="24"/>
              </w:rPr>
            </w:pPr>
            <w:r w:rsidRPr="00BE6C6D">
              <w:rPr>
                <w:sz w:val="20"/>
              </w:rPr>
              <w:t>Other Government Departments</w:t>
            </w:r>
          </w:p>
        </w:tc>
        <w:tc>
          <w:tcPr>
            <w:tcW w:w="1423" w:type="dxa"/>
          </w:tcPr>
          <w:p w14:paraId="3EB0DF74" w14:textId="7E6DE54F" w:rsidR="00184818" w:rsidRDefault="00FC05C4" w:rsidP="00884C8C">
            <w:pPr>
              <w:spacing w:before="60"/>
              <w:jc w:val="center"/>
              <w:rPr>
                <w:b/>
                <w:sz w:val="24"/>
              </w:rPr>
            </w:pPr>
            <w:r>
              <w:rPr>
                <w:b/>
                <w:sz w:val="24"/>
              </w:rPr>
              <w:t>$27.5</w:t>
            </w:r>
          </w:p>
        </w:tc>
        <w:tc>
          <w:tcPr>
            <w:tcW w:w="1842" w:type="dxa"/>
          </w:tcPr>
          <w:p w14:paraId="22793398" w14:textId="248867E4" w:rsidR="00184818" w:rsidRDefault="00C25196" w:rsidP="00884C8C">
            <w:pPr>
              <w:spacing w:before="60"/>
              <w:jc w:val="center"/>
              <w:rPr>
                <w:b/>
                <w:sz w:val="24"/>
              </w:rPr>
            </w:pPr>
            <w:r>
              <w:rPr>
                <w:b/>
                <w:sz w:val="24"/>
              </w:rPr>
              <w:t>5%</w:t>
            </w:r>
          </w:p>
        </w:tc>
      </w:tr>
      <w:tr w:rsidR="00184818" w14:paraId="5EBDDDAC" w14:textId="77777777" w:rsidTr="003E2BE7">
        <w:tc>
          <w:tcPr>
            <w:tcW w:w="6374" w:type="dxa"/>
          </w:tcPr>
          <w:p w14:paraId="54FC6F91" w14:textId="77777777" w:rsidR="00184818" w:rsidRDefault="00184818" w:rsidP="00355959">
            <w:pPr>
              <w:spacing w:before="60"/>
              <w:rPr>
                <w:b/>
                <w:sz w:val="24"/>
              </w:rPr>
            </w:pPr>
            <w:r w:rsidRPr="00BE6C6D">
              <w:rPr>
                <w:sz w:val="20"/>
              </w:rPr>
              <w:t>Total ODA Expenditure</w:t>
            </w:r>
          </w:p>
        </w:tc>
        <w:tc>
          <w:tcPr>
            <w:tcW w:w="1423" w:type="dxa"/>
          </w:tcPr>
          <w:p w14:paraId="7350EFAE" w14:textId="0CD1918D" w:rsidR="00184818" w:rsidRDefault="00FC05C4" w:rsidP="00884C8C">
            <w:pPr>
              <w:spacing w:before="60"/>
              <w:jc w:val="center"/>
              <w:rPr>
                <w:b/>
                <w:sz w:val="24"/>
              </w:rPr>
            </w:pPr>
            <w:r>
              <w:rPr>
                <w:b/>
                <w:sz w:val="24"/>
              </w:rPr>
              <w:t>$578.0</w:t>
            </w:r>
            <w:r w:rsidR="000C20DD">
              <w:rPr>
                <w:b/>
                <w:sz w:val="24"/>
              </w:rPr>
              <w:t>m</w:t>
            </w:r>
          </w:p>
        </w:tc>
        <w:tc>
          <w:tcPr>
            <w:tcW w:w="1842" w:type="dxa"/>
          </w:tcPr>
          <w:p w14:paraId="0307D688" w14:textId="77777777" w:rsidR="00184818" w:rsidRDefault="000C20DD" w:rsidP="00884C8C">
            <w:pPr>
              <w:spacing w:before="60"/>
              <w:jc w:val="center"/>
              <w:rPr>
                <w:b/>
                <w:sz w:val="24"/>
              </w:rPr>
            </w:pPr>
            <w:r>
              <w:rPr>
                <w:b/>
                <w:sz w:val="24"/>
              </w:rPr>
              <w:t>100%</w:t>
            </w:r>
          </w:p>
        </w:tc>
      </w:tr>
    </w:tbl>
    <w:p w14:paraId="34EDE727" w14:textId="77777777" w:rsidR="00DA040F" w:rsidRPr="00DA040F" w:rsidRDefault="00DA040F" w:rsidP="00DA040F">
      <w:pPr>
        <w:rPr>
          <w:color w:val="auto"/>
          <w:sz w:val="18"/>
        </w:rPr>
      </w:pPr>
    </w:p>
    <w:p w14:paraId="25C9A194" w14:textId="77777777" w:rsidR="002A51CA" w:rsidRPr="002A51CA" w:rsidRDefault="002A51CA"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14:paraId="43487F82" w14:textId="77777777" w:rsidR="00AC549C" w:rsidRPr="00AC549C" w:rsidRDefault="00AC549C" w:rsidP="00AC549C">
      <w:pPr>
        <w:rPr>
          <w:color w:val="auto"/>
        </w:rPr>
      </w:pPr>
      <w:r w:rsidRPr="00AC549C">
        <w:rPr>
          <w:color w:val="auto"/>
        </w:rPr>
        <w:t xml:space="preserve">This APPR describes the performance of Australia’s aid program against the strategic objectives set out in the </w:t>
      </w:r>
      <w:r w:rsidRPr="00AC549C">
        <w:rPr>
          <w:i/>
          <w:color w:val="auto"/>
        </w:rPr>
        <w:t>Aid Investment Plan Papua New Guinea 2015-16 to 2018-19</w:t>
      </w:r>
      <w:r w:rsidRPr="00AC549C">
        <w:rPr>
          <w:color w:val="auto"/>
        </w:rPr>
        <w:t>. This report draws on a range of internal and external reporting, including Aid Quality Checks and partner performance reports.</w:t>
      </w:r>
    </w:p>
    <w:p w14:paraId="4F5088C6" w14:textId="07A0948A"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1D61EC">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1436"/>
        <w:gridCol w:w="1439"/>
      </w:tblGrid>
      <w:tr w:rsidR="00355959" w:rsidRPr="00812509" w14:paraId="2A10C6F0" w14:textId="77777777" w:rsidTr="003E2BE7">
        <w:trPr>
          <w:cnfStyle w:val="000000010000" w:firstRow="0" w:lastRow="0" w:firstColumn="0" w:lastColumn="0" w:oddVBand="0" w:evenVBand="0" w:oddHBand="0" w:evenHBand="1" w:firstRowFirstColumn="0" w:firstRowLastColumn="0" w:lastRowFirstColumn="0" w:lastRowLastColumn="0"/>
          <w:trHeight w:val="651"/>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9BF902" w14:textId="77777777"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7295A8EA" wp14:editId="7295A8EB">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C9CD6" w14:textId="77777777" w:rsidR="00355959" w:rsidRPr="00812509" w:rsidRDefault="00355959" w:rsidP="00D05246">
            <w:pPr>
              <w:pStyle w:val="TableTextColumnHeading"/>
            </w:pPr>
            <w:r w:rsidRPr="00812509">
              <w:t>Previous Rating</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09B926" w14:textId="77777777" w:rsidR="00355959" w:rsidRPr="00812509" w:rsidRDefault="00355959" w:rsidP="00D05246">
            <w:pPr>
              <w:pStyle w:val="TableTextColumnHeading"/>
            </w:pPr>
            <w:r w:rsidRPr="00812509">
              <w:t>Current Rating</w:t>
            </w:r>
          </w:p>
        </w:tc>
      </w:tr>
      <w:tr w:rsidR="00355959" w:rsidRPr="00812509" w14:paraId="416AA367" w14:textId="77777777" w:rsidTr="00F410BA">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ACC0C0" w14:textId="77777777" w:rsidR="00355959" w:rsidRPr="00812509" w:rsidRDefault="00AC549C" w:rsidP="00D05246">
            <w:pPr>
              <w:pStyle w:val="TableTextEntries"/>
              <w:rPr>
                <w:rFonts w:asciiTheme="minorHAnsi" w:hAnsiTheme="minorHAnsi"/>
              </w:rPr>
            </w:pPr>
            <w:r w:rsidRPr="00AC549C">
              <w:rPr>
                <w:rFonts w:asciiTheme="minorHAnsi" w:hAnsiTheme="minorHAnsi"/>
              </w:rPr>
              <w:t>Promoting Effective Governance</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8605"/>
            <w:noWrap/>
          </w:tcPr>
          <w:p w14:paraId="5E6B5E3D" w14:textId="196EF4BF" w:rsidR="00355959" w:rsidRPr="00812509" w:rsidRDefault="009A7C15"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8605"/>
            <w:noWrap/>
          </w:tcPr>
          <w:p w14:paraId="580B37DB" w14:textId="372BE5E4" w:rsidR="00355959" w:rsidRPr="00812509" w:rsidRDefault="00F410BA"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r w:rsidR="00355959" w:rsidRPr="00812509" w14:paraId="77F78B35" w14:textId="77777777" w:rsidTr="0011100C">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B6DE7" w14:textId="77777777" w:rsidR="00355959" w:rsidRPr="00812509" w:rsidRDefault="00AC549C" w:rsidP="00D05246">
            <w:pPr>
              <w:pStyle w:val="TableTextEntries"/>
              <w:rPr>
                <w:rFonts w:asciiTheme="minorHAnsi" w:hAnsiTheme="minorHAnsi"/>
              </w:rPr>
            </w:pPr>
            <w:r w:rsidRPr="00AC549C">
              <w:rPr>
                <w:rFonts w:asciiTheme="minorHAnsi" w:hAnsiTheme="minorHAnsi"/>
              </w:rPr>
              <w:t>Enabling Economic Growth</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5883F555" w14:textId="77777777" w:rsidR="00355959" w:rsidRPr="00812509" w:rsidRDefault="0011100C"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14:paraId="5967A37B" w14:textId="77777777"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355959" w:rsidRPr="00812509" w14:paraId="50054650" w14:textId="77777777" w:rsidTr="00F410BA">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A4752D" w14:textId="77777777" w:rsidR="00355959" w:rsidRPr="00812509" w:rsidRDefault="00AC549C" w:rsidP="00D05246">
            <w:pPr>
              <w:pStyle w:val="TableTextEntries"/>
              <w:rPr>
                <w:rFonts w:asciiTheme="minorHAnsi" w:hAnsiTheme="minorHAnsi"/>
              </w:rPr>
            </w:pPr>
            <w:r w:rsidRPr="00AC549C">
              <w:rPr>
                <w:rFonts w:asciiTheme="minorHAnsi" w:hAnsiTheme="minorHAnsi"/>
              </w:rPr>
              <w:t>Enhancing Human Development</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8605"/>
            <w:noWrap/>
          </w:tcPr>
          <w:p w14:paraId="3630222E" w14:textId="0601B216" w:rsidR="00355959" w:rsidRPr="00812509" w:rsidRDefault="009A7C15"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B8605"/>
            <w:noWrap/>
          </w:tcPr>
          <w:p w14:paraId="6F9C08AA" w14:textId="054958A4" w:rsidR="00355959" w:rsidRPr="00812509" w:rsidRDefault="00F410BA"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bl>
    <w:p w14:paraId="75673BE8" w14:textId="77777777"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14:paraId="1472331D" w14:textId="77777777"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7C1F8E83" w14:textId="77777777"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61AB3385" w14:textId="77777777"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7FE45FF0" w14:textId="77777777" w:rsidR="0011100C" w:rsidRDefault="0011100C">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14:paraId="7741663B" w14:textId="213C3939"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1</w:t>
      </w:r>
      <w:r>
        <w:rPr>
          <w:rFonts w:asciiTheme="majorHAnsi" w:eastAsiaTheme="majorEastAsia" w:hAnsiTheme="majorHAnsi" w:cstheme="majorBidi"/>
          <w:caps/>
          <w:sz w:val="32"/>
          <w:szCs w:val="32"/>
        </w:rPr>
        <w:t xml:space="preserve"> </w:t>
      </w:r>
      <w:r w:rsidR="0011100C" w:rsidRPr="00B87257">
        <w:rPr>
          <w:rFonts w:asciiTheme="majorHAnsi" w:eastAsiaTheme="majorEastAsia" w:hAnsiTheme="majorHAnsi" w:cstheme="majorBidi"/>
          <w:caps/>
          <w:sz w:val="32"/>
          <w:szCs w:val="32"/>
        </w:rPr>
        <w:t>Promoting effective governance</w:t>
      </w:r>
      <w:r w:rsidR="005325A1">
        <w:rPr>
          <w:rFonts w:asciiTheme="majorHAnsi" w:eastAsiaTheme="majorEastAsia" w:hAnsiTheme="majorHAnsi" w:cstheme="majorBidi"/>
          <w:caps/>
          <w:sz w:val="32"/>
          <w:szCs w:val="32"/>
        </w:rPr>
        <w:t xml:space="preserve"> </w:t>
      </w:r>
      <w:r w:rsidR="005325A1" w:rsidRPr="005325A1">
        <w:rPr>
          <w:rFonts w:asciiTheme="majorHAnsi" w:eastAsiaTheme="majorEastAsia" w:hAnsiTheme="majorHAnsi" w:cstheme="majorBidi"/>
          <w:caps/>
          <w:sz w:val="32"/>
          <w:szCs w:val="32"/>
        </w:rPr>
        <w:t>($156.6</w:t>
      </w:r>
      <w:r w:rsidR="005325A1">
        <w:rPr>
          <w:rFonts w:asciiTheme="majorHAnsi" w:eastAsiaTheme="majorEastAsia" w:hAnsiTheme="majorHAnsi" w:cstheme="majorBidi"/>
          <w:caps/>
          <w:sz w:val="32"/>
          <w:szCs w:val="32"/>
        </w:rPr>
        <w:t xml:space="preserve"> </w:t>
      </w:r>
      <w:r w:rsidR="005325A1" w:rsidRPr="003319B2">
        <w:rPr>
          <w:color w:val="auto"/>
          <w:sz w:val="32"/>
          <w:szCs w:val="32"/>
        </w:rPr>
        <w:t>million)</w:t>
      </w:r>
    </w:p>
    <w:p w14:paraId="22FBE2F1" w14:textId="77777777" w:rsidR="0011100C" w:rsidRDefault="0011100C" w:rsidP="0011100C">
      <w:pPr>
        <w:rPr>
          <w:highlight w:val="cyan"/>
        </w:rPr>
      </w:pPr>
      <w:r w:rsidRPr="002856AF">
        <w:rPr>
          <w:rFonts w:ascii="Calibri Light" w:hAnsi="Calibri Light"/>
          <w:caps/>
          <w:noProof/>
          <w:color w:val="44546A"/>
          <w:sz w:val="38"/>
          <w:szCs w:val="26"/>
          <w:highlight w:val="cyan"/>
          <w:lang w:val="en-AU" w:eastAsia="en-AU"/>
        </w:rPr>
        <w:drawing>
          <wp:anchor distT="0" distB="0" distL="114300" distR="114300" simplePos="0" relativeHeight="251691008" behindDoc="0" locked="0" layoutInCell="1" allowOverlap="1" wp14:anchorId="3FE9277E" wp14:editId="6E9CDD78">
            <wp:simplePos x="0" y="0"/>
            <wp:positionH relativeFrom="column">
              <wp:posOffset>1261110</wp:posOffset>
            </wp:positionH>
            <wp:positionV relativeFrom="paragraph">
              <wp:posOffset>13335</wp:posOffset>
            </wp:positionV>
            <wp:extent cx="609600" cy="609600"/>
            <wp:effectExtent l="0" t="0" r="0" b="0"/>
            <wp:wrapSquare wrapText="bothSides"/>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856AF">
        <w:rPr>
          <w:rFonts w:ascii="Calibri" w:eastAsia="Calibri" w:hAnsi="Calibri"/>
          <w:noProof/>
          <w:color w:val="44546A"/>
          <w:highlight w:val="cyan"/>
          <w:lang w:val="en-AU" w:eastAsia="en-AU"/>
        </w:rPr>
        <w:drawing>
          <wp:anchor distT="0" distB="0" distL="114300" distR="114300" simplePos="0" relativeHeight="251692032" behindDoc="0" locked="0" layoutInCell="1" allowOverlap="1" wp14:anchorId="12E9367D" wp14:editId="17DC107C">
            <wp:simplePos x="0" y="0"/>
            <wp:positionH relativeFrom="column">
              <wp:posOffset>1994535</wp:posOffset>
            </wp:positionH>
            <wp:positionV relativeFrom="paragraph">
              <wp:posOffset>13335</wp:posOffset>
            </wp:positionV>
            <wp:extent cx="609600" cy="609600"/>
            <wp:effectExtent l="0" t="0" r="0" b="0"/>
            <wp:wrapSquare wrapText="bothSides"/>
            <wp:docPr id="6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856AF">
        <w:rPr>
          <w:rFonts w:ascii="Calibri" w:eastAsia="Calibri" w:hAnsi="Calibri"/>
          <w:noProof/>
          <w:color w:val="44546A"/>
          <w:highlight w:val="cyan"/>
          <w:lang w:val="en-AU" w:eastAsia="en-AU"/>
        </w:rPr>
        <w:drawing>
          <wp:anchor distT="0" distB="0" distL="114300" distR="114300" simplePos="0" relativeHeight="251693056" behindDoc="0" locked="0" layoutInCell="1" allowOverlap="1" wp14:anchorId="70712BED" wp14:editId="40AF1CDB">
            <wp:simplePos x="0" y="0"/>
            <wp:positionH relativeFrom="column">
              <wp:posOffset>2708910</wp:posOffset>
            </wp:positionH>
            <wp:positionV relativeFrom="paragraph">
              <wp:posOffset>13335</wp:posOffset>
            </wp:positionV>
            <wp:extent cx="609600" cy="609600"/>
            <wp:effectExtent l="0" t="0" r="0" b="0"/>
            <wp:wrapSquare wrapText="bothSides"/>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856AF">
        <w:rPr>
          <w:rFonts w:ascii="Calibri" w:eastAsia="Calibri" w:hAnsi="Calibri"/>
          <w:noProof/>
          <w:color w:val="44546A"/>
          <w:highlight w:val="cyan"/>
          <w:lang w:val="en-AU" w:eastAsia="en-AU"/>
        </w:rPr>
        <w:drawing>
          <wp:anchor distT="0" distB="0" distL="114300" distR="114300" simplePos="0" relativeHeight="251694080" behindDoc="0" locked="0" layoutInCell="1" allowOverlap="1" wp14:anchorId="18F2DDD8" wp14:editId="38356A9B">
            <wp:simplePos x="0" y="0"/>
            <wp:positionH relativeFrom="column">
              <wp:posOffset>3404235</wp:posOffset>
            </wp:positionH>
            <wp:positionV relativeFrom="paragraph">
              <wp:posOffset>13335</wp:posOffset>
            </wp:positionV>
            <wp:extent cx="609600" cy="609600"/>
            <wp:effectExtent l="0" t="0" r="0" b="0"/>
            <wp:wrapSquare wrapText="bothSides"/>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856AF">
        <w:rPr>
          <w:rFonts w:ascii="Calibri" w:eastAsia="Calibri" w:hAnsi="Calibri"/>
          <w:noProof/>
          <w:color w:val="44546A"/>
          <w:highlight w:val="cyan"/>
          <w:lang w:val="en-AU" w:eastAsia="en-AU"/>
        </w:rPr>
        <w:drawing>
          <wp:anchor distT="0" distB="0" distL="114300" distR="114300" simplePos="0" relativeHeight="251695104" behindDoc="0" locked="0" layoutInCell="1" allowOverlap="1" wp14:anchorId="74478C8E" wp14:editId="77E81207">
            <wp:simplePos x="0" y="0"/>
            <wp:positionH relativeFrom="column">
              <wp:posOffset>4128135</wp:posOffset>
            </wp:positionH>
            <wp:positionV relativeFrom="paragraph">
              <wp:posOffset>13335</wp:posOffset>
            </wp:positionV>
            <wp:extent cx="609600" cy="609600"/>
            <wp:effectExtent l="0" t="0" r="0" b="0"/>
            <wp:wrapSquare wrapText="bothSides"/>
            <wp:docPr id="7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856AF">
        <w:rPr>
          <w:noProof/>
          <w:highlight w:val="cyan"/>
          <w:lang w:val="en-AU" w:eastAsia="en-AU"/>
        </w:rPr>
        <w:drawing>
          <wp:anchor distT="0" distB="0" distL="114300" distR="114300" simplePos="0" relativeHeight="251689984" behindDoc="0" locked="0" layoutInCell="1" allowOverlap="1" wp14:anchorId="1D088CDB" wp14:editId="6C108034">
            <wp:simplePos x="0" y="0"/>
            <wp:positionH relativeFrom="margin">
              <wp:align>left</wp:align>
            </wp:positionH>
            <wp:positionV relativeFrom="paragraph">
              <wp:posOffset>11430</wp:posOffset>
            </wp:positionV>
            <wp:extent cx="1133475" cy="723900"/>
            <wp:effectExtent l="0" t="0" r="9525"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anchor>
        </w:drawing>
      </w:r>
      <w:r w:rsidRPr="002856AF">
        <w:rPr>
          <w:noProof/>
          <w:highlight w:val="cyan"/>
          <w:lang w:val="en-AU" w:eastAsia="en-AU"/>
        </w:rPr>
        <w:drawing>
          <wp:inline distT="0" distB="0" distL="0" distR="0" wp14:anchorId="50133224" wp14:editId="0B77749C">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43DF49E" w14:textId="77777777" w:rsidR="0011100C" w:rsidRDefault="0011100C" w:rsidP="0011100C">
      <w:pPr>
        <w:rPr>
          <w:highlight w:val="cyan"/>
        </w:rPr>
      </w:pPr>
    </w:p>
    <w:p w14:paraId="5033ADCE" w14:textId="2549953F" w:rsidR="007D0EA8" w:rsidRPr="0011100C" w:rsidRDefault="007D0EA8" w:rsidP="007D0EA8">
      <w:pPr>
        <w:rPr>
          <w:color w:val="auto"/>
        </w:rPr>
      </w:pPr>
      <w:r w:rsidRPr="00D55468">
        <w:rPr>
          <w:color w:val="auto"/>
        </w:rPr>
        <w:t>This objective includes investments in decentralisation; public sector reform; electoral process; citizen participation; and law and justice.</w:t>
      </w:r>
      <w:r>
        <w:rPr>
          <w:color w:val="auto"/>
        </w:rPr>
        <w:t xml:space="preserve"> Additional governance investments in macroeconomic reform, public financial management and in public sector leadership are discussed in the </w:t>
      </w:r>
      <w:r w:rsidR="0016408F">
        <w:rPr>
          <w:color w:val="auto"/>
        </w:rPr>
        <w:t>subsequent</w:t>
      </w:r>
      <w:r>
        <w:rPr>
          <w:color w:val="auto"/>
        </w:rPr>
        <w:t xml:space="preserve"> sections.</w:t>
      </w:r>
      <w:r w:rsidR="00E111CC">
        <w:rPr>
          <w:color w:val="auto"/>
        </w:rPr>
        <w:t xml:space="preserve"> </w:t>
      </w:r>
      <w:r w:rsidRPr="0011100C">
        <w:rPr>
          <w:color w:val="auto"/>
        </w:rPr>
        <w:t xml:space="preserve">This objective is </w:t>
      </w:r>
      <w:r>
        <w:rPr>
          <w:color w:val="auto"/>
        </w:rPr>
        <w:t>rated ‘amber’, as p</w:t>
      </w:r>
      <w:r w:rsidRPr="003C1046">
        <w:rPr>
          <w:color w:val="auto"/>
        </w:rPr>
        <w:t>rogress is somewhat less than expected at this stage of implementation</w:t>
      </w:r>
      <w:r>
        <w:rPr>
          <w:color w:val="auto"/>
        </w:rPr>
        <w:t>. This can be attributed to delays implementing the World Bank Rural Service Delivery Project and subnational program support in selected districts and provinces.</w:t>
      </w:r>
      <w:r w:rsidR="00E111CC">
        <w:rPr>
          <w:color w:val="auto"/>
        </w:rPr>
        <w:t xml:space="preserve"> </w:t>
      </w:r>
      <w:r w:rsidRPr="003C1046">
        <w:rPr>
          <w:color w:val="auto"/>
        </w:rPr>
        <w:t>Close</w:t>
      </w:r>
      <w:r>
        <w:rPr>
          <w:color w:val="auto"/>
        </w:rPr>
        <w:t>r</w:t>
      </w:r>
      <w:r w:rsidRPr="003C1046">
        <w:rPr>
          <w:color w:val="auto"/>
        </w:rPr>
        <w:t xml:space="preserve"> performance monitoring </w:t>
      </w:r>
      <w:r>
        <w:rPr>
          <w:color w:val="auto"/>
        </w:rPr>
        <w:t xml:space="preserve">has been implemented in 2018-19 and key </w:t>
      </w:r>
      <w:r w:rsidRPr="0011100C">
        <w:rPr>
          <w:color w:val="auto"/>
        </w:rPr>
        <w:t>benchmarks</w:t>
      </w:r>
      <w:r>
        <w:rPr>
          <w:color w:val="auto"/>
        </w:rPr>
        <w:t xml:space="preserve"> have been set for</w:t>
      </w:r>
      <w:r w:rsidRPr="0011100C">
        <w:rPr>
          <w:color w:val="auto"/>
        </w:rPr>
        <w:t xml:space="preserve"> </w:t>
      </w:r>
      <w:r>
        <w:rPr>
          <w:color w:val="auto"/>
        </w:rPr>
        <w:t>all investments.</w:t>
      </w:r>
      <w:r w:rsidR="00E111CC">
        <w:rPr>
          <w:color w:val="auto"/>
        </w:rPr>
        <w:t xml:space="preserve"> </w:t>
      </w:r>
    </w:p>
    <w:p w14:paraId="699FA54E" w14:textId="565BBE8A" w:rsidR="007D0EA8" w:rsidRDefault="007D0EA8" w:rsidP="007D0EA8">
      <w:pPr>
        <w:spacing w:line="240" w:lineRule="auto"/>
        <w:rPr>
          <w:color w:val="auto"/>
        </w:rPr>
      </w:pPr>
      <w:r w:rsidRPr="0011100C">
        <w:rPr>
          <w:color w:val="auto"/>
        </w:rPr>
        <w:t xml:space="preserve">Papua New Guinea continues to face a range of ongoing governance challenges, including complex subnational governance framework, accountability </w:t>
      </w:r>
      <w:r>
        <w:rPr>
          <w:color w:val="auto"/>
        </w:rPr>
        <w:t xml:space="preserve">and capacity </w:t>
      </w:r>
      <w:r w:rsidR="00B17F39">
        <w:rPr>
          <w:color w:val="auto"/>
        </w:rPr>
        <w:t xml:space="preserve">limitations </w:t>
      </w:r>
      <w:r>
        <w:rPr>
          <w:color w:val="auto"/>
        </w:rPr>
        <w:t>within the public service,</w:t>
      </w:r>
      <w:r w:rsidRPr="0011100C">
        <w:rPr>
          <w:color w:val="auto"/>
        </w:rPr>
        <w:t xml:space="preserve"> </w:t>
      </w:r>
      <w:r w:rsidR="00B17F39">
        <w:rPr>
          <w:color w:val="auto"/>
        </w:rPr>
        <w:t>low</w:t>
      </w:r>
      <w:r w:rsidRPr="0011100C">
        <w:rPr>
          <w:color w:val="auto"/>
        </w:rPr>
        <w:t xml:space="preserve"> service delivery outcomes, </w:t>
      </w:r>
      <w:r>
        <w:rPr>
          <w:color w:val="auto"/>
        </w:rPr>
        <w:t xml:space="preserve">deteriorating rule of law </w:t>
      </w:r>
      <w:r w:rsidRPr="0011100C">
        <w:rPr>
          <w:color w:val="auto"/>
        </w:rPr>
        <w:t xml:space="preserve">and </w:t>
      </w:r>
      <w:r>
        <w:rPr>
          <w:color w:val="auto"/>
        </w:rPr>
        <w:t>corruption</w:t>
      </w:r>
      <w:r w:rsidRPr="0011100C">
        <w:rPr>
          <w:color w:val="auto"/>
        </w:rPr>
        <w:t xml:space="preserve">. </w:t>
      </w:r>
      <w:r>
        <w:rPr>
          <w:color w:val="auto"/>
        </w:rPr>
        <w:t xml:space="preserve">While the challenges are profound they are, with the </w:t>
      </w:r>
      <w:r w:rsidR="00B17F39">
        <w:rPr>
          <w:color w:val="auto"/>
        </w:rPr>
        <w:t xml:space="preserve">possible </w:t>
      </w:r>
      <w:r>
        <w:rPr>
          <w:color w:val="auto"/>
        </w:rPr>
        <w:t>exception of law and order, on par with comparable countries at similar levels of development.</w:t>
      </w:r>
      <w:r w:rsidR="00E111CC">
        <w:rPr>
          <w:color w:val="auto"/>
        </w:rPr>
        <w:t xml:space="preserve"> </w:t>
      </w:r>
    </w:p>
    <w:p w14:paraId="2C9589A3" w14:textId="2D6B9C40" w:rsidR="007D0EA8" w:rsidRDefault="007D0EA8" w:rsidP="007D0EA8">
      <w:pPr>
        <w:spacing w:line="240" w:lineRule="auto"/>
        <w:rPr>
          <w:color w:val="auto"/>
        </w:rPr>
      </w:pPr>
      <w:r w:rsidRPr="0011100C">
        <w:rPr>
          <w:color w:val="auto"/>
        </w:rPr>
        <w:t xml:space="preserve">Under the </w:t>
      </w:r>
      <w:r w:rsidRPr="0011100C">
        <w:rPr>
          <w:b/>
          <w:color w:val="auto"/>
        </w:rPr>
        <w:t>Papua New Guinea-Australia Governance Partnership</w:t>
      </w:r>
      <w:r w:rsidRPr="0011100C">
        <w:rPr>
          <w:color w:val="auto"/>
        </w:rPr>
        <w:t xml:space="preserve">, governments have agreed to work together on mutual priorities, </w:t>
      </w:r>
      <w:r w:rsidR="00B17F39">
        <w:rPr>
          <w:color w:val="auto"/>
        </w:rPr>
        <w:t>to contribute to a safe, secure</w:t>
      </w:r>
      <w:r w:rsidRPr="0011100C">
        <w:rPr>
          <w:color w:val="auto"/>
        </w:rPr>
        <w:t xml:space="preserve"> and prosperous Papua New Guinea. Agreed priorities align with and respond to Papua New Guinea's Alotau Accord II, the Medium Term Development Plan</w:t>
      </w:r>
      <w:r>
        <w:rPr>
          <w:color w:val="auto"/>
        </w:rPr>
        <w:t xml:space="preserve"> III</w:t>
      </w:r>
      <w:r w:rsidRPr="0011100C">
        <w:rPr>
          <w:color w:val="auto"/>
        </w:rPr>
        <w:t xml:space="preserve">, and the economic and human development aspirations in Papua New Guinea's </w:t>
      </w:r>
      <w:r w:rsidRPr="00552F19">
        <w:rPr>
          <w:i/>
          <w:color w:val="auto"/>
        </w:rPr>
        <w:t>Vision 2050</w:t>
      </w:r>
      <w:r w:rsidRPr="0011100C">
        <w:rPr>
          <w:color w:val="auto"/>
        </w:rPr>
        <w:t xml:space="preserve"> and associated policies.</w:t>
      </w:r>
    </w:p>
    <w:p w14:paraId="7FCE060E" w14:textId="062058FB" w:rsidR="007D0EA8" w:rsidRDefault="007D0EA8" w:rsidP="007D0EA8">
      <w:pPr>
        <w:spacing w:line="240" w:lineRule="auto"/>
        <w:rPr>
          <w:color w:val="auto"/>
        </w:rPr>
      </w:pPr>
      <w:r>
        <w:rPr>
          <w:color w:val="auto"/>
        </w:rPr>
        <w:t xml:space="preserve">A </w:t>
      </w:r>
      <w:r w:rsidRPr="0011100C">
        <w:rPr>
          <w:color w:val="auto"/>
        </w:rPr>
        <w:t xml:space="preserve">Quality Technical Assurance Group (QTAG) carried out the first independent annual </w:t>
      </w:r>
      <w:r>
        <w:rPr>
          <w:color w:val="auto"/>
        </w:rPr>
        <w:t xml:space="preserve">performance </w:t>
      </w:r>
      <w:r w:rsidRPr="0011100C">
        <w:rPr>
          <w:color w:val="auto"/>
        </w:rPr>
        <w:t>review of the Partnership in 2018</w:t>
      </w:r>
      <w:r>
        <w:rPr>
          <w:color w:val="auto"/>
        </w:rPr>
        <w:t>.</w:t>
      </w:r>
      <w:r w:rsidR="00E111CC">
        <w:rPr>
          <w:color w:val="auto"/>
        </w:rPr>
        <w:t xml:space="preserve"> </w:t>
      </w:r>
      <w:r>
        <w:rPr>
          <w:color w:val="auto"/>
        </w:rPr>
        <w:t xml:space="preserve">The </w:t>
      </w:r>
      <w:r w:rsidRPr="0011100C">
        <w:rPr>
          <w:color w:val="auto"/>
        </w:rPr>
        <w:t>QTAG assess</w:t>
      </w:r>
      <w:r>
        <w:rPr>
          <w:color w:val="auto"/>
        </w:rPr>
        <w:t xml:space="preserve">ment found that </w:t>
      </w:r>
      <w:r w:rsidRPr="0011100C">
        <w:rPr>
          <w:color w:val="auto"/>
        </w:rPr>
        <w:t xml:space="preserve">Partnership </w:t>
      </w:r>
      <w:r w:rsidR="00B17F39">
        <w:rPr>
          <w:color w:val="auto"/>
        </w:rPr>
        <w:t xml:space="preserve">performance </w:t>
      </w:r>
      <w:r w:rsidRPr="0011100C">
        <w:rPr>
          <w:color w:val="auto"/>
        </w:rPr>
        <w:t xml:space="preserve">had improved following remediation actions </w:t>
      </w:r>
      <w:r>
        <w:rPr>
          <w:color w:val="auto"/>
        </w:rPr>
        <w:t xml:space="preserve">taken in 2017-18 </w:t>
      </w:r>
      <w:r w:rsidRPr="0011100C">
        <w:rPr>
          <w:color w:val="auto"/>
        </w:rPr>
        <w:t xml:space="preserve">and endorsed the </w:t>
      </w:r>
      <w:r>
        <w:rPr>
          <w:color w:val="auto"/>
        </w:rPr>
        <w:t xml:space="preserve">overarching </w:t>
      </w:r>
      <w:r w:rsidRPr="0011100C">
        <w:rPr>
          <w:color w:val="auto"/>
        </w:rPr>
        <w:t>facility approach. Progress implementing the key QTAG recommendations are on track.</w:t>
      </w:r>
    </w:p>
    <w:p w14:paraId="1DCB511B" w14:textId="77777777" w:rsidR="007D0EA8" w:rsidRDefault="007D0EA8" w:rsidP="007D0EA8">
      <w:pPr>
        <w:spacing w:line="240" w:lineRule="auto"/>
        <w:rPr>
          <w:color w:val="auto"/>
        </w:rPr>
      </w:pPr>
    </w:p>
    <w:p w14:paraId="1BF342C4" w14:textId="77777777" w:rsidR="007D0EA8" w:rsidRPr="006C1339" w:rsidRDefault="007D0EA8" w:rsidP="007D0EA8">
      <w:pPr>
        <w:keepNext/>
        <w:keepLines/>
        <w:spacing w:before="300" w:line="360" w:lineRule="atLeast"/>
        <w:contextualSpacing/>
        <w:outlineLvl w:val="2"/>
        <w:rPr>
          <w:rFonts w:asciiTheme="majorHAnsi" w:eastAsiaTheme="majorEastAsia" w:hAnsiTheme="majorHAnsi" w:cstheme="majorBidi"/>
          <w:bCs/>
          <w:color w:val="auto"/>
          <w:sz w:val="30"/>
        </w:rPr>
      </w:pPr>
      <w:r>
        <w:rPr>
          <w:rFonts w:asciiTheme="majorHAnsi" w:eastAsiaTheme="majorEastAsia" w:hAnsiTheme="majorHAnsi" w:cstheme="majorBidi"/>
          <w:bCs/>
          <w:color w:val="auto"/>
          <w:sz w:val="30"/>
        </w:rPr>
        <w:t xml:space="preserve">National </w:t>
      </w:r>
      <w:r w:rsidRPr="006C1339">
        <w:rPr>
          <w:rFonts w:asciiTheme="majorHAnsi" w:eastAsiaTheme="majorEastAsia" w:hAnsiTheme="majorHAnsi" w:cstheme="majorBidi"/>
          <w:bCs/>
          <w:color w:val="auto"/>
          <w:sz w:val="30"/>
        </w:rPr>
        <w:t xml:space="preserve">Governance </w:t>
      </w:r>
    </w:p>
    <w:p w14:paraId="5E551764" w14:textId="2F6C24A6" w:rsidR="007D0EA8" w:rsidRPr="0070687B" w:rsidRDefault="007D0EA8" w:rsidP="007D0EA8">
      <w:pPr>
        <w:rPr>
          <w:color w:val="auto"/>
        </w:rPr>
      </w:pPr>
      <w:r w:rsidRPr="0070687B">
        <w:rPr>
          <w:color w:val="auto"/>
        </w:rPr>
        <w:t>The Institutional Partnership Program (IPP) continues the long history of government-to-government linkages between Australia and Papua New Guinea</w:t>
      </w:r>
      <w:r>
        <w:rPr>
          <w:color w:val="auto"/>
        </w:rPr>
        <w:t xml:space="preserve">. </w:t>
      </w:r>
      <w:r w:rsidRPr="0070687B">
        <w:rPr>
          <w:color w:val="auto"/>
        </w:rPr>
        <w:t xml:space="preserve">IPP funds capacity development activities for the </w:t>
      </w:r>
      <w:r w:rsidRPr="0070687B">
        <w:rPr>
          <w:b/>
          <w:color w:val="auto"/>
        </w:rPr>
        <w:t>public sector</w:t>
      </w:r>
      <w:r w:rsidRPr="0070687B">
        <w:rPr>
          <w:color w:val="auto"/>
        </w:rPr>
        <w:t xml:space="preserve"> in Papua New Guinea</w:t>
      </w:r>
      <w:r w:rsidR="006F3F5D">
        <w:rPr>
          <w:color w:val="auto"/>
        </w:rPr>
        <w:t xml:space="preserve"> through</w:t>
      </w:r>
      <w:r w:rsidRPr="0070687B">
        <w:rPr>
          <w:color w:val="auto"/>
        </w:rPr>
        <w:t xml:space="preserve"> partners</w:t>
      </w:r>
      <w:r w:rsidR="00A16580">
        <w:rPr>
          <w:color w:val="auto"/>
        </w:rPr>
        <w:t>hips between 11</w:t>
      </w:r>
      <w:r w:rsidRPr="0070687B">
        <w:rPr>
          <w:color w:val="auto"/>
        </w:rPr>
        <w:t xml:space="preserve"> Australian Government Agencies (AGEs) and 20 Papua Ne</w:t>
      </w:r>
      <w:r w:rsidR="002B0982">
        <w:rPr>
          <w:color w:val="auto"/>
        </w:rPr>
        <w:t xml:space="preserve">w Guinean government agencies. </w:t>
      </w:r>
      <w:r w:rsidRPr="0070687B">
        <w:rPr>
          <w:color w:val="auto"/>
        </w:rPr>
        <w:t xml:space="preserve">The program </w:t>
      </w:r>
      <w:r w:rsidR="006F3F5D">
        <w:rPr>
          <w:color w:val="auto"/>
        </w:rPr>
        <w:t>has</w:t>
      </w:r>
      <w:r w:rsidRPr="0070687B">
        <w:rPr>
          <w:color w:val="auto"/>
        </w:rPr>
        <w:t xml:space="preserve"> the key pillars of law and justice; transport and infrastructure; public sector leadership, policy and corporate reform; and economic governance. Capacity development activities are aligned to partner agency needs for support </w:t>
      </w:r>
      <w:r>
        <w:rPr>
          <w:color w:val="auto"/>
        </w:rPr>
        <w:t>through the</w:t>
      </w:r>
      <w:r w:rsidRPr="0070687B">
        <w:rPr>
          <w:color w:val="auto"/>
        </w:rPr>
        <w:t xml:space="preserve"> exchange of technical skills, policy development, strategic advice, human resource development, public se</w:t>
      </w:r>
      <w:r>
        <w:rPr>
          <w:color w:val="auto"/>
        </w:rPr>
        <w:t>ctor leadership and management.</w:t>
      </w:r>
    </w:p>
    <w:p w14:paraId="016F4E65" w14:textId="2990FEDD" w:rsidR="007D0EA8" w:rsidRPr="0011100C" w:rsidRDefault="007D0EA8" w:rsidP="007D0EA8">
      <w:pPr>
        <w:rPr>
          <w:color w:val="auto"/>
        </w:rPr>
      </w:pPr>
      <w:r w:rsidRPr="0070687B">
        <w:rPr>
          <w:color w:val="auto"/>
        </w:rPr>
        <w:t xml:space="preserve">In </w:t>
      </w:r>
      <w:r>
        <w:rPr>
          <w:color w:val="auto"/>
        </w:rPr>
        <w:t>20</w:t>
      </w:r>
      <w:r w:rsidRPr="0070687B">
        <w:rPr>
          <w:color w:val="auto"/>
        </w:rPr>
        <w:t>18</w:t>
      </w:r>
      <w:r>
        <w:rPr>
          <w:color w:val="auto"/>
        </w:rPr>
        <w:t>-19</w:t>
      </w:r>
      <w:r w:rsidRPr="0070687B">
        <w:rPr>
          <w:color w:val="auto"/>
        </w:rPr>
        <w:t xml:space="preserve">, IPP </w:t>
      </w:r>
      <w:r>
        <w:rPr>
          <w:color w:val="auto"/>
        </w:rPr>
        <w:t xml:space="preserve">was </w:t>
      </w:r>
      <w:r w:rsidRPr="0070687B">
        <w:rPr>
          <w:color w:val="auto"/>
        </w:rPr>
        <w:t>reform</w:t>
      </w:r>
      <w:r>
        <w:rPr>
          <w:color w:val="auto"/>
        </w:rPr>
        <w:t xml:space="preserve">ed with an </w:t>
      </w:r>
      <w:r w:rsidRPr="0070687B">
        <w:rPr>
          <w:color w:val="auto"/>
        </w:rPr>
        <w:t xml:space="preserve">independent </w:t>
      </w:r>
      <w:r w:rsidR="0016408F">
        <w:rPr>
          <w:color w:val="auto"/>
        </w:rPr>
        <w:t>QTAG</w:t>
      </w:r>
      <w:r w:rsidR="00B0489C">
        <w:rPr>
          <w:color w:val="auto"/>
        </w:rPr>
        <w:t xml:space="preserve"> </w:t>
      </w:r>
      <w:r w:rsidRPr="0070687B">
        <w:rPr>
          <w:color w:val="auto"/>
        </w:rPr>
        <w:t>evaluation f</w:t>
      </w:r>
      <w:r>
        <w:rPr>
          <w:color w:val="auto"/>
        </w:rPr>
        <w:t xml:space="preserve">inding that </w:t>
      </w:r>
      <w:r w:rsidRPr="0070687B">
        <w:rPr>
          <w:color w:val="auto"/>
        </w:rPr>
        <w:t xml:space="preserve">implementation </w:t>
      </w:r>
      <w:r w:rsidR="00B17F39">
        <w:rPr>
          <w:color w:val="auto"/>
        </w:rPr>
        <w:t>is</w:t>
      </w:r>
      <w:r w:rsidRPr="0070687B">
        <w:rPr>
          <w:color w:val="auto"/>
        </w:rPr>
        <w:t xml:space="preserve"> on the right trajectory, with evidence of valuable achievements at the individual partnership level.</w:t>
      </w:r>
      <w:r>
        <w:rPr>
          <w:color w:val="auto"/>
        </w:rPr>
        <w:t xml:space="preserve"> IPP is still exclusively focused on facilitating linkages with Australian federal government agencies. </w:t>
      </w:r>
      <w:r w:rsidR="006F3F5D">
        <w:rPr>
          <w:color w:val="auto"/>
        </w:rPr>
        <w:t>In the future</w:t>
      </w:r>
      <w:r>
        <w:rPr>
          <w:color w:val="auto"/>
        </w:rPr>
        <w:t xml:space="preserve"> th</w:t>
      </w:r>
      <w:r w:rsidR="0016408F">
        <w:rPr>
          <w:color w:val="auto"/>
        </w:rPr>
        <w:t xml:space="preserve">ere is potential to explore </w:t>
      </w:r>
      <w:r>
        <w:rPr>
          <w:color w:val="auto"/>
        </w:rPr>
        <w:t>linkages with state government agencies, particularly Queensland</w:t>
      </w:r>
      <w:r w:rsidR="00C574EC">
        <w:rPr>
          <w:color w:val="auto"/>
        </w:rPr>
        <w:t>.</w:t>
      </w:r>
    </w:p>
    <w:p w14:paraId="261F1DDC" w14:textId="77777777" w:rsidR="007D0EA8" w:rsidRPr="0011100C" w:rsidRDefault="007D0EA8" w:rsidP="007D0EA8">
      <w:pPr>
        <w:pStyle w:val="Heading3Numbered"/>
        <w:numPr>
          <w:ilvl w:val="0"/>
          <w:numId w:val="0"/>
        </w:numPr>
        <w:rPr>
          <w:color w:val="auto"/>
        </w:rPr>
      </w:pPr>
      <w:r>
        <w:rPr>
          <w:color w:val="auto"/>
        </w:rPr>
        <w:t xml:space="preserve">Subnational Governance </w:t>
      </w:r>
    </w:p>
    <w:p w14:paraId="12C93800" w14:textId="7579DAA3" w:rsidR="007D0EA8" w:rsidRDefault="007D0EA8" w:rsidP="007D0EA8">
      <w:pPr>
        <w:spacing w:line="240" w:lineRule="auto"/>
        <w:rPr>
          <w:color w:val="auto"/>
        </w:rPr>
      </w:pPr>
      <w:r>
        <w:rPr>
          <w:color w:val="auto"/>
        </w:rPr>
        <w:t xml:space="preserve">Subnational governance is a highly contested space at the heart of the </w:t>
      </w:r>
      <w:r w:rsidR="000B6C89" w:rsidRPr="007F51C6">
        <w:rPr>
          <w:color w:val="auto"/>
        </w:rPr>
        <w:t>Papua New Guinea</w:t>
      </w:r>
      <w:r w:rsidR="000B6C89">
        <w:rPr>
          <w:color w:val="auto"/>
        </w:rPr>
        <w:t xml:space="preserve"> </w:t>
      </w:r>
      <w:r>
        <w:rPr>
          <w:color w:val="auto"/>
        </w:rPr>
        <w:t xml:space="preserve">political </w:t>
      </w:r>
      <w:r w:rsidR="0016408F">
        <w:rPr>
          <w:color w:val="auto"/>
        </w:rPr>
        <w:t>environment</w:t>
      </w:r>
      <w:r>
        <w:rPr>
          <w:color w:val="auto"/>
        </w:rPr>
        <w:t>.</w:t>
      </w:r>
      <w:r w:rsidR="00E111CC">
        <w:rPr>
          <w:color w:val="auto"/>
        </w:rPr>
        <w:t xml:space="preserve"> </w:t>
      </w:r>
      <w:r>
        <w:rPr>
          <w:color w:val="auto"/>
        </w:rPr>
        <w:t xml:space="preserve">It is characterised by </w:t>
      </w:r>
      <w:r w:rsidR="00B17F39">
        <w:rPr>
          <w:color w:val="auto"/>
        </w:rPr>
        <w:t>conflicting</w:t>
      </w:r>
      <w:r>
        <w:rPr>
          <w:color w:val="auto"/>
        </w:rPr>
        <w:t xml:space="preserve"> responsibilities between different levels of government, intense political competition for resources, </w:t>
      </w:r>
      <w:r w:rsidR="00B17F39">
        <w:rPr>
          <w:color w:val="auto"/>
        </w:rPr>
        <w:t>complex</w:t>
      </w:r>
      <w:r>
        <w:rPr>
          <w:color w:val="auto"/>
        </w:rPr>
        <w:t xml:space="preserve"> relations between districts and provinces</w:t>
      </w:r>
      <w:r w:rsidR="006F3F5D">
        <w:rPr>
          <w:color w:val="auto"/>
        </w:rPr>
        <w:t>,</w:t>
      </w:r>
      <w:r>
        <w:rPr>
          <w:color w:val="auto"/>
        </w:rPr>
        <w:t xml:space="preserve"> and pervasive service delivery underperformance to citizens.</w:t>
      </w:r>
      <w:r w:rsidR="00E111CC">
        <w:rPr>
          <w:color w:val="auto"/>
        </w:rPr>
        <w:t xml:space="preserve"> </w:t>
      </w:r>
      <w:r>
        <w:rPr>
          <w:color w:val="auto"/>
        </w:rPr>
        <w:t xml:space="preserve"> </w:t>
      </w:r>
    </w:p>
    <w:p w14:paraId="4C760405" w14:textId="178688B0" w:rsidR="007D0EA8" w:rsidRPr="001A095F" w:rsidRDefault="00B17F39" w:rsidP="007D0EA8">
      <w:pPr>
        <w:spacing w:line="240" w:lineRule="auto"/>
        <w:rPr>
          <w:color w:val="auto"/>
        </w:rPr>
      </w:pPr>
      <w:r>
        <w:rPr>
          <w:color w:val="auto"/>
        </w:rPr>
        <w:lastRenderedPageBreak/>
        <w:t>O</w:t>
      </w:r>
      <w:r w:rsidR="00A16580">
        <w:rPr>
          <w:color w:val="auto"/>
        </w:rPr>
        <w:t>ver 80 per cent</w:t>
      </w:r>
      <w:r w:rsidR="007D0EA8" w:rsidRPr="001A095F">
        <w:rPr>
          <w:color w:val="auto"/>
        </w:rPr>
        <w:t xml:space="preserve"> of </w:t>
      </w:r>
      <w:r w:rsidR="000B6C89" w:rsidRPr="007F51C6">
        <w:rPr>
          <w:color w:val="auto"/>
        </w:rPr>
        <w:t>Papua New Guinea</w:t>
      </w:r>
      <w:r w:rsidR="007D0EA8" w:rsidRPr="001A095F">
        <w:rPr>
          <w:color w:val="auto"/>
        </w:rPr>
        <w:t>’s population live</w:t>
      </w:r>
      <w:r>
        <w:rPr>
          <w:color w:val="auto"/>
        </w:rPr>
        <w:t>s</w:t>
      </w:r>
      <w:r w:rsidR="007D0EA8" w:rsidRPr="001A095F">
        <w:rPr>
          <w:color w:val="auto"/>
        </w:rPr>
        <w:t xml:space="preserve"> in rural areas. Corridors of investment and economic opportunity are increasingly evident. The country’s future prosperity will largely </w:t>
      </w:r>
      <w:r>
        <w:rPr>
          <w:color w:val="auto"/>
        </w:rPr>
        <w:t xml:space="preserve">be </w:t>
      </w:r>
      <w:r w:rsidR="007D0EA8" w:rsidRPr="001A095F">
        <w:rPr>
          <w:color w:val="auto"/>
        </w:rPr>
        <w:t xml:space="preserve">determined by how economic development progresses </w:t>
      </w:r>
      <w:r>
        <w:rPr>
          <w:color w:val="auto"/>
        </w:rPr>
        <w:t>outside Port Moresby</w:t>
      </w:r>
      <w:r w:rsidR="007D0EA8" w:rsidRPr="001A095F">
        <w:rPr>
          <w:color w:val="auto"/>
        </w:rPr>
        <w:t xml:space="preserve">. </w:t>
      </w:r>
    </w:p>
    <w:p w14:paraId="668515DC" w14:textId="2839F052" w:rsidR="007D0EA8" w:rsidRPr="0011100C" w:rsidRDefault="007D0EA8" w:rsidP="007D0EA8">
      <w:pPr>
        <w:spacing w:line="240" w:lineRule="auto"/>
        <w:rPr>
          <w:color w:val="auto"/>
        </w:rPr>
      </w:pPr>
      <w:r>
        <w:rPr>
          <w:color w:val="auto"/>
        </w:rPr>
        <w:t>Australia</w:t>
      </w:r>
      <w:r w:rsidR="006F3F5D">
        <w:rPr>
          <w:color w:val="auto"/>
        </w:rPr>
        <w:t xml:space="preserve">’s subnational governance program </w:t>
      </w:r>
      <w:r w:rsidR="000844BE">
        <w:rPr>
          <w:color w:val="auto"/>
        </w:rPr>
        <w:t>l</w:t>
      </w:r>
      <w:r w:rsidR="00060BFF">
        <w:rPr>
          <w:color w:val="auto"/>
        </w:rPr>
        <w:t xml:space="preserve">everages </w:t>
      </w:r>
      <w:r w:rsidRPr="001A095F">
        <w:rPr>
          <w:color w:val="auto"/>
        </w:rPr>
        <w:t>our political, defence, policing, immigration and development assets.</w:t>
      </w:r>
      <w:r w:rsidR="00E111CC">
        <w:rPr>
          <w:color w:val="auto"/>
        </w:rPr>
        <w:t xml:space="preserve"> </w:t>
      </w:r>
      <w:r>
        <w:rPr>
          <w:color w:val="auto"/>
        </w:rPr>
        <w:t xml:space="preserve">Central to this approach will be a greater focus on identifying and working with progressive reformers committed to the inclusive development of </w:t>
      </w:r>
      <w:r w:rsidR="000B6C89" w:rsidRPr="007F51C6">
        <w:rPr>
          <w:color w:val="auto"/>
        </w:rPr>
        <w:t>Papua New Guinea</w:t>
      </w:r>
      <w:r>
        <w:rPr>
          <w:color w:val="auto"/>
        </w:rPr>
        <w:t>.</w:t>
      </w:r>
      <w:r w:rsidR="00E111CC">
        <w:rPr>
          <w:color w:val="auto"/>
        </w:rPr>
        <w:t xml:space="preserve"> </w:t>
      </w:r>
      <w:r>
        <w:rPr>
          <w:color w:val="auto"/>
        </w:rPr>
        <w:t xml:space="preserve">A </w:t>
      </w:r>
      <w:r w:rsidR="000844BE">
        <w:rPr>
          <w:color w:val="auto"/>
        </w:rPr>
        <w:t xml:space="preserve">new </w:t>
      </w:r>
      <w:r>
        <w:rPr>
          <w:color w:val="auto"/>
        </w:rPr>
        <w:t>subnational strategy will be developed in the coming year to progress this objective.</w:t>
      </w:r>
      <w:r w:rsidR="00E111CC">
        <w:rPr>
          <w:color w:val="auto"/>
        </w:rPr>
        <w:t xml:space="preserve"> </w:t>
      </w:r>
    </w:p>
    <w:p w14:paraId="1AA47995" w14:textId="77777777" w:rsidR="007D0EA8" w:rsidRPr="0011100C" w:rsidRDefault="007D0EA8" w:rsidP="007D0EA8">
      <w:pPr>
        <w:spacing w:line="240" w:lineRule="auto"/>
        <w:rPr>
          <w:color w:val="auto"/>
        </w:rPr>
      </w:pPr>
      <w:r w:rsidRPr="0011100C">
        <w:rPr>
          <w:b/>
          <w:color w:val="auto"/>
        </w:rPr>
        <w:t>Decentralisation and Citizen Participation</w:t>
      </w:r>
      <w:r w:rsidRPr="0011100C">
        <w:rPr>
          <w:color w:val="auto"/>
        </w:rPr>
        <w:t xml:space="preserve"> (DCP) </w:t>
      </w:r>
      <w:r>
        <w:rPr>
          <w:color w:val="auto"/>
        </w:rPr>
        <w:t xml:space="preserve">programming </w:t>
      </w:r>
      <w:r w:rsidRPr="0011100C">
        <w:rPr>
          <w:color w:val="auto"/>
        </w:rPr>
        <w:t xml:space="preserve">is </w:t>
      </w:r>
      <w:r>
        <w:rPr>
          <w:color w:val="auto"/>
        </w:rPr>
        <w:t xml:space="preserve">working to </w:t>
      </w:r>
      <w:r w:rsidRPr="0011100C">
        <w:rPr>
          <w:color w:val="auto"/>
        </w:rPr>
        <w:t>strengthen subnational systems and institutions in support of the Government of Papua New Guinea's decentralisation agenda, which prioritises improved service delivery and economic opportunity in provinces and districts.</w:t>
      </w:r>
      <w:r>
        <w:rPr>
          <w:color w:val="auto"/>
        </w:rPr>
        <w:t xml:space="preserve"> </w:t>
      </w:r>
    </w:p>
    <w:p w14:paraId="32D908BF" w14:textId="5A5C5E3B" w:rsidR="007D0EA8" w:rsidRPr="0011100C" w:rsidRDefault="007D0EA8" w:rsidP="007D0EA8">
      <w:pPr>
        <w:spacing w:line="240" w:lineRule="auto"/>
        <w:rPr>
          <w:color w:val="auto"/>
        </w:rPr>
      </w:pPr>
      <w:r w:rsidRPr="0011100C">
        <w:rPr>
          <w:color w:val="auto"/>
        </w:rPr>
        <w:t>At the national level</w:t>
      </w:r>
      <w:r w:rsidR="0016408F">
        <w:rPr>
          <w:color w:val="auto"/>
        </w:rPr>
        <w:t>,</w:t>
      </w:r>
      <w:r w:rsidRPr="0011100C">
        <w:rPr>
          <w:color w:val="auto"/>
        </w:rPr>
        <w:t xml:space="preserve"> </w:t>
      </w:r>
      <w:r>
        <w:rPr>
          <w:color w:val="auto"/>
        </w:rPr>
        <w:t xml:space="preserve">DCP </w:t>
      </w:r>
      <w:r w:rsidRPr="0011100C">
        <w:rPr>
          <w:color w:val="auto"/>
        </w:rPr>
        <w:t xml:space="preserve">successfully </w:t>
      </w:r>
      <w:r w:rsidRPr="00B90F53">
        <w:rPr>
          <w:b/>
          <w:color w:val="auto"/>
        </w:rPr>
        <w:t>supported national policies</w:t>
      </w:r>
      <w:r w:rsidRPr="0011100C">
        <w:rPr>
          <w:color w:val="auto"/>
        </w:rPr>
        <w:t xml:space="preserve"> </w:t>
      </w:r>
      <w:r w:rsidRPr="000844BE">
        <w:rPr>
          <w:b/>
          <w:color w:val="auto"/>
        </w:rPr>
        <w:t>and systems</w:t>
      </w:r>
      <w:r w:rsidRPr="0011100C">
        <w:rPr>
          <w:color w:val="auto"/>
        </w:rPr>
        <w:t xml:space="preserve"> that </w:t>
      </w:r>
      <w:r>
        <w:rPr>
          <w:color w:val="auto"/>
        </w:rPr>
        <w:t>address</w:t>
      </w:r>
      <w:r w:rsidRPr="0011100C">
        <w:rPr>
          <w:color w:val="auto"/>
        </w:rPr>
        <w:t xml:space="preserve"> service delive</w:t>
      </w:r>
      <w:r w:rsidR="0016408F">
        <w:rPr>
          <w:color w:val="auto"/>
        </w:rPr>
        <w:t>ry and economic development. Australian</w:t>
      </w:r>
      <w:r w:rsidRPr="0011100C">
        <w:rPr>
          <w:color w:val="auto"/>
        </w:rPr>
        <w:t xml:space="preserve"> </w:t>
      </w:r>
      <w:r>
        <w:rPr>
          <w:color w:val="auto"/>
        </w:rPr>
        <w:t>technical assistance</w:t>
      </w:r>
      <w:r w:rsidRPr="0011100C">
        <w:rPr>
          <w:color w:val="auto"/>
        </w:rPr>
        <w:t xml:space="preserve"> to the Department of Provincial and Local Government Affairs (DPLGA) </w:t>
      </w:r>
      <w:r>
        <w:rPr>
          <w:color w:val="auto"/>
        </w:rPr>
        <w:t xml:space="preserve">supported </w:t>
      </w:r>
      <w:r w:rsidRPr="0011100C">
        <w:rPr>
          <w:color w:val="auto"/>
        </w:rPr>
        <w:t xml:space="preserve">a new decentralisation policy on performance-based power sharing between </w:t>
      </w:r>
      <w:r>
        <w:rPr>
          <w:color w:val="auto"/>
        </w:rPr>
        <w:t xml:space="preserve">the </w:t>
      </w:r>
      <w:r w:rsidRPr="0011100C">
        <w:rPr>
          <w:color w:val="auto"/>
        </w:rPr>
        <w:t xml:space="preserve">national and </w:t>
      </w:r>
      <w:r>
        <w:rPr>
          <w:color w:val="auto"/>
        </w:rPr>
        <w:t>provincial governments</w:t>
      </w:r>
      <w:r w:rsidRPr="0011100C">
        <w:rPr>
          <w:color w:val="auto"/>
        </w:rPr>
        <w:t xml:space="preserve">. DPLGA was subsequently allocated PGK50m in the 2019 Papua New Guinea Budget to implement a new </w:t>
      </w:r>
      <w:r w:rsidRPr="00096426">
        <w:rPr>
          <w:color w:val="auto"/>
        </w:rPr>
        <w:t>District Town Improvement program</w:t>
      </w:r>
      <w:r>
        <w:rPr>
          <w:color w:val="auto"/>
        </w:rPr>
        <w:t xml:space="preserve"> that was designed with Australian assistance</w:t>
      </w:r>
      <w:r w:rsidRPr="0011100C">
        <w:rPr>
          <w:color w:val="auto"/>
        </w:rPr>
        <w:t>.</w:t>
      </w:r>
      <w:r>
        <w:rPr>
          <w:color w:val="auto"/>
        </w:rPr>
        <w:t xml:space="preserve"> Concurrently, the </w:t>
      </w:r>
      <w:r w:rsidRPr="008E02F3">
        <w:rPr>
          <w:color w:val="auto"/>
        </w:rPr>
        <w:t>N</w:t>
      </w:r>
      <w:r>
        <w:rPr>
          <w:color w:val="auto"/>
        </w:rPr>
        <w:t xml:space="preserve">ational </w:t>
      </w:r>
      <w:r w:rsidRPr="008E02F3">
        <w:rPr>
          <w:color w:val="auto"/>
        </w:rPr>
        <w:t>E</w:t>
      </w:r>
      <w:r>
        <w:rPr>
          <w:color w:val="auto"/>
        </w:rPr>
        <w:t xml:space="preserve">conomic and </w:t>
      </w:r>
      <w:r w:rsidRPr="008E02F3">
        <w:rPr>
          <w:color w:val="auto"/>
        </w:rPr>
        <w:t>F</w:t>
      </w:r>
      <w:r>
        <w:rPr>
          <w:color w:val="auto"/>
        </w:rPr>
        <w:t xml:space="preserve">iscal </w:t>
      </w:r>
      <w:r w:rsidRPr="008E02F3">
        <w:rPr>
          <w:color w:val="auto"/>
        </w:rPr>
        <w:t>C</w:t>
      </w:r>
      <w:r>
        <w:rPr>
          <w:color w:val="auto"/>
        </w:rPr>
        <w:t xml:space="preserve">ommission (NEFC) was supported to undertake a </w:t>
      </w:r>
      <w:r w:rsidRPr="008E02F3">
        <w:rPr>
          <w:color w:val="auto"/>
        </w:rPr>
        <w:t xml:space="preserve">study on the functional and finance arrangements for a </w:t>
      </w:r>
      <w:r w:rsidR="000844BE">
        <w:rPr>
          <w:color w:val="auto"/>
        </w:rPr>
        <w:t>performance-</w:t>
      </w:r>
      <w:r>
        <w:rPr>
          <w:color w:val="auto"/>
        </w:rPr>
        <w:t>base</w:t>
      </w:r>
      <w:r w:rsidR="000844BE">
        <w:rPr>
          <w:color w:val="auto"/>
        </w:rPr>
        <w:t>d</w:t>
      </w:r>
      <w:r>
        <w:rPr>
          <w:color w:val="auto"/>
        </w:rPr>
        <w:t xml:space="preserve"> power sharing </w:t>
      </w:r>
      <w:r w:rsidRPr="008E02F3">
        <w:rPr>
          <w:color w:val="auto"/>
        </w:rPr>
        <w:t xml:space="preserve">system in East New Britain. </w:t>
      </w:r>
    </w:p>
    <w:p w14:paraId="4B314307" w14:textId="58383FE4" w:rsidR="007D0EA8" w:rsidRDefault="007D0EA8" w:rsidP="007D0EA8">
      <w:pPr>
        <w:spacing w:line="240" w:lineRule="auto"/>
        <w:rPr>
          <w:color w:val="auto"/>
        </w:rPr>
      </w:pPr>
      <w:r w:rsidRPr="0011100C">
        <w:rPr>
          <w:color w:val="auto"/>
        </w:rPr>
        <w:t xml:space="preserve">DCP </w:t>
      </w:r>
      <w:r>
        <w:rPr>
          <w:color w:val="auto"/>
        </w:rPr>
        <w:t xml:space="preserve">also </w:t>
      </w:r>
      <w:r w:rsidRPr="0011100C">
        <w:rPr>
          <w:color w:val="auto"/>
        </w:rPr>
        <w:t xml:space="preserve">supported the Department for Community Development and Religion to </w:t>
      </w:r>
      <w:r>
        <w:rPr>
          <w:color w:val="auto"/>
        </w:rPr>
        <w:t xml:space="preserve">revise </w:t>
      </w:r>
      <w:r w:rsidRPr="0011100C">
        <w:rPr>
          <w:color w:val="auto"/>
        </w:rPr>
        <w:t>its Policy for Integrated Community Development</w:t>
      </w:r>
      <w:r>
        <w:rPr>
          <w:color w:val="auto"/>
        </w:rPr>
        <w:t>, a policy underpinning the delivery of social services sub-nationally.</w:t>
      </w:r>
      <w:r w:rsidR="00E111CC">
        <w:rPr>
          <w:color w:val="auto"/>
        </w:rPr>
        <w:t xml:space="preserve"> </w:t>
      </w:r>
      <w:r w:rsidRPr="0011100C">
        <w:rPr>
          <w:color w:val="auto"/>
        </w:rPr>
        <w:t xml:space="preserve">We </w:t>
      </w:r>
      <w:r>
        <w:rPr>
          <w:color w:val="auto"/>
        </w:rPr>
        <w:t>continue to support</w:t>
      </w:r>
      <w:r w:rsidRPr="0011100C">
        <w:rPr>
          <w:color w:val="auto"/>
        </w:rPr>
        <w:t xml:space="preserve"> consultations on the draft National Disability Authority Bill</w:t>
      </w:r>
      <w:r>
        <w:rPr>
          <w:color w:val="auto"/>
        </w:rPr>
        <w:t xml:space="preserve">, with expectation of passage of new legislation in the coming year. </w:t>
      </w:r>
    </w:p>
    <w:p w14:paraId="3BE553DC" w14:textId="5B051BDB" w:rsidR="007D0EA8" w:rsidRDefault="007D0EA8" w:rsidP="007D0EA8">
      <w:pPr>
        <w:spacing w:line="240" w:lineRule="auto"/>
        <w:rPr>
          <w:color w:val="auto"/>
        </w:rPr>
      </w:pPr>
      <w:r>
        <w:rPr>
          <w:color w:val="auto"/>
        </w:rPr>
        <w:t>In the next year, we will build off our existing relationships with the NEFC, Departments of Treasury and Finance (arti</w:t>
      </w:r>
      <w:r w:rsidR="0016408F">
        <w:rPr>
          <w:color w:val="auto"/>
        </w:rPr>
        <w:t>culated in Objective Two</w:t>
      </w:r>
      <w:r>
        <w:rPr>
          <w:color w:val="auto"/>
        </w:rPr>
        <w:t>) to expand our policy engagement related to subnational financial accountability and transparency.</w:t>
      </w:r>
      <w:r w:rsidR="00E111CC">
        <w:rPr>
          <w:color w:val="auto"/>
        </w:rPr>
        <w:t xml:space="preserve"> </w:t>
      </w:r>
    </w:p>
    <w:p w14:paraId="67CF0379" w14:textId="26EB765F" w:rsidR="007D0EA8" w:rsidRDefault="007D0EA8" w:rsidP="007D0EA8">
      <w:pPr>
        <w:spacing w:line="240" w:lineRule="auto"/>
        <w:rPr>
          <w:color w:val="auto"/>
        </w:rPr>
      </w:pPr>
      <w:r w:rsidRPr="0011100C">
        <w:rPr>
          <w:color w:val="auto"/>
        </w:rPr>
        <w:t xml:space="preserve">At the </w:t>
      </w:r>
      <w:r w:rsidR="0016408F">
        <w:rPr>
          <w:b/>
          <w:color w:val="auto"/>
        </w:rPr>
        <w:t>sub</w:t>
      </w:r>
      <w:r w:rsidRPr="0011100C">
        <w:rPr>
          <w:b/>
          <w:color w:val="auto"/>
        </w:rPr>
        <w:t>national</w:t>
      </w:r>
      <w:r w:rsidRPr="0011100C">
        <w:rPr>
          <w:color w:val="auto"/>
        </w:rPr>
        <w:t xml:space="preserve"> level DCP supports </w:t>
      </w:r>
      <w:r w:rsidR="0016408F">
        <w:rPr>
          <w:color w:val="auto"/>
        </w:rPr>
        <w:t>activities in five districts (Mul Baiyer-Lumusa, Nuku, Nawaeb, Talasea,</w:t>
      </w:r>
      <w:r w:rsidRPr="0011100C">
        <w:rPr>
          <w:color w:val="auto"/>
        </w:rPr>
        <w:t xml:space="preserve"> and Manus</w:t>
      </w:r>
      <w:r w:rsidR="0016408F">
        <w:rPr>
          <w:color w:val="auto"/>
        </w:rPr>
        <w:t>)</w:t>
      </w:r>
      <w:r w:rsidRPr="0011100C">
        <w:rPr>
          <w:color w:val="auto"/>
        </w:rPr>
        <w:t xml:space="preserve"> and </w:t>
      </w:r>
      <w:r>
        <w:rPr>
          <w:color w:val="auto"/>
        </w:rPr>
        <w:t>has</w:t>
      </w:r>
      <w:r w:rsidRPr="0011100C">
        <w:rPr>
          <w:color w:val="auto"/>
        </w:rPr>
        <w:t xml:space="preserve"> establish</w:t>
      </w:r>
      <w:r>
        <w:rPr>
          <w:color w:val="auto"/>
        </w:rPr>
        <w:t>ed</w:t>
      </w:r>
      <w:r w:rsidRPr="0011100C">
        <w:rPr>
          <w:color w:val="auto"/>
        </w:rPr>
        <w:t xml:space="preserve"> new provincial partnerships in Enga, East Sepik and Morobe.</w:t>
      </w:r>
      <w:r w:rsidR="00E111CC">
        <w:rPr>
          <w:color w:val="auto"/>
        </w:rPr>
        <w:t xml:space="preserve"> </w:t>
      </w:r>
      <w:r>
        <w:rPr>
          <w:color w:val="auto"/>
        </w:rPr>
        <w:t xml:space="preserve">Our support is delivered through subnational </w:t>
      </w:r>
      <w:r w:rsidRPr="0024518B">
        <w:rPr>
          <w:color w:val="auto"/>
        </w:rPr>
        <w:t xml:space="preserve">advisers to </w:t>
      </w:r>
      <w:r w:rsidR="00A16580">
        <w:rPr>
          <w:color w:val="auto"/>
        </w:rPr>
        <w:t>improve</w:t>
      </w:r>
      <w:r w:rsidRPr="0024518B">
        <w:rPr>
          <w:color w:val="auto"/>
        </w:rPr>
        <w:t xml:space="preserve"> governance </w:t>
      </w:r>
      <w:r w:rsidR="00A16580">
        <w:rPr>
          <w:color w:val="auto"/>
        </w:rPr>
        <w:t xml:space="preserve">at the local level </w:t>
      </w:r>
      <w:r>
        <w:rPr>
          <w:color w:val="auto"/>
        </w:rPr>
        <w:t xml:space="preserve">using co-funded </w:t>
      </w:r>
      <w:r w:rsidRPr="0024518B">
        <w:rPr>
          <w:color w:val="auto"/>
        </w:rPr>
        <w:t>development project</w:t>
      </w:r>
      <w:r>
        <w:rPr>
          <w:color w:val="auto"/>
        </w:rPr>
        <w:t>s as an incentive for reform.</w:t>
      </w:r>
      <w:r w:rsidR="00E111CC">
        <w:rPr>
          <w:color w:val="auto"/>
        </w:rPr>
        <w:t xml:space="preserve"> </w:t>
      </w:r>
      <w:r>
        <w:rPr>
          <w:color w:val="auto"/>
        </w:rPr>
        <w:t>These local governance reform experiences influence the behaviour of other local government units and national policy and implementation.</w:t>
      </w:r>
      <w:r w:rsidR="00E111CC">
        <w:rPr>
          <w:color w:val="auto"/>
        </w:rPr>
        <w:t xml:space="preserve"> </w:t>
      </w:r>
    </w:p>
    <w:p w14:paraId="0BC53006" w14:textId="30EB5DD9" w:rsidR="007D0EA8" w:rsidRDefault="007D0EA8" w:rsidP="007D0EA8">
      <w:pPr>
        <w:spacing w:line="240" w:lineRule="auto"/>
        <w:rPr>
          <w:color w:val="auto"/>
        </w:rPr>
      </w:pPr>
      <w:r w:rsidRPr="0011100C">
        <w:rPr>
          <w:color w:val="auto"/>
        </w:rPr>
        <w:t>In 2018-19, the program supported the establishment of a Women's Resource Centre in Nuku, bringing local political, administration and community leaders together through dialogue, facilitation, trai</w:t>
      </w:r>
      <w:r w:rsidR="0016408F">
        <w:rPr>
          <w:color w:val="auto"/>
        </w:rPr>
        <w:t>ning</w:t>
      </w:r>
      <w:r w:rsidRPr="0011100C">
        <w:rPr>
          <w:color w:val="auto"/>
        </w:rPr>
        <w:t xml:space="preserve"> and equipment to enhance local governance and development, </w:t>
      </w:r>
      <w:r>
        <w:rPr>
          <w:color w:val="auto"/>
        </w:rPr>
        <w:t>along with</w:t>
      </w:r>
      <w:r w:rsidRPr="0011100C">
        <w:rPr>
          <w:color w:val="auto"/>
        </w:rPr>
        <w:t xml:space="preserve"> the empowerment of women.</w:t>
      </w:r>
      <w:r w:rsidR="00E111CC">
        <w:rPr>
          <w:color w:val="auto"/>
        </w:rPr>
        <w:t xml:space="preserve"> </w:t>
      </w:r>
      <w:r>
        <w:rPr>
          <w:color w:val="auto"/>
        </w:rPr>
        <w:t>This project has built a model demonstrating a sustainable approach to engaging women in governance processes tha</w:t>
      </w:r>
      <w:r w:rsidR="00A16580">
        <w:rPr>
          <w:color w:val="auto"/>
        </w:rPr>
        <w:t>t will inform similar efforts for</w:t>
      </w:r>
      <w:r>
        <w:rPr>
          <w:color w:val="auto"/>
        </w:rPr>
        <w:t xml:space="preserve"> other local government units and the national level District Town Improvement program.</w:t>
      </w:r>
      <w:r w:rsidR="00E111CC">
        <w:rPr>
          <w:color w:val="auto"/>
        </w:rPr>
        <w:t xml:space="preserve"> </w:t>
      </w:r>
      <w:r>
        <w:rPr>
          <w:color w:val="auto"/>
        </w:rPr>
        <w:t xml:space="preserve"> </w:t>
      </w:r>
    </w:p>
    <w:p w14:paraId="26CFFB59" w14:textId="7B1AD2E2" w:rsidR="007D0EA8" w:rsidRDefault="007D0EA8" w:rsidP="007D0EA8">
      <w:pPr>
        <w:spacing w:line="240" w:lineRule="auto"/>
        <w:rPr>
          <w:color w:val="auto"/>
        </w:rPr>
      </w:pPr>
      <w:r>
        <w:rPr>
          <w:color w:val="auto"/>
        </w:rPr>
        <w:t xml:space="preserve">A number of subnational projects are behind schedule due to delays receiving approval from Government of </w:t>
      </w:r>
      <w:r w:rsidR="000B6C89" w:rsidRPr="007F51C6">
        <w:rPr>
          <w:color w:val="auto"/>
        </w:rPr>
        <w:t>Papua New Guinea</w:t>
      </w:r>
      <w:r w:rsidR="000B6C89">
        <w:rPr>
          <w:color w:val="auto"/>
        </w:rPr>
        <w:t xml:space="preserve"> </w:t>
      </w:r>
      <w:r>
        <w:rPr>
          <w:color w:val="auto"/>
        </w:rPr>
        <w:t>counterparts and challenges delivering infrastructure projects in remote areas.</w:t>
      </w:r>
      <w:r w:rsidR="00E111CC">
        <w:rPr>
          <w:color w:val="auto"/>
        </w:rPr>
        <w:t xml:space="preserve"> </w:t>
      </w:r>
      <w:r>
        <w:rPr>
          <w:color w:val="auto"/>
        </w:rPr>
        <w:t>Enhanced project management capabilities and streamlined approval processes have been instituted for the coming year.</w:t>
      </w:r>
      <w:r w:rsidR="00E111CC">
        <w:rPr>
          <w:color w:val="auto"/>
        </w:rPr>
        <w:t xml:space="preserve"> </w:t>
      </w:r>
    </w:p>
    <w:p w14:paraId="13EA3C68" w14:textId="126C2165" w:rsidR="007D0EA8" w:rsidRDefault="007D0EA8" w:rsidP="007D0EA8">
      <w:pPr>
        <w:rPr>
          <w:color w:val="auto"/>
        </w:rPr>
      </w:pPr>
      <w:r w:rsidRPr="00096426">
        <w:rPr>
          <w:color w:val="auto"/>
        </w:rPr>
        <w:t>The World Bank implemented and Australian co</w:t>
      </w:r>
      <w:r>
        <w:rPr>
          <w:color w:val="auto"/>
        </w:rPr>
        <w:t>-</w:t>
      </w:r>
      <w:r w:rsidRPr="00096426">
        <w:rPr>
          <w:color w:val="auto"/>
        </w:rPr>
        <w:t>funded</w:t>
      </w:r>
      <w:r>
        <w:rPr>
          <w:b/>
          <w:color w:val="auto"/>
        </w:rPr>
        <w:t xml:space="preserve"> </w:t>
      </w:r>
      <w:r w:rsidR="0016408F" w:rsidRPr="0016408F">
        <w:rPr>
          <w:color w:val="auto"/>
        </w:rPr>
        <w:t xml:space="preserve">the </w:t>
      </w:r>
      <w:r w:rsidRPr="00096426">
        <w:rPr>
          <w:b/>
          <w:color w:val="auto"/>
        </w:rPr>
        <w:t>Rural Service Delivery Project</w:t>
      </w:r>
      <w:r w:rsidRPr="00D6722F">
        <w:rPr>
          <w:color w:val="auto"/>
        </w:rPr>
        <w:t xml:space="preserve"> </w:t>
      </w:r>
      <w:r>
        <w:rPr>
          <w:color w:val="auto"/>
        </w:rPr>
        <w:t xml:space="preserve">(RSDP) </w:t>
      </w:r>
      <w:r w:rsidR="0016408F">
        <w:rPr>
          <w:color w:val="auto"/>
        </w:rPr>
        <w:t xml:space="preserve">to </w:t>
      </w:r>
      <w:r w:rsidRPr="00D6722F">
        <w:rPr>
          <w:color w:val="auto"/>
        </w:rPr>
        <w:t xml:space="preserve">support communities by providing </w:t>
      </w:r>
      <w:r>
        <w:rPr>
          <w:color w:val="auto"/>
        </w:rPr>
        <w:t xml:space="preserve">small scale </w:t>
      </w:r>
      <w:r w:rsidRPr="00D6722F">
        <w:rPr>
          <w:color w:val="auto"/>
        </w:rPr>
        <w:t xml:space="preserve">development grants </w:t>
      </w:r>
      <w:r>
        <w:rPr>
          <w:color w:val="auto"/>
        </w:rPr>
        <w:t>to</w:t>
      </w:r>
      <w:r w:rsidRPr="00D6722F">
        <w:rPr>
          <w:color w:val="auto"/>
        </w:rPr>
        <w:t xml:space="preserve"> improv</w:t>
      </w:r>
      <w:r>
        <w:rPr>
          <w:color w:val="auto"/>
        </w:rPr>
        <w:t xml:space="preserve">e </w:t>
      </w:r>
      <w:r w:rsidRPr="00D6722F">
        <w:rPr>
          <w:color w:val="auto"/>
        </w:rPr>
        <w:t xml:space="preserve">essential rural services and infrastructure. This work includes upgrades to schools, health centres, community water and sanitation </w:t>
      </w:r>
      <w:r w:rsidR="00FD4C3F">
        <w:rPr>
          <w:color w:val="auto"/>
        </w:rPr>
        <w:br/>
      </w:r>
      <w:r w:rsidRPr="00D6722F">
        <w:rPr>
          <w:color w:val="auto"/>
        </w:rPr>
        <w:t>supplies, as well as improvements to access roads, footbridges, jetties and solar power systems.</w:t>
      </w:r>
      <w:r w:rsidR="00E111CC">
        <w:rPr>
          <w:color w:val="auto"/>
        </w:rPr>
        <w:t xml:space="preserve"> </w:t>
      </w:r>
      <w:r>
        <w:rPr>
          <w:color w:val="auto"/>
        </w:rPr>
        <w:t xml:space="preserve">RSDP implementation is off-track due to unanticipated operational requirements by Government of </w:t>
      </w:r>
      <w:r w:rsidR="00F17276" w:rsidRPr="007F51C6">
        <w:rPr>
          <w:color w:val="auto"/>
        </w:rPr>
        <w:t>Papua New Guinea</w:t>
      </w:r>
      <w:r w:rsidR="00F17276">
        <w:rPr>
          <w:color w:val="auto"/>
        </w:rPr>
        <w:t xml:space="preserve"> </w:t>
      </w:r>
      <w:r>
        <w:rPr>
          <w:color w:val="auto"/>
        </w:rPr>
        <w:t>counterpart agencies and difficulties in assembling and training the program community development team.</w:t>
      </w:r>
      <w:r w:rsidR="00E111CC">
        <w:rPr>
          <w:color w:val="auto"/>
        </w:rPr>
        <w:t xml:space="preserve"> </w:t>
      </w:r>
      <w:r>
        <w:rPr>
          <w:color w:val="auto"/>
        </w:rPr>
        <w:t>However, these issues have been addressed and implementation</w:t>
      </w:r>
      <w:r w:rsidR="0016408F">
        <w:rPr>
          <w:color w:val="auto"/>
        </w:rPr>
        <w:t xml:space="preserve"> is expected to begin</w:t>
      </w:r>
      <w:r>
        <w:rPr>
          <w:color w:val="auto"/>
        </w:rPr>
        <w:t xml:space="preserve"> in the coming year.</w:t>
      </w:r>
      <w:r w:rsidR="00E111CC">
        <w:rPr>
          <w:color w:val="auto"/>
        </w:rPr>
        <w:t xml:space="preserve"> </w:t>
      </w:r>
    </w:p>
    <w:p w14:paraId="1C1C28AA" w14:textId="0D91A809" w:rsidR="007D0EA8" w:rsidRPr="0011100C" w:rsidRDefault="007D0EA8" w:rsidP="007D0EA8">
      <w:pPr>
        <w:rPr>
          <w:color w:val="auto"/>
          <w:highlight w:val="cyan"/>
        </w:rPr>
      </w:pPr>
      <w:r w:rsidRPr="0011100C">
        <w:rPr>
          <w:color w:val="auto"/>
        </w:rPr>
        <w:lastRenderedPageBreak/>
        <w:t xml:space="preserve">The </w:t>
      </w:r>
      <w:r w:rsidRPr="0011100C">
        <w:rPr>
          <w:b/>
          <w:color w:val="auto"/>
        </w:rPr>
        <w:t>Kokoda Initiative</w:t>
      </w:r>
      <w:r w:rsidR="0016408F">
        <w:rPr>
          <w:b/>
          <w:color w:val="auto"/>
        </w:rPr>
        <w:t xml:space="preserve"> </w:t>
      </w:r>
      <w:r w:rsidRPr="0011100C">
        <w:rPr>
          <w:color w:val="auto"/>
        </w:rPr>
        <w:t>began in 2008 through</w:t>
      </w:r>
      <w:r w:rsidR="0016408F">
        <w:rPr>
          <w:color w:val="auto"/>
        </w:rPr>
        <w:t xml:space="preserve"> a Joint Agreement between the G</w:t>
      </w:r>
      <w:r w:rsidRPr="0011100C">
        <w:rPr>
          <w:color w:val="auto"/>
        </w:rPr>
        <w:t xml:space="preserve">overnments of Papua New Guinea and Australia to protect, manage and preserve the Kokoda Track and Owen Stanley Range region and to improve the livelihoods of communities along the Track. The investment is designed to ensure the Kokoda Track </w:t>
      </w:r>
      <w:r w:rsidRPr="00552F19">
        <w:rPr>
          <w:color w:val="auto"/>
        </w:rPr>
        <w:t>is open</w:t>
      </w:r>
      <w:r w:rsidR="009C746E">
        <w:rPr>
          <w:color w:val="auto"/>
        </w:rPr>
        <w:t>,</w:t>
      </w:r>
      <w:r w:rsidRPr="00552F19">
        <w:rPr>
          <w:color w:val="auto"/>
        </w:rPr>
        <w:t xml:space="preserve"> </w:t>
      </w:r>
      <w:r w:rsidR="002F1E8F">
        <w:rPr>
          <w:color w:val="auto"/>
        </w:rPr>
        <w:t xml:space="preserve">safe </w:t>
      </w:r>
      <w:r w:rsidRPr="00552F19">
        <w:rPr>
          <w:color w:val="auto"/>
        </w:rPr>
        <w:t xml:space="preserve">and </w:t>
      </w:r>
      <w:r w:rsidR="006126DB" w:rsidRPr="00552F19">
        <w:rPr>
          <w:color w:val="auto"/>
        </w:rPr>
        <w:t>well</w:t>
      </w:r>
      <w:r w:rsidR="006126DB">
        <w:rPr>
          <w:color w:val="auto"/>
        </w:rPr>
        <w:t xml:space="preserve"> managed</w:t>
      </w:r>
      <w:r w:rsidRPr="00552F19">
        <w:rPr>
          <w:color w:val="auto"/>
        </w:rPr>
        <w:t xml:space="preserve"> and </w:t>
      </w:r>
      <w:r w:rsidR="0016408F">
        <w:rPr>
          <w:color w:val="auto"/>
        </w:rPr>
        <w:t xml:space="preserve">remains accessible to </w:t>
      </w:r>
      <w:r>
        <w:rPr>
          <w:color w:val="auto"/>
        </w:rPr>
        <w:t>trekkers. In 2018-19</w:t>
      </w:r>
      <w:r w:rsidRPr="0011100C">
        <w:rPr>
          <w:color w:val="auto"/>
        </w:rPr>
        <w:t>, we supported</w:t>
      </w:r>
      <w:r w:rsidR="0016408F">
        <w:rPr>
          <w:color w:val="auto"/>
        </w:rPr>
        <w:t xml:space="preserve"> the </w:t>
      </w:r>
      <w:r w:rsidR="00661293">
        <w:rPr>
          <w:color w:val="auto"/>
        </w:rPr>
        <w:t>Government</w:t>
      </w:r>
      <w:r w:rsidR="0016408F">
        <w:rPr>
          <w:color w:val="auto"/>
        </w:rPr>
        <w:t xml:space="preserve"> of Papua New Guinea to </w:t>
      </w:r>
      <w:r w:rsidR="00661293">
        <w:rPr>
          <w:color w:val="auto"/>
        </w:rPr>
        <w:t>commission</w:t>
      </w:r>
      <w:r w:rsidRPr="0011100C">
        <w:rPr>
          <w:color w:val="auto"/>
        </w:rPr>
        <w:t xml:space="preserve"> an independent review of the Kokoda Track Authority's governance, accountability and responsibilities. </w:t>
      </w:r>
      <w:r w:rsidR="0016408F">
        <w:rPr>
          <w:color w:val="auto"/>
        </w:rPr>
        <w:t xml:space="preserve">Once considered by Government, we will support implementing the </w:t>
      </w:r>
      <w:r w:rsidR="00661293">
        <w:rPr>
          <w:color w:val="auto"/>
        </w:rPr>
        <w:t>recommendations</w:t>
      </w:r>
      <w:r w:rsidR="0016408F">
        <w:rPr>
          <w:color w:val="auto"/>
        </w:rPr>
        <w:t>.</w:t>
      </w:r>
    </w:p>
    <w:p w14:paraId="7F50D526" w14:textId="5327DAE2" w:rsidR="007D0EA8" w:rsidRPr="0011100C" w:rsidRDefault="007D0EA8" w:rsidP="007D0EA8">
      <w:pPr>
        <w:rPr>
          <w:color w:val="auto"/>
          <w:highlight w:val="cyan"/>
        </w:rPr>
      </w:pPr>
      <w:r>
        <w:rPr>
          <w:color w:val="auto"/>
        </w:rPr>
        <w:t xml:space="preserve">Most </w:t>
      </w:r>
      <w:r w:rsidR="006F3F5D" w:rsidRPr="006F3F5D">
        <w:rPr>
          <w:color w:val="auto"/>
        </w:rPr>
        <w:t>Kokoda Initiative</w:t>
      </w:r>
      <w:r w:rsidR="006F3F5D">
        <w:rPr>
          <w:b/>
          <w:color w:val="auto"/>
        </w:rPr>
        <w:t xml:space="preserve"> </w:t>
      </w:r>
      <w:r w:rsidRPr="0011100C">
        <w:rPr>
          <w:color w:val="auto"/>
        </w:rPr>
        <w:t>projects demonstrated results in line with expectations, with some projects exceeding expectations</w:t>
      </w:r>
      <w:r>
        <w:rPr>
          <w:color w:val="auto"/>
        </w:rPr>
        <w:t xml:space="preserve">. </w:t>
      </w:r>
      <w:r w:rsidRPr="0011100C">
        <w:rPr>
          <w:color w:val="auto"/>
        </w:rPr>
        <w:t>A notable achievement in 2018-19 has been improvements to gender equity and social inclusion</w:t>
      </w:r>
      <w:r>
        <w:rPr>
          <w:color w:val="auto"/>
        </w:rPr>
        <w:t xml:space="preserve"> (GESI)</w:t>
      </w:r>
      <w:r w:rsidRPr="0011100C">
        <w:rPr>
          <w:color w:val="auto"/>
        </w:rPr>
        <w:t xml:space="preserve">. </w:t>
      </w:r>
      <w:r>
        <w:rPr>
          <w:color w:val="auto"/>
        </w:rPr>
        <w:t>In</w:t>
      </w:r>
      <w:r w:rsidRPr="0011100C">
        <w:rPr>
          <w:color w:val="auto"/>
        </w:rPr>
        <w:t xml:space="preserve"> 2018-19, the </w:t>
      </w:r>
      <w:r w:rsidR="006F3F5D" w:rsidRPr="006F3F5D">
        <w:rPr>
          <w:color w:val="auto"/>
        </w:rPr>
        <w:t>Kokoda Initiative</w:t>
      </w:r>
      <w:r w:rsidR="006F3F5D">
        <w:rPr>
          <w:b/>
          <w:color w:val="auto"/>
        </w:rPr>
        <w:t xml:space="preserve"> </w:t>
      </w:r>
      <w:r>
        <w:rPr>
          <w:color w:val="auto"/>
        </w:rPr>
        <w:t>developed</w:t>
      </w:r>
      <w:r w:rsidRPr="0011100C">
        <w:rPr>
          <w:color w:val="auto"/>
        </w:rPr>
        <w:t xml:space="preserve"> a GESI Action Plan</w:t>
      </w:r>
      <w:r>
        <w:rPr>
          <w:color w:val="auto"/>
        </w:rPr>
        <w:t>.</w:t>
      </w:r>
      <w:r w:rsidRPr="0011100C">
        <w:rPr>
          <w:color w:val="auto"/>
        </w:rPr>
        <w:t xml:space="preserve"> The Seif Meri Mun menstrual hygiene management program saw </w:t>
      </w:r>
      <w:r>
        <w:rPr>
          <w:color w:val="auto"/>
        </w:rPr>
        <w:t>more than 500</w:t>
      </w:r>
      <w:r w:rsidRPr="0011100C">
        <w:rPr>
          <w:color w:val="auto"/>
        </w:rPr>
        <w:t xml:space="preserve"> menstrual hygiene kits produced </w:t>
      </w:r>
      <w:r>
        <w:rPr>
          <w:color w:val="auto"/>
        </w:rPr>
        <w:t>by two local women's sewing groups</w:t>
      </w:r>
      <w:r w:rsidRPr="0011100C">
        <w:rPr>
          <w:color w:val="auto"/>
        </w:rPr>
        <w:t>. The women were taught sewing sk</w:t>
      </w:r>
      <w:r w:rsidR="0016408F">
        <w:rPr>
          <w:color w:val="auto"/>
        </w:rPr>
        <w:t xml:space="preserve">ills and </w:t>
      </w:r>
      <w:r w:rsidRPr="0011100C">
        <w:rPr>
          <w:color w:val="auto"/>
        </w:rPr>
        <w:t xml:space="preserve">paid to produce </w:t>
      </w:r>
      <w:r>
        <w:rPr>
          <w:color w:val="auto"/>
        </w:rPr>
        <w:t>the</w:t>
      </w:r>
      <w:r w:rsidR="00A16580">
        <w:rPr>
          <w:color w:val="auto"/>
        </w:rPr>
        <w:t xml:space="preserve"> kits</w:t>
      </w:r>
      <w:r w:rsidRPr="0011100C">
        <w:rPr>
          <w:color w:val="auto"/>
        </w:rPr>
        <w:t xml:space="preserve">, which </w:t>
      </w:r>
      <w:r w:rsidR="0016408F">
        <w:rPr>
          <w:color w:val="auto"/>
        </w:rPr>
        <w:t>were</w:t>
      </w:r>
      <w:r w:rsidRPr="0011100C">
        <w:rPr>
          <w:color w:val="auto"/>
        </w:rPr>
        <w:t xml:space="preserve"> distributed free of charge to women and girls across the track. The ma</w:t>
      </w:r>
      <w:r w:rsidR="00A16580">
        <w:rPr>
          <w:color w:val="auto"/>
        </w:rPr>
        <w:t>jority of participants were</w:t>
      </w:r>
      <w:r w:rsidR="0016408F">
        <w:rPr>
          <w:color w:val="auto"/>
        </w:rPr>
        <w:t xml:space="preserve"> village health v</w:t>
      </w:r>
      <w:r w:rsidRPr="0011100C">
        <w:rPr>
          <w:color w:val="auto"/>
        </w:rPr>
        <w:t xml:space="preserve">olunteers (respected junior health positions within the community) </w:t>
      </w:r>
      <w:r w:rsidR="00A16580">
        <w:rPr>
          <w:color w:val="auto"/>
        </w:rPr>
        <w:t>who had</w:t>
      </w:r>
      <w:r w:rsidRPr="0011100C">
        <w:rPr>
          <w:color w:val="auto"/>
        </w:rPr>
        <w:t xml:space="preserve"> received training from Marie Stopes International to strengthen their skills. </w:t>
      </w:r>
    </w:p>
    <w:p w14:paraId="5B0E1960" w14:textId="64C888B1" w:rsidR="007D0EA8" w:rsidRPr="0011100C" w:rsidRDefault="007D0EA8" w:rsidP="007D0EA8">
      <w:pPr>
        <w:spacing w:line="240" w:lineRule="auto"/>
        <w:rPr>
          <w:color w:val="auto"/>
        </w:rPr>
      </w:pPr>
      <w:r w:rsidRPr="00EF717E">
        <w:rPr>
          <w:color w:val="auto"/>
        </w:rPr>
        <w:t xml:space="preserve">The </w:t>
      </w:r>
      <w:r w:rsidRPr="00096426">
        <w:rPr>
          <w:b/>
          <w:color w:val="auto"/>
        </w:rPr>
        <w:t>Building Resilience in Treaty Villages</w:t>
      </w:r>
      <w:r w:rsidRPr="00EF717E">
        <w:rPr>
          <w:color w:val="auto"/>
        </w:rPr>
        <w:t xml:space="preserve"> </w:t>
      </w:r>
      <w:r>
        <w:rPr>
          <w:color w:val="auto"/>
        </w:rPr>
        <w:t xml:space="preserve">(BRTV) program, focussed on </w:t>
      </w:r>
      <w:r w:rsidRPr="00EF717E">
        <w:rPr>
          <w:color w:val="auto"/>
        </w:rPr>
        <w:t>the South Fly</w:t>
      </w:r>
      <w:r w:rsidR="0016408F">
        <w:rPr>
          <w:color w:val="auto"/>
        </w:rPr>
        <w:t xml:space="preserve"> </w:t>
      </w:r>
      <w:r w:rsidR="00661293">
        <w:rPr>
          <w:color w:val="auto"/>
        </w:rPr>
        <w:t>District</w:t>
      </w:r>
      <w:r w:rsidR="009C746E">
        <w:rPr>
          <w:color w:val="auto"/>
        </w:rPr>
        <w:t>,</w:t>
      </w:r>
      <w:r w:rsidR="0016408F">
        <w:rPr>
          <w:color w:val="auto"/>
        </w:rPr>
        <w:t xml:space="preserve"> </w:t>
      </w:r>
      <w:r>
        <w:rPr>
          <w:color w:val="auto"/>
        </w:rPr>
        <w:t xml:space="preserve">builds capacity </w:t>
      </w:r>
      <w:r w:rsidRPr="00EF717E">
        <w:rPr>
          <w:color w:val="auto"/>
        </w:rPr>
        <w:t>through</w:t>
      </w:r>
      <w:r>
        <w:rPr>
          <w:color w:val="auto"/>
        </w:rPr>
        <w:t xml:space="preserve"> </w:t>
      </w:r>
      <w:r w:rsidR="00517504">
        <w:rPr>
          <w:color w:val="auto"/>
        </w:rPr>
        <w:t xml:space="preserve">community development planning </w:t>
      </w:r>
      <w:r w:rsidRPr="002900E8">
        <w:rPr>
          <w:color w:val="auto"/>
        </w:rPr>
        <w:t>to prepare plans respon</w:t>
      </w:r>
      <w:r>
        <w:rPr>
          <w:color w:val="auto"/>
        </w:rPr>
        <w:t>ding</w:t>
      </w:r>
      <w:r w:rsidR="00517504">
        <w:rPr>
          <w:color w:val="auto"/>
        </w:rPr>
        <w:t xml:space="preserve"> to community needs, and link</w:t>
      </w:r>
      <w:r w:rsidRPr="002900E8">
        <w:rPr>
          <w:color w:val="auto"/>
        </w:rPr>
        <w:t xml:space="preserve"> villages and wards to all levels of Government in Western Province</w:t>
      </w:r>
      <w:r>
        <w:rPr>
          <w:color w:val="auto"/>
        </w:rPr>
        <w:t>.</w:t>
      </w:r>
      <w:r w:rsidR="00E111CC">
        <w:rPr>
          <w:color w:val="auto"/>
        </w:rPr>
        <w:t xml:space="preserve"> </w:t>
      </w:r>
      <w:r>
        <w:rPr>
          <w:color w:val="auto"/>
        </w:rPr>
        <w:t>BRTV</w:t>
      </w:r>
      <w:r w:rsidRPr="008F7C41">
        <w:rPr>
          <w:color w:val="auto"/>
        </w:rPr>
        <w:t xml:space="preserve"> has strengthened the capacity of 110 (76 male and 34 female) community rangers across 13 Treaty Villages</w:t>
      </w:r>
      <w:r>
        <w:rPr>
          <w:color w:val="auto"/>
        </w:rPr>
        <w:t xml:space="preserve"> through practical skills and leadership training resulting in </w:t>
      </w:r>
      <w:r w:rsidRPr="008F7C41">
        <w:rPr>
          <w:color w:val="auto"/>
        </w:rPr>
        <w:t>community-led small-scale infrastructure</w:t>
      </w:r>
      <w:r>
        <w:rPr>
          <w:color w:val="auto"/>
        </w:rPr>
        <w:t>.</w:t>
      </w:r>
      <w:r w:rsidR="00E111CC">
        <w:rPr>
          <w:color w:val="auto"/>
        </w:rPr>
        <w:t xml:space="preserve"> </w:t>
      </w:r>
      <w:r w:rsidR="006F41B6" w:rsidRPr="006F41B6">
        <w:rPr>
          <w:color w:val="auto"/>
        </w:rPr>
        <w:t>Both women and men are involved and the project</w:t>
      </w:r>
      <w:r w:rsidRPr="006F41B6">
        <w:rPr>
          <w:color w:val="auto"/>
        </w:rPr>
        <w:t xml:space="preserve"> </w:t>
      </w:r>
      <w:r w:rsidR="006F41B6">
        <w:rPr>
          <w:color w:val="auto"/>
        </w:rPr>
        <w:t>employs ten people with disabilities.</w:t>
      </w:r>
    </w:p>
    <w:p w14:paraId="46F05A68" w14:textId="77777777" w:rsidR="007D0EA8" w:rsidRPr="0011100C" w:rsidRDefault="007D0EA8" w:rsidP="007D0EA8">
      <w:pPr>
        <w:pStyle w:val="Heading3Numbered"/>
        <w:numPr>
          <w:ilvl w:val="0"/>
          <w:numId w:val="0"/>
        </w:numPr>
        <w:rPr>
          <w:color w:val="auto"/>
        </w:rPr>
      </w:pPr>
      <w:r>
        <w:rPr>
          <w:color w:val="auto"/>
        </w:rPr>
        <w:t xml:space="preserve">Citizen Engagement and Democratic Accountability </w:t>
      </w:r>
    </w:p>
    <w:p w14:paraId="0DC91C27" w14:textId="47B9D839" w:rsidR="007D0EA8" w:rsidRDefault="007D0EA8" w:rsidP="007D0EA8">
      <w:pPr>
        <w:rPr>
          <w:color w:val="auto"/>
        </w:rPr>
      </w:pPr>
      <w:r w:rsidRPr="0098112D">
        <w:rPr>
          <w:color w:val="auto"/>
        </w:rPr>
        <w:t>Our governance investments address supply side issues focussed on national policy reform, civil service capacity and subnational service delivery.</w:t>
      </w:r>
      <w:r w:rsidR="00E111CC">
        <w:rPr>
          <w:color w:val="auto"/>
        </w:rPr>
        <w:t xml:space="preserve"> </w:t>
      </w:r>
      <w:r w:rsidRPr="0098112D">
        <w:rPr>
          <w:color w:val="auto"/>
        </w:rPr>
        <w:t>However, we need to rebalance our support by increasing demand side investments leveraging nascent calls from the private sector, civil society and the middle class for increased accoun</w:t>
      </w:r>
      <w:r w:rsidR="009C746E">
        <w:rPr>
          <w:color w:val="auto"/>
        </w:rPr>
        <w:t>tability and transparency from go</w:t>
      </w:r>
      <w:r w:rsidRPr="0098112D">
        <w:rPr>
          <w:color w:val="auto"/>
        </w:rPr>
        <w:t>vernment</w:t>
      </w:r>
      <w:r w:rsidR="009313B5">
        <w:rPr>
          <w:color w:val="auto"/>
        </w:rPr>
        <w:t>s</w:t>
      </w:r>
      <w:r w:rsidRPr="0098112D">
        <w:rPr>
          <w:color w:val="auto"/>
        </w:rPr>
        <w:t>.</w:t>
      </w:r>
      <w:r w:rsidR="00E111CC">
        <w:rPr>
          <w:color w:val="auto"/>
        </w:rPr>
        <w:t xml:space="preserve"> </w:t>
      </w:r>
    </w:p>
    <w:p w14:paraId="7749CBDF" w14:textId="6C4F6B05" w:rsidR="007D0EA8" w:rsidRDefault="00A16580" w:rsidP="007D0EA8">
      <w:pPr>
        <w:rPr>
          <w:color w:val="auto"/>
        </w:rPr>
      </w:pPr>
      <w:r>
        <w:rPr>
          <w:color w:val="auto"/>
        </w:rPr>
        <w:t xml:space="preserve">In </w:t>
      </w:r>
      <w:r w:rsidR="007D0EA8">
        <w:rPr>
          <w:color w:val="auto"/>
        </w:rPr>
        <w:t>the year ahead, we will r</w:t>
      </w:r>
      <w:r w:rsidR="007D0EA8" w:rsidRPr="0078700A">
        <w:rPr>
          <w:color w:val="auto"/>
        </w:rPr>
        <w:t>efine existing investments and identify new strategic entry points for Australian</w:t>
      </w:r>
      <w:r w:rsidR="00517504">
        <w:rPr>
          <w:color w:val="auto"/>
        </w:rPr>
        <w:t xml:space="preserve"> development assistance</w:t>
      </w:r>
      <w:r w:rsidR="007D0EA8" w:rsidRPr="0078700A">
        <w:rPr>
          <w:color w:val="auto"/>
        </w:rPr>
        <w:t xml:space="preserve"> to strengthen state-society relationships and enhance accountability betwee</w:t>
      </w:r>
      <w:r w:rsidR="002F1E8F">
        <w:rPr>
          <w:color w:val="auto"/>
        </w:rPr>
        <w:t>n Papua New Guineans and their g</w:t>
      </w:r>
      <w:r w:rsidR="007D0EA8" w:rsidRPr="0078700A">
        <w:rPr>
          <w:color w:val="auto"/>
        </w:rPr>
        <w:t>overnment</w:t>
      </w:r>
      <w:r w:rsidR="002F1E8F">
        <w:rPr>
          <w:color w:val="auto"/>
        </w:rPr>
        <w:t>s</w:t>
      </w:r>
      <w:r w:rsidR="007D0EA8" w:rsidRPr="0078700A">
        <w:rPr>
          <w:color w:val="auto"/>
        </w:rPr>
        <w:t>.</w:t>
      </w:r>
    </w:p>
    <w:p w14:paraId="651F23B1" w14:textId="2363D7B8" w:rsidR="007D0EA8" w:rsidRDefault="007D0EA8" w:rsidP="007D0EA8">
      <w:pPr>
        <w:spacing w:line="240" w:lineRule="auto"/>
        <w:rPr>
          <w:color w:val="auto"/>
        </w:rPr>
      </w:pPr>
      <w:r>
        <w:rPr>
          <w:color w:val="auto"/>
        </w:rPr>
        <w:t xml:space="preserve">The long-standing </w:t>
      </w:r>
      <w:r w:rsidRPr="00096426">
        <w:rPr>
          <w:b/>
          <w:color w:val="auto"/>
        </w:rPr>
        <w:t>Church Partnership Program</w:t>
      </w:r>
      <w:r w:rsidR="006F3F5D">
        <w:rPr>
          <w:color w:val="auto"/>
        </w:rPr>
        <w:t xml:space="preserve"> </w:t>
      </w:r>
      <w:r w:rsidRPr="0011100C">
        <w:rPr>
          <w:color w:val="auto"/>
        </w:rPr>
        <w:t xml:space="preserve">has yielded good results through increased inter-church cooperation on gender equality, disaster response and risk reduction, restorative justice, adult literacy, disability inclusion and child protection. Connections are being built between </w:t>
      </w:r>
      <w:r w:rsidR="006F3F5D">
        <w:rPr>
          <w:color w:val="auto"/>
        </w:rPr>
        <w:t xml:space="preserve">the </w:t>
      </w:r>
      <w:r w:rsidR="006F3F5D" w:rsidRPr="006F3F5D">
        <w:rPr>
          <w:color w:val="auto"/>
        </w:rPr>
        <w:t>Church Partnership Program</w:t>
      </w:r>
      <w:r w:rsidRPr="0011100C">
        <w:rPr>
          <w:color w:val="auto"/>
        </w:rPr>
        <w:t xml:space="preserve"> and the </w:t>
      </w:r>
      <w:r w:rsidR="000B6C89">
        <w:rPr>
          <w:color w:val="auto"/>
        </w:rPr>
        <w:t xml:space="preserve">Government of </w:t>
      </w:r>
      <w:r w:rsidR="000B6C89" w:rsidRPr="007F51C6">
        <w:rPr>
          <w:color w:val="auto"/>
        </w:rPr>
        <w:t>Papua New Guinea</w:t>
      </w:r>
      <w:r w:rsidR="000B6C89">
        <w:rPr>
          <w:color w:val="auto"/>
        </w:rPr>
        <w:t>’s</w:t>
      </w:r>
      <w:r w:rsidRPr="0011100C">
        <w:rPr>
          <w:color w:val="auto"/>
        </w:rPr>
        <w:t xml:space="preserve"> Church State Partnership Program. </w:t>
      </w:r>
      <w:r w:rsidR="00A16580">
        <w:rPr>
          <w:color w:val="auto"/>
        </w:rPr>
        <w:t>A</w:t>
      </w:r>
      <w:r w:rsidRPr="0011100C">
        <w:rPr>
          <w:color w:val="auto"/>
        </w:rPr>
        <w:t xml:space="preserve"> </w:t>
      </w:r>
      <w:r w:rsidR="00A16580">
        <w:rPr>
          <w:color w:val="auto"/>
        </w:rPr>
        <w:t>2019 independent</w:t>
      </w:r>
      <w:r w:rsidRPr="0011100C">
        <w:rPr>
          <w:color w:val="auto"/>
        </w:rPr>
        <w:t xml:space="preserve"> </w:t>
      </w:r>
      <w:r>
        <w:rPr>
          <w:color w:val="auto"/>
        </w:rPr>
        <w:t xml:space="preserve">mid-term </w:t>
      </w:r>
      <w:r w:rsidRPr="0011100C">
        <w:rPr>
          <w:color w:val="auto"/>
        </w:rPr>
        <w:t>review</w:t>
      </w:r>
      <w:r w:rsidR="00517504">
        <w:rPr>
          <w:color w:val="auto"/>
        </w:rPr>
        <w:t xml:space="preserve"> found </w:t>
      </w:r>
      <w:r w:rsidR="006F3F5D">
        <w:rPr>
          <w:color w:val="auto"/>
        </w:rPr>
        <w:t xml:space="preserve">the </w:t>
      </w:r>
      <w:r w:rsidR="006F3F5D" w:rsidRPr="006F3F5D">
        <w:rPr>
          <w:color w:val="auto"/>
        </w:rPr>
        <w:t>Church Partnership Program</w:t>
      </w:r>
      <w:r w:rsidR="00A16580">
        <w:rPr>
          <w:color w:val="auto"/>
        </w:rPr>
        <w:t xml:space="preserve"> to be an</w:t>
      </w:r>
      <w:r w:rsidRPr="0011100C">
        <w:rPr>
          <w:color w:val="auto"/>
        </w:rPr>
        <w:t xml:space="preserve"> impressive </w:t>
      </w:r>
      <w:r w:rsidR="0010519E" w:rsidRPr="0011100C">
        <w:rPr>
          <w:color w:val="auto"/>
        </w:rPr>
        <w:t>initiative, which</w:t>
      </w:r>
      <w:r w:rsidRPr="0011100C">
        <w:rPr>
          <w:color w:val="auto"/>
        </w:rPr>
        <w:t xml:space="preserve"> capitalises on the unique role of the churches in Papua New Guinea, including the provision of core services like health and education. </w:t>
      </w:r>
    </w:p>
    <w:p w14:paraId="76A93CE7" w14:textId="2C245994" w:rsidR="007D0EA8" w:rsidRDefault="007D0EA8" w:rsidP="007D0EA8">
      <w:pPr>
        <w:spacing w:line="240" w:lineRule="auto"/>
        <w:rPr>
          <w:color w:val="auto"/>
        </w:rPr>
      </w:pPr>
      <w:r w:rsidRPr="0011100C">
        <w:rPr>
          <w:color w:val="auto"/>
        </w:rPr>
        <w:t xml:space="preserve">A key success in 2018-19 </w:t>
      </w:r>
      <w:r>
        <w:rPr>
          <w:color w:val="auto"/>
        </w:rPr>
        <w:t xml:space="preserve">was the development and implementation of </w:t>
      </w:r>
      <w:r w:rsidRPr="0011100C">
        <w:rPr>
          <w:color w:val="auto"/>
        </w:rPr>
        <w:t>Gender Equality Theology training for pastors and church educators</w:t>
      </w:r>
      <w:r>
        <w:rPr>
          <w:color w:val="auto"/>
        </w:rPr>
        <w:t>.</w:t>
      </w:r>
      <w:r w:rsidR="00E111CC">
        <w:rPr>
          <w:color w:val="auto"/>
        </w:rPr>
        <w:t xml:space="preserve"> </w:t>
      </w:r>
      <w:r w:rsidR="00517504">
        <w:rPr>
          <w:color w:val="auto"/>
        </w:rPr>
        <w:t>In practice, t</w:t>
      </w:r>
      <w:r>
        <w:rPr>
          <w:color w:val="auto"/>
        </w:rPr>
        <w:t>his will result in behaviour change through sermons, church activities and lay teaching.</w:t>
      </w:r>
      <w:r w:rsidR="00E111CC">
        <w:rPr>
          <w:color w:val="auto"/>
        </w:rPr>
        <w:t xml:space="preserve"> </w:t>
      </w:r>
      <w:r w:rsidR="006F3F5D">
        <w:rPr>
          <w:color w:val="auto"/>
        </w:rPr>
        <w:t xml:space="preserve">The </w:t>
      </w:r>
      <w:r w:rsidR="006F3F5D" w:rsidRPr="006F3F5D">
        <w:rPr>
          <w:color w:val="auto"/>
        </w:rPr>
        <w:t>Church Partnership Program</w:t>
      </w:r>
      <w:r>
        <w:rPr>
          <w:color w:val="auto"/>
        </w:rPr>
        <w:t xml:space="preserve"> continued to deliver improved service delivery outputs </w:t>
      </w:r>
      <w:r w:rsidR="009313B5">
        <w:rPr>
          <w:color w:val="auto"/>
        </w:rPr>
        <w:t>shown</w:t>
      </w:r>
      <w:r>
        <w:rPr>
          <w:color w:val="auto"/>
        </w:rPr>
        <w:t xml:space="preserve"> by 2018 results that includ</w:t>
      </w:r>
      <w:r w:rsidR="00517504">
        <w:rPr>
          <w:color w:val="auto"/>
        </w:rPr>
        <w:t xml:space="preserve">ed 17,953 people receiving </w:t>
      </w:r>
      <w:r w:rsidR="00661293">
        <w:rPr>
          <w:color w:val="auto"/>
        </w:rPr>
        <w:t>livelihood</w:t>
      </w:r>
      <w:r>
        <w:rPr>
          <w:color w:val="auto"/>
        </w:rPr>
        <w:t xml:space="preserve"> training, 7</w:t>
      </w:r>
      <w:r w:rsidR="00A16580">
        <w:rPr>
          <w:color w:val="auto"/>
        </w:rPr>
        <w:t>,</w:t>
      </w:r>
      <w:r>
        <w:rPr>
          <w:color w:val="auto"/>
        </w:rPr>
        <w:t>091 people befitting from gender and social inclusion courses and 4,690 people receiving adult literacy training.</w:t>
      </w:r>
      <w:r w:rsidR="00E111CC">
        <w:rPr>
          <w:color w:val="auto"/>
        </w:rPr>
        <w:t xml:space="preserve">  </w:t>
      </w:r>
    </w:p>
    <w:p w14:paraId="55925092" w14:textId="07579B0B" w:rsidR="007D0EA8" w:rsidRDefault="007D0EA8" w:rsidP="007D0EA8">
      <w:pPr>
        <w:rPr>
          <w:color w:val="auto"/>
        </w:rPr>
      </w:pPr>
      <w:r w:rsidRPr="002828C7">
        <w:rPr>
          <w:color w:val="auto"/>
        </w:rPr>
        <w:t xml:space="preserve">The </w:t>
      </w:r>
      <w:r w:rsidRPr="00096426">
        <w:rPr>
          <w:b/>
          <w:color w:val="auto"/>
        </w:rPr>
        <w:t>Media Development Initiative</w:t>
      </w:r>
      <w:r>
        <w:rPr>
          <w:color w:val="auto"/>
        </w:rPr>
        <w:t>, delivered by the Australian Broadcasting Corporation,</w:t>
      </w:r>
      <w:r w:rsidRPr="002828C7">
        <w:rPr>
          <w:color w:val="auto"/>
        </w:rPr>
        <w:t xml:space="preserve"> is working towards </w:t>
      </w:r>
      <w:r>
        <w:rPr>
          <w:color w:val="auto"/>
        </w:rPr>
        <w:t>the</w:t>
      </w:r>
      <w:r w:rsidRPr="002828C7">
        <w:rPr>
          <w:color w:val="auto"/>
        </w:rPr>
        <w:t xml:space="preserve"> objective of enabl</w:t>
      </w:r>
      <w:r>
        <w:rPr>
          <w:color w:val="auto"/>
        </w:rPr>
        <w:t xml:space="preserve">ing </w:t>
      </w:r>
      <w:r w:rsidRPr="002828C7">
        <w:rPr>
          <w:color w:val="auto"/>
        </w:rPr>
        <w:t>citizens to effectively express t</w:t>
      </w:r>
      <w:r>
        <w:rPr>
          <w:color w:val="auto"/>
        </w:rPr>
        <w:t>heir views</w:t>
      </w:r>
      <w:r w:rsidRPr="002828C7">
        <w:rPr>
          <w:color w:val="auto"/>
        </w:rPr>
        <w:t xml:space="preserve">. </w:t>
      </w:r>
      <w:r>
        <w:rPr>
          <w:color w:val="auto"/>
        </w:rPr>
        <w:t>Achievements this year included holding f</w:t>
      </w:r>
      <w:r w:rsidRPr="002828C7">
        <w:rPr>
          <w:color w:val="auto"/>
        </w:rPr>
        <w:t>ive N</w:t>
      </w:r>
      <w:r>
        <w:rPr>
          <w:color w:val="auto"/>
        </w:rPr>
        <w:t xml:space="preserve">ational </w:t>
      </w:r>
      <w:r w:rsidRPr="002828C7">
        <w:rPr>
          <w:color w:val="auto"/>
        </w:rPr>
        <w:t>B</w:t>
      </w:r>
      <w:r>
        <w:rPr>
          <w:color w:val="auto"/>
        </w:rPr>
        <w:t xml:space="preserve">roadcasting </w:t>
      </w:r>
      <w:r w:rsidRPr="002828C7">
        <w:rPr>
          <w:color w:val="auto"/>
        </w:rPr>
        <w:t>C</w:t>
      </w:r>
      <w:r>
        <w:rPr>
          <w:color w:val="auto"/>
        </w:rPr>
        <w:t>orporation (NBC)</w:t>
      </w:r>
      <w:r w:rsidRPr="002828C7">
        <w:rPr>
          <w:color w:val="auto"/>
        </w:rPr>
        <w:t xml:space="preserve"> press club events and associated </w:t>
      </w:r>
      <w:r>
        <w:rPr>
          <w:color w:val="auto"/>
        </w:rPr>
        <w:t>b</w:t>
      </w:r>
      <w:r w:rsidRPr="002828C7">
        <w:rPr>
          <w:color w:val="auto"/>
        </w:rPr>
        <w:t xml:space="preserve">ackground </w:t>
      </w:r>
      <w:r>
        <w:rPr>
          <w:color w:val="auto"/>
        </w:rPr>
        <w:t>b</w:t>
      </w:r>
      <w:r w:rsidRPr="002828C7">
        <w:rPr>
          <w:color w:val="auto"/>
        </w:rPr>
        <w:t>riefings</w:t>
      </w:r>
      <w:r>
        <w:rPr>
          <w:color w:val="auto"/>
        </w:rPr>
        <w:t>, producing a w</w:t>
      </w:r>
      <w:r w:rsidR="009313B5">
        <w:rPr>
          <w:color w:val="auto"/>
        </w:rPr>
        <w:t>omen-in-</w:t>
      </w:r>
      <w:r>
        <w:rPr>
          <w:color w:val="auto"/>
        </w:rPr>
        <w:t>m</w:t>
      </w:r>
      <w:r w:rsidRPr="002828C7">
        <w:rPr>
          <w:color w:val="auto"/>
        </w:rPr>
        <w:t>edia report</w:t>
      </w:r>
      <w:r>
        <w:rPr>
          <w:color w:val="auto"/>
        </w:rPr>
        <w:t xml:space="preserve"> and supporting the l</w:t>
      </w:r>
      <w:r w:rsidR="00517504">
        <w:rPr>
          <w:color w:val="auto"/>
        </w:rPr>
        <w:t>aunch of a nightly NBC TV current a</w:t>
      </w:r>
      <w:r w:rsidRPr="002828C7">
        <w:rPr>
          <w:color w:val="auto"/>
        </w:rPr>
        <w:t>ffair</w:t>
      </w:r>
      <w:r>
        <w:rPr>
          <w:color w:val="auto"/>
        </w:rPr>
        <w:t>s program.</w:t>
      </w:r>
    </w:p>
    <w:p w14:paraId="6929C52E" w14:textId="23C9EE7E" w:rsidR="007D0EA8" w:rsidRPr="00116758" w:rsidRDefault="007D0EA8" w:rsidP="007D0EA8">
      <w:pPr>
        <w:rPr>
          <w:color w:val="auto"/>
          <w:lang w:val="en-AU"/>
        </w:rPr>
      </w:pPr>
      <w:r>
        <w:rPr>
          <w:color w:val="auto"/>
        </w:rPr>
        <w:t>A</w:t>
      </w:r>
      <w:r w:rsidRPr="00116758">
        <w:rPr>
          <w:color w:val="auto"/>
        </w:rPr>
        <w:t xml:space="preserve">n independent evaluation of Australia’s </w:t>
      </w:r>
      <w:r w:rsidRPr="00116758">
        <w:rPr>
          <w:b/>
          <w:color w:val="auto"/>
        </w:rPr>
        <w:t>electoral assistance</w:t>
      </w:r>
      <w:r w:rsidRPr="00116758">
        <w:rPr>
          <w:color w:val="auto"/>
        </w:rPr>
        <w:t xml:space="preserve"> to Papua New Guinea from 2015-17 was completed in June 2018 with the management response published in September 2018. </w:t>
      </w:r>
      <w:r w:rsidRPr="00B0489C">
        <w:rPr>
          <w:color w:val="auto"/>
        </w:rPr>
        <w:t xml:space="preserve">The evaluation found </w:t>
      </w:r>
      <w:r w:rsidRPr="00B0489C">
        <w:rPr>
          <w:color w:val="auto"/>
        </w:rPr>
        <w:lastRenderedPageBreak/>
        <w:t xml:space="preserve">that there were significant challenges in supporting well-managed elections </w:t>
      </w:r>
      <w:r w:rsidR="00517504" w:rsidRPr="00B0489C">
        <w:rPr>
          <w:color w:val="auto"/>
        </w:rPr>
        <w:t xml:space="preserve">in Papua New Guinea, but that our support </w:t>
      </w:r>
      <w:r w:rsidRPr="00B0489C">
        <w:rPr>
          <w:color w:val="auto"/>
        </w:rPr>
        <w:t>was reasonable under challenging circumstances. The evaluation will inform the design of Australia’s future electoral assis</w:t>
      </w:r>
      <w:r w:rsidRPr="00116758">
        <w:rPr>
          <w:color w:val="auto"/>
        </w:rPr>
        <w:t>tance. We are currently designing our future program of electoral support</w:t>
      </w:r>
      <w:r>
        <w:rPr>
          <w:color w:val="auto"/>
        </w:rPr>
        <w:t>,</w:t>
      </w:r>
      <w:r w:rsidRPr="00116758">
        <w:rPr>
          <w:color w:val="auto"/>
        </w:rPr>
        <w:t xml:space="preserve"> which is</w:t>
      </w:r>
      <w:r w:rsidR="00551722">
        <w:rPr>
          <w:color w:val="auto"/>
        </w:rPr>
        <w:t xml:space="preserve"> expected to be in place by mid-</w:t>
      </w:r>
      <w:r w:rsidRPr="00116758">
        <w:rPr>
          <w:color w:val="auto"/>
        </w:rPr>
        <w:t>2020.</w:t>
      </w:r>
      <w:r w:rsidR="00E111CC">
        <w:rPr>
          <w:color w:val="auto"/>
        </w:rPr>
        <w:t xml:space="preserve"> </w:t>
      </w:r>
      <w:r w:rsidRPr="00116758">
        <w:rPr>
          <w:color w:val="auto"/>
        </w:rPr>
        <w:t xml:space="preserve">In the meantime, our current program is focused on assisting the </w:t>
      </w:r>
      <w:r w:rsidR="0000279C" w:rsidRPr="007F51C6">
        <w:rPr>
          <w:color w:val="auto"/>
        </w:rPr>
        <w:t>Papua New Guinea</w:t>
      </w:r>
      <w:r w:rsidR="0000279C" w:rsidRPr="00116758">
        <w:rPr>
          <w:color w:val="auto"/>
        </w:rPr>
        <w:t xml:space="preserve"> </w:t>
      </w:r>
      <w:r w:rsidRPr="00116758">
        <w:rPr>
          <w:color w:val="auto"/>
        </w:rPr>
        <w:t xml:space="preserve">Electoral Commission (PNGEC) implement its reform-oriented </w:t>
      </w:r>
      <w:r w:rsidRPr="00116758">
        <w:rPr>
          <w:i/>
          <w:iCs/>
          <w:color w:val="auto"/>
        </w:rPr>
        <w:t>Corporate Plan 2018-2022</w:t>
      </w:r>
      <w:r w:rsidRPr="00116758">
        <w:rPr>
          <w:color w:val="auto"/>
        </w:rPr>
        <w:t xml:space="preserve"> and respond to a major government review of </w:t>
      </w:r>
      <w:r w:rsidR="000B6C89" w:rsidRPr="007F51C6">
        <w:rPr>
          <w:color w:val="auto"/>
        </w:rPr>
        <w:t>Papua New Guinea</w:t>
      </w:r>
      <w:r w:rsidRPr="00116758">
        <w:rPr>
          <w:color w:val="auto"/>
        </w:rPr>
        <w:t xml:space="preserve">’s </w:t>
      </w:r>
      <w:r w:rsidRPr="00116758">
        <w:rPr>
          <w:i/>
          <w:iCs/>
          <w:color w:val="auto"/>
        </w:rPr>
        <w:t>Organic Law on National and Local-level Government Elections</w:t>
      </w:r>
      <w:r w:rsidRPr="00116758">
        <w:rPr>
          <w:color w:val="auto"/>
        </w:rPr>
        <w:t>. Key implementing partners</w:t>
      </w:r>
      <w:r w:rsidRPr="00552F19">
        <w:rPr>
          <w:color w:val="auto"/>
        </w:rPr>
        <w:t xml:space="preserve"> </w:t>
      </w:r>
      <w:r>
        <w:rPr>
          <w:color w:val="auto"/>
        </w:rPr>
        <w:t>for our electoral support</w:t>
      </w:r>
      <w:r w:rsidRPr="00116758">
        <w:rPr>
          <w:color w:val="auto"/>
        </w:rPr>
        <w:t xml:space="preserve"> are the International Foundation </w:t>
      </w:r>
      <w:r w:rsidR="00517504">
        <w:rPr>
          <w:color w:val="auto"/>
        </w:rPr>
        <w:t xml:space="preserve">for Electoral Systems </w:t>
      </w:r>
      <w:r w:rsidRPr="00116758">
        <w:rPr>
          <w:color w:val="auto"/>
        </w:rPr>
        <w:t>and the Austr</w:t>
      </w:r>
      <w:r w:rsidR="00517504">
        <w:rPr>
          <w:color w:val="auto"/>
        </w:rPr>
        <w:t>alian Electoral Commission</w:t>
      </w:r>
      <w:r w:rsidRPr="00116758">
        <w:rPr>
          <w:color w:val="auto"/>
        </w:rPr>
        <w:t xml:space="preserve">, which has a twinning relationship with the PNGEC. </w:t>
      </w:r>
    </w:p>
    <w:p w14:paraId="027E753E" w14:textId="77777777" w:rsidR="007D0EA8" w:rsidRPr="0011100C" w:rsidRDefault="007D0EA8" w:rsidP="007D0EA8">
      <w:pPr>
        <w:pStyle w:val="Heading3Numbered"/>
        <w:numPr>
          <w:ilvl w:val="0"/>
          <w:numId w:val="0"/>
        </w:numPr>
        <w:rPr>
          <w:color w:val="auto"/>
        </w:rPr>
      </w:pPr>
      <w:r w:rsidRPr="0011100C">
        <w:rPr>
          <w:color w:val="auto"/>
        </w:rPr>
        <w:t xml:space="preserve">Law and Justice </w:t>
      </w:r>
    </w:p>
    <w:p w14:paraId="486484D8" w14:textId="698BA940" w:rsidR="007D0EA8" w:rsidRDefault="007D0EA8" w:rsidP="007D0EA8">
      <w:pPr>
        <w:rPr>
          <w:color w:val="auto"/>
        </w:rPr>
      </w:pPr>
      <w:r w:rsidRPr="0011100C">
        <w:rPr>
          <w:color w:val="auto"/>
        </w:rPr>
        <w:t>Australia is committed to remain</w:t>
      </w:r>
      <w:r>
        <w:rPr>
          <w:color w:val="auto"/>
        </w:rPr>
        <w:t>ing</w:t>
      </w:r>
      <w:r w:rsidRPr="0011100C">
        <w:rPr>
          <w:color w:val="auto"/>
        </w:rPr>
        <w:t xml:space="preserve"> Papua New Guinea’s principal security partner and build</w:t>
      </w:r>
      <w:r>
        <w:rPr>
          <w:color w:val="auto"/>
        </w:rPr>
        <w:t>ing</w:t>
      </w:r>
      <w:r w:rsidRPr="0011100C">
        <w:rPr>
          <w:color w:val="auto"/>
        </w:rPr>
        <w:t xml:space="preserve"> capacity in policing and law and justice</w:t>
      </w:r>
      <w:r>
        <w:rPr>
          <w:color w:val="auto"/>
        </w:rPr>
        <w:t>.</w:t>
      </w:r>
      <w:r w:rsidRPr="0011100C">
        <w:rPr>
          <w:color w:val="auto"/>
        </w:rPr>
        <w:t xml:space="preserve"> Australia’s law and justice sector </w:t>
      </w:r>
      <w:r>
        <w:rPr>
          <w:color w:val="auto"/>
        </w:rPr>
        <w:t xml:space="preserve">support </w:t>
      </w:r>
      <w:r w:rsidRPr="0011100C">
        <w:rPr>
          <w:color w:val="auto"/>
        </w:rPr>
        <w:t>is provided through three inter</w:t>
      </w:r>
      <w:r>
        <w:rPr>
          <w:color w:val="auto"/>
        </w:rPr>
        <w:t>-</w:t>
      </w:r>
      <w:r w:rsidR="00517504">
        <w:rPr>
          <w:color w:val="auto"/>
        </w:rPr>
        <w:t>related pillars</w:t>
      </w:r>
      <w:r w:rsidRPr="0011100C">
        <w:rPr>
          <w:color w:val="auto"/>
        </w:rPr>
        <w:t>: the DFAT-managed Justice Services and Sta</w:t>
      </w:r>
      <w:r w:rsidR="00517504">
        <w:rPr>
          <w:color w:val="auto"/>
        </w:rPr>
        <w:t>bility for Development (JSS4D) program, the Australian Federal Police (AFP)</w:t>
      </w:r>
      <w:r w:rsidRPr="0011100C">
        <w:rPr>
          <w:color w:val="auto"/>
        </w:rPr>
        <w:t xml:space="preserve">-led </w:t>
      </w:r>
      <w:r w:rsidR="000B6C89" w:rsidRPr="007F51C6">
        <w:rPr>
          <w:color w:val="auto"/>
        </w:rPr>
        <w:t>Papua New Guinea</w:t>
      </w:r>
      <w:r w:rsidR="00517504">
        <w:rPr>
          <w:color w:val="auto"/>
        </w:rPr>
        <w:t>-Australia P</w:t>
      </w:r>
      <w:r w:rsidRPr="0011100C">
        <w:rPr>
          <w:color w:val="auto"/>
        </w:rPr>
        <w:t>olicing</w:t>
      </w:r>
      <w:r w:rsidR="00517504">
        <w:rPr>
          <w:color w:val="auto"/>
        </w:rPr>
        <w:t xml:space="preserve"> P</w:t>
      </w:r>
      <w:r w:rsidRPr="0011100C">
        <w:rPr>
          <w:color w:val="auto"/>
        </w:rPr>
        <w:t>artnership, and a range of smaller investments delivered through other agencies including the Attorney-General’s Department (AGD), the Commonwealth Ombudsman,</w:t>
      </w:r>
      <w:r w:rsidR="00517504">
        <w:rPr>
          <w:color w:val="auto"/>
        </w:rPr>
        <w:t xml:space="preserve"> the Department of Home Affairs</w:t>
      </w:r>
      <w:r w:rsidRPr="0011100C">
        <w:rPr>
          <w:color w:val="auto"/>
        </w:rPr>
        <w:t xml:space="preserve"> and the Australian Transaction Reports and Analysis Centre.</w:t>
      </w:r>
      <w:r w:rsidR="00E111CC">
        <w:rPr>
          <w:color w:val="auto"/>
        </w:rPr>
        <w:t xml:space="preserve"> </w:t>
      </w:r>
      <w:r w:rsidRPr="0011100C">
        <w:rPr>
          <w:color w:val="auto"/>
        </w:rPr>
        <w:t>Across these pillars, the Aus</w:t>
      </w:r>
      <w:r w:rsidR="00517504">
        <w:rPr>
          <w:color w:val="auto"/>
        </w:rPr>
        <w:t>tralian Government</w:t>
      </w:r>
      <w:r w:rsidRPr="0011100C">
        <w:rPr>
          <w:color w:val="auto"/>
        </w:rPr>
        <w:t xml:space="preserve"> provide</w:t>
      </w:r>
      <w:r w:rsidR="00517504">
        <w:rPr>
          <w:color w:val="auto"/>
        </w:rPr>
        <w:t>s</w:t>
      </w:r>
      <w:r w:rsidRPr="0011100C">
        <w:rPr>
          <w:color w:val="auto"/>
        </w:rPr>
        <w:t xml:space="preserve"> up to $62 million in development assistance per year.</w:t>
      </w:r>
      <w:r w:rsidR="00E111CC">
        <w:rPr>
          <w:color w:val="auto"/>
        </w:rPr>
        <w:t xml:space="preserve"> </w:t>
      </w:r>
      <w:r>
        <w:rPr>
          <w:color w:val="auto"/>
        </w:rPr>
        <w:t xml:space="preserve">We made progress over the last year to better </w:t>
      </w:r>
      <w:r w:rsidRPr="0011100C">
        <w:rPr>
          <w:color w:val="auto"/>
        </w:rPr>
        <w:t>integrat</w:t>
      </w:r>
      <w:r>
        <w:rPr>
          <w:color w:val="auto"/>
        </w:rPr>
        <w:t>e</w:t>
      </w:r>
      <w:r w:rsidRPr="0011100C">
        <w:rPr>
          <w:color w:val="auto"/>
        </w:rPr>
        <w:t xml:space="preserve"> </w:t>
      </w:r>
      <w:r>
        <w:rPr>
          <w:color w:val="auto"/>
        </w:rPr>
        <w:t>our</w:t>
      </w:r>
      <w:r w:rsidRPr="0011100C">
        <w:rPr>
          <w:color w:val="auto"/>
        </w:rPr>
        <w:t xml:space="preserve"> efforts in the sector</w:t>
      </w:r>
      <w:r>
        <w:rPr>
          <w:color w:val="auto"/>
        </w:rPr>
        <w:t xml:space="preserve"> through </w:t>
      </w:r>
      <w:r w:rsidR="00517504">
        <w:rPr>
          <w:color w:val="auto"/>
        </w:rPr>
        <w:t xml:space="preserve">the development of </w:t>
      </w:r>
      <w:r>
        <w:rPr>
          <w:color w:val="auto"/>
        </w:rPr>
        <w:t>a</w:t>
      </w:r>
      <w:r w:rsidR="000B6C89">
        <w:rPr>
          <w:color w:val="auto"/>
        </w:rPr>
        <w:t xml:space="preserve"> </w:t>
      </w:r>
      <w:r w:rsidRPr="0011100C">
        <w:rPr>
          <w:i/>
          <w:color w:val="auto"/>
        </w:rPr>
        <w:t>Sector Strategy for Australia’s Law and Justice Investments in Papua New Guinea</w:t>
      </w:r>
      <w:r>
        <w:rPr>
          <w:color w:val="auto"/>
        </w:rPr>
        <w:t>. The strategy</w:t>
      </w:r>
      <w:r w:rsidRPr="0011100C">
        <w:rPr>
          <w:i/>
          <w:color w:val="auto"/>
        </w:rPr>
        <w:t xml:space="preserve"> </w:t>
      </w:r>
      <w:r w:rsidRPr="0011100C">
        <w:rPr>
          <w:color w:val="auto"/>
        </w:rPr>
        <w:t>refresh</w:t>
      </w:r>
      <w:r>
        <w:rPr>
          <w:color w:val="auto"/>
        </w:rPr>
        <w:t>es</w:t>
      </w:r>
      <w:r w:rsidRPr="0011100C">
        <w:rPr>
          <w:color w:val="auto"/>
        </w:rPr>
        <w:t xml:space="preserve"> the di</w:t>
      </w:r>
      <w:r w:rsidR="00517504">
        <w:rPr>
          <w:color w:val="auto"/>
        </w:rPr>
        <w:t>rection of Australia’s</w:t>
      </w:r>
      <w:r w:rsidRPr="0011100C">
        <w:rPr>
          <w:color w:val="auto"/>
        </w:rPr>
        <w:t xml:space="preserve"> law and justice investments</w:t>
      </w:r>
      <w:r w:rsidR="00517504">
        <w:rPr>
          <w:color w:val="auto"/>
        </w:rPr>
        <w:t xml:space="preserve"> in Papua New Guinea and will drive</w:t>
      </w:r>
      <w:r w:rsidRPr="0011100C">
        <w:rPr>
          <w:color w:val="auto"/>
        </w:rPr>
        <w:t xml:space="preserve"> whole-of-sector </w:t>
      </w:r>
      <w:r w:rsidR="00C500E0">
        <w:rPr>
          <w:color w:val="auto"/>
        </w:rPr>
        <w:t xml:space="preserve">and </w:t>
      </w:r>
      <w:r w:rsidR="00C574EC">
        <w:rPr>
          <w:color w:val="auto"/>
        </w:rPr>
        <w:t xml:space="preserve">Australian </w:t>
      </w:r>
      <w:r w:rsidR="00C500E0">
        <w:rPr>
          <w:color w:val="auto"/>
        </w:rPr>
        <w:t xml:space="preserve">whole-of-government </w:t>
      </w:r>
      <w:r w:rsidRPr="0011100C">
        <w:rPr>
          <w:color w:val="auto"/>
        </w:rPr>
        <w:t>coordination across these investments.</w:t>
      </w:r>
      <w:r w:rsidR="00E111CC">
        <w:rPr>
          <w:color w:val="auto"/>
        </w:rPr>
        <w:t xml:space="preserve"> </w:t>
      </w:r>
    </w:p>
    <w:p w14:paraId="53492A96" w14:textId="5CF47233" w:rsidR="007D0EA8" w:rsidRPr="0011100C" w:rsidRDefault="007D0EA8" w:rsidP="007D0EA8">
      <w:pPr>
        <w:rPr>
          <w:color w:val="auto"/>
        </w:rPr>
      </w:pPr>
      <w:r>
        <w:rPr>
          <w:color w:val="auto"/>
        </w:rPr>
        <w:t xml:space="preserve">A </w:t>
      </w:r>
      <w:r w:rsidRPr="0011100C">
        <w:rPr>
          <w:color w:val="auto"/>
        </w:rPr>
        <w:t xml:space="preserve">lack of recurrent budget support from the </w:t>
      </w:r>
      <w:r w:rsidR="0010519E">
        <w:rPr>
          <w:color w:val="auto"/>
        </w:rPr>
        <w:t>Government of Papua New Guinea</w:t>
      </w:r>
      <w:r w:rsidRPr="0011100C">
        <w:rPr>
          <w:color w:val="auto"/>
        </w:rPr>
        <w:t xml:space="preserve"> to </w:t>
      </w:r>
      <w:r w:rsidR="0010519E">
        <w:rPr>
          <w:color w:val="auto"/>
        </w:rPr>
        <w:t xml:space="preserve">relevant </w:t>
      </w:r>
      <w:r w:rsidRPr="0011100C">
        <w:rPr>
          <w:color w:val="auto"/>
        </w:rPr>
        <w:t>sector</w:t>
      </w:r>
      <w:r w:rsidR="0010519E">
        <w:rPr>
          <w:color w:val="auto"/>
        </w:rPr>
        <w:t>al</w:t>
      </w:r>
      <w:r w:rsidRPr="0011100C">
        <w:rPr>
          <w:color w:val="auto"/>
        </w:rPr>
        <w:t xml:space="preserve"> agencies, particularly </w:t>
      </w:r>
      <w:r w:rsidR="009313B5">
        <w:rPr>
          <w:color w:val="auto"/>
        </w:rPr>
        <w:t>in</w:t>
      </w:r>
      <w:r w:rsidRPr="0011100C">
        <w:rPr>
          <w:color w:val="auto"/>
        </w:rPr>
        <w:t xml:space="preserve"> provinces, </w:t>
      </w:r>
      <w:r>
        <w:rPr>
          <w:color w:val="auto"/>
        </w:rPr>
        <w:t>i</w:t>
      </w:r>
      <w:r w:rsidRPr="0011100C">
        <w:rPr>
          <w:color w:val="auto"/>
        </w:rPr>
        <w:t>s affect</w:t>
      </w:r>
      <w:r>
        <w:rPr>
          <w:color w:val="auto"/>
        </w:rPr>
        <w:t>ing</w:t>
      </w:r>
      <w:r w:rsidRPr="0011100C">
        <w:rPr>
          <w:color w:val="auto"/>
        </w:rPr>
        <w:t xml:space="preserve"> the </w:t>
      </w:r>
      <w:r>
        <w:rPr>
          <w:color w:val="auto"/>
        </w:rPr>
        <w:t xml:space="preserve">effectiveness of </w:t>
      </w:r>
      <w:r w:rsidRPr="0011100C">
        <w:rPr>
          <w:color w:val="auto"/>
        </w:rPr>
        <w:t>Australia</w:t>
      </w:r>
      <w:r>
        <w:rPr>
          <w:color w:val="auto"/>
        </w:rPr>
        <w:t>’s support</w:t>
      </w:r>
      <w:r w:rsidRPr="0011100C">
        <w:rPr>
          <w:color w:val="auto"/>
        </w:rPr>
        <w:t>.</w:t>
      </w:r>
      <w:r w:rsidR="00E111CC">
        <w:rPr>
          <w:color w:val="auto"/>
        </w:rPr>
        <w:t xml:space="preserve"> </w:t>
      </w:r>
      <w:r>
        <w:rPr>
          <w:color w:val="auto"/>
        </w:rPr>
        <w:t xml:space="preserve">It is also compromising the </w:t>
      </w:r>
      <w:r w:rsidRPr="0011100C">
        <w:rPr>
          <w:color w:val="auto"/>
        </w:rPr>
        <w:t>ability of sector agencies to effectively enforce laws</w:t>
      </w:r>
      <w:r>
        <w:rPr>
          <w:color w:val="auto"/>
        </w:rPr>
        <w:t xml:space="preserve">, including through mounting effective </w:t>
      </w:r>
      <w:r w:rsidRPr="0011100C">
        <w:rPr>
          <w:color w:val="auto"/>
        </w:rPr>
        <w:t>investigat</w:t>
      </w:r>
      <w:r>
        <w:rPr>
          <w:color w:val="auto"/>
        </w:rPr>
        <w:t>ions</w:t>
      </w:r>
      <w:r w:rsidRPr="0011100C">
        <w:rPr>
          <w:color w:val="auto"/>
        </w:rPr>
        <w:t xml:space="preserve"> and prosecut</w:t>
      </w:r>
      <w:r>
        <w:rPr>
          <w:color w:val="auto"/>
        </w:rPr>
        <w:t xml:space="preserve">ions of </w:t>
      </w:r>
      <w:r w:rsidRPr="0011100C">
        <w:rPr>
          <w:color w:val="auto"/>
        </w:rPr>
        <w:t>serious crime</w:t>
      </w:r>
      <w:r>
        <w:rPr>
          <w:color w:val="auto"/>
        </w:rPr>
        <w:t xml:space="preserve">s, </w:t>
      </w:r>
      <w:r w:rsidRPr="0011100C">
        <w:rPr>
          <w:color w:val="auto"/>
        </w:rPr>
        <w:t>corruption and family sexual violence.</w:t>
      </w:r>
      <w:r w:rsidR="00E111CC">
        <w:rPr>
          <w:color w:val="auto"/>
        </w:rPr>
        <w:t xml:space="preserve"> </w:t>
      </w:r>
      <w:r w:rsidRPr="0011100C">
        <w:rPr>
          <w:color w:val="auto"/>
        </w:rPr>
        <w:t>A lack of baseline and updated data contribute</w:t>
      </w:r>
      <w:r>
        <w:rPr>
          <w:color w:val="auto"/>
        </w:rPr>
        <w:t>s</w:t>
      </w:r>
      <w:r w:rsidRPr="0011100C">
        <w:rPr>
          <w:color w:val="auto"/>
        </w:rPr>
        <w:t xml:space="preserve"> to the difficulty in accurately measuring the impacts of Australia</w:t>
      </w:r>
      <w:r>
        <w:rPr>
          <w:color w:val="auto"/>
        </w:rPr>
        <w:t>’s</w:t>
      </w:r>
      <w:r w:rsidRPr="0011100C">
        <w:rPr>
          <w:color w:val="auto"/>
        </w:rPr>
        <w:t xml:space="preserve"> investments.</w:t>
      </w:r>
      <w:r w:rsidR="00E111CC">
        <w:rPr>
          <w:color w:val="auto"/>
        </w:rPr>
        <w:t xml:space="preserve"> </w:t>
      </w:r>
      <w:r w:rsidRPr="0011100C">
        <w:rPr>
          <w:color w:val="auto"/>
        </w:rPr>
        <w:t xml:space="preserve">To address this, JSS4D funded </w:t>
      </w:r>
      <w:r w:rsidR="00517504">
        <w:rPr>
          <w:color w:val="auto"/>
        </w:rPr>
        <w:t xml:space="preserve">a </w:t>
      </w:r>
      <w:r w:rsidRPr="0011100C">
        <w:rPr>
          <w:color w:val="auto"/>
        </w:rPr>
        <w:t xml:space="preserve">Community Business Perceptions of Crime </w:t>
      </w:r>
      <w:r w:rsidR="00517504">
        <w:rPr>
          <w:color w:val="auto"/>
        </w:rPr>
        <w:t xml:space="preserve">survey </w:t>
      </w:r>
      <w:r w:rsidRPr="0011100C">
        <w:rPr>
          <w:color w:val="auto"/>
        </w:rPr>
        <w:t>conducted in four provinces,</w:t>
      </w:r>
      <w:r w:rsidR="00517504">
        <w:rPr>
          <w:color w:val="auto"/>
        </w:rPr>
        <w:t xml:space="preserve"> which has assisted in</w:t>
      </w:r>
      <w:r w:rsidRPr="0011100C">
        <w:rPr>
          <w:color w:val="auto"/>
        </w:rPr>
        <w:t xml:space="preserve"> providing some baseline data </w:t>
      </w:r>
      <w:r>
        <w:rPr>
          <w:color w:val="auto"/>
        </w:rPr>
        <w:t>for future programming</w:t>
      </w:r>
      <w:r w:rsidRPr="0011100C">
        <w:rPr>
          <w:color w:val="auto"/>
        </w:rPr>
        <w:t>.</w:t>
      </w:r>
    </w:p>
    <w:p w14:paraId="38F39E59" w14:textId="00DCC167" w:rsidR="007D0EA8" w:rsidRPr="0011100C" w:rsidRDefault="007D0EA8" w:rsidP="007D0EA8">
      <w:pPr>
        <w:rPr>
          <w:color w:val="auto"/>
        </w:rPr>
      </w:pPr>
      <w:r w:rsidRPr="0011100C">
        <w:rPr>
          <w:color w:val="auto"/>
        </w:rPr>
        <w:t>JSS4D has four outcomes: improving community safety; addressing family and sexual violence (FSV); strengthening legal services; and confronting corruption.</w:t>
      </w:r>
      <w:r w:rsidR="00E111CC">
        <w:rPr>
          <w:color w:val="auto"/>
        </w:rPr>
        <w:t xml:space="preserve"> </w:t>
      </w:r>
      <w:r w:rsidRPr="0011100C">
        <w:rPr>
          <w:color w:val="auto"/>
        </w:rPr>
        <w:t xml:space="preserve">Special consideration is also given to the Autonomous Region of Bougainville (AROB), reflecting its post-conflict need for peace and stability and the establishment of key services. </w:t>
      </w:r>
      <w:r>
        <w:rPr>
          <w:color w:val="auto"/>
        </w:rPr>
        <w:t>JSS4D</w:t>
      </w:r>
      <w:r w:rsidRPr="0011100C">
        <w:rPr>
          <w:color w:val="auto"/>
        </w:rPr>
        <w:t xml:space="preserve"> foc</w:t>
      </w:r>
      <w:r w:rsidR="00517504">
        <w:rPr>
          <w:color w:val="auto"/>
        </w:rPr>
        <w:t>uses on six priority provinces (</w:t>
      </w:r>
      <w:r w:rsidRPr="0011100C">
        <w:rPr>
          <w:color w:val="auto"/>
        </w:rPr>
        <w:t>Morobe, Northern, Hela, South</w:t>
      </w:r>
      <w:r w:rsidR="00517504">
        <w:rPr>
          <w:color w:val="auto"/>
        </w:rPr>
        <w:t>ern Highlands, Gulf and Western) as well as the AROB and ten</w:t>
      </w:r>
      <w:r w:rsidRPr="0011100C">
        <w:rPr>
          <w:color w:val="auto"/>
        </w:rPr>
        <w:t xml:space="preserve"> national law and justice </w:t>
      </w:r>
      <w:r w:rsidR="00986DC8">
        <w:rPr>
          <w:color w:val="auto"/>
        </w:rPr>
        <w:t>agencies to implement activities</w:t>
      </w:r>
      <w:r w:rsidRPr="0011100C">
        <w:rPr>
          <w:color w:val="auto"/>
        </w:rPr>
        <w:t>.</w:t>
      </w:r>
      <w:r w:rsidR="00E111CC">
        <w:rPr>
          <w:color w:val="auto"/>
        </w:rPr>
        <w:t xml:space="preserve"> </w:t>
      </w:r>
      <w:r w:rsidRPr="0011100C">
        <w:rPr>
          <w:color w:val="auto"/>
        </w:rPr>
        <w:t>In 2</w:t>
      </w:r>
      <w:r w:rsidR="00986DC8">
        <w:rPr>
          <w:color w:val="auto"/>
        </w:rPr>
        <w:t>018-19, the program is on track;</w:t>
      </w:r>
      <w:r w:rsidRPr="0011100C">
        <w:rPr>
          <w:color w:val="auto"/>
        </w:rPr>
        <w:t xml:space="preserve"> notabl</w:t>
      </w:r>
      <w:r>
        <w:rPr>
          <w:color w:val="auto"/>
        </w:rPr>
        <w:t>e</w:t>
      </w:r>
      <w:r w:rsidRPr="0011100C">
        <w:rPr>
          <w:color w:val="auto"/>
        </w:rPr>
        <w:t xml:space="preserve"> outcomes for addressing</w:t>
      </w:r>
      <w:r>
        <w:rPr>
          <w:color w:val="auto"/>
        </w:rPr>
        <w:t xml:space="preserve"> </w:t>
      </w:r>
      <w:r w:rsidR="00986DC8">
        <w:rPr>
          <w:color w:val="auto"/>
        </w:rPr>
        <w:t>FSV</w:t>
      </w:r>
      <w:r w:rsidRPr="0011100C">
        <w:rPr>
          <w:color w:val="auto"/>
        </w:rPr>
        <w:t xml:space="preserve"> </w:t>
      </w:r>
      <w:r>
        <w:rPr>
          <w:color w:val="auto"/>
        </w:rPr>
        <w:t>were achieved</w:t>
      </w:r>
      <w:r w:rsidRPr="0011100C">
        <w:rPr>
          <w:color w:val="auto"/>
        </w:rPr>
        <w:t xml:space="preserve"> by supporting the implementation of legislation to assist FSV survivors access legal services and protection (1,550 Interim Protection Orders were issued and 26 FSV cases prosecuted in 2017 exceeding the target of 25). Other </w:t>
      </w:r>
      <w:r>
        <w:rPr>
          <w:color w:val="auto"/>
        </w:rPr>
        <w:t>achievements</w:t>
      </w:r>
      <w:r w:rsidRPr="0011100C">
        <w:rPr>
          <w:color w:val="auto"/>
        </w:rPr>
        <w:t xml:space="preserve"> included the establishment of offices for two national law and justice agencies in Bougainville; ongoing support to the Bougainville Police Service and Correctional Services </w:t>
      </w:r>
      <w:r>
        <w:rPr>
          <w:color w:val="auto"/>
        </w:rPr>
        <w:t xml:space="preserve">nationally </w:t>
      </w:r>
      <w:r w:rsidRPr="0011100C">
        <w:rPr>
          <w:color w:val="auto"/>
        </w:rPr>
        <w:t xml:space="preserve">to strengthen rehabilitation and reintegration of offenders in line with expectations; and support for reforms </w:t>
      </w:r>
      <w:r w:rsidR="00986DC8">
        <w:rPr>
          <w:color w:val="auto"/>
        </w:rPr>
        <w:t>in the</w:t>
      </w:r>
      <w:r w:rsidRPr="0011100C">
        <w:rPr>
          <w:color w:val="auto"/>
        </w:rPr>
        <w:t xml:space="preserve"> Magisterial Services</w:t>
      </w:r>
      <w:r w:rsidR="00986DC8">
        <w:rPr>
          <w:color w:val="auto"/>
        </w:rPr>
        <w:t>, Correctional Services and Public Solicitor’s O</w:t>
      </w:r>
      <w:r w:rsidRPr="0011100C">
        <w:rPr>
          <w:color w:val="auto"/>
        </w:rPr>
        <w:t xml:space="preserve">ffice. </w:t>
      </w:r>
    </w:p>
    <w:p w14:paraId="750E9EB6" w14:textId="0B25E221" w:rsidR="007D0EA8" w:rsidRPr="0011100C" w:rsidRDefault="007D0EA8" w:rsidP="007D0EA8">
      <w:pPr>
        <w:rPr>
          <w:color w:val="auto"/>
        </w:rPr>
      </w:pPr>
      <w:r w:rsidRPr="0011100C">
        <w:rPr>
          <w:color w:val="auto"/>
        </w:rPr>
        <w:t xml:space="preserve">An </w:t>
      </w:r>
      <w:r w:rsidRPr="00986DC8">
        <w:rPr>
          <w:color w:val="auto"/>
        </w:rPr>
        <w:t xml:space="preserve">independent evaluation </w:t>
      </w:r>
      <w:r w:rsidRPr="0011100C">
        <w:rPr>
          <w:color w:val="auto"/>
        </w:rPr>
        <w:t>of JSS4D was completed in October 2018 to provide stakeholders with a clear ass</w:t>
      </w:r>
      <w:r w:rsidR="00DD5AF1">
        <w:rPr>
          <w:color w:val="auto"/>
        </w:rPr>
        <w:t>essment of the progress of the p</w:t>
      </w:r>
      <w:r w:rsidRPr="0011100C">
        <w:rPr>
          <w:color w:val="auto"/>
        </w:rPr>
        <w:t>rogram to date. The evaluation found that overall delivery of JSS4D has been efficient and effective. Relationships with stakeholders are highly regarded and management</w:t>
      </w:r>
      <w:r w:rsidR="00DD5AF1">
        <w:rPr>
          <w:color w:val="auto"/>
        </w:rPr>
        <w:t xml:space="preserve"> and operations are sound. The p</w:t>
      </w:r>
      <w:r w:rsidRPr="0011100C">
        <w:rPr>
          <w:color w:val="auto"/>
        </w:rPr>
        <w:t xml:space="preserve">rogram has demonstrated improvements, particularly in the areas of community safety, addressing </w:t>
      </w:r>
      <w:r>
        <w:rPr>
          <w:color w:val="auto"/>
        </w:rPr>
        <w:t>FSV</w:t>
      </w:r>
      <w:r w:rsidRPr="0011100C">
        <w:rPr>
          <w:color w:val="auto"/>
        </w:rPr>
        <w:t xml:space="preserve"> and supporting effective law and justice services. DFAT </w:t>
      </w:r>
      <w:r>
        <w:rPr>
          <w:color w:val="auto"/>
        </w:rPr>
        <w:t xml:space="preserve">is taking forward the evaluation </w:t>
      </w:r>
      <w:r w:rsidRPr="0011100C">
        <w:rPr>
          <w:color w:val="auto"/>
        </w:rPr>
        <w:t xml:space="preserve">recommendations </w:t>
      </w:r>
      <w:r>
        <w:rPr>
          <w:color w:val="auto"/>
        </w:rPr>
        <w:t xml:space="preserve">through a ‘design update’ to JSS4D that will shape </w:t>
      </w:r>
      <w:r w:rsidRPr="0011100C">
        <w:rPr>
          <w:color w:val="auto"/>
        </w:rPr>
        <w:t>the next phase of Australian support.</w:t>
      </w:r>
    </w:p>
    <w:p w14:paraId="4CEB98EA" w14:textId="754F7D35" w:rsidR="007D0EA8" w:rsidRPr="0011100C" w:rsidRDefault="007D0EA8" w:rsidP="007D0EA8">
      <w:pPr>
        <w:rPr>
          <w:color w:val="auto"/>
        </w:rPr>
      </w:pPr>
      <w:r w:rsidRPr="0011100C">
        <w:rPr>
          <w:color w:val="auto"/>
        </w:rPr>
        <w:lastRenderedPageBreak/>
        <w:t>The AFP built stronger working relationships at all levels within the Royal Papua New Guinea Constabulary (RPNGC) through its highly valued targeted training and support delivering policing capability for APEC 2018.</w:t>
      </w:r>
      <w:r w:rsidR="00E111CC">
        <w:rPr>
          <w:color w:val="auto"/>
        </w:rPr>
        <w:t xml:space="preserve"> </w:t>
      </w:r>
      <w:r w:rsidRPr="0011100C">
        <w:rPr>
          <w:color w:val="auto"/>
        </w:rPr>
        <w:t>Their assistance to the RPNGC included specialist skills training in water police, public order management, canine, motorcade, close personal protection, airport policing and the development of bomb appraisal officers.</w:t>
      </w:r>
      <w:r w:rsidR="00E111CC">
        <w:rPr>
          <w:color w:val="auto"/>
        </w:rPr>
        <w:t xml:space="preserve"> </w:t>
      </w:r>
      <w:r>
        <w:rPr>
          <w:color w:val="auto"/>
        </w:rPr>
        <w:t>The new partnership is now pivoting from a strong APEC focus towards a longer-term, more flexible engagement. A key challenge next year is to develop a provincial policing model that would extend AFP advisory support beyond Port Moresby and Lae, noting the legal constraints to in-line policing support.</w:t>
      </w:r>
      <w:r w:rsidR="00E111CC">
        <w:rPr>
          <w:color w:val="auto"/>
        </w:rPr>
        <w:t xml:space="preserve"> </w:t>
      </w:r>
      <w:r w:rsidRPr="0011100C">
        <w:rPr>
          <w:color w:val="auto"/>
        </w:rPr>
        <w:t xml:space="preserve"> </w:t>
      </w:r>
    </w:p>
    <w:p w14:paraId="51540074" w14:textId="59553A5D" w:rsidR="0011100C" w:rsidRPr="0011100C" w:rsidRDefault="007D0EA8" w:rsidP="0011100C">
      <w:pPr>
        <w:rPr>
          <w:highlight w:val="cyan"/>
        </w:rPr>
      </w:pPr>
      <w:r w:rsidRPr="0011100C">
        <w:rPr>
          <w:color w:val="auto"/>
        </w:rPr>
        <w:t>AGD has made a long-term investment in</w:t>
      </w:r>
      <w:r w:rsidR="00DD5AF1">
        <w:rPr>
          <w:color w:val="auto"/>
        </w:rPr>
        <w:t xml:space="preserve"> developing the core skills of G</w:t>
      </w:r>
      <w:r w:rsidRPr="0011100C">
        <w:rPr>
          <w:color w:val="auto"/>
        </w:rPr>
        <w:t>overnment legal advisers and prosecutors – many of whom are now moving into leadership positions – and has provided advice to the Government of Papua New Guinea on legal reform and policy, most recently on legislation to support Papua New Guinea’s successful hosting of APEC</w:t>
      </w:r>
      <w:r>
        <w:rPr>
          <w:color w:val="auto"/>
        </w:rPr>
        <w:t xml:space="preserve"> 2018</w:t>
      </w:r>
      <w:r w:rsidRPr="0011100C">
        <w:rPr>
          <w:color w:val="auto"/>
        </w:rPr>
        <w:t>.</w:t>
      </w:r>
    </w:p>
    <w:p w14:paraId="520910AA" w14:textId="5DCB8540" w:rsidR="00B87257" w:rsidRPr="00B87257" w:rsidRDefault="00B87257" w:rsidP="005B73DE">
      <w:pPr>
        <w:suppressAutoHyphens w:val="0"/>
        <w:spacing w:before="0" w:after="120" w:line="440" w:lineRule="atLeast"/>
        <w:rPr>
          <w:rFonts w:asciiTheme="majorHAnsi" w:eastAsiaTheme="majorEastAsia" w:hAnsiTheme="majorHAnsi" w:cstheme="majorBidi"/>
          <w:caps/>
          <w:sz w:val="32"/>
          <w:szCs w:val="32"/>
        </w:rPr>
      </w:pPr>
      <w:r w:rsidRPr="00B87257">
        <w:rPr>
          <w:rFonts w:asciiTheme="majorHAnsi" w:eastAsiaTheme="majorEastAsia" w:hAnsiTheme="majorHAnsi" w:cstheme="majorBidi"/>
          <w:caps/>
          <w:sz w:val="32"/>
          <w:szCs w:val="32"/>
        </w:rPr>
        <w:t>Objective 2: enabling economic growth</w:t>
      </w:r>
      <w:r w:rsidR="005325A1">
        <w:rPr>
          <w:rFonts w:asciiTheme="majorHAnsi" w:eastAsiaTheme="majorEastAsia" w:hAnsiTheme="majorHAnsi" w:cstheme="majorBidi"/>
          <w:caps/>
          <w:sz w:val="32"/>
          <w:szCs w:val="32"/>
        </w:rPr>
        <w:t xml:space="preserve"> </w:t>
      </w:r>
      <w:r w:rsidR="005325A1" w:rsidRPr="005325A1">
        <w:rPr>
          <w:rFonts w:asciiTheme="majorHAnsi" w:eastAsiaTheme="majorEastAsia" w:hAnsiTheme="majorHAnsi" w:cstheme="majorBidi"/>
          <w:caps/>
          <w:sz w:val="32"/>
          <w:szCs w:val="32"/>
        </w:rPr>
        <w:t>($152.4</w:t>
      </w:r>
      <w:r w:rsidR="005325A1">
        <w:rPr>
          <w:rFonts w:asciiTheme="majorHAnsi" w:eastAsiaTheme="majorEastAsia" w:hAnsiTheme="majorHAnsi" w:cstheme="majorBidi"/>
          <w:caps/>
          <w:sz w:val="32"/>
          <w:szCs w:val="32"/>
        </w:rPr>
        <w:t xml:space="preserve"> </w:t>
      </w:r>
      <w:r w:rsidR="005325A1" w:rsidRPr="002F4DBE">
        <w:rPr>
          <w:color w:val="auto"/>
          <w:sz w:val="32"/>
          <w:szCs w:val="32"/>
        </w:rPr>
        <w:t>million)</w:t>
      </w:r>
    </w:p>
    <w:p w14:paraId="40D124CC" w14:textId="77777777" w:rsidR="00B87257" w:rsidRPr="00B87257" w:rsidRDefault="00B87257" w:rsidP="00B87257">
      <w:pPr>
        <w:rPr>
          <w:b/>
          <w:color w:val="auto"/>
          <w:u w:val="single"/>
          <w:lang w:val="en-US"/>
        </w:rPr>
      </w:pPr>
      <w:r w:rsidRPr="00B87257">
        <w:rPr>
          <w:noProof/>
          <w:color w:val="auto"/>
          <w:lang w:val="en-AU" w:eastAsia="en-AU"/>
        </w:rPr>
        <w:drawing>
          <wp:anchor distT="0" distB="0" distL="114300" distR="114300" simplePos="0" relativeHeight="251697152" behindDoc="0" locked="0" layoutInCell="1" allowOverlap="1" wp14:anchorId="0E806E6C" wp14:editId="7018D137">
            <wp:simplePos x="0" y="0"/>
            <wp:positionH relativeFrom="column">
              <wp:posOffset>3733800</wp:posOffset>
            </wp:positionH>
            <wp:positionV relativeFrom="paragraph">
              <wp:posOffset>104775</wp:posOffset>
            </wp:positionV>
            <wp:extent cx="609600" cy="6096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B87257">
        <w:rPr>
          <w:noProof/>
          <w:color w:val="auto"/>
          <w:lang w:val="en-AU" w:eastAsia="en-AU"/>
        </w:rPr>
        <w:drawing>
          <wp:anchor distT="0" distB="0" distL="114300" distR="114300" simplePos="0" relativeHeight="251698176" behindDoc="0" locked="0" layoutInCell="1" allowOverlap="1" wp14:anchorId="031F1CBA" wp14:editId="5B9DB4DB">
            <wp:simplePos x="0" y="0"/>
            <wp:positionH relativeFrom="column">
              <wp:posOffset>4333875</wp:posOffset>
            </wp:positionH>
            <wp:positionV relativeFrom="paragraph">
              <wp:posOffset>104775</wp:posOffset>
            </wp:positionV>
            <wp:extent cx="609600" cy="6096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B87257">
        <w:rPr>
          <w:rFonts w:eastAsiaTheme="majorEastAsia" w:cstheme="majorBidi"/>
          <w:caps/>
          <w:noProof/>
          <w:color w:val="auto"/>
          <w:lang w:val="en-AU" w:eastAsia="en-AU"/>
        </w:rPr>
        <w:drawing>
          <wp:inline distT="0" distB="0" distL="0" distR="0" wp14:anchorId="4C30129F" wp14:editId="6B473F2B">
            <wp:extent cx="1133475" cy="723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274F338F" wp14:editId="2479ADD2">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87257">
        <w:rPr>
          <w:noProof/>
          <w:color w:val="auto"/>
          <w:lang w:val="en-AU" w:eastAsia="en-AU"/>
        </w:rPr>
        <w:drawing>
          <wp:inline distT="0" distB="0" distL="0" distR="0" wp14:anchorId="6B0E25F5" wp14:editId="18D30B96">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87257">
        <w:rPr>
          <w:noProof/>
          <w:color w:val="auto"/>
          <w:lang w:val="en-AU" w:eastAsia="en-AU"/>
        </w:rPr>
        <w:drawing>
          <wp:inline distT="0" distB="0" distL="0" distR="0" wp14:anchorId="73703C66" wp14:editId="33CA1D20">
            <wp:extent cx="609600" cy="609600"/>
            <wp:effectExtent l="0" t="0" r="0" b="0"/>
            <wp:docPr id="58" name="Picture 5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87257">
        <w:rPr>
          <w:noProof/>
          <w:color w:val="auto"/>
          <w:lang w:val="en-AU" w:eastAsia="en-AU"/>
        </w:rPr>
        <w:drawing>
          <wp:inline distT="0" distB="0" distL="0" distR="0" wp14:anchorId="6BCC2911" wp14:editId="12506638">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87257">
        <w:rPr>
          <w:noProof/>
          <w:color w:val="auto"/>
          <w:lang w:val="en-AU" w:eastAsia="en-AU"/>
        </w:rPr>
        <w:drawing>
          <wp:inline distT="0" distB="0" distL="0" distR="0" wp14:anchorId="316E1B55" wp14:editId="681B4D10">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27D7430" w14:textId="3329C44A" w:rsidR="00B87257" w:rsidRPr="003319B2" w:rsidRDefault="00C500E0" w:rsidP="002D5126">
      <w:pPr>
        <w:rPr>
          <w:color w:val="auto"/>
          <w:lang w:val="en-US"/>
        </w:rPr>
      </w:pPr>
      <w:r w:rsidRPr="003319B2">
        <w:rPr>
          <w:color w:val="auto"/>
          <w:lang w:val="en-US"/>
        </w:rPr>
        <w:t xml:space="preserve">In 2018-19, we have deepened our relationships with partners in the Government of Papua New Guinea and maintained our status as Papua New Guinea’s economic partner of choice. </w:t>
      </w:r>
      <w:r w:rsidR="00B87257" w:rsidRPr="003319B2">
        <w:rPr>
          <w:color w:val="auto"/>
          <w:lang w:val="en-US"/>
        </w:rPr>
        <w:t xml:space="preserve">This objective is rated Green as key benchmarks in the Economic Governance and Inclusive Growth Partnership, Transport Sector Support Program and the Incentive Fund were effectively delivered as expected. </w:t>
      </w:r>
      <w:r w:rsidR="002D5126" w:rsidRPr="003319B2">
        <w:rPr>
          <w:color w:val="auto"/>
          <w:lang w:val="en-US"/>
        </w:rPr>
        <w:t>In 2018-19, Australia</w:t>
      </w:r>
      <w:r w:rsidR="00341116" w:rsidRPr="003319B2">
        <w:rPr>
          <w:color w:val="auto"/>
          <w:lang w:val="en-US"/>
        </w:rPr>
        <w:t>n</w:t>
      </w:r>
      <w:r w:rsidR="002D5126" w:rsidRPr="003319B2">
        <w:rPr>
          <w:color w:val="auto"/>
          <w:lang w:val="en-US"/>
        </w:rPr>
        <w:t xml:space="preserve"> technical assistance </w:t>
      </w:r>
      <w:r w:rsidR="00341116" w:rsidRPr="003319B2">
        <w:rPr>
          <w:color w:val="auto"/>
          <w:lang w:val="en-US"/>
        </w:rPr>
        <w:t>enabled substantial</w:t>
      </w:r>
      <w:r w:rsidR="002D5126" w:rsidRPr="003319B2">
        <w:rPr>
          <w:color w:val="auto"/>
          <w:lang w:val="en-US"/>
        </w:rPr>
        <w:t xml:space="preserve"> stable and transparent international financing to </w:t>
      </w:r>
      <w:r w:rsidR="00341116" w:rsidRPr="003319B2">
        <w:rPr>
          <w:color w:val="auto"/>
          <w:lang w:val="en-US"/>
        </w:rPr>
        <w:t xml:space="preserve">assist the Government of Papua New Guinea </w:t>
      </w:r>
      <w:r w:rsidR="002D5126" w:rsidRPr="003319B2">
        <w:rPr>
          <w:color w:val="auto"/>
          <w:lang w:val="en-US"/>
        </w:rPr>
        <w:t>deliver on key</w:t>
      </w:r>
      <w:r w:rsidR="00341116" w:rsidRPr="003319B2">
        <w:rPr>
          <w:color w:val="auto"/>
          <w:lang w:val="en-US"/>
        </w:rPr>
        <w:t xml:space="preserve"> budget</w:t>
      </w:r>
      <w:r w:rsidR="002D5126" w:rsidRPr="003319B2">
        <w:rPr>
          <w:color w:val="auto"/>
          <w:lang w:val="en-US"/>
        </w:rPr>
        <w:t xml:space="preserve"> priorities. </w:t>
      </w:r>
      <w:r w:rsidR="001F12AB" w:rsidRPr="003319B2">
        <w:rPr>
          <w:color w:val="auto"/>
          <w:lang w:val="en-US"/>
        </w:rPr>
        <w:t>Our support enabled the maintenanc</w:t>
      </w:r>
      <w:r w:rsidR="00C43C94">
        <w:rPr>
          <w:color w:val="auto"/>
          <w:lang w:val="en-US"/>
        </w:rPr>
        <w:t>e and reconstruction of over 1,7</w:t>
      </w:r>
      <w:r w:rsidR="001F12AB" w:rsidRPr="003319B2">
        <w:rPr>
          <w:color w:val="auto"/>
          <w:lang w:val="en-US"/>
        </w:rPr>
        <w:t>00 kilometres of roads, supporting our long-term goal of a safe, reliable transport sys</w:t>
      </w:r>
      <w:r w:rsidR="006F41B6" w:rsidRPr="003319B2">
        <w:rPr>
          <w:color w:val="auto"/>
          <w:lang w:val="en-US"/>
        </w:rPr>
        <w:t>tem that enables economic growth</w:t>
      </w:r>
      <w:r w:rsidR="001F12AB" w:rsidRPr="003319B2">
        <w:rPr>
          <w:color w:val="auto"/>
          <w:lang w:val="en-US"/>
        </w:rPr>
        <w:t xml:space="preserve">. </w:t>
      </w:r>
      <w:r w:rsidR="002D5126" w:rsidRPr="003319B2">
        <w:rPr>
          <w:color w:val="auto"/>
          <w:lang w:val="en-US"/>
        </w:rPr>
        <w:t xml:space="preserve">We </w:t>
      </w:r>
      <w:r w:rsidR="001F12AB" w:rsidRPr="003319B2">
        <w:rPr>
          <w:color w:val="auto"/>
          <w:lang w:val="en-US"/>
        </w:rPr>
        <w:t>enabled</w:t>
      </w:r>
      <w:r w:rsidR="002D5126" w:rsidRPr="003319B2">
        <w:rPr>
          <w:color w:val="auto"/>
          <w:lang w:val="en-US"/>
        </w:rPr>
        <w:t xml:space="preserve"> improvements to government procurement systems, which will help reduce corruption and improve service delivery. </w:t>
      </w:r>
      <w:r w:rsidR="001F12AB" w:rsidRPr="003319B2">
        <w:rPr>
          <w:color w:val="auto"/>
          <w:lang w:val="en-US"/>
        </w:rPr>
        <w:t>In 2018</w:t>
      </w:r>
      <w:r w:rsidR="001F12AB" w:rsidRPr="003319B2">
        <w:rPr>
          <w:color w:val="auto"/>
          <w:lang w:val="en-US"/>
        </w:rPr>
        <w:noBreakHyphen/>
        <w:t>19, we</w:t>
      </w:r>
      <w:r w:rsidR="002D5126" w:rsidRPr="003319B2">
        <w:rPr>
          <w:color w:val="auto"/>
          <w:lang w:val="en-US"/>
        </w:rPr>
        <w:t xml:space="preserve"> commenced the Coral Sea Cable project, which will deliver 20 terabits per second capacity (or 800 times more than the existing capacity) of data to Papua New Guinea by the end of 2019.</w:t>
      </w:r>
    </w:p>
    <w:p w14:paraId="11DF1342" w14:textId="77777777" w:rsidR="00B87257" w:rsidRPr="00B87257" w:rsidRDefault="00B87257" w:rsidP="00B87257">
      <w:pPr>
        <w:pStyle w:val="Heading3Numbered"/>
        <w:numPr>
          <w:ilvl w:val="0"/>
          <w:numId w:val="0"/>
        </w:numPr>
        <w:ind w:left="851" w:hanging="851"/>
        <w:rPr>
          <w:color w:val="auto"/>
          <w:lang w:val="en-US"/>
        </w:rPr>
      </w:pPr>
      <w:r w:rsidRPr="00B87257">
        <w:rPr>
          <w:color w:val="auto"/>
          <w:lang w:val="en-US"/>
        </w:rPr>
        <w:t>Infrastructure</w:t>
      </w:r>
    </w:p>
    <w:p w14:paraId="35F278D5" w14:textId="5F3AB4F0" w:rsidR="009569AB" w:rsidRPr="009569AB" w:rsidRDefault="003C06AF" w:rsidP="009569AB">
      <w:pPr>
        <w:rPr>
          <w:color w:val="auto"/>
          <w:lang w:val="en-US"/>
        </w:rPr>
      </w:pPr>
      <w:r>
        <w:rPr>
          <w:color w:val="auto"/>
          <w:lang w:val="en-US"/>
        </w:rPr>
        <w:t>Economic growt</w:t>
      </w:r>
      <w:r w:rsidR="00C574EC">
        <w:rPr>
          <w:color w:val="auto"/>
          <w:lang w:val="en-US"/>
        </w:rPr>
        <w:t xml:space="preserve">h and </w:t>
      </w:r>
      <w:r>
        <w:rPr>
          <w:color w:val="auto"/>
          <w:lang w:val="en-US"/>
        </w:rPr>
        <w:t>development</w:t>
      </w:r>
      <w:r w:rsidR="00C574EC">
        <w:rPr>
          <w:color w:val="auto"/>
          <w:lang w:val="en-US"/>
        </w:rPr>
        <w:t xml:space="preserve"> </w:t>
      </w:r>
      <w:r>
        <w:rPr>
          <w:color w:val="auto"/>
          <w:lang w:val="en-US"/>
        </w:rPr>
        <w:t xml:space="preserve">in </w:t>
      </w:r>
      <w:r w:rsidR="009569AB" w:rsidRPr="009569AB">
        <w:rPr>
          <w:color w:val="auto"/>
          <w:lang w:val="en-US"/>
        </w:rPr>
        <w:t xml:space="preserve">Papua New Guinea </w:t>
      </w:r>
      <w:r w:rsidR="00C574EC">
        <w:rPr>
          <w:color w:val="auto"/>
          <w:lang w:val="en-US"/>
        </w:rPr>
        <w:t>are</w:t>
      </w:r>
      <w:r>
        <w:rPr>
          <w:color w:val="auto"/>
          <w:lang w:val="en-US"/>
        </w:rPr>
        <w:t xml:space="preserve"> still inhibited by </w:t>
      </w:r>
      <w:r w:rsidR="00F1326C">
        <w:rPr>
          <w:color w:val="auto"/>
          <w:lang w:val="en-US"/>
        </w:rPr>
        <w:t>a lack of quality infrastructure</w:t>
      </w:r>
      <w:r w:rsidR="009569AB" w:rsidRPr="009569AB">
        <w:rPr>
          <w:color w:val="auto"/>
          <w:lang w:val="en-US"/>
        </w:rPr>
        <w:t xml:space="preserve">, </w:t>
      </w:r>
      <w:r w:rsidR="00F1326C">
        <w:rPr>
          <w:color w:val="auto"/>
          <w:lang w:val="en-US"/>
        </w:rPr>
        <w:t>including in the</w:t>
      </w:r>
      <w:r w:rsidR="009569AB" w:rsidRPr="009569AB">
        <w:rPr>
          <w:color w:val="auto"/>
          <w:lang w:val="en-US"/>
        </w:rPr>
        <w:t xml:space="preserve"> transport, electricity</w:t>
      </w:r>
      <w:r w:rsidR="00F1326C">
        <w:rPr>
          <w:color w:val="auto"/>
          <w:lang w:val="en-US"/>
        </w:rPr>
        <w:t>, telecommunications</w:t>
      </w:r>
      <w:r w:rsidR="009569AB" w:rsidRPr="009569AB">
        <w:rPr>
          <w:color w:val="auto"/>
          <w:lang w:val="en-US"/>
        </w:rPr>
        <w:t xml:space="preserve"> and water s</w:t>
      </w:r>
      <w:r w:rsidR="00F1326C">
        <w:rPr>
          <w:color w:val="auto"/>
          <w:lang w:val="en-US"/>
        </w:rPr>
        <w:t>ectors</w:t>
      </w:r>
      <w:r>
        <w:rPr>
          <w:color w:val="auto"/>
          <w:lang w:val="en-US"/>
        </w:rPr>
        <w:t>.</w:t>
      </w:r>
      <w:r w:rsidR="009569AB" w:rsidRPr="009569AB">
        <w:rPr>
          <w:color w:val="auto"/>
          <w:lang w:val="en-US"/>
        </w:rPr>
        <w:t xml:space="preserve"> Australia is supporting </w:t>
      </w:r>
      <w:r w:rsidR="00840AB6" w:rsidRPr="009569AB">
        <w:rPr>
          <w:color w:val="auto"/>
          <w:lang w:val="en-US"/>
        </w:rPr>
        <w:t xml:space="preserve">Papua New Guinea </w:t>
      </w:r>
      <w:r w:rsidR="009569AB" w:rsidRPr="009569AB">
        <w:rPr>
          <w:color w:val="auto"/>
          <w:lang w:val="en-US"/>
        </w:rPr>
        <w:t>to address its infrastructure challenges to allow it to fulfil its economic potential. Until recently, roads have been the main focus of our infrastructure program, along with social infrastruct</w:t>
      </w:r>
      <w:r w:rsidR="00876CC8">
        <w:rPr>
          <w:color w:val="auto"/>
          <w:lang w:val="en-US"/>
        </w:rPr>
        <w:t xml:space="preserve">ure for schools and hospitals. </w:t>
      </w:r>
      <w:r w:rsidR="009569AB" w:rsidRPr="009569AB">
        <w:rPr>
          <w:color w:val="auto"/>
          <w:lang w:val="en-US"/>
        </w:rPr>
        <w:t>In 2018-19, Australia stepped up efforts to help Papua New Guinea meet its substantial infrastructure needs in a sustainable way.</w:t>
      </w:r>
    </w:p>
    <w:p w14:paraId="0AE3B3F3" w14:textId="66A0BD88" w:rsidR="00F1326C" w:rsidRDefault="009569AB" w:rsidP="009569AB">
      <w:pPr>
        <w:rPr>
          <w:color w:val="auto"/>
          <w:lang w:val="en-US"/>
        </w:rPr>
      </w:pPr>
      <w:r w:rsidRPr="009569AB">
        <w:rPr>
          <w:color w:val="auto"/>
          <w:lang w:val="en-US"/>
        </w:rPr>
        <w:t xml:space="preserve">In 2018-19, we commenced the </w:t>
      </w:r>
      <w:r w:rsidRPr="009569AB">
        <w:rPr>
          <w:b/>
          <w:color w:val="auto"/>
          <w:lang w:val="en-US"/>
        </w:rPr>
        <w:t>Economic and Social Infrastructure Program</w:t>
      </w:r>
      <w:r w:rsidRPr="009569AB">
        <w:rPr>
          <w:color w:val="auto"/>
          <w:lang w:val="en-US"/>
        </w:rPr>
        <w:t xml:space="preserve"> (ESIP) as our new flagship infrastructure program in Papua New Guinea. ESIP's goal i</w:t>
      </w:r>
      <w:r w:rsidR="00551722">
        <w:rPr>
          <w:color w:val="auto"/>
          <w:lang w:val="en-US"/>
        </w:rPr>
        <w:t xml:space="preserve">s to assist Papua New Guinea </w:t>
      </w:r>
      <w:r w:rsidRPr="009569AB">
        <w:rPr>
          <w:color w:val="auto"/>
          <w:lang w:val="en-US"/>
        </w:rPr>
        <w:t xml:space="preserve">accelerate the development of priority infrastructure by strengthening project planning and selection, expanding access to quality financing and assisting with high quality procurement and project implementation. ESIP is working in the focus sectors of energy (electrification), telecommunications, and water and sanitation. </w:t>
      </w:r>
    </w:p>
    <w:p w14:paraId="32126383" w14:textId="212A957B" w:rsidR="009569AB" w:rsidRDefault="009569AB" w:rsidP="009569AB">
      <w:pPr>
        <w:rPr>
          <w:color w:val="auto"/>
          <w:lang w:val="en-US"/>
        </w:rPr>
      </w:pPr>
      <w:r w:rsidRPr="009569AB">
        <w:rPr>
          <w:color w:val="auto"/>
          <w:lang w:val="en-US"/>
        </w:rPr>
        <w:t xml:space="preserve">ESIP is focused on strategic planning and delivery of </w:t>
      </w:r>
      <w:r w:rsidR="0010519E" w:rsidRPr="009569AB">
        <w:rPr>
          <w:color w:val="auto"/>
          <w:lang w:val="en-US"/>
        </w:rPr>
        <w:t>infrastructure, which</w:t>
      </w:r>
      <w:r w:rsidRPr="009569AB">
        <w:rPr>
          <w:color w:val="auto"/>
          <w:lang w:val="en-US"/>
        </w:rPr>
        <w:t xml:space="preserve"> includes development of policy and coordi</w:t>
      </w:r>
      <w:r w:rsidR="00DD5AF1">
        <w:rPr>
          <w:color w:val="auto"/>
          <w:lang w:val="en-US"/>
        </w:rPr>
        <w:t>nation of stakeholder engagement</w:t>
      </w:r>
      <w:r w:rsidR="00551722">
        <w:rPr>
          <w:color w:val="auto"/>
          <w:lang w:val="en-US"/>
        </w:rPr>
        <w:t>. I</w:t>
      </w:r>
      <w:r w:rsidRPr="009569AB">
        <w:rPr>
          <w:color w:val="auto"/>
          <w:lang w:val="en-US"/>
        </w:rPr>
        <w:t xml:space="preserve">n 2018-19 several critical pieces of planning work for Papua New Guinea commenced, including the Port Moresby Water and Sanitation Master Plan and </w:t>
      </w:r>
      <w:r w:rsidR="00F1326C">
        <w:rPr>
          <w:color w:val="auto"/>
          <w:lang w:val="en-US"/>
        </w:rPr>
        <w:t>a masterplan for Papua N</w:t>
      </w:r>
      <w:r w:rsidR="00DD5AF1">
        <w:rPr>
          <w:color w:val="auto"/>
          <w:lang w:val="en-US"/>
        </w:rPr>
        <w:t>ew Guinea’s electricity network.</w:t>
      </w:r>
    </w:p>
    <w:p w14:paraId="06807428" w14:textId="43FB65A2" w:rsidR="00B87257" w:rsidRPr="00B87257" w:rsidRDefault="00F1326C" w:rsidP="009569AB">
      <w:pPr>
        <w:rPr>
          <w:color w:val="auto"/>
          <w:lang w:val="en-US"/>
        </w:rPr>
      </w:pPr>
      <w:r>
        <w:rPr>
          <w:color w:val="auto"/>
          <w:lang w:val="en-US"/>
        </w:rPr>
        <w:t>I</w:t>
      </w:r>
      <w:r w:rsidR="00B35E84">
        <w:rPr>
          <w:color w:val="auto"/>
          <w:lang w:val="en-US"/>
        </w:rPr>
        <w:t>n November 2018,</w:t>
      </w:r>
      <w:r w:rsidR="00B87257" w:rsidRPr="00B87257">
        <w:rPr>
          <w:color w:val="auto"/>
          <w:lang w:val="en-US"/>
        </w:rPr>
        <w:t xml:space="preserve"> </w:t>
      </w:r>
      <w:r>
        <w:rPr>
          <w:color w:val="auto"/>
          <w:lang w:val="en-US"/>
        </w:rPr>
        <w:t>the Australian Government</w:t>
      </w:r>
      <w:r w:rsidR="00B87257" w:rsidRPr="00B87257">
        <w:rPr>
          <w:color w:val="auto"/>
          <w:lang w:val="en-US"/>
        </w:rPr>
        <w:t xml:space="preserve"> announced the </w:t>
      </w:r>
      <w:r w:rsidR="00B87257" w:rsidRPr="00B87257">
        <w:rPr>
          <w:b/>
          <w:color w:val="auto"/>
          <w:lang w:val="en-US"/>
        </w:rPr>
        <w:t>Australian Infrastructure Financing Facility for the Pacific</w:t>
      </w:r>
      <w:r w:rsidR="00B87257" w:rsidRPr="00B87257">
        <w:rPr>
          <w:color w:val="auto"/>
          <w:lang w:val="en-US"/>
        </w:rPr>
        <w:t xml:space="preserve">. </w:t>
      </w:r>
      <w:r w:rsidR="009569AB" w:rsidRPr="009569AB">
        <w:rPr>
          <w:color w:val="auto"/>
          <w:lang w:val="en-US"/>
        </w:rPr>
        <w:t>The Facility will provide non-concessional (non-ODA) l</w:t>
      </w:r>
      <w:r w:rsidR="009569AB">
        <w:rPr>
          <w:color w:val="auto"/>
          <w:lang w:val="en-US"/>
        </w:rPr>
        <w:t xml:space="preserve">oans worth up to $1.5 billion, </w:t>
      </w:r>
      <w:r w:rsidR="00B87257" w:rsidRPr="00B87257">
        <w:rPr>
          <w:color w:val="auto"/>
          <w:lang w:val="en-US"/>
        </w:rPr>
        <w:t>supported by ODA grants of up to $500 million</w:t>
      </w:r>
      <w:r>
        <w:rPr>
          <w:color w:val="auto"/>
          <w:lang w:val="en-US"/>
        </w:rPr>
        <w:t xml:space="preserve">. These </w:t>
      </w:r>
      <w:r w:rsidR="00B87257" w:rsidRPr="00B87257">
        <w:rPr>
          <w:color w:val="auto"/>
          <w:lang w:val="en-US"/>
        </w:rPr>
        <w:t xml:space="preserve">will </w:t>
      </w:r>
      <w:r>
        <w:rPr>
          <w:color w:val="auto"/>
          <w:lang w:val="en-US"/>
        </w:rPr>
        <w:t>be</w:t>
      </w:r>
      <w:r w:rsidR="00B87257" w:rsidRPr="00B87257">
        <w:rPr>
          <w:color w:val="auto"/>
          <w:lang w:val="en-US"/>
        </w:rPr>
        <w:t xml:space="preserve"> use</w:t>
      </w:r>
      <w:r>
        <w:rPr>
          <w:color w:val="auto"/>
          <w:lang w:val="en-US"/>
        </w:rPr>
        <w:t>d</w:t>
      </w:r>
      <w:r w:rsidR="00B87257" w:rsidRPr="00B87257">
        <w:rPr>
          <w:color w:val="auto"/>
          <w:lang w:val="en-US"/>
        </w:rPr>
        <w:t xml:space="preserve"> to support the development of high priority </w:t>
      </w:r>
      <w:r w:rsidR="00B87257" w:rsidRPr="00B87257">
        <w:rPr>
          <w:color w:val="auto"/>
          <w:lang w:val="en-US"/>
        </w:rPr>
        <w:lastRenderedPageBreak/>
        <w:t>infrastructure such as teleco</w:t>
      </w:r>
      <w:r w:rsidR="00DD5AF1">
        <w:rPr>
          <w:color w:val="auto"/>
          <w:lang w:val="en-US"/>
        </w:rPr>
        <w:t>mmunications, energy, transport</w:t>
      </w:r>
      <w:r w:rsidR="00B87257" w:rsidRPr="00B87257">
        <w:rPr>
          <w:color w:val="auto"/>
          <w:lang w:val="en-US"/>
        </w:rPr>
        <w:t xml:space="preserve"> and water. Grants and loans are yet to be awarded</w:t>
      </w:r>
      <w:r w:rsidR="00781270">
        <w:rPr>
          <w:color w:val="auto"/>
          <w:lang w:val="en-US"/>
        </w:rPr>
        <w:t>,</w:t>
      </w:r>
      <w:r w:rsidR="00B87257" w:rsidRPr="00B87257">
        <w:rPr>
          <w:color w:val="auto"/>
          <w:lang w:val="en-US"/>
        </w:rPr>
        <w:t xml:space="preserve"> </w:t>
      </w:r>
      <w:r>
        <w:rPr>
          <w:color w:val="auto"/>
          <w:lang w:val="en-US"/>
        </w:rPr>
        <w:t xml:space="preserve">however these </w:t>
      </w:r>
      <w:r w:rsidR="00840AB6">
        <w:rPr>
          <w:color w:val="auto"/>
          <w:lang w:val="en-US"/>
        </w:rPr>
        <w:t>mechanisms</w:t>
      </w:r>
      <w:r>
        <w:rPr>
          <w:color w:val="auto"/>
          <w:lang w:val="en-US"/>
        </w:rPr>
        <w:t xml:space="preserve"> will</w:t>
      </w:r>
      <w:r w:rsidR="00B87257" w:rsidRPr="00B87257">
        <w:rPr>
          <w:color w:val="auto"/>
          <w:lang w:val="en-US"/>
        </w:rPr>
        <w:t xml:space="preserve"> significantly boost our support for infrastructure</w:t>
      </w:r>
      <w:r>
        <w:rPr>
          <w:color w:val="auto"/>
          <w:lang w:val="en-US"/>
        </w:rPr>
        <w:t xml:space="preserve"> development</w:t>
      </w:r>
      <w:r w:rsidR="00551722">
        <w:rPr>
          <w:color w:val="auto"/>
          <w:lang w:val="en-US"/>
        </w:rPr>
        <w:t xml:space="preserve"> in Papua New Guinea in coming years.</w:t>
      </w:r>
    </w:p>
    <w:p w14:paraId="08F4D4A9" w14:textId="1B19F2C7" w:rsidR="00B87257" w:rsidRPr="00B87257" w:rsidRDefault="00B87257" w:rsidP="00B87257">
      <w:pPr>
        <w:rPr>
          <w:color w:val="auto"/>
          <w:lang w:val="en-US"/>
        </w:rPr>
      </w:pPr>
      <w:r w:rsidRPr="00B87257">
        <w:rPr>
          <w:color w:val="auto"/>
          <w:lang w:val="en-US"/>
        </w:rPr>
        <w:t>The Au</w:t>
      </w:r>
      <w:r w:rsidR="00551722">
        <w:rPr>
          <w:color w:val="auto"/>
          <w:lang w:val="en-US"/>
        </w:rPr>
        <w:t xml:space="preserve">stralian Government is </w:t>
      </w:r>
      <w:r w:rsidRPr="00B87257">
        <w:rPr>
          <w:color w:val="auto"/>
          <w:lang w:val="en-US"/>
        </w:rPr>
        <w:t xml:space="preserve">funding the </w:t>
      </w:r>
      <w:r w:rsidR="00551722">
        <w:rPr>
          <w:color w:val="auto"/>
          <w:lang w:val="en-US"/>
        </w:rPr>
        <w:t xml:space="preserve">majority of the </w:t>
      </w:r>
      <w:r w:rsidRPr="00B87257">
        <w:rPr>
          <w:b/>
          <w:color w:val="auto"/>
          <w:lang w:val="en-US"/>
        </w:rPr>
        <w:t>Coral Sea Cable System</w:t>
      </w:r>
      <w:r w:rsidRPr="00B87257">
        <w:rPr>
          <w:color w:val="auto"/>
          <w:lang w:val="en-US"/>
        </w:rPr>
        <w:t>, a</w:t>
      </w:r>
      <w:r w:rsidR="00A607F4">
        <w:rPr>
          <w:color w:val="auto"/>
          <w:lang w:val="en-US"/>
        </w:rPr>
        <w:t xml:space="preserve"> state of the art </w:t>
      </w:r>
      <w:r w:rsidRPr="00B87257">
        <w:rPr>
          <w:color w:val="auto"/>
          <w:lang w:val="en-US"/>
        </w:rPr>
        <w:t>undersea telecommunications cabl</w:t>
      </w:r>
      <w:r w:rsidR="00DD5AF1">
        <w:rPr>
          <w:color w:val="auto"/>
          <w:lang w:val="en-US"/>
        </w:rPr>
        <w:t xml:space="preserve">e from Australia to </w:t>
      </w:r>
      <w:r w:rsidRPr="00B87257">
        <w:rPr>
          <w:color w:val="auto"/>
          <w:lang w:val="en-US"/>
        </w:rPr>
        <w:t xml:space="preserve">Papua New Guinea and Solomon Islands. </w:t>
      </w:r>
      <w:r w:rsidR="00A607F4">
        <w:rPr>
          <w:color w:val="auto"/>
          <w:lang w:val="en-US"/>
        </w:rPr>
        <w:t xml:space="preserve">The cable will </w:t>
      </w:r>
      <w:r w:rsidR="005F7338">
        <w:rPr>
          <w:color w:val="auto"/>
          <w:lang w:val="en-US"/>
        </w:rPr>
        <w:t xml:space="preserve">deliver faster, </w:t>
      </w:r>
      <w:r w:rsidR="00B56B68">
        <w:rPr>
          <w:color w:val="auto"/>
          <w:lang w:val="en-US"/>
        </w:rPr>
        <w:t xml:space="preserve">cheaper and </w:t>
      </w:r>
      <w:r w:rsidR="005F7338">
        <w:rPr>
          <w:color w:val="auto"/>
          <w:lang w:val="en-US"/>
        </w:rPr>
        <w:t>more reliable communications</w:t>
      </w:r>
      <w:r w:rsidR="00B56B68">
        <w:rPr>
          <w:color w:val="auto"/>
          <w:lang w:val="en-US"/>
        </w:rPr>
        <w:t xml:space="preserve">, approximately 800 times </w:t>
      </w:r>
      <w:r w:rsidR="00551722">
        <w:rPr>
          <w:color w:val="auto"/>
          <w:lang w:val="en-US"/>
        </w:rPr>
        <w:t xml:space="preserve">faster than </w:t>
      </w:r>
      <w:r w:rsidR="00B56B68">
        <w:rPr>
          <w:color w:val="auto"/>
          <w:lang w:val="en-US"/>
        </w:rPr>
        <w:t>Papua New Guinea’s current international gateway capacity</w:t>
      </w:r>
      <w:r w:rsidR="005F7338">
        <w:rPr>
          <w:color w:val="auto"/>
          <w:lang w:val="en-US"/>
        </w:rPr>
        <w:t xml:space="preserve">. </w:t>
      </w:r>
      <w:r w:rsidR="009569AB">
        <w:rPr>
          <w:color w:val="auto"/>
          <w:lang w:val="en-US"/>
        </w:rPr>
        <w:t>The cable is</w:t>
      </w:r>
      <w:r w:rsidRPr="00B87257">
        <w:rPr>
          <w:color w:val="auto"/>
          <w:lang w:val="en-US"/>
        </w:rPr>
        <w:t xml:space="preserve"> </w:t>
      </w:r>
      <w:r w:rsidR="00385F0E">
        <w:rPr>
          <w:color w:val="auto"/>
          <w:lang w:val="en-US"/>
        </w:rPr>
        <w:t>on track and expected</w:t>
      </w:r>
      <w:r w:rsidRPr="00B87257">
        <w:rPr>
          <w:color w:val="auto"/>
          <w:lang w:val="en-US"/>
        </w:rPr>
        <w:t xml:space="preserve"> to be ready for service by the end of 2019.</w:t>
      </w:r>
    </w:p>
    <w:p w14:paraId="338F1EBA" w14:textId="3662C590" w:rsidR="00FE2BA3" w:rsidRPr="00FE2BA3" w:rsidRDefault="00FE2BA3" w:rsidP="00D560D2">
      <w:pPr>
        <w:rPr>
          <w:b/>
          <w:bCs/>
          <w:color w:val="auto"/>
          <w:lang w:val="en-US"/>
        </w:rPr>
      </w:pPr>
      <w:r w:rsidRPr="00FE2BA3">
        <w:rPr>
          <w:iCs/>
          <w:color w:val="auto"/>
          <w:lang w:val="en-US"/>
        </w:rPr>
        <w:t xml:space="preserve">At APEC in November 2018, the Prime Ministers of Papua New Guinea, Australia, Japan and New Zealand, and the Vice-President of the United States of America announced the new multi-country </w:t>
      </w:r>
      <w:r w:rsidRPr="00FE2BA3">
        <w:rPr>
          <w:b/>
          <w:bCs/>
          <w:iCs/>
          <w:color w:val="auto"/>
          <w:lang w:val="en-US"/>
        </w:rPr>
        <w:t>Papua New Guinea Electrification Partnership.</w:t>
      </w:r>
      <w:r w:rsidRPr="00FE2BA3">
        <w:rPr>
          <w:iCs/>
          <w:color w:val="auto"/>
          <w:lang w:val="en-US"/>
        </w:rPr>
        <w:t xml:space="preserve"> The Electrification Partnership is intended to assist </w:t>
      </w:r>
      <w:r w:rsidR="00B56B68" w:rsidRPr="00B87257">
        <w:rPr>
          <w:color w:val="auto"/>
          <w:lang w:val="en-US"/>
        </w:rPr>
        <w:t xml:space="preserve">Papua New Guinea </w:t>
      </w:r>
      <w:r w:rsidR="00B56B68">
        <w:rPr>
          <w:iCs/>
          <w:color w:val="auto"/>
          <w:lang w:val="en-US"/>
        </w:rPr>
        <w:t>connect</w:t>
      </w:r>
      <w:r w:rsidRPr="00FE2BA3">
        <w:rPr>
          <w:iCs/>
          <w:color w:val="auto"/>
          <w:lang w:val="en-US"/>
        </w:rPr>
        <w:t xml:space="preserve"> 70 per cent of its population to electricity by 2030. Australia is co-funding the Tsak Valley/Enga Electrification project with New Zealand, which will extend transmission and distribution lines to provide the majority of Tsak Valley’s 30,000 people with reliable power for the first time. Further </w:t>
      </w:r>
      <w:r w:rsidR="00F1326C">
        <w:rPr>
          <w:iCs/>
          <w:color w:val="auto"/>
          <w:lang w:val="en-US"/>
        </w:rPr>
        <w:t xml:space="preserve">major </w:t>
      </w:r>
      <w:r w:rsidRPr="00FE2BA3">
        <w:rPr>
          <w:iCs/>
          <w:color w:val="auto"/>
          <w:lang w:val="en-US"/>
        </w:rPr>
        <w:t xml:space="preserve">projects are </w:t>
      </w:r>
      <w:r w:rsidR="00F1326C">
        <w:rPr>
          <w:iCs/>
          <w:color w:val="auto"/>
          <w:lang w:val="en-US"/>
        </w:rPr>
        <w:t>currently being jointly prepared with PNG Power.</w:t>
      </w:r>
    </w:p>
    <w:p w14:paraId="6C42AFB0" w14:textId="1E925F7D" w:rsidR="009569AB" w:rsidRPr="009569AB" w:rsidRDefault="009569AB" w:rsidP="009569AB">
      <w:pPr>
        <w:rPr>
          <w:color w:val="auto"/>
          <w:lang w:val="en-US"/>
        </w:rPr>
      </w:pPr>
      <w:r w:rsidRPr="009569AB">
        <w:rPr>
          <w:color w:val="auto"/>
          <w:lang w:val="en-US"/>
        </w:rPr>
        <w:t xml:space="preserve">In operation since 2000, the </w:t>
      </w:r>
      <w:r w:rsidRPr="009569AB">
        <w:rPr>
          <w:b/>
          <w:color w:val="auto"/>
          <w:lang w:val="en-US"/>
        </w:rPr>
        <w:t>Incentive Fund</w:t>
      </w:r>
      <w:r w:rsidRPr="009569AB">
        <w:rPr>
          <w:color w:val="auto"/>
          <w:lang w:val="en-US"/>
        </w:rPr>
        <w:t xml:space="preserve"> provides grants to high performing Papua New Guinea </w:t>
      </w:r>
      <w:r w:rsidR="0010519E" w:rsidRPr="009569AB">
        <w:rPr>
          <w:color w:val="auto"/>
          <w:lang w:val="en-US"/>
        </w:rPr>
        <w:t>organizations</w:t>
      </w:r>
      <w:r w:rsidRPr="009569AB">
        <w:rPr>
          <w:color w:val="auto"/>
          <w:lang w:val="en-US"/>
        </w:rPr>
        <w:t xml:space="preserve"> with the goal of expanding both the reach and quality of social services and economic development for Papua New Guineans. Over the past 19 years, Australia has invested around $500 million in 79 projects through the Incentive Fund, in 21 of the country's 22 provinces (including the National Capital District (NCD) and Autonomous Region of Bougainville).</w:t>
      </w:r>
      <w:r w:rsidR="00B56B68">
        <w:rPr>
          <w:color w:val="auto"/>
          <w:lang w:val="en-US"/>
        </w:rPr>
        <w:t xml:space="preserve"> </w:t>
      </w:r>
      <w:r w:rsidRPr="009569AB">
        <w:rPr>
          <w:color w:val="auto"/>
          <w:lang w:val="en-US"/>
        </w:rPr>
        <w:t>Incentive Fund Phase 4 (IF4) (up to $100 million, 2015-21), currently oversees 19 gra</w:t>
      </w:r>
      <w:r w:rsidR="0010519E">
        <w:rPr>
          <w:color w:val="auto"/>
          <w:lang w:val="en-US"/>
        </w:rPr>
        <w:t>nts to the total value of $36.4 million</w:t>
      </w:r>
      <w:r w:rsidRPr="009569AB">
        <w:rPr>
          <w:color w:val="auto"/>
          <w:lang w:val="en-US"/>
        </w:rPr>
        <w:t>. IF4 is predominantly an infrastructure program</w:t>
      </w:r>
      <w:r w:rsidR="00150DF7">
        <w:rPr>
          <w:color w:val="auto"/>
          <w:lang w:val="en-US"/>
        </w:rPr>
        <w:t>, with infrastructure</w:t>
      </w:r>
      <w:r w:rsidR="00DD5AF1">
        <w:rPr>
          <w:color w:val="auto"/>
          <w:lang w:val="en-US"/>
        </w:rPr>
        <w:t xml:space="preserve"> accounting for 93</w:t>
      </w:r>
      <w:r w:rsidR="00B35E84">
        <w:rPr>
          <w:color w:val="auto"/>
          <w:lang w:val="en-US"/>
        </w:rPr>
        <w:t xml:space="preserve"> per cent </w:t>
      </w:r>
      <w:r w:rsidR="00DD5AF1">
        <w:rPr>
          <w:color w:val="auto"/>
          <w:lang w:val="en-US"/>
        </w:rPr>
        <w:t>of</w:t>
      </w:r>
      <w:r w:rsidRPr="009569AB">
        <w:rPr>
          <w:color w:val="auto"/>
          <w:lang w:val="en-US"/>
        </w:rPr>
        <w:t xml:space="preserve"> expenditure. Highlights of existing IF4 investments include the Divine Word University accommodation project, which will see an additional 144 (72 females and 72 males) students enrolled. IF4 has also enabled major upgrades to the very remote Kapuna Hospital in Gulf Province, improving health services to 35,000 Papua New Guineans.</w:t>
      </w:r>
      <w:r w:rsidR="00E111CC">
        <w:rPr>
          <w:color w:val="auto"/>
          <w:lang w:val="en-US"/>
        </w:rPr>
        <w:t xml:space="preserve"> </w:t>
      </w:r>
    </w:p>
    <w:p w14:paraId="555AD88A" w14:textId="77777777" w:rsidR="00B87257" w:rsidRPr="00B87257" w:rsidRDefault="00B87257" w:rsidP="00B87257">
      <w:pPr>
        <w:pStyle w:val="Heading3Numbered"/>
        <w:numPr>
          <w:ilvl w:val="0"/>
          <w:numId w:val="0"/>
        </w:numPr>
        <w:ind w:left="851" w:hanging="851"/>
        <w:rPr>
          <w:color w:val="auto"/>
          <w:lang w:val="en-US"/>
        </w:rPr>
      </w:pPr>
      <w:r w:rsidRPr="00B87257">
        <w:rPr>
          <w:color w:val="auto"/>
          <w:lang w:val="en-US"/>
        </w:rPr>
        <w:t xml:space="preserve">Transport </w:t>
      </w:r>
    </w:p>
    <w:p w14:paraId="19320BAA" w14:textId="6AC2CF16" w:rsidR="00B87257" w:rsidRPr="00B87257" w:rsidRDefault="00B87257" w:rsidP="00B87257">
      <w:pPr>
        <w:rPr>
          <w:color w:val="auto"/>
          <w:lang w:val="en-US"/>
        </w:rPr>
      </w:pPr>
      <w:r w:rsidRPr="00B87257">
        <w:rPr>
          <w:color w:val="auto"/>
          <w:lang w:val="en-US"/>
        </w:rPr>
        <w:t xml:space="preserve">Papua New Guinea’s geography and climate provide substantial challenges for the development of transport infrastructure. Due to inadequate maintenance, much of the country’s 30,000 kilometres of roads are in poor or very poor condition. This reduces access and increases transport costs – a particular problem for the majority of the population that lives in rural and remote areas. Air and maritime transport networks are essential given the challenges associated with maintaining and expanding the road network. Improving the functioning of the transport network as a whole is critical to facilitate access to essential services and boost economic growth. The shared long-term goal of Papua New Guinea and Australia is to achieve a safer, more reliable transport </w:t>
      </w:r>
      <w:r w:rsidR="0010519E" w:rsidRPr="00B87257">
        <w:rPr>
          <w:color w:val="auto"/>
          <w:lang w:val="en-US"/>
        </w:rPr>
        <w:t>system, which</w:t>
      </w:r>
      <w:r w:rsidRPr="00B87257">
        <w:rPr>
          <w:color w:val="auto"/>
          <w:lang w:val="en-US"/>
        </w:rPr>
        <w:t xml:space="preserve"> enables economic and social development.</w:t>
      </w:r>
    </w:p>
    <w:p w14:paraId="2FF630F5" w14:textId="41C59C0E" w:rsidR="00B87257" w:rsidRPr="00B87257" w:rsidRDefault="00B87257" w:rsidP="00B87257">
      <w:pPr>
        <w:rPr>
          <w:color w:val="auto"/>
          <w:lang w:val="en-US"/>
        </w:rPr>
      </w:pPr>
      <w:r w:rsidRPr="00B87257">
        <w:rPr>
          <w:color w:val="auto"/>
          <w:lang w:val="en-US"/>
        </w:rPr>
        <w:t>The Papua New Guinea-Australia Transport Sector Support Program (TSSP) was established as a multi-phased, 15-20 year program to support the development of Papua New Guinea’s transport sector</w:t>
      </w:r>
      <w:r w:rsidR="00B56B68">
        <w:rPr>
          <w:color w:val="auto"/>
          <w:lang w:val="en-US"/>
        </w:rPr>
        <w:t>, encompassing</w:t>
      </w:r>
      <w:r w:rsidRPr="00B87257">
        <w:rPr>
          <w:color w:val="auto"/>
          <w:lang w:val="en-US"/>
        </w:rPr>
        <w:t xml:space="preserve"> the land, maritime and aviation sectors. It is also an important provider of technical assistance for transport planning and policy. </w:t>
      </w:r>
    </w:p>
    <w:p w14:paraId="670AAD27" w14:textId="77777777" w:rsidR="00FD4C3F" w:rsidRDefault="00B87257" w:rsidP="00B87257">
      <w:pPr>
        <w:rPr>
          <w:color w:val="auto"/>
          <w:lang w:val="en-US"/>
        </w:rPr>
      </w:pPr>
      <w:r w:rsidRPr="00B87257">
        <w:rPr>
          <w:color w:val="auto"/>
          <w:lang w:val="en-US"/>
        </w:rPr>
        <w:t>TSSP assists Papua New Guinea to deliver road asset maintenance, including directly funding roadworks on Papua New Guinea's national priority roads. In 2018, Australia invested in routine and perio</w:t>
      </w:r>
      <w:r w:rsidR="00551722">
        <w:rPr>
          <w:color w:val="auto"/>
          <w:lang w:val="en-US"/>
        </w:rPr>
        <w:t>dic maintenance</w:t>
      </w:r>
    </w:p>
    <w:p w14:paraId="12C0E353" w14:textId="7B542B36" w:rsidR="00B87257" w:rsidRPr="00B87257" w:rsidRDefault="00551722" w:rsidP="00B87257">
      <w:pPr>
        <w:rPr>
          <w:color w:val="auto"/>
          <w:lang w:val="en-US"/>
        </w:rPr>
      </w:pPr>
      <w:r>
        <w:rPr>
          <w:color w:val="auto"/>
          <w:lang w:val="en-US"/>
        </w:rPr>
        <w:t xml:space="preserve"> of over 1</w:t>
      </w:r>
      <w:r w:rsidR="00B423F5">
        <w:rPr>
          <w:color w:val="auto"/>
          <w:lang w:val="en-US"/>
        </w:rPr>
        <w:t>,</w:t>
      </w:r>
      <w:r w:rsidR="008361EA">
        <w:rPr>
          <w:color w:val="auto"/>
          <w:lang w:val="en-US"/>
        </w:rPr>
        <w:t>70</w:t>
      </w:r>
      <w:r w:rsidR="008361EA" w:rsidRPr="00B87257">
        <w:rPr>
          <w:color w:val="auto"/>
          <w:lang w:val="en-US"/>
        </w:rPr>
        <w:t xml:space="preserve">0 </w:t>
      </w:r>
      <w:r w:rsidR="00B87257" w:rsidRPr="00B87257">
        <w:rPr>
          <w:color w:val="auto"/>
          <w:lang w:val="en-US"/>
        </w:rPr>
        <w:t>kilometres of national roads across 12 provinces</w:t>
      </w:r>
      <w:r w:rsidR="00490E7F">
        <w:rPr>
          <w:color w:val="auto"/>
          <w:lang w:val="en-US"/>
        </w:rPr>
        <w:t>, exceeding our target of 1,500 kilometres</w:t>
      </w:r>
      <w:r w:rsidR="00B87257" w:rsidRPr="00B87257">
        <w:rPr>
          <w:color w:val="auto"/>
          <w:lang w:val="en-US"/>
        </w:rPr>
        <w:t xml:space="preserve">. The primary focus of investment is on funding </w:t>
      </w:r>
      <w:r w:rsidR="0010519E" w:rsidRPr="00B87257">
        <w:rPr>
          <w:color w:val="auto"/>
          <w:lang w:val="en-US"/>
        </w:rPr>
        <w:t>long-term</w:t>
      </w:r>
      <w:r w:rsidR="00B87257" w:rsidRPr="00B87257">
        <w:rPr>
          <w:color w:val="auto"/>
          <w:lang w:val="en-US"/>
        </w:rPr>
        <w:t xml:space="preserve"> maintenance on the national priority road network. Total expenditure on road maintenance and supervision through TSS</w:t>
      </w:r>
      <w:r w:rsidR="00DD5AF1">
        <w:rPr>
          <w:color w:val="auto"/>
          <w:lang w:val="en-US"/>
        </w:rPr>
        <w:t xml:space="preserve">P in 2018 was </w:t>
      </w:r>
      <w:r w:rsidR="00434BD7">
        <w:rPr>
          <w:color w:val="auto"/>
          <w:lang w:val="en-US"/>
        </w:rPr>
        <w:t>approximately</w:t>
      </w:r>
      <w:r w:rsidR="00DD5AF1">
        <w:rPr>
          <w:color w:val="auto"/>
          <w:lang w:val="en-US"/>
        </w:rPr>
        <w:t xml:space="preserve"> </w:t>
      </w:r>
      <w:r w:rsidR="00C574EC">
        <w:rPr>
          <w:color w:val="auto"/>
          <w:lang w:val="en-US"/>
        </w:rPr>
        <w:br/>
      </w:r>
      <w:r w:rsidR="00DD5AF1">
        <w:rPr>
          <w:color w:val="auto"/>
          <w:lang w:val="en-US"/>
        </w:rPr>
        <w:t>$57.5 million</w:t>
      </w:r>
      <w:r w:rsidR="00B87257" w:rsidRPr="00B87257">
        <w:rPr>
          <w:color w:val="auto"/>
          <w:lang w:val="en-US"/>
        </w:rPr>
        <w:t xml:space="preserve">. </w:t>
      </w:r>
    </w:p>
    <w:p w14:paraId="0CDDA319" w14:textId="11BDD674" w:rsidR="00B87257" w:rsidRPr="00B87257" w:rsidRDefault="00DD5AF1" w:rsidP="00B87257">
      <w:pPr>
        <w:rPr>
          <w:color w:val="auto"/>
          <w:lang w:val="en-US"/>
        </w:rPr>
      </w:pPr>
      <w:r w:rsidRPr="00434BD7">
        <w:rPr>
          <w:color w:val="auto"/>
          <w:lang w:val="en-US"/>
        </w:rPr>
        <w:t>W</w:t>
      </w:r>
      <w:r w:rsidR="00B87257" w:rsidRPr="00434BD7">
        <w:rPr>
          <w:color w:val="auto"/>
          <w:lang w:val="en-US"/>
        </w:rPr>
        <w:t xml:space="preserve">orks </w:t>
      </w:r>
      <w:r w:rsidRPr="00434BD7">
        <w:rPr>
          <w:color w:val="auto"/>
          <w:lang w:val="en-US"/>
        </w:rPr>
        <w:t xml:space="preserve">funded by TSSP </w:t>
      </w:r>
      <w:r w:rsidR="00B87257" w:rsidRPr="00434BD7">
        <w:rPr>
          <w:color w:val="auto"/>
          <w:lang w:val="en-US"/>
        </w:rPr>
        <w:t>are delivered by advisers and engineers embedded in the Department of Works and Department of Transport</w:t>
      </w:r>
      <w:r w:rsidR="00CB61B7" w:rsidRPr="00434BD7">
        <w:rPr>
          <w:color w:val="auto"/>
          <w:lang w:val="en-US"/>
        </w:rPr>
        <w:t xml:space="preserve"> who</w:t>
      </w:r>
      <w:r w:rsidR="00B87257" w:rsidRPr="00434BD7">
        <w:rPr>
          <w:color w:val="auto"/>
          <w:lang w:val="en-US"/>
        </w:rPr>
        <w:t xml:space="preserve"> work closely with </w:t>
      </w:r>
      <w:r w:rsidR="00434BD7" w:rsidRPr="00434BD7">
        <w:rPr>
          <w:color w:val="auto"/>
          <w:lang w:val="en-US"/>
        </w:rPr>
        <w:t>other</w:t>
      </w:r>
      <w:r w:rsidR="00B87257" w:rsidRPr="00434BD7">
        <w:rPr>
          <w:color w:val="auto"/>
          <w:lang w:val="en-US"/>
        </w:rPr>
        <w:t xml:space="preserve"> Government of Papua New Guinea</w:t>
      </w:r>
      <w:r w:rsidR="00434BD7" w:rsidRPr="00434BD7">
        <w:rPr>
          <w:color w:val="auto"/>
          <w:lang w:val="en-US"/>
        </w:rPr>
        <w:t xml:space="preserve"> agencies</w:t>
      </w:r>
      <w:r w:rsidR="00B87257" w:rsidRPr="00434BD7">
        <w:rPr>
          <w:color w:val="auto"/>
          <w:lang w:val="en-US"/>
        </w:rPr>
        <w:t xml:space="preserve">. This approach of targeted technical assistance combined with a program of works implemented primarily </w:t>
      </w:r>
      <w:r w:rsidR="00B87257" w:rsidRPr="00434BD7">
        <w:rPr>
          <w:color w:val="auto"/>
          <w:lang w:val="en-US"/>
        </w:rPr>
        <w:lastRenderedPageBreak/>
        <w:t>through Papua New Guinea's own systems provides the best prospect for influencing Papua New Guinea Government policies and achieving the program's objectives.</w:t>
      </w:r>
    </w:p>
    <w:p w14:paraId="2DC6B58C" w14:textId="72A6FC11" w:rsidR="00B87257" w:rsidRPr="00B87257" w:rsidRDefault="00B87257" w:rsidP="00B87257">
      <w:pPr>
        <w:rPr>
          <w:color w:val="auto"/>
          <w:lang w:val="en-US"/>
        </w:rPr>
      </w:pPr>
      <w:r w:rsidRPr="00B87257">
        <w:rPr>
          <w:color w:val="auto"/>
          <w:lang w:val="en-US"/>
        </w:rPr>
        <w:t>TSSP also focusses on improving safety and security in the aviation and maritime sectors, with a number of Australian transport agency officials embedded in Papua New Guinea transport agencies to boost technical capacity and support project delivery.</w:t>
      </w:r>
      <w:r w:rsidR="00551722">
        <w:rPr>
          <w:color w:val="auto"/>
          <w:lang w:val="en-US"/>
        </w:rPr>
        <w:t xml:space="preserve"> This capability was critical in</w:t>
      </w:r>
      <w:r w:rsidRPr="00B87257">
        <w:rPr>
          <w:color w:val="auto"/>
          <w:lang w:val="en-US"/>
        </w:rPr>
        <w:t xml:space="preserve"> supporting Papua New Guinea to host APEC in 2018. </w:t>
      </w:r>
    </w:p>
    <w:p w14:paraId="3B2F8FEE" w14:textId="2E2A2B6A" w:rsidR="00B87257" w:rsidRPr="00B87257" w:rsidRDefault="00CB61B7" w:rsidP="00B87257">
      <w:pPr>
        <w:rPr>
          <w:color w:val="auto"/>
          <w:lang w:val="en-US"/>
        </w:rPr>
      </w:pPr>
      <w:r>
        <w:rPr>
          <w:color w:val="auto"/>
          <w:lang w:val="en-US"/>
        </w:rPr>
        <w:t>TSSP</w:t>
      </w:r>
      <w:r w:rsidRPr="00B87257">
        <w:rPr>
          <w:color w:val="auto"/>
          <w:lang w:val="en-US"/>
        </w:rPr>
        <w:t xml:space="preserve"> </w:t>
      </w:r>
      <w:r w:rsidR="00B87257" w:rsidRPr="00B87257">
        <w:rPr>
          <w:color w:val="auto"/>
          <w:lang w:val="en-US"/>
        </w:rPr>
        <w:t>has also supported Papua New Guinea to significantly improve its compliance with international standards. In 2018, the United Nation's International Civil Aviation Organization completed a validation audit on Papua New Guinea's compliance with international aviation safety standards and practices</w:t>
      </w:r>
      <w:r w:rsidR="000D7B15">
        <w:rPr>
          <w:color w:val="auto"/>
          <w:lang w:val="en-US"/>
        </w:rPr>
        <w:t xml:space="preserve"> </w:t>
      </w:r>
      <w:r w:rsidR="00B56B68">
        <w:rPr>
          <w:color w:val="auto"/>
          <w:lang w:val="en-US"/>
        </w:rPr>
        <w:t>and</w:t>
      </w:r>
      <w:r w:rsidR="00B87257" w:rsidRPr="00B87257">
        <w:rPr>
          <w:color w:val="auto"/>
          <w:lang w:val="en-US"/>
        </w:rPr>
        <w:t xml:space="preserve"> Papua New Guinea's score for aviation safety increased from 50.4</w:t>
      </w:r>
      <w:r>
        <w:rPr>
          <w:color w:val="auto"/>
          <w:lang w:val="en-US"/>
        </w:rPr>
        <w:t xml:space="preserve"> per cent</w:t>
      </w:r>
      <w:r w:rsidR="00B87257" w:rsidRPr="00B87257">
        <w:rPr>
          <w:color w:val="auto"/>
          <w:lang w:val="en-US"/>
        </w:rPr>
        <w:t xml:space="preserve"> to 63.32</w:t>
      </w:r>
      <w:r>
        <w:rPr>
          <w:color w:val="auto"/>
          <w:lang w:val="en-US"/>
        </w:rPr>
        <w:t xml:space="preserve"> per cent,</w:t>
      </w:r>
      <w:r w:rsidR="000D7B15">
        <w:rPr>
          <w:color w:val="auto"/>
          <w:lang w:val="en-US"/>
        </w:rPr>
        <w:t xml:space="preserve"> </w:t>
      </w:r>
      <w:r w:rsidR="00B87257" w:rsidRPr="00B87257">
        <w:rPr>
          <w:color w:val="auto"/>
          <w:lang w:val="en-US"/>
        </w:rPr>
        <w:t>higher than the 2017 Asia-Pacific average (59.26</w:t>
      </w:r>
      <w:r>
        <w:rPr>
          <w:color w:val="auto"/>
          <w:lang w:val="en-US"/>
        </w:rPr>
        <w:t xml:space="preserve"> </w:t>
      </w:r>
      <w:r w:rsidR="00696EBA">
        <w:rPr>
          <w:color w:val="auto"/>
          <w:lang w:val="en-US"/>
        </w:rPr>
        <w:t>per cent</w:t>
      </w:r>
      <w:r w:rsidR="00B87257" w:rsidRPr="00B87257">
        <w:rPr>
          <w:color w:val="auto"/>
          <w:lang w:val="en-US"/>
        </w:rPr>
        <w:t>) and just short of the 2017 global average (64.7</w:t>
      </w:r>
      <w:r>
        <w:rPr>
          <w:color w:val="auto"/>
          <w:lang w:val="en-US"/>
        </w:rPr>
        <w:t xml:space="preserve"> per cent</w:t>
      </w:r>
      <w:r w:rsidR="00B87257" w:rsidRPr="00B87257">
        <w:rPr>
          <w:color w:val="auto"/>
          <w:lang w:val="en-US"/>
        </w:rPr>
        <w:t xml:space="preserve">). </w:t>
      </w:r>
    </w:p>
    <w:p w14:paraId="2AB16FA9" w14:textId="77777777" w:rsidR="00B87257" w:rsidRPr="00B87257" w:rsidRDefault="00B87257" w:rsidP="00B87257">
      <w:pPr>
        <w:rPr>
          <w:color w:val="auto"/>
          <w:lang w:val="en-US"/>
        </w:rPr>
      </w:pPr>
      <w:r w:rsidRPr="00B87257">
        <w:rPr>
          <w:color w:val="auto"/>
          <w:lang w:val="en-US"/>
        </w:rPr>
        <w:t>A key challenge facing the program in 2019 is to support the Department of Transport and the Department of Works to secure the necessary funding for routine maintenance of national priority roads. This has been an ongoing challenge due to budget constraints as well as challenges in aligning network planning and the annual budget cycle. Australia continues to support the Government of Papua New Guinea’s transport sector budget submissions with a view to addressing this. TSSP is also supporting studies on revenue generation and network economics that seek to reduce the gap between the costs required to maintain the network and the limited funding available.</w:t>
      </w:r>
    </w:p>
    <w:p w14:paraId="3989DED5" w14:textId="77777777" w:rsidR="00116758" w:rsidRPr="00B87257" w:rsidRDefault="00116758" w:rsidP="00116758">
      <w:pPr>
        <w:pStyle w:val="Heading3Numbered"/>
        <w:numPr>
          <w:ilvl w:val="0"/>
          <w:numId w:val="0"/>
        </w:numPr>
        <w:ind w:left="851" w:hanging="851"/>
        <w:rPr>
          <w:color w:val="auto"/>
        </w:rPr>
      </w:pPr>
      <w:r w:rsidRPr="00B87257">
        <w:rPr>
          <w:color w:val="auto"/>
        </w:rPr>
        <w:t>Economic Governance</w:t>
      </w:r>
    </w:p>
    <w:p w14:paraId="79367302" w14:textId="6D68A0FB" w:rsidR="00116758" w:rsidRPr="00B87257" w:rsidRDefault="00116758" w:rsidP="00116758">
      <w:pPr>
        <w:spacing w:after="0" w:line="240" w:lineRule="auto"/>
        <w:rPr>
          <w:color w:val="auto"/>
        </w:rPr>
      </w:pPr>
      <w:r w:rsidRPr="00B87257">
        <w:rPr>
          <w:color w:val="auto"/>
        </w:rPr>
        <w:t xml:space="preserve">Papua New Guinea’s economy has been fragile in recent years and the Papua New Guinea </w:t>
      </w:r>
      <w:r w:rsidR="00C574EC">
        <w:rPr>
          <w:color w:val="auto"/>
        </w:rPr>
        <w:t>G</w:t>
      </w:r>
      <w:r w:rsidRPr="00B87257">
        <w:rPr>
          <w:color w:val="auto"/>
        </w:rPr>
        <w:t xml:space="preserve">overnment has sought external loans to meet budget shortfalls. Papua New Guinea’s new Prime Minister has spoken about </w:t>
      </w:r>
      <w:r w:rsidR="00C574EC">
        <w:rPr>
          <w:color w:val="auto"/>
        </w:rPr>
        <w:t>G</w:t>
      </w:r>
      <w:r w:rsidRPr="00B87257">
        <w:rPr>
          <w:color w:val="auto"/>
        </w:rPr>
        <w:t>overnment initiatives to grow the economy through economic and tax reform, the resources sector and strengthening service delivery. The Economic Governance and Inclusive Growth Partnership (EGIG) is strengthening the Government of Papua New Guinea’s economic management and building an inclusive business environment to increase economic growth. M</w:t>
      </w:r>
      <w:r w:rsidR="0085322E">
        <w:rPr>
          <w:color w:val="auto"/>
        </w:rPr>
        <w:t xml:space="preserve">ost </w:t>
      </w:r>
      <w:r w:rsidRPr="00B87257">
        <w:rPr>
          <w:color w:val="auto"/>
        </w:rPr>
        <w:t>EGIG projects demonstrated results in line with expectations, with some projects exceeding expectations</w:t>
      </w:r>
      <w:r w:rsidR="004A036B">
        <w:rPr>
          <w:color w:val="auto"/>
        </w:rPr>
        <w:t xml:space="preserve">. </w:t>
      </w:r>
    </w:p>
    <w:p w14:paraId="7F4086AF" w14:textId="634D4443" w:rsidR="003704ED" w:rsidRPr="00B87257" w:rsidRDefault="003704ED" w:rsidP="003704ED">
      <w:pPr>
        <w:spacing w:after="0" w:line="240" w:lineRule="auto"/>
        <w:rPr>
          <w:color w:val="auto"/>
        </w:rPr>
      </w:pPr>
      <w:r>
        <w:rPr>
          <w:color w:val="auto"/>
        </w:rPr>
        <w:t>Through EGIG,</w:t>
      </w:r>
      <w:r w:rsidRPr="00B87257">
        <w:rPr>
          <w:color w:val="auto"/>
        </w:rPr>
        <w:t xml:space="preserve"> </w:t>
      </w:r>
      <w:r>
        <w:rPr>
          <w:color w:val="auto"/>
        </w:rPr>
        <w:t xml:space="preserve">Australia </w:t>
      </w:r>
      <w:r w:rsidRPr="00B87257">
        <w:rPr>
          <w:color w:val="auto"/>
        </w:rPr>
        <w:t>work</w:t>
      </w:r>
      <w:r>
        <w:rPr>
          <w:color w:val="auto"/>
        </w:rPr>
        <w:t>s</w:t>
      </w:r>
      <w:r w:rsidRPr="00B87257">
        <w:rPr>
          <w:color w:val="auto"/>
        </w:rPr>
        <w:t xml:space="preserve"> with key economic agencies – Treasury, Finance, and the Internal Revenue Commission (IRC) – to strengthen their operations and promote sound economic and fiscal management. Activities to support </w:t>
      </w:r>
      <w:r w:rsidR="00DD5AF1">
        <w:rPr>
          <w:color w:val="auto"/>
        </w:rPr>
        <w:t>these areas are largely provided through technical assistance</w:t>
      </w:r>
      <w:r w:rsidRPr="00B87257">
        <w:rPr>
          <w:color w:val="auto"/>
        </w:rPr>
        <w:t xml:space="preserve"> but also include some program aid. This work also complements programs run by the World Bank, Asian Development Bank (ADB), International Monetary Fund (IMF) and through Australian government department relationships (</w:t>
      </w:r>
      <w:r w:rsidR="00DD5AF1">
        <w:rPr>
          <w:color w:val="auto"/>
        </w:rPr>
        <w:t xml:space="preserve">via the </w:t>
      </w:r>
      <w:r w:rsidRPr="00B87257">
        <w:rPr>
          <w:color w:val="auto"/>
        </w:rPr>
        <w:t xml:space="preserve">Institutional Partnership Program). </w:t>
      </w:r>
    </w:p>
    <w:p w14:paraId="0E2F6887" w14:textId="6F615CF5" w:rsidR="00116758" w:rsidRPr="00B87257" w:rsidRDefault="00116758" w:rsidP="00116758">
      <w:pPr>
        <w:spacing w:after="0" w:line="240" w:lineRule="auto"/>
        <w:rPr>
          <w:color w:val="auto"/>
        </w:rPr>
      </w:pPr>
      <w:r w:rsidRPr="00B87257">
        <w:rPr>
          <w:color w:val="auto"/>
        </w:rPr>
        <w:t xml:space="preserve">A core focus is improved governance and reduced corruption through strengthened </w:t>
      </w:r>
      <w:r w:rsidRPr="00B87257">
        <w:rPr>
          <w:b/>
          <w:color w:val="auto"/>
        </w:rPr>
        <w:t>fiscal management</w:t>
      </w:r>
      <w:r w:rsidRPr="00B87257">
        <w:rPr>
          <w:color w:val="auto"/>
        </w:rPr>
        <w:t>. A key success against the outcomes was the program’s</w:t>
      </w:r>
      <w:r w:rsidR="00781270">
        <w:rPr>
          <w:color w:val="auto"/>
        </w:rPr>
        <w:t xml:space="preserve"> role in helping secure USD1.1 b</w:t>
      </w:r>
      <w:r w:rsidRPr="00B87257">
        <w:rPr>
          <w:color w:val="auto"/>
        </w:rPr>
        <w:t xml:space="preserve">illion in finance for the </w:t>
      </w:r>
      <w:r w:rsidR="00661293">
        <w:rPr>
          <w:color w:val="auto"/>
        </w:rPr>
        <w:t>Government</w:t>
      </w:r>
      <w:r w:rsidR="00DD5AF1">
        <w:rPr>
          <w:color w:val="auto"/>
        </w:rPr>
        <w:t xml:space="preserve"> of Papua New Guinea</w:t>
      </w:r>
      <w:r w:rsidRPr="00B87257">
        <w:rPr>
          <w:color w:val="auto"/>
        </w:rPr>
        <w:t xml:space="preserve"> through </w:t>
      </w:r>
      <w:r w:rsidR="00661293" w:rsidRPr="00B87257">
        <w:rPr>
          <w:color w:val="auto"/>
        </w:rPr>
        <w:t>policy-based</w:t>
      </w:r>
      <w:r w:rsidRPr="00B87257">
        <w:rPr>
          <w:color w:val="auto"/>
        </w:rPr>
        <w:t xml:space="preserve"> loans from the ADB and World Bank, and the launch of Papua New Guinea’s inaugural sovereign bond. </w:t>
      </w:r>
      <w:r w:rsidR="009C4AB3" w:rsidRPr="009C4AB3">
        <w:rPr>
          <w:color w:val="auto"/>
        </w:rPr>
        <w:t>The new</w:t>
      </w:r>
      <w:r w:rsidR="009C4AB3">
        <w:rPr>
          <w:color w:val="auto"/>
        </w:rPr>
        <w:t xml:space="preserve"> loans and sovereign bond are predicted to save the g</w:t>
      </w:r>
      <w:r w:rsidR="00340AAA">
        <w:rPr>
          <w:color w:val="auto"/>
        </w:rPr>
        <w:t>overnment</w:t>
      </w:r>
      <w:r w:rsidR="009C4AB3">
        <w:rPr>
          <w:color w:val="auto"/>
        </w:rPr>
        <w:t xml:space="preserve"> </w:t>
      </w:r>
      <w:r w:rsidR="009C4AB3" w:rsidRPr="009C4AB3">
        <w:rPr>
          <w:color w:val="auto"/>
        </w:rPr>
        <w:t>up to U</w:t>
      </w:r>
      <w:r w:rsidR="009C4AB3">
        <w:rPr>
          <w:color w:val="auto"/>
        </w:rPr>
        <w:t>S$1.4 billion over the lifetime</w:t>
      </w:r>
      <w:r w:rsidR="009C4AB3" w:rsidRPr="009C4AB3">
        <w:rPr>
          <w:color w:val="auto"/>
        </w:rPr>
        <w:t xml:space="preserve"> of the loans compared to borrowing similar amounts through domestic markets</w:t>
      </w:r>
      <w:r w:rsidR="00DD5AF1">
        <w:rPr>
          <w:color w:val="auto"/>
        </w:rPr>
        <w:t>.</w:t>
      </w:r>
      <w:r w:rsidR="009C4AB3">
        <w:rPr>
          <w:color w:val="auto"/>
        </w:rPr>
        <w:t xml:space="preserve"> Our t</w:t>
      </w:r>
      <w:r w:rsidRPr="00B87257">
        <w:rPr>
          <w:color w:val="auto"/>
        </w:rPr>
        <w:t>echnical assistance was a</w:t>
      </w:r>
      <w:r w:rsidR="00DD5AF1">
        <w:rPr>
          <w:color w:val="auto"/>
        </w:rPr>
        <w:t xml:space="preserve"> key enabler to supporting the G</w:t>
      </w:r>
      <w:r w:rsidRPr="00B87257">
        <w:rPr>
          <w:color w:val="auto"/>
        </w:rPr>
        <w:t xml:space="preserve">overnment’s ability to meet the commitments required of the multilateral banks and the bond investors. </w:t>
      </w:r>
    </w:p>
    <w:p w14:paraId="4BC9B193" w14:textId="1FEB9CDB" w:rsidR="00116758" w:rsidRPr="00B87257" w:rsidRDefault="00116758" w:rsidP="00116758">
      <w:pPr>
        <w:spacing w:after="0" w:line="240" w:lineRule="auto"/>
        <w:rPr>
          <w:color w:val="auto"/>
        </w:rPr>
      </w:pPr>
      <w:r w:rsidRPr="00B87257">
        <w:rPr>
          <w:color w:val="auto"/>
        </w:rPr>
        <w:t>Australia’s support has enabled the roll out of the Integrated Financial Management System (IFMS), including completing the roll-out to 103 sites</w:t>
      </w:r>
      <w:r w:rsidR="00781270">
        <w:rPr>
          <w:color w:val="auto"/>
        </w:rPr>
        <w:t>,</w:t>
      </w:r>
      <w:r w:rsidRPr="00B87257">
        <w:rPr>
          <w:color w:val="auto"/>
        </w:rPr>
        <w:t xml:space="preserve"> of which 20 are Provincial Finance Offices and 83 are District Finance Offices</w:t>
      </w:r>
      <w:r w:rsidR="0085322E">
        <w:rPr>
          <w:color w:val="auto"/>
        </w:rPr>
        <w:t>, in line with expectations</w:t>
      </w:r>
      <w:r w:rsidRPr="00B87257">
        <w:rPr>
          <w:color w:val="auto"/>
        </w:rPr>
        <w:t xml:space="preserve">. </w:t>
      </w:r>
      <w:r w:rsidR="0085322E" w:rsidRPr="0085322E">
        <w:rPr>
          <w:color w:val="auto"/>
        </w:rPr>
        <w:t>A Department of Finance review of the impact of its P</w:t>
      </w:r>
      <w:r w:rsidR="00B35E84">
        <w:rPr>
          <w:color w:val="auto"/>
        </w:rPr>
        <w:t xml:space="preserve">ublic Financial Management reforms </w:t>
      </w:r>
      <w:r w:rsidR="00DD5AF1">
        <w:rPr>
          <w:color w:val="auto"/>
        </w:rPr>
        <w:t>from Australian-</w:t>
      </w:r>
      <w:r w:rsidR="0085322E" w:rsidRPr="0085322E">
        <w:rPr>
          <w:color w:val="auto"/>
        </w:rPr>
        <w:t xml:space="preserve">supported programs such as IFMS, new policies on non-tax revenues and technical assistance in cash management, receipting, public accounts, and ICT infrastructure amounted to over </w:t>
      </w:r>
      <w:r w:rsidR="00DD5AF1">
        <w:rPr>
          <w:color w:val="auto"/>
        </w:rPr>
        <w:t>$600 million</w:t>
      </w:r>
      <w:r w:rsidR="00B35E84">
        <w:rPr>
          <w:color w:val="auto"/>
        </w:rPr>
        <w:t xml:space="preserve"> in </w:t>
      </w:r>
      <w:r w:rsidR="00B35E84" w:rsidRPr="0085322E">
        <w:rPr>
          <w:color w:val="auto"/>
        </w:rPr>
        <w:t>savings and efficiencies</w:t>
      </w:r>
      <w:r w:rsidR="00DD5AF1">
        <w:rPr>
          <w:color w:val="auto"/>
        </w:rPr>
        <w:t xml:space="preserve">. The program </w:t>
      </w:r>
      <w:r w:rsidRPr="00B87257">
        <w:rPr>
          <w:color w:val="auto"/>
        </w:rPr>
        <w:t xml:space="preserve">also contributed to better end-of-year accounting practices with national accounts presented to Parliament on time, and significant cost savings achieved through strategies like the outsourcing of the Department of Finance’s disaster recovery centre, saving the Government of Papua New Guinea up to $350,000 per annum. The IFMS has automated and </w:t>
      </w:r>
      <w:r w:rsidRPr="00B87257">
        <w:rPr>
          <w:color w:val="auto"/>
        </w:rPr>
        <w:lastRenderedPageBreak/>
        <w:t>improved many services, reducing opportunities for corruption and ensuring improved compliance and tracking of funds. This has included the ability to monitor District and Provincial Service Improvement Grants for the first time – a key point for leakage in the expenditure of public monies.</w:t>
      </w:r>
    </w:p>
    <w:p w14:paraId="7E1A4DEC" w14:textId="05B26A0E" w:rsidR="00116758" w:rsidRPr="00B87257" w:rsidRDefault="00116758" w:rsidP="00116758">
      <w:pPr>
        <w:spacing w:after="0" w:line="240" w:lineRule="auto"/>
        <w:rPr>
          <w:color w:val="auto"/>
        </w:rPr>
      </w:pPr>
      <w:r w:rsidRPr="00B87257">
        <w:rPr>
          <w:color w:val="auto"/>
        </w:rPr>
        <w:t xml:space="preserve">To support </w:t>
      </w:r>
      <w:r w:rsidRPr="00B87257">
        <w:rPr>
          <w:b/>
          <w:color w:val="auto"/>
        </w:rPr>
        <w:t>inclusive growth and financial inclusion</w:t>
      </w:r>
      <w:r w:rsidRPr="00B87257">
        <w:rPr>
          <w:color w:val="auto"/>
        </w:rPr>
        <w:t>, we are working with several different incubator and innova</w:t>
      </w:r>
      <w:r w:rsidR="006F41B6">
        <w:rPr>
          <w:color w:val="auto"/>
        </w:rPr>
        <w:t>tion centres to build</w:t>
      </w:r>
      <w:r w:rsidRPr="00B87257">
        <w:rPr>
          <w:color w:val="auto"/>
        </w:rPr>
        <w:t xml:space="preserve"> small and growing businesses and connect entrepreneurs to expertise an</w:t>
      </w:r>
      <w:r w:rsidR="006F41B6">
        <w:rPr>
          <w:color w:val="auto"/>
        </w:rPr>
        <w:t>d investor capital. With the United States</w:t>
      </w:r>
      <w:r w:rsidRPr="00B87257">
        <w:rPr>
          <w:color w:val="auto"/>
        </w:rPr>
        <w:t xml:space="preserve">, Australia has funded the Women’s Business Resource Centre, which provides courses and a workspace for women (some training is also open to men). It </w:t>
      </w:r>
      <w:r w:rsidR="00781270">
        <w:rPr>
          <w:color w:val="auto"/>
        </w:rPr>
        <w:t>also provides inexpensive child</w:t>
      </w:r>
      <w:r w:rsidRPr="00B87257">
        <w:rPr>
          <w:color w:val="auto"/>
        </w:rPr>
        <w:t>care on-site. Since opening in 2016, over 1,100 women have accessed the Centre. Training courses are usually 1-2 hours and cover topics from financial literacy to digital marketing and e-commerce. They are able to offer support and mentoring for women from a diverse range of backgrounds</w:t>
      </w:r>
      <w:r w:rsidR="006F41B6">
        <w:rPr>
          <w:color w:val="auto"/>
        </w:rPr>
        <w:t>.</w:t>
      </w:r>
      <w:r w:rsidRPr="00B87257">
        <w:rPr>
          <w:color w:val="auto"/>
        </w:rPr>
        <w:t xml:space="preserve"> </w:t>
      </w:r>
    </w:p>
    <w:p w14:paraId="522C5A4F" w14:textId="17477731" w:rsidR="00116758" w:rsidRPr="00B87257" w:rsidRDefault="00116758" w:rsidP="00116758">
      <w:pPr>
        <w:spacing w:after="0" w:line="240" w:lineRule="auto"/>
        <w:rPr>
          <w:color w:val="auto"/>
        </w:rPr>
      </w:pPr>
      <w:r w:rsidRPr="00B87257">
        <w:rPr>
          <w:color w:val="auto"/>
        </w:rPr>
        <w:t xml:space="preserve">To support </w:t>
      </w:r>
      <w:r w:rsidRPr="00B87257">
        <w:rPr>
          <w:b/>
          <w:color w:val="auto"/>
        </w:rPr>
        <w:t>innovation,</w:t>
      </w:r>
      <w:r w:rsidRPr="00B87257">
        <w:rPr>
          <w:b/>
          <w:i/>
          <w:color w:val="auto"/>
        </w:rPr>
        <w:t xml:space="preserve"> </w:t>
      </w:r>
      <w:r w:rsidRPr="00B87257">
        <w:rPr>
          <w:color w:val="auto"/>
        </w:rPr>
        <w:t>Australia supported the launch of</w:t>
      </w:r>
      <w:r w:rsidRPr="00B87257">
        <w:rPr>
          <w:b/>
          <w:i/>
          <w:color w:val="auto"/>
        </w:rPr>
        <w:t xml:space="preserve"> </w:t>
      </w:r>
      <w:r w:rsidRPr="00B87257">
        <w:rPr>
          <w:color w:val="auto"/>
        </w:rPr>
        <w:t>the ‘Techlab’ business development accelerator in early 2019. Techlab is c</w:t>
      </w:r>
      <w:r w:rsidR="006F41B6">
        <w:rPr>
          <w:color w:val="auto"/>
        </w:rPr>
        <w:t>oaching emerging technology small and medium enterprises</w:t>
      </w:r>
      <w:r w:rsidRPr="00B87257">
        <w:rPr>
          <w:color w:val="auto"/>
        </w:rPr>
        <w:t xml:space="preserve"> on the integration of cloud and other digital technologies into their businesses, initially working with nine businesses from across the country. Participants receive coaching tailored to their business needs, ranging from designing a business model through to becoming investment ready. One such business is Refer Tech, a cloud-based patient management system, designed to improve tuberculosis health outcomes via end-to-end patient treatm</w:t>
      </w:r>
      <w:r w:rsidR="006F41B6">
        <w:rPr>
          <w:color w:val="auto"/>
        </w:rPr>
        <w:t>ent monitoring, data collection</w:t>
      </w:r>
      <w:r w:rsidRPr="00B87257">
        <w:rPr>
          <w:color w:val="auto"/>
        </w:rPr>
        <w:t xml:space="preserve"> and analytics. Refer Tech is already gaining international inter</w:t>
      </w:r>
      <w:r w:rsidR="006F41B6">
        <w:rPr>
          <w:color w:val="auto"/>
        </w:rPr>
        <w:t>est and hoping to be investment-</w:t>
      </w:r>
      <w:r w:rsidRPr="00B87257">
        <w:rPr>
          <w:color w:val="auto"/>
        </w:rPr>
        <w:t xml:space="preserve">ready by the end of the year. </w:t>
      </w:r>
    </w:p>
    <w:p w14:paraId="757E4CA6" w14:textId="4CCD3D69" w:rsidR="00116758" w:rsidRPr="00B050D4" w:rsidRDefault="006F41B6" w:rsidP="00116758">
      <w:pPr>
        <w:spacing w:after="0" w:line="240" w:lineRule="auto"/>
        <w:rPr>
          <w:color w:val="auto"/>
        </w:rPr>
      </w:pPr>
      <w:r>
        <w:rPr>
          <w:color w:val="auto"/>
        </w:rPr>
        <w:t>The Australian Government</w:t>
      </w:r>
      <w:r w:rsidR="00116758" w:rsidRPr="00B87257">
        <w:rPr>
          <w:color w:val="auto"/>
        </w:rPr>
        <w:t xml:space="preserve"> </w:t>
      </w:r>
      <w:r w:rsidR="00116758" w:rsidRPr="00CA12D1">
        <w:rPr>
          <w:color w:val="auto"/>
        </w:rPr>
        <w:t>support</w:t>
      </w:r>
      <w:r>
        <w:rPr>
          <w:color w:val="auto"/>
        </w:rPr>
        <w:t>ed</w:t>
      </w:r>
      <w:r w:rsidR="00116758" w:rsidRPr="00CA12D1">
        <w:rPr>
          <w:color w:val="auto"/>
        </w:rPr>
        <w:t xml:space="preserve"> Papua New Guinea’s hosting of</w:t>
      </w:r>
      <w:r w:rsidR="00116758" w:rsidRPr="00422195">
        <w:rPr>
          <w:b/>
          <w:color w:val="auto"/>
        </w:rPr>
        <w:t xml:space="preserve"> APEC</w:t>
      </w:r>
      <w:r>
        <w:rPr>
          <w:color w:val="auto"/>
        </w:rPr>
        <w:t xml:space="preserve"> in 2018, </w:t>
      </w:r>
      <w:r w:rsidR="00116758" w:rsidRPr="00B87257">
        <w:rPr>
          <w:color w:val="auto"/>
        </w:rPr>
        <w:t>an opportunity for Papua New Guinea to showcase its business, investment and tourism potential to the world. Australia’s significant security and policy support to Papua New Guinea’s hosting of APEC 2018 was an extension of long-term cooperation and institu</w:t>
      </w:r>
      <w:r>
        <w:rPr>
          <w:color w:val="auto"/>
        </w:rPr>
        <w:t>tional partnerships across our G</w:t>
      </w:r>
      <w:r w:rsidR="00116758" w:rsidRPr="00B87257">
        <w:rPr>
          <w:color w:val="auto"/>
        </w:rPr>
        <w:t>overnments</w:t>
      </w:r>
      <w:r>
        <w:rPr>
          <w:color w:val="auto"/>
        </w:rPr>
        <w:t>. At</w:t>
      </w:r>
      <w:r w:rsidR="00116758" w:rsidRPr="00B87257">
        <w:rPr>
          <w:color w:val="auto"/>
        </w:rPr>
        <w:t xml:space="preserve"> Papua New Guinea’s request, Australia provided a range of capacity-building, policing, defence and securit</w:t>
      </w:r>
      <w:r>
        <w:rPr>
          <w:color w:val="auto"/>
        </w:rPr>
        <w:t>y assistance.</w:t>
      </w:r>
    </w:p>
    <w:p w14:paraId="6E6A5EB0" w14:textId="6AF002D7" w:rsidR="00B050D4" w:rsidRPr="00B050D4" w:rsidRDefault="00B050D4" w:rsidP="00B050D4">
      <w:pPr>
        <w:spacing w:after="0" w:line="240" w:lineRule="auto"/>
        <w:rPr>
          <w:color w:val="auto"/>
        </w:rPr>
      </w:pPr>
      <w:r w:rsidRPr="00B050D4">
        <w:rPr>
          <w:color w:val="auto"/>
        </w:rPr>
        <w:t xml:space="preserve">Australia’s support through the ADB Private Sector </w:t>
      </w:r>
      <w:r w:rsidR="008361EA">
        <w:rPr>
          <w:color w:val="auto"/>
        </w:rPr>
        <w:t xml:space="preserve">Development </w:t>
      </w:r>
      <w:r w:rsidRPr="00B050D4">
        <w:rPr>
          <w:color w:val="auto"/>
        </w:rPr>
        <w:t xml:space="preserve">Initiative (PSDI) and the International Finance Corporation </w:t>
      </w:r>
      <w:r w:rsidR="003769F9">
        <w:rPr>
          <w:color w:val="auto"/>
        </w:rPr>
        <w:t xml:space="preserve">(IFC) </w:t>
      </w:r>
      <w:r w:rsidRPr="00B050D4">
        <w:rPr>
          <w:color w:val="auto"/>
        </w:rPr>
        <w:t xml:space="preserve">to improve </w:t>
      </w:r>
      <w:r w:rsidR="00687DB5" w:rsidRPr="005B73DE">
        <w:rPr>
          <w:b/>
          <w:color w:val="auto"/>
        </w:rPr>
        <w:t>private sector development</w:t>
      </w:r>
      <w:r w:rsidR="00687DB5">
        <w:rPr>
          <w:color w:val="auto"/>
        </w:rPr>
        <w:t xml:space="preserve"> and </w:t>
      </w:r>
      <w:r w:rsidRPr="00B050D4">
        <w:rPr>
          <w:color w:val="auto"/>
        </w:rPr>
        <w:t xml:space="preserve">the </w:t>
      </w:r>
      <w:r w:rsidR="00661293" w:rsidRPr="00B050D4">
        <w:rPr>
          <w:color w:val="auto"/>
        </w:rPr>
        <w:t>business-enabling</w:t>
      </w:r>
      <w:r w:rsidRPr="00B050D4">
        <w:rPr>
          <w:color w:val="auto"/>
        </w:rPr>
        <w:t xml:space="preserve"> environment in </w:t>
      </w:r>
      <w:r w:rsidR="00687DB5" w:rsidRPr="00CA12D1">
        <w:rPr>
          <w:color w:val="auto"/>
        </w:rPr>
        <w:t>Papua New Guinea</w:t>
      </w:r>
      <w:r w:rsidR="00687DB5" w:rsidRPr="00B050D4" w:rsidDel="00687DB5">
        <w:rPr>
          <w:color w:val="auto"/>
        </w:rPr>
        <w:t xml:space="preserve"> </w:t>
      </w:r>
      <w:r w:rsidRPr="00B050D4">
        <w:rPr>
          <w:color w:val="auto"/>
        </w:rPr>
        <w:t>continued to p</w:t>
      </w:r>
      <w:r w:rsidR="006F41B6">
        <w:rPr>
          <w:color w:val="auto"/>
        </w:rPr>
        <w:t>erform well</w:t>
      </w:r>
      <w:r w:rsidRPr="00B050D4">
        <w:rPr>
          <w:color w:val="auto"/>
        </w:rPr>
        <w:t xml:space="preserve">. The ADB PSDI has worked with </w:t>
      </w:r>
      <w:r w:rsidR="00687DB5" w:rsidRPr="00CA12D1">
        <w:rPr>
          <w:color w:val="auto"/>
        </w:rPr>
        <w:t>Papua New Guinea</w:t>
      </w:r>
      <w:r w:rsidRPr="00B050D4">
        <w:rPr>
          <w:color w:val="auto"/>
        </w:rPr>
        <w:t xml:space="preserve">’s Investment Promotion Authority to improve </w:t>
      </w:r>
      <w:r w:rsidR="0000279C" w:rsidRPr="007F51C6">
        <w:rPr>
          <w:color w:val="auto"/>
        </w:rPr>
        <w:t>Papua New Guinea</w:t>
      </w:r>
      <w:r w:rsidRPr="00B050D4">
        <w:rPr>
          <w:color w:val="auto"/>
        </w:rPr>
        <w:t xml:space="preserve">’s company registry, including introducing an online portal and transferring data to the cloud to improve system stability. This has contributed to </w:t>
      </w:r>
      <w:r w:rsidR="00687DB5" w:rsidRPr="00CA12D1">
        <w:rPr>
          <w:color w:val="auto"/>
        </w:rPr>
        <w:t>Papua New Guinea</w:t>
      </w:r>
      <w:r w:rsidR="00687DB5" w:rsidRPr="00B050D4" w:rsidDel="00687DB5">
        <w:rPr>
          <w:color w:val="auto"/>
        </w:rPr>
        <w:t xml:space="preserve"> </w:t>
      </w:r>
      <w:r w:rsidRPr="00B050D4">
        <w:rPr>
          <w:color w:val="auto"/>
        </w:rPr>
        <w:t>improving its position on the global Ease of Doing Business Ranking from 133 in 2016 to 108 in 2019.</w:t>
      </w:r>
    </w:p>
    <w:p w14:paraId="232452AF" w14:textId="77318E1D" w:rsidR="00B050D4" w:rsidRPr="00B050D4" w:rsidRDefault="00B050D4" w:rsidP="00B050D4">
      <w:pPr>
        <w:spacing w:after="0" w:line="240" w:lineRule="auto"/>
        <w:rPr>
          <w:color w:val="auto"/>
        </w:rPr>
      </w:pPr>
      <w:r w:rsidRPr="00B050D4">
        <w:rPr>
          <w:color w:val="auto"/>
        </w:rPr>
        <w:t xml:space="preserve">Australia continues to support </w:t>
      </w:r>
      <w:r w:rsidR="0000279C" w:rsidRPr="007F51C6">
        <w:rPr>
          <w:color w:val="auto"/>
        </w:rPr>
        <w:t>Papua New Guinea</w:t>
      </w:r>
      <w:r w:rsidRPr="00B050D4">
        <w:rPr>
          <w:color w:val="auto"/>
        </w:rPr>
        <w:t xml:space="preserve">’s </w:t>
      </w:r>
      <w:r w:rsidRPr="00B050D4">
        <w:rPr>
          <w:b/>
          <w:color w:val="auto"/>
        </w:rPr>
        <w:t>agriculture</w:t>
      </w:r>
      <w:r w:rsidRPr="00B050D4">
        <w:rPr>
          <w:color w:val="auto"/>
        </w:rPr>
        <w:t xml:space="preserve"> sector. As well as underpinning basic food security, increased agricultural production translates to economic growth</w:t>
      </w:r>
      <w:r w:rsidR="00C574EC">
        <w:rPr>
          <w:color w:val="auto"/>
        </w:rPr>
        <w:t>, poverty reduction</w:t>
      </w:r>
      <w:r w:rsidRPr="00B050D4">
        <w:rPr>
          <w:color w:val="auto"/>
        </w:rPr>
        <w:t xml:space="preserve"> and improved living standards. We are reshaping some of our private sector initiatives to focus on supporting commercial agricultural production, in line with the priorities of the </w:t>
      </w:r>
      <w:r w:rsidR="00687DB5" w:rsidRPr="00B050D4">
        <w:rPr>
          <w:color w:val="auto"/>
        </w:rPr>
        <w:t>Government</w:t>
      </w:r>
      <w:r w:rsidR="00687DB5" w:rsidRPr="00CA12D1">
        <w:rPr>
          <w:color w:val="auto"/>
        </w:rPr>
        <w:t xml:space="preserve"> </w:t>
      </w:r>
      <w:r w:rsidR="00687DB5">
        <w:rPr>
          <w:color w:val="auto"/>
        </w:rPr>
        <w:t xml:space="preserve">of </w:t>
      </w:r>
      <w:r w:rsidR="00687DB5" w:rsidRPr="00CA12D1">
        <w:rPr>
          <w:color w:val="auto"/>
        </w:rPr>
        <w:t>Papua New Guinea</w:t>
      </w:r>
      <w:r w:rsidRPr="00B050D4">
        <w:rPr>
          <w:color w:val="auto"/>
        </w:rPr>
        <w:t xml:space="preserve">, with a stronger focus on Morobe Province. This </w:t>
      </w:r>
      <w:r w:rsidR="003769F9">
        <w:rPr>
          <w:color w:val="auto"/>
        </w:rPr>
        <w:t>includes</w:t>
      </w:r>
      <w:r w:rsidRPr="00B050D4">
        <w:rPr>
          <w:color w:val="auto"/>
        </w:rPr>
        <w:t xml:space="preserve"> a</w:t>
      </w:r>
      <w:r w:rsidR="00687DB5">
        <w:rPr>
          <w:color w:val="auto"/>
        </w:rPr>
        <w:t xml:space="preserve"> </w:t>
      </w:r>
      <w:r w:rsidRPr="00B050D4">
        <w:rPr>
          <w:color w:val="auto"/>
        </w:rPr>
        <w:t xml:space="preserve">partnership between the </w:t>
      </w:r>
      <w:r w:rsidR="003769F9">
        <w:rPr>
          <w:color w:val="auto"/>
        </w:rPr>
        <w:t>IFC</w:t>
      </w:r>
      <w:r w:rsidRPr="00B050D4">
        <w:rPr>
          <w:color w:val="auto"/>
        </w:rPr>
        <w:t xml:space="preserve"> and SP Brewery to commercialise the production of smallholder-grown cassava.  </w:t>
      </w:r>
    </w:p>
    <w:p w14:paraId="16C0F4DA" w14:textId="77777777" w:rsidR="00060F24" w:rsidRPr="00B050D4" w:rsidRDefault="00060F24" w:rsidP="00060F24">
      <w:pPr>
        <w:spacing w:after="0" w:line="240" w:lineRule="auto"/>
        <w:rPr>
          <w:color w:val="auto"/>
        </w:rPr>
      </w:pPr>
      <w:r w:rsidRPr="00060F24">
        <w:rPr>
          <w:color w:val="auto"/>
        </w:rPr>
        <w:t>The Market Development Facility (MDF) has improved its performance over the past year, sharpening the focus of its partnerships which include work on honey production, stock feed, fresh produce and specialty coffee and cocoa. For example, with MDF support, Monpi coffee has certified 3,100 smallholder coffee farmers, enabling them to sell into speciality coffee markets and achieve higher prices. Through PHAMA Plus, Australia’s biosecurity support program, we are helping strengthen Papua New Guinea’s biosecurity systems to increase agricultural exports to Australia and the world. Recently PHAMA Plus has helped access new markets in chili, ginger and fisheries products, and is supporting women to produce high-quality handicrafts for international sale from fibre and seed crops.</w:t>
      </w:r>
    </w:p>
    <w:p w14:paraId="05BB4C8E" w14:textId="52F8736F" w:rsidR="009A3FE0" w:rsidRDefault="00B050D4" w:rsidP="0017553C">
      <w:pPr>
        <w:spacing w:after="0" w:line="240" w:lineRule="auto"/>
        <w:rPr>
          <w:color w:val="auto"/>
        </w:rPr>
      </w:pPr>
      <w:r w:rsidRPr="00B050D4">
        <w:rPr>
          <w:color w:val="auto"/>
        </w:rPr>
        <w:t>The Australian Centre for International Agricultural Research</w:t>
      </w:r>
      <w:r w:rsidR="0017553C">
        <w:rPr>
          <w:color w:val="auto"/>
        </w:rPr>
        <w:t xml:space="preserve"> (ACIAR)</w:t>
      </w:r>
      <w:r w:rsidRPr="00B050D4">
        <w:rPr>
          <w:color w:val="auto"/>
        </w:rPr>
        <w:t xml:space="preserve"> continues to support broad-ranging agricultural research to improve food supply and rural incomes; a long-term project on introducing ‘clean seed’ technology for sweet potato production</w:t>
      </w:r>
      <w:r w:rsidR="0017553C">
        <w:rPr>
          <w:color w:val="auto"/>
        </w:rPr>
        <w:t xml:space="preserve"> </w:t>
      </w:r>
      <w:r w:rsidRPr="00B050D4">
        <w:rPr>
          <w:color w:val="auto"/>
        </w:rPr>
        <w:t xml:space="preserve">is yielding good results. A comprehensive Australian-funded survey on household food production and nutrition generated results that are being used by </w:t>
      </w:r>
      <w:r w:rsidR="0017553C">
        <w:rPr>
          <w:color w:val="auto"/>
        </w:rPr>
        <w:t>Papua New Guinean G</w:t>
      </w:r>
      <w:r w:rsidR="00687DB5">
        <w:rPr>
          <w:color w:val="auto"/>
        </w:rPr>
        <w:t xml:space="preserve">overnment </w:t>
      </w:r>
      <w:r w:rsidRPr="00B050D4">
        <w:rPr>
          <w:color w:val="auto"/>
        </w:rPr>
        <w:t xml:space="preserve">agencies. </w:t>
      </w:r>
    </w:p>
    <w:p w14:paraId="20715CDE" w14:textId="77777777" w:rsidR="008E306F" w:rsidRPr="0017553C" w:rsidRDefault="008E306F" w:rsidP="0017553C">
      <w:pPr>
        <w:spacing w:after="0" w:line="240" w:lineRule="auto"/>
        <w:rPr>
          <w:color w:val="auto"/>
        </w:rPr>
      </w:pPr>
    </w:p>
    <w:p w14:paraId="1A4E87BC" w14:textId="2EEF920F" w:rsidR="00B87257" w:rsidRPr="00B87257" w:rsidRDefault="00B87257" w:rsidP="00B87257">
      <w:pPr>
        <w:suppressAutoHyphens w:val="0"/>
        <w:spacing w:before="0" w:after="120" w:line="440" w:lineRule="atLeast"/>
        <w:rPr>
          <w:rFonts w:asciiTheme="majorHAnsi" w:eastAsiaTheme="majorEastAsia" w:hAnsiTheme="majorHAnsi" w:cstheme="majorBidi"/>
          <w:caps/>
          <w:sz w:val="32"/>
          <w:szCs w:val="32"/>
        </w:rPr>
      </w:pPr>
      <w:r w:rsidRPr="00B87257">
        <w:rPr>
          <w:rFonts w:asciiTheme="majorHAnsi" w:eastAsiaTheme="majorEastAsia" w:hAnsiTheme="majorHAnsi" w:cstheme="majorBidi"/>
          <w:caps/>
          <w:sz w:val="32"/>
          <w:szCs w:val="32"/>
        </w:rPr>
        <w:t>Objective 3: enhancing human development</w:t>
      </w:r>
      <w:r w:rsidR="005325A1">
        <w:rPr>
          <w:rFonts w:asciiTheme="majorHAnsi" w:eastAsiaTheme="majorEastAsia" w:hAnsiTheme="majorHAnsi" w:cstheme="majorBidi"/>
          <w:caps/>
          <w:sz w:val="32"/>
          <w:szCs w:val="32"/>
        </w:rPr>
        <w:t xml:space="preserve"> </w:t>
      </w:r>
      <w:r w:rsidR="005325A1" w:rsidRPr="005325A1">
        <w:rPr>
          <w:rFonts w:asciiTheme="majorHAnsi" w:eastAsiaTheme="majorEastAsia" w:hAnsiTheme="majorHAnsi" w:cstheme="majorBidi"/>
          <w:caps/>
          <w:sz w:val="32"/>
          <w:szCs w:val="32"/>
        </w:rPr>
        <w:t>($188.5</w:t>
      </w:r>
      <w:r w:rsidR="005325A1">
        <w:rPr>
          <w:rFonts w:asciiTheme="majorHAnsi" w:eastAsiaTheme="majorEastAsia" w:hAnsiTheme="majorHAnsi" w:cstheme="majorBidi"/>
          <w:caps/>
          <w:sz w:val="32"/>
          <w:szCs w:val="32"/>
        </w:rPr>
        <w:t xml:space="preserve"> </w:t>
      </w:r>
      <w:r w:rsidR="005325A1" w:rsidRPr="002F4DBE">
        <w:rPr>
          <w:color w:val="auto"/>
          <w:sz w:val="32"/>
          <w:szCs w:val="32"/>
        </w:rPr>
        <w:t>million)</w:t>
      </w:r>
    </w:p>
    <w:p w14:paraId="51B9E514" w14:textId="77777777" w:rsidR="00B87257" w:rsidRPr="00B87257" w:rsidRDefault="00B87257" w:rsidP="00B87257">
      <w:pPr>
        <w:jc w:val="both"/>
        <w:rPr>
          <w:rFonts w:eastAsiaTheme="majorEastAsia" w:cstheme="majorBidi"/>
          <w:caps/>
          <w:noProof/>
          <w:color w:val="auto"/>
          <w:lang w:val="en-AU" w:eastAsia="en-AU"/>
        </w:rPr>
      </w:pPr>
      <w:r w:rsidRPr="00B87257">
        <w:rPr>
          <w:rFonts w:eastAsiaTheme="majorEastAsia" w:cstheme="majorBidi"/>
          <w:caps/>
          <w:noProof/>
          <w:color w:val="auto"/>
          <w:lang w:val="en-AU" w:eastAsia="en-AU"/>
        </w:rPr>
        <w:drawing>
          <wp:inline distT="0" distB="0" distL="0" distR="0" wp14:anchorId="7A686010" wp14:editId="113A2C51">
            <wp:extent cx="1134000" cy="723600"/>
            <wp:effectExtent l="0" t="0" r="952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7FC2E57B" wp14:editId="72EA9984">
            <wp:extent cx="608400" cy="60840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2D104448" wp14:editId="64184436">
            <wp:extent cx="608400" cy="60840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11FDC574" wp14:editId="4F8CB3F4">
            <wp:extent cx="608400" cy="608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63E0760C" wp14:editId="351DA578">
            <wp:extent cx="608400" cy="60840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4D61B0C7" wp14:editId="37C7A75F">
            <wp:extent cx="608400" cy="608400"/>
            <wp:effectExtent l="0" t="0" r="127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noProof/>
          <w:color w:val="auto"/>
          <w:lang w:val="en-AU" w:eastAsia="en-AU"/>
        </w:rPr>
        <w:drawing>
          <wp:inline distT="0" distB="0" distL="0" distR="0" wp14:anchorId="016CC2A1" wp14:editId="4473492B">
            <wp:extent cx="609600" cy="609600"/>
            <wp:effectExtent l="0" t="0" r="0" b="0"/>
            <wp:docPr id="7" name="Picture 7"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B87257">
        <w:rPr>
          <w:rFonts w:eastAsiaTheme="majorEastAsia" w:cstheme="majorBidi"/>
          <w:caps/>
          <w:noProof/>
          <w:color w:val="auto"/>
          <w:lang w:val="en-AU" w:eastAsia="en-AU"/>
        </w:rPr>
        <w:drawing>
          <wp:inline distT="0" distB="0" distL="0" distR="0" wp14:anchorId="15CAD6AF" wp14:editId="219AB145">
            <wp:extent cx="608400" cy="608400"/>
            <wp:effectExtent l="0" t="0" r="127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B87257">
        <w:rPr>
          <w:noProof/>
          <w:color w:val="auto"/>
          <w:lang w:val="en-AU" w:eastAsia="en-AU"/>
        </w:rPr>
        <w:drawing>
          <wp:inline distT="0" distB="0" distL="0" distR="0" wp14:anchorId="468F78A9" wp14:editId="0914C802">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78C86585" w14:textId="0EC41B29" w:rsidR="005A0904" w:rsidRPr="0011100C" w:rsidRDefault="005A0904" w:rsidP="003319B2">
      <w:pPr>
        <w:spacing w:after="0" w:line="240" w:lineRule="auto"/>
        <w:rPr>
          <w:color w:val="auto"/>
        </w:rPr>
      </w:pPr>
      <w:r w:rsidRPr="00A31182">
        <w:rPr>
          <w:color w:val="auto"/>
        </w:rPr>
        <w:t xml:space="preserve">Australia is supporting the Papua New Guinean education and health sectors to efficiently deliver services to its population, in line with </w:t>
      </w:r>
      <w:r w:rsidR="0000279C" w:rsidRPr="007F51C6">
        <w:rPr>
          <w:color w:val="auto"/>
        </w:rPr>
        <w:t>Papua New Guinea</w:t>
      </w:r>
      <w:r w:rsidRPr="00A31182">
        <w:rPr>
          <w:color w:val="auto"/>
        </w:rPr>
        <w:t>’s decentralisation reform agenda. Across the portfolio there is good progress, particularly at the output level. In 2018-19, we helped vaccinate over 3.3 million children for polio, helping to interrupt the spread of the disease</w:t>
      </w:r>
      <w:r>
        <w:rPr>
          <w:color w:val="auto"/>
        </w:rPr>
        <w:t>, and</w:t>
      </w:r>
      <w:r w:rsidRPr="00A31182">
        <w:rPr>
          <w:color w:val="auto"/>
        </w:rPr>
        <w:t xml:space="preserve"> helped build critical health infrastructure through construction of 17 community health posts, and training over 500 health personnel. </w:t>
      </w:r>
      <w:r w:rsidR="0092436D">
        <w:rPr>
          <w:color w:val="auto"/>
        </w:rPr>
        <w:t xml:space="preserve">We are positively influencing policy makers and administrators </w:t>
      </w:r>
      <w:r w:rsidR="008361EA">
        <w:rPr>
          <w:color w:val="auto"/>
        </w:rPr>
        <w:t>with</w:t>
      </w:r>
      <w:r w:rsidR="0092436D">
        <w:rPr>
          <w:color w:val="auto"/>
        </w:rPr>
        <w:t>in</w:t>
      </w:r>
      <w:r w:rsidR="008361EA">
        <w:rPr>
          <w:color w:val="auto"/>
        </w:rPr>
        <w:t xml:space="preserve"> the</w:t>
      </w:r>
      <w:r w:rsidR="0092436D">
        <w:rPr>
          <w:color w:val="auto"/>
        </w:rPr>
        <w:t xml:space="preserve"> Papua New Guinea </w:t>
      </w:r>
      <w:r w:rsidR="008361EA">
        <w:rPr>
          <w:color w:val="auto"/>
        </w:rPr>
        <w:t>health system to make positive improvements</w:t>
      </w:r>
      <w:r w:rsidR="0092436D">
        <w:rPr>
          <w:color w:val="auto"/>
        </w:rPr>
        <w:t xml:space="preserve">. </w:t>
      </w:r>
      <w:r w:rsidRPr="00A31182">
        <w:rPr>
          <w:color w:val="auto"/>
        </w:rPr>
        <w:t>Despite these achievements, we rated th</w:t>
      </w:r>
      <w:r w:rsidR="0017553C">
        <w:rPr>
          <w:color w:val="auto"/>
        </w:rPr>
        <w:t>e objective ’amber’</w:t>
      </w:r>
      <w:r w:rsidR="00076ED3" w:rsidRPr="003319B2">
        <w:rPr>
          <w:color w:val="auto"/>
        </w:rPr>
        <w:t xml:space="preserve"> </w:t>
      </w:r>
      <w:r w:rsidR="00076ED3" w:rsidRPr="00076ED3">
        <w:rPr>
          <w:color w:val="auto"/>
        </w:rPr>
        <w:t>because at this stage, we expected to be reporting against higher-order outco</w:t>
      </w:r>
      <w:r w:rsidR="00076ED3">
        <w:rPr>
          <w:color w:val="auto"/>
        </w:rPr>
        <w:t xml:space="preserve">mes (rather than outputs) and </w:t>
      </w:r>
      <w:r w:rsidR="00076ED3" w:rsidRPr="00076ED3">
        <w:rPr>
          <w:color w:val="auto"/>
        </w:rPr>
        <w:t xml:space="preserve">leveraging and influencing a greater portion of </w:t>
      </w:r>
      <w:r w:rsidR="00076ED3">
        <w:rPr>
          <w:color w:val="auto"/>
        </w:rPr>
        <w:t>Papua New Guinea</w:t>
      </w:r>
      <w:r w:rsidR="00076ED3" w:rsidRPr="00076ED3">
        <w:rPr>
          <w:color w:val="auto"/>
        </w:rPr>
        <w:t xml:space="preserve"> health and education budget</w:t>
      </w:r>
      <w:r w:rsidR="00076ED3">
        <w:rPr>
          <w:color w:val="auto"/>
        </w:rPr>
        <w:t xml:space="preserve">s. In the next reporting period </w:t>
      </w:r>
      <w:r w:rsidR="00076ED3" w:rsidRPr="00076ED3">
        <w:rPr>
          <w:color w:val="auto"/>
        </w:rPr>
        <w:t>we will have in place</w:t>
      </w:r>
      <w:r w:rsidR="00B423F5">
        <w:rPr>
          <w:color w:val="auto"/>
        </w:rPr>
        <w:t xml:space="preserve"> </w:t>
      </w:r>
      <w:r w:rsidRPr="00A31182">
        <w:rPr>
          <w:color w:val="auto"/>
        </w:rPr>
        <w:t xml:space="preserve">a robust monitoring and evaluation (M&amp;E) system to capture </w:t>
      </w:r>
      <w:r w:rsidR="00076ED3" w:rsidRPr="00076ED3">
        <w:rPr>
          <w:color w:val="auto"/>
        </w:rPr>
        <w:t>program perfo</w:t>
      </w:r>
      <w:r w:rsidR="00076ED3">
        <w:rPr>
          <w:color w:val="auto"/>
        </w:rPr>
        <w:t xml:space="preserve">rmance </w:t>
      </w:r>
      <w:r w:rsidRPr="00A31182">
        <w:rPr>
          <w:color w:val="auto"/>
        </w:rPr>
        <w:t>at the outcome-level</w:t>
      </w:r>
      <w:r w:rsidR="00076ED3">
        <w:rPr>
          <w:color w:val="auto"/>
        </w:rPr>
        <w:t>, including</w:t>
      </w:r>
      <w:r>
        <w:rPr>
          <w:color w:val="auto"/>
        </w:rPr>
        <w:t xml:space="preserve"> through </w:t>
      </w:r>
      <w:r w:rsidR="00076ED3">
        <w:rPr>
          <w:color w:val="auto"/>
        </w:rPr>
        <w:t xml:space="preserve">the establishment of </w:t>
      </w:r>
      <w:r w:rsidRPr="00A31182">
        <w:rPr>
          <w:color w:val="auto"/>
        </w:rPr>
        <w:t xml:space="preserve">a standalone </w:t>
      </w:r>
      <w:r w:rsidR="00076ED3">
        <w:rPr>
          <w:color w:val="auto"/>
        </w:rPr>
        <w:t xml:space="preserve">monitoring and evaluation </w:t>
      </w:r>
      <w:r w:rsidRPr="00A31182">
        <w:rPr>
          <w:color w:val="auto"/>
        </w:rPr>
        <w:t xml:space="preserve">facility for </w:t>
      </w:r>
      <w:r w:rsidR="00076ED3">
        <w:rPr>
          <w:color w:val="auto"/>
        </w:rPr>
        <w:t>our human development investments</w:t>
      </w:r>
      <w:r w:rsidRPr="00A31182">
        <w:rPr>
          <w:color w:val="auto"/>
        </w:rPr>
        <w:t>.</w:t>
      </w:r>
      <w:r>
        <w:rPr>
          <w:color w:val="auto"/>
        </w:rPr>
        <w:t xml:space="preserve"> </w:t>
      </w:r>
      <w:r w:rsidR="00551722">
        <w:rPr>
          <w:color w:val="auto"/>
        </w:rPr>
        <w:t xml:space="preserve"> </w:t>
      </w:r>
    </w:p>
    <w:p w14:paraId="6396096E" w14:textId="77777777" w:rsidR="00B87257" w:rsidRPr="00B87257" w:rsidRDefault="00B87257" w:rsidP="00B87257">
      <w:pPr>
        <w:pStyle w:val="Heading3Numbered"/>
        <w:numPr>
          <w:ilvl w:val="0"/>
          <w:numId w:val="0"/>
        </w:numPr>
        <w:ind w:left="851" w:hanging="851"/>
        <w:rPr>
          <w:color w:val="auto"/>
        </w:rPr>
      </w:pPr>
      <w:r w:rsidRPr="00B87257">
        <w:rPr>
          <w:color w:val="auto"/>
        </w:rPr>
        <w:t xml:space="preserve">Health </w:t>
      </w:r>
    </w:p>
    <w:p w14:paraId="51552BF5" w14:textId="43250B16" w:rsidR="00CE7B0E" w:rsidRPr="00CE7B0E" w:rsidRDefault="00CE7B0E" w:rsidP="003319B2">
      <w:pPr>
        <w:spacing w:after="0" w:line="240" w:lineRule="auto"/>
        <w:rPr>
          <w:color w:val="auto"/>
        </w:rPr>
      </w:pPr>
      <w:r w:rsidRPr="00CE7B0E">
        <w:rPr>
          <w:color w:val="auto"/>
        </w:rPr>
        <w:t>The health system in Papua N</w:t>
      </w:r>
      <w:r w:rsidR="0017553C">
        <w:rPr>
          <w:color w:val="auto"/>
        </w:rPr>
        <w:t xml:space="preserve">ew Guinea faces many </w:t>
      </w:r>
      <w:r w:rsidRPr="00CE7B0E">
        <w:rPr>
          <w:color w:val="auto"/>
        </w:rPr>
        <w:t>challenges</w:t>
      </w:r>
      <w:r w:rsidR="0017553C">
        <w:rPr>
          <w:color w:val="auto"/>
        </w:rPr>
        <w:t xml:space="preserve"> including </w:t>
      </w:r>
      <w:r w:rsidRPr="00CE7B0E">
        <w:rPr>
          <w:color w:val="auto"/>
        </w:rPr>
        <w:t>inadequate infrastructure</w:t>
      </w:r>
      <w:r w:rsidR="00781270">
        <w:rPr>
          <w:color w:val="auto"/>
        </w:rPr>
        <w:t>,</w:t>
      </w:r>
      <w:r w:rsidRPr="00CE7B0E">
        <w:rPr>
          <w:color w:val="auto"/>
        </w:rPr>
        <w:t xml:space="preserve"> poor access to facilities and medical supplies</w:t>
      </w:r>
      <w:r w:rsidR="00781270">
        <w:rPr>
          <w:color w:val="auto"/>
        </w:rPr>
        <w:t>,</w:t>
      </w:r>
      <w:r w:rsidRPr="00CE7B0E">
        <w:rPr>
          <w:color w:val="auto"/>
        </w:rPr>
        <w:t xml:space="preserve"> and workforce shortages. The re-emergence of polio in 2018, almost two decades after being declared free of the disease highlights the weakness of the </w:t>
      </w:r>
      <w:r w:rsidR="000B6C89" w:rsidRPr="007F51C6">
        <w:rPr>
          <w:color w:val="auto"/>
        </w:rPr>
        <w:t>Papua New Guinea</w:t>
      </w:r>
      <w:r w:rsidR="000B6C89" w:rsidRPr="00CE7B0E">
        <w:rPr>
          <w:color w:val="auto"/>
        </w:rPr>
        <w:t xml:space="preserve"> </w:t>
      </w:r>
      <w:r w:rsidRPr="00CE7B0E">
        <w:rPr>
          <w:color w:val="auto"/>
        </w:rPr>
        <w:t xml:space="preserve">health system. However, a recent Australian Government funded </w:t>
      </w:r>
      <w:r w:rsidR="000B6C89" w:rsidRPr="007F51C6">
        <w:rPr>
          <w:color w:val="auto"/>
        </w:rPr>
        <w:t>Papua New Guinea</w:t>
      </w:r>
      <w:r w:rsidR="000B6C89" w:rsidRPr="00CE7B0E">
        <w:rPr>
          <w:color w:val="auto"/>
        </w:rPr>
        <w:t xml:space="preserve"> </w:t>
      </w:r>
      <w:r w:rsidRPr="00CE7B0E">
        <w:rPr>
          <w:color w:val="auto"/>
        </w:rPr>
        <w:t>Demographic and Health Survey demonstrates positive progress is being made i</w:t>
      </w:r>
      <w:r w:rsidR="0017553C">
        <w:rPr>
          <w:color w:val="auto"/>
        </w:rPr>
        <w:t xml:space="preserve">n some areas in health over a </w:t>
      </w:r>
      <w:r w:rsidR="0092436D">
        <w:rPr>
          <w:color w:val="auto"/>
        </w:rPr>
        <w:t>twenty</w:t>
      </w:r>
      <w:r w:rsidR="0092436D" w:rsidRPr="00CE7B0E">
        <w:rPr>
          <w:color w:val="auto"/>
        </w:rPr>
        <w:t xml:space="preserve"> </w:t>
      </w:r>
      <w:r w:rsidRPr="00CE7B0E">
        <w:rPr>
          <w:color w:val="auto"/>
        </w:rPr>
        <w:t>year period (1996 to 2016-18): child mortality has declined from 92</w:t>
      </w:r>
      <w:r w:rsidR="0020689C" w:rsidRPr="0020689C">
        <w:rPr>
          <w:color w:val="auto"/>
        </w:rPr>
        <w:t xml:space="preserve"> </w:t>
      </w:r>
      <w:r w:rsidR="0020689C" w:rsidRPr="00CE7B0E">
        <w:rPr>
          <w:color w:val="auto"/>
        </w:rPr>
        <w:t>to 49</w:t>
      </w:r>
      <w:r w:rsidRPr="00CE7B0E">
        <w:rPr>
          <w:color w:val="auto"/>
        </w:rPr>
        <w:t xml:space="preserve"> per 1000 live births; </w:t>
      </w:r>
      <w:r w:rsidR="0020689C">
        <w:rPr>
          <w:color w:val="auto"/>
        </w:rPr>
        <w:t xml:space="preserve">the </w:t>
      </w:r>
      <w:r w:rsidRPr="00CE7B0E">
        <w:rPr>
          <w:color w:val="auto"/>
        </w:rPr>
        <w:t>fertility rate has dropped from 4.8 to 4.2</w:t>
      </w:r>
      <w:r w:rsidR="0020689C">
        <w:rPr>
          <w:color w:val="auto"/>
        </w:rPr>
        <w:t xml:space="preserve"> per cent </w:t>
      </w:r>
      <w:r w:rsidRPr="00CE7B0E">
        <w:rPr>
          <w:color w:val="auto"/>
        </w:rPr>
        <w:t>and contraceptive use increased by nearly 11</w:t>
      </w:r>
      <w:r w:rsidR="0020689C">
        <w:rPr>
          <w:color w:val="auto"/>
        </w:rPr>
        <w:t xml:space="preserve"> per cent</w:t>
      </w:r>
      <w:r w:rsidRPr="00CE7B0E">
        <w:rPr>
          <w:color w:val="auto"/>
        </w:rPr>
        <w:t>, exclusively through uptake of modern contraceptives</w:t>
      </w:r>
      <w:r w:rsidR="0017553C">
        <w:rPr>
          <w:color w:val="auto"/>
        </w:rPr>
        <w:t>.</w:t>
      </w:r>
    </w:p>
    <w:p w14:paraId="097A30BC" w14:textId="3C56C2B0" w:rsidR="00C574EC" w:rsidRDefault="00CE7B0E" w:rsidP="003319B2">
      <w:pPr>
        <w:spacing w:after="0" w:line="240" w:lineRule="auto"/>
        <w:rPr>
          <w:color w:val="auto"/>
        </w:rPr>
      </w:pPr>
      <w:r w:rsidRPr="00CE7B0E">
        <w:rPr>
          <w:color w:val="auto"/>
        </w:rPr>
        <w:t xml:space="preserve">Australia is the major donor to the sector, providing around $100 million in 2018-19, which is equivalent to about 20 per cent of the Government of Papua New Guinea’s health expenditure. </w:t>
      </w:r>
      <w:r w:rsidR="006D6F1E" w:rsidRPr="006D6F1E">
        <w:rPr>
          <w:color w:val="auto"/>
        </w:rPr>
        <w:t xml:space="preserve">With health services largely underfunded, a key priority for Australia has been to encourage financing from multilateral banks and the global funds. Our co-funding to multilateral banks (the Asian Development Bank and World Bank), in particular has successfully leveraged over USD 500 million in additional funding (both loans and grants) to the sector. </w:t>
      </w:r>
      <w:r w:rsidRPr="00CE7B0E">
        <w:rPr>
          <w:color w:val="auto"/>
        </w:rPr>
        <w:t xml:space="preserve">Our health strategy, as articulated in the </w:t>
      </w:r>
      <w:r w:rsidR="00697BFA">
        <w:rPr>
          <w:color w:val="auto"/>
        </w:rPr>
        <w:t>Papua New Guinea</w:t>
      </w:r>
      <w:r w:rsidR="00697BFA" w:rsidRPr="00CE7B0E">
        <w:rPr>
          <w:color w:val="auto"/>
        </w:rPr>
        <w:t xml:space="preserve"> </w:t>
      </w:r>
      <w:r w:rsidRPr="00CE7B0E">
        <w:rPr>
          <w:color w:val="auto"/>
        </w:rPr>
        <w:t>Health Portfolio Plan 2018-2023, aims to improve the health of Papua New Guinea</w:t>
      </w:r>
      <w:r w:rsidR="0020689C">
        <w:rPr>
          <w:color w:val="auto"/>
        </w:rPr>
        <w:t>n</w:t>
      </w:r>
      <w:r w:rsidRPr="00CE7B0E">
        <w:rPr>
          <w:color w:val="auto"/>
        </w:rPr>
        <w:t>s on high priority health issues, and targets the following three outcome areas</w:t>
      </w:r>
      <w:r w:rsidR="00697BFA">
        <w:rPr>
          <w:color w:val="auto"/>
        </w:rPr>
        <w:t>: health security; rural health care; and family planning</w:t>
      </w:r>
      <w:r w:rsidRPr="00CE7B0E">
        <w:rPr>
          <w:color w:val="auto"/>
        </w:rPr>
        <w:t>.</w:t>
      </w:r>
    </w:p>
    <w:p w14:paraId="58C88F8E" w14:textId="42E03968" w:rsidR="002C6E5A" w:rsidRPr="002C6E5A" w:rsidRDefault="00CE7B0E" w:rsidP="002C6E5A">
      <w:pPr>
        <w:spacing w:after="160" w:line="259" w:lineRule="auto"/>
        <w:rPr>
          <w:rFonts w:eastAsia="Calibri" w:cstheme="minorHAnsi"/>
          <w:color w:val="auto"/>
        </w:rPr>
      </w:pPr>
      <w:r w:rsidRPr="002C6E5A">
        <w:rPr>
          <w:b/>
          <w:i/>
          <w:color w:val="auto"/>
        </w:rPr>
        <w:t xml:space="preserve">Health Security and containing the spread of Major Communicable </w:t>
      </w:r>
      <w:r w:rsidR="0010519E" w:rsidRPr="002C6E5A">
        <w:rPr>
          <w:b/>
          <w:i/>
          <w:color w:val="auto"/>
        </w:rPr>
        <w:t>Disease</w:t>
      </w:r>
      <w:r w:rsidR="0010519E">
        <w:rPr>
          <w:b/>
          <w:i/>
          <w:color w:val="auto"/>
        </w:rPr>
        <w:t>s</w:t>
      </w:r>
      <w:r w:rsidR="0010519E" w:rsidRPr="002C6E5A">
        <w:rPr>
          <w:b/>
          <w:i/>
          <w:color w:val="auto"/>
        </w:rPr>
        <w:t xml:space="preserve"> </w:t>
      </w:r>
      <w:r w:rsidR="002C6E5A">
        <w:rPr>
          <w:b/>
          <w:i/>
          <w:color w:val="auto"/>
        </w:rPr>
        <w:br/>
      </w:r>
      <w:r w:rsidR="002C6E5A" w:rsidRPr="002C6E5A">
        <w:rPr>
          <w:rFonts w:eastAsia="Calibri" w:cstheme="minorHAnsi"/>
          <w:color w:val="auto"/>
        </w:rPr>
        <w:t xml:space="preserve">Australia is supporting </w:t>
      </w:r>
      <w:r w:rsidR="000B6C89" w:rsidRPr="007F51C6">
        <w:rPr>
          <w:color w:val="auto"/>
        </w:rPr>
        <w:t>Papua New Guinea</w:t>
      </w:r>
      <w:r w:rsidR="000B6C89" w:rsidRPr="002C6E5A">
        <w:rPr>
          <w:rFonts w:eastAsia="Calibri" w:cstheme="minorHAnsi"/>
          <w:color w:val="auto"/>
        </w:rPr>
        <w:t xml:space="preserve"> </w:t>
      </w:r>
      <w:r w:rsidR="002C6E5A" w:rsidRPr="002C6E5A">
        <w:rPr>
          <w:rFonts w:eastAsia="Calibri" w:cstheme="minorHAnsi"/>
          <w:color w:val="auto"/>
        </w:rPr>
        <w:t>to tackle multi-drug resistant tuberculosis (TB), improve malaria diagnosis capacity and respond to disease outbreaks. In 2018-19, independent reviews were conducted of our key investments. The review of Austra</w:t>
      </w:r>
      <w:r w:rsidR="0020689C">
        <w:rPr>
          <w:rFonts w:eastAsia="Calibri" w:cstheme="minorHAnsi"/>
          <w:color w:val="auto"/>
        </w:rPr>
        <w:t xml:space="preserve">lia’s investments in TB in </w:t>
      </w:r>
      <w:r w:rsidR="000B6C89" w:rsidRPr="007F51C6">
        <w:rPr>
          <w:color w:val="auto"/>
        </w:rPr>
        <w:t>Papua New Guinea</w:t>
      </w:r>
      <w:r w:rsidR="000B6C89" w:rsidRPr="002C6E5A">
        <w:rPr>
          <w:rFonts w:eastAsia="Calibri" w:cstheme="minorHAnsi"/>
          <w:color w:val="auto"/>
        </w:rPr>
        <w:t xml:space="preserve"> </w:t>
      </w:r>
      <w:r w:rsidR="002C6E5A" w:rsidRPr="002C6E5A">
        <w:rPr>
          <w:rFonts w:eastAsia="Calibri" w:cstheme="minorHAnsi"/>
          <w:color w:val="auto"/>
        </w:rPr>
        <w:t xml:space="preserve">between 2011 and 2018 found Australia’s support was critical to the success of the </w:t>
      </w:r>
      <w:r w:rsidR="00697BFA" w:rsidRPr="00CE7B0E">
        <w:rPr>
          <w:color w:val="auto"/>
        </w:rPr>
        <w:t>Government of Papua New Guinea</w:t>
      </w:r>
      <w:r w:rsidR="0017553C">
        <w:rPr>
          <w:rFonts w:eastAsia="Calibri" w:cstheme="minorHAnsi"/>
          <w:color w:val="auto"/>
        </w:rPr>
        <w:t>-</w:t>
      </w:r>
      <w:r w:rsidR="002C6E5A" w:rsidRPr="002C6E5A">
        <w:rPr>
          <w:rFonts w:eastAsia="Calibri" w:cstheme="minorHAnsi"/>
          <w:color w:val="auto"/>
        </w:rPr>
        <w:t>led emergency response in Daru, Western Province, and to strengthening the roll out of the TB program in the National Capital District. Our funding has helped reduce TB mortality; increase</w:t>
      </w:r>
      <w:r w:rsidR="0017553C">
        <w:rPr>
          <w:rFonts w:eastAsia="Calibri" w:cstheme="minorHAnsi"/>
          <w:color w:val="auto"/>
        </w:rPr>
        <w:t>d</w:t>
      </w:r>
      <w:r w:rsidR="002C6E5A" w:rsidRPr="002C6E5A">
        <w:rPr>
          <w:rFonts w:eastAsia="Calibri" w:cstheme="minorHAnsi"/>
          <w:color w:val="auto"/>
        </w:rPr>
        <w:t xml:space="preserve"> treatment success rates in Daru </w:t>
      </w:r>
      <w:r w:rsidR="00C56771">
        <w:rPr>
          <w:rFonts w:eastAsia="Calibri" w:cstheme="minorHAnsi"/>
          <w:color w:val="auto"/>
        </w:rPr>
        <w:t xml:space="preserve">from 81 </w:t>
      </w:r>
      <w:r w:rsidR="002C6E5A" w:rsidRPr="002C6E5A">
        <w:rPr>
          <w:rFonts w:eastAsia="Calibri" w:cstheme="minorHAnsi"/>
          <w:color w:val="auto"/>
        </w:rPr>
        <w:t>to 87 per cent for drug-resistant TB; contribute</w:t>
      </w:r>
      <w:r w:rsidR="00697BFA">
        <w:rPr>
          <w:rFonts w:eastAsia="Calibri" w:cstheme="minorHAnsi"/>
          <w:color w:val="auto"/>
        </w:rPr>
        <w:t>d</w:t>
      </w:r>
      <w:r w:rsidR="002C6E5A" w:rsidRPr="002C6E5A">
        <w:rPr>
          <w:rFonts w:eastAsia="Calibri" w:cstheme="minorHAnsi"/>
          <w:color w:val="auto"/>
        </w:rPr>
        <w:t xml:space="preserve"> to innovative approaches to case detection and community based treatment, and improve</w:t>
      </w:r>
      <w:r w:rsidR="00697BFA">
        <w:rPr>
          <w:rFonts w:eastAsia="Calibri" w:cstheme="minorHAnsi"/>
          <w:color w:val="auto"/>
        </w:rPr>
        <w:t>d</w:t>
      </w:r>
      <w:r w:rsidR="002C6E5A" w:rsidRPr="002C6E5A">
        <w:rPr>
          <w:rFonts w:eastAsia="Calibri" w:cstheme="minorHAnsi"/>
          <w:color w:val="auto"/>
        </w:rPr>
        <w:t xml:space="preserve"> infrastructure and staff capacity at Daru General Hospital. These initiatives are identifying important </w:t>
      </w:r>
      <w:r w:rsidR="0010519E" w:rsidRPr="002C6E5A">
        <w:rPr>
          <w:rFonts w:eastAsia="Calibri" w:cstheme="minorHAnsi"/>
          <w:color w:val="auto"/>
        </w:rPr>
        <w:t>lessons, which</w:t>
      </w:r>
      <w:r w:rsidR="002C6E5A" w:rsidRPr="002C6E5A">
        <w:rPr>
          <w:rFonts w:eastAsia="Calibri" w:cstheme="minorHAnsi"/>
          <w:color w:val="auto"/>
        </w:rPr>
        <w:t xml:space="preserve"> the Government</w:t>
      </w:r>
      <w:r w:rsidR="00C56771">
        <w:rPr>
          <w:rFonts w:eastAsia="Calibri" w:cstheme="minorHAnsi"/>
          <w:color w:val="auto"/>
        </w:rPr>
        <w:t xml:space="preserve"> of Papua New Guinea</w:t>
      </w:r>
      <w:r w:rsidR="002C6E5A" w:rsidRPr="002C6E5A">
        <w:rPr>
          <w:rFonts w:eastAsia="Calibri" w:cstheme="minorHAnsi"/>
          <w:color w:val="auto"/>
        </w:rPr>
        <w:t xml:space="preserve"> is using to inform in its </w:t>
      </w:r>
      <w:r w:rsidR="0010519E" w:rsidRPr="002C6E5A">
        <w:rPr>
          <w:rFonts w:eastAsia="Calibri" w:cstheme="minorHAnsi"/>
          <w:color w:val="auto"/>
        </w:rPr>
        <w:t>countrywide</w:t>
      </w:r>
      <w:r w:rsidR="002C6E5A" w:rsidRPr="002C6E5A">
        <w:rPr>
          <w:rFonts w:eastAsia="Calibri" w:cstheme="minorHAnsi"/>
          <w:color w:val="auto"/>
        </w:rPr>
        <w:t xml:space="preserve"> TB strategy. </w:t>
      </w:r>
    </w:p>
    <w:p w14:paraId="21381B52" w14:textId="2B6590DD" w:rsidR="002C6E5A" w:rsidRPr="002C6E5A" w:rsidRDefault="002C6E5A" w:rsidP="002C6E5A">
      <w:pPr>
        <w:spacing w:after="120"/>
        <w:rPr>
          <w:rFonts w:eastAsia="Calibri" w:cstheme="minorHAnsi"/>
          <w:color w:val="auto"/>
        </w:rPr>
      </w:pPr>
      <w:r w:rsidRPr="002C6E5A">
        <w:rPr>
          <w:rFonts w:eastAsia="Calibri" w:cstheme="minorHAnsi"/>
          <w:color w:val="auto"/>
        </w:rPr>
        <w:lastRenderedPageBreak/>
        <w:t xml:space="preserve">Similarly, the review of the trilateral cooperation on malaria found accuracy in the diagnosis of malaria improved from less than 60 per cent in 2013 to over 80 per cent in 2018. The innovative partnership model between Australia, </w:t>
      </w:r>
      <w:r w:rsidR="00697BFA" w:rsidRPr="00EF31E0">
        <w:rPr>
          <w:color w:val="auto"/>
        </w:rPr>
        <w:t>P</w:t>
      </w:r>
      <w:r w:rsidR="00697BFA">
        <w:rPr>
          <w:color w:val="auto"/>
        </w:rPr>
        <w:t xml:space="preserve">apua New Guinea </w:t>
      </w:r>
      <w:r w:rsidRPr="002C6E5A">
        <w:rPr>
          <w:rFonts w:eastAsia="Calibri" w:cstheme="minorHAnsi"/>
          <w:color w:val="auto"/>
        </w:rPr>
        <w:t xml:space="preserve">and China was assessed to be a success and all countries agreed it should be extended to a second phase (beginning January 2020). </w:t>
      </w:r>
    </w:p>
    <w:p w14:paraId="64016614" w14:textId="618A117C" w:rsidR="002C6E5A" w:rsidRDefault="002C6E5A" w:rsidP="002C6E5A">
      <w:pPr>
        <w:spacing w:after="120"/>
        <w:rPr>
          <w:rFonts w:eastAsia="Calibri" w:cstheme="minorHAnsi"/>
          <w:color w:val="auto"/>
        </w:rPr>
      </w:pPr>
      <w:r w:rsidRPr="002C6E5A">
        <w:rPr>
          <w:rFonts w:eastAsia="Calibri" w:cstheme="minorHAnsi"/>
          <w:color w:val="auto"/>
        </w:rPr>
        <w:t>Following the outbreak of the polio virus in June 2018, Australia responded swiftly, providing over $19</w:t>
      </w:r>
      <w:r w:rsidR="00C56771">
        <w:rPr>
          <w:rFonts w:eastAsia="Calibri" w:cstheme="minorHAnsi"/>
          <w:color w:val="auto"/>
        </w:rPr>
        <w:t> </w:t>
      </w:r>
      <w:r w:rsidRPr="002C6E5A">
        <w:rPr>
          <w:rFonts w:eastAsia="Calibri" w:cstheme="minorHAnsi"/>
          <w:color w:val="auto"/>
        </w:rPr>
        <w:t>million for the national polio vaccination campaign and for routine immunisation, in partnership with the World Health Organization</w:t>
      </w:r>
      <w:r w:rsidR="0017553C">
        <w:rPr>
          <w:rFonts w:eastAsia="Calibri" w:cstheme="minorHAnsi"/>
          <w:color w:val="auto"/>
        </w:rPr>
        <w:t xml:space="preserve"> (WHO)</w:t>
      </w:r>
      <w:r w:rsidRPr="002C6E5A">
        <w:rPr>
          <w:rFonts w:eastAsia="Calibri" w:cstheme="minorHAnsi"/>
          <w:color w:val="auto"/>
        </w:rPr>
        <w:t xml:space="preserve"> and the </w:t>
      </w:r>
      <w:r w:rsidR="000B6C89" w:rsidRPr="007F51C6">
        <w:rPr>
          <w:color w:val="auto"/>
        </w:rPr>
        <w:t>Papua New Guinea</w:t>
      </w:r>
      <w:r w:rsidR="000B6C89" w:rsidRPr="002C6E5A">
        <w:rPr>
          <w:rFonts w:eastAsia="Calibri" w:cstheme="minorHAnsi"/>
          <w:color w:val="auto"/>
        </w:rPr>
        <w:t xml:space="preserve"> </w:t>
      </w:r>
      <w:r w:rsidRPr="002C6E5A">
        <w:rPr>
          <w:rFonts w:eastAsia="Calibri" w:cstheme="minorHAnsi"/>
          <w:color w:val="auto"/>
        </w:rPr>
        <w:t>National Department of Health. With over 3.3 million children vaccinated, the campaign has successfully interrupted the spread of the disease, according to an independent Poliovirus Outbreak Res</w:t>
      </w:r>
      <w:r w:rsidR="0017553C">
        <w:rPr>
          <w:rFonts w:eastAsia="Calibri" w:cstheme="minorHAnsi"/>
          <w:color w:val="auto"/>
        </w:rPr>
        <w:t>ponse Assessment</w:t>
      </w:r>
      <w:r w:rsidRPr="002C6E5A">
        <w:rPr>
          <w:rFonts w:eastAsia="Calibri" w:cstheme="minorHAnsi"/>
          <w:color w:val="auto"/>
        </w:rPr>
        <w:t xml:space="preserve">. Australia brokered a new innovative partnership between the Governments of </w:t>
      </w:r>
      <w:r w:rsidR="00697BFA" w:rsidRPr="00EF31E0">
        <w:rPr>
          <w:color w:val="auto"/>
        </w:rPr>
        <w:t>P</w:t>
      </w:r>
      <w:r w:rsidR="00697BFA">
        <w:rPr>
          <w:color w:val="auto"/>
        </w:rPr>
        <w:t xml:space="preserve">apua New Guinea </w:t>
      </w:r>
      <w:r w:rsidRPr="002C6E5A">
        <w:rPr>
          <w:rFonts w:eastAsia="Calibri" w:cstheme="minorHAnsi"/>
          <w:color w:val="auto"/>
        </w:rPr>
        <w:t>and New Zealand, and Gavi</w:t>
      </w:r>
      <w:r w:rsidR="0017553C">
        <w:rPr>
          <w:rFonts w:eastAsia="Calibri" w:cstheme="minorHAnsi"/>
          <w:color w:val="auto"/>
        </w:rPr>
        <w:t>,</w:t>
      </w:r>
      <w:r w:rsidRPr="002C6E5A">
        <w:rPr>
          <w:rFonts w:eastAsia="Calibri" w:cstheme="minorHAnsi"/>
          <w:color w:val="auto"/>
        </w:rPr>
        <w:t xml:space="preserve"> the Vaccine Alliance, to increase routine immunisation coverage in up to 15 provinces and prevent future outbreaks. </w:t>
      </w:r>
    </w:p>
    <w:p w14:paraId="71C4C2B6" w14:textId="1D57DE8F" w:rsidR="002C6E5A" w:rsidRPr="002C6E5A" w:rsidRDefault="002C6E5A" w:rsidP="002C6E5A">
      <w:pPr>
        <w:spacing w:after="120"/>
        <w:rPr>
          <w:color w:val="auto"/>
        </w:rPr>
      </w:pPr>
      <w:r w:rsidRPr="002C6E5A">
        <w:rPr>
          <w:b/>
          <w:i/>
          <w:color w:val="auto"/>
        </w:rPr>
        <w:t xml:space="preserve">Developing Health Systems with a focus on Rural Primary Healthcare </w:t>
      </w:r>
      <w:r>
        <w:rPr>
          <w:b/>
          <w:i/>
          <w:color w:val="auto"/>
        </w:rPr>
        <w:br/>
      </w:r>
      <w:r w:rsidRPr="002C6E5A">
        <w:rPr>
          <w:color w:val="auto"/>
        </w:rPr>
        <w:t>In support of P</w:t>
      </w:r>
      <w:r w:rsidR="00C56771">
        <w:rPr>
          <w:color w:val="auto"/>
        </w:rPr>
        <w:t>apua New Guinea</w:t>
      </w:r>
      <w:r w:rsidRPr="002C6E5A">
        <w:rPr>
          <w:color w:val="auto"/>
        </w:rPr>
        <w:t>’s agenda to decentralise health service delivery, our partnerships</w:t>
      </w:r>
      <w:r w:rsidR="00697BFA">
        <w:rPr>
          <w:color w:val="auto"/>
        </w:rPr>
        <w:t xml:space="preserve"> </w:t>
      </w:r>
      <w:r w:rsidRPr="002C6E5A">
        <w:rPr>
          <w:color w:val="auto"/>
        </w:rPr>
        <w:t>with the Asian Development Bank</w:t>
      </w:r>
      <w:r w:rsidR="006D6F1E">
        <w:rPr>
          <w:color w:val="auto"/>
        </w:rPr>
        <w:t>, World Ban</w:t>
      </w:r>
      <w:r w:rsidR="00CD2A42">
        <w:rPr>
          <w:color w:val="auto"/>
        </w:rPr>
        <w:t xml:space="preserve">k </w:t>
      </w:r>
      <w:r w:rsidRPr="002C6E5A">
        <w:rPr>
          <w:color w:val="auto"/>
        </w:rPr>
        <w:t xml:space="preserve">and the </w:t>
      </w:r>
      <w:r w:rsidR="0017553C">
        <w:rPr>
          <w:color w:val="auto"/>
        </w:rPr>
        <w:t>WHO</w:t>
      </w:r>
      <w:r w:rsidRPr="002C6E5A">
        <w:rPr>
          <w:color w:val="auto"/>
        </w:rPr>
        <w:t>, have strengthened national and provincial systems delivering primary health care by constructing health infrastructure, trai</w:t>
      </w:r>
      <w:r w:rsidR="00697BFA">
        <w:rPr>
          <w:color w:val="auto"/>
        </w:rPr>
        <w:t>ned</w:t>
      </w:r>
      <w:r w:rsidRPr="002C6E5A">
        <w:rPr>
          <w:color w:val="auto"/>
        </w:rPr>
        <w:t xml:space="preserve"> provincial and local staff and </w:t>
      </w:r>
      <w:r w:rsidR="00697BFA">
        <w:rPr>
          <w:color w:val="auto"/>
        </w:rPr>
        <w:t>improved</w:t>
      </w:r>
      <w:r w:rsidRPr="002C6E5A">
        <w:rPr>
          <w:color w:val="auto"/>
        </w:rPr>
        <w:t xml:space="preserve"> health policy and administration, including financial management. </w:t>
      </w:r>
    </w:p>
    <w:p w14:paraId="246EB5CB" w14:textId="1A2BC8CB" w:rsidR="002C6E5A" w:rsidRPr="002C6E5A" w:rsidRDefault="002C6E5A" w:rsidP="002C6E5A">
      <w:pPr>
        <w:spacing w:after="120"/>
        <w:rPr>
          <w:color w:val="auto"/>
        </w:rPr>
      </w:pPr>
      <w:r w:rsidRPr="002C6E5A">
        <w:rPr>
          <w:color w:val="auto"/>
        </w:rPr>
        <w:t xml:space="preserve">In 2018-19, </w:t>
      </w:r>
      <w:r w:rsidR="00CD2A42">
        <w:rPr>
          <w:color w:val="auto"/>
        </w:rPr>
        <w:t>Australia helped build essential health infrastructure, including 23</w:t>
      </w:r>
      <w:r w:rsidRPr="002C6E5A">
        <w:rPr>
          <w:color w:val="auto"/>
        </w:rPr>
        <w:t xml:space="preserve"> fully equipped community health posts and health centres </w:t>
      </w:r>
      <w:r w:rsidR="00CD2A42">
        <w:rPr>
          <w:color w:val="auto"/>
        </w:rPr>
        <w:t xml:space="preserve">(out of a proposed 32) </w:t>
      </w:r>
      <w:r w:rsidRPr="002C6E5A">
        <w:rPr>
          <w:color w:val="auto"/>
        </w:rPr>
        <w:t>in rural and remote areas. They include birthing suites to improve maternal and neonatal service</w:t>
      </w:r>
      <w:r w:rsidR="00CD2A42">
        <w:rPr>
          <w:color w:val="auto"/>
        </w:rPr>
        <w:t>s</w:t>
      </w:r>
      <w:r w:rsidRPr="002C6E5A">
        <w:rPr>
          <w:color w:val="auto"/>
        </w:rPr>
        <w:t xml:space="preserve"> and staff housing to attract staff to work in remote locations. </w:t>
      </w:r>
    </w:p>
    <w:p w14:paraId="4640FDBE" w14:textId="1CC2C3A1" w:rsidR="002C6E5A" w:rsidRPr="002C6E5A" w:rsidRDefault="002C6E5A" w:rsidP="002C6E5A">
      <w:pPr>
        <w:spacing w:after="120"/>
        <w:rPr>
          <w:color w:val="auto"/>
        </w:rPr>
      </w:pPr>
      <w:r w:rsidRPr="002C6E5A">
        <w:rPr>
          <w:color w:val="auto"/>
        </w:rPr>
        <w:t xml:space="preserve">The rehabilitation of ANGAU hospital </w:t>
      </w:r>
      <w:r w:rsidR="00CD2A42">
        <w:rPr>
          <w:color w:val="auto"/>
        </w:rPr>
        <w:t xml:space="preserve">in Morobe Province </w:t>
      </w:r>
      <w:r w:rsidRPr="002C6E5A">
        <w:rPr>
          <w:color w:val="auto"/>
        </w:rPr>
        <w:t>is on track for completion in December 2020. Australia is helping to strengthen Morobe’s broader health system, including integrating referral and specialist service delivery at ANGAU Hospital with the primary health care services provided by lower-level facilities throughout the province.</w:t>
      </w:r>
      <w:r w:rsidR="00E111CC">
        <w:rPr>
          <w:color w:val="auto"/>
        </w:rPr>
        <w:t xml:space="preserve"> </w:t>
      </w:r>
      <w:r w:rsidRPr="002C6E5A">
        <w:rPr>
          <w:color w:val="auto"/>
        </w:rPr>
        <w:t>The Clinical Support Program, implemented by the Royal Australian College of Surgeons, is helping to build administrative, clinical and surgical capacity at ANGAU Hospital</w:t>
      </w:r>
      <w:r w:rsidR="00697BFA">
        <w:rPr>
          <w:color w:val="auto"/>
        </w:rPr>
        <w:t>.</w:t>
      </w:r>
    </w:p>
    <w:p w14:paraId="4653496D" w14:textId="05E92FDA" w:rsidR="002C6E5A" w:rsidRPr="002C6E5A" w:rsidRDefault="002C6E5A" w:rsidP="002C6E5A">
      <w:pPr>
        <w:spacing w:after="120"/>
        <w:rPr>
          <w:color w:val="auto"/>
        </w:rPr>
      </w:pPr>
      <w:r w:rsidRPr="002C6E5A">
        <w:rPr>
          <w:color w:val="auto"/>
        </w:rPr>
        <w:t>Our support helped to increase P</w:t>
      </w:r>
      <w:r w:rsidR="00C56771">
        <w:rPr>
          <w:color w:val="auto"/>
        </w:rPr>
        <w:t>apua New Guinea</w:t>
      </w:r>
      <w:r w:rsidR="0017553C">
        <w:rPr>
          <w:color w:val="auto"/>
        </w:rPr>
        <w:t>’s capacity to deliver front</w:t>
      </w:r>
      <w:r w:rsidRPr="002C6E5A">
        <w:rPr>
          <w:color w:val="auto"/>
        </w:rPr>
        <w:t>line services across the country</w:t>
      </w:r>
      <w:r w:rsidR="00CD2A42" w:rsidRPr="00CD2A42">
        <w:rPr>
          <w:color w:val="auto"/>
        </w:rPr>
        <w:t>, including through the provision of training and schol</w:t>
      </w:r>
      <w:r w:rsidR="00CD2A42">
        <w:rPr>
          <w:color w:val="auto"/>
        </w:rPr>
        <w:t xml:space="preserve">arships in key areas of need. </w:t>
      </w:r>
      <w:r w:rsidR="00CD2A42" w:rsidRPr="00CD2A42">
        <w:rPr>
          <w:color w:val="auto"/>
        </w:rPr>
        <w:t>Papua New Guinea has the lowest rates of skilled birth attendants (midwives, nurses and doctors) in the Pacific. Skilled births attendants are essential for early identification and management of problems for both mother and baby, particularly important in Papua New Guinea, where rates of maternal and child mortality are one of the highest in the region. During the reporting period, 75</w:t>
      </w:r>
      <w:r w:rsidR="006C461A">
        <w:rPr>
          <w:color w:val="auto"/>
        </w:rPr>
        <w:t xml:space="preserve"> </w:t>
      </w:r>
      <w:r w:rsidRPr="002C6E5A">
        <w:rPr>
          <w:color w:val="auto"/>
        </w:rPr>
        <w:t xml:space="preserve">midwifery and 20 nursing in-country scholarships </w:t>
      </w:r>
      <w:r w:rsidR="0017553C">
        <w:rPr>
          <w:color w:val="auto"/>
        </w:rPr>
        <w:t xml:space="preserve">were provided and </w:t>
      </w:r>
      <w:r w:rsidRPr="002C6E5A">
        <w:rPr>
          <w:color w:val="auto"/>
        </w:rPr>
        <w:t>377 provincial health personnel (311 women and 66 men) were trained in integrated rural health and hospital service delivery. We supported the training of specialist doctors</w:t>
      </w:r>
      <w:r w:rsidR="006C461A">
        <w:rPr>
          <w:color w:val="auto"/>
        </w:rPr>
        <w:t>,</w:t>
      </w:r>
      <w:r w:rsidRPr="002C6E5A">
        <w:rPr>
          <w:color w:val="auto"/>
        </w:rPr>
        <w:t xml:space="preserve"> nurses and pharmacists through targeted support to the University of P</w:t>
      </w:r>
      <w:r w:rsidR="00C56771">
        <w:rPr>
          <w:color w:val="auto"/>
        </w:rPr>
        <w:t>apua New Guinea</w:t>
      </w:r>
      <w:r w:rsidRPr="002C6E5A">
        <w:rPr>
          <w:color w:val="auto"/>
        </w:rPr>
        <w:t xml:space="preserve">’s (UPNG) School of Medicine and Health Sciences. With our support, specialist doctors graduating from UPNG </w:t>
      </w:r>
      <w:r w:rsidR="00B423F5">
        <w:rPr>
          <w:color w:val="auto"/>
        </w:rPr>
        <w:t xml:space="preserve">have </w:t>
      </w:r>
      <w:r w:rsidR="00CD2A42">
        <w:rPr>
          <w:color w:val="auto"/>
        </w:rPr>
        <w:t>doubled</w:t>
      </w:r>
      <w:r w:rsidR="00CD2A42" w:rsidRPr="002C6E5A">
        <w:rPr>
          <w:color w:val="auto"/>
        </w:rPr>
        <w:t xml:space="preserve"> </w:t>
      </w:r>
      <w:r w:rsidRPr="002C6E5A">
        <w:rPr>
          <w:color w:val="auto"/>
        </w:rPr>
        <w:t>fro</w:t>
      </w:r>
      <w:r w:rsidR="003027F0">
        <w:rPr>
          <w:color w:val="auto"/>
        </w:rPr>
        <w:t xml:space="preserve">m 69 (2009-14) to 144 </w:t>
      </w:r>
      <w:r w:rsidR="00B423F5">
        <w:rPr>
          <w:color w:val="auto"/>
        </w:rPr>
        <w:br/>
      </w:r>
      <w:r w:rsidR="003027F0">
        <w:rPr>
          <w:color w:val="auto"/>
        </w:rPr>
        <w:t>(2014-</w:t>
      </w:r>
      <w:r w:rsidRPr="002C6E5A">
        <w:rPr>
          <w:color w:val="auto"/>
        </w:rPr>
        <w:t>18). In 2018-2019, 136 health professionals across ANGAU and Port Moresby General Hospitals rec</w:t>
      </w:r>
      <w:r w:rsidR="003027F0">
        <w:rPr>
          <w:color w:val="auto"/>
        </w:rPr>
        <w:t>eived short course training in emergency medicine, paediatric life support, primary t</w:t>
      </w:r>
      <w:r w:rsidRPr="002C6E5A">
        <w:rPr>
          <w:color w:val="auto"/>
        </w:rPr>
        <w:t>r</w:t>
      </w:r>
      <w:r w:rsidR="003027F0">
        <w:rPr>
          <w:color w:val="auto"/>
        </w:rPr>
        <w:t>auma care and infection c</w:t>
      </w:r>
      <w:r w:rsidRPr="002C6E5A">
        <w:rPr>
          <w:color w:val="auto"/>
        </w:rPr>
        <w:t>ontrol.</w:t>
      </w:r>
      <w:r w:rsidR="00E111CC">
        <w:rPr>
          <w:color w:val="auto"/>
        </w:rPr>
        <w:t xml:space="preserve"> </w:t>
      </w:r>
      <w:r w:rsidRPr="002C6E5A">
        <w:rPr>
          <w:color w:val="auto"/>
        </w:rPr>
        <w:t xml:space="preserve">Our support is helping boost </w:t>
      </w:r>
      <w:r w:rsidR="00697BFA" w:rsidRPr="00EF31E0">
        <w:rPr>
          <w:color w:val="auto"/>
        </w:rPr>
        <w:t>P</w:t>
      </w:r>
      <w:r w:rsidR="00697BFA">
        <w:rPr>
          <w:color w:val="auto"/>
        </w:rPr>
        <w:t>apua New Guinea</w:t>
      </w:r>
      <w:r w:rsidRPr="002C6E5A">
        <w:rPr>
          <w:color w:val="auto"/>
        </w:rPr>
        <w:t>’s institutional capacity to train more local health workers.</w:t>
      </w:r>
      <w:r w:rsidR="00E111CC">
        <w:rPr>
          <w:color w:val="auto"/>
        </w:rPr>
        <w:t xml:space="preserve"> </w:t>
      </w:r>
    </w:p>
    <w:p w14:paraId="1122078C" w14:textId="351DE85F" w:rsidR="006236A8" w:rsidRPr="006236A8" w:rsidRDefault="00CD2A42" w:rsidP="002C6E5A">
      <w:pPr>
        <w:spacing w:after="120"/>
        <w:rPr>
          <w:color w:val="auto"/>
        </w:rPr>
      </w:pPr>
      <w:r>
        <w:rPr>
          <w:color w:val="auto"/>
        </w:rPr>
        <w:t>Papua New Guinea</w:t>
      </w:r>
      <w:r w:rsidRPr="00CD2A42">
        <w:rPr>
          <w:color w:val="auto"/>
        </w:rPr>
        <w:t xml:space="preserve"> has an ambitious health reform agenda. During the reporting period, Australia supported PNG in taking forward major policy initiatives, this includes the roll-out of Provincial Health Authority structures to new provinces; supporting a national workshop on Health Sector legislative reform, supporting work on PNG’s next national health plan and helping to strengthen medical supply systems. As a result, we now have a clearer picture of drug shortages in the country, this is possible through funding an electronic platform (mSupply) to improve the uninterrupted supply of safe, effective and quality medicines to communities in PNG. We also expect to see improvements in PNG’s health data quality, with Australia supporting PNG efforts to </w:t>
      </w:r>
      <w:r w:rsidR="002C6E5A" w:rsidRPr="002C6E5A">
        <w:rPr>
          <w:color w:val="auto"/>
        </w:rPr>
        <w:t>rollout of the National Health Information System in 14 provinces.</w:t>
      </w:r>
      <w:r w:rsidR="006236A8" w:rsidRPr="006236A8">
        <w:rPr>
          <w:color w:val="auto"/>
        </w:rPr>
        <w:t xml:space="preserve"> </w:t>
      </w:r>
    </w:p>
    <w:p w14:paraId="1685A582" w14:textId="3385B730" w:rsidR="00447D5F" w:rsidRDefault="00EF31E0" w:rsidP="00EF31E0">
      <w:pPr>
        <w:spacing w:after="120"/>
        <w:rPr>
          <w:color w:val="auto"/>
        </w:rPr>
      </w:pPr>
      <w:r w:rsidRPr="00EF31E0">
        <w:rPr>
          <w:b/>
          <w:i/>
          <w:color w:val="auto"/>
        </w:rPr>
        <w:t xml:space="preserve">Integrated HIV, </w:t>
      </w:r>
      <w:r w:rsidR="00C574EC">
        <w:rPr>
          <w:b/>
          <w:i/>
          <w:color w:val="auto"/>
        </w:rPr>
        <w:t>R</w:t>
      </w:r>
      <w:r w:rsidRPr="00EF31E0">
        <w:rPr>
          <w:b/>
          <w:i/>
          <w:color w:val="auto"/>
        </w:rPr>
        <w:t xml:space="preserve">eproductive and </w:t>
      </w:r>
      <w:r w:rsidR="00C574EC">
        <w:rPr>
          <w:b/>
          <w:i/>
          <w:color w:val="auto"/>
        </w:rPr>
        <w:t>V</w:t>
      </w:r>
      <w:r w:rsidRPr="00EF31E0">
        <w:rPr>
          <w:b/>
          <w:i/>
          <w:color w:val="auto"/>
        </w:rPr>
        <w:t xml:space="preserve">oluntary </w:t>
      </w:r>
      <w:r w:rsidR="00C574EC">
        <w:rPr>
          <w:b/>
          <w:i/>
          <w:color w:val="auto"/>
        </w:rPr>
        <w:t>F</w:t>
      </w:r>
      <w:r w:rsidRPr="00EF31E0">
        <w:rPr>
          <w:b/>
          <w:i/>
          <w:color w:val="auto"/>
        </w:rPr>
        <w:t xml:space="preserve">amily </w:t>
      </w:r>
      <w:r w:rsidR="00C574EC">
        <w:rPr>
          <w:b/>
          <w:i/>
          <w:color w:val="auto"/>
        </w:rPr>
        <w:t>P</w:t>
      </w:r>
      <w:r w:rsidRPr="00EF31E0">
        <w:rPr>
          <w:b/>
          <w:i/>
          <w:color w:val="auto"/>
        </w:rPr>
        <w:t xml:space="preserve">lanning </w:t>
      </w:r>
      <w:r w:rsidR="00C574EC">
        <w:rPr>
          <w:b/>
          <w:i/>
          <w:color w:val="auto"/>
        </w:rPr>
        <w:t>S</w:t>
      </w:r>
      <w:r w:rsidRPr="00EF31E0">
        <w:rPr>
          <w:b/>
          <w:i/>
          <w:color w:val="auto"/>
        </w:rPr>
        <w:t>ervices</w:t>
      </w:r>
      <w:r>
        <w:rPr>
          <w:b/>
          <w:i/>
          <w:color w:val="auto"/>
        </w:rPr>
        <w:br/>
      </w:r>
      <w:r w:rsidRPr="00EF31E0">
        <w:rPr>
          <w:color w:val="auto"/>
        </w:rPr>
        <w:t>Australia supported P</w:t>
      </w:r>
      <w:r w:rsidR="00C56771">
        <w:rPr>
          <w:color w:val="auto"/>
        </w:rPr>
        <w:t>apua New Guinea</w:t>
      </w:r>
      <w:r w:rsidRPr="00EF31E0">
        <w:rPr>
          <w:color w:val="auto"/>
        </w:rPr>
        <w:t xml:space="preserve">’s decentralisation reforms through new or scaled-up models of integrated service delivery to increase the quality, effectiveness and coverage of integrated HIV, </w:t>
      </w:r>
      <w:r w:rsidRPr="00EF31E0">
        <w:rPr>
          <w:color w:val="auto"/>
        </w:rPr>
        <w:lastRenderedPageBreak/>
        <w:t>reproductive health (including maternal and neonatal health) and voluntary family planning services. These services were delivered through a range of providers such as faith-based and non-government organisations (Catholic Church Health Services, Anglicare PNG, Marie Stopes PNG and Susu</w:t>
      </w:r>
      <w:r w:rsidR="00447D5F">
        <w:rPr>
          <w:color w:val="auto"/>
        </w:rPr>
        <w:t xml:space="preserve"> Mamas) and UNICEF</w:t>
      </w:r>
      <w:r w:rsidRPr="00EF31E0">
        <w:rPr>
          <w:color w:val="auto"/>
        </w:rPr>
        <w:t xml:space="preserve">. </w:t>
      </w:r>
    </w:p>
    <w:p w14:paraId="3CE6B6DD" w14:textId="05333B2B" w:rsidR="00EF31E0" w:rsidRPr="00EF31E0" w:rsidRDefault="00EF31E0" w:rsidP="00EF31E0">
      <w:pPr>
        <w:spacing w:after="120"/>
        <w:rPr>
          <w:color w:val="auto"/>
        </w:rPr>
      </w:pPr>
      <w:r w:rsidRPr="00EF31E0">
        <w:rPr>
          <w:color w:val="auto"/>
        </w:rPr>
        <w:t>This support</w:t>
      </w:r>
      <w:r w:rsidR="00447D5F">
        <w:rPr>
          <w:color w:val="auto"/>
        </w:rPr>
        <w:t xml:space="preserve"> also contributed</w:t>
      </w:r>
      <w:r w:rsidRPr="00EF31E0">
        <w:rPr>
          <w:color w:val="auto"/>
        </w:rPr>
        <w:t xml:space="preserve"> to P</w:t>
      </w:r>
      <w:r w:rsidR="00C56771">
        <w:rPr>
          <w:color w:val="auto"/>
        </w:rPr>
        <w:t>apua New Guinea</w:t>
      </w:r>
      <w:r w:rsidRPr="00EF31E0">
        <w:rPr>
          <w:color w:val="auto"/>
        </w:rPr>
        <w:t>’s economy.</w:t>
      </w:r>
      <w:r w:rsidR="00E111CC">
        <w:rPr>
          <w:color w:val="auto"/>
        </w:rPr>
        <w:t xml:space="preserve"> </w:t>
      </w:r>
      <w:r w:rsidRPr="00EF31E0">
        <w:rPr>
          <w:color w:val="auto"/>
        </w:rPr>
        <w:t xml:space="preserve">Improving women and children’s health will facilitate a mother’s ability to work, earn an income and further invest into the economy, and a child’s ability to learn, achieve more at school and become a productive adult. Providing voluntary family planning services supports </w:t>
      </w:r>
      <w:r w:rsidR="0000279C" w:rsidRPr="007F51C6">
        <w:rPr>
          <w:color w:val="auto"/>
        </w:rPr>
        <w:t>Papua New Guinea</w:t>
      </w:r>
      <w:r w:rsidR="0000279C">
        <w:rPr>
          <w:color w:val="auto"/>
        </w:rPr>
        <w:t>’s</w:t>
      </w:r>
      <w:r w:rsidRPr="00EF31E0">
        <w:rPr>
          <w:color w:val="auto"/>
        </w:rPr>
        <w:t xml:space="preserve"> National Population Policy 2015-2024 which outlines the need for family planning to reduce risks of a rapidly growing population to overall sustainable development. </w:t>
      </w:r>
    </w:p>
    <w:p w14:paraId="7A020FD4" w14:textId="06052F91" w:rsidR="00EF31E0" w:rsidRPr="00EF31E0" w:rsidRDefault="00EF31E0" w:rsidP="00EF31E0">
      <w:pPr>
        <w:spacing w:after="120"/>
        <w:rPr>
          <w:color w:val="auto"/>
        </w:rPr>
      </w:pPr>
      <w:r w:rsidRPr="00EF31E0">
        <w:rPr>
          <w:color w:val="auto"/>
        </w:rPr>
        <w:t>Our initiatives achieved results with all eight output indicators under this outcome area being either met or exceeded i</w:t>
      </w:r>
      <w:r w:rsidR="00447D5F">
        <w:rPr>
          <w:color w:val="auto"/>
        </w:rPr>
        <w:t xml:space="preserve">n 2018-19. Australia’s support </w:t>
      </w:r>
      <w:r w:rsidRPr="00EF31E0">
        <w:rPr>
          <w:color w:val="auto"/>
        </w:rPr>
        <w:t>delivered 83,184 vol</w:t>
      </w:r>
      <w:r w:rsidR="00447D5F">
        <w:rPr>
          <w:color w:val="auto"/>
        </w:rPr>
        <w:t xml:space="preserve">untary family planning services, </w:t>
      </w:r>
      <w:r w:rsidRPr="00EF31E0">
        <w:rPr>
          <w:color w:val="auto"/>
        </w:rPr>
        <w:t xml:space="preserve">supported 4,957 pregnant women with at </w:t>
      </w:r>
      <w:r w:rsidR="00447D5F">
        <w:rPr>
          <w:color w:val="auto"/>
        </w:rPr>
        <w:t xml:space="preserve">least one antenatal care visit, </w:t>
      </w:r>
      <w:r w:rsidR="00551722">
        <w:rPr>
          <w:color w:val="auto"/>
        </w:rPr>
        <w:t>treated 21,887 children under-five</w:t>
      </w:r>
      <w:r w:rsidRPr="00EF31E0">
        <w:rPr>
          <w:color w:val="auto"/>
        </w:rPr>
        <w:t xml:space="preserve"> for malnutrition and pn</w:t>
      </w:r>
      <w:r w:rsidR="00447D5F">
        <w:rPr>
          <w:color w:val="auto"/>
        </w:rPr>
        <w:t xml:space="preserve">eumonia, and </w:t>
      </w:r>
      <w:r w:rsidRPr="00EF31E0">
        <w:rPr>
          <w:color w:val="auto"/>
        </w:rPr>
        <w:t>supporte</w:t>
      </w:r>
      <w:r w:rsidR="00447D5F">
        <w:rPr>
          <w:color w:val="auto"/>
        </w:rPr>
        <w:t>d 6,858</w:t>
      </w:r>
      <w:r w:rsidRPr="00EF31E0">
        <w:rPr>
          <w:color w:val="auto"/>
        </w:rPr>
        <w:t xml:space="preserve"> people to receive antiretroviral therapy for HIV.</w:t>
      </w:r>
      <w:r w:rsidR="00E111CC">
        <w:rPr>
          <w:color w:val="auto"/>
        </w:rPr>
        <w:t xml:space="preserve"> </w:t>
      </w:r>
    </w:p>
    <w:p w14:paraId="66E69533" w14:textId="36878687" w:rsidR="00923CB5" w:rsidRDefault="00EF31E0" w:rsidP="006236A8">
      <w:pPr>
        <w:spacing w:after="120"/>
      </w:pPr>
      <w:r w:rsidRPr="00EF31E0">
        <w:rPr>
          <w:color w:val="auto"/>
        </w:rPr>
        <w:t xml:space="preserve">Our investments are garnering longer term benefits </w:t>
      </w:r>
      <w:r w:rsidR="00C56771">
        <w:rPr>
          <w:color w:val="auto"/>
        </w:rPr>
        <w:t>as we</w:t>
      </w:r>
      <w:r w:rsidRPr="00EF31E0">
        <w:rPr>
          <w:color w:val="auto"/>
        </w:rPr>
        <w:t xml:space="preserve"> </w:t>
      </w:r>
      <w:r w:rsidR="00C56771">
        <w:rPr>
          <w:color w:val="auto"/>
        </w:rPr>
        <w:t>partner</w:t>
      </w:r>
      <w:r w:rsidRPr="00EF31E0">
        <w:rPr>
          <w:color w:val="auto"/>
        </w:rPr>
        <w:t xml:space="preserve"> with provinces and build capacity in P</w:t>
      </w:r>
      <w:r w:rsidR="00C56771">
        <w:rPr>
          <w:color w:val="auto"/>
        </w:rPr>
        <w:t>apua New Guinea</w:t>
      </w:r>
      <w:r w:rsidRPr="00EF31E0">
        <w:rPr>
          <w:color w:val="auto"/>
        </w:rPr>
        <w:t>’s health system. Eleven new partnership agreements have been established between Provincial Governments and our implementing partners to support alignment and integration of these services into P</w:t>
      </w:r>
      <w:r w:rsidR="00C56771">
        <w:rPr>
          <w:color w:val="auto"/>
        </w:rPr>
        <w:t>apua New Guinea</w:t>
      </w:r>
      <w:r w:rsidRPr="00EF31E0">
        <w:rPr>
          <w:color w:val="auto"/>
        </w:rPr>
        <w:t>’s health system. Capacity to deliver quality services is also increasing, with three more health</w:t>
      </w:r>
      <w:r w:rsidR="00447D5F">
        <w:rPr>
          <w:color w:val="auto"/>
        </w:rPr>
        <w:t xml:space="preserve"> facilities</w:t>
      </w:r>
      <w:r w:rsidRPr="00EF31E0">
        <w:rPr>
          <w:color w:val="auto"/>
        </w:rPr>
        <w:t xml:space="preserve"> meeting P</w:t>
      </w:r>
      <w:r w:rsidR="00C56771">
        <w:rPr>
          <w:color w:val="auto"/>
        </w:rPr>
        <w:t>apua New Guinea</w:t>
      </w:r>
      <w:r w:rsidRPr="00EF31E0">
        <w:rPr>
          <w:color w:val="auto"/>
        </w:rPr>
        <w:t xml:space="preserve">’s National Health Service Standards and over 160 health facilities having increased capacity to deliver reproductive health and family planning services. The capacity of </w:t>
      </w:r>
      <w:r w:rsidR="00697BFA" w:rsidRPr="00EF31E0">
        <w:rPr>
          <w:color w:val="auto"/>
        </w:rPr>
        <w:t>P</w:t>
      </w:r>
      <w:r w:rsidR="00697BFA">
        <w:rPr>
          <w:color w:val="auto"/>
        </w:rPr>
        <w:t>apua New Guinea</w:t>
      </w:r>
      <w:r w:rsidR="00FD66D9">
        <w:rPr>
          <w:color w:val="auto"/>
        </w:rPr>
        <w:t xml:space="preserve"> </w:t>
      </w:r>
      <w:r w:rsidRPr="00EF31E0">
        <w:rPr>
          <w:color w:val="auto"/>
        </w:rPr>
        <w:t>to fully integrate these services into the health system</w:t>
      </w:r>
      <w:r w:rsidR="00AC0CDD">
        <w:rPr>
          <w:color w:val="auto"/>
        </w:rPr>
        <w:t>,</w:t>
      </w:r>
      <w:r w:rsidRPr="00EF31E0">
        <w:rPr>
          <w:color w:val="auto"/>
        </w:rPr>
        <w:t xml:space="preserve"> both in terms of funding and health workforce</w:t>
      </w:r>
      <w:r w:rsidR="00AC0CDD">
        <w:rPr>
          <w:color w:val="auto"/>
        </w:rPr>
        <w:t>,</w:t>
      </w:r>
      <w:r w:rsidRPr="00EF31E0">
        <w:rPr>
          <w:color w:val="auto"/>
        </w:rPr>
        <w:t xml:space="preserve"> remains a challenge.</w:t>
      </w:r>
      <w:r w:rsidR="006236A8" w:rsidRPr="006236A8">
        <w:rPr>
          <w:color w:val="auto"/>
        </w:rPr>
        <w:t xml:space="preserve"> </w:t>
      </w:r>
    </w:p>
    <w:p w14:paraId="45814DE5" w14:textId="77777777" w:rsidR="00B87257" w:rsidRPr="002856AF" w:rsidRDefault="00B87257" w:rsidP="00D40C0F">
      <w:pPr>
        <w:suppressAutoHyphens w:val="0"/>
        <w:spacing w:before="0" w:after="120" w:line="440" w:lineRule="atLeast"/>
        <w:rPr>
          <w:rFonts w:asciiTheme="majorHAnsi" w:eastAsiaTheme="majorEastAsia" w:hAnsiTheme="majorHAnsi" w:cstheme="majorBidi"/>
          <w:bCs/>
          <w:sz w:val="30"/>
          <w:highlight w:val="cyan"/>
        </w:rPr>
      </w:pPr>
      <w:r w:rsidRPr="00263A9B">
        <w:rPr>
          <w:rFonts w:asciiTheme="majorHAnsi" w:eastAsiaTheme="majorEastAsia" w:hAnsiTheme="majorHAnsi" w:cstheme="majorBidi"/>
          <w:bCs/>
          <w:sz w:val="30"/>
        </w:rPr>
        <w:t xml:space="preserve">Education and Leadership </w:t>
      </w:r>
    </w:p>
    <w:p w14:paraId="67ECB40A" w14:textId="72332BDB" w:rsidR="00161600" w:rsidRPr="00161600" w:rsidRDefault="00161600" w:rsidP="00161600">
      <w:pPr>
        <w:spacing w:before="100"/>
        <w:rPr>
          <w:color w:val="auto"/>
        </w:rPr>
      </w:pPr>
      <w:r w:rsidRPr="00161600">
        <w:rPr>
          <w:color w:val="auto"/>
        </w:rPr>
        <w:t>Papua New Guinea’</w:t>
      </w:r>
      <w:r w:rsidR="00D40C0F">
        <w:rPr>
          <w:color w:val="auto"/>
        </w:rPr>
        <w:t>s education system is complex</w:t>
      </w:r>
      <w:r w:rsidR="001F7282">
        <w:rPr>
          <w:color w:val="auto"/>
        </w:rPr>
        <w:t xml:space="preserve">, facing </w:t>
      </w:r>
      <w:r w:rsidRPr="00161600">
        <w:rPr>
          <w:color w:val="auto"/>
        </w:rPr>
        <w:t xml:space="preserve">a range of systemic challenges including financing, infrastructure and teaching capacity. The Tuition Fee Free policy was a success in terms of getting more children into school (17 per cent increase since 2012) but the increased numbers of children in school is putting pressure on the ability of the education system </w:t>
      </w:r>
      <w:r w:rsidR="00D40C0F">
        <w:rPr>
          <w:color w:val="auto"/>
        </w:rPr>
        <w:t>to deliver a quality education.</w:t>
      </w:r>
      <w:r w:rsidRPr="00161600">
        <w:rPr>
          <w:color w:val="auto"/>
        </w:rPr>
        <w:t xml:space="preserve"> Further up in the system, there are not enough secondary or tertiary places to fill the demand created by those graduating primary and secondary school each year.</w:t>
      </w:r>
      <w:r w:rsidR="00E111CC">
        <w:rPr>
          <w:color w:val="auto"/>
        </w:rPr>
        <w:t xml:space="preserve"> </w:t>
      </w:r>
    </w:p>
    <w:p w14:paraId="7EC3DC1D" w14:textId="3E6C9AFB" w:rsidR="00161600" w:rsidRPr="00161600" w:rsidRDefault="00447D5F" w:rsidP="00161600">
      <w:pPr>
        <w:spacing w:before="100"/>
        <w:rPr>
          <w:color w:val="auto"/>
        </w:rPr>
      </w:pPr>
      <w:r>
        <w:rPr>
          <w:color w:val="auto"/>
        </w:rPr>
        <w:t xml:space="preserve">The new </w:t>
      </w:r>
      <w:r w:rsidR="00161600" w:rsidRPr="00161600">
        <w:rPr>
          <w:color w:val="auto"/>
        </w:rPr>
        <w:t xml:space="preserve">Government has prioritised quality education and </w:t>
      </w:r>
      <w:r>
        <w:rPr>
          <w:color w:val="auto"/>
        </w:rPr>
        <w:t>TVET</w:t>
      </w:r>
      <w:r w:rsidR="001F7282">
        <w:rPr>
          <w:color w:val="auto"/>
        </w:rPr>
        <w:t xml:space="preserve"> and we are</w:t>
      </w:r>
      <w:r w:rsidR="00161600" w:rsidRPr="00161600">
        <w:rPr>
          <w:color w:val="auto"/>
        </w:rPr>
        <w:t xml:space="preserve"> already partnering with </w:t>
      </w:r>
      <w:r w:rsidR="00D40C0F" w:rsidRPr="00161600">
        <w:rPr>
          <w:color w:val="auto"/>
        </w:rPr>
        <w:t>Papua New Guinea</w:t>
      </w:r>
      <w:r w:rsidR="00D40C0F">
        <w:rPr>
          <w:color w:val="auto"/>
        </w:rPr>
        <w:t xml:space="preserve"> </w:t>
      </w:r>
      <w:r w:rsidR="00161600" w:rsidRPr="00161600">
        <w:rPr>
          <w:color w:val="auto"/>
        </w:rPr>
        <w:t>in these areas.</w:t>
      </w:r>
      <w:r w:rsidR="00E111CC">
        <w:rPr>
          <w:color w:val="auto"/>
        </w:rPr>
        <w:t xml:space="preserve"> </w:t>
      </w:r>
      <w:r w:rsidR="00161600" w:rsidRPr="00161600">
        <w:rPr>
          <w:color w:val="auto"/>
        </w:rPr>
        <w:t>Our goal is for Papua New Guinean</w:t>
      </w:r>
      <w:r w:rsidR="001F7282">
        <w:rPr>
          <w:color w:val="auto"/>
        </w:rPr>
        <w:t>s</w:t>
      </w:r>
      <w:r w:rsidR="00161600" w:rsidRPr="00161600">
        <w:rPr>
          <w:color w:val="auto"/>
        </w:rPr>
        <w:t xml:space="preserve"> to gain the skills and knowledge to take advantage of employment and leadership opportunities under three priority areas - foundations, skills and</w:t>
      </w:r>
      <w:r w:rsidR="00D40C0F">
        <w:rPr>
          <w:color w:val="auto"/>
        </w:rPr>
        <w:t xml:space="preserve"> productivity, and leadership. </w:t>
      </w:r>
      <w:r w:rsidR="001F7282">
        <w:rPr>
          <w:color w:val="auto"/>
        </w:rPr>
        <w:t xml:space="preserve">Australia is </w:t>
      </w:r>
      <w:r w:rsidR="00161600" w:rsidRPr="00161600">
        <w:rPr>
          <w:color w:val="auto"/>
        </w:rPr>
        <w:t xml:space="preserve">the largest donor to the sector, </w:t>
      </w:r>
      <w:r w:rsidR="001F7282">
        <w:rPr>
          <w:color w:val="auto"/>
        </w:rPr>
        <w:t>contributing</w:t>
      </w:r>
      <w:r w:rsidR="00161600" w:rsidRPr="00161600">
        <w:rPr>
          <w:color w:val="auto"/>
        </w:rPr>
        <w:t xml:space="preserve"> over </w:t>
      </w:r>
      <w:r w:rsidR="00D40C0F">
        <w:rPr>
          <w:color w:val="auto"/>
        </w:rPr>
        <w:t>$65 million per annum, about five</w:t>
      </w:r>
      <w:r w:rsidR="00161600" w:rsidRPr="00161600">
        <w:rPr>
          <w:color w:val="auto"/>
        </w:rPr>
        <w:t xml:space="preserve"> per cent of the tota</w:t>
      </w:r>
      <w:r w:rsidR="00D40C0F">
        <w:rPr>
          <w:color w:val="auto"/>
        </w:rPr>
        <w:t xml:space="preserve">l government education spend. </w:t>
      </w:r>
      <w:r w:rsidR="00161600" w:rsidRPr="00161600">
        <w:rPr>
          <w:color w:val="auto"/>
        </w:rPr>
        <w:t xml:space="preserve">Demand for Australian assistance has remained strong during the reporting period, and we continue to be the partner of choice in education and leadership as our investments are regarded as well-targeted and responsive to </w:t>
      </w:r>
      <w:r w:rsidR="00D40C0F" w:rsidRPr="00161600">
        <w:rPr>
          <w:color w:val="auto"/>
        </w:rPr>
        <w:t>Papua New Guinea</w:t>
      </w:r>
      <w:r w:rsidR="00D40C0F">
        <w:rPr>
          <w:color w:val="auto"/>
        </w:rPr>
        <w:t xml:space="preserve">n </w:t>
      </w:r>
      <w:r w:rsidR="00161600" w:rsidRPr="00161600">
        <w:rPr>
          <w:color w:val="auto"/>
        </w:rPr>
        <w:t>needs.</w:t>
      </w:r>
    </w:p>
    <w:p w14:paraId="3DC940FB" w14:textId="6CD1C923" w:rsidR="00D87CE0" w:rsidRDefault="00161600" w:rsidP="00161600">
      <w:pPr>
        <w:spacing w:before="100"/>
        <w:rPr>
          <w:color w:val="auto"/>
        </w:rPr>
      </w:pPr>
      <w:r w:rsidRPr="00161600">
        <w:rPr>
          <w:color w:val="auto"/>
        </w:rPr>
        <w:t xml:space="preserve">The 2018-19 period saw the first year of implementation of the </w:t>
      </w:r>
      <w:r w:rsidRPr="00161600">
        <w:rPr>
          <w:i/>
          <w:color w:val="auto"/>
        </w:rPr>
        <w:t>Australia Partnering with Papua New Guinea: Education and Leadership Portfolio Plan 2018-2022</w:t>
      </w:r>
      <w:r w:rsidR="00D40C0F">
        <w:rPr>
          <w:color w:val="auto"/>
        </w:rPr>
        <w:t>.</w:t>
      </w:r>
      <w:r w:rsidRPr="00161600">
        <w:rPr>
          <w:color w:val="auto"/>
        </w:rPr>
        <w:t xml:space="preserve"> Effort was directed towards consolidating and setting the groundwork while also achieving results under each of the three</w:t>
      </w:r>
      <w:r w:rsidR="00D40C0F">
        <w:rPr>
          <w:color w:val="auto"/>
        </w:rPr>
        <w:t xml:space="preserve"> priority areas of the program.</w:t>
      </w:r>
      <w:r w:rsidRPr="00161600">
        <w:rPr>
          <w:color w:val="auto"/>
        </w:rPr>
        <w:t xml:space="preserve"> Design work commenced for a new program</w:t>
      </w:r>
      <w:r w:rsidR="00447D5F">
        <w:rPr>
          <w:color w:val="auto"/>
        </w:rPr>
        <w:t>, Education for Prosperity</w:t>
      </w:r>
      <w:r w:rsidRPr="00161600">
        <w:rPr>
          <w:color w:val="auto"/>
        </w:rPr>
        <w:t xml:space="preserve">, which will deliver results in early grade literacy and numeracy as well as vocational training while providing enabling support, research, high quality policy </w:t>
      </w:r>
      <w:r w:rsidR="00D40C0F">
        <w:rPr>
          <w:color w:val="auto"/>
        </w:rPr>
        <w:t xml:space="preserve">advice and program management. </w:t>
      </w:r>
      <w:r w:rsidRPr="00161600">
        <w:rPr>
          <w:color w:val="auto"/>
        </w:rPr>
        <w:t>A new secondary program aiming to both build education and leadership skills, and deepen people-to-people and institutional links was sc</w:t>
      </w:r>
      <w:r w:rsidR="00D40C0F">
        <w:rPr>
          <w:color w:val="auto"/>
        </w:rPr>
        <w:t xml:space="preserve">oped and activities </w:t>
      </w:r>
      <w:r w:rsidR="00447D5F">
        <w:rPr>
          <w:color w:val="auto"/>
        </w:rPr>
        <w:t xml:space="preserve">have </w:t>
      </w:r>
      <w:r w:rsidR="00D40C0F">
        <w:rPr>
          <w:color w:val="auto"/>
        </w:rPr>
        <w:t xml:space="preserve">commenced. </w:t>
      </w:r>
      <w:r w:rsidRPr="00161600">
        <w:rPr>
          <w:color w:val="auto"/>
        </w:rPr>
        <w:t xml:space="preserve">We have developed and contracted a new </w:t>
      </w:r>
      <w:r w:rsidR="00D40C0F">
        <w:rPr>
          <w:color w:val="auto"/>
        </w:rPr>
        <w:t>monitoring and evaluation</w:t>
      </w:r>
      <w:r w:rsidRPr="00161600">
        <w:rPr>
          <w:color w:val="auto"/>
        </w:rPr>
        <w:t xml:space="preserve"> services provider across health and education to help better track progress at the whole-of-program level</w:t>
      </w:r>
      <w:r w:rsidR="00447D5F">
        <w:rPr>
          <w:color w:val="auto"/>
        </w:rPr>
        <w:t>.</w:t>
      </w:r>
    </w:p>
    <w:p w14:paraId="40FFCA02" w14:textId="74487362" w:rsidR="00161600" w:rsidRPr="00560C62" w:rsidRDefault="00161600" w:rsidP="00161600">
      <w:pPr>
        <w:rPr>
          <w:color w:val="auto"/>
        </w:rPr>
      </w:pPr>
      <w:r w:rsidRPr="00560C62">
        <w:rPr>
          <w:color w:val="auto"/>
        </w:rPr>
        <w:t xml:space="preserve">The </w:t>
      </w:r>
      <w:r>
        <w:rPr>
          <w:b/>
          <w:color w:val="auto"/>
        </w:rPr>
        <w:t>F</w:t>
      </w:r>
      <w:r w:rsidRPr="00560C62">
        <w:rPr>
          <w:b/>
          <w:color w:val="auto"/>
        </w:rPr>
        <w:t>oundations</w:t>
      </w:r>
      <w:r w:rsidRPr="00560C62">
        <w:rPr>
          <w:color w:val="auto"/>
        </w:rPr>
        <w:t xml:space="preserve"> </w:t>
      </w:r>
      <w:r>
        <w:rPr>
          <w:color w:val="auto"/>
        </w:rPr>
        <w:t>priority area</w:t>
      </w:r>
      <w:r w:rsidRPr="00013D31">
        <w:rPr>
          <w:color w:val="auto"/>
        </w:rPr>
        <w:t xml:space="preserve"> is the key area of support for the </w:t>
      </w:r>
      <w:r w:rsidRPr="0003746A">
        <w:rPr>
          <w:color w:val="auto"/>
        </w:rPr>
        <w:t>‘quality</w:t>
      </w:r>
      <w:r w:rsidRPr="00B556DF">
        <w:rPr>
          <w:color w:val="auto"/>
        </w:rPr>
        <w:t>’</w:t>
      </w:r>
      <w:r w:rsidRPr="00560C62">
        <w:rPr>
          <w:color w:val="auto"/>
        </w:rPr>
        <w:t xml:space="preserve"> education agenda.</w:t>
      </w:r>
      <w:r>
        <w:rPr>
          <w:color w:val="auto"/>
        </w:rPr>
        <w:t xml:space="preserve"> </w:t>
      </w:r>
      <w:r w:rsidRPr="00560C62">
        <w:rPr>
          <w:color w:val="auto"/>
        </w:rPr>
        <w:t>It is supporting literacy and numeracy skills in the early years of school as the necessary foundation for progressing through schooling and into the workforce</w:t>
      </w:r>
      <w:r w:rsidR="00D40C0F">
        <w:rPr>
          <w:color w:val="auto"/>
        </w:rPr>
        <w:t>. Australia</w:t>
      </w:r>
      <w:r w:rsidRPr="00560C62">
        <w:rPr>
          <w:color w:val="auto"/>
        </w:rPr>
        <w:t xml:space="preserve"> is investing through the PNG Partnership Fund in three demonstration projects through NGO-lead consortia that are exploring ways to accelerate learning outcomes for </w:t>
      </w:r>
      <w:r>
        <w:rPr>
          <w:color w:val="auto"/>
        </w:rPr>
        <w:t xml:space="preserve">up to 143,000 </w:t>
      </w:r>
      <w:r w:rsidRPr="00560C62">
        <w:rPr>
          <w:color w:val="auto"/>
        </w:rPr>
        <w:t>elementary students, including t</w:t>
      </w:r>
      <w:r w:rsidR="00447D5F">
        <w:rPr>
          <w:color w:val="auto"/>
        </w:rPr>
        <w:t>hrough closer engagement with sub</w:t>
      </w:r>
      <w:r w:rsidRPr="00560C62">
        <w:rPr>
          <w:color w:val="auto"/>
        </w:rPr>
        <w:t>national government</w:t>
      </w:r>
      <w:r w:rsidR="00447D5F">
        <w:rPr>
          <w:color w:val="auto"/>
        </w:rPr>
        <w:t>s</w:t>
      </w:r>
      <w:r>
        <w:rPr>
          <w:color w:val="auto"/>
        </w:rPr>
        <w:t>.</w:t>
      </w:r>
      <w:r w:rsidR="00E111CC">
        <w:rPr>
          <w:color w:val="auto"/>
        </w:rPr>
        <w:t xml:space="preserve"> </w:t>
      </w:r>
    </w:p>
    <w:p w14:paraId="2FF5754F" w14:textId="0E7A3A15" w:rsidR="00161600" w:rsidRDefault="00161600" w:rsidP="00161600">
      <w:pPr>
        <w:rPr>
          <w:color w:val="auto"/>
        </w:rPr>
      </w:pPr>
      <w:r>
        <w:rPr>
          <w:color w:val="auto"/>
        </w:rPr>
        <w:lastRenderedPageBreak/>
        <w:t xml:space="preserve">The foundations </w:t>
      </w:r>
      <w:r w:rsidR="00447D5F">
        <w:rPr>
          <w:color w:val="auto"/>
        </w:rPr>
        <w:t>priority area exceeded its targets. In 2018-19,</w:t>
      </w:r>
      <w:r>
        <w:rPr>
          <w:color w:val="auto"/>
        </w:rPr>
        <w:t xml:space="preserve"> results include</w:t>
      </w:r>
      <w:r w:rsidRPr="00013D31">
        <w:rPr>
          <w:color w:val="auto"/>
        </w:rPr>
        <w:t xml:space="preserve"> 1</w:t>
      </w:r>
      <w:r w:rsidR="00447D5F">
        <w:rPr>
          <w:color w:val="auto"/>
        </w:rPr>
        <w:t>,</w:t>
      </w:r>
      <w:r w:rsidRPr="00013D31">
        <w:rPr>
          <w:color w:val="auto"/>
        </w:rPr>
        <w:t>340</w:t>
      </w:r>
      <w:r w:rsidR="00447D5F">
        <w:rPr>
          <w:color w:val="auto"/>
        </w:rPr>
        <w:t xml:space="preserve"> </w:t>
      </w:r>
      <w:r w:rsidRPr="0003746A">
        <w:rPr>
          <w:color w:val="auto"/>
        </w:rPr>
        <w:t>elementary teachers (654 females) received professional development</w:t>
      </w:r>
      <w:r w:rsidR="00447D5F">
        <w:rPr>
          <w:color w:val="auto"/>
        </w:rPr>
        <w:t>; 1,171</w:t>
      </w:r>
      <w:r w:rsidRPr="00560C62">
        <w:rPr>
          <w:color w:val="auto"/>
        </w:rPr>
        <w:t xml:space="preserve"> elementary teachers (618 females) and 30 District Inspectors trained to assess children with disab</w:t>
      </w:r>
      <w:r w:rsidR="00447D5F">
        <w:rPr>
          <w:color w:val="auto"/>
        </w:rPr>
        <w:t>ilities; 91 schools</w:t>
      </w:r>
      <w:r w:rsidRPr="00560C62">
        <w:rPr>
          <w:color w:val="auto"/>
        </w:rPr>
        <w:t xml:space="preserve"> completed the School Learning Improvement Plans; and two innovative reading applications containing over 100 Papua New Guinea context-specific books launched on the Go</w:t>
      </w:r>
      <w:r>
        <w:rPr>
          <w:color w:val="auto"/>
        </w:rPr>
        <w:t>o</w:t>
      </w:r>
      <w:r w:rsidRPr="00560C62">
        <w:rPr>
          <w:color w:val="auto"/>
        </w:rPr>
        <w:t>gle Play Store</w:t>
      </w:r>
      <w:r>
        <w:rPr>
          <w:color w:val="auto"/>
        </w:rPr>
        <w:t>, free to download for all Papua New Guineans</w:t>
      </w:r>
      <w:r w:rsidRPr="00013D31">
        <w:rPr>
          <w:color w:val="auto"/>
        </w:rPr>
        <w:t>.</w:t>
      </w:r>
    </w:p>
    <w:p w14:paraId="76A23595" w14:textId="1505D994" w:rsidR="00161600" w:rsidRPr="00560C62" w:rsidRDefault="00161600" w:rsidP="00161600">
      <w:pPr>
        <w:rPr>
          <w:color w:val="auto"/>
        </w:rPr>
      </w:pPr>
      <w:r>
        <w:rPr>
          <w:color w:val="auto"/>
        </w:rPr>
        <w:t xml:space="preserve">Significantly, one </w:t>
      </w:r>
      <w:r w:rsidRPr="00560C62">
        <w:rPr>
          <w:color w:val="auto"/>
        </w:rPr>
        <w:t xml:space="preserve">of the largest piece of </w:t>
      </w:r>
      <w:r w:rsidR="00D40C0F" w:rsidRPr="00161600">
        <w:rPr>
          <w:color w:val="auto"/>
        </w:rPr>
        <w:t>Papua New Guinea</w:t>
      </w:r>
      <w:r w:rsidR="00D40C0F">
        <w:rPr>
          <w:color w:val="auto"/>
        </w:rPr>
        <w:t xml:space="preserve">n </w:t>
      </w:r>
      <w:r w:rsidRPr="00560C62">
        <w:rPr>
          <w:color w:val="auto"/>
        </w:rPr>
        <w:t xml:space="preserve">education research </w:t>
      </w:r>
      <w:r>
        <w:rPr>
          <w:color w:val="auto"/>
        </w:rPr>
        <w:t xml:space="preserve">was </w:t>
      </w:r>
      <w:r w:rsidRPr="00560C62">
        <w:rPr>
          <w:color w:val="auto"/>
        </w:rPr>
        <w:t>undertaken in 2018, covering 453 schools (3987 children) across six provinces</w:t>
      </w:r>
      <w:r>
        <w:rPr>
          <w:color w:val="auto"/>
        </w:rPr>
        <w:t>.</w:t>
      </w:r>
      <w:r w:rsidR="00E111CC">
        <w:rPr>
          <w:color w:val="auto"/>
        </w:rPr>
        <w:t xml:space="preserve"> </w:t>
      </w:r>
      <w:r w:rsidR="00D40C0F">
        <w:rPr>
          <w:color w:val="auto"/>
        </w:rPr>
        <w:t>This provides</w:t>
      </w:r>
      <w:r w:rsidRPr="00560C62">
        <w:rPr>
          <w:color w:val="auto"/>
        </w:rPr>
        <w:t xml:space="preserve"> vital baseline data to establish current literacy and numeracy of early grade learners</w:t>
      </w:r>
      <w:r w:rsidR="00D40C0F">
        <w:rPr>
          <w:color w:val="auto"/>
        </w:rPr>
        <w:t>.</w:t>
      </w:r>
      <w:r>
        <w:rPr>
          <w:color w:val="auto"/>
        </w:rPr>
        <w:t xml:space="preserve"> </w:t>
      </w:r>
      <w:r w:rsidRPr="00560C62">
        <w:rPr>
          <w:color w:val="auto"/>
        </w:rPr>
        <w:t>Midline a</w:t>
      </w:r>
      <w:r w:rsidR="00447D5F">
        <w:rPr>
          <w:color w:val="auto"/>
        </w:rPr>
        <w:t>ssessments are underway with a</w:t>
      </w:r>
      <w:r w:rsidRPr="00560C62">
        <w:rPr>
          <w:color w:val="auto"/>
        </w:rPr>
        <w:t xml:space="preserve"> view to capturing data on how our approaches are improving children’s learning</w:t>
      </w:r>
      <w:r>
        <w:rPr>
          <w:color w:val="auto"/>
        </w:rPr>
        <w:t>.</w:t>
      </w:r>
      <w:r w:rsidR="00E111CC">
        <w:rPr>
          <w:color w:val="auto"/>
        </w:rPr>
        <w:t xml:space="preserve"> </w:t>
      </w:r>
    </w:p>
    <w:p w14:paraId="4AD633AD" w14:textId="029113A1" w:rsidR="00161600" w:rsidRDefault="00447D5F" w:rsidP="00161600">
      <w:pPr>
        <w:spacing w:before="100"/>
        <w:rPr>
          <w:color w:val="auto"/>
        </w:rPr>
      </w:pPr>
      <w:r>
        <w:rPr>
          <w:color w:val="auto"/>
        </w:rPr>
        <w:t>We exceeded our objectives in</w:t>
      </w:r>
      <w:r w:rsidR="00161600">
        <w:rPr>
          <w:color w:val="auto"/>
        </w:rPr>
        <w:t xml:space="preserve"> support</w:t>
      </w:r>
      <w:r>
        <w:rPr>
          <w:color w:val="auto"/>
        </w:rPr>
        <w:t>ing</w:t>
      </w:r>
      <w:r w:rsidR="00161600">
        <w:rPr>
          <w:color w:val="auto"/>
        </w:rPr>
        <w:t xml:space="preserve"> childr</w:t>
      </w:r>
      <w:r w:rsidR="00161600" w:rsidRPr="00013D31">
        <w:rPr>
          <w:color w:val="auto"/>
        </w:rPr>
        <w:t>en with disability to receive an education that meets their individual needs</w:t>
      </w:r>
      <w:r w:rsidR="00161600">
        <w:rPr>
          <w:color w:val="auto"/>
        </w:rPr>
        <w:t>.</w:t>
      </w:r>
      <w:r w:rsidR="00E111CC">
        <w:rPr>
          <w:color w:val="auto"/>
        </w:rPr>
        <w:t xml:space="preserve"> </w:t>
      </w:r>
      <w:r w:rsidR="00161600">
        <w:rPr>
          <w:color w:val="auto"/>
        </w:rPr>
        <w:t>S</w:t>
      </w:r>
      <w:r>
        <w:rPr>
          <w:color w:val="auto"/>
        </w:rPr>
        <w:t xml:space="preserve">pecifically, 1,662 </w:t>
      </w:r>
      <w:r w:rsidR="00161600">
        <w:rPr>
          <w:color w:val="auto"/>
        </w:rPr>
        <w:t>new registrations of children with disability into Inclusive Education Resource Centres, 221 children receiving assisti</w:t>
      </w:r>
      <w:r>
        <w:rPr>
          <w:color w:val="auto"/>
        </w:rPr>
        <w:t xml:space="preserve">ve devices, and 44 </w:t>
      </w:r>
      <w:r w:rsidR="00161600">
        <w:rPr>
          <w:color w:val="auto"/>
        </w:rPr>
        <w:t xml:space="preserve">students graduating from the Applied Diploma in Inclusive Education. </w:t>
      </w:r>
      <w:r w:rsidR="00551722">
        <w:rPr>
          <w:color w:val="auto"/>
        </w:rPr>
        <w:t>We trained</w:t>
      </w:r>
      <w:r w:rsidR="00161600">
        <w:rPr>
          <w:color w:val="auto"/>
        </w:rPr>
        <w:t xml:space="preserve"> more than 1</w:t>
      </w:r>
      <w:r>
        <w:rPr>
          <w:color w:val="auto"/>
        </w:rPr>
        <w:t>,</w:t>
      </w:r>
      <w:r w:rsidR="00161600">
        <w:rPr>
          <w:color w:val="auto"/>
        </w:rPr>
        <w:t xml:space="preserve">700 additional </w:t>
      </w:r>
      <w:r w:rsidR="00161600" w:rsidRPr="00847FFA">
        <w:rPr>
          <w:color w:val="auto"/>
        </w:rPr>
        <w:t>school administrators</w:t>
      </w:r>
      <w:r w:rsidR="00161600">
        <w:rPr>
          <w:color w:val="auto"/>
        </w:rPr>
        <w:t xml:space="preserve"> across </w:t>
      </w:r>
      <w:r w:rsidR="00D40C0F" w:rsidRPr="00161600">
        <w:rPr>
          <w:color w:val="auto"/>
        </w:rPr>
        <w:t>Papua New Guinea</w:t>
      </w:r>
      <w:r w:rsidR="00D40C0F">
        <w:rPr>
          <w:color w:val="auto"/>
        </w:rPr>
        <w:t xml:space="preserve"> </w:t>
      </w:r>
      <w:r w:rsidR="00161600" w:rsidRPr="00847FFA">
        <w:rPr>
          <w:color w:val="auto"/>
        </w:rPr>
        <w:t>in basic financial management</w:t>
      </w:r>
      <w:r w:rsidR="00161600">
        <w:rPr>
          <w:color w:val="auto"/>
        </w:rPr>
        <w:t xml:space="preserve"> to improve budgeting and accountability, taking the total number trained to 13,788 (3,389 women)</w:t>
      </w:r>
      <w:r w:rsidR="00D40C0F">
        <w:rPr>
          <w:color w:val="auto"/>
        </w:rPr>
        <w:t xml:space="preserve">. </w:t>
      </w:r>
      <w:r w:rsidR="00161600">
        <w:rPr>
          <w:color w:val="auto"/>
        </w:rPr>
        <w:t xml:space="preserve">We also continued to </w:t>
      </w:r>
      <w:r w:rsidR="00161600" w:rsidRPr="0003746A">
        <w:rPr>
          <w:color w:val="auto"/>
        </w:rPr>
        <w:t xml:space="preserve">work closely with the </w:t>
      </w:r>
      <w:r w:rsidR="00161600" w:rsidRPr="00002029">
        <w:rPr>
          <w:color w:val="auto"/>
        </w:rPr>
        <w:t>National Department of Education</w:t>
      </w:r>
      <w:r w:rsidR="00D40C0F">
        <w:rPr>
          <w:color w:val="auto"/>
        </w:rPr>
        <w:t xml:space="preserve"> (NDoE)</w:t>
      </w:r>
      <w:r w:rsidR="00161600" w:rsidRPr="00002029">
        <w:rPr>
          <w:color w:val="auto"/>
        </w:rPr>
        <w:t xml:space="preserve"> to </w:t>
      </w:r>
      <w:r w:rsidR="00551722">
        <w:rPr>
          <w:color w:val="auto"/>
        </w:rPr>
        <w:t>build individual and</w:t>
      </w:r>
      <w:r w:rsidR="00161600">
        <w:rPr>
          <w:color w:val="auto"/>
        </w:rPr>
        <w:t xml:space="preserve"> instit</w:t>
      </w:r>
      <w:r w:rsidR="00773A2A">
        <w:rPr>
          <w:color w:val="auto"/>
        </w:rPr>
        <w:t>utional capacity in</w:t>
      </w:r>
      <w:r w:rsidR="00161600">
        <w:rPr>
          <w:color w:val="auto"/>
        </w:rPr>
        <w:t xml:space="preserve"> monitoring and evaluation, education management</w:t>
      </w:r>
      <w:r w:rsidR="00D40C0F">
        <w:rPr>
          <w:color w:val="auto"/>
        </w:rPr>
        <w:t>,</w:t>
      </w:r>
      <w:r w:rsidR="00161600">
        <w:rPr>
          <w:color w:val="auto"/>
        </w:rPr>
        <w:t xml:space="preserve"> information systems and budgeting and finance</w:t>
      </w:r>
      <w:r w:rsidR="00D40C0F">
        <w:rPr>
          <w:color w:val="auto"/>
        </w:rPr>
        <w:t>.</w:t>
      </w:r>
      <w:r w:rsidR="00161600">
        <w:rPr>
          <w:color w:val="auto"/>
        </w:rPr>
        <w:t xml:space="preserve"> In order to better understand the effectiveness of our support in this area, we are undertaking a technical assistance effectiveness review. </w:t>
      </w:r>
    </w:p>
    <w:p w14:paraId="36A0E060" w14:textId="6F67BAD1" w:rsidR="00161600" w:rsidRPr="00560C62" w:rsidRDefault="00161600" w:rsidP="00161600">
      <w:pPr>
        <w:rPr>
          <w:color w:val="auto"/>
        </w:rPr>
      </w:pPr>
      <w:r w:rsidRPr="00560C62">
        <w:rPr>
          <w:color w:val="auto"/>
        </w:rPr>
        <w:t xml:space="preserve">The </w:t>
      </w:r>
      <w:r w:rsidRPr="00560C62">
        <w:rPr>
          <w:b/>
          <w:color w:val="auto"/>
        </w:rPr>
        <w:t>Skills and Productivity</w:t>
      </w:r>
      <w:r w:rsidRPr="00560C62">
        <w:rPr>
          <w:color w:val="auto"/>
        </w:rPr>
        <w:t xml:space="preserve"> priority area aim</w:t>
      </w:r>
      <w:r w:rsidR="00773A2A">
        <w:rPr>
          <w:color w:val="auto"/>
        </w:rPr>
        <w:t>s to help the tertiary sector</w:t>
      </w:r>
      <w:r w:rsidRPr="00560C62">
        <w:rPr>
          <w:color w:val="auto"/>
        </w:rPr>
        <w:t xml:space="preserve"> meet industry demand for skills by supporting more women and men </w:t>
      </w:r>
      <w:r>
        <w:rPr>
          <w:color w:val="auto"/>
        </w:rPr>
        <w:t xml:space="preserve">to </w:t>
      </w:r>
      <w:r w:rsidRPr="00560C62">
        <w:rPr>
          <w:color w:val="auto"/>
        </w:rPr>
        <w:t>gain appropriate skills in priority sectors</w:t>
      </w:r>
      <w:r w:rsidR="00D40C0F">
        <w:rPr>
          <w:color w:val="auto"/>
        </w:rPr>
        <w:t xml:space="preserve">. </w:t>
      </w:r>
      <w:r w:rsidRPr="00560C62">
        <w:rPr>
          <w:color w:val="auto"/>
        </w:rPr>
        <w:t xml:space="preserve">This priority area is achieving </w:t>
      </w:r>
      <w:r w:rsidR="00773A2A">
        <w:rPr>
          <w:color w:val="auto"/>
        </w:rPr>
        <w:t xml:space="preserve">its </w:t>
      </w:r>
      <w:r w:rsidRPr="00560C62">
        <w:rPr>
          <w:color w:val="auto"/>
        </w:rPr>
        <w:t>expected results at the volume and quality anticipated</w:t>
      </w:r>
      <w:r w:rsidR="00D40C0F">
        <w:rPr>
          <w:color w:val="auto"/>
        </w:rPr>
        <w:t>.</w:t>
      </w:r>
      <w:r>
        <w:rPr>
          <w:color w:val="auto"/>
        </w:rPr>
        <w:t xml:space="preserve"> In 2018-19, w</w:t>
      </w:r>
      <w:r w:rsidRPr="00560C62">
        <w:rPr>
          <w:color w:val="auto"/>
        </w:rPr>
        <w:t>e supported 359 new teachers, nurses and midwives to graduate and strengthen Papua New Guinea’s qualified workforce</w:t>
      </w:r>
      <w:r w:rsidR="00D40C0F">
        <w:rPr>
          <w:color w:val="auto"/>
        </w:rPr>
        <w:t>.</w:t>
      </w:r>
      <w:r>
        <w:rPr>
          <w:color w:val="auto"/>
        </w:rPr>
        <w:t xml:space="preserve"> </w:t>
      </w:r>
      <w:r w:rsidRPr="00560C62">
        <w:rPr>
          <w:color w:val="auto"/>
        </w:rPr>
        <w:t xml:space="preserve">Our Kina for Kina and twinning tertiary education partnerships </w:t>
      </w:r>
      <w:r>
        <w:rPr>
          <w:color w:val="auto"/>
        </w:rPr>
        <w:t xml:space="preserve">continued to </w:t>
      </w:r>
      <w:r w:rsidRPr="00560C62">
        <w:rPr>
          <w:color w:val="auto"/>
        </w:rPr>
        <w:t xml:space="preserve">support quality improvements in four of Papua New Guinea’s six </w:t>
      </w:r>
      <w:r w:rsidRPr="0003746A">
        <w:rPr>
          <w:color w:val="auto"/>
        </w:rPr>
        <w:t>tertiary education institutions</w:t>
      </w:r>
      <w:r w:rsidR="00D40C0F">
        <w:rPr>
          <w:color w:val="auto"/>
        </w:rPr>
        <w:t xml:space="preserve">. </w:t>
      </w:r>
      <w:r>
        <w:rPr>
          <w:color w:val="auto"/>
        </w:rPr>
        <w:t>We also invested significant time in developing a Skills for Growth demonstration project as part of the Education for Prosperity design</w:t>
      </w:r>
      <w:r w:rsidR="00D40C0F">
        <w:rPr>
          <w:color w:val="auto"/>
        </w:rPr>
        <w:t xml:space="preserve">. </w:t>
      </w:r>
      <w:r w:rsidRPr="0003746A">
        <w:rPr>
          <w:color w:val="auto"/>
        </w:rPr>
        <w:t xml:space="preserve">This new initiative </w:t>
      </w:r>
      <w:r>
        <w:rPr>
          <w:color w:val="auto"/>
        </w:rPr>
        <w:t>takes a demand-side approach to supporting skills development in the informal sector and bu</w:t>
      </w:r>
      <w:r w:rsidR="00773A2A">
        <w:rPr>
          <w:color w:val="auto"/>
        </w:rPr>
        <w:t xml:space="preserve">ilds on the experience of </w:t>
      </w:r>
      <w:r w:rsidRPr="0003746A">
        <w:rPr>
          <w:color w:val="auto"/>
        </w:rPr>
        <w:t>successful TVET programs in Vanuatu and Sri Lanka</w:t>
      </w:r>
      <w:r w:rsidRPr="00560C62">
        <w:rPr>
          <w:color w:val="auto"/>
        </w:rPr>
        <w:t>.</w:t>
      </w:r>
    </w:p>
    <w:p w14:paraId="54CC99B7" w14:textId="1616F3AC" w:rsidR="00161600" w:rsidRPr="00560C62" w:rsidRDefault="00161600" w:rsidP="00161600">
      <w:pPr>
        <w:rPr>
          <w:color w:val="auto"/>
        </w:rPr>
      </w:pPr>
      <w:r w:rsidRPr="00560C62">
        <w:rPr>
          <w:color w:val="auto"/>
        </w:rPr>
        <w:t xml:space="preserve">Our technical assistance </w:t>
      </w:r>
      <w:r>
        <w:rPr>
          <w:color w:val="auto"/>
        </w:rPr>
        <w:t xml:space="preserve">continues to </w:t>
      </w:r>
      <w:r w:rsidRPr="00560C62">
        <w:rPr>
          <w:color w:val="auto"/>
        </w:rPr>
        <w:t>support the NDoE and the Department of Higher Education, Research, Science and Technology (DHERST) take forward the reform agenda to streamline the higher education sector, including through policy advice on options for international financing to fund the tertiary sector</w:t>
      </w:r>
      <w:r>
        <w:rPr>
          <w:color w:val="auto"/>
        </w:rPr>
        <w:t>.</w:t>
      </w:r>
      <w:r w:rsidR="00E111CC">
        <w:rPr>
          <w:color w:val="auto"/>
        </w:rPr>
        <w:t xml:space="preserve"> </w:t>
      </w:r>
      <w:r w:rsidRPr="00560C62">
        <w:rPr>
          <w:color w:val="auto"/>
        </w:rPr>
        <w:t>As part of our strategy to broker international financ</w:t>
      </w:r>
      <w:r>
        <w:rPr>
          <w:color w:val="auto"/>
        </w:rPr>
        <w:t>ing</w:t>
      </w:r>
      <w:r w:rsidRPr="00560C62">
        <w:rPr>
          <w:color w:val="auto"/>
        </w:rPr>
        <w:t xml:space="preserve"> and diversify development partners working in </w:t>
      </w:r>
      <w:r w:rsidR="00D40C0F" w:rsidRPr="00161600">
        <w:rPr>
          <w:color w:val="auto"/>
        </w:rPr>
        <w:t>Papua New Guinea</w:t>
      </w:r>
      <w:r w:rsidRPr="00560C62">
        <w:rPr>
          <w:color w:val="auto"/>
        </w:rPr>
        <w:t xml:space="preserve">, we have </w:t>
      </w:r>
      <w:r>
        <w:rPr>
          <w:color w:val="auto"/>
        </w:rPr>
        <w:t xml:space="preserve">been </w:t>
      </w:r>
      <w:r w:rsidRPr="00560C62">
        <w:rPr>
          <w:color w:val="auto"/>
        </w:rPr>
        <w:t>work</w:t>
      </w:r>
      <w:r>
        <w:rPr>
          <w:color w:val="auto"/>
        </w:rPr>
        <w:t>ing</w:t>
      </w:r>
      <w:r w:rsidRPr="00560C62">
        <w:rPr>
          <w:color w:val="auto"/>
        </w:rPr>
        <w:t xml:space="preserve"> with ADB to encourage their re-entry into the tertiary sector</w:t>
      </w:r>
      <w:r>
        <w:rPr>
          <w:color w:val="auto"/>
        </w:rPr>
        <w:t>.</w:t>
      </w:r>
      <w:r w:rsidR="00E111CC">
        <w:rPr>
          <w:color w:val="auto"/>
        </w:rPr>
        <w:t xml:space="preserve"> </w:t>
      </w:r>
      <w:r w:rsidRPr="00560C62">
        <w:rPr>
          <w:color w:val="auto"/>
        </w:rPr>
        <w:t>This has been successful, with ADB indicating an interest to engage thr</w:t>
      </w:r>
      <w:r w:rsidR="00773A2A">
        <w:rPr>
          <w:color w:val="auto"/>
        </w:rPr>
        <w:t>ough a US$</w:t>
      </w:r>
      <w:r w:rsidRPr="00560C62">
        <w:rPr>
          <w:color w:val="auto"/>
        </w:rPr>
        <w:t>50 million grant, starting in 2021, most likely in the agriculture sector</w:t>
      </w:r>
      <w:r>
        <w:rPr>
          <w:color w:val="auto"/>
        </w:rPr>
        <w:t>.</w:t>
      </w:r>
      <w:r w:rsidR="00E111CC">
        <w:rPr>
          <w:color w:val="auto"/>
        </w:rPr>
        <w:t xml:space="preserve"> </w:t>
      </w:r>
      <w:r>
        <w:rPr>
          <w:color w:val="auto"/>
        </w:rPr>
        <w:t>This will align with our new Skills for Growth investment.</w:t>
      </w:r>
      <w:r w:rsidR="00E111CC">
        <w:rPr>
          <w:color w:val="auto"/>
        </w:rPr>
        <w:t xml:space="preserve"> </w:t>
      </w:r>
    </w:p>
    <w:p w14:paraId="4831EF53" w14:textId="3C24FF57" w:rsidR="00161600" w:rsidRDefault="00161600" w:rsidP="00161600">
      <w:pPr>
        <w:rPr>
          <w:color w:val="auto"/>
        </w:rPr>
      </w:pPr>
      <w:r w:rsidRPr="00560C62">
        <w:rPr>
          <w:color w:val="auto"/>
        </w:rPr>
        <w:t xml:space="preserve">The </w:t>
      </w:r>
      <w:r w:rsidRPr="00560C62">
        <w:rPr>
          <w:b/>
          <w:color w:val="auto"/>
        </w:rPr>
        <w:t>Leadership</w:t>
      </w:r>
      <w:r w:rsidRPr="00560C62">
        <w:rPr>
          <w:color w:val="auto"/>
        </w:rPr>
        <w:t xml:space="preserve"> priority area </w:t>
      </w:r>
      <w:r>
        <w:rPr>
          <w:color w:val="auto"/>
        </w:rPr>
        <w:t>aims</w:t>
      </w:r>
      <w:r w:rsidRPr="0003746A">
        <w:rPr>
          <w:color w:val="auto"/>
        </w:rPr>
        <w:t xml:space="preserve"> to </w:t>
      </w:r>
      <w:r>
        <w:rPr>
          <w:color w:val="auto"/>
        </w:rPr>
        <w:t>ensure that women and men are able to apply leadership skills and attribut</w:t>
      </w:r>
      <w:r w:rsidR="00773A2A">
        <w:rPr>
          <w:color w:val="auto"/>
        </w:rPr>
        <w:t>es for</w:t>
      </w:r>
      <w:r>
        <w:rPr>
          <w:color w:val="auto"/>
        </w:rPr>
        <w:t xml:space="preserve"> the development of </w:t>
      </w:r>
      <w:r w:rsidR="00D40C0F" w:rsidRPr="00161600">
        <w:rPr>
          <w:color w:val="auto"/>
        </w:rPr>
        <w:t>Papua New Guinea</w:t>
      </w:r>
      <w:r w:rsidR="00D40C0F">
        <w:rPr>
          <w:color w:val="auto"/>
        </w:rPr>
        <w:t xml:space="preserve">. </w:t>
      </w:r>
      <w:r>
        <w:rPr>
          <w:color w:val="auto"/>
        </w:rPr>
        <w:t xml:space="preserve">It is aligned with the </w:t>
      </w:r>
      <w:r w:rsidR="00D40C0F">
        <w:rPr>
          <w:color w:val="auto"/>
        </w:rPr>
        <w:t xml:space="preserve">Government of </w:t>
      </w:r>
      <w:r w:rsidR="00D40C0F" w:rsidRPr="00161600">
        <w:rPr>
          <w:color w:val="auto"/>
        </w:rPr>
        <w:t>Papua New Guinea</w:t>
      </w:r>
      <w:r w:rsidR="00D40C0F">
        <w:rPr>
          <w:color w:val="auto"/>
        </w:rPr>
        <w:t>’s</w:t>
      </w:r>
      <w:r>
        <w:rPr>
          <w:color w:val="auto"/>
        </w:rPr>
        <w:t xml:space="preserve"> focus on leadership renewal across all sectors and </w:t>
      </w:r>
      <w:r w:rsidRPr="0003746A">
        <w:rPr>
          <w:color w:val="auto"/>
        </w:rPr>
        <w:t xml:space="preserve">is supported through two </w:t>
      </w:r>
      <w:r>
        <w:rPr>
          <w:color w:val="auto"/>
        </w:rPr>
        <w:t>investments:</w:t>
      </w:r>
      <w:r w:rsidRPr="0003746A">
        <w:rPr>
          <w:color w:val="auto"/>
        </w:rPr>
        <w:t xml:space="preserve"> Australia Awards </w:t>
      </w:r>
      <w:r>
        <w:rPr>
          <w:color w:val="auto"/>
        </w:rPr>
        <w:t xml:space="preserve">and </w:t>
      </w:r>
      <w:r w:rsidRPr="0003746A">
        <w:rPr>
          <w:color w:val="auto"/>
        </w:rPr>
        <w:t>the Pacific Leadership and Governance Precinct (Precinct)</w:t>
      </w:r>
      <w:r w:rsidR="00D40C0F">
        <w:rPr>
          <w:color w:val="auto"/>
        </w:rPr>
        <w:t xml:space="preserve">. </w:t>
      </w:r>
      <w:r>
        <w:rPr>
          <w:color w:val="auto"/>
        </w:rPr>
        <w:t xml:space="preserve">These investments are </w:t>
      </w:r>
      <w:r w:rsidRPr="00847FFA">
        <w:rPr>
          <w:color w:val="auto"/>
        </w:rPr>
        <w:t>achieving expected results at the volume and quality anticipated</w:t>
      </w:r>
      <w:r w:rsidR="00773A2A">
        <w:rPr>
          <w:color w:val="auto"/>
        </w:rPr>
        <w:t>.</w:t>
      </w:r>
    </w:p>
    <w:p w14:paraId="3EB727EE" w14:textId="7A3B923D" w:rsidR="00161600" w:rsidRDefault="00161600" w:rsidP="00161600">
      <w:pPr>
        <w:rPr>
          <w:color w:val="auto"/>
        </w:rPr>
      </w:pPr>
      <w:r>
        <w:rPr>
          <w:color w:val="auto"/>
        </w:rPr>
        <w:t>A</w:t>
      </w:r>
      <w:r w:rsidRPr="0003746A">
        <w:rPr>
          <w:color w:val="auto"/>
        </w:rPr>
        <w:t>ustralia</w:t>
      </w:r>
      <w:r>
        <w:rPr>
          <w:color w:val="auto"/>
        </w:rPr>
        <w:t xml:space="preserve"> Award scholarships are in key sectors aligned with the Government </w:t>
      </w:r>
      <w:r w:rsidR="00D40C0F">
        <w:rPr>
          <w:color w:val="auto"/>
        </w:rPr>
        <w:t xml:space="preserve">of </w:t>
      </w:r>
      <w:r w:rsidR="00D40C0F" w:rsidRPr="00161600">
        <w:rPr>
          <w:color w:val="auto"/>
        </w:rPr>
        <w:t>Papua New Guinea</w:t>
      </w:r>
      <w:r w:rsidR="00773A2A">
        <w:rPr>
          <w:color w:val="auto"/>
        </w:rPr>
        <w:t>’s</w:t>
      </w:r>
      <w:r w:rsidR="00D40C0F">
        <w:rPr>
          <w:color w:val="auto"/>
        </w:rPr>
        <w:t xml:space="preserve"> </w:t>
      </w:r>
      <w:r>
        <w:rPr>
          <w:color w:val="auto"/>
        </w:rPr>
        <w:t>priorities including a focus on awardees from the provinces and districts</w:t>
      </w:r>
      <w:r w:rsidR="00D40C0F">
        <w:rPr>
          <w:color w:val="auto"/>
        </w:rPr>
        <w:t>.</w:t>
      </w:r>
      <w:r>
        <w:rPr>
          <w:color w:val="auto"/>
        </w:rPr>
        <w:t xml:space="preserve"> Currently, </w:t>
      </w:r>
      <w:r w:rsidRPr="00641D8E">
        <w:rPr>
          <w:color w:val="auto"/>
        </w:rPr>
        <w:t>535</w:t>
      </w:r>
      <w:r>
        <w:rPr>
          <w:color w:val="auto"/>
        </w:rPr>
        <w:t xml:space="preserve"> Papua New Guineans are studying in Australia and </w:t>
      </w:r>
      <w:r w:rsidR="00D40C0F" w:rsidRPr="00161600">
        <w:rPr>
          <w:color w:val="auto"/>
        </w:rPr>
        <w:t>Papua New Guinea</w:t>
      </w:r>
      <w:r w:rsidR="00D40C0F">
        <w:rPr>
          <w:color w:val="auto"/>
        </w:rPr>
        <w:t xml:space="preserve"> </w:t>
      </w:r>
      <w:r>
        <w:rPr>
          <w:color w:val="auto"/>
        </w:rPr>
        <w:t>on scholarship</w:t>
      </w:r>
      <w:r w:rsidR="00D40C0F">
        <w:rPr>
          <w:color w:val="auto"/>
        </w:rPr>
        <w:t>.</w:t>
      </w:r>
      <w:r>
        <w:rPr>
          <w:color w:val="auto"/>
        </w:rPr>
        <w:t xml:space="preserve"> In 2018-19, </w:t>
      </w:r>
      <w:r w:rsidRPr="0003746A">
        <w:rPr>
          <w:color w:val="auto"/>
        </w:rPr>
        <w:t>212 participants (42 per cent women) completed short courses, and 112 completed study in Australia (50 per cent women)</w:t>
      </w:r>
      <w:r w:rsidR="00D40C0F">
        <w:rPr>
          <w:color w:val="auto"/>
        </w:rPr>
        <w:t xml:space="preserve">. </w:t>
      </w:r>
      <w:r>
        <w:rPr>
          <w:color w:val="auto"/>
        </w:rPr>
        <w:t>A</w:t>
      </w:r>
      <w:r w:rsidRPr="0003746A">
        <w:rPr>
          <w:color w:val="auto"/>
        </w:rPr>
        <w:t>t least 50 per cent o</w:t>
      </w:r>
      <w:r w:rsidR="00773A2A">
        <w:rPr>
          <w:color w:val="auto"/>
        </w:rPr>
        <w:t>f these recipients are from sub</w:t>
      </w:r>
      <w:r w:rsidRPr="0003746A">
        <w:rPr>
          <w:color w:val="auto"/>
        </w:rPr>
        <w:t>national locations</w:t>
      </w:r>
      <w:r w:rsidR="00773A2A">
        <w:rPr>
          <w:color w:val="auto"/>
        </w:rPr>
        <w:t>,</w:t>
      </w:r>
      <w:r>
        <w:rPr>
          <w:color w:val="auto"/>
        </w:rPr>
        <w:t xml:space="preserve"> supporting the decentralisation agenda.</w:t>
      </w:r>
      <w:r w:rsidR="00E111CC">
        <w:rPr>
          <w:color w:val="auto"/>
        </w:rPr>
        <w:t xml:space="preserve"> </w:t>
      </w:r>
    </w:p>
    <w:p w14:paraId="1383BB11" w14:textId="51799A6E" w:rsidR="00161600" w:rsidRDefault="00161600" w:rsidP="00161600">
      <w:pPr>
        <w:rPr>
          <w:color w:val="auto"/>
        </w:rPr>
      </w:pPr>
      <w:r>
        <w:rPr>
          <w:color w:val="auto"/>
        </w:rPr>
        <w:t>Our scholarships are targeted and making a difference</w:t>
      </w:r>
      <w:r w:rsidR="00D40C0F">
        <w:rPr>
          <w:color w:val="auto"/>
        </w:rPr>
        <w:t xml:space="preserve">. </w:t>
      </w:r>
      <w:r>
        <w:rPr>
          <w:color w:val="auto"/>
        </w:rPr>
        <w:t xml:space="preserve">Surveys have confirmed that the </w:t>
      </w:r>
      <w:r w:rsidRPr="00847FFA">
        <w:rPr>
          <w:color w:val="auto"/>
        </w:rPr>
        <w:t>53 negotiat</w:t>
      </w:r>
      <w:r>
        <w:rPr>
          <w:color w:val="auto"/>
        </w:rPr>
        <w:t xml:space="preserve">ors </w:t>
      </w:r>
      <w:r w:rsidRPr="00847FFA">
        <w:rPr>
          <w:color w:val="auto"/>
        </w:rPr>
        <w:t xml:space="preserve">(15 women) </w:t>
      </w:r>
      <w:r>
        <w:rPr>
          <w:color w:val="auto"/>
        </w:rPr>
        <w:t xml:space="preserve">trained through two short courses </w:t>
      </w:r>
      <w:r w:rsidRPr="00847FFA">
        <w:rPr>
          <w:color w:val="auto"/>
        </w:rPr>
        <w:t>in diplomacy</w:t>
      </w:r>
      <w:r w:rsidR="00773A2A">
        <w:rPr>
          <w:color w:val="auto"/>
        </w:rPr>
        <w:t xml:space="preserve"> and international trade skills</w:t>
      </w:r>
      <w:r>
        <w:rPr>
          <w:color w:val="auto"/>
        </w:rPr>
        <w:t xml:space="preserve"> supported the </w:t>
      </w:r>
      <w:r w:rsidR="004B25E3" w:rsidRPr="007F51C6">
        <w:rPr>
          <w:color w:val="auto"/>
        </w:rPr>
        <w:t>Papua New Guinea</w:t>
      </w:r>
      <w:r w:rsidR="00773A2A">
        <w:rPr>
          <w:color w:val="auto"/>
        </w:rPr>
        <w:t>’s</w:t>
      </w:r>
      <w:r w:rsidR="004B25E3">
        <w:rPr>
          <w:color w:val="auto"/>
        </w:rPr>
        <w:t xml:space="preserve"> </w:t>
      </w:r>
      <w:r w:rsidR="00773A2A">
        <w:rPr>
          <w:color w:val="auto"/>
        </w:rPr>
        <w:t>APEC</w:t>
      </w:r>
      <w:r>
        <w:rPr>
          <w:color w:val="auto"/>
        </w:rPr>
        <w:t xml:space="preserve"> </w:t>
      </w:r>
      <w:r w:rsidRPr="00847FFA">
        <w:rPr>
          <w:color w:val="auto"/>
        </w:rPr>
        <w:t>Secretariat to successful</w:t>
      </w:r>
      <w:r>
        <w:rPr>
          <w:color w:val="auto"/>
        </w:rPr>
        <w:t>ly</w:t>
      </w:r>
      <w:r w:rsidR="00773A2A">
        <w:rPr>
          <w:color w:val="auto"/>
        </w:rPr>
        <w:t xml:space="preserve"> host</w:t>
      </w:r>
      <w:r w:rsidRPr="00847FFA">
        <w:rPr>
          <w:color w:val="auto"/>
        </w:rPr>
        <w:t xml:space="preserve"> the 2018 APEC Summit</w:t>
      </w:r>
      <w:r>
        <w:rPr>
          <w:color w:val="auto"/>
        </w:rPr>
        <w:t>.</w:t>
      </w:r>
      <w:r w:rsidR="00E111CC">
        <w:rPr>
          <w:color w:val="auto"/>
        </w:rPr>
        <w:t xml:space="preserve"> </w:t>
      </w:r>
      <w:r>
        <w:rPr>
          <w:color w:val="auto"/>
        </w:rPr>
        <w:t xml:space="preserve">Surveys also confirm </w:t>
      </w:r>
      <w:r w:rsidRPr="0003746A">
        <w:rPr>
          <w:color w:val="auto"/>
        </w:rPr>
        <w:t>that long-award recipients are demonstrating behaviour-change and contributing to public policy improvements</w:t>
      </w:r>
      <w:r>
        <w:rPr>
          <w:color w:val="auto"/>
        </w:rPr>
        <w:t>.</w:t>
      </w:r>
      <w:r w:rsidR="00E111CC">
        <w:rPr>
          <w:color w:val="auto"/>
        </w:rPr>
        <w:t xml:space="preserve"> </w:t>
      </w:r>
      <w:r>
        <w:rPr>
          <w:color w:val="auto"/>
        </w:rPr>
        <w:t xml:space="preserve">For example, one Alumni working for the </w:t>
      </w:r>
      <w:r w:rsidRPr="00B65B83">
        <w:rPr>
          <w:color w:val="auto"/>
        </w:rPr>
        <w:t xml:space="preserve">Bank of Papua New Guinea </w:t>
      </w:r>
      <w:r>
        <w:rPr>
          <w:color w:val="auto"/>
        </w:rPr>
        <w:t xml:space="preserve">reported using the knowledge and skills </w:t>
      </w:r>
      <w:r>
        <w:rPr>
          <w:color w:val="auto"/>
        </w:rPr>
        <w:lastRenderedPageBreak/>
        <w:t>gained on scholarship to contribute to the ‘P</w:t>
      </w:r>
      <w:r w:rsidRPr="00B96E9F">
        <w:rPr>
          <w:color w:val="auto"/>
        </w:rPr>
        <w:t xml:space="preserve">rudential Guidelines for Savings </w:t>
      </w:r>
      <w:r>
        <w:rPr>
          <w:color w:val="auto"/>
        </w:rPr>
        <w:t>and</w:t>
      </w:r>
      <w:r w:rsidRPr="00B96E9F">
        <w:rPr>
          <w:color w:val="auto"/>
        </w:rPr>
        <w:t xml:space="preserve"> Loans</w:t>
      </w:r>
      <w:r>
        <w:rPr>
          <w:color w:val="auto"/>
        </w:rPr>
        <w:t xml:space="preserve">’. These </w:t>
      </w:r>
      <w:r w:rsidRPr="00B96E9F">
        <w:rPr>
          <w:color w:val="auto"/>
        </w:rPr>
        <w:t>guidelines support</w:t>
      </w:r>
      <w:r w:rsidR="00773A2A">
        <w:rPr>
          <w:color w:val="auto"/>
        </w:rPr>
        <w:t>ed</w:t>
      </w:r>
      <w:r w:rsidRPr="00B96E9F">
        <w:rPr>
          <w:color w:val="auto"/>
        </w:rPr>
        <w:t xml:space="preserve"> the </w:t>
      </w:r>
      <w:r w:rsidR="00D40C0F" w:rsidRPr="00161600">
        <w:rPr>
          <w:color w:val="auto"/>
        </w:rPr>
        <w:t>Papua New Guinea</w:t>
      </w:r>
      <w:r w:rsidR="00D40C0F">
        <w:rPr>
          <w:color w:val="auto"/>
        </w:rPr>
        <w:t xml:space="preserve">n </w:t>
      </w:r>
      <w:r w:rsidRPr="00B96E9F">
        <w:rPr>
          <w:color w:val="auto"/>
        </w:rPr>
        <w:t xml:space="preserve">Savings &amp; Loans Act which was recently </w:t>
      </w:r>
      <w:r>
        <w:rPr>
          <w:color w:val="auto"/>
        </w:rPr>
        <w:t>enacted.</w:t>
      </w:r>
      <w:r w:rsidR="00E111CC">
        <w:rPr>
          <w:color w:val="auto"/>
        </w:rPr>
        <w:t xml:space="preserve"> </w:t>
      </w:r>
    </w:p>
    <w:p w14:paraId="3FAC3A57" w14:textId="7E18C51B" w:rsidR="00161600" w:rsidRPr="00847FFA" w:rsidRDefault="00161600" w:rsidP="00161600">
      <w:pPr>
        <w:rPr>
          <w:color w:val="auto"/>
        </w:rPr>
      </w:pPr>
      <w:r w:rsidRPr="00C6008D">
        <w:rPr>
          <w:color w:val="auto"/>
        </w:rPr>
        <w:t xml:space="preserve">The Precinct supports the development of </w:t>
      </w:r>
      <w:r w:rsidR="00D40C0F" w:rsidRPr="00C6008D">
        <w:rPr>
          <w:color w:val="auto"/>
        </w:rPr>
        <w:t>Papua New Guinea</w:t>
      </w:r>
      <w:r w:rsidRPr="00C6008D">
        <w:rPr>
          <w:color w:val="auto"/>
        </w:rPr>
        <w:t>’s future public servant leaders.</w:t>
      </w:r>
      <w:r w:rsidR="00E111CC" w:rsidRPr="00C6008D">
        <w:rPr>
          <w:color w:val="auto"/>
        </w:rPr>
        <w:t xml:space="preserve"> </w:t>
      </w:r>
      <w:r w:rsidRPr="00C6008D">
        <w:rPr>
          <w:color w:val="auto"/>
        </w:rPr>
        <w:t xml:space="preserve">As expected, the </w:t>
      </w:r>
      <w:r w:rsidR="007601E2" w:rsidRPr="00C6008D">
        <w:rPr>
          <w:color w:val="auto"/>
        </w:rPr>
        <w:t>activity</w:t>
      </w:r>
      <w:r w:rsidRPr="00C6008D">
        <w:rPr>
          <w:color w:val="auto"/>
        </w:rPr>
        <w:t xml:space="preserve"> trained 1,357 public servants</w:t>
      </w:r>
      <w:r w:rsidR="00C6008D" w:rsidRPr="00C6008D">
        <w:rPr>
          <w:color w:val="auto"/>
        </w:rPr>
        <w:t xml:space="preserve"> </w:t>
      </w:r>
      <w:r w:rsidRPr="00C6008D">
        <w:rPr>
          <w:color w:val="auto"/>
        </w:rPr>
        <w:t>and students</w:t>
      </w:r>
      <w:r w:rsidR="00C6008D" w:rsidRPr="00C6008D">
        <w:rPr>
          <w:color w:val="auto"/>
        </w:rPr>
        <w:t xml:space="preserve"> (32 per cent women) </w:t>
      </w:r>
      <w:r w:rsidRPr="00C6008D">
        <w:rPr>
          <w:color w:val="auto"/>
        </w:rPr>
        <w:t>through short-courses, diplomas and degrees – more than double those trained in the previous year.</w:t>
      </w:r>
      <w:r w:rsidR="00E111CC" w:rsidRPr="00C6008D">
        <w:rPr>
          <w:color w:val="auto"/>
        </w:rPr>
        <w:t xml:space="preserve"> </w:t>
      </w:r>
      <w:r w:rsidRPr="00C6008D">
        <w:rPr>
          <w:color w:val="auto"/>
        </w:rPr>
        <w:t xml:space="preserve">This includes 681 </w:t>
      </w:r>
      <w:r w:rsidR="00C6008D" w:rsidRPr="00C6008D">
        <w:rPr>
          <w:color w:val="auto"/>
        </w:rPr>
        <w:t>people</w:t>
      </w:r>
      <w:r w:rsidRPr="00C6008D">
        <w:rPr>
          <w:color w:val="auto"/>
        </w:rPr>
        <w:t xml:space="preserve"> </w:t>
      </w:r>
      <w:r w:rsidR="00C6008D" w:rsidRPr="00C6008D">
        <w:rPr>
          <w:color w:val="auto"/>
        </w:rPr>
        <w:t xml:space="preserve">(35 per cent women) attending </w:t>
      </w:r>
      <w:r w:rsidRPr="00C6008D">
        <w:rPr>
          <w:color w:val="auto"/>
        </w:rPr>
        <w:t>eight short courses covering core skills, leadership and ethics</w:t>
      </w:r>
      <w:r w:rsidR="00C6008D" w:rsidRPr="00C6008D">
        <w:rPr>
          <w:color w:val="auto"/>
        </w:rPr>
        <w:t xml:space="preserve"> that were delivered 29 times</w:t>
      </w:r>
      <w:r w:rsidRPr="00C6008D">
        <w:rPr>
          <w:color w:val="auto"/>
        </w:rPr>
        <w:t>.</w:t>
      </w:r>
      <w:r w:rsidR="00E111CC" w:rsidRPr="00C6008D">
        <w:rPr>
          <w:color w:val="auto"/>
        </w:rPr>
        <w:t xml:space="preserve"> </w:t>
      </w:r>
      <w:r w:rsidR="00C6008D" w:rsidRPr="00C6008D">
        <w:rPr>
          <w:color w:val="auto"/>
        </w:rPr>
        <w:t xml:space="preserve">Notably The </w:t>
      </w:r>
      <w:r w:rsidRPr="00C6008D">
        <w:rPr>
          <w:color w:val="auto"/>
        </w:rPr>
        <w:t>Pacific Institute of Leadership &amp; Governance’s (PILAG)</w:t>
      </w:r>
      <w:r w:rsidR="00C6008D" w:rsidRPr="00C6008D">
        <w:rPr>
          <w:color w:val="auto"/>
        </w:rPr>
        <w:t>’s</w:t>
      </w:r>
      <w:r w:rsidRPr="00C6008D">
        <w:rPr>
          <w:color w:val="auto"/>
        </w:rPr>
        <w:t xml:space="preserve"> project and financial management short course</w:t>
      </w:r>
      <w:r w:rsidR="00C6008D" w:rsidRPr="00C6008D">
        <w:rPr>
          <w:color w:val="auto"/>
        </w:rPr>
        <w:t xml:space="preserve"> was delivered 14 times</w:t>
      </w:r>
      <w:r w:rsidRPr="00C6008D">
        <w:rPr>
          <w:color w:val="auto"/>
        </w:rPr>
        <w:t xml:space="preserve"> in seven districts.</w:t>
      </w:r>
      <w:r w:rsidR="00E111CC" w:rsidRPr="00C6008D">
        <w:rPr>
          <w:color w:val="auto"/>
        </w:rPr>
        <w:t xml:space="preserve"> </w:t>
      </w:r>
      <w:r w:rsidRPr="00C6008D">
        <w:rPr>
          <w:color w:val="auto"/>
        </w:rPr>
        <w:t xml:space="preserve">Over 100 participants were supported to complete three long-courses, including </w:t>
      </w:r>
      <w:r w:rsidR="00D40C0F" w:rsidRPr="00C6008D">
        <w:rPr>
          <w:color w:val="auto"/>
        </w:rPr>
        <w:t>the Papua New Guinea</w:t>
      </w:r>
      <w:r w:rsidRPr="00C6008D">
        <w:rPr>
          <w:color w:val="auto"/>
        </w:rPr>
        <w:t>-tailored nine-month Future Leaders Program</w:t>
      </w:r>
      <w:r w:rsidR="00D40C0F" w:rsidRPr="00C6008D">
        <w:rPr>
          <w:color w:val="auto"/>
        </w:rPr>
        <w:t>.</w:t>
      </w:r>
      <w:r w:rsidRPr="00C6008D">
        <w:rPr>
          <w:color w:val="auto"/>
        </w:rPr>
        <w:t xml:space="preserve"> The Austr</w:t>
      </w:r>
      <w:r w:rsidR="00C6008D" w:rsidRPr="00C6008D">
        <w:rPr>
          <w:color w:val="auto"/>
        </w:rPr>
        <w:t>alian National University (ANU)-</w:t>
      </w:r>
      <w:r w:rsidRPr="00C6008D">
        <w:rPr>
          <w:color w:val="auto"/>
        </w:rPr>
        <w:t>seconded acad</w:t>
      </w:r>
      <w:r w:rsidR="00781270" w:rsidRPr="00C6008D">
        <w:rPr>
          <w:color w:val="auto"/>
        </w:rPr>
        <w:t>emics taught 18 under- and post-</w:t>
      </w:r>
      <w:r w:rsidRPr="00C6008D">
        <w:rPr>
          <w:color w:val="auto"/>
        </w:rPr>
        <w:t xml:space="preserve">graduate courses with a teaching load of 573 students at the University of Papua New Guinea (UPNG) </w:t>
      </w:r>
      <w:r w:rsidR="00C6008D" w:rsidRPr="00C6008D">
        <w:rPr>
          <w:color w:val="auto"/>
        </w:rPr>
        <w:t>during 2018-19</w:t>
      </w:r>
      <w:r w:rsidRPr="00C6008D">
        <w:rPr>
          <w:color w:val="auto"/>
        </w:rPr>
        <w:t>.</w:t>
      </w:r>
      <w:r w:rsidR="00E111CC">
        <w:rPr>
          <w:color w:val="auto"/>
        </w:rPr>
        <w:t xml:space="preserve"> </w:t>
      </w:r>
    </w:p>
    <w:p w14:paraId="4D46FA2A" w14:textId="6FE24AA6" w:rsidR="00161600" w:rsidRPr="0003746A" w:rsidRDefault="00161600" w:rsidP="00161600">
      <w:pPr>
        <w:rPr>
          <w:color w:val="auto"/>
        </w:rPr>
      </w:pPr>
      <w:r w:rsidRPr="00560C62">
        <w:rPr>
          <w:color w:val="auto"/>
        </w:rPr>
        <w:t xml:space="preserve">An important element of our leadership </w:t>
      </w:r>
      <w:r>
        <w:rPr>
          <w:color w:val="auto"/>
        </w:rPr>
        <w:t>efforts</w:t>
      </w:r>
      <w:r w:rsidRPr="0003746A">
        <w:rPr>
          <w:color w:val="auto"/>
        </w:rPr>
        <w:t xml:space="preserve"> is to </w:t>
      </w:r>
      <w:r>
        <w:rPr>
          <w:color w:val="auto"/>
        </w:rPr>
        <w:t xml:space="preserve">facilitate </w:t>
      </w:r>
      <w:r w:rsidRPr="0003746A">
        <w:rPr>
          <w:color w:val="auto"/>
        </w:rPr>
        <w:t>transparent</w:t>
      </w:r>
      <w:r>
        <w:rPr>
          <w:color w:val="auto"/>
        </w:rPr>
        <w:t xml:space="preserve">, </w:t>
      </w:r>
      <w:r w:rsidRPr="0003746A">
        <w:rPr>
          <w:color w:val="auto"/>
        </w:rPr>
        <w:t>public platforms for contested discussion around issues of national importance</w:t>
      </w:r>
      <w:r>
        <w:rPr>
          <w:color w:val="auto"/>
        </w:rPr>
        <w:t>.</w:t>
      </w:r>
      <w:r w:rsidR="00E111CC">
        <w:rPr>
          <w:color w:val="auto"/>
        </w:rPr>
        <w:t xml:space="preserve"> </w:t>
      </w:r>
      <w:r w:rsidR="001F7282">
        <w:rPr>
          <w:color w:val="auto"/>
        </w:rPr>
        <w:t>In 2018-19</w:t>
      </w:r>
      <w:r w:rsidRPr="00560C62">
        <w:rPr>
          <w:color w:val="auto"/>
        </w:rPr>
        <w:t xml:space="preserve">, </w:t>
      </w:r>
      <w:r>
        <w:rPr>
          <w:color w:val="auto"/>
        </w:rPr>
        <w:t xml:space="preserve">in partnership with the </w:t>
      </w:r>
      <w:r w:rsidR="004B25E3" w:rsidRPr="007F51C6">
        <w:rPr>
          <w:color w:val="auto"/>
        </w:rPr>
        <w:t>Papua New Guinea</w:t>
      </w:r>
      <w:r w:rsidR="004B25E3">
        <w:rPr>
          <w:color w:val="auto"/>
        </w:rPr>
        <w:t xml:space="preserve"> </w:t>
      </w:r>
      <w:r>
        <w:rPr>
          <w:color w:val="auto"/>
        </w:rPr>
        <w:t xml:space="preserve">APEC Secretariat, </w:t>
      </w:r>
      <w:r w:rsidRPr="00560C62">
        <w:rPr>
          <w:color w:val="auto"/>
        </w:rPr>
        <w:t>we delivered nine panel discussion</w:t>
      </w:r>
      <w:r>
        <w:rPr>
          <w:color w:val="auto"/>
        </w:rPr>
        <w:t xml:space="preserve"> events </w:t>
      </w:r>
      <w:r w:rsidRPr="0003746A">
        <w:rPr>
          <w:color w:val="auto"/>
        </w:rPr>
        <w:t xml:space="preserve">featuring </w:t>
      </w:r>
      <w:r w:rsidR="00D40C0F" w:rsidRPr="00161600">
        <w:rPr>
          <w:color w:val="auto"/>
        </w:rPr>
        <w:t>Papua New Guinea</w:t>
      </w:r>
      <w:r w:rsidR="00D40C0F">
        <w:rPr>
          <w:color w:val="auto"/>
        </w:rPr>
        <w:t xml:space="preserve">n </w:t>
      </w:r>
      <w:r w:rsidRPr="0003746A">
        <w:rPr>
          <w:color w:val="auto"/>
        </w:rPr>
        <w:t xml:space="preserve">and international experts, </w:t>
      </w:r>
      <w:r>
        <w:rPr>
          <w:color w:val="auto"/>
        </w:rPr>
        <w:t xml:space="preserve">on issues of national significance </w:t>
      </w:r>
      <w:r w:rsidRPr="0003746A">
        <w:rPr>
          <w:color w:val="auto"/>
        </w:rPr>
        <w:t xml:space="preserve">such as </w:t>
      </w:r>
      <w:r>
        <w:rPr>
          <w:color w:val="auto"/>
        </w:rPr>
        <w:t>w</w:t>
      </w:r>
      <w:r w:rsidRPr="0003746A">
        <w:rPr>
          <w:color w:val="auto"/>
        </w:rPr>
        <w:t xml:space="preserve">omen in </w:t>
      </w:r>
      <w:r>
        <w:rPr>
          <w:color w:val="auto"/>
        </w:rPr>
        <w:t>p</w:t>
      </w:r>
      <w:r w:rsidRPr="0003746A">
        <w:rPr>
          <w:color w:val="auto"/>
        </w:rPr>
        <w:t>arliament and agriculture</w:t>
      </w:r>
      <w:r>
        <w:rPr>
          <w:color w:val="auto"/>
        </w:rPr>
        <w:t>.</w:t>
      </w:r>
      <w:r w:rsidR="00E111CC">
        <w:rPr>
          <w:color w:val="auto"/>
        </w:rPr>
        <w:t xml:space="preserve"> </w:t>
      </w:r>
      <w:r w:rsidRPr="0003746A">
        <w:rPr>
          <w:color w:val="auto"/>
        </w:rPr>
        <w:t xml:space="preserve">The </w:t>
      </w:r>
      <w:r w:rsidR="00773A2A">
        <w:rPr>
          <w:color w:val="auto"/>
        </w:rPr>
        <w:t>events</w:t>
      </w:r>
      <w:r w:rsidRPr="0003746A">
        <w:rPr>
          <w:color w:val="auto"/>
        </w:rPr>
        <w:t xml:space="preserve"> </w:t>
      </w:r>
      <w:r w:rsidR="001F7282">
        <w:rPr>
          <w:color w:val="auto"/>
        </w:rPr>
        <w:t>were</w:t>
      </w:r>
      <w:r w:rsidRPr="0003746A">
        <w:rPr>
          <w:color w:val="auto"/>
        </w:rPr>
        <w:t xml:space="preserve"> attended by 3,500 people and reached million</w:t>
      </w:r>
      <w:r>
        <w:rPr>
          <w:color w:val="auto"/>
        </w:rPr>
        <w:t xml:space="preserve">s more </w:t>
      </w:r>
      <w:r w:rsidRPr="0003746A">
        <w:rPr>
          <w:color w:val="auto"/>
        </w:rPr>
        <w:t>through radio and television</w:t>
      </w:r>
      <w:r>
        <w:rPr>
          <w:color w:val="auto"/>
        </w:rPr>
        <w:t xml:space="preserve"> coverage.</w:t>
      </w:r>
      <w:r w:rsidR="00E111CC">
        <w:rPr>
          <w:color w:val="auto"/>
        </w:rPr>
        <w:t xml:space="preserve"> </w:t>
      </w:r>
      <w:r>
        <w:rPr>
          <w:color w:val="auto"/>
        </w:rPr>
        <w:t>Australia continued to support the UPNG/ANU PNG Update, a</w:t>
      </w:r>
      <w:r w:rsidR="001F7282">
        <w:rPr>
          <w:color w:val="auto"/>
        </w:rPr>
        <w:t>n</w:t>
      </w:r>
      <w:r>
        <w:rPr>
          <w:color w:val="auto"/>
        </w:rPr>
        <w:t xml:space="preserve"> annual economics and public policy conference.</w:t>
      </w:r>
      <w:r w:rsidR="00E111CC">
        <w:rPr>
          <w:color w:val="auto"/>
        </w:rPr>
        <w:t xml:space="preserve"> </w:t>
      </w:r>
      <w:r>
        <w:rPr>
          <w:color w:val="auto"/>
        </w:rPr>
        <w:t xml:space="preserve">In </w:t>
      </w:r>
      <w:r w:rsidR="001F7282">
        <w:rPr>
          <w:color w:val="auto"/>
        </w:rPr>
        <w:t>2018-19</w:t>
      </w:r>
      <w:r>
        <w:rPr>
          <w:color w:val="auto"/>
        </w:rPr>
        <w:t xml:space="preserve">, </w:t>
      </w:r>
      <w:r w:rsidRPr="00C6008D">
        <w:rPr>
          <w:color w:val="auto"/>
        </w:rPr>
        <w:t xml:space="preserve">the last two of the five new buildings for Precinct institutions were opened </w:t>
      </w:r>
      <w:r w:rsidR="00C6008D" w:rsidRPr="00C6008D">
        <w:rPr>
          <w:color w:val="auto"/>
        </w:rPr>
        <w:t xml:space="preserve">- </w:t>
      </w:r>
      <w:r w:rsidRPr="00C6008D">
        <w:rPr>
          <w:color w:val="auto"/>
        </w:rPr>
        <w:t xml:space="preserve">UPNG’s School of Business and Public Policy </w:t>
      </w:r>
      <w:r w:rsidR="00781270" w:rsidRPr="00C6008D">
        <w:rPr>
          <w:color w:val="auto"/>
        </w:rPr>
        <w:t xml:space="preserve">(SBPP) </w:t>
      </w:r>
      <w:r w:rsidRPr="00C6008D">
        <w:rPr>
          <w:color w:val="auto"/>
        </w:rPr>
        <w:t>building and the PILAG library.</w:t>
      </w:r>
      <w:r w:rsidR="00E111CC" w:rsidRPr="00C6008D">
        <w:rPr>
          <w:color w:val="auto"/>
        </w:rPr>
        <w:t xml:space="preserve"> </w:t>
      </w:r>
      <w:r w:rsidRPr="00C6008D">
        <w:rPr>
          <w:color w:val="auto"/>
        </w:rPr>
        <w:t>These buildings provide vital, modern</w:t>
      </w:r>
      <w:r w:rsidRPr="0003746A">
        <w:rPr>
          <w:color w:val="auto"/>
        </w:rPr>
        <w:t xml:space="preserve"> infrastructure</w:t>
      </w:r>
      <w:r>
        <w:rPr>
          <w:color w:val="auto"/>
        </w:rPr>
        <w:t xml:space="preserve"> for </w:t>
      </w:r>
      <w:r w:rsidR="00D40C0F" w:rsidRPr="00161600">
        <w:rPr>
          <w:color w:val="auto"/>
        </w:rPr>
        <w:t>Papua New Guinea</w:t>
      </w:r>
      <w:r w:rsidR="00D40C0F">
        <w:rPr>
          <w:color w:val="auto"/>
        </w:rPr>
        <w:t xml:space="preserve"> </w:t>
      </w:r>
      <w:r>
        <w:rPr>
          <w:color w:val="auto"/>
        </w:rPr>
        <w:t xml:space="preserve">and </w:t>
      </w:r>
      <w:r w:rsidRPr="0003746A">
        <w:rPr>
          <w:color w:val="auto"/>
        </w:rPr>
        <w:t xml:space="preserve">enable </w:t>
      </w:r>
      <w:r>
        <w:rPr>
          <w:color w:val="auto"/>
        </w:rPr>
        <w:t xml:space="preserve">significant </w:t>
      </w:r>
      <w:r w:rsidRPr="0003746A">
        <w:rPr>
          <w:color w:val="auto"/>
        </w:rPr>
        <w:t xml:space="preserve">goodwill, demonstrated by the attendance of 13 </w:t>
      </w:r>
      <w:r w:rsidR="00D40C0F" w:rsidRPr="00161600">
        <w:rPr>
          <w:color w:val="auto"/>
        </w:rPr>
        <w:t>Papua New Guinea</w:t>
      </w:r>
      <w:r w:rsidR="00D40C0F">
        <w:rPr>
          <w:color w:val="auto"/>
        </w:rPr>
        <w:t xml:space="preserve">n </w:t>
      </w:r>
      <w:r w:rsidRPr="0003746A">
        <w:rPr>
          <w:color w:val="auto"/>
        </w:rPr>
        <w:t>Minister</w:t>
      </w:r>
      <w:r>
        <w:rPr>
          <w:color w:val="auto"/>
        </w:rPr>
        <w:t>s</w:t>
      </w:r>
      <w:r w:rsidRPr="0003746A">
        <w:rPr>
          <w:color w:val="auto"/>
        </w:rPr>
        <w:t xml:space="preserve"> and more than 200 leaders of civil and private sectors at </w:t>
      </w:r>
      <w:r>
        <w:rPr>
          <w:color w:val="auto"/>
        </w:rPr>
        <w:t xml:space="preserve">the SBPP </w:t>
      </w:r>
      <w:r w:rsidRPr="0003746A">
        <w:rPr>
          <w:color w:val="auto"/>
        </w:rPr>
        <w:t>launch</w:t>
      </w:r>
      <w:r>
        <w:rPr>
          <w:color w:val="auto"/>
        </w:rPr>
        <w:t xml:space="preserve"> during </w:t>
      </w:r>
      <w:r w:rsidR="00781270">
        <w:rPr>
          <w:color w:val="auto"/>
        </w:rPr>
        <w:t>APEC Leaders Week</w:t>
      </w:r>
      <w:r w:rsidRPr="0003746A">
        <w:rPr>
          <w:color w:val="auto"/>
        </w:rPr>
        <w:t>.</w:t>
      </w:r>
    </w:p>
    <w:p w14:paraId="57948412" w14:textId="24626AD9" w:rsidR="00C06C15" w:rsidRDefault="00161600" w:rsidP="00161600">
      <w:pPr>
        <w:spacing w:before="100"/>
        <w:rPr>
          <w:color w:val="auto"/>
        </w:rPr>
      </w:pPr>
      <w:r>
        <w:rPr>
          <w:color w:val="auto"/>
        </w:rPr>
        <w:t xml:space="preserve">The </w:t>
      </w:r>
      <w:r w:rsidRPr="00013D31">
        <w:rPr>
          <w:color w:val="auto"/>
        </w:rPr>
        <w:t xml:space="preserve">growing Papua New Guinea Australian Alumni </w:t>
      </w:r>
      <w:r w:rsidR="00D40C0F">
        <w:rPr>
          <w:color w:val="auto"/>
        </w:rPr>
        <w:t>Association</w:t>
      </w:r>
      <w:r w:rsidRPr="00013D31">
        <w:rPr>
          <w:color w:val="auto"/>
        </w:rPr>
        <w:t xml:space="preserve"> launched two new chapters</w:t>
      </w:r>
      <w:r>
        <w:rPr>
          <w:color w:val="auto"/>
        </w:rPr>
        <w:t>,</w:t>
      </w:r>
      <w:r w:rsidRPr="00013D31">
        <w:rPr>
          <w:color w:val="auto"/>
        </w:rPr>
        <w:t xml:space="preserve"> bring</w:t>
      </w:r>
      <w:r>
        <w:rPr>
          <w:color w:val="auto"/>
        </w:rPr>
        <w:t>ing</w:t>
      </w:r>
      <w:r w:rsidRPr="00013D31">
        <w:rPr>
          <w:color w:val="auto"/>
        </w:rPr>
        <w:t xml:space="preserve"> the tot</w:t>
      </w:r>
      <w:r w:rsidRPr="0003746A">
        <w:rPr>
          <w:color w:val="auto"/>
        </w:rPr>
        <w:t>al number of provincial chapters to nine</w:t>
      </w:r>
      <w:r>
        <w:rPr>
          <w:color w:val="auto"/>
        </w:rPr>
        <w:t>.</w:t>
      </w:r>
      <w:r w:rsidR="00E111CC">
        <w:rPr>
          <w:color w:val="auto"/>
        </w:rPr>
        <w:t xml:space="preserve"> </w:t>
      </w:r>
      <w:r>
        <w:rPr>
          <w:color w:val="auto"/>
        </w:rPr>
        <w:t>The Association also broadened its membership base to allow public servants trained through the Precinct.</w:t>
      </w:r>
      <w:r w:rsidR="00E111CC">
        <w:rPr>
          <w:color w:val="auto"/>
        </w:rPr>
        <w:t xml:space="preserve"> </w:t>
      </w:r>
      <w:r>
        <w:rPr>
          <w:color w:val="auto"/>
        </w:rPr>
        <w:t xml:space="preserve">Australia </w:t>
      </w:r>
      <w:r w:rsidRPr="0003746A">
        <w:rPr>
          <w:color w:val="auto"/>
        </w:rPr>
        <w:t>continue</w:t>
      </w:r>
      <w:r>
        <w:rPr>
          <w:color w:val="auto"/>
        </w:rPr>
        <w:t>s</w:t>
      </w:r>
      <w:r w:rsidRPr="0003746A">
        <w:rPr>
          <w:color w:val="auto"/>
        </w:rPr>
        <w:t xml:space="preserve"> to support the Association through networking, professional development and a small grants program</w:t>
      </w:r>
      <w:r>
        <w:rPr>
          <w:color w:val="auto"/>
        </w:rPr>
        <w:t>.</w:t>
      </w:r>
    </w:p>
    <w:p w14:paraId="6EA9D4AE" w14:textId="633521A1" w:rsidR="00FD4C3F" w:rsidRDefault="00FD4C3F" w:rsidP="00161600">
      <w:pPr>
        <w:spacing w:before="100"/>
        <w:rPr>
          <w:color w:val="auto"/>
        </w:rPr>
      </w:pPr>
    </w:p>
    <w:p w14:paraId="08581142" w14:textId="1909691F" w:rsidR="00FD4C3F" w:rsidRDefault="00FD4C3F" w:rsidP="00161600">
      <w:pPr>
        <w:spacing w:before="100"/>
        <w:rPr>
          <w:color w:val="auto"/>
        </w:rPr>
      </w:pPr>
    </w:p>
    <w:p w14:paraId="680C55DE" w14:textId="334A2D77" w:rsidR="00711DBD" w:rsidRDefault="00711DBD" w:rsidP="00711DBD">
      <w:pPr>
        <w:pStyle w:val="Heading2"/>
        <w:spacing w:before="360" w:line="300" w:lineRule="exact"/>
      </w:pPr>
      <w:r>
        <w:t>cross cutting objectives</w:t>
      </w:r>
    </w:p>
    <w:p w14:paraId="3C47112C" w14:textId="77777777" w:rsidR="00711DBD" w:rsidRPr="00100862" w:rsidRDefault="00711DBD" w:rsidP="00711DBD">
      <w:pPr>
        <w:rPr>
          <w:color w:val="auto"/>
          <w:lang w:val="en-AU"/>
        </w:rPr>
      </w:pPr>
      <w:r w:rsidRPr="00100862">
        <w:rPr>
          <w:rFonts w:asciiTheme="majorHAnsi" w:eastAsiaTheme="majorEastAsia" w:hAnsiTheme="majorHAnsi" w:cstheme="majorBidi"/>
          <w:caps/>
          <w:noProof/>
          <w:sz w:val="38"/>
          <w:szCs w:val="26"/>
          <w:lang w:val="en-AU" w:eastAsia="en-AU"/>
        </w:rPr>
        <w:drawing>
          <wp:inline distT="0" distB="0" distL="0" distR="0" wp14:anchorId="5AB6E8DB" wp14:editId="36100C0D">
            <wp:extent cx="1134000" cy="723600"/>
            <wp:effectExtent l="0" t="0" r="9525"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sidRPr="00100862">
        <w:rPr>
          <w:noProof/>
          <w:lang w:val="en-AU" w:eastAsia="en-AU"/>
        </w:rPr>
        <w:drawing>
          <wp:inline distT="0" distB="0" distL="0" distR="0" wp14:anchorId="20AB172E" wp14:editId="5EA50BFD">
            <wp:extent cx="608400" cy="608400"/>
            <wp:effectExtent l="0" t="0" r="1270" b="1270"/>
            <wp:docPr id="94" name="Picture 9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100862">
        <w:rPr>
          <w:noProof/>
          <w:lang w:val="en-AU" w:eastAsia="en-AU"/>
        </w:rPr>
        <w:drawing>
          <wp:inline distT="0" distB="0" distL="0" distR="0" wp14:anchorId="7CC9BF4D" wp14:editId="62BCD75E">
            <wp:extent cx="609600" cy="609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019F2EA8" wp14:editId="52CDA006">
            <wp:extent cx="609600" cy="609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3580DA7A" wp14:editId="2B4A4686">
            <wp:extent cx="609600" cy="6096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5B80521A" wp14:editId="64DA9DF6">
            <wp:extent cx="609600" cy="609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31EAE380" wp14:editId="1B266604">
            <wp:extent cx="609600" cy="609600"/>
            <wp:effectExtent l="0" t="0" r="0" b="0"/>
            <wp:docPr id="92" name="Picture 92"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DG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2B2469FE" wp14:editId="2F02F424">
            <wp:extent cx="609600" cy="609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1F5CCBC4" wp14:editId="4601EB01">
            <wp:extent cx="609600" cy="609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t xml:space="preserve"> </w:t>
      </w:r>
      <w:r w:rsidRPr="00100862">
        <w:rPr>
          <w:noProof/>
          <w:lang w:val="en-AU" w:eastAsia="en-AU"/>
        </w:rPr>
        <w:drawing>
          <wp:inline distT="0" distB="0" distL="0" distR="0" wp14:anchorId="52A1662B" wp14:editId="14D9738A">
            <wp:extent cx="609600" cy="609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00862">
        <w:rPr>
          <w:noProof/>
          <w:lang w:val="en-AU" w:eastAsia="en-AU"/>
        </w:rPr>
        <w:drawing>
          <wp:inline distT="0" distB="0" distL="0" distR="0" wp14:anchorId="75322888" wp14:editId="2049DA7A">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Pr="00100862">
        <w:rPr>
          <w:noProof/>
          <w:lang w:val="en-AU" w:eastAsia="en-AU"/>
        </w:rPr>
        <w:drawing>
          <wp:inline distT="0" distB="0" distL="0" distR="0" wp14:anchorId="4C4F318B" wp14:editId="152C7651">
            <wp:extent cx="608400" cy="608400"/>
            <wp:effectExtent l="0" t="0" r="127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p>
    <w:p w14:paraId="0D6A9191" w14:textId="77777777" w:rsidR="00711DBD" w:rsidRPr="00711DBD" w:rsidRDefault="00711DBD" w:rsidP="00711DBD">
      <w:pPr>
        <w:pStyle w:val="Heading3Numbered"/>
        <w:numPr>
          <w:ilvl w:val="0"/>
          <w:numId w:val="0"/>
        </w:numPr>
        <w:ind w:left="851" w:hanging="851"/>
        <w:rPr>
          <w:color w:val="auto"/>
        </w:rPr>
      </w:pPr>
      <w:r w:rsidRPr="00711DBD">
        <w:rPr>
          <w:color w:val="auto"/>
        </w:rPr>
        <w:t xml:space="preserve">Gender equality and women’s empowerment </w:t>
      </w:r>
    </w:p>
    <w:p w14:paraId="5F401D51" w14:textId="6717FBE8" w:rsidR="008477AB" w:rsidRDefault="008477AB" w:rsidP="008477AB">
      <w:pPr>
        <w:rPr>
          <w:color w:val="auto"/>
        </w:rPr>
      </w:pPr>
      <w:r w:rsidRPr="00551359">
        <w:rPr>
          <w:color w:val="auto"/>
        </w:rPr>
        <w:t xml:space="preserve">Gender inequality is a major social, political, and economic challenge for </w:t>
      </w:r>
      <w:r>
        <w:rPr>
          <w:color w:val="auto"/>
        </w:rPr>
        <w:t>Papua New Guinea</w:t>
      </w:r>
      <w:r w:rsidRPr="00551359">
        <w:rPr>
          <w:color w:val="auto"/>
        </w:rPr>
        <w:t>. The rates of family and sexual violence are among the highest in the world</w:t>
      </w:r>
      <w:r w:rsidRPr="00724535">
        <w:rPr>
          <w:color w:val="auto"/>
        </w:rPr>
        <w:t xml:space="preserve"> </w:t>
      </w:r>
      <w:r w:rsidRPr="00551359">
        <w:rPr>
          <w:color w:val="auto"/>
        </w:rPr>
        <w:t>and men outnumber women in paid employment outside of agriculture</w:t>
      </w:r>
      <w:r>
        <w:rPr>
          <w:color w:val="auto"/>
        </w:rPr>
        <w:t>. N</w:t>
      </w:r>
      <w:r w:rsidRPr="00551359">
        <w:rPr>
          <w:color w:val="auto"/>
        </w:rPr>
        <w:t>o women were elected in the 2017 national election</w:t>
      </w:r>
      <w:r>
        <w:rPr>
          <w:color w:val="auto"/>
        </w:rPr>
        <w:t>,</w:t>
      </w:r>
      <w:r w:rsidRPr="00551359">
        <w:rPr>
          <w:color w:val="auto"/>
        </w:rPr>
        <w:t xml:space="preserve"> despite the </w:t>
      </w:r>
      <w:r>
        <w:rPr>
          <w:color w:val="auto"/>
        </w:rPr>
        <w:t xml:space="preserve">highest </w:t>
      </w:r>
      <w:r w:rsidRPr="00551359">
        <w:rPr>
          <w:color w:val="auto"/>
        </w:rPr>
        <w:t>number of women</w:t>
      </w:r>
      <w:r>
        <w:rPr>
          <w:color w:val="auto"/>
        </w:rPr>
        <w:t xml:space="preserve"> ever</w:t>
      </w:r>
      <w:r w:rsidRPr="00551359">
        <w:rPr>
          <w:color w:val="auto"/>
        </w:rPr>
        <w:t xml:space="preserve"> contesting</w:t>
      </w:r>
      <w:r>
        <w:rPr>
          <w:color w:val="auto"/>
        </w:rPr>
        <w:t xml:space="preserve"> a Papua New Guinean national election</w:t>
      </w:r>
      <w:r w:rsidRPr="00551359">
        <w:rPr>
          <w:color w:val="auto"/>
        </w:rPr>
        <w:t xml:space="preserve">. </w:t>
      </w:r>
      <w:r>
        <w:rPr>
          <w:color w:val="auto"/>
        </w:rPr>
        <w:t>Gender equality is a cross-cutting priority and is addressed across Australia’s development, economic, diplomatic, and public diplomacy engagements with Papua New Guinea.</w:t>
      </w:r>
    </w:p>
    <w:p w14:paraId="39B1916E" w14:textId="6632091E" w:rsidR="008477AB" w:rsidRPr="00551359" w:rsidRDefault="008477AB" w:rsidP="008477AB">
      <w:pPr>
        <w:rPr>
          <w:color w:val="auto"/>
        </w:rPr>
      </w:pPr>
      <w:r w:rsidRPr="00DE6985">
        <w:rPr>
          <w:color w:val="auto"/>
        </w:rPr>
        <w:t>Mainstreaming gender equalit</w:t>
      </w:r>
      <w:r>
        <w:rPr>
          <w:color w:val="auto"/>
        </w:rPr>
        <w:t>y and women’s empowerment</w:t>
      </w:r>
      <w:r w:rsidRPr="00DE6985">
        <w:rPr>
          <w:color w:val="auto"/>
        </w:rPr>
        <w:t xml:space="preserve"> ac</w:t>
      </w:r>
      <w:r>
        <w:rPr>
          <w:color w:val="auto"/>
        </w:rPr>
        <w:t xml:space="preserve">ross and within Australia’s </w:t>
      </w:r>
      <w:r w:rsidRPr="00DE6985">
        <w:rPr>
          <w:color w:val="auto"/>
        </w:rPr>
        <w:t xml:space="preserve">investments in Papua New Guinea remains a strategic priority for the </w:t>
      </w:r>
      <w:r w:rsidR="00773A2A">
        <w:rPr>
          <w:color w:val="auto"/>
        </w:rPr>
        <w:t xml:space="preserve">development program. </w:t>
      </w:r>
      <w:r w:rsidRPr="00DE6985">
        <w:rPr>
          <w:color w:val="auto"/>
        </w:rPr>
        <w:t>In 2</w:t>
      </w:r>
      <w:r w:rsidR="00773A2A">
        <w:rPr>
          <w:color w:val="auto"/>
        </w:rPr>
        <w:t>018, over 90 per cent</w:t>
      </w:r>
      <w:r>
        <w:rPr>
          <w:color w:val="auto"/>
        </w:rPr>
        <w:t xml:space="preserve"> of </w:t>
      </w:r>
      <w:r>
        <w:rPr>
          <w:color w:val="auto"/>
        </w:rPr>
        <w:lastRenderedPageBreak/>
        <w:t xml:space="preserve">Australian </w:t>
      </w:r>
      <w:r w:rsidRPr="00DE6985">
        <w:rPr>
          <w:color w:val="auto"/>
        </w:rPr>
        <w:t>investments in Papua New Guinea, regardless of their objectives, effectively addressed gender issues in their implementation</w:t>
      </w:r>
      <w:r>
        <w:rPr>
          <w:color w:val="auto"/>
        </w:rPr>
        <w:t xml:space="preserve">. </w:t>
      </w:r>
      <w:r w:rsidRPr="00DE6985">
        <w:rPr>
          <w:color w:val="auto"/>
        </w:rPr>
        <w:t xml:space="preserve">The </w:t>
      </w:r>
      <w:r w:rsidR="00773A2A">
        <w:rPr>
          <w:color w:val="auto"/>
        </w:rPr>
        <w:t>Australian High Commission’</w:t>
      </w:r>
      <w:r w:rsidRPr="00DE6985">
        <w:rPr>
          <w:color w:val="auto"/>
        </w:rPr>
        <w:t>s annual ‘Gender Action Plan’ (2015-2020) brings together efforts across all Australian investments to address Gender Equality and Women’s Empowe</w:t>
      </w:r>
      <w:r w:rsidR="00773A2A">
        <w:rPr>
          <w:color w:val="auto"/>
        </w:rPr>
        <w:t>rment. In 2018, multiple sectoral teams</w:t>
      </w:r>
      <w:r w:rsidRPr="00DE6985">
        <w:rPr>
          <w:color w:val="auto"/>
        </w:rPr>
        <w:t xml:space="preserve"> engaged Gender Specialist Advisors to increase the</w:t>
      </w:r>
      <w:r>
        <w:rPr>
          <w:color w:val="auto"/>
        </w:rPr>
        <w:t>ir program’s integration of gender equality</w:t>
      </w:r>
      <w:r w:rsidRPr="00DE6985">
        <w:rPr>
          <w:color w:val="auto"/>
        </w:rPr>
        <w:t xml:space="preserve"> into current programs or new de</w:t>
      </w:r>
      <w:r>
        <w:rPr>
          <w:color w:val="auto"/>
        </w:rPr>
        <w:t>signs. A revitalised Gender Focal</w:t>
      </w:r>
      <w:r w:rsidRPr="00DE6985">
        <w:rPr>
          <w:color w:val="auto"/>
        </w:rPr>
        <w:t xml:space="preserve"> Point network, comprised of representatives from each sector</w:t>
      </w:r>
      <w:r w:rsidR="00773A2A">
        <w:rPr>
          <w:color w:val="auto"/>
        </w:rPr>
        <w:t>al team</w:t>
      </w:r>
      <w:r w:rsidRPr="00DE6985">
        <w:rPr>
          <w:color w:val="auto"/>
        </w:rPr>
        <w:t xml:space="preserve">, met regularly to share </w:t>
      </w:r>
      <w:r w:rsidR="00661293">
        <w:rPr>
          <w:color w:val="auto"/>
        </w:rPr>
        <w:t>experiences</w:t>
      </w:r>
      <w:r w:rsidRPr="00DE6985">
        <w:rPr>
          <w:color w:val="auto"/>
        </w:rPr>
        <w:t xml:space="preserve"> to support</w:t>
      </w:r>
      <w:r>
        <w:rPr>
          <w:color w:val="auto"/>
        </w:rPr>
        <w:t xml:space="preserve"> cross-sectorial collaboration. </w:t>
      </w:r>
      <w:r w:rsidRPr="00DE6985">
        <w:rPr>
          <w:color w:val="auto"/>
        </w:rPr>
        <w:t>Cross-sectoral work</w:t>
      </w:r>
      <w:r>
        <w:rPr>
          <w:color w:val="auto"/>
        </w:rPr>
        <w:t xml:space="preserve">, including </w:t>
      </w:r>
      <w:r w:rsidR="00773A2A">
        <w:rPr>
          <w:color w:val="auto"/>
        </w:rPr>
        <w:t xml:space="preserve">with </w:t>
      </w:r>
      <w:r w:rsidRPr="00DE6985">
        <w:rPr>
          <w:color w:val="auto"/>
        </w:rPr>
        <w:t>agencies</w:t>
      </w:r>
      <w:r w:rsidR="00773A2A">
        <w:rPr>
          <w:color w:val="auto"/>
        </w:rPr>
        <w:t xml:space="preserve"> other than DFAT delivering parts of the development program</w:t>
      </w:r>
      <w:r>
        <w:rPr>
          <w:color w:val="auto"/>
        </w:rPr>
        <w:t>,</w:t>
      </w:r>
      <w:r w:rsidRPr="00DE6985">
        <w:rPr>
          <w:color w:val="auto"/>
        </w:rPr>
        <w:t xml:space="preserve"> increased in 2018. </w:t>
      </w:r>
      <w:r>
        <w:rPr>
          <w:color w:val="auto"/>
        </w:rPr>
        <w:t xml:space="preserve">For example, </w:t>
      </w:r>
      <w:r w:rsidRPr="00DE6985">
        <w:rPr>
          <w:color w:val="auto"/>
        </w:rPr>
        <w:t xml:space="preserve">ACIAR co-funded the second phase of a </w:t>
      </w:r>
      <w:r>
        <w:rPr>
          <w:color w:val="auto"/>
        </w:rPr>
        <w:t xml:space="preserve">the Family Farm Teams project and </w:t>
      </w:r>
      <w:r w:rsidRPr="00DE6985">
        <w:rPr>
          <w:color w:val="auto"/>
        </w:rPr>
        <w:t>incorporated the learnings around family and sexual violence prevention and women’s leadership and decision-making into their agricultural and economic development research projects</w:t>
      </w:r>
      <w:r w:rsidRPr="00551359">
        <w:rPr>
          <w:color w:val="auto"/>
        </w:rPr>
        <w:t>.</w:t>
      </w:r>
    </w:p>
    <w:p w14:paraId="6C24FD1A" w14:textId="34170454" w:rsidR="008477AB" w:rsidRDefault="008477AB" w:rsidP="008477AB">
      <w:pPr>
        <w:rPr>
          <w:color w:val="auto"/>
        </w:rPr>
      </w:pPr>
      <w:r w:rsidRPr="00551359">
        <w:rPr>
          <w:color w:val="auto"/>
        </w:rPr>
        <w:t xml:space="preserve">Australia’s flagship regional gender program, </w:t>
      </w:r>
      <w:r w:rsidRPr="006324E8">
        <w:rPr>
          <w:color w:val="auto"/>
        </w:rPr>
        <w:t>Pacific Women Shaping Pacific Development</w:t>
      </w:r>
      <w:r w:rsidRPr="00077842">
        <w:rPr>
          <w:i/>
          <w:color w:val="auto"/>
        </w:rPr>
        <w:t xml:space="preserve"> (</w:t>
      </w:r>
      <w:r w:rsidRPr="00551359">
        <w:rPr>
          <w:i/>
          <w:color w:val="auto"/>
        </w:rPr>
        <w:t>Pacific Women</w:t>
      </w:r>
      <w:r w:rsidRPr="00077842">
        <w:rPr>
          <w:i/>
          <w:color w:val="auto"/>
        </w:rPr>
        <w:t>)</w:t>
      </w:r>
      <w:r>
        <w:rPr>
          <w:color w:val="auto"/>
        </w:rPr>
        <w:t xml:space="preserve"> </w:t>
      </w:r>
      <w:r w:rsidRPr="00551359">
        <w:rPr>
          <w:color w:val="auto"/>
        </w:rPr>
        <w:t xml:space="preserve">supports </w:t>
      </w:r>
      <w:r>
        <w:rPr>
          <w:color w:val="auto"/>
        </w:rPr>
        <w:t>four outcomes: supporting increased</w:t>
      </w:r>
      <w:r w:rsidRPr="00551359">
        <w:rPr>
          <w:color w:val="auto"/>
        </w:rPr>
        <w:t xml:space="preserve"> leadership</w:t>
      </w:r>
      <w:r>
        <w:rPr>
          <w:color w:val="auto"/>
        </w:rPr>
        <w:t xml:space="preserve"> and influence</w:t>
      </w:r>
      <w:r w:rsidRPr="00551359">
        <w:rPr>
          <w:color w:val="auto"/>
        </w:rPr>
        <w:t>, increas</w:t>
      </w:r>
      <w:r>
        <w:rPr>
          <w:color w:val="auto"/>
        </w:rPr>
        <w:t>ing</w:t>
      </w:r>
      <w:r w:rsidRPr="00551359">
        <w:rPr>
          <w:color w:val="auto"/>
        </w:rPr>
        <w:t xml:space="preserve"> economic opportunities for women, </w:t>
      </w:r>
      <w:r>
        <w:rPr>
          <w:color w:val="auto"/>
        </w:rPr>
        <w:t>strengthening</w:t>
      </w:r>
      <w:r w:rsidRPr="00551359">
        <w:rPr>
          <w:color w:val="auto"/>
        </w:rPr>
        <w:t xml:space="preserve"> violence</w:t>
      </w:r>
      <w:r>
        <w:rPr>
          <w:color w:val="auto"/>
        </w:rPr>
        <w:t xml:space="preserve"> prevention and support services, and enhanced knowledge and learning.</w:t>
      </w:r>
      <w:r w:rsidR="00E111CC">
        <w:rPr>
          <w:color w:val="auto"/>
        </w:rPr>
        <w:t xml:space="preserve"> </w:t>
      </w:r>
      <w:r>
        <w:rPr>
          <w:color w:val="auto"/>
        </w:rPr>
        <w:t>In 2018-19,</w:t>
      </w:r>
      <w:r w:rsidRPr="00551359">
        <w:rPr>
          <w:color w:val="auto"/>
        </w:rPr>
        <w:t xml:space="preserve"> </w:t>
      </w:r>
      <w:r w:rsidRPr="00773A2A">
        <w:rPr>
          <w:i/>
          <w:color w:val="auto"/>
        </w:rPr>
        <w:t>Pacific Women</w:t>
      </w:r>
      <w:r>
        <w:rPr>
          <w:color w:val="auto"/>
        </w:rPr>
        <w:t xml:space="preserve"> implemented 30 projects in </w:t>
      </w:r>
      <w:r w:rsidR="004B25E3" w:rsidRPr="007F51C6">
        <w:rPr>
          <w:color w:val="auto"/>
        </w:rPr>
        <w:t>Papua New Guinea</w:t>
      </w:r>
      <w:r w:rsidR="004B25E3">
        <w:rPr>
          <w:color w:val="auto"/>
        </w:rPr>
        <w:t xml:space="preserve"> </w:t>
      </w:r>
      <w:r>
        <w:rPr>
          <w:color w:val="auto"/>
        </w:rPr>
        <w:t>to contr</w:t>
      </w:r>
      <w:r w:rsidR="00773A2A">
        <w:rPr>
          <w:color w:val="auto"/>
        </w:rPr>
        <w:t>ibute to the four outcomes.</w:t>
      </w:r>
    </w:p>
    <w:p w14:paraId="04D0CE7A" w14:textId="13E87E56" w:rsidR="008477AB" w:rsidRPr="00551359" w:rsidRDefault="008477AB" w:rsidP="008477AB">
      <w:pPr>
        <w:rPr>
          <w:color w:val="auto"/>
        </w:rPr>
      </w:pPr>
      <w:r w:rsidRPr="00551359">
        <w:rPr>
          <w:i/>
          <w:color w:val="auto"/>
        </w:rPr>
        <w:t xml:space="preserve">Pacific Women’s </w:t>
      </w:r>
      <w:r>
        <w:rPr>
          <w:color w:val="auto"/>
        </w:rPr>
        <w:t>Papua New Guinea</w:t>
      </w:r>
      <w:r w:rsidRPr="00551359">
        <w:rPr>
          <w:color w:val="auto"/>
        </w:rPr>
        <w:t xml:space="preserve"> </w:t>
      </w:r>
      <w:r>
        <w:rPr>
          <w:color w:val="auto"/>
        </w:rPr>
        <w:t>program</w:t>
      </w:r>
      <w:r w:rsidRPr="00551359">
        <w:rPr>
          <w:color w:val="auto"/>
        </w:rPr>
        <w:t xml:space="preserve"> is consistent with the Government of </w:t>
      </w:r>
      <w:r>
        <w:rPr>
          <w:color w:val="auto"/>
        </w:rPr>
        <w:t>Papua New Guinea</w:t>
      </w:r>
      <w:r w:rsidRPr="00551359">
        <w:rPr>
          <w:color w:val="auto"/>
        </w:rPr>
        <w:t xml:space="preserve">'s gender equality policies and priorities, which focus on promoting women's rights and gender mainstreaming across development planning and </w:t>
      </w:r>
      <w:r w:rsidR="00661293" w:rsidRPr="00551359">
        <w:rPr>
          <w:color w:val="auto"/>
        </w:rPr>
        <w:t>decision-making</w:t>
      </w:r>
      <w:r>
        <w:rPr>
          <w:color w:val="auto"/>
        </w:rPr>
        <w:t>, and with DFAT’s Gender Equality and Women’s Empowerment Strategy</w:t>
      </w:r>
      <w:r w:rsidRPr="00551359">
        <w:rPr>
          <w:color w:val="auto"/>
        </w:rPr>
        <w:t>.</w:t>
      </w:r>
      <w:r>
        <w:rPr>
          <w:color w:val="auto"/>
        </w:rPr>
        <w:t xml:space="preserve"> </w:t>
      </w:r>
    </w:p>
    <w:p w14:paraId="598DE414" w14:textId="2988E231" w:rsidR="008477AB" w:rsidRDefault="008477AB" w:rsidP="008477AB">
      <w:pPr>
        <w:rPr>
          <w:color w:val="auto"/>
        </w:rPr>
      </w:pPr>
      <w:r>
        <w:rPr>
          <w:color w:val="auto"/>
        </w:rPr>
        <w:t>Under the leadership outcome</w:t>
      </w:r>
      <w:r w:rsidRPr="00A41B8E">
        <w:rPr>
          <w:color w:val="auto"/>
        </w:rPr>
        <w:t>,</w:t>
      </w:r>
      <w:r>
        <w:rPr>
          <w:color w:val="auto"/>
        </w:rPr>
        <w:t xml:space="preserve"> projects implemented by </w:t>
      </w:r>
      <w:r w:rsidRPr="00BF0BCC">
        <w:rPr>
          <w:i/>
          <w:color w:val="auto"/>
        </w:rPr>
        <w:t>Pacific Women</w:t>
      </w:r>
      <w:r>
        <w:rPr>
          <w:i/>
          <w:color w:val="auto"/>
        </w:rPr>
        <w:t xml:space="preserve"> </w:t>
      </w:r>
      <w:r>
        <w:rPr>
          <w:color w:val="auto"/>
        </w:rPr>
        <w:t>have enabled more women and girls to take on leadership roles and influence decision making.</w:t>
      </w:r>
      <w:r w:rsidR="00E111CC">
        <w:rPr>
          <w:color w:val="auto"/>
        </w:rPr>
        <w:t xml:space="preserve"> </w:t>
      </w:r>
      <w:r>
        <w:rPr>
          <w:color w:val="auto"/>
        </w:rPr>
        <w:t>For example, through the Safe Cities project, w</w:t>
      </w:r>
      <w:r w:rsidRPr="00BF0BCC">
        <w:rPr>
          <w:color w:val="auto"/>
        </w:rPr>
        <w:t>omen now hold 83 per cent of executive positions in the vendor associations in the three</w:t>
      </w:r>
      <w:r>
        <w:rPr>
          <w:color w:val="auto"/>
        </w:rPr>
        <w:t xml:space="preserve"> major</w:t>
      </w:r>
      <w:r w:rsidRPr="00BF0BCC">
        <w:rPr>
          <w:color w:val="auto"/>
        </w:rPr>
        <w:t xml:space="preserve"> Port Moresby markets</w:t>
      </w:r>
      <w:r>
        <w:rPr>
          <w:color w:val="auto"/>
        </w:rPr>
        <w:t>.</w:t>
      </w:r>
      <w:r w:rsidRPr="00BF0BCC">
        <w:rPr>
          <w:color w:val="auto"/>
        </w:rPr>
        <w:t xml:space="preserve"> </w:t>
      </w:r>
      <w:r>
        <w:rPr>
          <w:color w:val="auto"/>
        </w:rPr>
        <w:t>Through the Women in Mining project, t</w:t>
      </w:r>
      <w:r w:rsidRPr="00BF0BCC">
        <w:rPr>
          <w:color w:val="auto"/>
        </w:rPr>
        <w:t>he Frieda River Limited</w:t>
      </w:r>
      <w:r>
        <w:rPr>
          <w:color w:val="auto"/>
        </w:rPr>
        <w:t xml:space="preserve"> Community Leaders Forum </w:t>
      </w:r>
      <w:r w:rsidRPr="00BF0BCC">
        <w:rPr>
          <w:color w:val="auto"/>
        </w:rPr>
        <w:t>agreed that women representatives would si</w:t>
      </w:r>
      <w:r>
        <w:rPr>
          <w:color w:val="auto"/>
        </w:rPr>
        <w:t xml:space="preserve">t on the three clan sub-committees that will represent communities in </w:t>
      </w:r>
      <w:r w:rsidRPr="00BF0BCC">
        <w:rPr>
          <w:color w:val="auto"/>
        </w:rPr>
        <w:t>mine agreement-making processes.</w:t>
      </w:r>
      <w:r>
        <w:rPr>
          <w:color w:val="auto"/>
        </w:rPr>
        <w:t xml:space="preserve"> </w:t>
      </w:r>
      <w:r w:rsidRPr="00423A06">
        <w:rPr>
          <w:color w:val="auto"/>
        </w:rPr>
        <w:t>The Wome</w:t>
      </w:r>
      <w:r>
        <w:rPr>
          <w:color w:val="auto"/>
        </w:rPr>
        <w:t xml:space="preserve">n in Leadership Support project </w:t>
      </w:r>
      <w:r w:rsidRPr="00423A06">
        <w:rPr>
          <w:color w:val="auto"/>
        </w:rPr>
        <w:t>trained 143 women candidates intending to contest local le</w:t>
      </w:r>
      <w:r>
        <w:rPr>
          <w:color w:val="auto"/>
        </w:rPr>
        <w:t>vel governm</w:t>
      </w:r>
      <w:r w:rsidR="00773A2A">
        <w:rPr>
          <w:color w:val="auto"/>
        </w:rPr>
        <w:t>ent elections to help them develop</w:t>
      </w:r>
      <w:r>
        <w:rPr>
          <w:color w:val="auto"/>
        </w:rPr>
        <w:t xml:space="preserve"> competitive election campaigns.</w:t>
      </w:r>
    </w:p>
    <w:p w14:paraId="035A2E92" w14:textId="77777777" w:rsidR="00FD4C3F" w:rsidRDefault="00FD4C3F" w:rsidP="008477AB">
      <w:pPr>
        <w:rPr>
          <w:color w:val="auto"/>
        </w:rPr>
      </w:pPr>
    </w:p>
    <w:p w14:paraId="3373B13A" w14:textId="657A89AE" w:rsidR="008477AB" w:rsidRDefault="008477AB" w:rsidP="008477AB">
      <w:pPr>
        <w:rPr>
          <w:color w:val="auto"/>
        </w:rPr>
      </w:pPr>
      <w:r w:rsidRPr="00423A06">
        <w:rPr>
          <w:color w:val="auto"/>
        </w:rPr>
        <w:t xml:space="preserve">Training, experience and networking </w:t>
      </w:r>
      <w:r w:rsidR="00773A2A">
        <w:rPr>
          <w:color w:val="auto"/>
        </w:rPr>
        <w:t>facilitated by Australia has</w:t>
      </w:r>
      <w:r w:rsidRPr="00423A06">
        <w:rPr>
          <w:color w:val="auto"/>
        </w:rPr>
        <w:t xml:space="preserve"> increased the confidence and leadership skills of young women in Bougainville. The Young Women’s Associations have been incorporated in the executive and district levels of the Bougainville Women’s Federation and one young woman was elected to the board. In 2018, 36 young women took up formal leadership positions in their churches and wards and in the health, tourism and education sectors. Business Coalition for Women member companies have supported 100 women to gain a Certificate IV Leadership and Management. By the end of 2017, over 70 per cent of graduates had increased their responsibilities at work or had been promoted.</w:t>
      </w:r>
    </w:p>
    <w:p w14:paraId="36AD494F" w14:textId="389447B4" w:rsidR="008477AB" w:rsidRDefault="008477AB" w:rsidP="008477AB">
      <w:pPr>
        <w:rPr>
          <w:color w:val="auto"/>
        </w:rPr>
      </w:pPr>
      <w:r w:rsidRPr="006665FB">
        <w:rPr>
          <w:color w:val="auto"/>
        </w:rPr>
        <w:t xml:space="preserve">Under the economic opportunities outcome, </w:t>
      </w:r>
      <w:r w:rsidR="00773A2A">
        <w:rPr>
          <w:color w:val="auto"/>
        </w:rPr>
        <w:t xml:space="preserve">Australian-funded </w:t>
      </w:r>
      <w:r w:rsidRPr="006665FB">
        <w:rPr>
          <w:color w:val="auto"/>
        </w:rPr>
        <w:t>projects have increased women’s financial literacy and business skills, and helped them to open bank accounts and access loans. Almost 1,300 women have accessed information and services to increase their financial and business skills literacy and to improve their family budgeting, savings and access to credit. Women are growing their businesses through the training and networks of the Women’s Business Resource Centre</w:t>
      </w:r>
      <w:r>
        <w:rPr>
          <w:color w:val="auto"/>
        </w:rPr>
        <w:t>,</w:t>
      </w:r>
      <w:r w:rsidRPr="006665FB">
        <w:rPr>
          <w:color w:val="auto"/>
        </w:rPr>
        <w:t xml:space="preserve"> and young women in Bougainville have set up new enterprises to support their families and their new associations. Public and private sector partners have established policies, practices and programs that enable women's economic empowerment and promote safe working conditions for women. The Business Coalition for Women’s Gender Smart Safety Resources</w:t>
      </w:r>
      <w:r>
        <w:rPr>
          <w:color w:val="auto"/>
        </w:rPr>
        <w:t>, and their workplace policies to support survivors of family and sexual violence,</w:t>
      </w:r>
      <w:r w:rsidRPr="006665FB">
        <w:rPr>
          <w:color w:val="auto"/>
        </w:rPr>
        <w:t xml:space="preserve"> are making working conditions safer </w:t>
      </w:r>
      <w:r>
        <w:rPr>
          <w:color w:val="auto"/>
        </w:rPr>
        <w:t xml:space="preserve">and more supportive </w:t>
      </w:r>
      <w:r w:rsidRPr="006665FB">
        <w:rPr>
          <w:color w:val="auto"/>
        </w:rPr>
        <w:t xml:space="preserve">for women. </w:t>
      </w:r>
    </w:p>
    <w:p w14:paraId="30E2243B" w14:textId="5756A369" w:rsidR="008477AB" w:rsidRPr="00551359" w:rsidRDefault="008477AB" w:rsidP="008477AB">
      <w:pPr>
        <w:rPr>
          <w:color w:val="auto"/>
        </w:rPr>
      </w:pPr>
      <w:r w:rsidRPr="00551359">
        <w:rPr>
          <w:color w:val="auto"/>
        </w:rPr>
        <w:t xml:space="preserve">There continues to be good progress </w:t>
      </w:r>
      <w:r>
        <w:rPr>
          <w:color w:val="auto"/>
        </w:rPr>
        <w:t>under the strengthening violence</w:t>
      </w:r>
      <w:r w:rsidRPr="00551359">
        <w:rPr>
          <w:color w:val="auto"/>
        </w:rPr>
        <w:t xml:space="preserve"> prevention </w:t>
      </w:r>
      <w:r>
        <w:rPr>
          <w:color w:val="auto"/>
        </w:rPr>
        <w:t xml:space="preserve">and support services outcome. </w:t>
      </w:r>
      <w:r w:rsidRPr="00DE6985">
        <w:rPr>
          <w:color w:val="auto"/>
        </w:rPr>
        <w:t>Women, girls, men, boys and communities are acting to address violence against women</w:t>
      </w:r>
      <w:r w:rsidR="00E15DF3">
        <w:rPr>
          <w:color w:val="auto"/>
        </w:rPr>
        <w:t xml:space="preserve"> facilitated through </w:t>
      </w:r>
      <w:r w:rsidR="00661293">
        <w:rPr>
          <w:color w:val="auto"/>
        </w:rPr>
        <w:t>Australian</w:t>
      </w:r>
      <w:r w:rsidR="00E15DF3">
        <w:rPr>
          <w:color w:val="auto"/>
        </w:rPr>
        <w:t>-funded activities</w:t>
      </w:r>
      <w:r w:rsidRPr="00DE6985">
        <w:rPr>
          <w:color w:val="auto"/>
        </w:rPr>
        <w:t>. An</w:t>
      </w:r>
      <w:r w:rsidRPr="002B5288">
        <w:rPr>
          <w:color w:val="auto"/>
        </w:rPr>
        <w:t xml:space="preserve"> evaluation of three years of the work of the Gender </w:t>
      </w:r>
      <w:r w:rsidRPr="002B5288">
        <w:rPr>
          <w:color w:val="auto"/>
        </w:rPr>
        <w:lastRenderedPageBreak/>
        <w:t xml:space="preserve">Justice and Healing project identified evidence of important positive changes in several communities in </w:t>
      </w:r>
      <w:r w:rsidRPr="00DE6985">
        <w:rPr>
          <w:color w:val="auto"/>
        </w:rPr>
        <w:t>the</w:t>
      </w:r>
      <w:r w:rsidRPr="002B5288">
        <w:rPr>
          <w:color w:val="auto"/>
        </w:rPr>
        <w:t xml:space="preserve"> districts </w:t>
      </w:r>
      <w:r w:rsidRPr="00DE6985">
        <w:rPr>
          <w:color w:val="auto"/>
        </w:rPr>
        <w:t xml:space="preserve">of Bana, Siwai, Buin, Kieta, </w:t>
      </w:r>
      <w:r>
        <w:rPr>
          <w:color w:val="auto"/>
        </w:rPr>
        <w:t xml:space="preserve">Selau and Haku </w:t>
      </w:r>
      <w:r w:rsidRPr="002B5288">
        <w:rPr>
          <w:color w:val="auto"/>
        </w:rPr>
        <w:t xml:space="preserve">in Bougainville. In two wards of Bana district, these changes are profound. There have been no sorcery accusation-related killings since 2015 and early intervention by women human rights defenders and male advocates ensured that seven people accused of sorcery were protected from violence and reconciled with their communities. </w:t>
      </w:r>
      <w:r w:rsidR="00F72A73">
        <w:rPr>
          <w:color w:val="auto"/>
        </w:rPr>
        <w:t>Domestic violence</w:t>
      </w:r>
      <w:r w:rsidRPr="002B5288">
        <w:rPr>
          <w:color w:val="auto"/>
        </w:rPr>
        <w:t xml:space="preserve">, and child abuse and neglect are now less frequent. There has been a reduction in teenage pregnancies and marriages and more couples are sharing childcare and household responsibilities. </w:t>
      </w:r>
    </w:p>
    <w:p w14:paraId="3887D010" w14:textId="547FB78D" w:rsidR="008477AB" w:rsidRDefault="008477AB" w:rsidP="008477AB">
      <w:pPr>
        <w:rPr>
          <w:color w:val="auto"/>
        </w:rPr>
      </w:pPr>
      <w:r w:rsidRPr="00DE6985">
        <w:rPr>
          <w:color w:val="auto"/>
        </w:rPr>
        <w:t xml:space="preserve">Quality services continue to expand. Fourteen </w:t>
      </w:r>
      <w:r w:rsidR="00E15DF3">
        <w:rPr>
          <w:color w:val="auto"/>
        </w:rPr>
        <w:t xml:space="preserve">Australian–funded </w:t>
      </w:r>
      <w:r w:rsidRPr="00DE6985">
        <w:rPr>
          <w:color w:val="auto"/>
        </w:rPr>
        <w:t>projects contributed to improving services for survivors of violence. A greater number of women and girls accessed support services with 6,498 women and girls accessing services in 2018 compare</w:t>
      </w:r>
      <w:r w:rsidR="006E6FA2">
        <w:rPr>
          <w:color w:val="auto"/>
        </w:rPr>
        <w:t xml:space="preserve">d with 994 new clients </w:t>
      </w:r>
      <w:r w:rsidRPr="00DE6985">
        <w:rPr>
          <w:color w:val="auto"/>
        </w:rPr>
        <w:t>the year before</w:t>
      </w:r>
      <w:r w:rsidRPr="00C6008D">
        <w:rPr>
          <w:color w:val="auto"/>
        </w:rPr>
        <w:t xml:space="preserve">. The prioritisation of </w:t>
      </w:r>
      <w:r w:rsidR="00C6008D" w:rsidRPr="00C6008D">
        <w:rPr>
          <w:color w:val="auto"/>
        </w:rPr>
        <w:t xml:space="preserve">Australian </w:t>
      </w:r>
      <w:r w:rsidRPr="00C6008D">
        <w:rPr>
          <w:color w:val="auto"/>
        </w:rPr>
        <w:t xml:space="preserve">emergency services for women and children in response to the Highlands earthquakes in 2018 ensured that 5,303 women and girls had access to urgent health, psychosocial and safety services and reproductive health and dignity kits. </w:t>
      </w:r>
      <w:r w:rsidR="00F07924">
        <w:rPr>
          <w:color w:val="auto"/>
        </w:rPr>
        <w:t>Eleven</w:t>
      </w:r>
      <w:r w:rsidR="005A405F" w:rsidRPr="005A405F">
        <w:rPr>
          <w:color w:val="auto"/>
        </w:rPr>
        <w:t xml:space="preserve"> companies have subscribed to the Bel Isi PNG initiative, a public-private partnership between the Australian Government, Government of </w:t>
      </w:r>
      <w:r w:rsidR="005A405F">
        <w:rPr>
          <w:color w:val="auto"/>
        </w:rPr>
        <w:t>Papua New Guinea</w:t>
      </w:r>
      <w:r w:rsidR="005A405F" w:rsidRPr="005A405F">
        <w:rPr>
          <w:color w:val="auto"/>
        </w:rPr>
        <w:t xml:space="preserve">, and the private sector. The program provides members of the public </w:t>
      </w:r>
      <w:r w:rsidR="00696EBA">
        <w:rPr>
          <w:color w:val="auto"/>
        </w:rPr>
        <w:t xml:space="preserve">with </w:t>
      </w:r>
      <w:r w:rsidR="005A405F" w:rsidRPr="005A405F">
        <w:rPr>
          <w:color w:val="auto"/>
        </w:rPr>
        <w:t xml:space="preserve">a new case management service in Port Moresby and access to a new safe house (on referral basis), both managed by Femili PNG. Employees of subscribing companies have priority access to the safe house, though to date, over 75 </w:t>
      </w:r>
      <w:r w:rsidR="00696EBA">
        <w:rPr>
          <w:color w:val="auto"/>
        </w:rPr>
        <w:t>per cent</w:t>
      </w:r>
      <w:r w:rsidR="005A405F" w:rsidRPr="005A405F">
        <w:rPr>
          <w:color w:val="auto"/>
        </w:rPr>
        <w:t xml:space="preserve"> of clients accessing the case management centre and almost 90 </w:t>
      </w:r>
      <w:r w:rsidR="00696EBA">
        <w:rPr>
          <w:color w:val="auto"/>
        </w:rPr>
        <w:t>per cent</w:t>
      </w:r>
      <w:r w:rsidR="005A405F" w:rsidRPr="005A405F">
        <w:rPr>
          <w:color w:val="auto"/>
        </w:rPr>
        <w:t xml:space="preserve"> of those accessing the safe house have been members of the public.</w:t>
      </w:r>
    </w:p>
    <w:p w14:paraId="4D45D80B" w14:textId="2FB6C1DE" w:rsidR="008477AB" w:rsidRDefault="008477AB" w:rsidP="008477AB">
      <w:pPr>
        <w:rPr>
          <w:color w:val="auto"/>
        </w:rPr>
      </w:pPr>
      <w:r w:rsidRPr="006324E8">
        <w:rPr>
          <w:i/>
          <w:color w:val="auto"/>
        </w:rPr>
        <w:t>Pacific Women</w:t>
      </w:r>
      <w:r w:rsidRPr="00DE6985">
        <w:rPr>
          <w:color w:val="auto"/>
        </w:rPr>
        <w:t xml:space="preserve"> partners are implementing legislative and policy reforms to protect women and children from violence and protect human rights. For example, </w:t>
      </w:r>
      <w:r w:rsidR="006E6FA2" w:rsidRPr="006E6FA2">
        <w:rPr>
          <w:i/>
          <w:color w:val="auto"/>
        </w:rPr>
        <w:t>Pacific Women</w:t>
      </w:r>
      <w:r w:rsidR="006E6FA2">
        <w:rPr>
          <w:color w:val="auto"/>
        </w:rPr>
        <w:t xml:space="preserve"> is </w:t>
      </w:r>
      <w:r w:rsidRPr="00DE6985">
        <w:rPr>
          <w:color w:val="auto"/>
        </w:rPr>
        <w:t>working with police and others to implement the Family Protection Act 2013 and the Lukautim Pikinini Act 2015 (relating to child welfare); and implementing the Sorcery Accusation-Related Violence National Action Plan and the National Gender Based Violence Strategy.</w:t>
      </w:r>
      <w:r>
        <w:rPr>
          <w:color w:val="auto"/>
        </w:rPr>
        <w:t xml:space="preserve"> </w:t>
      </w:r>
      <w:r w:rsidRPr="00DE6985">
        <w:rPr>
          <w:color w:val="auto"/>
        </w:rPr>
        <w:t xml:space="preserve">However, significant challenges remain. It is still time consuming and sometimes difficult to obtain interim protection orders, </w:t>
      </w:r>
      <w:r>
        <w:rPr>
          <w:color w:val="auto"/>
        </w:rPr>
        <w:t xml:space="preserve">knowledge of the relevant laws and policies is limited in the community, </w:t>
      </w:r>
      <w:r w:rsidRPr="00DE6985">
        <w:rPr>
          <w:color w:val="auto"/>
        </w:rPr>
        <w:t>and there are limited numbers of gazetted Child Protection Officers and</w:t>
      </w:r>
      <w:r>
        <w:rPr>
          <w:color w:val="auto"/>
        </w:rPr>
        <w:t xml:space="preserve"> </w:t>
      </w:r>
      <w:r w:rsidRPr="00DE6985">
        <w:rPr>
          <w:color w:val="auto"/>
        </w:rPr>
        <w:t>services specifically addressing child survivor needs.</w:t>
      </w:r>
    </w:p>
    <w:p w14:paraId="2736E5F4" w14:textId="77777777" w:rsidR="00711DBD" w:rsidRPr="00711DBD" w:rsidRDefault="00711DBD" w:rsidP="00711DBD">
      <w:pPr>
        <w:pStyle w:val="Heading3Numbered"/>
        <w:numPr>
          <w:ilvl w:val="0"/>
          <w:numId w:val="0"/>
        </w:numPr>
        <w:spacing w:before="120" w:line="220" w:lineRule="atLeast"/>
        <w:ind w:left="851" w:hanging="851"/>
        <w:rPr>
          <w:color w:val="auto"/>
          <w:szCs w:val="30"/>
        </w:rPr>
      </w:pPr>
      <w:r w:rsidRPr="00711DBD">
        <w:rPr>
          <w:color w:val="auto"/>
          <w:szCs w:val="30"/>
        </w:rPr>
        <w:t>Climate change</w:t>
      </w:r>
    </w:p>
    <w:p w14:paraId="7AB3BA8B" w14:textId="60BE8963" w:rsidR="00F60563" w:rsidRPr="00636690" w:rsidRDefault="00F60563" w:rsidP="00F60563">
      <w:pPr>
        <w:rPr>
          <w:color w:val="auto"/>
        </w:rPr>
      </w:pPr>
      <w:r>
        <w:rPr>
          <w:color w:val="auto"/>
        </w:rPr>
        <w:t>Papua New Guinea is highly vulnerable to the impacts of c</w:t>
      </w:r>
      <w:r w:rsidR="006E6FA2">
        <w:rPr>
          <w:color w:val="auto"/>
        </w:rPr>
        <w:t>limate change, with close to 85 per cent</w:t>
      </w:r>
      <w:r>
        <w:rPr>
          <w:color w:val="auto"/>
        </w:rPr>
        <w:t xml:space="preserve"> of its population living in rural areas with poor access to social an</w:t>
      </w:r>
      <w:r w:rsidR="006E6FA2">
        <w:rPr>
          <w:color w:val="auto"/>
        </w:rPr>
        <w:t>d economic services and reliant</w:t>
      </w:r>
      <w:r>
        <w:rPr>
          <w:color w:val="auto"/>
        </w:rPr>
        <w:t xml:space="preserve"> on climate sensitive subsistence and small-scale agriculture production for food security and income generation. Australia is supporting Papua New Guinea to address the impacts of climate change and meet its international commitments through the </w:t>
      </w:r>
      <w:r w:rsidR="004B25E3" w:rsidRPr="007F51C6">
        <w:rPr>
          <w:color w:val="auto"/>
        </w:rPr>
        <w:t>Papua New Guinea</w:t>
      </w:r>
      <w:r>
        <w:rPr>
          <w:color w:val="auto"/>
        </w:rPr>
        <w:t>-Australia Cli</w:t>
      </w:r>
      <w:r w:rsidR="00E15DF3">
        <w:rPr>
          <w:color w:val="auto"/>
        </w:rPr>
        <w:t>mate Change Action Plan</w:t>
      </w:r>
      <w:r>
        <w:rPr>
          <w:color w:val="auto"/>
        </w:rPr>
        <w:t xml:space="preserve"> signed by Governments of both countries in May 2018. Australia’s support aims </w:t>
      </w:r>
      <w:r w:rsidRPr="00636690">
        <w:rPr>
          <w:color w:val="auto"/>
        </w:rPr>
        <w:t xml:space="preserve">to enhance the resilience of </w:t>
      </w:r>
      <w:r>
        <w:rPr>
          <w:color w:val="auto"/>
        </w:rPr>
        <w:t>Papua New Guinean</w:t>
      </w:r>
      <w:r w:rsidRPr="00636690">
        <w:rPr>
          <w:color w:val="auto"/>
        </w:rPr>
        <w:t xml:space="preserve"> communities and of critical social and economic infrastructure to climate change.</w:t>
      </w:r>
      <w:r w:rsidR="00E111CC">
        <w:rPr>
          <w:color w:val="auto"/>
        </w:rPr>
        <w:t xml:space="preserve"> </w:t>
      </w:r>
    </w:p>
    <w:p w14:paraId="5C0854A4" w14:textId="667B1B0E" w:rsidR="00F60563" w:rsidRPr="00636690" w:rsidRDefault="00C6008D" w:rsidP="00F60563">
      <w:pPr>
        <w:rPr>
          <w:color w:val="auto"/>
        </w:rPr>
      </w:pPr>
      <w:r w:rsidRPr="00C6008D">
        <w:rPr>
          <w:color w:val="auto"/>
        </w:rPr>
        <w:t xml:space="preserve">Good progress is being made towards the community resilience and capacity development targets associated with </w:t>
      </w:r>
      <w:r w:rsidR="00F60563" w:rsidRPr="00C6008D">
        <w:rPr>
          <w:color w:val="auto"/>
        </w:rPr>
        <w:t>addressing</w:t>
      </w:r>
      <w:r w:rsidRPr="00C6008D">
        <w:rPr>
          <w:color w:val="auto"/>
        </w:rPr>
        <w:t xml:space="preserve"> the impacts of climate change.</w:t>
      </w:r>
      <w:r w:rsidR="006F3F5D">
        <w:rPr>
          <w:color w:val="auto"/>
        </w:rPr>
        <w:t xml:space="preserve"> </w:t>
      </w:r>
      <w:r w:rsidRPr="00C6008D">
        <w:rPr>
          <w:color w:val="auto"/>
        </w:rPr>
        <w:t>On</w:t>
      </w:r>
      <w:r w:rsidR="00F60563" w:rsidRPr="00C6008D">
        <w:rPr>
          <w:color w:val="auto"/>
        </w:rPr>
        <w:t xml:space="preserve"> community resilience, we are supporting 31 communities (towards the target of one hundred) to increase their awareness of climate change risks to their livelihoods and to adapt and apply contextually appropriate adaptation measures. For example, four communities in Manus Province earned K58,000 from exporting their certified sea cucumber product to the Hong Kong market, an increase of 200 per cent, compared with business as usual approaches. We are also supporting women in Manus and Milne Bay Provinces to generate income from sustainable management of mangroves and their ecosystems. Possibilities for participation in eco-tourism business ventures are also being explored.</w:t>
      </w:r>
      <w:r w:rsidR="00E111CC">
        <w:rPr>
          <w:color w:val="auto"/>
        </w:rPr>
        <w:t xml:space="preserve"> </w:t>
      </w:r>
    </w:p>
    <w:p w14:paraId="7435CD44" w14:textId="1A0173FB" w:rsidR="00F238A8" w:rsidRDefault="00F60563" w:rsidP="00F60563">
      <w:pPr>
        <w:rPr>
          <w:color w:val="auto"/>
        </w:rPr>
      </w:pPr>
      <w:r>
        <w:rPr>
          <w:color w:val="auto"/>
        </w:rPr>
        <w:t xml:space="preserve">To address </w:t>
      </w:r>
      <w:r w:rsidRPr="00636690">
        <w:rPr>
          <w:color w:val="auto"/>
        </w:rPr>
        <w:t xml:space="preserve">capacity development </w:t>
      </w:r>
      <w:r>
        <w:rPr>
          <w:color w:val="auto"/>
        </w:rPr>
        <w:t>needs,</w:t>
      </w:r>
      <w:r w:rsidRPr="00636690">
        <w:rPr>
          <w:color w:val="auto"/>
        </w:rPr>
        <w:t xml:space="preserve"> we supported </w:t>
      </w:r>
      <w:r>
        <w:rPr>
          <w:color w:val="auto"/>
        </w:rPr>
        <w:t>26</w:t>
      </w:r>
      <w:r w:rsidRPr="00636690">
        <w:rPr>
          <w:color w:val="auto"/>
        </w:rPr>
        <w:t xml:space="preserve"> </w:t>
      </w:r>
      <w:r>
        <w:rPr>
          <w:color w:val="auto"/>
        </w:rPr>
        <w:t>Papua New Guineans</w:t>
      </w:r>
      <w:r w:rsidRPr="00636690">
        <w:rPr>
          <w:color w:val="auto"/>
        </w:rPr>
        <w:t xml:space="preserve"> from government, civil society and the private sector, to undertake a Graduate Certificate in Environment Management (Climate Policy) at the University of Queensland.</w:t>
      </w:r>
      <w:r w:rsidR="00E111CC">
        <w:rPr>
          <w:color w:val="auto"/>
        </w:rPr>
        <w:t xml:space="preserve"> </w:t>
      </w:r>
    </w:p>
    <w:p w14:paraId="7DBD06BA" w14:textId="2FBF4F43" w:rsidR="00636690" w:rsidRPr="00636690" w:rsidRDefault="00F43E0F" w:rsidP="00636690">
      <w:pPr>
        <w:rPr>
          <w:color w:val="auto"/>
        </w:rPr>
      </w:pPr>
      <w:r>
        <w:rPr>
          <w:color w:val="auto"/>
        </w:rPr>
        <w:t>A flagship</w:t>
      </w:r>
      <w:r w:rsidR="00636690" w:rsidRPr="00636690">
        <w:rPr>
          <w:color w:val="auto"/>
        </w:rPr>
        <w:t xml:space="preserve"> Climate Resilient Green Growth Project commenced in February 2019. The project </w:t>
      </w:r>
      <w:r w:rsidR="00F238A8">
        <w:rPr>
          <w:color w:val="auto"/>
        </w:rPr>
        <w:t>is</w:t>
      </w:r>
      <w:r w:rsidR="00636690" w:rsidRPr="00636690">
        <w:rPr>
          <w:color w:val="auto"/>
        </w:rPr>
        <w:t xml:space="preserve"> delivered through </w:t>
      </w:r>
      <w:r>
        <w:rPr>
          <w:color w:val="auto"/>
        </w:rPr>
        <w:t>a</w:t>
      </w:r>
      <w:r w:rsidR="00636690" w:rsidRPr="00636690">
        <w:rPr>
          <w:color w:val="auto"/>
        </w:rPr>
        <w:t xml:space="preserve"> partnership with the Global Green Growth Institute (GGGI)</w:t>
      </w:r>
      <w:r w:rsidR="00F238A8">
        <w:rPr>
          <w:color w:val="auto"/>
        </w:rPr>
        <w:t xml:space="preserve">. It </w:t>
      </w:r>
      <w:r w:rsidR="00636690" w:rsidRPr="00636690">
        <w:rPr>
          <w:color w:val="auto"/>
        </w:rPr>
        <w:t xml:space="preserve">aims to mainstream planning for </w:t>
      </w:r>
      <w:r w:rsidR="00636690" w:rsidRPr="00636690">
        <w:rPr>
          <w:color w:val="auto"/>
        </w:rPr>
        <w:lastRenderedPageBreak/>
        <w:t>climate resilient green growth in three target provinces and develop a p</w:t>
      </w:r>
      <w:r w:rsidR="00F60563">
        <w:rPr>
          <w:color w:val="auto"/>
        </w:rPr>
        <w:t xml:space="preserve">ipeline of projects to attract </w:t>
      </w:r>
      <w:r w:rsidR="00636690" w:rsidRPr="00636690">
        <w:rPr>
          <w:color w:val="auto"/>
        </w:rPr>
        <w:t xml:space="preserve">international climate finance for </w:t>
      </w:r>
      <w:r w:rsidR="00636690">
        <w:rPr>
          <w:color w:val="auto"/>
        </w:rPr>
        <w:t>Papua New Guinea</w:t>
      </w:r>
      <w:r w:rsidR="00F238A8">
        <w:rPr>
          <w:color w:val="auto"/>
        </w:rPr>
        <w:t xml:space="preserve">, which </w:t>
      </w:r>
      <w:r w:rsidR="009C1EB0">
        <w:rPr>
          <w:color w:val="auto"/>
        </w:rPr>
        <w:t>it</w:t>
      </w:r>
      <w:r w:rsidR="004B25E3">
        <w:rPr>
          <w:color w:val="auto"/>
        </w:rPr>
        <w:t xml:space="preserve"> </w:t>
      </w:r>
      <w:r w:rsidR="00F238A8">
        <w:rPr>
          <w:color w:val="auto"/>
        </w:rPr>
        <w:t xml:space="preserve">is currently struggling </w:t>
      </w:r>
      <w:r w:rsidR="009C1EB0">
        <w:rPr>
          <w:color w:val="auto"/>
        </w:rPr>
        <w:t xml:space="preserve">to </w:t>
      </w:r>
      <w:r w:rsidR="00661293">
        <w:rPr>
          <w:color w:val="auto"/>
        </w:rPr>
        <w:t>achieve</w:t>
      </w:r>
      <w:r w:rsidR="009C1EB0">
        <w:rPr>
          <w:color w:val="auto"/>
        </w:rPr>
        <w:t xml:space="preserve"> </w:t>
      </w:r>
      <w:r w:rsidR="00F238A8">
        <w:rPr>
          <w:color w:val="auto"/>
        </w:rPr>
        <w:t>in comparison to other smaller Pacific Island Countries.</w:t>
      </w:r>
    </w:p>
    <w:p w14:paraId="57B80561" w14:textId="06975341" w:rsidR="00711DBD" w:rsidRPr="00711DBD" w:rsidRDefault="00037833" w:rsidP="00636690">
      <w:pPr>
        <w:rPr>
          <w:color w:val="auto"/>
        </w:rPr>
      </w:pPr>
      <w:r>
        <w:rPr>
          <w:color w:val="auto"/>
        </w:rPr>
        <w:t>W</w:t>
      </w:r>
      <w:r w:rsidR="00636690" w:rsidRPr="00636690">
        <w:rPr>
          <w:color w:val="auto"/>
        </w:rPr>
        <w:t xml:space="preserve">e are </w:t>
      </w:r>
      <w:r w:rsidR="00F238A8">
        <w:rPr>
          <w:color w:val="auto"/>
        </w:rPr>
        <w:t>also actively</w:t>
      </w:r>
      <w:r w:rsidR="00636690" w:rsidRPr="00636690">
        <w:rPr>
          <w:color w:val="auto"/>
        </w:rPr>
        <w:t xml:space="preserve"> mainstreaming climate change acro</w:t>
      </w:r>
      <w:r w:rsidR="009C1EB0">
        <w:rPr>
          <w:color w:val="auto"/>
        </w:rPr>
        <w:t>ss various elements of the program</w:t>
      </w:r>
      <w:r w:rsidR="00636690" w:rsidRPr="00636690">
        <w:rPr>
          <w:color w:val="auto"/>
        </w:rPr>
        <w:t>. With support from the Australia Pacific Climate Partnership Support Unit (Australia's new flagship regional program), we developed a Climate Change Integration Plan in 2018 to measure and improve the integration of climate change across</w:t>
      </w:r>
      <w:r w:rsidR="009C1EB0">
        <w:rPr>
          <w:color w:val="auto"/>
        </w:rPr>
        <w:t xml:space="preserve"> our</w:t>
      </w:r>
      <w:r w:rsidR="00636690" w:rsidRPr="00636690">
        <w:rPr>
          <w:color w:val="auto"/>
        </w:rPr>
        <w:t xml:space="preserve"> investments including in infrastructure, governance and health.</w:t>
      </w:r>
      <w:r w:rsidR="006F3F5D">
        <w:rPr>
          <w:color w:val="auto"/>
        </w:rPr>
        <w:t xml:space="preserve"> </w:t>
      </w:r>
      <w:r w:rsidR="00636690" w:rsidRPr="00636690">
        <w:rPr>
          <w:color w:val="auto"/>
        </w:rPr>
        <w:t xml:space="preserve"> </w:t>
      </w:r>
    </w:p>
    <w:p w14:paraId="49B34529" w14:textId="77777777" w:rsidR="00711DBD" w:rsidRPr="00711DBD" w:rsidRDefault="00711DBD" w:rsidP="00711DBD">
      <w:pPr>
        <w:pStyle w:val="Heading3Numbered"/>
        <w:numPr>
          <w:ilvl w:val="0"/>
          <w:numId w:val="0"/>
        </w:numPr>
        <w:rPr>
          <w:color w:val="auto"/>
        </w:rPr>
      </w:pPr>
      <w:r w:rsidRPr="00711DBD">
        <w:rPr>
          <w:color w:val="auto"/>
        </w:rPr>
        <w:t>Disaster preparedness and response</w:t>
      </w:r>
    </w:p>
    <w:p w14:paraId="7D711773" w14:textId="707E703E" w:rsidR="00711DBD" w:rsidRPr="00CC7877" w:rsidRDefault="00AA7004" w:rsidP="00711DBD">
      <w:pPr>
        <w:rPr>
          <w:rFonts w:cstheme="minorHAnsi"/>
          <w:color w:val="auto"/>
        </w:rPr>
      </w:pPr>
      <w:r w:rsidRPr="00CC7877">
        <w:rPr>
          <w:rFonts w:cstheme="minorHAnsi"/>
          <w:color w:val="auto"/>
        </w:rPr>
        <w:t xml:space="preserve">Papua New Guinea is highly vulnerable to a range of natural hazards, including drought, floods, volcanic eruptions and earthquakes. </w:t>
      </w:r>
      <w:r w:rsidR="009C1EB0">
        <w:rPr>
          <w:rFonts w:cstheme="minorHAnsi"/>
          <w:color w:val="auto"/>
        </w:rPr>
        <w:t xml:space="preserve">To help manage this risk, Australia </w:t>
      </w:r>
      <w:r w:rsidR="00711DBD" w:rsidRPr="00CC7877">
        <w:rPr>
          <w:rFonts w:cstheme="minorHAnsi"/>
          <w:color w:val="auto"/>
        </w:rPr>
        <w:t xml:space="preserve">provides support to Papua New Guinea to strengthen its overall disaster management capabilities, to help prepare for and respond to disasters. </w:t>
      </w:r>
    </w:p>
    <w:p w14:paraId="769D83A5" w14:textId="536A0482" w:rsidR="00711DBD" w:rsidRPr="00711DBD" w:rsidRDefault="00711DBD" w:rsidP="00711DBD">
      <w:pPr>
        <w:rPr>
          <w:rFonts w:cstheme="minorHAnsi"/>
          <w:color w:val="auto"/>
        </w:rPr>
      </w:pPr>
      <w:r w:rsidRPr="00711DBD">
        <w:rPr>
          <w:rFonts w:cstheme="minorHAnsi"/>
          <w:color w:val="auto"/>
        </w:rPr>
        <w:t>Australia has supported the development of emergency management systems and plans, including through inclusive training and simulations for communities. In 2018, through Aus</w:t>
      </w:r>
      <w:r w:rsidR="009C1EB0">
        <w:rPr>
          <w:rFonts w:cstheme="minorHAnsi"/>
          <w:color w:val="auto"/>
        </w:rPr>
        <w:t>tralian NGOs supported under DFAT’s</w:t>
      </w:r>
      <w:r w:rsidRPr="00711DBD">
        <w:rPr>
          <w:rFonts w:cstheme="minorHAnsi"/>
          <w:color w:val="auto"/>
        </w:rPr>
        <w:t xml:space="preserve"> Australian Humanitarian Partnership, 36 of 46 target communities developed disaster plans and 33 of 40 new community disaster committees now have at least one female representative. In 2019, through our ongoing disaster r</w:t>
      </w:r>
      <w:r w:rsidR="009C1EB0">
        <w:rPr>
          <w:rFonts w:cstheme="minorHAnsi"/>
          <w:color w:val="auto"/>
        </w:rPr>
        <w:t>isk management program with the United Nations Development Programme (UNDP)</w:t>
      </w:r>
      <w:r w:rsidRPr="00711DBD">
        <w:rPr>
          <w:rFonts w:cstheme="minorHAnsi"/>
          <w:color w:val="auto"/>
        </w:rPr>
        <w:t xml:space="preserve">, a Disaster Loss Database was developed in partnership with the University of </w:t>
      </w:r>
      <w:r w:rsidR="004B25E3" w:rsidRPr="007F51C6">
        <w:rPr>
          <w:color w:val="auto"/>
        </w:rPr>
        <w:t>Papua New Guinea</w:t>
      </w:r>
      <w:r w:rsidR="004B25E3" w:rsidRPr="00711DBD">
        <w:rPr>
          <w:rFonts w:cstheme="minorHAnsi"/>
          <w:color w:val="auto"/>
        </w:rPr>
        <w:t xml:space="preserve"> </w:t>
      </w:r>
      <w:r w:rsidRPr="00711DBD">
        <w:rPr>
          <w:rFonts w:cstheme="minorHAnsi"/>
          <w:color w:val="auto"/>
        </w:rPr>
        <w:t>to help measure and understand the impact of disasters to inform future planning. With Australia’s support, in February 2019 Papua New Guinea launched its National Disaster Risk Reduction Framework 2017-30, which aims to achieve substantial reduction of disaster risks and impacts. In June 2019, Emergency Management Australia co-facilitated a worksho</w:t>
      </w:r>
      <w:r w:rsidR="009C1EB0">
        <w:rPr>
          <w:rFonts w:cstheme="minorHAnsi"/>
          <w:color w:val="auto"/>
        </w:rPr>
        <w:t>p involving a cross-section of Papua New Guinea G</w:t>
      </w:r>
      <w:r w:rsidRPr="00711DBD">
        <w:rPr>
          <w:rFonts w:cstheme="minorHAnsi"/>
          <w:color w:val="auto"/>
        </w:rPr>
        <w:t xml:space="preserve">overnment agencies to help develop an action plan to implement the Framework. </w:t>
      </w:r>
    </w:p>
    <w:p w14:paraId="665A019F" w14:textId="77777777" w:rsidR="00FD4C3F" w:rsidRDefault="00711DBD" w:rsidP="00711DBD">
      <w:pPr>
        <w:rPr>
          <w:rFonts w:cstheme="minorHAnsi"/>
          <w:color w:val="auto"/>
        </w:rPr>
      </w:pPr>
      <w:r w:rsidRPr="00711DBD">
        <w:rPr>
          <w:rFonts w:cstheme="minorHAnsi"/>
          <w:color w:val="auto"/>
        </w:rPr>
        <w:t>In 2018-19, Geoscience Australi</w:t>
      </w:r>
      <w:r w:rsidR="009C1EB0">
        <w:rPr>
          <w:rFonts w:cstheme="minorHAnsi"/>
          <w:color w:val="auto"/>
        </w:rPr>
        <w:t xml:space="preserve">a </w:t>
      </w:r>
      <w:r w:rsidRPr="00711DBD">
        <w:rPr>
          <w:rFonts w:cstheme="minorHAnsi"/>
          <w:color w:val="auto"/>
        </w:rPr>
        <w:t xml:space="preserve">continued to provide support to the </w:t>
      </w:r>
      <w:r w:rsidR="004B25E3" w:rsidRPr="007F51C6">
        <w:rPr>
          <w:color w:val="auto"/>
        </w:rPr>
        <w:t>Papua New Guinea</w:t>
      </w:r>
      <w:r w:rsidR="004B25E3" w:rsidRPr="00711DBD">
        <w:rPr>
          <w:rFonts w:cstheme="minorHAnsi"/>
          <w:color w:val="auto"/>
        </w:rPr>
        <w:t xml:space="preserve"> </w:t>
      </w:r>
      <w:r w:rsidRPr="00711DBD">
        <w:rPr>
          <w:rFonts w:cstheme="minorHAnsi"/>
          <w:color w:val="auto"/>
        </w:rPr>
        <w:t>Department of Mineral Policy and Geohazards Management (DMPGM) in developing fundamental information and</w:t>
      </w:r>
    </w:p>
    <w:p w14:paraId="13D04E4D" w14:textId="21EB9904" w:rsidR="00711DBD" w:rsidRPr="00711DBD" w:rsidRDefault="00711DBD" w:rsidP="00711DBD">
      <w:pPr>
        <w:rPr>
          <w:rFonts w:cstheme="minorHAnsi"/>
          <w:color w:val="auto"/>
        </w:rPr>
      </w:pPr>
      <w:r w:rsidRPr="00711DBD">
        <w:rPr>
          <w:rFonts w:cstheme="minorHAnsi"/>
          <w:color w:val="auto"/>
        </w:rPr>
        <w:t xml:space="preserve"> practices for the effective response and management of natural hazards.</w:t>
      </w:r>
      <w:r w:rsidR="00AA7004">
        <w:rPr>
          <w:rFonts w:cstheme="minorHAnsi"/>
          <w:color w:val="auto"/>
        </w:rPr>
        <w:t xml:space="preserve"> This has included support to </w:t>
      </w:r>
      <w:r w:rsidR="004B25E3" w:rsidRPr="007F51C6">
        <w:rPr>
          <w:color w:val="auto"/>
        </w:rPr>
        <w:t>Papua New Guinea</w:t>
      </w:r>
      <w:r w:rsidR="00AA7004">
        <w:rPr>
          <w:rFonts w:cstheme="minorHAnsi"/>
          <w:color w:val="auto"/>
        </w:rPr>
        <w:t>’s Probabilistic Seismic Hazard Assessment and upgrading of the seismic monitoring software for more accurate testing of events.</w:t>
      </w:r>
    </w:p>
    <w:p w14:paraId="39588F1A" w14:textId="6C659077" w:rsidR="00711DBD" w:rsidRPr="00711DBD" w:rsidRDefault="009C1EB0" w:rsidP="00711DBD">
      <w:pPr>
        <w:rPr>
          <w:rFonts w:cstheme="minorHAnsi"/>
          <w:color w:val="auto"/>
        </w:rPr>
      </w:pPr>
      <w:r>
        <w:rPr>
          <w:rFonts w:cstheme="minorHAnsi"/>
          <w:color w:val="auto"/>
        </w:rPr>
        <w:t xml:space="preserve">Following the 2018 Highlands earthquake, </w:t>
      </w:r>
      <w:r w:rsidR="00711DBD" w:rsidRPr="00711DBD">
        <w:rPr>
          <w:rFonts w:cstheme="minorHAnsi"/>
          <w:color w:val="auto"/>
        </w:rPr>
        <w:t xml:space="preserve">Australia’s assistance supported almost 250,000 </w:t>
      </w:r>
      <w:r>
        <w:rPr>
          <w:rFonts w:cstheme="minorHAnsi"/>
          <w:color w:val="auto"/>
        </w:rPr>
        <w:t>people</w:t>
      </w:r>
      <w:r w:rsidR="00711DBD" w:rsidRPr="00711DBD">
        <w:rPr>
          <w:rFonts w:cstheme="minorHAnsi"/>
          <w:color w:val="auto"/>
        </w:rPr>
        <w:t xml:space="preserve"> providing humanitarian relief supplies, health support and protection services for women and children. Since then, Australia has continued to contribute to </w:t>
      </w:r>
      <w:r w:rsidR="004B25E3" w:rsidRPr="007F51C6">
        <w:rPr>
          <w:color w:val="auto"/>
        </w:rPr>
        <w:t>Papua New Guinea</w:t>
      </w:r>
      <w:r w:rsidR="00711DBD" w:rsidRPr="00711DBD">
        <w:rPr>
          <w:rFonts w:cstheme="minorHAnsi"/>
          <w:color w:val="auto"/>
        </w:rPr>
        <w:t xml:space="preserve">’s disaster response efforts, especially through supporting </w:t>
      </w:r>
      <w:r>
        <w:rPr>
          <w:rFonts w:cstheme="minorHAnsi"/>
          <w:color w:val="auto"/>
        </w:rPr>
        <w:t>their</w:t>
      </w:r>
      <w:r w:rsidR="00711DBD" w:rsidRPr="00711DBD">
        <w:rPr>
          <w:rFonts w:cstheme="minorHAnsi"/>
          <w:color w:val="auto"/>
        </w:rPr>
        <w:t xml:space="preserve"> lead role in coordinating </w:t>
      </w:r>
      <w:r>
        <w:rPr>
          <w:rFonts w:cstheme="minorHAnsi"/>
          <w:color w:val="auto"/>
        </w:rPr>
        <w:t xml:space="preserve">the </w:t>
      </w:r>
      <w:r w:rsidR="00711DBD" w:rsidRPr="00711DBD">
        <w:rPr>
          <w:rFonts w:cstheme="minorHAnsi"/>
          <w:color w:val="auto"/>
        </w:rPr>
        <w:t>response efforts and helping to strengthen assessme</w:t>
      </w:r>
      <w:r>
        <w:rPr>
          <w:rFonts w:cstheme="minorHAnsi"/>
          <w:color w:val="auto"/>
        </w:rPr>
        <w:t xml:space="preserve">nt processes to inform future response </w:t>
      </w:r>
      <w:r w:rsidR="00711DBD" w:rsidRPr="00711DBD">
        <w:rPr>
          <w:rFonts w:cstheme="minorHAnsi"/>
          <w:color w:val="auto"/>
        </w:rPr>
        <w:t>needs.</w:t>
      </w:r>
    </w:p>
    <w:p w14:paraId="1576BBF4" w14:textId="77777777" w:rsidR="00711DBD" w:rsidRPr="00711DBD" w:rsidRDefault="00711DBD" w:rsidP="00711DBD">
      <w:pPr>
        <w:pStyle w:val="Heading3Numbered"/>
        <w:numPr>
          <w:ilvl w:val="0"/>
          <w:numId w:val="0"/>
        </w:numPr>
        <w:ind w:left="851" w:hanging="851"/>
        <w:rPr>
          <w:bCs w:val="0"/>
          <w:caps/>
          <w:color w:val="auto"/>
          <w:sz w:val="38"/>
          <w:szCs w:val="26"/>
        </w:rPr>
      </w:pPr>
      <w:r w:rsidRPr="00711DBD">
        <w:rPr>
          <w:bCs w:val="0"/>
          <w:caps/>
          <w:color w:val="auto"/>
          <w:sz w:val="38"/>
          <w:szCs w:val="26"/>
        </w:rPr>
        <w:t>Autonomous Region of Bougainville</w:t>
      </w:r>
    </w:p>
    <w:p w14:paraId="41252BBB" w14:textId="77777777" w:rsidR="00973960" w:rsidRDefault="00973960" w:rsidP="00973960">
      <w:pPr>
        <w:rPr>
          <w:color w:val="auto"/>
        </w:rPr>
      </w:pPr>
      <w:r w:rsidRPr="00711DBD">
        <w:rPr>
          <w:color w:val="auto"/>
        </w:rPr>
        <w:t>Australia's development assistance in Papua New Guinea’s Autonomous Region of Bougainville supports the foundations for peace and stability, including through improved governance and increased economic growth. Australia's aid delivery in Bougainville is aligned with Papua New Guin</w:t>
      </w:r>
      <w:r>
        <w:rPr>
          <w:color w:val="auto"/>
        </w:rPr>
        <w:t>ea and the Autonomous Bougainville G</w:t>
      </w:r>
      <w:r w:rsidRPr="00711DBD">
        <w:rPr>
          <w:color w:val="auto"/>
        </w:rPr>
        <w:t xml:space="preserve">overnment </w:t>
      </w:r>
      <w:r>
        <w:rPr>
          <w:color w:val="auto"/>
        </w:rPr>
        <w:t xml:space="preserve">(ABG) </w:t>
      </w:r>
      <w:r w:rsidRPr="00711DBD">
        <w:rPr>
          <w:color w:val="auto"/>
        </w:rPr>
        <w:t>priorities to support peace, stability and economic gr</w:t>
      </w:r>
      <w:r>
        <w:rPr>
          <w:color w:val="auto"/>
        </w:rPr>
        <w:t>owth</w:t>
      </w:r>
      <w:r w:rsidRPr="00711DBD">
        <w:rPr>
          <w:color w:val="auto"/>
        </w:rPr>
        <w:t xml:space="preserve">. </w:t>
      </w:r>
      <w:r>
        <w:rPr>
          <w:color w:val="auto"/>
        </w:rPr>
        <w:t>An independent strategic review of Australia’s Bougainville investments, conducted from February to May 2019, showed that despite the complex environment, the program has made a positive contribution to peace, stability and economic recovery.</w:t>
      </w:r>
    </w:p>
    <w:p w14:paraId="7C8B6785" w14:textId="77777777" w:rsidR="00973960" w:rsidRPr="006D270B" w:rsidRDefault="00973960" w:rsidP="00973960">
      <w:pPr>
        <w:rPr>
          <w:color w:val="auto"/>
        </w:rPr>
      </w:pPr>
      <w:r w:rsidRPr="00973960">
        <w:rPr>
          <w:color w:val="auto"/>
        </w:rPr>
        <w:t xml:space="preserve">In 2018-19, Australia provided $6.3 million in referendum related support. This funding includes $4.5 million of support that directly benefits the operation of the </w:t>
      </w:r>
      <w:r w:rsidRPr="00973960">
        <w:rPr>
          <w:b/>
          <w:color w:val="auto"/>
        </w:rPr>
        <w:t>Bougainville Referendum</w:t>
      </w:r>
      <w:r w:rsidRPr="00973960">
        <w:rPr>
          <w:color w:val="auto"/>
        </w:rPr>
        <w:t xml:space="preserve"> </w:t>
      </w:r>
      <w:r w:rsidRPr="00973960">
        <w:rPr>
          <w:b/>
          <w:color w:val="auto"/>
        </w:rPr>
        <w:t>Commission</w:t>
      </w:r>
      <w:r w:rsidRPr="00973960">
        <w:rPr>
          <w:color w:val="auto"/>
        </w:rPr>
        <w:t xml:space="preserve"> (BRC) to conduct the referendum. This support is provided through the UNDP Bougainville Referendum Support Project, the International Foundation for Electoral Support and the Bougainville Partnership. In particular, assistance with the voter roll update, ICT, electoral operations and logistics, communications, corporate services, and legal </w:t>
      </w:r>
      <w:r w:rsidRPr="00973960">
        <w:rPr>
          <w:color w:val="auto"/>
        </w:rPr>
        <w:lastRenderedPageBreak/>
        <w:t>assistance. Australia also provided indirect referendum support to the value of $2 million to support awareness and dialogue through the joint Ministerial Post-Referendum Taskforce.</w:t>
      </w:r>
    </w:p>
    <w:p w14:paraId="1C9573D6" w14:textId="21189BA1" w:rsidR="00E62532" w:rsidRPr="00711DBD" w:rsidRDefault="00E62532" w:rsidP="00E62532">
      <w:pPr>
        <w:rPr>
          <w:color w:val="auto"/>
        </w:rPr>
      </w:pPr>
      <w:r w:rsidRPr="00711DBD">
        <w:rPr>
          <w:color w:val="auto"/>
        </w:rPr>
        <w:t xml:space="preserve">Australia’s development assistance to Bougainville is </w:t>
      </w:r>
      <w:r>
        <w:rPr>
          <w:color w:val="auto"/>
        </w:rPr>
        <w:t xml:space="preserve">organised along two-tracks: first, </w:t>
      </w:r>
      <w:r w:rsidRPr="00711DBD">
        <w:rPr>
          <w:color w:val="auto"/>
        </w:rPr>
        <w:t xml:space="preserve">a targeted program, underpinned by a design, a </w:t>
      </w:r>
      <w:r>
        <w:rPr>
          <w:color w:val="auto"/>
        </w:rPr>
        <w:t>performance assessment</w:t>
      </w:r>
      <w:r w:rsidRPr="00711DBD">
        <w:rPr>
          <w:color w:val="auto"/>
        </w:rPr>
        <w:t xml:space="preserve"> framework and an annual work pla</w:t>
      </w:r>
      <w:r w:rsidR="009C1EB0">
        <w:rPr>
          <w:color w:val="auto"/>
        </w:rPr>
        <w:t xml:space="preserve">n, to support the objectives of </w:t>
      </w:r>
      <w:r w:rsidRPr="00711DBD">
        <w:rPr>
          <w:color w:val="auto"/>
        </w:rPr>
        <w:t>Autonomy and Effective Governance; Economic Development; and Peace, St</w:t>
      </w:r>
      <w:r w:rsidR="009C1EB0">
        <w:rPr>
          <w:color w:val="auto"/>
        </w:rPr>
        <w:t>ability and Community Cohesion (</w:t>
      </w:r>
      <w:r>
        <w:rPr>
          <w:color w:val="auto"/>
        </w:rPr>
        <w:t>New Zealand provides co-funding aga</w:t>
      </w:r>
      <w:r w:rsidR="009C1EB0">
        <w:rPr>
          <w:color w:val="auto"/>
        </w:rPr>
        <w:t>inst the first two objectives).</w:t>
      </w:r>
      <w:r w:rsidR="006F3F5D">
        <w:rPr>
          <w:color w:val="auto"/>
        </w:rPr>
        <w:t xml:space="preserve"> </w:t>
      </w:r>
      <w:r w:rsidR="009C1EB0">
        <w:rPr>
          <w:color w:val="auto"/>
        </w:rPr>
        <w:t>The second track is</w:t>
      </w:r>
      <w:r>
        <w:rPr>
          <w:color w:val="auto"/>
        </w:rPr>
        <w:t xml:space="preserve"> through the contributions </w:t>
      </w:r>
      <w:r w:rsidR="009C1EB0">
        <w:rPr>
          <w:color w:val="auto"/>
        </w:rPr>
        <w:t>of our major sectoral programs (transport; law and</w:t>
      </w:r>
      <w:r>
        <w:rPr>
          <w:color w:val="auto"/>
        </w:rPr>
        <w:t xml:space="preserve"> justice; health; education; and gender</w:t>
      </w:r>
      <w:r w:rsidR="009C1EB0">
        <w:rPr>
          <w:color w:val="auto"/>
        </w:rPr>
        <w:t>)</w:t>
      </w:r>
      <w:r>
        <w:rPr>
          <w:color w:val="auto"/>
        </w:rPr>
        <w:t xml:space="preserve">. Together, these twin tracks of support combine </w:t>
      </w:r>
      <w:r w:rsidR="009C1EB0">
        <w:rPr>
          <w:color w:val="auto"/>
        </w:rPr>
        <w:t xml:space="preserve">to channel between $40 to </w:t>
      </w:r>
      <w:r w:rsidR="0010519E">
        <w:rPr>
          <w:color w:val="auto"/>
        </w:rPr>
        <w:t>50 million</w:t>
      </w:r>
      <w:r>
        <w:rPr>
          <w:color w:val="auto"/>
        </w:rPr>
        <w:t xml:space="preserve"> of assistance to Bougainville each year. The independent strategic review suggested there is more to do in driving greater coherence between the target program and the contributions of the sectoral programs.</w:t>
      </w:r>
      <w:r w:rsidR="006F3F5D">
        <w:rPr>
          <w:color w:val="auto"/>
        </w:rPr>
        <w:t xml:space="preserve"> </w:t>
      </w:r>
      <w:r>
        <w:rPr>
          <w:color w:val="auto"/>
        </w:rPr>
        <w:t xml:space="preserve"> </w:t>
      </w:r>
    </w:p>
    <w:p w14:paraId="04A3C1E6" w14:textId="648A06CC" w:rsidR="00711DBD" w:rsidRPr="00711DBD" w:rsidRDefault="00711DBD" w:rsidP="00EA09AA">
      <w:pPr>
        <w:rPr>
          <w:color w:val="auto"/>
        </w:rPr>
      </w:pPr>
      <w:r w:rsidRPr="00711DBD">
        <w:rPr>
          <w:color w:val="auto"/>
        </w:rPr>
        <w:t xml:space="preserve">Our </w:t>
      </w:r>
      <w:r w:rsidR="007D7D78">
        <w:rPr>
          <w:color w:val="auto"/>
        </w:rPr>
        <w:t xml:space="preserve">work on supporting </w:t>
      </w:r>
      <w:r w:rsidR="007D7D78" w:rsidRPr="00077842">
        <w:rPr>
          <w:b/>
          <w:color w:val="auto"/>
        </w:rPr>
        <w:t>autonomy and effective</w:t>
      </w:r>
      <w:r w:rsidRPr="00711DBD">
        <w:rPr>
          <w:color w:val="auto"/>
        </w:rPr>
        <w:t xml:space="preserve"> </w:t>
      </w:r>
      <w:r w:rsidRPr="00711DBD">
        <w:rPr>
          <w:b/>
          <w:color w:val="auto"/>
        </w:rPr>
        <w:t>governance</w:t>
      </w:r>
      <w:r w:rsidRPr="00711DBD">
        <w:rPr>
          <w:color w:val="auto"/>
        </w:rPr>
        <w:t xml:space="preserve"> is making progress as expected towards short term outcomes. </w:t>
      </w:r>
      <w:r w:rsidR="009C1EB0">
        <w:rPr>
          <w:color w:val="auto"/>
        </w:rPr>
        <w:t>Capacity development p</w:t>
      </w:r>
      <w:r w:rsidR="00EA09AA" w:rsidRPr="00EA09AA">
        <w:rPr>
          <w:color w:val="auto"/>
        </w:rPr>
        <w:t>rojects within ABG Departments are partially being achieved and slightly increasing in traction now that there is more stability in the ABG Public Service, part</w:t>
      </w:r>
      <w:r w:rsidR="00EA09AA">
        <w:rPr>
          <w:color w:val="auto"/>
        </w:rPr>
        <w:t xml:space="preserve">icularly core central agencies. </w:t>
      </w:r>
      <w:r w:rsidR="00EA09AA" w:rsidRPr="00EA09AA">
        <w:rPr>
          <w:color w:val="auto"/>
        </w:rPr>
        <w:t xml:space="preserve">Support to </w:t>
      </w:r>
      <w:r w:rsidR="007D7D78">
        <w:rPr>
          <w:color w:val="auto"/>
        </w:rPr>
        <w:t>l</w:t>
      </w:r>
      <w:r w:rsidR="00EA09AA" w:rsidRPr="00EA09AA">
        <w:rPr>
          <w:color w:val="auto"/>
        </w:rPr>
        <w:t xml:space="preserve">egislative drafting, legal issues, machinery of government and legal advice regarding the Bougainville Peace Agreement has scaled up. Likewise direct and indirect support to the Bougainville </w:t>
      </w:r>
      <w:r w:rsidR="007D7D78">
        <w:rPr>
          <w:color w:val="auto"/>
        </w:rPr>
        <w:t>r</w:t>
      </w:r>
      <w:r w:rsidR="009C1EB0">
        <w:rPr>
          <w:color w:val="auto"/>
        </w:rPr>
        <w:t>eferendum has</w:t>
      </w:r>
      <w:r w:rsidR="00EA09AA" w:rsidRPr="00EA09AA">
        <w:rPr>
          <w:color w:val="auto"/>
        </w:rPr>
        <w:t xml:space="preserve"> scaled up </w:t>
      </w:r>
      <w:r w:rsidR="007D7D78">
        <w:rPr>
          <w:color w:val="auto"/>
        </w:rPr>
        <w:t>in response to emerging needs and requests by the two governments and BRC</w:t>
      </w:r>
      <w:r w:rsidR="00EA09AA" w:rsidRPr="00EA09AA">
        <w:rPr>
          <w:color w:val="auto"/>
        </w:rPr>
        <w:t>.</w:t>
      </w:r>
      <w:r w:rsidR="00EA09AA" w:rsidRPr="00711DBD">
        <w:rPr>
          <w:color w:val="auto"/>
        </w:rPr>
        <w:t xml:space="preserve"> </w:t>
      </w:r>
    </w:p>
    <w:p w14:paraId="322F547A" w14:textId="3FB0E52F" w:rsidR="00973960" w:rsidRPr="00711DBD" w:rsidRDefault="00973960" w:rsidP="00973960">
      <w:pPr>
        <w:rPr>
          <w:color w:val="auto"/>
        </w:rPr>
      </w:pPr>
      <w:r w:rsidRPr="00973960">
        <w:rPr>
          <w:color w:val="auto"/>
        </w:rPr>
        <w:t xml:space="preserve">The </w:t>
      </w:r>
      <w:r w:rsidRPr="00973960">
        <w:rPr>
          <w:b/>
          <w:color w:val="auto"/>
        </w:rPr>
        <w:t>economic development</w:t>
      </w:r>
      <w:r w:rsidRPr="00973960">
        <w:rPr>
          <w:color w:val="auto"/>
        </w:rPr>
        <w:t xml:space="preserve"> program is progressing as expected towards short term outcomes but no activities were deemed 'fully on track' towards achieving intermediate outcomes. The downgraded progress can be attributed to our engagement in new sectors (poultry and fresh produce) which may have lower economic viability compared with our existing investment in the cocoa sector. Our support for the cocoa sector has improved cocoa production and quality, including through our ongoing support to 26 farmer groups across Bougainville (which directly benefits a total of 1,300 farmers). Whilst there are indications of improved productivity and quality, the program is yet to yield clear evidence of increased household income and access to global markets. However an investment survey at the annual chocolate festival revealed improved market linkages and an optimistic domestic market.</w:t>
      </w:r>
      <w:r w:rsidRPr="00EA09AA">
        <w:rPr>
          <w:color w:val="auto"/>
        </w:rPr>
        <w:t xml:space="preserve"> </w:t>
      </w:r>
    </w:p>
    <w:p w14:paraId="06A7954E" w14:textId="12B117EA" w:rsidR="00711DBD" w:rsidRPr="00711DBD" w:rsidRDefault="00711DBD" w:rsidP="00711DBD">
      <w:pPr>
        <w:rPr>
          <w:color w:val="auto"/>
        </w:rPr>
      </w:pPr>
      <w:r w:rsidRPr="00711DBD">
        <w:rPr>
          <w:color w:val="auto"/>
        </w:rPr>
        <w:t xml:space="preserve">Our economic development assistance also </w:t>
      </w:r>
      <w:r w:rsidR="001D629B">
        <w:rPr>
          <w:color w:val="auto"/>
        </w:rPr>
        <w:t>sought</w:t>
      </w:r>
      <w:r w:rsidRPr="00711DBD">
        <w:rPr>
          <w:color w:val="auto"/>
        </w:rPr>
        <w:t xml:space="preserve"> to build Bougainville’s investment climate, tax and revenue capabilities and business environment. We provided technical assistance resulting in amendments to the Inward Investment Act, as well as capacity building to license inward investment. </w:t>
      </w:r>
    </w:p>
    <w:p w14:paraId="66177779" w14:textId="753D15FF" w:rsidR="00711DBD" w:rsidRPr="00711DBD" w:rsidRDefault="00711DBD" w:rsidP="00711DBD">
      <w:pPr>
        <w:rPr>
          <w:color w:val="auto"/>
        </w:rPr>
      </w:pPr>
      <w:r w:rsidRPr="00711DBD">
        <w:rPr>
          <w:color w:val="auto"/>
        </w:rPr>
        <w:t xml:space="preserve">Activities under the </w:t>
      </w:r>
      <w:r w:rsidRPr="00711DBD">
        <w:rPr>
          <w:b/>
          <w:color w:val="auto"/>
        </w:rPr>
        <w:t>peacebuilding</w:t>
      </w:r>
      <w:r w:rsidR="00A00F12">
        <w:rPr>
          <w:color w:val="auto"/>
        </w:rPr>
        <w:t xml:space="preserve"> </w:t>
      </w:r>
      <w:r w:rsidR="00A00F12" w:rsidRPr="00A00F12">
        <w:rPr>
          <w:b/>
          <w:color w:val="auto"/>
        </w:rPr>
        <w:t>and</w:t>
      </w:r>
      <w:r w:rsidR="00A00F12">
        <w:rPr>
          <w:color w:val="auto"/>
        </w:rPr>
        <w:t xml:space="preserve"> </w:t>
      </w:r>
      <w:r w:rsidR="00A00F12" w:rsidRPr="00711DBD">
        <w:rPr>
          <w:b/>
          <w:color w:val="auto"/>
        </w:rPr>
        <w:t>community cohesion</w:t>
      </w:r>
      <w:r w:rsidR="00A00F12" w:rsidRPr="00711DBD">
        <w:rPr>
          <w:color w:val="auto"/>
        </w:rPr>
        <w:t xml:space="preserve"> </w:t>
      </w:r>
      <w:r w:rsidRPr="00711DBD">
        <w:rPr>
          <w:color w:val="auto"/>
        </w:rPr>
        <w:t>pillar are progressing as expected. Our program has enabled 2,845 cases of intra-district reconciliation to be completed, and of these cases, 1,803 have completed formal mediation and three (out of 13) District Peace and Security Committees have completed at least one mass reconciliation.</w:t>
      </w:r>
      <w:r w:rsidR="00E111CC">
        <w:rPr>
          <w:color w:val="auto"/>
        </w:rPr>
        <w:t xml:space="preserve"> </w:t>
      </w:r>
      <w:r w:rsidR="00A00F12" w:rsidRPr="00A00F12">
        <w:rPr>
          <w:color w:val="auto"/>
        </w:rPr>
        <w:t xml:space="preserve">The Youth Program is supporting livelihoods training for affiliate members of the 17 Urban and District Youth Associations. Going forward the </w:t>
      </w:r>
      <w:r w:rsidR="006E1ABE">
        <w:rPr>
          <w:color w:val="auto"/>
        </w:rPr>
        <w:t>p</w:t>
      </w:r>
      <w:r w:rsidR="00A00F12">
        <w:rPr>
          <w:color w:val="auto"/>
        </w:rPr>
        <w:t>rogram</w:t>
      </w:r>
      <w:r w:rsidR="006E1ABE">
        <w:rPr>
          <w:color w:val="auto"/>
        </w:rPr>
        <w:t xml:space="preserve"> will seek</w:t>
      </w:r>
      <w:r w:rsidR="00A00F12" w:rsidRPr="00A00F12">
        <w:rPr>
          <w:color w:val="auto"/>
        </w:rPr>
        <w:t xml:space="preserve"> to improv</w:t>
      </w:r>
      <w:r w:rsidR="006E1ABE">
        <w:rPr>
          <w:color w:val="auto"/>
        </w:rPr>
        <w:t>e opportunities</w:t>
      </w:r>
      <w:r w:rsidR="00A00F12" w:rsidRPr="00A00F12">
        <w:rPr>
          <w:color w:val="auto"/>
        </w:rPr>
        <w:t xml:space="preserve"> for youth to become more engaged in employment and economic development opportunities through </w:t>
      </w:r>
      <w:r w:rsidR="006E1ABE">
        <w:rPr>
          <w:color w:val="auto"/>
        </w:rPr>
        <w:t>greater links</w:t>
      </w:r>
      <w:r w:rsidR="00A00F12" w:rsidRPr="00A00F12">
        <w:rPr>
          <w:color w:val="auto"/>
        </w:rPr>
        <w:t xml:space="preserve"> with the Commodity Support Facility and the Bougainville Community Grants Portfolio.</w:t>
      </w:r>
    </w:p>
    <w:p w14:paraId="2D4F4841" w14:textId="2CCB31AE" w:rsidR="00711DBD" w:rsidRPr="00711DBD" w:rsidRDefault="00A00F12" w:rsidP="00A00F12">
      <w:pPr>
        <w:rPr>
          <w:color w:val="auto"/>
          <w:highlight w:val="cyan"/>
        </w:rPr>
      </w:pPr>
      <w:r>
        <w:rPr>
          <w:color w:val="auto"/>
        </w:rPr>
        <w:t>In 2018-19</w:t>
      </w:r>
      <w:r w:rsidR="00711DBD" w:rsidRPr="00711DBD">
        <w:rPr>
          <w:color w:val="auto"/>
        </w:rPr>
        <w:t xml:space="preserve">, </w:t>
      </w:r>
      <w:r>
        <w:rPr>
          <w:color w:val="auto"/>
        </w:rPr>
        <w:t>we</w:t>
      </w:r>
      <w:r w:rsidRPr="00A00F12">
        <w:rPr>
          <w:color w:val="auto"/>
        </w:rPr>
        <w:t xml:space="preserve"> developed a </w:t>
      </w:r>
      <w:r w:rsidRPr="00A00F12">
        <w:rPr>
          <w:b/>
          <w:color w:val="auto"/>
        </w:rPr>
        <w:t>Bougainville Referendum Gender Strategy</w:t>
      </w:r>
      <w:r w:rsidR="00711DBD" w:rsidRPr="00711DBD">
        <w:rPr>
          <w:color w:val="auto"/>
        </w:rPr>
        <w:t>.</w:t>
      </w:r>
      <w:r>
        <w:rPr>
          <w:color w:val="auto"/>
        </w:rPr>
        <w:t xml:space="preserve"> </w:t>
      </w:r>
      <w:r w:rsidRPr="00A00F12">
        <w:rPr>
          <w:color w:val="auto"/>
        </w:rPr>
        <w:t xml:space="preserve">The strategy outlines </w:t>
      </w:r>
      <w:r>
        <w:rPr>
          <w:color w:val="auto"/>
        </w:rPr>
        <w:t xml:space="preserve">how we will </w:t>
      </w:r>
      <w:r w:rsidRPr="00A00F12">
        <w:rPr>
          <w:color w:val="auto"/>
        </w:rPr>
        <w:t xml:space="preserve">support a post-referendum political settlement that has the best chances to include the views of women and broader community. </w:t>
      </w:r>
      <w:r>
        <w:rPr>
          <w:color w:val="auto"/>
        </w:rPr>
        <w:t xml:space="preserve">It was developed in response to the </w:t>
      </w:r>
      <w:r w:rsidRPr="00A00F12">
        <w:rPr>
          <w:color w:val="auto"/>
        </w:rPr>
        <w:t>growing awareness, including by some political leaders, of the importance of including women and other groups in referendum and post-referendum discussions. This is based on the recognition that broad participation in the Bougainville Peace Agreement was part of the reason for its success. Our strategy looks to support and build on the messages of these leaders to maximise women's role</w:t>
      </w:r>
      <w:r>
        <w:rPr>
          <w:color w:val="auto"/>
        </w:rPr>
        <w:t>s</w:t>
      </w:r>
      <w:r w:rsidRPr="00A00F12">
        <w:rPr>
          <w:color w:val="auto"/>
        </w:rPr>
        <w:t>, and support women to assume these opportunities effectively.</w:t>
      </w:r>
      <w:r w:rsidR="006F3F5D">
        <w:rPr>
          <w:color w:val="auto"/>
        </w:rPr>
        <w:t xml:space="preserve"> </w:t>
      </w:r>
    </w:p>
    <w:p w14:paraId="5593C3A6" w14:textId="77777777" w:rsidR="002A51CA" w:rsidRDefault="002A51CA" w:rsidP="00CF62AE">
      <w:pPr>
        <w:pStyle w:val="Heading2"/>
        <w:spacing w:before="360" w:line="300" w:lineRule="exact"/>
      </w:pPr>
      <w:r>
        <w:t>Mutual obligations</w:t>
      </w:r>
    </w:p>
    <w:p w14:paraId="45307E71" w14:textId="6E0CA322" w:rsidR="00E62532" w:rsidRPr="00096426" w:rsidRDefault="00E62532" w:rsidP="00E62532">
      <w:pPr>
        <w:spacing w:line="260" w:lineRule="atLeast"/>
        <w:rPr>
          <w:rFonts w:ascii="Calibri Light" w:hAnsi="Calibri Light" w:cs="Calibri Light"/>
        </w:rPr>
      </w:pPr>
      <w:r w:rsidRPr="00096426">
        <w:rPr>
          <w:color w:val="auto"/>
        </w:rPr>
        <w:t>In April 2018, Papua New Guinea and Australia agreed to extend our Aid Partnership Arrangement (2016-2017) to allow time to revisit the partnership in light of Papua New Guinea’s Medium Te</w:t>
      </w:r>
      <w:r w:rsidR="006E1ABE">
        <w:rPr>
          <w:color w:val="auto"/>
        </w:rPr>
        <w:t>rm Development Plan III (2018-</w:t>
      </w:r>
      <w:r w:rsidRPr="00096426">
        <w:rPr>
          <w:color w:val="auto"/>
        </w:rPr>
        <w:t xml:space="preserve">22) and the maturing bilateral economic partnership. Ministers have now agreed </w:t>
      </w:r>
      <w:r>
        <w:rPr>
          <w:color w:val="auto"/>
        </w:rPr>
        <w:t xml:space="preserve">that the new Comprehensive Strategic and Economic Partnership (CSEP) </w:t>
      </w:r>
      <w:r>
        <w:rPr>
          <w:rFonts w:ascii="Calibri Light" w:hAnsi="Calibri Light" w:cs="Calibri Light"/>
          <w:color w:val="auto"/>
        </w:rPr>
        <w:t>will</w:t>
      </w:r>
      <w:r w:rsidRPr="00096426">
        <w:rPr>
          <w:rFonts w:ascii="Calibri Light" w:hAnsi="Calibri Light" w:cs="Calibri Light"/>
          <w:color w:val="auto"/>
        </w:rPr>
        <w:t xml:space="preserve"> integrate future development cooperation </w:t>
      </w:r>
      <w:r w:rsidRPr="00096426">
        <w:rPr>
          <w:rFonts w:ascii="Calibri Light" w:hAnsi="Calibri Light" w:cs="Calibri Light"/>
          <w:color w:val="auto"/>
        </w:rPr>
        <w:lastRenderedPageBreak/>
        <w:t>priorities</w:t>
      </w:r>
      <w:r w:rsidR="006E1ABE">
        <w:rPr>
          <w:rFonts w:ascii="Calibri Light" w:hAnsi="Calibri Light" w:cs="Calibri Light"/>
          <w:color w:val="auto"/>
        </w:rPr>
        <w:t>, formally positioning the development</w:t>
      </w:r>
      <w:r>
        <w:rPr>
          <w:rFonts w:ascii="Calibri Light" w:hAnsi="Calibri Light" w:cs="Calibri Light"/>
          <w:color w:val="auto"/>
        </w:rPr>
        <w:t xml:space="preserve"> program </w:t>
      </w:r>
      <w:r w:rsidRPr="00096426">
        <w:rPr>
          <w:rFonts w:ascii="Calibri Light" w:hAnsi="Calibri Light" w:cs="Calibri Light"/>
          <w:color w:val="auto"/>
        </w:rPr>
        <w:t>as an enabler of our broader economic and strategic objectives.</w:t>
      </w:r>
      <w:r>
        <w:rPr>
          <w:rFonts w:ascii="Calibri Light" w:hAnsi="Calibri Light" w:cs="Calibri Light"/>
          <w:color w:val="auto"/>
        </w:rPr>
        <w:t xml:space="preserve"> T</w:t>
      </w:r>
      <w:r w:rsidRPr="00096426">
        <w:rPr>
          <w:rFonts w:ascii="Calibri Light" w:hAnsi="Calibri Light" w:cs="Calibri Light"/>
          <w:color w:val="auto"/>
        </w:rPr>
        <w:t xml:space="preserve">his </w:t>
      </w:r>
      <w:r>
        <w:rPr>
          <w:rFonts w:ascii="Calibri Light" w:hAnsi="Calibri Light" w:cs="Calibri Light"/>
          <w:color w:val="auto"/>
        </w:rPr>
        <w:t xml:space="preserve">CSEP process also </w:t>
      </w:r>
      <w:r w:rsidRPr="00096426">
        <w:rPr>
          <w:color w:val="auto"/>
        </w:rPr>
        <w:t>provides an opportunity to review and rationalise current development cooperation architecture (including Aid Partnership Arrangements and Aid Partnership Talks).</w:t>
      </w:r>
    </w:p>
    <w:p w14:paraId="5621ACD4" w14:textId="499D61F7" w:rsidR="002A51CA" w:rsidRPr="002A51CA" w:rsidRDefault="002A51CA" w:rsidP="00CF62AE">
      <w:pPr>
        <w:pStyle w:val="Heading2"/>
        <w:spacing w:before="360" w:line="300" w:lineRule="exact"/>
      </w:pPr>
      <w:r w:rsidRPr="002A51CA">
        <w:t xml:space="preserve">Program Quality and Partner Performance </w:t>
      </w:r>
    </w:p>
    <w:p w14:paraId="64F02438" w14:textId="77777777" w:rsidR="002A51CA" w:rsidRPr="00CF62AE" w:rsidRDefault="002A51CA" w:rsidP="002A51CA">
      <w:pPr>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14:paraId="6BAA6510" w14:textId="77777777" w:rsidR="00B42046" w:rsidRPr="00B42046" w:rsidRDefault="00B42046" w:rsidP="00B42046">
      <w:pPr>
        <w:rPr>
          <w:color w:val="auto"/>
          <w:lang w:val="en-AU"/>
        </w:rPr>
      </w:pPr>
      <w:r w:rsidRPr="00B42046">
        <w:rPr>
          <w:color w:val="auto"/>
          <w:lang w:val="en-AU"/>
        </w:rPr>
        <w:t>The quality of Australia’s aid program in Papua New Guinea is measured through a performance assessment system that includes partner reporting, a robust internal quality reporting process, independent evaluations, partner performance assessments and systematic monitoring in consultation with partners, including Papua New Guinean counterparts.</w:t>
      </w:r>
    </w:p>
    <w:p w14:paraId="02F40629" w14:textId="5B1FCF73" w:rsidR="00B42046" w:rsidRPr="00B42046" w:rsidRDefault="00B42046" w:rsidP="00B42046">
      <w:pPr>
        <w:rPr>
          <w:color w:val="auto"/>
          <w:lang w:val="en-AU"/>
        </w:rPr>
      </w:pPr>
      <w:r w:rsidRPr="00B42046">
        <w:rPr>
          <w:color w:val="auto"/>
          <w:lang w:val="en-AU"/>
        </w:rPr>
        <w:t xml:space="preserve">The Papua New Guinea development program undertook </w:t>
      </w:r>
      <w:r w:rsidR="004C75D1">
        <w:rPr>
          <w:color w:val="auto"/>
          <w:lang w:val="en-AU"/>
        </w:rPr>
        <w:t>five</w:t>
      </w:r>
      <w:r w:rsidR="004C75D1" w:rsidRPr="00B42046">
        <w:rPr>
          <w:color w:val="auto"/>
          <w:lang w:val="en-AU"/>
        </w:rPr>
        <w:t xml:space="preserve"> </w:t>
      </w:r>
      <w:r w:rsidRPr="00B42046">
        <w:rPr>
          <w:color w:val="auto"/>
          <w:lang w:val="en-AU"/>
        </w:rPr>
        <w:t>independent evaluations</w:t>
      </w:r>
      <w:r w:rsidR="004C75D1">
        <w:rPr>
          <w:color w:val="auto"/>
          <w:lang w:val="en-AU"/>
        </w:rPr>
        <w:t xml:space="preserve"> that were published</w:t>
      </w:r>
      <w:r w:rsidRPr="00B42046">
        <w:rPr>
          <w:color w:val="auto"/>
          <w:lang w:val="en-AU"/>
        </w:rPr>
        <w:t xml:space="preserve"> during 2018-19,</w:t>
      </w:r>
      <w:r w:rsidR="00AA7004">
        <w:rPr>
          <w:color w:val="auto"/>
          <w:lang w:val="en-AU"/>
        </w:rPr>
        <w:t xml:space="preserve"> meeting our commitment in DFAT’</w:t>
      </w:r>
      <w:r w:rsidR="004C75D1">
        <w:rPr>
          <w:color w:val="auto"/>
          <w:lang w:val="en-AU"/>
        </w:rPr>
        <w:t>s 2019 Evaluation Policy</w:t>
      </w:r>
      <w:r w:rsidRPr="00B42046">
        <w:rPr>
          <w:color w:val="auto"/>
          <w:lang w:val="en-AU"/>
        </w:rPr>
        <w:t xml:space="preserve">. Completed and ongoing evaluations </w:t>
      </w:r>
      <w:r w:rsidR="004C75D1">
        <w:rPr>
          <w:color w:val="auto"/>
          <w:lang w:val="en-AU"/>
        </w:rPr>
        <w:t xml:space="preserve">for 2019 </w:t>
      </w:r>
      <w:r w:rsidR="006E6FA2">
        <w:rPr>
          <w:color w:val="auto"/>
          <w:lang w:val="en-AU"/>
        </w:rPr>
        <w:t>are</w:t>
      </w:r>
      <w:r w:rsidRPr="00B42046">
        <w:rPr>
          <w:color w:val="auto"/>
          <w:lang w:val="en-AU"/>
        </w:rPr>
        <w:t xml:space="preserve"> listed at Annex C. Each evaluation was undertaken to inform decisions about upcoming investments and to improve implementation. For example, the recommendations made during the Governance Partnership 2018 Annual Review guided the next phase of the partnership, which </w:t>
      </w:r>
      <w:r w:rsidR="004C75D1">
        <w:rPr>
          <w:color w:val="auto"/>
          <w:lang w:val="en-AU"/>
        </w:rPr>
        <w:t>is being</w:t>
      </w:r>
      <w:r w:rsidRPr="00B42046">
        <w:rPr>
          <w:color w:val="auto"/>
          <w:lang w:val="en-AU"/>
        </w:rPr>
        <w:t xml:space="preserve"> assessed through the 2019 Annual Review.</w:t>
      </w:r>
    </w:p>
    <w:p w14:paraId="669D035F" w14:textId="7DBFCF99" w:rsidR="00B42046" w:rsidRPr="00B42046" w:rsidRDefault="00B42046" w:rsidP="00B42046">
      <w:pPr>
        <w:rPr>
          <w:color w:val="auto"/>
        </w:rPr>
      </w:pPr>
      <w:r w:rsidRPr="00B42046">
        <w:rPr>
          <w:color w:val="auto"/>
          <w:lang w:val="en-AU"/>
        </w:rPr>
        <w:t>The Performance Assessment Framework (PAF) reflects the strategic direction for development cooperation set out in the Papua New Guinea AIP</w:t>
      </w:r>
      <w:r w:rsidRPr="00B42046">
        <w:rPr>
          <w:i/>
          <w:color w:val="auto"/>
          <w:lang w:val="en-AU"/>
        </w:rPr>
        <w:t xml:space="preserve"> </w:t>
      </w:r>
      <w:r w:rsidRPr="00B42046">
        <w:rPr>
          <w:color w:val="auto"/>
        </w:rPr>
        <w:t>2015-19</w:t>
      </w:r>
      <w:r w:rsidRPr="00B42046">
        <w:rPr>
          <w:color w:val="auto"/>
          <w:lang w:val="en-AU"/>
        </w:rPr>
        <w:t xml:space="preserve">; agreements between Australia and </w:t>
      </w:r>
      <w:r w:rsidRPr="00B42046">
        <w:rPr>
          <w:color w:val="auto"/>
        </w:rPr>
        <w:t>Papua New Guinea</w:t>
      </w:r>
      <w:r w:rsidRPr="00B42046">
        <w:rPr>
          <w:color w:val="auto"/>
          <w:lang w:val="en-AU"/>
        </w:rPr>
        <w:t xml:space="preserve"> in the </w:t>
      </w:r>
      <w:r w:rsidRPr="00B42046">
        <w:rPr>
          <w:i/>
          <w:color w:val="auto"/>
          <w:lang w:val="en-AU"/>
        </w:rPr>
        <w:t>Aid Partnership Arrangements</w:t>
      </w:r>
      <w:r w:rsidRPr="00B42046">
        <w:rPr>
          <w:color w:val="auto"/>
          <w:lang w:val="en-AU"/>
        </w:rPr>
        <w:t xml:space="preserve">; and the </w:t>
      </w:r>
      <w:r w:rsidRPr="00B42046">
        <w:rPr>
          <w:i/>
          <w:color w:val="auto"/>
          <w:lang w:val="en-AU"/>
        </w:rPr>
        <w:t>Joint Understanding on Further Bilateral Cooperation on Health, Education and Law and Order</w:t>
      </w:r>
      <w:r w:rsidRPr="00B42046">
        <w:rPr>
          <w:color w:val="auto"/>
          <w:lang w:val="en-AU"/>
        </w:rPr>
        <w:t xml:space="preserve">. </w:t>
      </w:r>
      <w:r w:rsidRPr="00B42046">
        <w:rPr>
          <w:color w:val="auto"/>
        </w:rPr>
        <w:t>The PAF sets indicators of progress across the three outcome areas: promoting effective governance, enabling economic growth and enhancing human development</w:t>
      </w:r>
      <w:r w:rsidRPr="00B42046">
        <w:rPr>
          <w:i/>
          <w:color w:val="auto"/>
        </w:rPr>
        <w:t>.</w:t>
      </w:r>
      <w:r w:rsidRPr="00B42046">
        <w:rPr>
          <w:color w:val="auto"/>
        </w:rPr>
        <w:t xml:space="preserve"> A new PAF will be developed in conjunction with the next partnership </w:t>
      </w:r>
      <w:r w:rsidR="004C75D1" w:rsidRPr="00B42046">
        <w:rPr>
          <w:color w:val="auto"/>
        </w:rPr>
        <w:t>documentation</w:t>
      </w:r>
      <w:r w:rsidRPr="00B42046">
        <w:rPr>
          <w:color w:val="auto"/>
        </w:rPr>
        <w:t xml:space="preserve">. </w:t>
      </w:r>
    </w:p>
    <w:p w14:paraId="3097415C" w14:textId="01DC8813" w:rsidR="00600479" w:rsidRPr="00CF62AE" w:rsidRDefault="006E1ABE" w:rsidP="00BE6C6D">
      <w:pPr>
        <w:rPr>
          <w:sz w:val="32"/>
          <w:szCs w:val="32"/>
          <w:lang w:eastAsia="zh-CN"/>
        </w:rPr>
      </w:pPr>
      <w:r>
        <w:rPr>
          <w:sz w:val="32"/>
          <w:szCs w:val="32"/>
          <w:lang w:eastAsia="zh-CN"/>
        </w:rPr>
        <w:t>Aid Quality Checks</w:t>
      </w:r>
    </w:p>
    <w:p w14:paraId="35B33BD7" w14:textId="3FCE6B8D" w:rsidR="00B42046" w:rsidRPr="00B42046" w:rsidRDefault="00B42046" w:rsidP="00B42046">
      <w:pPr>
        <w:rPr>
          <w:color w:val="auto"/>
        </w:rPr>
      </w:pPr>
      <w:r w:rsidRPr="00B42046">
        <w:rPr>
          <w:color w:val="auto"/>
        </w:rPr>
        <w:t>A total of 17 Aid Quality Checks (AQCs) and two Final Aid Qualit</w:t>
      </w:r>
      <w:r w:rsidR="006E1ABE">
        <w:rPr>
          <w:color w:val="auto"/>
        </w:rPr>
        <w:t>y Checks were completed in the first half of</w:t>
      </w:r>
      <w:r w:rsidRPr="00B42046">
        <w:rPr>
          <w:color w:val="auto"/>
        </w:rPr>
        <w:t xml:space="preserve"> 2019, as part of the annual aid investment quality reporting </w:t>
      </w:r>
      <w:r w:rsidR="006E1ABE">
        <w:rPr>
          <w:color w:val="auto"/>
        </w:rPr>
        <w:t>cycle (see Annex D). The AQCs for</w:t>
      </w:r>
      <w:r w:rsidRPr="00B42046">
        <w:rPr>
          <w:color w:val="auto"/>
        </w:rPr>
        <w:t xml:space="preserve"> investments ov</w:t>
      </w:r>
      <w:r w:rsidR="006E1ABE">
        <w:rPr>
          <w:color w:val="auto"/>
        </w:rPr>
        <w:t>er $10 million were</w:t>
      </w:r>
      <w:r w:rsidR="00F60563">
        <w:rPr>
          <w:color w:val="auto"/>
        </w:rPr>
        <w:t xml:space="preserve"> moderated by a DFAT Assistant</w:t>
      </w:r>
      <w:r w:rsidR="006E1ABE">
        <w:rPr>
          <w:color w:val="auto"/>
        </w:rPr>
        <w:t xml:space="preserve"> Secretary</w:t>
      </w:r>
      <w:r w:rsidRPr="00B42046">
        <w:rPr>
          <w:color w:val="auto"/>
        </w:rPr>
        <w:t xml:space="preserve"> who provided an independent view and ensured contestability. High scores were only given where robust evidence was presented. </w:t>
      </w:r>
    </w:p>
    <w:p w14:paraId="380B83A5" w14:textId="57A18639" w:rsidR="00B42046" w:rsidRPr="00B42046" w:rsidRDefault="00B42046" w:rsidP="00B42046">
      <w:pPr>
        <w:rPr>
          <w:color w:val="auto"/>
        </w:rPr>
      </w:pPr>
      <w:r w:rsidRPr="00B42046">
        <w:rPr>
          <w:color w:val="auto"/>
        </w:rPr>
        <w:t>Investments under the gender portfolio achieved noticeably high scores, due to the evidence of signifi</w:t>
      </w:r>
      <w:r w:rsidR="006E1ABE">
        <w:rPr>
          <w:color w:val="auto"/>
        </w:rPr>
        <w:t>cant progress made in key</w:t>
      </w:r>
      <w:r w:rsidRPr="00B42046">
        <w:rPr>
          <w:color w:val="auto"/>
        </w:rPr>
        <w:t xml:space="preserve"> areas supported by strong data collected through monitoring and evaluation. Gender mainstreaming across programs also improved, with 82 per cent of investments rated satisfactory or above</w:t>
      </w:r>
      <w:r w:rsidR="00B423F5">
        <w:rPr>
          <w:color w:val="auto"/>
        </w:rPr>
        <w:t xml:space="preserve"> against the strategic quality standards</w:t>
      </w:r>
      <w:r w:rsidRPr="00B42046">
        <w:rPr>
          <w:color w:val="auto"/>
        </w:rPr>
        <w:t>. Investments Requiring Improvement (IRI) in previous years were found to be performing more effectively and there were no IRIs in 2018-19.</w:t>
      </w:r>
    </w:p>
    <w:p w14:paraId="2CC610EF" w14:textId="266B8103" w:rsidR="00600479" w:rsidRPr="00CF62AE" w:rsidRDefault="00600479" w:rsidP="00600479">
      <w:pPr>
        <w:rPr>
          <w:sz w:val="32"/>
          <w:szCs w:val="32"/>
          <w:lang w:eastAsia="zh-CN"/>
        </w:rPr>
      </w:pPr>
      <w:r w:rsidRPr="00CF62AE">
        <w:rPr>
          <w:sz w:val="32"/>
          <w:szCs w:val="32"/>
          <w:lang w:eastAsia="zh-CN"/>
        </w:rPr>
        <w:t>Performance of key delivery partners</w:t>
      </w:r>
    </w:p>
    <w:p w14:paraId="458458F2" w14:textId="2EC451DF" w:rsidR="00B42046" w:rsidRDefault="00B42046" w:rsidP="00B42046">
      <w:pPr>
        <w:rPr>
          <w:color w:val="auto"/>
        </w:rPr>
      </w:pPr>
      <w:r w:rsidRPr="00AF4B30">
        <w:rPr>
          <w:color w:val="auto"/>
        </w:rPr>
        <w:t>Most investments are delivered by commercial organisations or NGOs selected through competitive processes and monitored through clear performance indicators. Some investments are delivered by multilateral banks and international organisations. Delivery</w:t>
      </w:r>
      <w:r w:rsidR="004C75D1" w:rsidRPr="00AF4B30">
        <w:rPr>
          <w:color w:val="auto"/>
        </w:rPr>
        <w:t xml:space="preserve"> of</w:t>
      </w:r>
      <w:r w:rsidRPr="00AF4B30">
        <w:rPr>
          <w:color w:val="auto"/>
        </w:rPr>
        <w:t xml:space="preserve"> partner performance </w:t>
      </w:r>
      <w:r w:rsidR="004C75D1" w:rsidRPr="00AF4B30">
        <w:rPr>
          <w:color w:val="auto"/>
        </w:rPr>
        <w:t>was</w:t>
      </w:r>
      <w:r w:rsidRPr="00AF4B30">
        <w:rPr>
          <w:color w:val="auto"/>
        </w:rPr>
        <w:t xml:space="preserve"> assessed through annual performance assessments and internal and external evaluations. We completed </w:t>
      </w:r>
      <w:r w:rsidR="00AF4B30" w:rsidRPr="00AF4B30">
        <w:rPr>
          <w:color w:val="auto"/>
        </w:rPr>
        <w:t>20</w:t>
      </w:r>
      <w:r w:rsidRPr="00AF4B30">
        <w:rPr>
          <w:color w:val="auto"/>
        </w:rPr>
        <w:t xml:space="preserve"> performance assessments of partners with agreements worth more than $3 million, including </w:t>
      </w:r>
      <w:r w:rsidR="00AF4B30" w:rsidRPr="00AF4B30">
        <w:rPr>
          <w:color w:val="auto"/>
        </w:rPr>
        <w:t>18</w:t>
      </w:r>
      <w:r w:rsidRPr="00AF4B30">
        <w:rPr>
          <w:color w:val="auto"/>
        </w:rPr>
        <w:t xml:space="preserve"> with commercial managing contractors, </w:t>
      </w:r>
      <w:r w:rsidR="00AF4B30" w:rsidRPr="00AF4B30">
        <w:rPr>
          <w:color w:val="auto"/>
        </w:rPr>
        <w:t>one</w:t>
      </w:r>
      <w:r w:rsidRPr="00AF4B30">
        <w:rPr>
          <w:color w:val="auto"/>
        </w:rPr>
        <w:t xml:space="preserve"> with </w:t>
      </w:r>
      <w:r w:rsidR="006E1ABE">
        <w:rPr>
          <w:color w:val="auto"/>
        </w:rPr>
        <w:t>a multilateral organisation</w:t>
      </w:r>
      <w:r w:rsidRPr="00AF4B30">
        <w:rPr>
          <w:color w:val="auto"/>
        </w:rPr>
        <w:t xml:space="preserve"> and one </w:t>
      </w:r>
      <w:r w:rsidR="006E1ABE">
        <w:rPr>
          <w:color w:val="auto"/>
        </w:rPr>
        <w:t>with a NGO</w:t>
      </w:r>
      <w:r w:rsidRPr="00AF4B30">
        <w:rPr>
          <w:color w:val="auto"/>
        </w:rPr>
        <w:t>. The results indicate that our partners are providing effective program support, and that DFAT</w:t>
      </w:r>
      <w:r w:rsidR="006E1ABE">
        <w:rPr>
          <w:color w:val="auto"/>
        </w:rPr>
        <w:t xml:space="preserve"> is achieving value for money through</w:t>
      </w:r>
      <w:r w:rsidRPr="00AF4B30">
        <w:rPr>
          <w:color w:val="auto"/>
        </w:rPr>
        <w:t xml:space="preserve"> these partnerships.</w:t>
      </w:r>
      <w:r w:rsidRPr="00B42046">
        <w:rPr>
          <w:color w:val="auto"/>
        </w:rPr>
        <w:t xml:space="preserve"> </w:t>
      </w:r>
    </w:p>
    <w:p w14:paraId="7D9DD6A0" w14:textId="77777777" w:rsidR="00FD4C3F" w:rsidRPr="00B42046" w:rsidRDefault="00FD4C3F" w:rsidP="00B42046">
      <w:pPr>
        <w:rPr>
          <w:color w:val="auto"/>
        </w:rPr>
      </w:pPr>
    </w:p>
    <w:p w14:paraId="458A1DBE" w14:textId="77777777" w:rsidR="004028A8" w:rsidRDefault="004028A8">
      <w:pPr>
        <w:suppressAutoHyphens w:val="0"/>
        <w:spacing w:before="0" w:after="120" w:line="440" w:lineRule="atLeast"/>
        <w:rPr>
          <w:rFonts w:asciiTheme="majorHAnsi" w:eastAsiaTheme="majorEastAsia" w:hAnsiTheme="majorHAnsi" w:cstheme="majorBidi"/>
          <w:caps/>
          <w:sz w:val="38"/>
          <w:szCs w:val="26"/>
        </w:rPr>
      </w:pPr>
      <w:r>
        <w:br w:type="page"/>
      </w:r>
    </w:p>
    <w:p w14:paraId="0E613088" w14:textId="2157EF75" w:rsidR="00903D75" w:rsidRDefault="001A4794" w:rsidP="003319B2">
      <w:pPr>
        <w:pStyle w:val="Heading2"/>
        <w:spacing w:before="360" w:line="300" w:lineRule="exact"/>
      </w:pPr>
      <w:r w:rsidRPr="002A51CA">
        <w:lastRenderedPageBreak/>
        <w:t>Risks</w:t>
      </w:r>
    </w:p>
    <w:p w14:paraId="38783B8E" w14:textId="0D61AC8C" w:rsidR="002A51CA" w:rsidRPr="008C2F58" w:rsidRDefault="002A51CA" w:rsidP="002A51CA">
      <w:pPr>
        <w:rPr>
          <w:b/>
          <w:sz w:val="24"/>
        </w:rPr>
      </w:pPr>
      <w:r w:rsidRPr="008C2F58">
        <w:rPr>
          <w:b/>
          <w:sz w:val="24"/>
        </w:rPr>
        <w:t>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8"/>
        <w:gridCol w:w="2268"/>
        <w:gridCol w:w="3119"/>
        <w:gridCol w:w="1134"/>
        <w:gridCol w:w="1121"/>
      </w:tblGrid>
      <w:tr w:rsidR="002A6AC8" w:rsidRPr="00C61187" w14:paraId="5262C02D" w14:textId="77777777" w:rsidTr="002519B7">
        <w:tc>
          <w:tcPr>
            <w:tcW w:w="1796" w:type="dxa"/>
            <w:hideMark/>
          </w:tcPr>
          <w:p w14:paraId="779175AC" w14:textId="77777777" w:rsidR="002A6AC8" w:rsidRPr="00BE6C6D" w:rsidRDefault="002A6AC8" w:rsidP="00BE6C6D">
            <w:pPr>
              <w:rPr>
                <w:rFonts w:asciiTheme="minorHAnsi" w:hAnsiTheme="minorHAnsi"/>
                <w:b/>
              </w:rPr>
            </w:pPr>
            <w:r w:rsidRPr="00BE6C6D">
              <w:rPr>
                <w:rFonts w:asciiTheme="minorHAnsi" w:hAnsiTheme="minorHAnsi"/>
                <w:b/>
              </w:rPr>
              <w:t>Key risks</w:t>
            </w:r>
            <w:r w:rsidR="004F7208">
              <w:rPr>
                <w:rFonts w:asciiTheme="minorHAnsi" w:hAnsiTheme="minorHAnsi"/>
                <w:b/>
              </w:rPr>
              <w:t xml:space="preserve"> (emerging and ongoing)</w:t>
            </w:r>
          </w:p>
        </w:tc>
        <w:tc>
          <w:tcPr>
            <w:tcW w:w="2240" w:type="dxa"/>
          </w:tcPr>
          <w:p w14:paraId="225C50E8" w14:textId="77777777"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3091" w:type="dxa"/>
          </w:tcPr>
          <w:p w14:paraId="4A988CDA" w14:textId="77777777"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106" w:type="dxa"/>
          </w:tcPr>
          <w:p w14:paraId="5960665A" w14:textId="77777777" w:rsidR="002A6AC8" w:rsidRPr="00BE6C6D" w:rsidRDefault="004F7208" w:rsidP="004F7208">
            <w:pPr>
              <w:rPr>
                <w:rFonts w:asciiTheme="minorHAnsi" w:hAnsiTheme="minorHAnsi"/>
                <w:b/>
              </w:rPr>
            </w:pPr>
            <w:r>
              <w:rPr>
                <w:rFonts w:asciiTheme="minorHAnsi" w:hAnsiTheme="minorHAnsi"/>
                <w:b/>
              </w:rPr>
              <w:t>P</w:t>
            </w:r>
            <w:r w:rsidR="002A6AC8" w:rsidRPr="00BE6C6D">
              <w:rPr>
                <w:rFonts w:asciiTheme="minorHAnsi" w:hAnsiTheme="minorHAnsi"/>
                <w:b/>
              </w:rPr>
              <w:t>rovide a Risk Rating (low, medium, high, very high)</w:t>
            </w:r>
          </w:p>
        </w:tc>
        <w:tc>
          <w:tcPr>
            <w:tcW w:w="1079" w:type="dxa"/>
          </w:tcPr>
          <w:p w14:paraId="62437EC2" w14:textId="77777777" w:rsidR="002A6AC8" w:rsidRPr="00BE6C6D" w:rsidRDefault="0043564E" w:rsidP="0043564E">
            <w:pPr>
              <w:rPr>
                <w:b/>
              </w:rPr>
            </w:pPr>
            <w:r w:rsidRPr="002519B7">
              <w:rPr>
                <w:rFonts w:asciiTheme="minorHAnsi" w:hAnsiTheme="minorHAnsi"/>
                <w:b/>
              </w:rPr>
              <w:t xml:space="preserve">Are </w:t>
            </w:r>
            <w:r w:rsidR="002A6AC8" w:rsidRPr="002519B7">
              <w:rPr>
                <w:rFonts w:asciiTheme="minorHAnsi" w:hAnsiTheme="minorHAnsi"/>
                <w:b/>
              </w:rPr>
              <w:t xml:space="preserve">these same risks </w:t>
            </w:r>
            <w:r w:rsidRPr="002519B7">
              <w:rPr>
                <w:rFonts w:asciiTheme="minorHAnsi" w:hAnsiTheme="minorHAnsi"/>
                <w:b/>
              </w:rPr>
              <w:t xml:space="preserve">in in </w:t>
            </w:r>
            <w:r w:rsidR="002A6AC8" w:rsidRPr="002519B7">
              <w:rPr>
                <w:rFonts w:asciiTheme="minorHAnsi" w:hAnsiTheme="minorHAnsi"/>
                <w:b/>
              </w:rPr>
              <w:t>Post’s Risk Register (Yes/No)*</w:t>
            </w:r>
          </w:p>
        </w:tc>
      </w:tr>
      <w:tr w:rsidR="006B72DA" w:rsidRPr="006B72DA" w14:paraId="0A6C1ECF" w14:textId="77777777" w:rsidTr="002519B7">
        <w:tc>
          <w:tcPr>
            <w:tcW w:w="1796" w:type="dxa"/>
            <w:hideMark/>
          </w:tcPr>
          <w:p w14:paraId="3173672C" w14:textId="77777777" w:rsidR="002A6AC8" w:rsidRPr="006B72DA" w:rsidRDefault="000D4B8F" w:rsidP="00BE6C6D">
            <w:pPr>
              <w:rPr>
                <w:rFonts w:asciiTheme="minorHAnsi" w:hAnsiTheme="minorHAnsi"/>
                <w:color w:val="auto"/>
              </w:rPr>
            </w:pPr>
            <w:r w:rsidRPr="006B72DA">
              <w:rPr>
                <w:color w:val="auto"/>
              </w:rPr>
              <w:t>Australians perceive the PNG aid program as ineffective, not relevant, poorly targeted or poor value for money</w:t>
            </w:r>
          </w:p>
        </w:tc>
        <w:tc>
          <w:tcPr>
            <w:tcW w:w="2240" w:type="dxa"/>
          </w:tcPr>
          <w:p w14:paraId="3349E13F" w14:textId="77777777" w:rsidR="002A6AC8" w:rsidRPr="006B72DA" w:rsidRDefault="000D4B8F" w:rsidP="00BE6C6D">
            <w:pPr>
              <w:rPr>
                <w:rFonts w:asciiTheme="minorHAnsi" w:hAnsiTheme="minorHAnsi"/>
                <w:color w:val="auto"/>
              </w:rPr>
            </w:pPr>
            <w:r w:rsidRPr="006B72DA">
              <w:rPr>
                <w:color w:val="auto"/>
              </w:rPr>
              <w:t>We monitored program performance  and ensured senior management oversight of program strategy, performance and communication</w:t>
            </w:r>
          </w:p>
        </w:tc>
        <w:tc>
          <w:tcPr>
            <w:tcW w:w="3091" w:type="dxa"/>
          </w:tcPr>
          <w:p w14:paraId="3452F4B2" w14:textId="53AF8671" w:rsidR="002A6AC8" w:rsidRPr="006B72DA" w:rsidRDefault="000D4B8F" w:rsidP="00BE6C6D">
            <w:pPr>
              <w:rPr>
                <w:rFonts w:asciiTheme="minorHAnsi" w:hAnsiTheme="minorHAnsi"/>
                <w:color w:val="auto"/>
              </w:rPr>
            </w:pPr>
            <w:r w:rsidRPr="006B72DA">
              <w:rPr>
                <w:color w:val="auto"/>
              </w:rPr>
              <w:t>We will explore innovative approaches to communicate the work and value add of the aid program. We will continue to establish Performance Assessment Frameworks</w:t>
            </w:r>
            <w:r w:rsidR="006E1ABE">
              <w:rPr>
                <w:color w:val="auto"/>
              </w:rPr>
              <w:t xml:space="preserve"> where relevant</w:t>
            </w:r>
            <w:r w:rsidRPr="006B72DA">
              <w:rPr>
                <w:color w:val="auto"/>
              </w:rPr>
              <w:t>, improve monitoring, conduct regular evaluations and risk discussions, and pay particular attention to higher risk investments.</w:t>
            </w:r>
          </w:p>
        </w:tc>
        <w:tc>
          <w:tcPr>
            <w:tcW w:w="1106" w:type="dxa"/>
          </w:tcPr>
          <w:p w14:paraId="6D821D17" w14:textId="77777777" w:rsidR="002A6AC8" w:rsidRPr="006B72DA" w:rsidRDefault="000D4B8F" w:rsidP="00BE6C6D">
            <w:pPr>
              <w:rPr>
                <w:rFonts w:asciiTheme="minorHAnsi" w:hAnsiTheme="minorHAnsi"/>
                <w:color w:val="auto"/>
              </w:rPr>
            </w:pPr>
            <w:r w:rsidRPr="006B72DA">
              <w:rPr>
                <w:color w:val="auto"/>
              </w:rPr>
              <w:t>High</w:t>
            </w:r>
          </w:p>
        </w:tc>
        <w:tc>
          <w:tcPr>
            <w:tcW w:w="1079" w:type="dxa"/>
          </w:tcPr>
          <w:p w14:paraId="33A2DFAF" w14:textId="77777777" w:rsidR="002A6AC8" w:rsidRPr="006B72DA" w:rsidRDefault="000D4B8F" w:rsidP="00BE6C6D">
            <w:pPr>
              <w:rPr>
                <w:color w:val="auto"/>
              </w:rPr>
            </w:pPr>
            <w:r w:rsidRPr="006B72DA">
              <w:rPr>
                <w:color w:val="auto"/>
              </w:rPr>
              <w:t>Yes</w:t>
            </w:r>
          </w:p>
        </w:tc>
      </w:tr>
      <w:tr w:rsidR="006B72DA" w:rsidRPr="006B72DA" w14:paraId="7C09BA2C" w14:textId="77777777" w:rsidTr="002519B7">
        <w:tc>
          <w:tcPr>
            <w:tcW w:w="1796" w:type="dxa"/>
            <w:hideMark/>
          </w:tcPr>
          <w:p w14:paraId="70E6A3B1" w14:textId="00F0748F" w:rsidR="00205040" w:rsidRPr="006B72DA" w:rsidRDefault="00205040" w:rsidP="006E1ABE">
            <w:pPr>
              <w:keepLines/>
              <w:spacing w:before="40" w:after="40" w:line="200" w:lineRule="atLeast"/>
              <w:rPr>
                <w:rFonts w:eastAsia="Times New Roman"/>
                <w:iCs/>
                <w:color w:val="auto"/>
                <w:szCs w:val="17"/>
                <w:lang w:eastAsia="en-US"/>
              </w:rPr>
            </w:pPr>
            <w:r w:rsidRPr="006B72DA">
              <w:rPr>
                <w:color w:val="auto"/>
              </w:rPr>
              <w:t xml:space="preserve">The bilateral relationship with the new </w:t>
            </w:r>
            <w:r w:rsidR="006E1ABE">
              <w:rPr>
                <w:color w:val="auto"/>
              </w:rPr>
              <w:t xml:space="preserve">Government </w:t>
            </w:r>
            <w:r w:rsidRPr="006B72DA">
              <w:rPr>
                <w:color w:val="auto"/>
              </w:rPr>
              <w:t xml:space="preserve">deteriorates, impacting our ability to deliver the aid program. </w:t>
            </w:r>
          </w:p>
        </w:tc>
        <w:tc>
          <w:tcPr>
            <w:tcW w:w="2240" w:type="dxa"/>
          </w:tcPr>
          <w:p w14:paraId="5B22BBDA"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 xml:space="preserve">We have invested in consistent, strong communication with the PNG Government. We have started building strong relationships with the new Prime Minister and his Ministers.  </w:t>
            </w:r>
          </w:p>
        </w:tc>
        <w:tc>
          <w:tcPr>
            <w:tcW w:w="3091" w:type="dxa"/>
          </w:tcPr>
          <w:p w14:paraId="5E8D9274"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 xml:space="preserve">We will continue to build strong relationships with key Papua New Guinea Government counterparts to deliver an effective, efficient and resilient aid program. </w:t>
            </w:r>
          </w:p>
        </w:tc>
        <w:tc>
          <w:tcPr>
            <w:tcW w:w="1106" w:type="dxa"/>
          </w:tcPr>
          <w:p w14:paraId="78385A6F"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Medium</w:t>
            </w:r>
          </w:p>
        </w:tc>
        <w:tc>
          <w:tcPr>
            <w:tcW w:w="1079" w:type="dxa"/>
          </w:tcPr>
          <w:p w14:paraId="24F23C8D"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Yes</w:t>
            </w:r>
          </w:p>
        </w:tc>
      </w:tr>
      <w:tr w:rsidR="006B72DA" w:rsidRPr="006B72DA" w14:paraId="4125187B" w14:textId="77777777" w:rsidTr="002519B7">
        <w:trPr>
          <w:trHeight w:val="56"/>
        </w:trPr>
        <w:tc>
          <w:tcPr>
            <w:tcW w:w="1796" w:type="dxa"/>
          </w:tcPr>
          <w:p w14:paraId="1C3818BB"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 xml:space="preserve">Fraud, corruption and other non-compliance with DFAT policies so that program outcomes are put at risk. </w:t>
            </w:r>
          </w:p>
        </w:tc>
        <w:tc>
          <w:tcPr>
            <w:tcW w:w="2240" w:type="dxa"/>
          </w:tcPr>
          <w:p w14:paraId="2F198365"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 xml:space="preserve">We provided ongoing training, regular communication, policy guidance and monitoring of due diligence (fraud, child protection), gender, disability and other policies. </w:t>
            </w:r>
          </w:p>
        </w:tc>
        <w:tc>
          <w:tcPr>
            <w:tcW w:w="3091" w:type="dxa"/>
          </w:tcPr>
          <w:p w14:paraId="00D27BC8"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 xml:space="preserve">We will continue monitoring safeguards, fraud risks and the effectiveness of control measures, and support staff and partners to strengthen contract management so that program outcomes are put at risk. </w:t>
            </w:r>
          </w:p>
        </w:tc>
        <w:tc>
          <w:tcPr>
            <w:tcW w:w="1106" w:type="dxa"/>
          </w:tcPr>
          <w:p w14:paraId="25E36314" w14:textId="77777777" w:rsidR="00205040" w:rsidRPr="006B72DA" w:rsidRDefault="00205040" w:rsidP="00205040">
            <w:pPr>
              <w:keepLines/>
              <w:spacing w:before="40" w:after="40" w:line="200" w:lineRule="atLeast"/>
              <w:rPr>
                <w:rFonts w:eastAsia="Times New Roman"/>
                <w:iCs/>
                <w:color w:val="auto"/>
                <w:szCs w:val="17"/>
                <w:lang w:eastAsia="en-US"/>
              </w:rPr>
            </w:pPr>
            <w:r w:rsidRPr="006B72DA">
              <w:rPr>
                <w:color w:val="auto"/>
              </w:rPr>
              <w:t>High</w:t>
            </w:r>
          </w:p>
        </w:tc>
        <w:tc>
          <w:tcPr>
            <w:tcW w:w="1079" w:type="dxa"/>
          </w:tcPr>
          <w:p w14:paraId="1F5CAB51"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Yes</w:t>
            </w:r>
          </w:p>
        </w:tc>
      </w:tr>
      <w:tr w:rsidR="006B72DA" w:rsidRPr="006B72DA" w14:paraId="43D5B767" w14:textId="77777777" w:rsidTr="002519B7">
        <w:trPr>
          <w:trHeight w:val="56"/>
        </w:trPr>
        <w:tc>
          <w:tcPr>
            <w:tcW w:w="1796" w:type="dxa"/>
          </w:tcPr>
          <w:p w14:paraId="472904E8"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 xml:space="preserve">Staff capacity and expertise decreases, jeopardising the effective delivery of the program. </w:t>
            </w:r>
          </w:p>
        </w:tc>
        <w:tc>
          <w:tcPr>
            <w:tcW w:w="2240" w:type="dxa"/>
          </w:tcPr>
          <w:p w14:paraId="0BAE0EC1" w14:textId="1C892D15" w:rsidR="00205040" w:rsidRPr="006B72DA" w:rsidRDefault="00205040" w:rsidP="006E1ABE">
            <w:pPr>
              <w:keepLines/>
              <w:spacing w:before="40" w:after="40" w:line="200" w:lineRule="atLeast"/>
              <w:rPr>
                <w:rFonts w:eastAsia="Times New Roman"/>
                <w:iCs/>
                <w:color w:val="auto"/>
                <w:szCs w:val="17"/>
              </w:rPr>
            </w:pPr>
            <w:r w:rsidRPr="006B72DA">
              <w:rPr>
                <w:color w:val="auto"/>
              </w:rPr>
              <w:t xml:space="preserve">We invested in recruitment, </w:t>
            </w:r>
            <w:r w:rsidR="00661293" w:rsidRPr="006B72DA">
              <w:rPr>
                <w:color w:val="auto"/>
              </w:rPr>
              <w:t>short-term</w:t>
            </w:r>
            <w:r w:rsidRPr="006B72DA">
              <w:rPr>
                <w:color w:val="auto"/>
              </w:rPr>
              <w:t xml:space="preserve"> missions, training, communication, coordination, </w:t>
            </w:r>
            <w:r w:rsidR="006E1ABE">
              <w:rPr>
                <w:color w:val="auto"/>
              </w:rPr>
              <w:t xml:space="preserve">paid particular focus to </w:t>
            </w:r>
            <w:r w:rsidRPr="006B72DA">
              <w:rPr>
                <w:color w:val="auto"/>
              </w:rPr>
              <w:t xml:space="preserve">effective desk-post engagement. </w:t>
            </w:r>
          </w:p>
        </w:tc>
        <w:tc>
          <w:tcPr>
            <w:tcW w:w="3091" w:type="dxa"/>
          </w:tcPr>
          <w:p w14:paraId="2F78A6C1" w14:textId="532276D2" w:rsidR="00205040" w:rsidRPr="006B72DA" w:rsidRDefault="006E1ABE" w:rsidP="006E1ABE">
            <w:pPr>
              <w:keepLines/>
              <w:spacing w:before="40" w:after="40" w:line="200" w:lineRule="atLeast"/>
              <w:rPr>
                <w:rFonts w:eastAsia="Times New Roman"/>
                <w:iCs/>
                <w:color w:val="auto"/>
                <w:szCs w:val="17"/>
              </w:rPr>
            </w:pPr>
            <w:r>
              <w:rPr>
                <w:color w:val="auto"/>
              </w:rPr>
              <w:t xml:space="preserve">Post and Desk will continue to work together, </w:t>
            </w:r>
            <w:r w:rsidR="00205040" w:rsidRPr="006B72DA">
              <w:rPr>
                <w:color w:val="auto"/>
              </w:rPr>
              <w:t xml:space="preserve">and review training requirements. </w:t>
            </w:r>
          </w:p>
        </w:tc>
        <w:tc>
          <w:tcPr>
            <w:tcW w:w="1106" w:type="dxa"/>
          </w:tcPr>
          <w:p w14:paraId="42A20D22"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Medium</w:t>
            </w:r>
          </w:p>
        </w:tc>
        <w:tc>
          <w:tcPr>
            <w:tcW w:w="1079" w:type="dxa"/>
          </w:tcPr>
          <w:p w14:paraId="5DDEB514"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Yes</w:t>
            </w:r>
          </w:p>
        </w:tc>
      </w:tr>
      <w:tr w:rsidR="006B72DA" w:rsidRPr="006B72DA" w14:paraId="699D8159" w14:textId="77777777" w:rsidTr="002519B7">
        <w:trPr>
          <w:trHeight w:val="56"/>
        </w:trPr>
        <w:tc>
          <w:tcPr>
            <w:tcW w:w="1796" w:type="dxa"/>
          </w:tcPr>
          <w:p w14:paraId="78E9BCE9" w14:textId="77777777" w:rsidR="00205040" w:rsidRPr="006B72DA" w:rsidRDefault="00205040" w:rsidP="00205040">
            <w:pPr>
              <w:keepLines/>
              <w:spacing w:before="40" w:after="40" w:line="200" w:lineRule="atLeast"/>
              <w:rPr>
                <w:color w:val="auto"/>
              </w:rPr>
            </w:pPr>
            <w:r w:rsidRPr="006B72DA">
              <w:rPr>
                <w:color w:val="auto"/>
              </w:rPr>
              <w:t xml:space="preserve">A natural disaster impacts on our ability to deliver on our investments. </w:t>
            </w:r>
          </w:p>
        </w:tc>
        <w:tc>
          <w:tcPr>
            <w:tcW w:w="2240" w:type="dxa"/>
          </w:tcPr>
          <w:p w14:paraId="3A013653" w14:textId="77777777" w:rsidR="00205040" w:rsidRPr="006B72DA" w:rsidRDefault="00205040" w:rsidP="00205040">
            <w:pPr>
              <w:keepLines/>
              <w:spacing w:before="40" w:after="40" w:line="200" w:lineRule="atLeast"/>
              <w:rPr>
                <w:color w:val="auto"/>
              </w:rPr>
            </w:pPr>
            <w:r w:rsidRPr="006B72DA">
              <w:rPr>
                <w:color w:val="auto"/>
              </w:rPr>
              <w:t>Our investments take into account and actively manage for Papua New Guinea’s vulnerability to natural disasters.</w:t>
            </w:r>
          </w:p>
        </w:tc>
        <w:tc>
          <w:tcPr>
            <w:tcW w:w="3091" w:type="dxa"/>
          </w:tcPr>
          <w:p w14:paraId="5B8DD568" w14:textId="77777777" w:rsidR="00205040" w:rsidRPr="006B72DA" w:rsidRDefault="00205040" w:rsidP="00205040">
            <w:pPr>
              <w:keepLines/>
              <w:spacing w:before="40" w:after="40" w:line="200" w:lineRule="atLeast"/>
              <w:rPr>
                <w:color w:val="auto"/>
              </w:rPr>
            </w:pPr>
            <w:r w:rsidRPr="006B72DA">
              <w:rPr>
                <w:color w:val="auto"/>
              </w:rPr>
              <w:t xml:space="preserve">Individual plans will continue to be reviewed, including externally, and updated as appropriate. </w:t>
            </w:r>
          </w:p>
        </w:tc>
        <w:tc>
          <w:tcPr>
            <w:tcW w:w="1106" w:type="dxa"/>
          </w:tcPr>
          <w:p w14:paraId="6B40ED04" w14:textId="77777777" w:rsidR="00205040" w:rsidRPr="006B72DA" w:rsidRDefault="00205040" w:rsidP="00205040">
            <w:pPr>
              <w:keepLines/>
              <w:spacing w:before="40" w:after="40" w:line="200" w:lineRule="atLeast"/>
              <w:rPr>
                <w:color w:val="auto"/>
              </w:rPr>
            </w:pPr>
            <w:r w:rsidRPr="006B72DA">
              <w:rPr>
                <w:color w:val="auto"/>
              </w:rPr>
              <w:t>Medium</w:t>
            </w:r>
          </w:p>
        </w:tc>
        <w:tc>
          <w:tcPr>
            <w:tcW w:w="1079" w:type="dxa"/>
          </w:tcPr>
          <w:p w14:paraId="34D1A46C" w14:textId="77777777" w:rsidR="00205040" w:rsidRPr="006B72DA" w:rsidRDefault="00205040" w:rsidP="00205040">
            <w:pPr>
              <w:keepLines/>
              <w:spacing w:before="40" w:after="40" w:line="200" w:lineRule="atLeast"/>
              <w:rPr>
                <w:rFonts w:eastAsia="Times New Roman"/>
                <w:iCs/>
                <w:color w:val="auto"/>
                <w:szCs w:val="17"/>
              </w:rPr>
            </w:pPr>
            <w:r w:rsidRPr="006B72DA">
              <w:rPr>
                <w:color w:val="auto"/>
              </w:rPr>
              <w:t>Yes</w:t>
            </w:r>
          </w:p>
        </w:tc>
      </w:tr>
    </w:tbl>
    <w:p w14:paraId="5A78236C" w14:textId="77777777" w:rsidR="002A51CA" w:rsidRPr="006B72DA" w:rsidRDefault="002A51CA" w:rsidP="002A51CA">
      <w:pPr>
        <w:spacing w:before="20" w:after="20" w:line="180" w:lineRule="atLeast"/>
        <w:jc w:val="both"/>
        <w:rPr>
          <w:rFonts w:ascii="Franklin Gothic Book" w:eastAsia="Times New Roman" w:hAnsi="Franklin Gothic Book"/>
          <w:b/>
          <w:color w:val="auto"/>
          <w:sz w:val="14"/>
          <w:szCs w:val="14"/>
        </w:rPr>
      </w:pPr>
    </w:p>
    <w:p w14:paraId="4DF3DC3F" w14:textId="77777777" w:rsidR="002A6AC8" w:rsidRPr="006B72DA" w:rsidRDefault="00CE68ED" w:rsidP="002A51CA">
      <w:pPr>
        <w:spacing w:before="20" w:after="20" w:line="180" w:lineRule="atLeast"/>
        <w:jc w:val="both"/>
        <w:rPr>
          <w:rFonts w:eastAsia="Times New Roman"/>
          <w:color w:val="auto"/>
        </w:rPr>
      </w:pPr>
      <w:r w:rsidRPr="006B72DA">
        <w:rPr>
          <w:color w:val="auto"/>
        </w:rPr>
        <w:t>The overall risk profile for the program has not changed considerably over the last twelve months.</w:t>
      </w:r>
    </w:p>
    <w:p w14:paraId="0F2AE26C" w14:textId="77777777" w:rsidR="00903D75" w:rsidRDefault="00903D75">
      <w:pPr>
        <w:suppressAutoHyphens w:val="0"/>
        <w:spacing w:before="0" w:after="120" w:line="440" w:lineRule="atLeast"/>
        <w:rPr>
          <w:rFonts w:asciiTheme="majorHAnsi" w:eastAsiaTheme="majorEastAsia" w:hAnsiTheme="majorHAnsi" w:cstheme="majorBidi"/>
          <w:caps/>
          <w:sz w:val="38"/>
          <w:szCs w:val="26"/>
        </w:rPr>
      </w:pPr>
      <w:r>
        <w:br w:type="page"/>
      </w:r>
    </w:p>
    <w:p w14:paraId="452984D3" w14:textId="4F126148" w:rsidR="003C65F7" w:rsidRDefault="002A51CA" w:rsidP="00047FFB">
      <w:pPr>
        <w:pStyle w:val="Heading2"/>
        <w:spacing w:before="360" w:line="300" w:lineRule="exact"/>
      </w:pPr>
      <w:r w:rsidRPr="002A51CA">
        <w:lastRenderedPageBreak/>
        <w:t xml:space="preserve">Management </w:t>
      </w:r>
      <w:r w:rsidR="00AC302F">
        <w:t>actions</w:t>
      </w:r>
    </w:p>
    <w:p w14:paraId="239CE9AF" w14:textId="109BE5C8" w:rsidR="002A51CA" w:rsidRPr="002A51CA" w:rsidRDefault="003C65F7" w:rsidP="00047FFB">
      <w:pPr>
        <w:pStyle w:val="Heading2"/>
        <w:spacing w:before="360" w:line="300" w:lineRule="exact"/>
      </w:pPr>
      <w:r w:rsidRPr="003C65F7">
        <w:rPr>
          <w:rFonts w:asciiTheme="minorHAnsi" w:eastAsiaTheme="minorHAnsi" w:hAnsiTheme="minorHAnsi" w:cstheme="minorBidi"/>
          <w:caps w:val="0"/>
          <w:color w:val="auto"/>
          <w:sz w:val="22"/>
          <w:szCs w:val="22"/>
          <w:lang w:val="en-AU"/>
        </w:rPr>
        <w:t xml:space="preserve">To increase the effectiveness of Australian aid to </w:t>
      </w:r>
      <w:r>
        <w:rPr>
          <w:rFonts w:asciiTheme="minorHAnsi" w:eastAsiaTheme="minorHAnsi" w:hAnsiTheme="minorHAnsi" w:cstheme="minorBidi"/>
          <w:caps w:val="0"/>
          <w:color w:val="auto"/>
          <w:sz w:val="22"/>
          <w:szCs w:val="22"/>
          <w:lang w:val="en-AU"/>
        </w:rPr>
        <w:t>Papua New Guinea</w:t>
      </w:r>
      <w:r w:rsidRPr="003C65F7">
        <w:rPr>
          <w:rFonts w:asciiTheme="minorHAnsi" w:eastAsiaTheme="minorHAnsi" w:hAnsiTheme="minorHAnsi" w:cstheme="minorBidi"/>
          <w:caps w:val="0"/>
          <w:color w:val="auto"/>
          <w:sz w:val="22"/>
          <w:szCs w:val="22"/>
          <w:lang w:val="en-AU"/>
        </w:rPr>
        <w:t>, Australia will take the follo</w:t>
      </w:r>
      <w:r>
        <w:rPr>
          <w:rFonts w:asciiTheme="minorHAnsi" w:eastAsiaTheme="minorHAnsi" w:hAnsiTheme="minorHAnsi" w:cstheme="minorBidi"/>
          <w:caps w:val="0"/>
          <w:color w:val="auto"/>
          <w:sz w:val="22"/>
          <w:szCs w:val="22"/>
          <w:lang w:val="en-AU"/>
        </w:rPr>
        <w:t>wing management actions in 20</w:t>
      </w:r>
      <w:r w:rsidRPr="003C65F7">
        <w:rPr>
          <w:rFonts w:asciiTheme="minorHAnsi" w:eastAsiaTheme="minorHAnsi" w:hAnsiTheme="minorHAnsi" w:cstheme="minorBidi"/>
          <w:caps w:val="0"/>
          <w:color w:val="auto"/>
          <w:sz w:val="22"/>
          <w:szCs w:val="22"/>
          <w:lang w:val="en-AU"/>
        </w:rPr>
        <w:t>19</w:t>
      </w:r>
      <w:r>
        <w:rPr>
          <w:rFonts w:asciiTheme="minorHAnsi" w:eastAsiaTheme="minorHAnsi" w:hAnsiTheme="minorHAnsi" w:cstheme="minorBidi"/>
          <w:caps w:val="0"/>
          <w:color w:val="auto"/>
          <w:sz w:val="22"/>
          <w:szCs w:val="22"/>
          <w:lang w:val="en-AU"/>
        </w:rPr>
        <w:t>-20</w:t>
      </w:r>
      <w:r w:rsidRPr="003C65F7">
        <w:rPr>
          <w:rFonts w:asciiTheme="minorHAnsi" w:eastAsiaTheme="minorHAnsi" w:hAnsiTheme="minorHAnsi" w:cstheme="minorBidi"/>
          <w:caps w:val="0"/>
          <w:color w:val="auto"/>
          <w:sz w:val="22"/>
          <w:szCs w:val="22"/>
          <w:lang w:val="en-AU"/>
        </w:rPr>
        <w:t>:</w:t>
      </w:r>
      <w:r w:rsidR="002A51CA" w:rsidRPr="002A51CA">
        <w:tab/>
      </w:r>
      <w:r w:rsidR="002A51CA" w:rsidRPr="002A51CA">
        <w:tab/>
      </w:r>
    </w:p>
    <w:p w14:paraId="55BDA036" w14:textId="77777777" w:rsidR="0037266D" w:rsidRPr="009860DE" w:rsidRDefault="0037266D" w:rsidP="0037266D">
      <w:pPr>
        <w:rPr>
          <w:b/>
          <w:bCs/>
          <w:color w:val="auto"/>
          <w:lang w:val="en-AU"/>
        </w:rPr>
      </w:pPr>
      <w:r w:rsidRPr="009860DE">
        <w:rPr>
          <w:b/>
          <w:bCs/>
          <w:color w:val="auto"/>
          <w:lang w:val="en-AU"/>
        </w:rPr>
        <w:t>Strategic</w:t>
      </w:r>
    </w:p>
    <w:p w14:paraId="5A81C54C" w14:textId="10B88FE9" w:rsidR="00360FB8" w:rsidRDefault="006E1ABE" w:rsidP="00800407">
      <w:pPr>
        <w:numPr>
          <w:ilvl w:val="0"/>
          <w:numId w:val="40"/>
        </w:numPr>
        <w:spacing w:before="0"/>
        <w:rPr>
          <w:color w:val="auto"/>
          <w:lang w:val="en-AU"/>
        </w:rPr>
      </w:pPr>
      <w:r>
        <w:rPr>
          <w:color w:val="auto"/>
          <w:lang w:val="en-AU"/>
        </w:rPr>
        <w:t>Over the coming</w:t>
      </w:r>
      <w:r w:rsidR="00360FB8" w:rsidRPr="00CE6F17">
        <w:rPr>
          <w:color w:val="auto"/>
          <w:lang w:val="en-AU"/>
        </w:rPr>
        <w:t xml:space="preserve"> months, DFAT will take steps to upgrade the </w:t>
      </w:r>
      <w:r w:rsidR="000B6C89" w:rsidRPr="007F51C6">
        <w:rPr>
          <w:color w:val="auto"/>
        </w:rPr>
        <w:t>Papua New Guinea</w:t>
      </w:r>
      <w:r w:rsidR="000B6C89" w:rsidRPr="00CE6F17">
        <w:rPr>
          <w:color w:val="auto"/>
          <w:lang w:val="en-AU"/>
        </w:rPr>
        <w:t xml:space="preserve"> </w:t>
      </w:r>
      <w:r w:rsidR="00360FB8" w:rsidRPr="00CE6F17">
        <w:rPr>
          <w:color w:val="auto"/>
          <w:lang w:val="en-AU"/>
        </w:rPr>
        <w:t>-Australia bilateral architecture. This will involve negotiating a Comprehensive Strategic and Economic Partnership</w:t>
      </w:r>
      <w:r w:rsidR="00360FB8">
        <w:rPr>
          <w:color w:val="auto"/>
          <w:lang w:val="en-AU"/>
        </w:rPr>
        <w:t xml:space="preserve"> </w:t>
      </w:r>
      <w:r>
        <w:rPr>
          <w:color w:val="auto"/>
          <w:lang w:val="en-AU"/>
        </w:rPr>
        <w:t xml:space="preserve">(CSEP) </w:t>
      </w:r>
      <w:r w:rsidR="00360FB8" w:rsidRPr="00CE6F17">
        <w:rPr>
          <w:color w:val="auto"/>
          <w:lang w:val="en-AU"/>
        </w:rPr>
        <w:t xml:space="preserve">with </w:t>
      </w:r>
      <w:r w:rsidR="00360FB8">
        <w:rPr>
          <w:color w:val="auto"/>
          <w:lang w:val="en-AU"/>
        </w:rPr>
        <w:t>Papua New Guinea</w:t>
      </w:r>
      <w:r w:rsidR="00360FB8" w:rsidRPr="00CE6F17">
        <w:rPr>
          <w:color w:val="auto"/>
          <w:lang w:val="en-AU"/>
        </w:rPr>
        <w:t xml:space="preserve">. We plan to use this new partnership to capture a new set of development </w:t>
      </w:r>
      <w:r>
        <w:rPr>
          <w:color w:val="auto"/>
          <w:lang w:val="en-AU"/>
        </w:rPr>
        <w:t xml:space="preserve">priorities with Papua New Guinea, </w:t>
      </w:r>
      <w:r w:rsidR="00360FB8">
        <w:rPr>
          <w:color w:val="auto"/>
          <w:lang w:val="en-AU"/>
        </w:rPr>
        <w:t>which will</w:t>
      </w:r>
      <w:r w:rsidR="00360FB8" w:rsidRPr="00CE6F17">
        <w:rPr>
          <w:color w:val="auto"/>
          <w:lang w:val="en-AU"/>
        </w:rPr>
        <w:t xml:space="preserve"> formally integrate development into our broader engagement with </w:t>
      </w:r>
      <w:r w:rsidR="00360FB8">
        <w:rPr>
          <w:color w:val="auto"/>
          <w:lang w:val="en-AU"/>
        </w:rPr>
        <w:t>Papua New Guinea</w:t>
      </w:r>
      <w:r w:rsidR="00360FB8" w:rsidRPr="00CE6F17">
        <w:rPr>
          <w:color w:val="auto"/>
          <w:lang w:val="en-AU"/>
        </w:rPr>
        <w:t>.</w:t>
      </w:r>
    </w:p>
    <w:p w14:paraId="3F7ACA07" w14:textId="4C9A99C3" w:rsidR="00360FB8" w:rsidRDefault="00360FB8" w:rsidP="00360FB8">
      <w:pPr>
        <w:numPr>
          <w:ilvl w:val="0"/>
          <w:numId w:val="40"/>
        </w:numPr>
        <w:rPr>
          <w:color w:val="auto"/>
          <w:lang w:val="en-AU"/>
        </w:rPr>
      </w:pPr>
      <w:r>
        <w:rPr>
          <w:color w:val="auto"/>
          <w:lang w:val="en-AU"/>
        </w:rPr>
        <w:t xml:space="preserve">Develop and implement a whole of government subnational strategy that deepens our engagement in key regions of </w:t>
      </w:r>
      <w:r w:rsidR="000B6C89" w:rsidRPr="007F51C6">
        <w:rPr>
          <w:color w:val="auto"/>
        </w:rPr>
        <w:t>Papua New Guinea</w:t>
      </w:r>
      <w:r w:rsidR="000B6C89">
        <w:rPr>
          <w:color w:val="auto"/>
          <w:lang w:val="en-AU"/>
        </w:rPr>
        <w:t xml:space="preserve"> </w:t>
      </w:r>
      <w:r>
        <w:rPr>
          <w:color w:val="auto"/>
          <w:lang w:val="en-AU"/>
        </w:rPr>
        <w:t xml:space="preserve">to drive greater coordination of Australia’s extensive subnational investments and to support the </w:t>
      </w:r>
      <w:r w:rsidR="000B6C89">
        <w:rPr>
          <w:color w:val="auto"/>
          <w:lang w:val="en-AU"/>
        </w:rPr>
        <w:t>G</w:t>
      </w:r>
      <w:r>
        <w:rPr>
          <w:color w:val="auto"/>
          <w:lang w:val="en-AU"/>
        </w:rPr>
        <w:t>overnment</w:t>
      </w:r>
      <w:r w:rsidR="000B6C89">
        <w:rPr>
          <w:color w:val="auto"/>
          <w:lang w:val="en-AU"/>
        </w:rPr>
        <w:t xml:space="preserve"> of </w:t>
      </w:r>
      <w:r w:rsidR="000B6C89" w:rsidRPr="007F51C6">
        <w:rPr>
          <w:color w:val="auto"/>
        </w:rPr>
        <w:t>Papua New Guinea</w:t>
      </w:r>
      <w:r>
        <w:rPr>
          <w:color w:val="auto"/>
          <w:lang w:val="en-AU"/>
        </w:rPr>
        <w:t xml:space="preserve">’s efforts to improve local governance and service delivery. This will involve examining our response to conflict in the emerging economic corridors in the Highlands. </w:t>
      </w:r>
    </w:p>
    <w:p w14:paraId="64A54B14" w14:textId="1D7904AE" w:rsidR="00360FB8" w:rsidRDefault="00360FB8" w:rsidP="00360FB8">
      <w:pPr>
        <w:numPr>
          <w:ilvl w:val="0"/>
          <w:numId w:val="40"/>
        </w:numPr>
        <w:rPr>
          <w:color w:val="auto"/>
          <w:lang w:val="en-AU"/>
        </w:rPr>
      </w:pPr>
      <w:r>
        <w:rPr>
          <w:color w:val="auto"/>
          <w:lang w:val="en-AU"/>
        </w:rPr>
        <w:t xml:space="preserve">Commence a major re-design effort to re-shape our approach to governance support in </w:t>
      </w:r>
      <w:r w:rsidR="000B6C89" w:rsidRPr="007F51C6">
        <w:rPr>
          <w:color w:val="auto"/>
        </w:rPr>
        <w:t>Papua New Guinea</w:t>
      </w:r>
      <w:r>
        <w:rPr>
          <w:color w:val="auto"/>
          <w:lang w:val="en-AU"/>
        </w:rPr>
        <w:t xml:space="preserve">. This will include: </w:t>
      </w:r>
    </w:p>
    <w:p w14:paraId="343E249E" w14:textId="7766B3B2" w:rsidR="00360FB8" w:rsidRDefault="006E1ABE" w:rsidP="00360FB8">
      <w:pPr>
        <w:numPr>
          <w:ilvl w:val="1"/>
          <w:numId w:val="40"/>
        </w:numPr>
        <w:rPr>
          <w:color w:val="auto"/>
        </w:rPr>
      </w:pPr>
      <w:r>
        <w:rPr>
          <w:color w:val="auto"/>
        </w:rPr>
        <w:t>reviewing our current over-</w:t>
      </w:r>
      <w:r w:rsidR="00360FB8">
        <w:rPr>
          <w:color w:val="auto"/>
        </w:rPr>
        <w:t>r</w:t>
      </w:r>
      <w:r w:rsidR="00661293">
        <w:rPr>
          <w:color w:val="auto"/>
        </w:rPr>
        <w:t>eliance on technical assistance/</w:t>
      </w:r>
      <w:r w:rsidR="00360FB8">
        <w:rPr>
          <w:color w:val="auto"/>
        </w:rPr>
        <w:t>training, and develop and implement alternative approaches to capacity development.</w:t>
      </w:r>
      <w:r w:rsidR="006F3F5D">
        <w:rPr>
          <w:color w:val="auto"/>
        </w:rPr>
        <w:t xml:space="preserve">  </w:t>
      </w:r>
    </w:p>
    <w:p w14:paraId="4F0F9FE2" w14:textId="63436D4B" w:rsidR="00360FB8" w:rsidRDefault="00360FB8" w:rsidP="00360FB8">
      <w:pPr>
        <w:numPr>
          <w:ilvl w:val="1"/>
          <w:numId w:val="40"/>
        </w:numPr>
        <w:rPr>
          <w:color w:val="auto"/>
          <w:lang w:val="en-AU"/>
        </w:rPr>
      </w:pPr>
      <w:r>
        <w:rPr>
          <w:color w:val="auto"/>
          <w:lang w:val="en-AU"/>
        </w:rPr>
        <w:t>i</w:t>
      </w:r>
      <w:r w:rsidRPr="00976CA5">
        <w:rPr>
          <w:color w:val="auto"/>
          <w:lang w:val="en-AU"/>
        </w:rPr>
        <w:t>dentify</w:t>
      </w:r>
      <w:r>
        <w:rPr>
          <w:color w:val="auto"/>
          <w:lang w:val="en-AU"/>
        </w:rPr>
        <w:t>ing</w:t>
      </w:r>
      <w:r w:rsidRPr="00976CA5">
        <w:rPr>
          <w:color w:val="auto"/>
          <w:lang w:val="en-AU"/>
        </w:rPr>
        <w:t xml:space="preserve"> new strategic entry points for Australian investment to strengthen state-society relationships and enhance accountability betwee</w:t>
      </w:r>
      <w:r w:rsidR="006E1ABE">
        <w:rPr>
          <w:color w:val="auto"/>
          <w:lang w:val="en-AU"/>
        </w:rPr>
        <w:t>n Papua New Guineans and their G</w:t>
      </w:r>
      <w:r w:rsidRPr="00976CA5">
        <w:rPr>
          <w:color w:val="auto"/>
          <w:lang w:val="en-AU"/>
        </w:rPr>
        <w:t>overnment.</w:t>
      </w:r>
    </w:p>
    <w:p w14:paraId="25757CD1" w14:textId="1E70A981" w:rsidR="00360FB8" w:rsidRDefault="00360FB8" w:rsidP="00360FB8">
      <w:pPr>
        <w:numPr>
          <w:ilvl w:val="0"/>
          <w:numId w:val="40"/>
        </w:numPr>
        <w:rPr>
          <w:color w:val="auto"/>
          <w:lang w:val="en-AU"/>
        </w:rPr>
      </w:pPr>
      <w:r w:rsidRPr="001C5A8C">
        <w:rPr>
          <w:color w:val="auto"/>
          <w:lang w:val="en-AU"/>
        </w:rPr>
        <w:t>Redesign the Enab</w:t>
      </w:r>
      <w:r>
        <w:rPr>
          <w:color w:val="auto"/>
          <w:lang w:val="en-AU"/>
        </w:rPr>
        <w:t>ling Economic</w:t>
      </w:r>
      <w:r w:rsidR="006E1ABE">
        <w:rPr>
          <w:color w:val="auto"/>
          <w:lang w:val="en-AU"/>
        </w:rPr>
        <w:t xml:space="preserve"> Growth portfolio</w:t>
      </w:r>
      <w:r w:rsidRPr="0021107F">
        <w:rPr>
          <w:color w:val="auto"/>
          <w:lang w:val="en-AU"/>
        </w:rPr>
        <w:t xml:space="preserve"> in order to better align programs with economic and strategic objectives</w:t>
      </w:r>
      <w:r w:rsidR="0010519E">
        <w:rPr>
          <w:color w:val="auto"/>
          <w:lang w:val="en-AU"/>
        </w:rPr>
        <w:t>.</w:t>
      </w:r>
    </w:p>
    <w:p w14:paraId="27421DFE" w14:textId="7DD15A06" w:rsidR="00360FB8" w:rsidRPr="00856C87" w:rsidRDefault="00360FB8" w:rsidP="00360FB8">
      <w:pPr>
        <w:numPr>
          <w:ilvl w:val="0"/>
          <w:numId w:val="40"/>
        </w:numPr>
        <w:rPr>
          <w:color w:val="auto"/>
        </w:rPr>
      </w:pPr>
      <w:r w:rsidRPr="00856C87">
        <w:rPr>
          <w:color w:val="auto"/>
        </w:rPr>
        <w:t>Continue to provide impartial support to the conduct of the Bougainville referendum and post-referendum processes in response to considered needs and requests</w:t>
      </w:r>
      <w:r w:rsidR="006E1ABE">
        <w:rPr>
          <w:color w:val="auto"/>
        </w:rPr>
        <w:t xml:space="preserve">, and to </w:t>
      </w:r>
      <w:r>
        <w:rPr>
          <w:color w:val="auto"/>
        </w:rPr>
        <w:t>com</w:t>
      </w:r>
      <w:r w:rsidR="006E1ABE">
        <w:rPr>
          <w:color w:val="auto"/>
        </w:rPr>
        <w:t>mence a re</w:t>
      </w:r>
      <w:r>
        <w:rPr>
          <w:color w:val="auto"/>
        </w:rPr>
        <w:t>design of our Bougainville program for the post-referendum context</w:t>
      </w:r>
      <w:r w:rsidRPr="00856C87">
        <w:rPr>
          <w:color w:val="auto"/>
        </w:rPr>
        <w:t xml:space="preserve">. </w:t>
      </w:r>
    </w:p>
    <w:p w14:paraId="2E85585D" w14:textId="482796D7" w:rsidR="00360FB8" w:rsidRPr="009860DE" w:rsidRDefault="00360FB8" w:rsidP="00360FB8">
      <w:pPr>
        <w:numPr>
          <w:ilvl w:val="0"/>
          <w:numId w:val="40"/>
        </w:numPr>
        <w:rPr>
          <w:color w:val="auto"/>
          <w:lang w:val="en-AU"/>
        </w:rPr>
      </w:pPr>
      <w:r w:rsidRPr="001C5A8C">
        <w:rPr>
          <w:color w:val="auto"/>
          <w:lang w:val="en-AU"/>
        </w:rPr>
        <w:t xml:space="preserve">Continue efforts to ensure gender equality is addressed and incorporated across </w:t>
      </w:r>
      <w:r w:rsidR="006E1ABE">
        <w:rPr>
          <w:color w:val="auto"/>
          <w:lang w:val="en-AU"/>
        </w:rPr>
        <w:t xml:space="preserve">all </w:t>
      </w:r>
      <w:r w:rsidRPr="001C5A8C">
        <w:rPr>
          <w:color w:val="auto"/>
          <w:lang w:val="en-AU"/>
        </w:rPr>
        <w:t>programs</w:t>
      </w:r>
      <w:r w:rsidRPr="009860DE">
        <w:rPr>
          <w:color w:val="auto"/>
          <w:lang w:val="en-AU"/>
        </w:rPr>
        <w:t>.</w:t>
      </w:r>
      <w:r w:rsidR="006F3F5D">
        <w:rPr>
          <w:color w:val="auto"/>
          <w:lang w:val="en-AU"/>
        </w:rPr>
        <w:t xml:space="preserve"> </w:t>
      </w:r>
    </w:p>
    <w:p w14:paraId="0CB88980" w14:textId="1BA0AFD2" w:rsidR="009D655A" w:rsidRPr="00360FB8" w:rsidRDefault="00360FB8" w:rsidP="00360FB8">
      <w:pPr>
        <w:numPr>
          <w:ilvl w:val="0"/>
          <w:numId w:val="40"/>
        </w:numPr>
        <w:rPr>
          <w:color w:val="auto"/>
          <w:lang w:val="en-AU"/>
        </w:rPr>
      </w:pPr>
      <w:r w:rsidRPr="00856C87">
        <w:rPr>
          <w:color w:val="auto"/>
          <w:lang w:val="en-AU"/>
        </w:rPr>
        <w:t>Help deliver on the new $2 billion Australian Infrastructure Financing Facility for the Pacifi</w:t>
      </w:r>
      <w:r w:rsidR="006E1ABE">
        <w:rPr>
          <w:color w:val="auto"/>
          <w:lang w:val="en-AU"/>
        </w:rPr>
        <w:t>c (AIFFP) with tangible results in Papua New Guinea.</w:t>
      </w:r>
    </w:p>
    <w:p w14:paraId="258826A9" w14:textId="77777777" w:rsidR="0037266D" w:rsidRPr="00856C87" w:rsidRDefault="0037266D" w:rsidP="0037266D">
      <w:pPr>
        <w:rPr>
          <w:b/>
          <w:bCs/>
          <w:color w:val="auto"/>
          <w:lang w:val="en-AU"/>
        </w:rPr>
      </w:pPr>
      <w:r w:rsidRPr="00856C87">
        <w:rPr>
          <w:b/>
          <w:bCs/>
          <w:color w:val="auto"/>
          <w:lang w:val="en-AU"/>
        </w:rPr>
        <w:t>Operational</w:t>
      </w:r>
    </w:p>
    <w:p w14:paraId="1EC46159" w14:textId="18CDD4C4" w:rsidR="00360FB8" w:rsidRDefault="00360FB8" w:rsidP="00800407">
      <w:pPr>
        <w:numPr>
          <w:ilvl w:val="0"/>
          <w:numId w:val="40"/>
        </w:numPr>
        <w:spacing w:before="0"/>
        <w:rPr>
          <w:color w:val="auto"/>
        </w:rPr>
      </w:pPr>
      <w:r>
        <w:rPr>
          <w:color w:val="auto"/>
        </w:rPr>
        <w:t>B</w:t>
      </w:r>
      <w:r w:rsidRPr="00327592">
        <w:rPr>
          <w:color w:val="auto"/>
        </w:rPr>
        <w:t xml:space="preserve">uild off our existing relationships with the NEFC, Departments of Treasury and </w:t>
      </w:r>
      <w:r>
        <w:rPr>
          <w:color w:val="auto"/>
        </w:rPr>
        <w:t xml:space="preserve">Finance </w:t>
      </w:r>
      <w:r w:rsidRPr="00327592">
        <w:rPr>
          <w:color w:val="auto"/>
        </w:rPr>
        <w:t>to expand our policy engagement related to subnational financial accountability and transparency.</w:t>
      </w:r>
      <w:r w:rsidR="006F3F5D">
        <w:rPr>
          <w:color w:val="auto"/>
        </w:rPr>
        <w:t xml:space="preserve"> </w:t>
      </w:r>
    </w:p>
    <w:p w14:paraId="6ED76839" w14:textId="4ACCA198" w:rsidR="00360FB8" w:rsidRPr="00856C87" w:rsidRDefault="00360FB8" w:rsidP="00360FB8">
      <w:pPr>
        <w:numPr>
          <w:ilvl w:val="0"/>
          <w:numId w:val="40"/>
        </w:numPr>
        <w:rPr>
          <w:color w:val="auto"/>
          <w:lang w:val="en-AU"/>
        </w:rPr>
      </w:pPr>
      <w:r w:rsidRPr="00D46B0C">
        <w:rPr>
          <w:color w:val="auto"/>
          <w:lang w:val="en-AU"/>
        </w:rPr>
        <w:t>Put agreed designs for new health (</w:t>
      </w:r>
      <w:r w:rsidR="000B6C89" w:rsidRPr="007F51C6">
        <w:rPr>
          <w:color w:val="auto"/>
        </w:rPr>
        <w:t>Papua New Guinea</w:t>
      </w:r>
      <w:r w:rsidR="000B6C89" w:rsidRPr="00D46B0C">
        <w:rPr>
          <w:color w:val="auto"/>
          <w:lang w:val="en-AU"/>
        </w:rPr>
        <w:t xml:space="preserve"> </w:t>
      </w:r>
      <w:r w:rsidRPr="00D46B0C">
        <w:rPr>
          <w:color w:val="auto"/>
          <w:lang w:val="en-AU"/>
        </w:rPr>
        <w:t>Australia Transition to Health) and education (Education for Prosperity) investments out to tender.</w:t>
      </w:r>
      <w:r w:rsidR="00E111CC">
        <w:rPr>
          <w:color w:val="auto"/>
          <w:lang w:val="en-AU"/>
        </w:rPr>
        <w:t xml:space="preserve"> </w:t>
      </w:r>
      <w:r w:rsidRPr="00D46B0C">
        <w:rPr>
          <w:color w:val="auto"/>
          <w:lang w:val="en-AU"/>
        </w:rPr>
        <w:t>These investments will deliver significant outcomes in line with the portfolio plans for both sectors</w:t>
      </w:r>
      <w:r w:rsidRPr="00856C87">
        <w:rPr>
          <w:color w:val="auto"/>
          <w:lang w:val="en-AU"/>
        </w:rPr>
        <w:t xml:space="preserve">. </w:t>
      </w:r>
    </w:p>
    <w:p w14:paraId="58C64B31" w14:textId="4E81DBB0" w:rsidR="00360FB8" w:rsidRDefault="00360FB8" w:rsidP="00360FB8">
      <w:pPr>
        <w:numPr>
          <w:ilvl w:val="0"/>
          <w:numId w:val="40"/>
        </w:numPr>
        <w:rPr>
          <w:color w:val="auto"/>
          <w:lang w:val="en-AU"/>
        </w:rPr>
      </w:pPr>
      <w:r>
        <w:rPr>
          <w:color w:val="auto"/>
          <w:lang w:val="en-AU"/>
        </w:rPr>
        <w:t xml:space="preserve">Undertake a ‘design </w:t>
      </w:r>
      <w:r w:rsidR="006E6FA2">
        <w:rPr>
          <w:color w:val="auto"/>
          <w:lang w:val="en-AU"/>
        </w:rPr>
        <w:t>update’ of the DFAT-funded law and</w:t>
      </w:r>
      <w:r>
        <w:rPr>
          <w:color w:val="auto"/>
          <w:lang w:val="en-AU"/>
        </w:rPr>
        <w:t xml:space="preserve"> justice program </w:t>
      </w:r>
      <w:r w:rsidR="006E6FA2">
        <w:rPr>
          <w:color w:val="auto"/>
          <w:lang w:val="en-AU"/>
        </w:rPr>
        <w:t>and i</w:t>
      </w:r>
      <w:r w:rsidRPr="00856C87">
        <w:rPr>
          <w:color w:val="auto"/>
          <w:lang w:val="en-AU"/>
        </w:rPr>
        <w:t>dentify opportunities for Australia to assist with the lon</w:t>
      </w:r>
      <w:r w:rsidR="006E6FA2">
        <w:rPr>
          <w:color w:val="auto"/>
          <w:lang w:val="en-AU"/>
        </w:rPr>
        <w:t>ger term law and order plan of</w:t>
      </w:r>
      <w:r w:rsidRPr="00856C87">
        <w:rPr>
          <w:color w:val="auto"/>
          <w:lang w:val="en-AU"/>
        </w:rPr>
        <w:t xml:space="preserve"> the Government of Papua New Guinea. </w:t>
      </w:r>
    </w:p>
    <w:p w14:paraId="4A3F73A3" w14:textId="77777777" w:rsidR="00360FB8" w:rsidRPr="00CE5640" w:rsidRDefault="00360FB8" w:rsidP="00360FB8">
      <w:pPr>
        <w:numPr>
          <w:ilvl w:val="0"/>
          <w:numId w:val="40"/>
        </w:numPr>
        <w:rPr>
          <w:color w:val="auto"/>
          <w:lang w:val="en-AU"/>
        </w:rPr>
      </w:pPr>
      <w:r w:rsidRPr="001C5A8C">
        <w:rPr>
          <w:color w:val="auto"/>
          <w:lang w:val="en-AU"/>
        </w:rPr>
        <w:t>Complete a new design of the Incentive Fund, to improve its alignm</w:t>
      </w:r>
      <w:r>
        <w:rPr>
          <w:color w:val="auto"/>
          <w:lang w:val="en-AU"/>
        </w:rPr>
        <w:t xml:space="preserve">ent with partnership objectives. </w:t>
      </w:r>
    </w:p>
    <w:p w14:paraId="7F441013" w14:textId="07FBDC36" w:rsidR="00360FB8" w:rsidRDefault="00862802" w:rsidP="00360FB8">
      <w:pPr>
        <w:numPr>
          <w:ilvl w:val="0"/>
          <w:numId w:val="40"/>
        </w:numPr>
        <w:rPr>
          <w:color w:val="auto"/>
          <w:lang w:val="en-AU"/>
        </w:rPr>
      </w:pPr>
      <w:r w:rsidRPr="00862802">
        <w:rPr>
          <w:color w:val="auto"/>
          <w:lang w:val="en-AU"/>
        </w:rPr>
        <w:t>Commission a Human Development Monitoring and Evaluation service p</w:t>
      </w:r>
      <w:r w:rsidR="00360FB8" w:rsidRPr="00862802">
        <w:rPr>
          <w:color w:val="auto"/>
          <w:lang w:val="en-AU"/>
        </w:rPr>
        <w:t>rovider, which</w:t>
      </w:r>
      <w:r w:rsidR="00360FB8" w:rsidRPr="00D46B0C">
        <w:rPr>
          <w:color w:val="auto"/>
          <w:lang w:val="en-AU"/>
        </w:rPr>
        <w:t xml:space="preserve"> will provide high-quality advice and independent monitoring and evaluation to Australia’s health, and education and leadership investments in </w:t>
      </w:r>
      <w:r w:rsidR="004B25E3" w:rsidRPr="007F51C6">
        <w:rPr>
          <w:color w:val="auto"/>
        </w:rPr>
        <w:t>Papua New Guinea</w:t>
      </w:r>
      <w:r w:rsidR="00360FB8">
        <w:rPr>
          <w:color w:val="auto"/>
          <w:lang w:val="en-AU"/>
        </w:rPr>
        <w:t>.</w:t>
      </w:r>
    </w:p>
    <w:p w14:paraId="768609A3" w14:textId="27BF60BD" w:rsidR="00D15A00" w:rsidRDefault="0037266D" w:rsidP="002A51CA">
      <w:r w:rsidRPr="0037266D">
        <w:rPr>
          <w:i/>
          <w:color w:val="auto"/>
        </w:rPr>
        <w:t>A summary of progress on management responses from 2017-18 is in Annex A.</w:t>
      </w:r>
    </w:p>
    <w:p w14:paraId="0F2CA89B" w14:textId="77777777" w:rsidR="00D15A00" w:rsidRDefault="00D15A00" w:rsidP="002A51CA">
      <w:pPr>
        <w:sectPr w:rsidR="00D15A00" w:rsidSect="00C6626C">
          <w:pgSz w:w="11906" w:h="16838" w:code="9"/>
          <w:pgMar w:top="1527" w:right="1134" w:bottom="851" w:left="1134" w:header="1418" w:footer="567" w:gutter="0"/>
          <w:cols w:space="397"/>
          <w:docGrid w:linePitch="360"/>
        </w:sectPr>
      </w:pPr>
    </w:p>
    <w:p w14:paraId="3F4CF57C" w14:textId="77777777" w:rsidR="008821C2" w:rsidRPr="0037266D" w:rsidRDefault="00400B0F" w:rsidP="0037266D">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lastRenderedPageBreak/>
        <w:t xml:space="preserve">Annex A - Progress in Addressing Management </w:t>
      </w:r>
      <w:r w:rsidR="00AC302F" w:rsidRPr="008821C2">
        <w:rPr>
          <w:rFonts w:asciiTheme="majorHAnsi" w:hAnsiTheme="majorHAnsi" w:cstheme="majorHAnsi"/>
        </w:rPr>
        <w:t>actions</w:t>
      </w:r>
    </w:p>
    <w:tbl>
      <w:tblPr>
        <w:tblStyle w:val="APPR"/>
        <w:tblpPr w:leftFromText="181" w:rightFromText="181" w:vertAnchor="text" w:tblpY="1"/>
        <w:tblW w:w="5451" w:type="pct"/>
        <w:tblLayout w:type="fixed"/>
        <w:tblLook w:val="0000" w:firstRow="0" w:lastRow="0" w:firstColumn="0" w:lastColumn="0" w:noHBand="0" w:noVBand="0"/>
      </w:tblPr>
      <w:tblGrid>
        <w:gridCol w:w="8364"/>
        <w:gridCol w:w="992"/>
        <w:gridCol w:w="6095"/>
      </w:tblGrid>
      <w:tr w:rsidR="0037266D" w:rsidRPr="00F96110" w14:paraId="20297952"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06727236" w14:textId="77777777" w:rsidR="0037266D" w:rsidRPr="0067545A" w:rsidRDefault="0037266D" w:rsidP="00EA09AA">
            <w:pPr>
              <w:keepNext/>
              <w:keepLines/>
              <w:spacing w:before="40" w:after="40" w:line="200" w:lineRule="atLeast"/>
              <w:rPr>
                <w:rFonts w:asciiTheme="minorHAnsi" w:eastAsia="Times New Roman" w:hAnsiTheme="minorHAnsi"/>
                <w:b/>
                <w:iCs/>
                <w:szCs w:val="17"/>
                <w:lang w:eastAsia="en-US"/>
              </w:rPr>
            </w:pPr>
            <w:r w:rsidRPr="0067545A">
              <w:rPr>
                <w:rFonts w:asciiTheme="minorHAnsi" w:eastAsia="Times New Roman" w:hAnsiTheme="minorHAnsi"/>
                <w:b/>
                <w:iCs/>
                <w:szCs w:val="17"/>
                <w:lang w:eastAsia="en-US"/>
              </w:rPr>
              <w:t>Management actions identified in 2017-18 APPR</w:t>
            </w:r>
            <w:r w:rsidRPr="0067545A">
              <w:rPr>
                <w:rFonts w:asciiTheme="minorHAnsi" w:eastAsia="Times New Roman" w:hAnsiTheme="minorHAnsi"/>
                <w:b/>
                <w:iCs/>
                <w:szCs w:val="17"/>
                <w:lang w:eastAsia="en-US"/>
              </w:rPr>
              <w:tab/>
            </w:r>
          </w:p>
        </w:tc>
        <w:tc>
          <w:tcPr>
            <w:tcW w:w="964" w:type="dxa"/>
          </w:tcPr>
          <w:p w14:paraId="6F944520" w14:textId="77777777" w:rsidR="0037266D" w:rsidRPr="0067545A" w:rsidRDefault="0037266D" w:rsidP="00EA09AA">
            <w:pPr>
              <w:keepNext/>
              <w:keepLines/>
              <w:spacing w:before="40" w:after="40" w:line="200" w:lineRule="atLeast"/>
              <w:rPr>
                <w:rFonts w:asciiTheme="minorHAnsi" w:eastAsia="Times New Roman" w:hAnsiTheme="minorHAnsi"/>
                <w:b/>
                <w:iCs/>
                <w:szCs w:val="17"/>
                <w:lang w:eastAsia="en-US"/>
              </w:rPr>
            </w:pPr>
            <w:r w:rsidRPr="0067545A">
              <w:rPr>
                <w:rFonts w:asciiTheme="minorHAnsi" w:eastAsia="Times New Roman" w:hAnsiTheme="minorHAnsi"/>
                <w:b/>
                <w:iCs/>
                <w:szCs w:val="17"/>
                <w:lang w:eastAsia="en-US"/>
              </w:rPr>
              <w:t>Rating</w:t>
            </w:r>
          </w:p>
        </w:tc>
        <w:tc>
          <w:tcPr>
            <w:tcW w:w="6053" w:type="dxa"/>
          </w:tcPr>
          <w:p w14:paraId="262CCFB7" w14:textId="77777777" w:rsidR="0037266D" w:rsidRPr="0067545A" w:rsidRDefault="0037266D" w:rsidP="00EA09AA">
            <w:pPr>
              <w:keepNext/>
              <w:keepLines/>
              <w:spacing w:before="40" w:after="40" w:line="200" w:lineRule="atLeast"/>
              <w:jc w:val="center"/>
              <w:rPr>
                <w:rFonts w:asciiTheme="minorHAnsi" w:eastAsia="Times New Roman" w:hAnsiTheme="minorHAnsi"/>
                <w:b/>
                <w:iCs/>
                <w:szCs w:val="17"/>
                <w:lang w:eastAsia="en-US"/>
              </w:rPr>
            </w:pPr>
            <w:r w:rsidRPr="0067545A">
              <w:rPr>
                <w:rFonts w:asciiTheme="minorHAnsi" w:eastAsia="Times New Roman" w:hAnsiTheme="minorHAnsi"/>
                <w:b/>
                <w:iCs/>
                <w:szCs w:val="17"/>
                <w:lang w:eastAsia="en-US"/>
              </w:rPr>
              <w:t>Progress made in 2018-19</w:t>
            </w:r>
          </w:p>
        </w:tc>
      </w:tr>
      <w:tr w:rsidR="0037266D" w:rsidRPr="00F96110" w14:paraId="15433884"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72201075" w14:textId="77777777" w:rsidR="0037266D" w:rsidRPr="0067545A" w:rsidRDefault="0037266D" w:rsidP="00EA09AA">
            <w:pPr>
              <w:keepNext/>
              <w:keepLines/>
              <w:spacing w:before="40" w:after="40" w:line="200" w:lineRule="atLeast"/>
              <w:rPr>
                <w:rFonts w:eastAsia="Times New Roman"/>
                <w:iCs/>
                <w:szCs w:val="17"/>
              </w:rPr>
            </w:pPr>
            <w:r w:rsidRPr="0067545A">
              <w:rPr>
                <w:lang w:val="en-AU"/>
              </w:rPr>
              <w:t xml:space="preserve">Continue to provide high levels of support for </w:t>
            </w:r>
            <w:r>
              <w:rPr>
                <w:lang w:val="en-AU"/>
              </w:rPr>
              <w:t>PNG’s</w:t>
            </w:r>
            <w:r w:rsidRPr="0067545A">
              <w:rPr>
                <w:lang w:val="en-AU"/>
              </w:rPr>
              <w:t xml:space="preserve"> hosting of APEC in 2018.</w:t>
            </w:r>
          </w:p>
        </w:tc>
        <w:tc>
          <w:tcPr>
            <w:tcW w:w="964" w:type="dxa"/>
            <w:shd w:val="clear" w:color="auto" w:fill="92D050"/>
          </w:tcPr>
          <w:p w14:paraId="53245841" w14:textId="77777777" w:rsidR="0037266D" w:rsidRPr="00E51002" w:rsidRDefault="0037266D" w:rsidP="00EA09AA">
            <w:pPr>
              <w:keepNext/>
              <w:keepLines/>
              <w:spacing w:before="40" w:after="40" w:line="200" w:lineRule="atLeast"/>
              <w:jc w:val="center"/>
              <w:rPr>
                <w:rFonts w:asciiTheme="minorHAnsi" w:eastAsia="Times New Roman" w:hAnsiTheme="minorHAnsi"/>
                <w:iCs/>
                <w:color w:val="FFFFFF" w:themeColor="background1"/>
                <w:szCs w:val="17"/>
                <w:lang w:eastAsia="en-US"/>
              </w:rPr>
            </w:pPr>
            <w:r w:rsidRPr="00E51002">
              <w:rPr>
                <w:rFonts w:eastAsia="Times New Roman"/>
                <w:iCs/>
                <w:color w:val="FFFFFF" w:themeColor="background1"/>
                <w:szCs w:val="17"/>
              </w:rPr>
              <w:t>Achieved</w:t>
            </w:r>
            <w:r w:rsidRPr="00E51002">
              <w:rPr>
                <w:rFonts w:eastAsia="Times New Roman"/>
                <w:iCs/>
                <w:color w:val="FFFFFF" w:themeColor="background1"/>
                <w:szCs w:val="17"/>
              </w:rPr>
              <w:fldChar w:fldCharType="begin"/>
            </w:r>
            <w:r w:rsidRPr="00E51002">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E51002">
              <w:rPr>
                <w:rFonts w:eastAsia="Times New Roman"/>
                <w:iCs/>
                <w:color w:val="FFFFFF" w:themeColor="background1"/>
                <w:szCs w:val="17"/>
              </w:rPr>
              <w:fldChar w:fldCharType="end"/>
            </w:r>
          </w:p>
        </w:tc>
        <w:tc>
          <w:tcPr>
            <w:tcW w:w="6053" w:type="dxa"/>
          </w:tcPr>
          <w:p w14:paraId="345AAA47" w14:textId="77777777" w:rsidR="0037266D" w:rsidRPr="001D35D1" w:rsidRDefault="0037266D" w:rsidP="00EA09AA">
            <w:pPr>
              <w:keepNext/>
              <w:keepLines/>
              <w:spacing w:before="40" w:after="40" w:line="200" w:lineRule="atLeast"/>
              <w:rPr>
                <w:rFonts w:eastAsia="Times New Roman"/>
                <w:iCs/>
                <w:szCs w:val="17"/>
              </w:rPr>
            </w:pPr>
            <w:r w:rsidRPr="001D35D1">
              <w:rPr>
                <w:rFonts w:eastAsia="Times New Roman"/>
                <w:iCs/>
                <w:szCs w:val="17"/>
              </w:rPr>
              <w:t xml:space="preserve">Our support to APEC ensured APEC year in PNG was successful, culminating in the successful Leaders Week in November 2018. </w:t>
            </w:r>
          </w:p>
        </w:tc>
      </w:tr>
      <w:tr w:rsidR="0037266D" w:rsidRPr="00F96110" w14:paraId="0A6583E8"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4EDBE7CF" w14:textId="77777777" w:rsidR="0037266D" w:rsidRPr="00F96110" w:rsidRDefault="0037266D" w:rsidP="00EA09AA">
            <w:pPr>
              <w:keepNext/>
              <w:keepLines/>
              <w:spacing w:before="40" w:after="40" w:line="200" w:lineRule="atLeast"/>
              <w:rPr>
                <w:rFonts w:eastAsia="Times New Roman"/>
                <w:iCs/>
                <w:szCs w:val="17"/>
                <w:highlight w:val="yellow"/>
              </w:rPr>
            </w:pPr>
            <w:r w:rsidRPr="00246BAF">
              <w:rPr>
                <w:rFonts w:eastAsia="Times New Roman"/>
                <w:iCs/>
                <w:szCs w:val="17"/>
              </w:rPr>
              <w:t xml:space="preserve">Continue to work throughout 2018-19 with the </w:t>
            </w:r>
            <w:r>
              <w:rPr>
                <w:rFonts w:eastAsia="Times New Roman"/>
                <w:iCs/>
                <w:szCs w:val="17"/>
              </w:rPr>
              <w:t>PNG</w:t>
            </w:r>
            <w:r w:rsidRPr="00246BAF">
              <w:rPr>
                <w:rFonts w:eastAsia="Times New Roman"/>
                <w:iCs/>
                <w:szCs w:val="17"/>
              </w:rPr>
              <w:t xml:space="preserve"> Government to leverage greater international financing to deliver on its economic, security, infrastructure and social priorities.</w:t>
            </w:r>
          </w:p>
        </w:tc>
        <w:tc>
          <w:tcPr>
            <w:tcW w:w="964" w:type="dxa"/>
            <w:shd w:val="clear" w:color="auto" w:fill="92D050"/>
          </w:tcPr>
          <w:p w14:paraId="6558D174" w14:textId="77777777" w:rsidR="0037266D" w:rsidRPr="00E51002" w:rsidRDefault="0037266D" w:rsidP="00EA09AA">
            <w:pPr>
              <w:keepNext/>
              <w:keepLines/>
              <w:spacing w:before="40" w:after="40" w:line="200" w:lineRule="atLeast"/>
              <w:jc w:val="center"/>
              <w:rPr>
                <w:rFonts w:asciiTheme="minorHAnsi" w:eastAsia="Times New Roman" w:hAnsiTheme="minorHAnsi"/>
                <w:iCs/>
                <w:color w:val="FFFFFF" w:themeColor="background1"/>
                <w:szCs w:val="17"/>
                <w:lang w:eastAsia="en-US"/>
              </w:rPr>
            </w:pPr>
            <w:r w:rsidRPr="00E51002">
              <w:rPr>
                <w:rFonts w:eastAsia="Times New Roman"/>
                <w:iCs/>
                <w:color w:val="FFFFFF" w:themeColor="background1"/>
                <w:szCs w:val="17"/>
              </w:rPr>
              <w:t>Achieved</w:t>
            </w:r>
            <w:r w:rsidRPr="00E51002">
              <w:rPr>
                <w:rFonts w:eastAsia="Times New Roman"/>
                <w:iCs/>
                <w:color w:val="FFFFFF" w:themeColor="background1"/>
                <w:szCs w:val="17"/>
              </w:rPr>
              <w:fldChar w:fldCharType="begin"/>
            </w:r>
            <w:r w:rsidRPr="00E51002">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E51002">
              <w:rPr>
                <w:rFonts w:eastAsia="Times New Roman"/>
                <w:iCs/>
                <w:color w:val="FFFFFF" w:themeColor="background1"/>
                <w:szCs w:val="17"/>
              </w:rPr>
              <w:fldChar w:fldCharType="end"/>
            </w:r>
          </w:p>
        </w:tc>
        <w:tc>
          <w:tcPr>
            <w:tcW w:w="6053" w:type="dxa"/>
          </w:tcPr>
          <w:p w14:paraId="1B684681" w14:textId="7BBD9ABF" w:rsidR="0037266D" w:rsidRPr="00467CF8" w:rsidRDefault="0037266D" w:rsidP="00361D7F">
            <w:pPr>
              <w:keepNext/>
              <w:keepLines/>
              <w:spacing w:before="40" w:after="40" w:line="200" w:lineRule="atLeast"/>
              <w:rPr>
                <w:rFonts w:eastAsia="Times New Roman"/>
                <w:iCs/>
                <w:szCs w:val="17"/>
              </w:rPr>
            </w:pPr>
            <w:r w:rsidRPr="00467CF8">
              <w:rPr>
                <w:rFonts w:eastAsia="Times New Roman"/>
                <w:iCs/>
                <w:szCs w:val="17"/>
              </w:rPr>
              <w:t xml:space="preserve">Australian assistance </w:t>
            </w:r>
            <w:r w:rsidR="00361D7F" w:rsidRPr="00467CF8">
              <w:rPr>
                <w:rFonts w:eastAsia="Times New Roman"/>
                <w:iCs/>
                <w:szCs w:val="17"/>
              </w:rPr>
              <w:t>helped secure USD1.1 billion in finance for the PNG Government through policy-based loans from the ADB and World Bank</w:t>
            </w:r>
          </w:p>
        </w:tc>
      </w:tr>
      <w:tr w:rsidR="0037266D" w:rsidRPr="00F96110" w14:paraId="3DE4F241"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738201DE" w14:textId="77777777" w:rsidR="0037266D" w:rsidRPr="00246BAF" w:rsidRDefault="0037266D" w:rsidP="00EA09AA">
            <w:pPr>
              <w:keepNext/>
              <w:keepLines/>
              <w:spacing w:before="40" w:after="40" w:line="200" w:lineRule="atLeast"/>
              <w:rPr>
                <w:rFonts w:eastAsia="Times New Roman"/>
                <w:iCs/>
                <w:szCs w:val="17"/>
              </w:rPr>
            </w:pPr>
            <w:r w:rsidRPr="00246BAF">
              <w:rPr>
                <w:rFonts w:eastAsia="Times New Roman"/>
                <w:iCs/>
                <w:szCs w:val="17"/>
              </w:rPr>
              <w:t xml:space="preserve">Negotiate a new set of development priorities in 2018-19 with the </w:t>
            </w:r>
            <w:r>
              <w:rPr>
                <w:rFonts w:eastAsia="Times New Roman"/>
                <w:iCs/>
                <w:szCs w:val="17"/>
              </w:rPr>
              <w:t>PNG</w:t>
            </w:r>
            <w:r w:rsidRPr="00246BAF">
              <w:rPr>
                <w:rFonts w:eastAsia="Times New Roman"/>
                <w:iCs/>
                <w:szCs w:val="17"/>
              </w:rPr>
              <w:t xml:space="preserve"> Government which will contribute to broader bilateral economic/strategic partnership objectives.</w:t>
            </w:r>
          </w:p>
        </w:tc>
        <w:tc>
          <w:tcPr>
            <w:tcW w:w="964" w:type="dxa"/>
            <w:shd w:val="clear" w:color="auto" w:fill="FFC000"/>
          </w:tcPr>
          <w:p w14:paraId="5D8E9064" w14:textId="77777777" w:rsidR="0037266D" w:rsidRPr="00E51002" w:rsidRDefault="0037266D" w:rsidP="00EA09AA">
            <w:pPr>
              <w:keepNext/>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 xml:space="preserve">Partly </w:t>
            </w:r>
            <w:r w:rsidRPr="00E51002">
              <w:rPr>
                <w:rFonts w:eastAsia="Times New Roman"/>
                <w:iCs/>
                <w:color w:val="FFFFFF" w:themeColor="background1"/>
                <w:szCs w:val="17"/>
              </w:rPr>
              <w:t>Achieved</w:t>
            </w:r>
          </w:p>
        </w:tc>
        <w:tc>
          <w:tcPr>
            <w:tcW w:w="6053" w:type="dxa"/>
            <w:shd w:val="clear" w:color="auto" w:fill="auto"/>
          </w:tcPr>
          <w:p w14:paraId="41463826" w14:textId="0467696D" w:rsidR="0037266D" w:rsidRPr="00442AB9" w:rsidRDefault="0037266D" w:rsidP="00EA09AA">
            <w:pPr>
              <w:keepNext/>
              <w:keepLines/>
              <w:spacing w:before="40" w:after="40" w:line="200" w:lineRule="atLeast"/>
              <w:rPr>
                <w:rFonts w:eastAsia="Times New Roman"/>
                <w:iCs/>
                <w:szCs w:val="17"/>
              </w:rPr>
            </w:pPr>
            <w:r w:rsidRPr="00442AB9">
              <w:rPr>
                <w:rFonts w:eastAsia="Times New Roman"/>
                <w:iCs/>
                <w:szCs w:val="17"/>
              </w:rPr>
              <w:t>CSEP is under discussion</w:t>
            </w:r>
            <w:r w:rsidR="00862802">
              <w:rPr>
                <w:rFonts w:eastAsia="Times New Roman"/>
                <w:iCs/>
                <w:szCs w:val="17"/>
              </w:rPr>
              <w:t xml:space="preserve"> and development priorities will be incorporated into it</w:t>
            </w:r>
          </w:p>
        </w:tc>
      </w:tr>
      <w:tr w:rsidR="0037266D" w:rsidRPr="00F96110" w14:paraId="0B6D9870"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132E8966" w14:textId="7300E10B" w:rsidR="0037266D" w:rsidRPr="00246BAF" w:rsidRDefault="0037266D" w:rsidP="00EA09AA">
            <w:pPr>
              <w:keepNext/>
              <w:spacing w:before="40" w:after="40" w:line="200" w:lineRule="atLeast"/>
              <w:rPr>
                <w:rFonts w:eastAsia="Times New Roman"/>
                <w:iCs/>
                <w:szCs w:val="17"/>
              </w:rPr>
            </w:pPr>
            <w:r w:rsidRPr="00246BAF">
              <w:t>Produce a new Aid Investment Plan</w:t>
            </w:r>
            <w:r w:rsidR="00862802">
              <w:t xml:space="preserve"> (AIP)</w:t>
            </w:r>
            <w:r w:rsidRPr="00246BAF">
              <w:t xml:space="preserve"> in 2018-19 and accompanying Performance Assessment Framework</w:t>
            </w:r>
            <w:r w:rsidR="00862802">
              <w:t xml:space="preserve"> (PAF)</w:t>
            </w:r>
            <w:r w:rsidRPr="00246BAF">
              <w:t xml:space="preserve"> that will drive program alignment with new partnership priorities.</w:t>
            </w:r>
          </w:p>
        </w:tc>
        <w:tc>
          <w:tcPr>
            <w:tcW w:w="964" w:type="dxa"/>
            <w:shd w:val="clear" w:color="auto" w:fill="FFC000"/>
          </w:tcPr>
          <w:p w14:paraId="7B59C31A"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rFonts w:eastAsia="Times New Roman"/>
                <w:iCs/>
                <w:color w:val="FFFFFF" w:themeColor="background1"/>
                <w:szCs w:val="17"/>
              </w:rPr>
              <w:t>Partly Achieved</w:t>
            </w:r>
          </w:p>
        </w:tc>
        <w:tc>
          <w:tcPr>
            <w:tcW w:w="6053" w:type="dxa"/>
          </w:tcPr>
          <w:p w14:paraId="3D9EAD5D" w14:textId="297E801E" w:rsidR="0037266D" w:rsidRPr="00442AB9" w:rsidRDefault="0037266D" w:rsidP="00EA09AA">
            <w:pPr>
              <w:keepNext/>
              <w:spacing w:before="40" w:after="40" w:line="200" w:lineRule="atLeast"/>
              <w:rPr>
                <w:rFonts w:eastAsia="Times New Roman"/>
                <w:iCs/>
                <w:szCs w:val="17"/>
              </w:rPr>
            </w:pPr>
            <w:r w:rsidRPr="00442AB9">
              <w:rPr>
                <w:rFonts w:eastAsia="Times New Roman"/>
                <w:iCs/>
                <w:szCs w:val="17"/>
              </w:rPr>
              <w:t>The next AIP and PAF a</w:t>
            </w:r>
            <w:r w:rsidR="00862802">
              <w:rPr>
                <w:rFonts w:eastAsia="Times New Roman"/>
                <w:iCs/>
                <w:szCs w:val="17"/>
              </w:rPr>
              <w:t>re currently under development and will be developed in the context of CSEP</w:t>
            </w:r>
          </w:p>
        </w:tc>
      </w:tr>
      <w:tr w:rsidR="0037266D" w:rsidRPr="00F96110" w14:paraId="2FD20924"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067DB764" w14:textId="79EB0E06" w:rsidR="0037266D" w:rsidRPr="00246BAF" w:rsidRDefault="0037266D" w:rsidP="00EA09AA">
            <w:pPr>
              <w:keepNext/>
              <w:spacing w:before="40" w:after="40" w:line="200" w:lineRule="atLeast"/>
              <w:rPr>
                <w:rFonts w:eastAsia="Times New Roman"/>
                <w:iCs/>
                <w:szCs w:val="17"/>
              </w:rPr>
            </w:pPr>
            <w:r w:rsidRPr="00246BAF">
              <w:rPr>
                <w:lang w:val="en-US"/>
              </w:rPr>
              <w:t>Agree a more strategic and coherent appr</w:t>
            </w:r>
            <w:r w:rsidR="00862802">
              <w:rPr>
                <w:lang w:val="en-US"/>
              </w:rPr>
              <w:t>oach in 2018-19 to engaging sub</w:t>
            </w:r>
            <w:r w:rsidRPr="00246BAF">
              <w:rPr>
                <w:lang w:val="en-US"/>
              </w:rPr>
              <w:t xml:space="preserve">nationally across Australia’s portfolio of investments in </w:t>
            </w:r>
            <w:r>
              <w:rPr>
                <w:lang w:val="en-US"/>
              </w:rPr>
              <w:t>PNG</w:t>
            </w:r>
            <w:r w:rsidRPr="00246BAF">
              <w:rPr>
                <w:lang w:val="en-US"/>
              </w:rPr>
              <w:t>.</w:t>
            </w:r>
          </w:p>
        </w:tc>
        <w:tc>
          <w:tcPr>
            <w:tcW w:w="964" w:type="dxa"/>
            <w:shd w:val="clear" w:color="auto" w:fill="92D050"/>
          </w:tcPr>
          <w:p w14:paraId="1FF11B5F"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rFonts w:eastAsia="Times New Roman"/>
                <w:iCs/>
                <w:color w:val="FFFFFF" w:themeColor="background1"/>
                <w:szCs w:val="17"/>
              </w:rPr>
              <w:t>Achieved</w:t>
            </w:r>
          </w:p>
        </w:tc>
        <w:tc>
          <w:tcPr>
            <w:tcW w:w="6053" w:type="dxa"/>
          </w:tcPr>
          <w:p w14:paraId="7FB3CD25" w14:textId="730359C5" w:rsidR="0037266D" w:rsidRPr="00442AB9" w:rsidRDefault="00862802" w:rsidP="00EA09AA">
            <w:pPr>
              <w:keepNext/>
              <w:spacing w:before="40" w:after="40" w:line="200" w:lineRule="atLeast"/>
              <w:rPr>
                <w:rFonts w:eastAsia="Times New Roman"/>
                <w:iCs/>
                <w:szCs w:val="17"/>
              </w:rPr>
            </w:pPr>
            <w:r>
              <w:rPr>
                <w:rFonts w:eastAsia="Times New Roman"/>
                <w:iCs/>
                <w:szCs w:val="17"/>
              </w:rPr>
              <w:t>Our approach to Australia’s sub</w:t>
            </w:r>
            <w:r w:rsidR="0037266D" w:rsidRPr="00442AB9">
              <w:rPr>
                <w:rFonts w:eastAsia="Times New Roman"/>
                <w:iCs/>
                <w:szCs w:val="17"/>
              </w:rPr>
              <w:t>national investment portfolio has</w:t>
            </w:r>
            <w:r w:rsidR="0037266D">
              <w:rPr>
                <w:rFonts w:eastAsia="Times New Roman"/>
                <w:iCs/>
                <w:szCs w:val="17"/>
              </w:rPr>
              <w:t xml:space="preserve"> i</w:t>
            </w:r>
            <w:r w:rsidR="0037266D" w:rsidRPr="00442AB9">
              <w:rPr>
                <w:rFonts w:eastAsia="Times New Roman"/>
                <w:iCs/>
                <w:szCs w:val="17"/>
              </w:rPr>
              <w:t>mproved its stra</w:t>
            </w:r>
            <w:r w:rsidR="0037266D">
              <w:rPr>
                <w:rFonts w:eastAsia="Times New Roman"/>
                <w:iCs/>
                <w:szCs w:val="17"/>
              </w:rPr>
              <w:t>te</w:t>
            </w:r>
            <w:r w:rsidR="0037266D" w:rsidRPr="00442AB9">
              <w:rPr>
                <w:rFonts w:eastAsia="Times New Roman"/>
                <w:iCs/>
                <w:szCs w:val="17"/>
              </w:rPr>
              <w:t xml:space="preserve">gic intent and is being further expanded. </w:t>
            </w:r>
          </w:p>
        </w:tc>
      </w:tr>
      <w:tr w:rsidR="0037266D" w:rsidRPr="00F96110" w14:paraId="1AC746D3"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27B577EE" w14:textId="77777777" w:rsidR="0037266D" w:rsidRPr="00246BAF" w:rsidRDefault="0037266D" w:rsidP="00EA09AA">
            <w:pPr>
              <w:keepNext/>
              <w:spacing w:before="40" w:after="40" w:line="200" w:lineRule="atLeast"/>
              <w:rPr>
                <w:rFonts w:eastAsia="Times New Roman"/>
                <w:iCs/>
                <w:szCs w:val="17"/>
              </w:rPr>
            </w:pPr>
            <w:r w:rsidRPr="00246BAF">
              <w:t xml:space="preserve">Revise the </w:t>
            </w:r>
            <w:r>
              <w:t>PNG</w:t>
            </w:r>
            <w:r w:rsidRPr="00246BAF">
              <w:t xml:space="preserve"> Gender Action Plan in 2018-19 to ensure it can be used as a strategic tool for driving improvements in gender equality across the program.</w:t>
            </w:r>
          </w:p>
        </w:tc>
        <w:tc>
          <w:tcPr>
            <w:tcW w:w="964" w:type="dxa"/>
            <w:shd w:val="clear" w:color="auto" w:fill="92D050"/>
          </w:tcPr>
          <w:p w14:paraId="77C6B4BB"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rFonts w:eastAsia="Times New Roman"/>
                <w:iCs/>
                <w:color w:val="FFFFFF" w:themeColor="background1"/>
                <w:szCs w:val="17"/>
              </w:rPr>
              <w:t>Achieved</w:t>
            </w:r>
          </w:p>
        </w:tc>
        <w:tc>
          <w:tcPr>
            <w:tcW w:w="6053" w:type="dxa"/>
          </w:tcPr>
          <w:p w14:paraId="1D1070E2" w14:textId="77777777" w:rsidR="0037266D" w:rsidRPr="00442AB9" w:rsidRDefault="0037266D" w:rsidP="00EA09AA">
            <w:pPr>
              <w:keepNext/>
              <w:spacing w:before="40" w:after="40" w:line="200" w:lineRule="atLeast"/>
              <w:rPr>
                <w:rFonts w:eastAsia="Times New Roman"/>
                <w:iCs/>
                <w:szCs w:val="17"/>
              </w:rPr>
            </w:pPr>
            <w:r w:rsidRPr="00442AB9">
              <w:rPr>
                <w:rFonts w:eastAsia="Times New Roman"/>
                <w:iCs/>
                <w:szCs w:val="17"/>
              </w:rPr>
              <w:t xml:space="preserve">The Gender Action Plan was completed and is being used to improve the mainstreaming of gender across investments. </w:t>
            </w:r>
          </w:p>
        </w:tc>
      </w:tr>
      <w:tr w:rsidR="0037266D" w:rsidRPr="00F96110" w14:paraId="54DE4881"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69F4D362" w14:textId="77777777" w:rsidR="0037266D" w:rsidRPr="00246BAF" w:rsidRDefault="0037266D" w:rsidP="00EA09AA">
            <w:pPr>
              <w:keepNext/>
              <w:spacing w:before="40" w:after="40" w:line="200" w:lineRule="atLeast"/>
              <w:rPr>
                <w:rFonts w:eastAsia="Times New Roman"/>
                <w:iCs/>
                <w:szCs w:val="17"/>
              </w:rPr>
            </w:pPr>
            <w:r w:rsidRPr="00246BAF">
              <w:rPr>
                <w:lang w:val="en-AU"/>
              </w:rPr>
              <w:t xml:space="preserve">Work with the </w:t>
            </w:r>
            <w:r>
              <w:rPr>
                <w:lang w:val="en-AU"/>
              </w:rPr>
              <w:t>PNG</w:t>
            </w:r>
            <w:r w:rsidRPr="00246BAF">
              <w:rPr>
                <w:lang w:val="en-AU"/>
              </w:rPr>
              <w:t xml:space="preserve"> and Autonomous Bougainville governments and community groups in 2018-19 to provide consistent and impartial support in the lead up to the referendum.</w:t>
            </w:r>
          </w:p>
        </w:tc>
        <w:tc>
          <w:tcPr>
            <w:tcW w:w="964" w:type="dxa"/>
            <w:shd w:val="clear" w:color="auto" w:fill="92D050"/>
          </w:tcPr>
          <w:p w14:paraId="705E426C"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6B2711AF" w14:textId="2781CFAF" w:rsidR="0037266D" w:rsidRPr="00442AB9" w:rsidRDefault="0037266D" w:rsidP="00C34A36">
            <w:pPr>
              <w:keepNext/>
              <w:spacing w:before="40" w:after="40" w:line="200" w:lineRule="atLeast"/>
              <w:rPr>
                <w:rFonts w:eastAsia="Times New Roman"/>
                <w:iCs/>
                <w:szCs w:val="17"/>
              </w:rPr>
            </w:pPr>
            <w:r w:rsidRPr="00442AB9">
              <w:rPr>
                <w:rFonts w:eastAsia="Times New Roman"/>
                <w:iCs/>
                <w:szCs w:val="17"/>
              </w:rPr>
              <w:t xml:space="preserve">We are providing </w:t>
            </w:r>
            <w:r w:rsidR="001C5541">
              <w:rPr>
                <w:rFonts w:eastAsia="Times New Roman"/>
                <w:iCs/>
                <w:szCs w:val="17"/>
              </w:rPr>
              <w:t>ongoing</w:t>
            </w:r>
            <w:r w:rsidRPr="00442AB9">
              <w:rPr>
                <w:rFonts w:eastAsia="Times New Roman"/>
                <w:iCs/>
                <w:szCs w:val="17"/>
              </w:rPr>
              <w:t xml:space="preserve"> valuable, impartial support </w:t>
            </w:r>
            <w:r w:rsidR="001C5541">
              <w:rPr>
                <w:rFonts w:eastAsia="Times New Roman"/>
                <w:iCs/>
                <w:szCs w:val="17"/>
              </w:rPr>
              <w:t xml:space="preserve">in response to requests from the </w:t>
            </w:r>
            <w:r w:rsidRPr="00442AB9">
              <w:rPr>
                <w:rFonts w:eastAsia="Times New Roman"/>
                <w:iCs/>
                <w:szCs w:val="17"/>
              </w:rPr>
              <w:t>governments of PNG and BGV</w:t>
            </w:r>
            <w:r w:rsidR="001C5541">
              <w:rPr>
                <w:rFonts w:eastAsia="Times New Roman"/>
                <w:iCs/>
                <w:szCs w:val="17"/>
              </w:rPr>
              <w:t>, and the BRC</w:t>
            </w:r>
          </w:p>
        </w:tc>
      </w:tr>
      <w:tr w:rsidR="0037266D" w:rsidRPr="00C61187" w14:paraId="571E7708"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6E906649" w14:textId="6DA7DD8E" w:rsidR="0037266D" w:rsidRPr="00246BAF" w:rsidRDefault="0037266D" w:rsidP="00EA09AA">
            <w:pPr>
              <w:keepNext/>
              <w:spacing w:before="40" w:after="40" w:line="200" w:lineRule="atLeast"/>
              <w:rPr>
                <w:rFonts w:eastAsia="Times New Roman"/>
                <w:iCs/>
                <w:szCs w:val="17"/>
              </w:rPr>
            </w:pPr>
            <w:r w:rsidRPr="00246BAF">
              <w:rPr>
                <w:rFonts w:eastAsia="Times New Roman"/>
                <w:iCs/>
                <w:szCs w:val="17"/>
              </w:rPr>
              <w:t>Work with the Australian Federal Police to s</w:t>
            </w:r>
            <w:r w:rsidR="00862802">
              <w:rPr>
                <w:rFonts w:eastAsia="Times New Roman"/>
                <w:iCs/>
                <w:szCs w:val="17"/>
              </w:rPr>
              <w:t>hape a post-APEC Australia-PNG Policing P</w:t>
            </w:r>
            <w:r w:rsidRPr="00246BAF">
              <w:rPr>
                <w:rFonts w:eastAsia="Times New Roman"/>
                <w:iCs/>
                <w:szCs w:val="17"/>
              </w:rPr>
              <w:t>artnership in 2018-19, including achieving greater integration of policing support with assistance to the broader law and justice sector.</w:t>
            </w:r>
          </w:p>
        </w:tc>
        <w:tc>
          <w:tcPr>
            <w:tcW w:w="964" w:type="dxa"/>
            <w:shd w:val="clear" w:color="auto" w:fill="92D050"/>
          </w:tcPr>
          <w:p w14:paraId="34B0EE2A"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02AD8D9D" w14:textId="3B75D10E" w:rsidR="0037266D" w:rsidRPr="00442AB9" w:rsidRDefault="00862802" w:rsidP="00862802">
            <w:pPr>
              <w:keepNext/>
              <w:spacing w:before="40" w:after="40" w:line="200" w:lineRule="atLeast"/>
              <w:rPr>
                <w:rFonts w:eastAsia="Times New Roman"/>
                <w:iCs/>
                <w:szCs w:val="17"/>
              </w:rPr>
            </w:pPr>
            <w:r>
              <w:rPr>
                <w:rFonts w:eastAsia="Times New Roman"/>
                <w:iCs/>
                <w:szCs w:val="17"/>
              </w:rPr>
              <w:t>A new concept for the</w:t>
            </w:r>
            <w:r w:rsidR="0037266D" w:rsidRPr="00442AB9">
              <w:rPr>
                <w:rFonts w:eastAsia="Times New Roman"/>
                <w:iCs/>
                <w:szCs w:val="17"/>
              </w:rPr>
              <w:t xml:space="preserve"> Australia-PNG policing partnership </w:t>
            </w:r>
            <w:r>
              <w:rPr>
                <w:rFonts w:eastAsia="Times New Roman"/>
                <w:iCs/>
                <w:szCs w:val="17"/>
              </w:rPr>
              <w:t>has been designed by AFP with our engagement</w:t>
            </w:r>
            <w:r w:rsidR="0037266D" w:rsidRPr="00442AB9">
              <w:rPr>
                <w:rFonts w:eastAsia="Times New Roman"/>
                <w:iCs/>
                <w:szCs w:val="17"/>
              </w:rPr>
              <w:t xml:space="preserve">, and </w:t>
            </w:r>
            <w:r>
              <w:rPr>
                <w:rFonts w:eastAsia="Times New Roman"/>
                <w:iCs/>
                <w:szCs w:val="17"/>
              </w:rPr>
              <w:t xml:space="preserve">we </w:t>
            </w:r>
            <w:r w:rsidR="0037266D" w:rsidRPr="00442AB9">
              <w:rPr>
                <w:rFonts w:eastAsia="Times New Roman"/>
                <w:iCs/>
                <w:szCs w:val="17"/>
              </w:rPr>
              <w:t xml:space="preserve">have further integrated policing support across our law and justice sector investments. </w:t>
            </w:r>
          </w:p>
        </w:tc>
      </w:tr>
      <w:tr w:rsidR="0037266D" w:rsidRPr="00C61187" w14:paraId="7082D86C"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46C95430" w14:textId="77777777" w:rsidR="0037266D" w:rsidRPr="00246BAF" w:rsidRDefault="0037266D" w:rsidP="00EA09AA">
            <w:pPr>
              <w:keepNext/>
              <w:spacing w:before="40" w:after="40" w:line="200" w:lineRule="atLeast"/>
              <w:rPr>
                <w:rFonts w:eastAsia="Times New Roman"/>
                <w:iCs/>
                <w:szCs w:val="17"/>
              </w:rPr>
            </w:pPr>
            <w:r w:rsidRPr="00246BAF">
              <w:rPr>
                <w:rFonts w:eastAsia="Times New Roman"/>
                <w:iCs/>
                <w:szCs w:val="17"/>
              </w:rPr>
              <w:t>Implement the new Health Portfolio Plan in 2018-19.</w:t>
            </w:r>
          </w:p>
        </w:tc>
        <w:tc>
          <w:tcPr>
            <w:tcW w:w="964" w:type="dxa"/>
            <w:shd w:val="clear" w:color="auto" w:fill="92D050"/>
          </w:tcPr>
          <w:p w14:paraId="34AF7D98" w14:textId="77777777" w:rsidR="0037266D" w:rsidRPr="00E51002" w:rsidRDefault="0037266D" w:rsidP="00EA09AA">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4B7206FC" w14:textId="77777777" w:rsidR="0037266D" w:rsidRPr="00442AB9" w:rsidRDefault="0037266D" w:rsidP="00EA09AA">
            <w:pPr>
              <w:keepNext/>
              <w:spacing w:before="40" w:after="40" w:line="200" w:lineRule="atLeast"/>
              <w:rPr>
                <w:rFonts w:eastAsia="Times New Roman"/>
                <w:iCs/>
                <w:szCs w:val="17"/>
              </w:rPr>
            </w:pPr>
            <w:r w:rsidRPr="00442AB9">
              <w:rPr>
                <w:rFonts w:eastAsia="Times New Roman"/>
                <w:iCs/>
                <w:szCs w:val="17"/>
              </w:rPr>
              <w:t xml:space="preserve">The Health Portfolio Plan has begun implementation in 2018-19. </w:t>
            </w:r>
          </w:p>
        </w:tc>
      </w:tr>
      <w:tr w:rsidR="00862802" w:rsidRPr="00C61187" w14:paraId="022391BB" w14:textId="77777777" w:rsidTr="0078334D">
        <w:trPr>
          <w:cnfStyle w:val="000000010000" w:firstRow="0" w:lastRow="0" w:firstColumn="0" w:lastColumn="0" w:oddVBand="0" w:evenVBand="0" w:oddHBand="0" w:evenHBand="1" w:firstRowFirstColumn="0" w:firstRowLastColumn="0" w:lastRowFirstColumn="0" w:lastRowLastColumn="0"/>
        </w:trPr>
        <w:tc>
          <w:tcPr>
            <w:tcW w:w="8322" w:type="dxa"/>
          </w:tcPr>
          <w:p w14:paraId="66B59022" w14:textId="77777777" w:rsidR="00862802" w:rsidRPr="00246BAF" w:rsidRDefault="00862802" w:rsidP="00862802">
            <w:pPr>
              <w:keepNext/>
              <w:spacing w:before="40" w:after="40" w:line="200" w:lineRule="atLeast"/>
              <w:rPr>
                <w:rFonts w:eastAsia="Times New Roman"/>
                <w:iCs/>
                <w:szCs w:val="17"/>
              </w:rPr>
            </w:pPr>
            <w:r w:rsidRPr="00246BAF">
              <w:rPr>
                <w:rFonts w:eastAsia="Times New Roman"/>
                <w:iCs/>
                <w:szCs w:val="17"/>
              </w:rPr>
              <w:t>Design a new mechanism to support DFAT’s delivery of the Education and Leadership portfolio and additional investment in monitoring and evaluation in 2018-19.</w:t>
            </w:r>
          </w:p>
        </w:tc>
        <w:tc>
          <w:tcPr>
            <w:tcW w:w="964" w:type="dxa"/>
            <w:shd w:val="clear" w:color="auto" w:fill="FFC000"/>
          </w:tcPr>
          <w:p w14:paraId="5E674D94" w14:textId="4B1771AA" w:rsidR="00862802" w:rsidRPr="00862802" w:rsidRDefault="00862802" w:rsidP="00862802">
            <w:pPr>
              <w:keepNext/>
              <w:spacing w:before="40" w:after="40" w:line="200" w:lineRule="atLeast"/>
              <w:jc w:val="center"/>
              <w:rPr>
                <w:rFonts w:eastAsia="Times New Roman"/>
                <w:iCs/>
                <w:color w:val="FFFFFF" w:themeColor="background1"/>
                <w:szCs w:val="17"/>
                <w:highlight w:val="yellow"/>
              </w:rPr>
            </w:pPr>
            <w:r>
              <w:rPr>
                <w:rFonts w:eastAsia="Times New Roman"/>
                <w:iCs/>
                <w:color w:val="FFFFFF" w:themeColor="background1"/>
                <w:szCs w:val="17"/>
              </w:rPr>
              <w:t xml:space="preserve">Partly </w:t>
            </w:r>
            <w:r w:rsidRPr="00E51002">
              <w:rPr>
                <w:rFonts w:eastAsia="Times New Roman"/>
                <w:iCs/>
                <w:color w:val="FFFFFF" w:themeColor="background1"/>
                <w:szCs w:val="17"/>
              </w:rPr>
              <w:t>Achieved</w:t>
            </w:r>
          </w:p>
        </w:tc>
        <w:tc>
          <w:tcPr>
            <w:tcW w:w="6053" w:type="dxa"/>
          </w:tcPr>
          <w:p w14:paraId="3C180FD1" w14:textId="5A72ACBD" w:rsidR="00862802" w:rsidRPr="00442AB9" w:rsidRDefault="00862802" w:rsidP="00862802">
            <w:pPr>
              <w:keepNext/>
              <w:spacing w:before="40" w:after="40" w:line="200" w:lineRule="atLeast"/>
              <w:rPr>
                <w:rFonts w:eastAsia="Times New Roman"/>
                <w:iCs/>
                <w:szCs w:val="17"/>
              </w:rPr>
            </w:pPr>
            <w:r>
              <w:rPr>
                <w:rFonts w:eastAsia="Times New Roman"/>
                <w:iCs/>
                <w:szCs w:val="17"/>
              </w:rPr>
              <w:t>The design processes are nearing finalisation</w:t>
            </w:r>
            <w:r w:rsidRPr="00442AB9">
              <w:rPr>
                <w:rFonts w:eastAsia="Times New Roman"/>
                <w:iCs/>
                <w:szCs w:val="17"/>
              </w:rPr>
              <w:t xml:space="preserve"> </w:t>
            </w:r>
          </w:p>
        </w:tc>
      </w:tr>
      <w:tr w:rsidR="00862802" w:rsidRPr="00C61187" w14:paraId="50E9DECE"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299A6D61" w14:textId="77777777" w:rsidR="00862802" w:rsidRPr="00246BAF" w:rsidRDefault="00862802" w:rsidP="00862802">
            <w:pPr>
              <w:keepNext/>
              <w:spacing w:before="40" w:after="40" w:line="200" w:lineRule="atLeast"/>
              <w:rPr>
                <w:rFonts w:eastAsia="Times New Roman"/>
                <w:iCs/>
                <w:szCs w:val="17"/>
              </w:rPr>
            </w:pPr>
            <w:r w:rsidRPr="00246BAF">
              <w:rPr>
                <w:rFonts w:eastAsia="Times New Roman"/>
                <w:iCs/>
                <w:szCs w:val="17"/>
              </w:rPr>
              <w:t xml:space="preserve">Outline DFAT’s future priorities for work on climate change in </w:t>
            </w:r>
            <w:r>
              <w:rPr>
                <w:rFonts w:eastAsia="Times New Roman"/>
                <w:iCs/>
                <w:szCs w:val="17"/>
              </w:rPr>
              <w:t>PNG</w:t>
            </w:r>
            <w:r w:rsidRPr="00246BAF">
              <w:rPr>
                <w:rFonts w:eastAsia="Times New Roman"/>
                <w:iCs/>
                <w:szCs w:val="17"/>
              </w:rPr>
              <w:t xml:space="preserve"> in a Climate Change Portfolio Plan to be completed in early 2018-19.</w:t>
            </w:r>
          </w:p>
        </w:tc>
        <w:tc>
          <w:tcPr>
            <w:tcW w:w="964" w:type="dxa"/>
            <w:shd w:val="clear" w:color="auto" w:fill="92D050"/>
          </w:tcPr>
          <w:p w14:paraId="2462EFCB" w14:textId="77777777" w:rsidR="00862802" w:rsidRPr="00E51002" w:rsidRDefault="00862802" w:rsidP="00862802">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02960927" w14:textId="50ED5639" w:rsidR="00862802" w:rsidRPr="00467CF8" w:rsidRDefault="00862802" w:rsidP="00361D7F">
            <w:pPr>
              <w:keepNext/>
              <w:spacing w:before="40" w:after="40" w:line="200" w:lineRule="atLeast"/>
              <w:rPr>
                <w:rFonts w:eastAsia="Times New Roman"/>
                <w:iCs/>
                <w:szCs w:val="17"/>
              </w:rPr>
            </w:pPr>
            <w:r w:rsidRPr="00467CF8">
              <w:rPr>
                <w:rFonts w:eastAsia="Times New Roman"/>
                <w:iCs/>
                <w:szCs w:val="17"/>
              </w:rPr>
              <w:t xml:space="preserve">The Climate Change Portfolio Plan was completed in 2018 and it clearly articulates DFAT’s priorities for the sector. </w:t>
            </w:r>
          </w:p>
        </w:tc>
      </w:tr>
      <w:tr w:rsidR="00862802" w:rsidRPr="00C61187" w14:paraId="447A0594"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3715632D" w14:textId="77777777" w:rsidR="00862802" w:rsidRPr="00246BAF" w:rsidRDefault="00862802" w:rsidP="00862802">
            <w:pPr>
              <w:keepNext/>
              <w:spacing w:before="40" w:after="40" w:line="200" w:lineRule="atLeast"/>
              <w:rPr>
                <w:rFonts w:eastAsia="Times New Roman"/>
                <w:iCs/>
                <w:szCs w:val="17"/>
              </w:rPr>
            </w:pPr>
            <w:r w:rsidRPr="00246BAF">
              <w:rPr>
                <w:rFonts w:eastAsia="Times New Roman"/>
                <w:iCs/>
                <w:szCs w:val="17"/>
              </w:rPr>
              <w:t>Transition ongoing programs under the new health and education portfolio structures and tender and implement new programs in 2018-19.</w:t>
            </w:r>
          </w:p>
        </w:tc>
        <w:tc>
          <w:tcPr>
            <w:tcW w:w="964" w:type="dxa"/>
            <w:shd w:val="clear" w:color="auto" w:fill="92D050"/>
          </w:tcPr>
          <w:p w14:paraId="4A8A73C3" w14:textId="77777777" w:rsidR="00862802" w:rsidRPr="00E51002" w:rsidRDefault="00862802" w:rsidP="00862802">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3C87E571" w14:textId="77777777" w:rsidR="00862802" w:rsidRPr="00442AB9" w:rsidRDefault="00862802" w:rsidP="00862802">
            <w:pPr>
              <w:keepNext/>
              <w:spacing w:before="40" w:after="40" w:line="200" w:lineRule="atLeast"/>
              <w:rPr>
                <w:rFonts w:eastAsia="Times New Roman"/>
                <w:iCs/>
                <w:szCs w:val="17"/>
              </w:rPr>
            </w:pPr>
            <w:r w:rsidRPr="00442AB9">
              <w:rPr>
                <w:rFonts w:eastAsia="Times New Roman"/>
                <w:iCs/>
                <w:szCs w:val="17"/>
              </w:rPr>
              <w:t xml:space="preserve">The transitioning of programs under the new health and education structures has been achieved. The tendering and implementation of new programs has commenced. </w:t>
            </w:r>
          </w:p>
        </w:tc>
      </w:tr>
      <w:tr w:rsidR="00862802" w:rsidRPr="00C61187" w14:paraId="33F74B67"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1834DD54" w14:textId="77777777" w:rsidR="00862802" w:rsidRPr="00246BAF" w:rsidRDefault="00862802" w:rsidP="00862802">
            <w:pPr>
              <w:keepNext/>
              <w:spacing w:before="40" w:after="40" w:line="200" w:lineRule="atLeast"/>
              <w:rPr>
                <w:rFonts w:eastAsia="Times New Roman"/>
                <w:iCs/>
                <w:szCs w:val="17"/>
              </w:rPr>
            </w:pPr>
            <w:r w:rsidRPr="00246BAF">
              <w:rPr>
                <w:rFonts w:eastAsia="Times New Roman"/>
                <w:iCs/>
                <w:szCs w:val="17"/>
              </w:rPr>
              <w:t>Transition the new TSSP managing contractor to ensure the continuing effectiveness of TSSP in 2018-19.</w:t>
            </w:r>
          </w:p>
        </w:tc>
        <w:tc>
          <w:tcPr>
            <w:tcW w:w="964" w:type="dxa"/>
            <w:shd w:val="clear" w:color="auto" w:fill="92D050"/>
          </w:tcPr>
          <w:p w14:paraId="3F1B9BD5" w14:textId="77777777" w:rsidR="00862802" w:rsidRPr="00E51002" w:rsidRDefault="00862802" w:rsidP="00862802">
            <w:pPr>
              <w:keepNext/>
              <w:spacing w:before="40" w:after="40" w:line="200" w:lineRule="atLeast"/>
              <w:jc w:val="center"/>
              <w:rPr>
                <w:rFonts w:eastAsia="Times New Roman"/>
                <w:iCs/>
                <w:color w:val="FFFFFF" w:themeColor="background1"/>
                <w:szCs w:val="17"/>
              </w:rPr>
            </w:pPr>
            <w:r w:rsidRPr="00E51002">
              <w:rPr>
                <w:color w:val="FFFFFF" w:themeColor="background1"/>
              </w:rPr>
              <w:t>Achieved</w:t>
            </w:r>
          </w:p>
        </w:tc>
        <w:tc>
          <w:tcPr>
            <w:tcW w:w="6053" w:type="dxa"/>
          </w:tcPr>
          <w:p w14:paraId="21361CB0" w14:textId="77777777" w:rsidR="00862802" w:rsidRPr="00442AB9" w:rsidRDefault="00862802" w:rsidP="00862802">
            <w:pPr>
              <w:keepNext/>
              <w:spacing w:before="40" w:after="40" w:line="200" w:lineRule="atLeast"/>
              <w:rPr>
                <w:rFonts w:eastAsia="Times New Roman"/>
                <w:iCs/>
                <w:szCs w:val="17"/>
              </w:rPr>
            </w:pPr>
            <w:r w:rsidRPr="00442AB9">
              <w:rPr>
                <w:rFonts w:eastAsia="Times New Roman"/>
                <w:iCs/>
                <w:szCs w:val="17"/>
              </w:rPr>
              <w:t xml:space="preserve">The new TSSP contractor has transitioned successfully. </w:t>
            </w:r>
          </w:p>
        </w:tc>
      </w:tr>
      <w:tr w:rsidR="00862802" w:rsidRPr="00C61187" w14:paraId="3E795547" w14:textId="77777777" w:rsidTr="00EA09AA">
        <w:trPr>
          <w:cnfStyle w:val="000000010000" w:firstRow="0" w:lastRow="0" w:firstColumn="0" w:lastColumn="0" w:oddVBand="0" w:evenVBand="0" w:oddHBand="0" w:evenHBand="1" w:firstRowFirstColumn="0" w:firstRowLastColumn="0" w:lastRowFirstColumn="0" w:lastRowLastColumn="0"/>
        </w:trPr>
        <w:tc>
          <w:tcPr>
            <w:tcW w:w="8322" w:type="dxa"/>
          </w:tcPr>
          <w:p w14:paraId="3114827D" w14:textId="77777777" w:rsidR="00862802" w:rsidRPr="00246BAF" w:rsidRDefault="00862802" w:rsidP="00862802">
            <w:pPr>
              <w:keepNext/>
              <w:spacing w:before="40" w:after="40" w:line="200" w:lineRule="atLeast"/>
              <w:rPr>
                <w:rFonts w:eastAsia="Times New Roman"/>
                <w:iCs/>
                <w:szCs w:val="17"/>
              </w:rPr>
            </w:pPr>
            <w:r w:rsidRPr="00246BAF">
              <w:rPr>
                <w:rFonts w:eastAsia="Times New Roman"/>
                <w:iCs/>
                <w:szCs w:val="17"/>
              </w:rPr>
              <w:t>Implement actions to address identified performance issues in the Institutional Partnership Program and the PNG Education Program in 2018-19.</w:t>
            </w:r>
          </w:p>
        </w:tc>
        <w:tc>
          <w:tcPr>
            <w:tcW w:w="964" w:type="dxa"/>
            <w:shd w:val="clear" w:color="auto" w:fill="92D050"/>
          </w:tcPr>
          <w:p w14:paraId="7ADEC79A" w14:textId="77777777" w:rsidR="00862802" w:rsidRPr="00E51002" w:rsidRDefault="00862802" w:rsidP="00862802">
            <w:pPr>
              <w:keepNext/>
              <w:spacing w:before="40" w:after="40" w:line="200" w:lineRule="atLeast"/>
              <w:jc w:val="center"/>
              <w:rPr>
                <w:rFonts w:eastAsia="Times New Roman"/>
                <w:iCs/>
                <w:color w:val="FFFFFF" w:themeColor="background1"/>
                <w:szCs w:val="17"/>
              </w:rPr>
            </w:pPr>
            <w:r w:rsidRPr="00E51002">
              <w:rPr>
                <w:rFonts w:eastAsia="Times New Roman"/>
                <w:iCs/>
                <w:color w:val="FFFFFF" w:themeColor="background1"/>
                <w:szCs w:val="17"/>
              </w:rPr>
              <w:t xml:space="preserve">Achieved </w:t>
            </w:r>
          </w:p>
        </w:tc>
        <w:tc>
          <w:tcPr>
            <w:tcW w:w="6053" w:type="dxa"/>
          </w:tcPr>
          <w:p w14:paraId="4F9C691D" w14:textId="77777777" w:rsidR="00862802" w:rsidRPr="00442AB9" w:rsidRDefault="00862802" w:rsidP="00862802">
            <w:pPr>
              <w:keepNext/>
              <w:spacing w:before="40" w:after="40" w:line="200" w:lineRule="atLeast"/>
              <w:rPr>
                <w:rFonts w:eastAsia="Times New Roman"/>
                <w:iCs/>
                <w:szCs w:val="17"/>
              </w:rPr>
            </w:pPr>
            <w:r w:rsidRPr="00442AB9">
              <w:rPr>
                <w:rFonts w:eastAsia="Times New Roman"/>
                <w:iCs/>
                <w:szCs w:val="17"/>
              </w:rPr>
              <w:t xml:space="preserve">Issues affecting programs performance in IPP and the PNG Education Program have been successful addressed. </w:t>
            </w:r>
          </w:p>
        </w:tc>
      </w:tr>
      <w:tr w:rsidR="00862802" w:rsidRPr="00C61187" w14:paraId="55F4B5BD" w14:textId="77777777" w:rsidTr="00077F81">
        <w:trPr>
          <w:cnfStyle w:val="000000010000" w:firstRow="0" w:lastRow="0" w:firstColumn="0" w:lastColumn="0" w:oddVBand="0" w:evenVBand="0" w:oddHBand="0" w:evenHBand="1" w:firstRowFirstColumn="0" w:firstRowLastColumn="0" w:lastRowFirstColumn="0" w:lastRowLastColumn="0"/>
        </w:trPr>
        <w:tc>
          <w:tcPr>
            <w:tcW w:w="8322" w:type="dxa"/>
          </w:tcPr>
          <w:p w14:paraId="4FC9532B" w14:textId="77777777" w:rsidR="00862802" w:rsidRPr="00246BAF" w:rsidRDefault="00862802" w:rsidP="00862802">
            <w:pPr>
              <w:keepNext/>
              <w:spacing w:before="40" w:after="40" w:line="200" w:lineRule="atLeast"/>
              <w:rPr>
                <w:rFonts w:eastAsia="Times New Roman"/>
                <w:iCs/>
                <w:szCs w:val="17"/>
              </w:rPr>
            </w:pPr>
            <w:r w:rsidRPr="0067545A">
              <w:rPr>
                <w:rFonts w:eastAsia="Times New Roman"/>
                <w:iCs/>
                <w:szCs w:val="17"/>
              </w:rPr>
              <w:t>Implement agreed recommendations from the QTAG’s reviews of the PNG-Australia Governance Partnership, the Precinct and the law and justice program in 2018-19</w:t>
            </w:r>
          </w:p>
        </w:tc>
        <w:tc>
          <w:tcPr>
            <w:tcW w:w="964" w:type="dxa"/>
            <w:shd w:val="clear" w:color="auto" w:fill="FFC000"/>
          </w:tcPr>
          <w:p w14:paraId="7988724F" w14:textId="6D0CB4E5" w:rsidR="00862802" w:rsidRPr="00E51002" w:rsidRDefault="00862802" w:rsidP="00862802">
            <w:pPr>
              <w:keepNext/>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 xml:space="preserve">Partly </w:t>
            </w:r>
            <w:r w:rsidRPr="00E51002">
              <w:rPr>
                <w:rFonts w:eastAsia="Times New Roman"/>
                <w:iCs/>
                <w:color w:val="FFFFFF" w:themeColor="background1"/>
                <w:szCs w:val="17"/>
              </w:rPr>
              <w:t>Achieved</w:t>
            </w:r>
          </w:p>
        </w:tc>
        <w:tc>
          <w:tcPr>
            <w:tcW w:w="6053" w:type="dxa"/>
          </w:tcPr>
          <w:p w14:paraId="02962ACD" w14:textId="14989E1B" w:rsidR="00862802" w:rsidRPr="00077F81" w:rsidRDefault="00862802" w:rsidP="00862802">
            <w:pPr>
              <w:keepNext/>
              <w:spacing w:before="40" w:after="40" w:line="200" w:lineRule="atLeast"/>
              <w:rPr>
                <w:rFonts w:eastAsia="Times New Roman"/>
                <w:iCs/>
                <w:szCs w:val="17"/>
              </w:rPr>
            </w:pPr>
            <w:r w:rsidRPr="00077F81">
              <w:rPr>
                <w:rFonts w:eastAsia="Times New Roman"/>
                <w:iCs/>
                <w:szCs w:val="17"/>
              </w:rPr>
              <w:t xml:space="preserve">Currently implementing agreed recommendations and will continue in 2019-20. </w:t>
            </w:r>
          </w:p>
        </w:tc>
      </w:tr>
    </w:tbl>
    <w:p w14:paraId="27ED0781"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B45A34C"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499686BB"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2EBB91E5"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6CD8CF7C" w14:textId="11CFE2A3" w:rsidR="00033AB7" w:rsidRPr="008821C2" w:rsidRDefault="00400B0F" w:rsidP="008821C2">
      <w:pPr>
        <w:pStyle w:val="Subtitle"/>
        <w:numPr>
          <w:ilvl w:val="0"/>
          <w:numId w:val="0"/>
        </w:numPr>
        <w:spacing w:before="360" w:after="120" w:line="300" w:lineRule="exact"/>
        <w:rPr>
          <w:rFonts w:asciiTheme="majorHAnsi" w:hAnsiTheme="majorHAnsi" w:cstheme="majorHAnsi"/>
        </w:rPr>
      </w:pPr>
      <w:r w:rsidRPr="00052D54">
        <w:rPr>
          <w:rFonts w:asciiTheme="majorHAnsi" w:hAnsiTheme="majorHAnsi" w:cstheme="majorHAnsi"/>
        </w:rPr>
        <w:lastRenderedPageBreak/>
        <w:t xml:space="preserve">Annex B </w:t>
      </w:r>
      <w:r w:rsidR="00033AB7" w:rsidRPr="00052D54">
        <w:rPr>
          <w:rFonts w:asciiTheme="majorHAnsi" w:hAnsiTheme="majorHAnsi" w:cstheme="majorHAnsi"/>
        </w:rPr>
        <w:t>–</w:t>
      </w:r>
      <w:r w:rsidRPr="00052D54">
        <w:rPr>
          <w:rFonts w:asciiTheme="majorHAnsi" w:hAnsiTheme="majorHAnsi" w:cstheme="majorHAnsi"/>
        </w:rPr>
        <w:t xml:space="preserve"> </w:t>
      </w:r>
      <w:r w:rsidR="00033AB7" w:rsidRPr="00052D54">
        <w:rPr>
          <w:rFonts w:asciiTheme="majorHAnsi" w:hAnsiTheme="majorHAnsi" w:cstheme="majorHAnsi"/>
        </w:rPr>
        <w:t>PERFORMANCE BENCHMARKS</w:t>
      </w:r>
      <w:r w:rsidR="00903D75" w:rsidRPr="00052D54">
        <w:rPr>
          <w:rFonts w:asciiTheme="majorHAnsi" w:hAnsiTheme="majorHAnsi" w:cstheme="majorHAnsi"/>
        </w:rPr>
        <w:t xml:space="preserve"> </w:t>
      </w:r>
    </w:p>
    <w:p w14:paraId="549CCB52" w14:textId="77777777" w:rsidR="008821C2" w:rsidRPr="00F8189A" w:rsidRDefault="008821C2" w:rsidP="008821C2">
      <w:pPr>
        <w:rPr>
          <w:rFonts w:eastAsia="Times New Roman" w:cstheme="minorHAnsi"/>
          <w:sz w:val="32"/>
          <w:szCs w:val="32"/>
        </w:rPr>
      </w:pPr>
      <w:r>
        <w:rPr>
          <w:rFonts w:eastAsia="Times New Roman" w:cstheme="minorHAnsi"/>
          <w:sz w:val="32"/>
          <w:szCs w:val="32"/>
        </w:rPr>
        <w:t xml:space="preserve">1 </w:t>
      </w:r>
      <w:r w:rsidRPr="00F8189A">
        <w:rPr>
          <w:rFonts w:eastAsia="Times New Roman" w:cstheme="minorHAnsi"/>
          <w:sz w:val="32"/>
          <w:szCs w:val="32"/>
        </w:rPr>
        <w:t>Progress towards Performance Benchmarks in 2018-19</w:t>
      </w:r>
    </w:p>
    <w:p w14:paraId="1E30EB9F" w14:textId="77777777" w:rsidR="00C52129" w:rsidRPr="00EA16E7" w:rsidRDefault="00C52129" w:rsidP="00C52129">
      <w:pPr>
        <w:spacing w:before="40" w:after="40" w:line="200" w:lineRule="atLeast"/>
        <w:rPr>
          <w:sz w:val="17"/>
          <w:szCs w:val="17"/>
        </w:rPr>
      </w:pPr>
      <w:r w:rsidRPr="00EA16E7">
        <w:rPr>
          <w:rFonts w:ascii="Franklin Gothic Book" w:eastAsia="Times New Roman" w:hAnsi="Franklin Gothic Book"/>
          <w:b/>
          <w:sz w:val="24"/>
          <w:szCs w:val="24"/>
        </w:rPr>
        <w:t xml:space="preserve">Progress towards Performance Benchmarks in </w:t>
      </w:r>
      <w:r>
        <w:rPr>
          <w:rFonts w:ascii="Franklin Gothic Book" w:eastAsia="Times New Roman" w:hAnsi="Franklin Gothic Book"/>
          <w:b/>
          <w:sz w:val="24"/>
          <w:szCs w:val="24"/>
        </w:rPr>
        <w:t>2018-19</w:t>
      </w:r>
      <w:r w:rsidRPr="00EA16E7">
        <w:rPr>
          <w:rFonts w:ascii="Franklin Gothic Book" w:eastAsia="Times New Roman" w:hAnsi="Franklin Gothic Book"/>
          <w:b/>
          <w:sz w:val="24"/>
          <w:szCs w:val="24"/>
        </w:rPr>
        <w:t xml:space="preserve"> </w:t>
      </w:r>
    </w:p>
    <w:tbl>
      <w:tblPr>
        <w:tblW w:w="5000" w:type="pct"/>
        <w:tblCellMar>
          <w:left w:w="0" w:type="dxa"/>
          <w:right w:w="0" w:type="dxa"/>
        </w:tblCellMar>
        <w:tblLook w:val="04A0" w:firstRow="1" w:lastRow="0" w:firstColumn="1" w:lastColumn="0" w:noHBand="0" w:noVBand="1"/>
      </w:tblPr>
      <w:tblGrid>
        <w:gridCol w:w="1802"/>
        <w:gridCol w:w="3603"/>
        <w:gridCol w:w="2404"/>
        <w:gridCol w:w="2044"/>
        <w:gridCol w:w="2160"/>
        <w:gridCol w:w="2160"/>
      </w:tblGrid>
      <w:tr w:rsidR="00C52129" w:rsidRPr="006457D2" w14:paraId="34734E99" w14:textId="77777777" w:rsidTr="00EA09AA">
        <w:trPr>
          <w:tblHeader/>
        </w:trPr>
        <w:tc>
          <w:tcPr>
            <w:tcW w:w="636" w:type="pct"/>
            <w:tcBorders>
              <w:top w:val="single" w:sz="12" w:space="0" w:color="auto"/>
              <w:left w:val="nil"/>
              <w:bottom w:val="nil"/>
              <w:right w:val="nil"/>
            </w:tcBorders>
            <w:tcMar>
              <w:top w:w="57" w:type="dxa"/>
              <w:left w:w="108" w:type="dxa"/>
              <w:bottom w:w="57" w:type="dxa"/>
              <w:right w:w="108" w:type="dxa"/>
            </w:tcMar>
            <w:hideMark/>
          </w:tcPr>
          <w:p w14:paraId="55CBFCA4" w14:textId="77777777" w:rsidR="00C52129" w:rsidRPr="006457D2" w:rsidRDefault="00C52129" w:rsidP="00EA09AA">
            <w:pPr>
              <w:spacing w:before="80" w:after="80" w:line="200" w:lineRule="atLeast"/>
              <w:rPr>
                <w:b/>
                <w:bCs/>
                <w:color w:val="auto"/>
                <w:sz w:val="17"/>
                <w:szCs w:val="17"/>
              </w:rPr>
            </w:pPr>
            <w:r w:rsidRPr="006457D2">
              <w:rPr>
                <w:b/>
                <w:bCs/>
                <w:sz w:val="17"/>
                <w:szCs w:val="17"/>
              </w:rPr>
              <w:t>Aid objective</w:t>
            </w:r>
          </w:p>
        </w:tc>
        <w:tc>
          <w:tcPr>
            <w:tcW w:w="1271" w:type="pct"/>
            <w:tcBorders>
              <w:top w:val="single" w:sz="12" w:space="0" w:color="auto"/>
              <w:left w:val="nil"/>
              <w:bottom w:val="nil"/>
              <w:right w:val="nil"/>
            </w:tcBorders>
            <w:tcMar>
              <w:top w:w="0" w:type="dxa"/>
              <w:left w:w="108" w:type="dxa"/>
              <w:bottom w:w="0" w:type="dxa"/>
              <w:right w:w="108" w:type="dxa"/>
            </w:tcMar>
            <w:hideMark/>
          </w:tcPr>
          <w:p w14:paraId="0DA7FD2B" w14:textId="77777777" w:rsidR="00C52129" w:rsidRPr="006457D2" w:rsidRDefault="00C52129" w:rsidP="00EA09AA">
            <w:pPr>
              <w:spacing w:before="80" w:after="80" w:line="200" w:lineRule="atLeast"/>
              <w:rPr>
                <w:b/>
                <w:bCs/>
                <w:sz w:val="17"/>
                <w:szCs w:val="17"/>
              </w:rPr>
            </w:pPr>
            <w:r w:rsidRPr="006457D2">
              <w:rPr>
                <w:b/>
                <w:bCs/>
                <w:sz w:val="17"/>
                <w:szCs w:val="17"/>
              </w:rPr>
              <w:t xml:space="preserve">Performance Benchmark </w:t>
            </w:r>
          </w:p>
        </w:tc>
        <w:tc>
          <w:tcPr>
            <w:tcW w:w="848" w:type="pct"/>
            <w:tcBorders>
              <w:top w:val="single" w:sz="12" w:space="0" w:color="auto"/>
              <w:left w:val="nil"/>
              <w:bottom w:val="nil"/>
              <w:right w:val="nil"/>
            </w:tcBorders>
            <w:tcMar>
              <w:top w:w="0" w:type="dxa"/>
              <w:left w:w="108" w:type="dxa"/>
              <w:bottom w:w="0" w:type="dxa"/>
              <w:right w:w="108" w:type="dxa"/>
            </w:tcMar>
            <w:hideMark/>
          </w:tcPr>
          <w:p w14:paraId="00A80915" w14:textId="77777777" w:rsidR="00C52129" w:rsidRPr="006457D2" w:rsidRDefault="00C52129" w:rsidP="00EA09AA">
            <w:pPr>
              <w:spacing w:before="80" w:after="80" w:line="200" w:lineRule="atLeast"/>
              <w:jc w:val="center"/>
              <w:rPr>
                <w:rFonts w:ascii="Helvetica" w:hAnsi="Helvetica" w:cs="Helvetica"/>
                <w:b/>
                <w:bCs/>
                <w:sz w:val="17"/>
                <w:szCs w:val="17"/>
                <w:lang w:eastAsia="en-AU"/>
              </w:rPr>
            </w:pPr>
            <w:r w:rsidRPr="006457D2">
              <w:rPr>
                <w:rFonts w:ascii="Helvetica" w:hAnsi="Helvetica" w:cs="Helvetica"/>
                <w:b/>
                <w:bCs/>
                <w:sz w:val="17"/>
                <w:szCs w:val="17"/>
                <w:lang w:eastAsia="en-AU"/>
              </w:rPr>
              <w:t>Target</w:t>
            </w:r>
          </w:p>
        </w:tc>
        <w:tc>
          <w:tcPr>
            <w:tcW w:w="721" w:type="pct"/>
            <w:tcBorders>
              <w:top w:val="single" w:sz="12" w:space="0" w:color="auto"/>
              <w:left w:val="nil"/>
              <w:bottom w:val="nil"/>
              <w:right w:val="nil"/>
            </w:tcBorders>
            <w:tcMar>
              <w:top w:w="0" w:type="dxa"/>
              <w:left w:w="108" w:type="dxa"/>
              <w:bottom w:w="0" w:type="dxa"/>
              <w:right w:w="108" w:type="dxa"/>
            </w:tcMar>
            <w:hideMark/>
          </w:tcPr>
          <w:p w14:paraId="49710F6B" w14:textId="77777777" w:rsidR="00C52129" w:rsidRPr="00596202" w:rsidRDefault="00C52129" w:rsidP="00EA09AA">
            <w:pPr>
              <w:spacing w:before="80" w:after="80" w:line="200" w:lineRule="atLeast"/>
              <w:jc w:val="center"/>
              <w:rPr>
                <w:rFonts w:ascii="Calibri" w:hAnsi="Calibri" w:cs="Times New Roman"/>
                <w:b/>
                <w:bCs/>
                <w:sz w:val="17"/>
                <w:szCs w:val="17"/>
                <w:highlight w:val="yellow"/>
              </w:rPr>
            </w:pPr>
            <w:r w:rsidRPr="00596202">
              <w:rPr>
                <w:b/>
                <w:bCs/>
                <w:sz w:val="17"/>
                <w:szCs w:val="17"/>
                <w:highlight w:val="yellow"/>
              </w:rPr>
              <w:t>Rating</w:t>
            </w:r>
          </w:p>
        </w:tc>
        <w:tc>
          <w:tcPr>
            <w:tcW w:w="762" w:type="pct"/>
            <w:tcBorders>
              <w:top w:val="single" w:sz="12" w:space="0" w:color="auto"/>
              <w:left w:val="nil"/>
              <w:bottom w:val="nil"/>
              <w:right w:val="nil"/>
            </w:tcBorders>
            <w:tcMar>
              <w:top w:w="0" w:type="dxa"/>
              <w:left w:w="108" w:type="dxa"/>
              <w:bottom w:w="0" w:type="dxa"/>
              <w:right w:w="108" w:type="dxa"/>
            </w:tcMar>
            <w:hideMark/>
          </w:tcPr>
          <w:p w14:paraId="11695CD5" w14:textId="77777777" w:rsidR="00C52129" w:rsidRPr="00D22725" w:rsidRDefault="00C52129" w:rsidP="00EA09AA">
            <w:pPr>
              <w:spacing w:before="80" w:after="80" w:line="200" w:lineRule="atLeast"/>
              <w:jc w:val="center"/>
              <w:rPr>
                <w:b/>
                <w:bCs/>
                <w:sz w:val="17"/>
                <w:szCs w:val="17"/>
              </w:rPr>
            </w:pPr>
            <w:r w:rsidRPr="00D22725">
              <w:rPr>
                <w:b/>
                <w:bCs/>
                <w:sz w:val="17"/>
                <w:szCs w:val="17"/>
              </w:rPr>
              <w:t>Progress in 2018-19</w:t>
            </w:r>
          </w:p>
        </w:tc>
        <w:tc>
          <w:tcPr>
            <w:tcW w:w="762" w:type="pct"/>
            <w:tcBorders>
              <w:top w:val="single" w:sz="12" w:space="0" w:color="auto"/>
              <w:left w:val="nil"/>
              <w:bottom w:val="nil"/>
              <w:right w:val="nil"/>
            </w:tcBorders>
          </w:tcPr>
          <w:p w14:paraId="121B17F8" w14:textId="77777777" w:rsidR="00C52129" w:rsidRPr="006457D2" w:rsidRDefault="00C52129" w:rsidP="00EA09AA">
            <w:pPr>
              <w:spacing w:before="80" w:after="80" w:line="200" w:lineRule="atLeast"/>
              <w:jc w:val="center"/>
              <w:rPr>
                <w:b/>
                <w:bCs/>
                <w:sz w:val="17"/>
                <w:szCs w:val="17"/>
              </w:rPr>
            </w:pPr>
            <w:r>
              <w:rPr>
                <w:b/>
                <w:bCs/>
                <w:sz w:val="17"/>
                <w:szCs w:val="17"/>
              </w:rPr>
              <w:t>Target for 2019-20</w:t>
            </w:r>
          </w:p>
        </w:tc>
      </w:tr>
      <w:tr w:rsidR="00C52129" w:rsidRPr="006457D2" w14:paraId="7EB8DBE9" w14:textId="77777777" w:rsidTr="00EA09AA">
        <w:tc>
          <w:tcPr>
            <w:tcW w:w="1907" w:type="pct"/>
            <w:gridSpan w:val="2"/>
            <w:tcMar>
              <w:top w:w="57" w:type="dxa"/>
              <w:left w:w="108" w:type="dxa"/>
              <w:bottom w:w="57" w:type="dxa"/>
              <w:right w:w="108" w:type="dxa"/>
            </w:tcMar>
            <w:hideMark/>
          </w:tcPr>
          <w:p w14:paraId="469B24B0" w14:textId="77777777" w:rsidR="00C52129" w:rsidRPr="00E22D36" w:rsidRDefault="00C52129" w:rsidP="00EA09AA">
            <w:pPr>
              <w:spacing w:before="40" w:after="40" w:line="200" w:lineRule="atLeast"/>
              <w:rPr>
                <w:sz w:val="17"/>
                <w:szCs w:val="17"/>
                <w:highlight w:val="cyan"/>
              </w:rPr>
            </w:pPr>
            <w:r w:rsidRPr="00992E78">
              <w:rPr>
                <w:b/>
                <w:bCs/>
                <w:sz w:val="17"/>
                <w:szCs w:val="17"/>
                <w:lang w:eastAsia="en-AU"/>
              </w:rPr>
              <w:t>Promoting Effective Governance</w:t>
            </w:r>
          </w:p>
        </w:tc>
        <w:tc>
          <w:tcPr>
            <w:tcW w:w="848" w:type="pct"/>
            <w:tcMar>
              <w:top w:w="0" w:type="dxa"/>
              <w:left w:w="108" w:type="dxa"/>
              <w:bottom w:w="0" w:type="dxa"/>
              <w:right w:w="108" w:type="dxa"/>
            </w:tcMar>
          </w:tcPr>
          <w:p w14:paraId="48DB5D5D" w14:textId="77777777" w:rsidR="00C52129" w:rsidRPr="00E22D36" w:rsidRDefault="00C52129" w:rsidP="00EA09AA">
            <w:pPr>
              <w:spacing w:before="40" w:after="40" w:line="200" w:lineRule="atLeast"/>
              <w:jc w:val="center"/>
              <w:rPr>
                <w:rFonts w:ascii="Helvetica" w:hAnsi="Helvetica" w:cs="Helvetica"/>
                <w:sz w:val="17"/>
                <w:szCs w:val="17"/>
                <w:highlight w:val="cyan"/>
                <w:lang w:eastAsia="en-AU"/>
              </w:rPr>
            </w:pPr>
          </w:p>
        </w:tc>
        <w:tc>
          <w:tcPr>
            <w:tcW w:w="721" w:type="pct"/>
            <w:tcMar>
              <w:top w:w="0" w:type="dxa"/>
              <w:left w:w="108" w:type="dxa"/>
              <w:bottom w:w="0" w:type="dxa"/>
              <w:right w:w="108" w:type="dxa"/>
            </w:tcMar>
          </w:tcPr>
          <w:p w14:paraId="22998211" w14:textId="77777777" w:rsidR="00C52129" w:rsidRPr="00596202" w:rsidRDefault="00C52129" w:rsidP="00EA09AA">
            <w:pPr>
              <w:spacing w:before="40" w:after="40" w:line="200" w:lineRule="atLeast"/>
              <w:rPr>
                <w:rFonts w:ascii="Calibri" w:hAnsi="Calibri" w:cs="Times New Roman"/>
                <w:color w:val="FFFFFF"/>
                <w:sz w:val="17"/>
                <w:szCs w:val="17"/>
                <w:highlight w:val="yellow"/>
              </w:rPr>
            </w:pPr>
          </w:p>
        </w:tc>
        <w:tc>
          <w:tcPr>
            <w:tcW w:w="762" w:type="pct"/>
            <w:tcMar>
              <w:top w:w="0" w:type="dxa"/>
              <w:left w:w="108" w:type="dxa"/>
              <w:bottom w:w="0" w:type="dxa"/>
              <w:right w:w="108" w:type="dxa"/>
            </w:tcMar>
          </w:tcPr>
          <w:p w14:paraId="761F9260" w14:textId="77777777" w:rsidR="00C52129" w:rsidRPr="00D22725" w:rsidRDefault="00C52129" w:rsidP="00EA09AA">
            <w:pPr>
              <w:spacing w:before="40" w:after="40" w:line="200" w:lineRule="atLeast"/>
              <w:rPr>
                <w:color w:val="44546A"/>
                <w:sz w:val="17"/>
                <w:szCs w:val="17"/>
              </w:rPr>
            </w:pPr>
          </w:p>
        </w:tc>
        <w:tc>
          <w:tcPr>
            <w:tcW w:w="762" w:type="pct"/>
          </w:tcPr>
          <w:p w14:paraId="343F62AA" w14:textId="77777777" w:rsidR="00C52129" w:rsidRPr="00E22D36" w:rsidRDefault="00C52129" w:rsidP="00EA09AA">
            <w:pPr>
              <w:spacing w:before="40" w:after="40" w:line="200" w:lineRule="atLeast"/>
              <w:rPr>
                <w:color w:val="44546A"/>
                <w:sz w:val="17"/>
                <w:szCs w:val="17"/>
                <w:highlight w:val="cyan"/>
              </w:rPr>
            </w:pPr>
          </w:p>
        </w:tc>
      </w:tr>
      <w:tr w:rsidR="00C52129" w:rsidRPr="006457D2" w14:paraId="02DF9E54" w14:textId="77777777" w:rsidTr="00EA09AA">
        <w:tc>
          <w:tcPr>
            <w:tcW w:w="636" w:type="pct"/>
            <w:tcMar>
              <w:top w:w="57" w:type="dxa"/>
              <w:left w:w="108" w:type="dxa"/>
              <w:bottom w:w="57" w:type="dxa"/>
              <w:right w:w="108" w:type="dxa"/>
            </w:tcMar>
            <w:hideMark/>
          </w:tcPr>
          <w:p w14:paraId="14D976C7" w14:textId="77777777" w:rsidR="00C52129" w:rsidRPr="007359A0" w:rsidRDefault="00C52129" w:rsidP="00EA09AA">
            <w:pPr>
              <w:spacing w:before="40" w:after="40" w:line="200" w:lineRule="atLeast"/>
              <w:rPr>
                <w:color w:val="auto"/>
                <w:sz w:val="17"/>
                <w:szCs w:val="17"/>
              </w:rPr>
            </w:pPr>
            <w:r w:rsidRPr="007359A0">
              <w:rPr>
                <w:color w:val="44546A"/>
                <w:sz w:val="17"/>
                <w:szCs w:val="17"/>
              </w:rPr>
              <w:t>1.1: Improved services delivered by the public sector</w:t>
            </w:r>
          </w:p>
        </w:tc>
        <w:tc>
          <w:tcPr>
            <w:tcW w:w="1271" w:type="pct"/>
            <w:tcMar>
              <w:top w:w="0" w:type="dxa"/>
              <w:left w:w="108" w:type="dxa"/>
              <w:bottom w:w="0" w:type="dxa"/>
              <w:right w:w="108" w:type="dxa"/>
            </w:tcMar>
            <w:hideMark/>
          </w:tcPr>
          <w:p w14:paraId="75AE70F4" w14:textId="77777777" w:rsidR="00C52129" w:rsidRPr="007359A0" w:rsidRDefault="00C52129" w:rsidP="00EA09AA">
            <w:pPr>
              <w:spacing w:before="40" w:after="40" w:line="200" w:lineRule="atLeast"/>
              <w:rPr>
                <w:sz w:val="17"/>
                <w:szCs w:val="17"/>
              </w:rPr>
            </w:pPr>
            <w:r w:rsidRPr="007359A0">
              <w:rPr>
                <w:iCs/>
                <w:color w:val="44546A"/>
                <w:sz w:val="17"/>
                <w:szCs w:val="17"/>
              </w:rPr>
              <w:t>Number of women and men in the public service trained in core skills*</w:t>
            </w:r>
            <w:r w:rsidRPr="007359A0">
              <w:rPr>
                <w:sz w:val="17"/>
                <w:szCs w:val="17"/>
              </w:rPr>
              <w:t> </w:t>
            </w:r>
            <w:r w:rsidRPr="007359A0">
              <w:rPr>
                <w:sz w:val="17"/>
                <w:szCs w:val="17"/>
              </w:rPr>
              <w:br/>
              <w:t>(PAF Indicator 1)</w:t>
            </w:r>
          </w:p>
        </w:tc>
        <w:tc>
          <w:tcPr>
            <w:tcW w:w="848" w:type="pct"/>
            <w:tcMar>
              <w:top w:w="0" w:type="dxa"/>
              <w:left w:w="108" w:type="dxa"/>
              <w:bottom w:w="0" w:type="dxa"/>
              <w:right w:w="108" w:type="dxa"/>
            </w:tcMar>
            <w:hideMark/>
          </w:tcPr>
          <w:p w14:paraId="4030377A" w14:textId="77777777" w:rsidR="00C52129" w:rsidRPr="007359A0" w:rsidRDefault="00C52129" w:rsidP="00EA09AA">
            <w:pPr>
              <w:pStyle w:val="Default"/>
              <w:rPr>
                <w:rFonts w:asciiTheme="minorHAnsi" w:hAnsiTheme="minorHAnsi" w:cstheme="minorBidi"/>
                <w:iCs/>
                <w:color w:val="44546A"/>
                <w:sz w:val="17"/>
                <w:szCs w:val="17"/>
                <w:lang w:val="en-GB"/>
              </w:rPr>
            </w:pPr>
            <w:r w:rsidRPr="00883EF5">
              <w:rPr>
                <w:rFonts w:asciiTheme="minorHAnsi" w:hAnsiTheme="minorHAnsi" w:cstheme="minorBidi"/>
                <w:iCs/>
                <w:color w:val="44546A"/>
                <w:sz w:val="17"/>
                <w:szCs w:val="17"/>
                <w:lang w:val="en-GB"/>
              </w:rPr>
              <w:t>13,979</w:t>
            </w:r>
          </w:p>
        </w:tc>
        <w:tc>
          <w:tcPr>
            <w:tcW w:w="721" w:type="pct"/>
            <w:shd w:val="clear" w:color="auto" w:fill="92D050"/>
            <w:tcMar>
              <w:top w:w="0" w:type="dxa"/>
              <w:left w:w="108" w:type="dxa"/>
              <w:bottom w:w="0" w:type="dxa"/>
              <w:right w:w="108" w:type="dxa"/>
            </w:tcMar>
            <w:hideMark/>
          </w:tcPr>
          <w:p w14:paraId="14CD2076" w14:textId="77777777" w:rsidR="00C52129" w:rsidRPr="00596202" w:rsidRDefault="00C52129" w:rsidP="00EA09AA">
            <w:pPr>
              <w:spacing w:before="40" w:after="40" w:line="200" w:lineRule="atLeast"/>
              <w:jc w:val="center"/>
              <w:rPr>
                <w:rFonts w:ascii="Calibri" w:hAnsi="Calibri" w:cs="Times New Roman"/>
                <w:b/>
                <w:color w:val="auto"/>
                <w:sz w:val="17"/>
                <w:szCs w:val="17"/>
                <w:highlight w:val="yellow"/>
                <w:lang w:val="en-AU"/>
              </w:rPr>
            </w:pPr>
            <w:r w:rsidRPr="009A2684">
              <w:rPr>
                <w:b/>
                <w:color w:val="FFFFFF"/>
                <w:sz w:val="17"/>
                <w:szCs w:val="17"/>
              </w:rPr>
              <w:t>Achieved</w:t>
            </w:r>
          </w:p>
        </w:tc>
        <w:tc>
          <w:tcPr>
            <w:tcW w:w="762" w:type="pct"/>
            <w:tcMar>
              <w:top w:w="0" w:type="dxa"/>
              <w:left w:w="108" w:type="dxa"/>
              <w:bottom w:w="0" w:type="dxa"/>
              <w:right w:w="108" w:type="dxa"/>
            </w:tcMar>
            <w:hideMark/>
          </w:tcPr>
          <w:p w14:paraId="12AAE8DE" w14:textId="77777777" w:rsidR="00190AC9" w:rsidRDefault="00190AC9" w:rsidP="00D22725">
            <w:pPr>
              <w:spacing w:before="40" w:after="40" w:line="200" w:lineRule="atLeast"/>
              <w:rPr>
                <w:sz w:val="17"/>
                <w:szCs w:val="17"/>
              </w:rPr>
            </w:pPr>
            <w:r>
              <w:rPr>
                <w:sz w:val="17"/>
                <w:szCs w:val="17"/>
              </w:rPr>
              <w:t>46,083 (27,249 women, 18,834 men)</w:t>
            </w:r>
          </w:p>
          <w:p w14:paraId="1C62F9E1" w14:textId="657EAD23" w:rsidR="00C52129" w:rsidRPr="00D22725" w:rsidRDefault="00C52129" w:rsidP="00D22725">
            <w:pPr>
              <w:spacing w:before="40" w:after="40" w:line="200" w:lineRule="atLeast"/>
              <w:rPr>
                <w:sz w:val="17"/>
                <w:szCs w:val="17"/>
              </w:rPr>
            </w:pPr>
          </w:p>
        </w:tc>
        <w:tc>
          <w:tcPr>
            <w:tcW w:w="762" w:type="pct"/>
          </w:tcPr>
          <w:p w14:paraId="1C18EA42" w14:textId="1045DB47" w:rsidR="00C52129" w:rsidRDefault="00190AC9" w:rsidP="00EA09AA">
            <w:pPr>
              <w:spacing w:before="40" w:after="40" w:line="200" w:lineRule="atLeast"/>
              <w:jc w:val="center"/>
              <w:rPr>
                <w:sz w:val="17"/>
                <w:szCs w:val="17"/>
              </w:rPr>
            </w:pPr>
            <w:r>
              <w:rPr>
                <w:sz w:val="17"/>
                <w:szCs w:val="17"/>
              </w:rPr>
              <w:t>33,062</w:t>
            </w:r>
          </w:p>
        </w:tc>
      </w:tr>
      <w:tr w:rsidR="00C52129" w:rsidRPr="006457D2" w14:paraId="4DB0BB83" w14:textId="77777777" w:rsidTr="003319B2">
        <w:tc>
          <w:tcPr>
            <w:tcW w:w="636" w:type="pct"/>
            <w:shd w:val="clear" w:color="auto" w:fill="auto"/>
            <w:tcMar>
              <w:top w:w="57" w:type="dxa"/>
              <w:left w:w="108" w:type="dxa"/>
              <w:bottom w:w="57" w:type="dxa"/>
              <w:right w:w="108" w:type="dxa"/>
            </w:tcMar>
            <w:hideMark/>
          </w:tcPr>
          <w:p w14:paraId="57C9A068" w14:textId="77777777" w:rsidR="00C52129" w:rsidRPr="002606F0" w:rsidRDefault="00C52129" w:rsidP="00EA09AA">
            <w:pPr>
              <w:spacing w:before="40" w:after="40" w:line="200" w:lineRule="atLeast"/>
              <w:rPr>
                <w:color w:val="44546A"/>
                <w:sz w:val="17"/>
                <w:szCs w:val="17"/>
              </w:rPr>
            </w:pPr>
            <w:r w:rsidRPr="002606F0">
              <w:rPr>
                <w:color w:val="44546A"/>
                <w:sz w:val="17"/>
                <w:szCs w:val="17"/>
              </w:rPr>
              <w:t>1.2: Improved law and justice services</w:t>
            </w:r>
          </w:p>
        </w:tc>
        <w:tc>
          <w:tcPr>
            <w:tcW w:w="1271" w:type="pct"/>
            <w:shd w:val="clear" w:color="auto" w:fill="auto"/>
            <w:tcMar>
              <w:top w:w="0" w:type="dxa"/>
              <w:left w:w="108" w:type="dxa"/>
              <w:bottom w:w="0" w:type="dxa"/>
              <w:right w:w="108" w:type="dxa"/>
            </w:tcMar>
            <w:hideMark/>
          </w:tcPr>
          <w:p w14:paraId="6D1B8FD8" w14:textId="77777777" w:rsidR="00C52129" w:rsidRPr="002606F0" w:rsidRDefault="00C52129" w:rsidP="00EA09AA">
            <w:pPr>
              <w:spacing w:before="40" w:after="40" w:line="200" w:lineRule="atLeast"/>
              <w:rPr>
                <w:iCs/>
                <w:color w:val="44546A"/>
                <w:sz w:val="17"/>
                <w:szCs w:val="17"/>
              </w:rPr>
            </w:pPr>
            <w:r w:rsidRPr="002606F0">
              <w:rPr>
                <w:iCs/>
                <w:color w:val="44546A"/>
                <w:sz w:val="17"/>
                <w:szCs w:val="17"/>
              </w:rPr>
              <w:t>Number of survivors of violence receiving services, such as counselling** (PAF Indicator 15)</w:t>
            </w:r>
          </w:p>
        </w:tc>
        <w:tc>
          <w:tcPr>
            <w:tcW w:w="848" w:type="pct"/>
            <w:tcMar>
              <w:top w:w="0" w:type="dxa"/>
              <w:left w:w="108" w:type="dxa"/>
              <w:bottom w:w="0" w:type="dxa"/>
              <w:right w:w="108" w:type="dxa"/>
            </w:tcMar>
            <w:hideMark/>
          </w:tcPr>
          <w:p w14:paraId="556A4F0C" w14:textId="77777777" w:rsidR="00C52129" w:rsidRPr="002606F0" w:rsidRDefault="00C52129" w:rsidP="00EA09AA">
            <w:pPr>
              <w:spacing w:before="40" w:after="40" w:line="200" w:lineRule="atLeast"/>
              <w:rPr>
                <w:iCs/>
                <w:color w:val="44546A"/>
                <w:sz w:val="17"/>
                <w:szCs w:val="17"/>
              </w:rPr>
            </w:pPr>
            <w:r w:rsidRPr="002606F0">
              <w:rPr>
                <w:iCs/>
                <w:color w:val="44546A"/>
                <w:sz w:val="17"/>
                <w:szCs w:val="17"/>
              </w:rPr>
              <w:t>Unavailable at time of reporting</w:t>
            </w:r>
          </w:p>
        </w:tc>
        <w:tc>
          <w:tcPr>
            <w:tcW w:w="721" w:type="pct"/>
            <w:shd w:val="clear" w:color="auto" w:fill="auto"/>
            <w:tcMar>
              <w:top w:w="0" w:type="dxa"/>
              <w:left w:w="108" w:type="dxa"/>
              <w:bottom w:w="0" w:type="dxa"/>
              <w:right w:w="108" w:type="dxa"/>
            </w:tcMar>
            <w:hideMark/>
          </w:tcPr>
          <w:p w14:paraId="6A6769AE" w14:textId="32D77B19" w:rsidR="00C52129" w:rsidRPr="002606F0" w:rsidRDefault="00B423F5" w:rsidP="00EA09AA">
            <w:pPr>
              <w:spacing w:before="40" w:after="40" w:line="200" w:lineRule="atLeast"/>
              <w:jc w:val="center"/>
              <w:rPr>
                <w:rFonts w:ascii="Calibri" w:hAnsi="Calibri" w:cs="Times New Roman"/>
                <w:color w:val="auto"/>
                <w:sz w:val="17"/>
                <w:szCs w:val="17"/>
              </w:rPr>
            </w:pPr>
            <w:r w:rsidRPr="003319B2">
              <w:rPr>
                <w:rFonts w:ascii="Calibri" w:hAnsi="Calibri" w:cs="Times New Roman"/>
                <w:iCs/>
                <w:color w:val="44546A"/>
                <w:sz w:val="17"/>
                <w:szCs w:val="17"/>
              </w:rPr>
              <w:t>N/A</w:t>
            </w:r>
          </w:p>
        </w:tc>
        <w:tc>
          <w:tcPr>
            <w:tcW w:w="762" w:type="pct"/>
            <w:tcMar>
              <w:top w:w="0" w:type="dxa"/>
              <w:left w:w="108" w:type="dxa"/>
              <w:bottom w:w="0" w:type="dxa"/>
              <w:right w:w="108" w:type="dxa"/>
            </w:tcMar>
          </w:tcPr>
          <w:p w14:paraId="1C4E2EC0" w14:textId="1C82F7A2" w:rsidR="00C52129" w:rsidRPr="002606F0" w:rsidRDefault="002606F0" w:rsidP="00EA09AA">
            <w:pPr>
              <w:pStyle w:val="TableTextEntries"/>
              <w:keepNext/>
              <w:rPr>
                <w:rFonts w:asciiTheme="minorHAnsi" w:eastAsiaTheme="minorHAnsi" w:hAnsiTheme="minorHAnsi" w:cstheme="minorBidi"/>
                <w:color w:val="44546A"/>
                <w:lang w:val="en-GB"/>
              </w:rPr>
            </w:pPr>
            <w:r w:rsidRPr="002606F0">
              <w:rPr>
                <w:rFonts w:asciiTheme="minorHAnsi" w:eastAsiaTheme="minorHAnsi" w:hAnsiTheme="minorHAnsi" w:cstheme="minorBidi"/>
                <w:color w:val="44546A"/>
                <w:lang w:val="en-GB"/>
              </w:rPr>
              <w:t>7,388</w:t>
            </w:r>
          </w:p>
          <w:p w14:paraId="7E643CDC" w14:textId="77777777" w:rsidR="00C52129" w:rsidRPr="002606F0" w:rsidRDefault="00C52129" w:rsidP="00EA09AA">
            <w:pPr>
              <w:spacing w:before="40" w:after="40" w:line="200" w:lineRule="atLeast"/>
              <w:rPr>
                <w:rFonts w:ascii="Calibri" w:hAnsi="Calibri"/>
                <w:color w:val="44546A"/>
                <w:sz w:val="17"/>
                <w:szCs w:val="17"/>
              </w:rPr>
            </w:pPr>
          </w:p>
        </w:tc>
        <w:tc>
          <w:tcPr>
            <w:tcW w:w="762" w:type="pct"/>
          </w:tcPr>
          <w:p w14:paraId="667FBE34" w14:textId="3AAC0CFE" w:rsidR="00C52129" w:rsidRPr="002606F0" w:rsidRDefault="002606F0" w:rsidP="00EA09AA">
            <w:pPr>
              <w:pStyle w:val="TableTextEntries"/>
              <w:keepNext/>
              <w:jc w:val="center"/>
              <w:rPr>
                <w:rFonts w:asciiTheme="minorHAnsi" w:eastAsiaTheme="minorHAnsi" w:hAnsiTheme="minorHAnsi" w:cstheme="minorBidi"/>
                <w:color w:val="44546A"/>
                <w:lang w:val="en-GB"/>
              </w:rPr>
            </w:pPr>
            <w:r w:rsidRPr="002606F0">
              <w:rPr>
                <w:color w:val="44546A"/>
              </w:rPr>
              <w:t>Unavailable at time of reporting</w:t>
            </w:r>
          </w:p>
        </w:tc>
      </w:tr>
      <w:tr w:rsidR="00C52129" w:rsidRPr="006457D2" w14:paraId="45E8D872" w14:textId="77777777" w:rsidTr="00EA09AA">
        <w:tc>
          <w:tcPr>
            <w:tcW w:w="636" w:type="pct"/>
            <w:tcMar>
              <w:top w:w="57" w:type="dxa"/>
              <w:left w:w="108" w:type="dxa"/>
              <w:bottom w:w="57" w:type="dxa"/>
              <w:right w:w="108" w:type="dxa"/>
            </w:tcMar>
          </w:tcPr>
          <w:p w14:paraId="10167CA4" w14:textId="77777777" w:rsidR="00C52129" w:rsidRPr="00714C56" w:rsidRDefault="00C52129" w:rsidP="00EA09AA">
            <w:pPr>
              <w:spacing w:before="40" w:after="40" w:line="200" w:lineRule="atLeast"/>
              <w:rPr>
                <w:color w:val="44546A"/>
                <w:sz w:val="17"/>
                <w:szCs w:val="17"/>
                <w:highlight w:val="yellow"/>
                <w:lang w:val="en-AU" w:eastAsia="en-AU"/>
              </w:rPr>
            </w:pPr>
          </w:p>
        </w:tc>
        <w:tc>
          <w:tcPr>
            <w:tcW w:w="1271" w:type="pct"/>
            <w:tcMar>
              <w:top w:w="0" w:type="dxa"/>
              <w:left w:w="108" w:type="dxa"/>
              <w:bottom w:w="0" w:type="dxa"/>
              <w:right w:w="108" w:type="dxa"/>
            </w:tcMar>
            <w:hideMark/>
          </w:tcPr>
          <w:p w14:paraId="49B85035" w14:textId="77777777" w:rsidR="00C52129" w:rsidRPr="002606F0" w:rsidRDefault="00C52129" w:rsidP="00EA09AA">
            <w:pPr>
              <w:spacing w:before="40" w:after="40" w:line="200" w:lineRule="atLeast"/>
              <w:rPr>
                <w:rFonts w:ascii="Calibri" w:hAnsi="Calibri" w:cs="Times New Roman"/>
                <w:iCs/>
                <w:color w:val="44546A"/>
                <w:sz w:val="17"/>
                <w:szCs w:val="17"/>
              </w:rPr>
            </w:pPr>
            <w:r w:rsidRPr="002606F0">
              <w:rPr>
                <w:iCs/>
                <w:color w:val="44546A"/>
                <w:sz w:val="17"/>
                <w:szCs w:val="17"/>
              </w:rPr>
              <w:t xml:space="preserve">Number of police and law and justice officials trained </w:t>
            </w:r>
            <w:r w:rsidRPr="002606F0">
              <w:rPr>
                <w:sz w:val="17"/>
                <w:szCs w:val="17"/>
              </w:rPr>
              <w:t>(PAF Indicator 1)</w:t>
            </w:r>
          </w:p>
        </w:tc>
        <w:tc>
          <w:tcPr>
            <w:tcW w:w="848" w:type="pct"/>
            <w:tcMar>
              <w:top w:w="0" w:type="dxa"/>
              <w:left w:w="108" w:type="dxa"/>
              <w:bottom w:w="0" w:type="dxa"/>
              <w:right w:w="108" w:type="dxa"/>
            </w:tcMar>
            <w:hideMark/>
          </w:tcPr>
          <w:p w14:paraId="66DFE32B" w14:textId="77777777" w:rsidR="00C52129" w:rsidRPr="002606F0" w:rsidRDefault="00C52129" w:rsidP="00EA09AA">
            <w:pPr>
              <w:pStyle w:val="Default"/>
              <w:rPr>
                <w:rFonts w:asciiTheme="minorHAnsi" w:hAnsiTheme="minorHAnsi" w:cstheme="minorBidi"/>
                <w:iCs/>
                <w:color w:val="44546A"/>
                <w:sz w:val="17"/>
                <w:szCs w:val="17"/>
                <w:lang w:val="en-GB"/>
              </w:rPr>
            </w:pPr>
            <w:r w:rsidRPr="002606F0">
              <w:rPr>
                <w:rFonts w:asciiTheme="minorHAnsi" w:hAnsiTheme="minorHAnsi" w:cstheme="minorBidi"/>
                <w:iCs/>
                <w:color w:val="44546A"/>
                <w:sz w:val="17"/>
                <w:szCs w:val="17"/>
                <w:lang w:val="en-GB"/>
              </w:rPr>
              <w:t>Total: 5,200</w:t>
            </w:r>
          </w:p>
        </w:tc>
        <w:tc>
          <w:tcPr>
            <w:tcW w:w="721" w:type="pct"/>
            <w:shd w:val="clear" w:color="auto" w:fill="FFC000"/>
            <w:tcMar>
              <w:top w:w="0" w:type="dxa"/>
              <w:left w:w="108" w:type="dxa"/>
              <w:bottom w:w="0" w:type="dxa"/>
              <w:right w:w="108" w:type="dxa"/>
            </w:tcMar>
            <w:hideMark/>
          </w:tcPr>
          <w:p w14:paraId="361AC71B" w14:textId="77777777" w:rsidR="00C52129" w:rsidRPr="002606F0" w:rsidRDefault="00C52129" w:rsidP="00EA09AA">
            <w:pPr>
              <w:spacing w:before="40" w:after="40" w:line="200" w:lineRule="atLeast"/>
              <w:jc w:val="center"/>
              <w:rPr>
                <w:rFonts w:ascii="Helvetica" w:hAnsi="Helvetica" w:cs="Helvetica"/>
                <w:color w:val="FFFFFF"/>
                <w:sz w:val="17"/>
                <w:szCs w:val="17"/>
                <w:lang w:eastAsia="en-AU"/>
              </w:rPr>
            </w:pPr>
            <w:r w:rsidRPr="002606F0">
              <w:rPr>
                <w:rFonts w:ascii="Helvetica" w:hAnsi="Helvetica" w:cs="Helvetica"/>
                <w:color w:val="FFFFFF"/>
                <w:sz w:val="17"/>
                <w:szCs w:val="17"/>
                <w:lang w:eastAsia="en-AU"/>
              </w:rPr>
              <w:t>Partially achieved</w:t>
            </w:r>
          </w:p>
        </w:tc>
        <w:tc>
          <w:tcPr>
            <w:tcW w:w="762" w:type="pct"/>
            <w:tcMar>
              <w:top w:w="0" w:type="dxa"/>
              <w:left w:w="108" w:type="dxa"/>
              <w:bottom w:w="0" w:type="dxa"/>
              <w:right w:w="108" w:type="dxa"/>
            </w:tcMar>
            <w:hideMark/>
          </w:tcPr>
          <w:p w14:paraId="3C553285" w14:textId="395F04A0" w:rsidR="00C52129" w:rsidRPr="002606F0" w:rsidRDefault="00C52129" w:rsidP="00EA09AA">
            <w:pPr>
              <w:pStyle w:val="TableTextEntries"/>
              <w:keepNext/>
              <w:rPr>
                <w:rFonts w:asciiTheme="minorHAnsi" w:eastAsiaTheme="minorHAnsi" w:hAnsiTheme="minorHAnsi" w:cstheme="minorBidi"/>
                <w:color w:val="44546A"/>
                <w:lang w:val="en-GB"/>
              </w:rPr>
            </w:pPr>
            <w:r w:rsidRPr="002606F0">
              <w:rPr>
                <w:rFonts w:asciiTheme="minorHAnsi" w:eastAsiaTheme="minorHAnsi" w:hAnsiTheme="minorHAnsi" w:cstheme="minorBidi"/>
                <w:color w:val="44546A"/>
                <w:lang w:val="en-GB"/>
              </w:rPr>
              <w:t xml:space="preserve">Women: </w:t>
            </w:r>
            <w:r w:rsidR="00D22725" w:rsidRPr="002606F0">
              <w:rPr>
                <w:rFonts w:asciiTheme="minorHAnsi" w:eastAsiaTheme="minorHAnsi" w:hAnsiTheme="minorHAnsi" w:cstheme="minorBidi"/>
                <w:color w:val="44546A"/>
                <w:lang w:val="en-GB"/>
              </w:rPr>
              <w:t>945</w:t>
            </w:r>
          </w:p>
          <w:p w14:paraId="2B7FFEBF" w14:textId="24C250E5" w:rsidR="00C52129" w:rsidRPr="002606F0" w:rsidRDefault="00C52129" w:rsidP="00EA09AA">
            <w:pPr>
              <w:pStyle w:val="TableTextEntries"/>
              <w:keepNext/>
              <w:rPr>
                <w:rFonts w:asciiTheme="minorHAnsi" w:eastAsiaTheme="minorHAnsi" w:hAnsiTheme="minorHAnsi" w:cstheme="minorBidi"/>
                <w:color w:val="44546A"/>
                <w:lang w:val="en-GB"/>
              </w:rPr>
            </w:pPr>
            <w:r w:rsidRPr="002606F0">
              <w:rPr>
                <w:rFonts w:asciiTheme="minorHAnsi" w:eastAsiaTheme="minorHAnsi" w:hAnsiTheme="minorHAnsi" w:cstheme="minorBidi"/>
                <w:color w:val="44546A"/>
                <w:lang w:val="en-GB"/>
              </w:rPr>
              <w:t xml:space="preserve">Men: </w:t>
            </w:r>
            <w:r w:rsidR="00D22725" w:rsidRPr="002606F0">
              <w:rPr>
                <w:rFonts w:asciiTheme="minorHAnsi" w:eastAsiaTheme="minorHAnsi" w:hAnsiTheme="minorHAnsi" w:cstheme="minorBidi"/>
                <w:color w:val="44546A"/>
                <w:lang w:val="en-GB"/>
              </w:rPr>
              <w:t>2,234</w:t>
            </w:r>
          </w:p>
          <w:p w14:paraId="685CA479" w14:textId="6211AE02" w:rsidR="00C52129" w:rsidRPr="002606F0" w:rsidRDefault="00C52129" w:rsidP="00D22725">
            <w:pPr>
              <w:pStyle w:val="TableTextEntries"/>
              <w:keepNext/>
              <w:rPr>
                <w:rFonts w:ascii="Calibri" w:hAnsi="Calibri"/>
                <w:color w:val="44546A"/>
                <w:lang w:val="en-GB" w:eastAsia="en-AU"/>
              </w:rPr>
            </w:pPr>
            <w:r w:rsidRPr="002606F0">
              <w:rPr>
                <w:rFonts w:asciiTheme="minorHAnsi" w:eastAsiaTheme="minorHAnsi" w:hAnsiTheme="minorHAnsi" w:cstheme="minorBidi"/>
                <w:color w:val="44546A"/>
                <w:lang w:val="en-GB"/>
              </w:rPr>
              <w:t xml:space="preserve">Total: </w:t>
            </w:r>
            <w:r w:rsidR="00D22725" w:rsidRPr="002606F0">
              <w:rPr>
                <w:rFonts w:asciiTheme="minorHAnsi" w:eastAsiaTheme="minorHAnsi" w:hAnsiTheme="minorHAnsi" w:cstheme="minorBidi"/>
                <w:color w:val="44546A"/>
                <w:lang w:val="en-GB"/>
              </w:rPr>
              <w:t>3,179</w:t>
            </w:r>
          </w:p>
        </w:tc>
        <w:tc>
          <w:tcPr>
            <w:tcW w:w="762" w:type="pct"/>
          </w:tcPr>
          <w:p w14:paraId="451EB3E9" w14:textId="0018B953" w:rsidR="00C52129" w:rsidRPr="002606F0" w:rsidRDefault="002606F0" w:rsidP="00EA09AA">
            <w:pPr>
              <w:pStyle w:val="TableTextEntries"/>
              <w:keepNext/>
              <w:jc w:val="center"/>
              <w:rPr>
                <w:rFonts w:asciiTheme="minorHAnsi" w:eastAsiaTheme="minorHAnsi" w:hAnsiTheme="minorHAnsi" w:cstheme="minorBidi"/>
                <w:color w:val="44546A"/>
                <w:lang w:val="en-GB"/>
              </w:rPr>
            </w:pPr>
            <w:r w:rsidRPr="002606F0">
              <w:rPr>
                <w:rFonts w:asciiTheme="minorHAnsi" w:eastAsiaTheme="minorHAnsi" w:hAnsiTheme="minorHAnsi" w:cstheme="minorBidi"/>
                <w:color w:val="44546A"/>
                <w:lang w:val="en-GB"/>
              </w:rPr>
              <w:t>5,200</w:t>
            </w:r>
          </w:p>
        </w:tc>
      </w:tr>
      <w:tr w:rsidR="00C52129" w:rsidRPr="006457D2" w14:paraId="59558213" w14:textId="77777777" w:rsidTr="00EA09AA">
        <w:tc>
          <w:tcPr>
            <w:tcW w:w="1907" w:type="pct"/>
            <w:gridSpan w:val="2"/>
            <w:tcMar>
              <w:top w:w="57" w:type="dxa"/>
              <w:left w:w="108" w:type="dxa"/>
              <w:bottom w:w="57" w:type="dxa"/>
              <w:right w:w="108" w:type="dxa"/>
            </w:tcMar>
            <w:hideMark/>
          </w:tcPr>
          <w:p w14:paraId="10C46F59" w14:textId="77777777" w:rsidR="00C52129" w:rsidRPr="00E22D36" w:rsidRDefault="00C52129" w:rsidP="00EA09AA">
            <w:pPr>
              <w:spacing w:before="40" w:after="40" w:line="200" w:lineRule="atLeast"/>
              <w:rPr>
                <w:rFonts w:ascii="Helvetica" w:hAnsi="Helvetica" w:cs="Helvetica"/>
                <w:iCs/>
                <w:color w:val="44546A"/>
                <w:sz w:val="17"/>
                <w:szCs w:val="17"/>
                <w:highlight w:val="cyan"/>
                <w:lang w:eastAsia="en-AU"/>
              </w:rPr>
            </w:pPr>
            <w:r w:rsidRPr="008A1004">
              <w:rPr>
                <w:rFonts w:ascii="Calibri" w:hAnsi="Calibri"/>
                <w:b/>
                <w:bCs/>
                <w:color w:val="44546A"/>
                <w:sz w:val="17"/>
                <w:szCs w:val="17"/>
              </w:rPr>
              <w:t>Enabling economic growth</w:t>
            </w:r>
          </w:p>
        </w:tc>
        <w:tc>
          <w:tcPr>
            <w:tcW w:w="848" w:type="pct"/>
            <w:tcMar>
              <w:top w:w="0" w:type="dxa"/>
              <w:left w:w="108" w:type="dxa"/>
              <w:bottom w:w="0" w:type="dxa"/>
              <w:right w:w="108" w:type="dxa"/>
            </w:tcMar>
          </w:tcPr>
          <w:p w14:paraId="5AF06C51" w14:textId="77777777" w:rsidR="00C52129" w:rsidRPr="00E22D36" w:rsidRDefault="00C52129" w:rsidP="00EA09AA">
            <w:pPr>
              <w:spacing w:before="40" w:after="40" w:line="200" w:lineRule="atLeast"/>
              <w:rPr>
                <w:rFonts w:ascii="Helvetica" w:hAnsi="Helvetica" w:cs="Helvetica"/>
                <w:color w:val="auto"/>
                <w:sz w:val="17"/>
                <w:szCs w:val="17"/>
                <w:highlight w:val="cyan"/>
                <w:lang w:eastAsia="en-AU"/>
              </w:rPr>
            </w:pPr>
          </w:p>
        </w:tc>
        <w:tc>
          <w:tcPr>
            <w:tcW w:w="721" w:type="pct"/>
            <w:tcMar>
              <w:top w:w="0" w:type="dxa"/>
              <w:left w:w="108" w:type="dxa"/>
              <w:bottom w:w="0" w:type="dxa"/>
              <w:right w:w="108" w:type="dxa"/>
            </w:tcMar>
          </w:tcPr>
          <w:p w14:paraId="5478481A" w14:textId="77777777" w:rsidR="00C52129" w:rsidRPr="00596202" w:rsidRDefault="00C52129" w:rsidP="00EA09AA">
            <w:pPr>
              <w:spacing w:before="40" w:after="40" w:line="200" w:lineRule="atLeast"/>
              <w:rPr>
                <w:rFonts w:ascii="Helvetica" w:hAnsi="Helvetica" w:cs="Helvetica"/>
                <w:color w:val="FFFFFF"/>
                <w:sz w:val="17"/>
                <w:szCs w:val="17"/>
                <w:highlight w:val="yellow"/>
                <w:lang w:val="en-AU" w:eastAsia="en-AU"/>
              </w:rPr>
            </w:pPr>
          </w:p>
        </w:tc>
        <w:tc>
          <w:tcPr>
            <w:tcW w:w="762" w:type="pct"/>
            <w:tcMar>
              <w:top w:w="0" w:type="dxa"/>
              <w:left w:w="108" w:type="dxa"/>
              <w:bottom w:w="0" w:type="dxa"/>
              <w:right w:w="108" w:type="dxa"/>
            </w:tcMar>
          </w:tcPr>
          <w:p w14:paraId="2572DDC5" w14:textId="77777777" w:rsidR="00C52129" w:rsidRPr="00D22725" w:rsidRDefault="00C52129" w:rsidP="00EA09AA">
            <w:pPr>
              <w:pStyle w:val="TableTextEntries"/>
              <w:keepNext/>
              <w:rPr>
                <w:rFonts w:ascii="Calibri" w:hAnsi="Calibri"/>
                <w:color w:val="44546A"/>
                <w:lang w:val="en-GB" w:eastAsia="en-AU"/>
              </w:rPr>
            </w:pPr>
          </w:p>
        </w:tc>
        <w:tc>
          <w:tcPr>
            <w:tcW w:w="762" w:type="pct"/>
          </w:tcPr>
          <w:p w14:paraId="42B29D9E" w14:textId="77777777" w:rsidR="00C52129" w:rsidRPr="00004D56" w:rsidRDefault="00C52129" w:rsidP="00EA09AA">
            <w:pPr>
              <w:pStyle w:val="TableTextEntries"/>
              <w:keepNext/>
              <w:rPr>
                <w:rFonts w:ascii="Calibri" w:hAnsi="Calibri"/>
                <w:color w:val="44546A"/>
                <w:highlight w:val="yellow"/>
                <w:lang w:val="en-GB" w:eastAsia="en-AU"/>
              </w:rPr>
            </w:pPr>
          </w:p>
        </w:tc>
      </w:tr>
      <w:tr w:rsidR="00C52129" w:rsidRPr="006457D2" w14:paraId="0E680AE4" w14:textId="77777777" w:rsidTr="00EA09AA">
        <w:tc>
          <w:tcPr>
            <w:tcW w:w="636" w:type="pct"/>
            <w:tcMar>
              <w:top w:w="57" w:type="dxa"/>
              <w:left w:w="108" w:type="dxa"/>
              <w:bottom w:w="57" w:type="dxa"/>
              <w:right w:w="108" w:type="dxa"/>
            </w:tcMar>
            <w:hideMark/>
          </w:tcPr>
          <w:p w14:paraId="406BFE46" w14:textId="77777777" w:rsidR="00C52129" w:rsidRPr="00714C56" w:rsidRDefault="00C52129" w:rsidP="00EA09AA">
            <w:pPr>
              <w:pStyle w:val="BodyText"/>
              <w:rPr>
                <w:rFonts w:ascii="Calibri" w:hAnsi="Calibri"/>
                <w:b/>
                <w:bCs/>
                <w:color w:val="44546A"/>
                <w:sz w:val="17"/>
                <w:szCs w:val="17"/>
                <w:lang w:eastAsia="en-US"/>
              </w:rPr>
            </w:pPr>
            <w:r w:rsidRPr="00714C56">
              <w:rPr>
                <w:rFonts w:ascii="Calibri" w:hAnsi="Calibri"/>
                <w:color w:val="44546A"/>
                <w:sz w:val="17"/>
                <w:szCs w:val="17"/>
                <w:lang w:eastAsia="en-US"/>
              </w:rPr>
              <w:t>2.1: Private sector plays a greater role in economic development</w:t>
            </w:r>
          </w:p>
        </w:tc>
        <w:tc>
          <w:tcPr>
            <w:tcW w:w="1271" w:type="pct"/>
            <w:tcMar>
              <w:top w:w="0" w:type="dxa"/>
              <w:left w:w="108" w:type="dxa"/>
              <w:bottom w:w="0" w:type="dxa"/>
              <w:right w:w="108" w:type="dxa"/>
            </w:tcMar>
            <w:hideMark/>
          </w:tcPr>
          <w:p w14:paraId="0A06A870" w14:textId="77777777" w:rsidR="00C52129" w:rsidRPr="00714C56" w:rsidRDefault="00C52129" w:rsidP="00EA09AA">
            <w:pPr>
              <w:spacing w:before="40" w:after="40" w:line="200" w:lineRule="atLeast"/>
              <w:rPr>
                <w:rFonts w:ascii="Helvetica" w:hAnsi="Helvetica" w:cs="Helvetica"/>
                <w:iCs/>
                <w:color w:val="44546A"/>
                <w:sz w:val="17"/>
                <w:szCs w:val="17"/>
                <w:lang w:eastAsia="en-AU"/>
              </w:rPr>
            </w:pPr>
            <w:r w:rsidRPr="00714C56">
              <w:rPr>
                <w:iCs/>
                <w:color w:val="44546A"/>
                <w:sz w:val="17"/>
                <w:szCs w:val="17"/>
              </w:rPr>
              <w:t>Increase to 30% of the aid program focused on private sector led growth and aid for trade***</w:t>
            </w:r>
          </w:p>
        </w:tc>
        <w:tc>
          <w:tcPr>
            <w:tcW w:w="848" w:type="pct"/>
            <w:tcMar>
              <w:top w:w="0" w:type="dxa"/>
              <w:left w:w="108" w:type="dxa"/>
              <w:bottom w:w="0" w:type="dxa"/>
              <w:right w:w="108" w:type="dxa"/>
            </w:tcMar>
          </w:tcPr>
          <w:p w14:paraId="3C787E78" w14:textId="77777777" w:rsidR="00C52129" w:rsidRPr="00714C56" w:rsidRDefault="00C52129" w:rsidP="00EA09AA">
            <w:pPr>
              <w:spacing w:before="40" w:after="40" w:line="200" w:lineRule="atLeast"/>
              <w:rPr>
                <w:iCs/>
                <w:color w:val="44546A"/>
                <w:sz w:val="17"/>
                <w:szCs w:val="17"/>
              </w:rPr>
            </w:pPr>
            <w:r w:rsidRPr="00714C56">
              <w:rPr>
                <w:iCs/>
                <w:color w:val="44546A"/>
                <w:sz w:val="17"/>
                <w:szCs w:val="17"/>
              </w:rPr>
              <w:t xml:space="preserve">30% TBC </w:t>
            </w:r>
          </w:p>
        </w:tc>
        <w:tc>
          <w:tcPr>
            <w:tcW w:w="721" w:type="pct"/>
            <w:shd w:val="clear" w:color="auto" w:fill="92D050"/>
            <w:tcMar>
              <w:top w:w="0" w:type="dxa"/>
              <w:left w:w="108" w:type="dxa"/>
              <w:bottom w:w="0" w:type="dxa"/>
              <w:right w:w="108" w:type="dxa"/>
            </w:tcMar>
            <w:hideMark/>
          </w:tcPr>
          <w:p w14:paraId="75989AC1" w14:textId="77777777" w:rsidR="00C52129" w:rsidRPr="00714C56" w:rsidRDefault="00C52129" w:rsidP="00EA09AA">
            <w:pPr>
              <w:spacing w:before="40" w:after="40" w:line="200" w:lineRule="atLeast"/>
              <w:jc w:val="center"/>
              <w:rPr>
                <w:rFonts w:ascii="Helvetica" w:hAnsi="Helvetica" w:cs="Helvetica"/>
                <w:color w:val="FFFFFF"/>
                <w:sz w:val="17"/>
                <w:szCs w:val="17"/>
                <w:lang w:val="en-AU" w:eastAsia="en-AU"/>
              </w:rPr>
            </w:pPr>
            <w:r w:rsidRPr="00714C56">
              <w:rPr>
                <w:rFonts w:ascii="Helvetica" w:hAnsi="Helvetica" w:cs="Helvetica"/>
                <w:color w:val="FFFFFF"/>
                <w:sz w:val="17"/>
                <w:szCs w:val="17"/>
                <w:lang w:eastAsia="en-AU"/>
              </w:rPr>
              <w:t>Achieved</w:t>
            </w:r>
          </w:p>
        </w:tc>
        <w:tc>
          <w:tcPr>
            <w:tcW w:w="762" w:type="pct"/>
            <w:tcMar>
              <w:top w:w="0" w:type="dxa"/>
              <w:left w:w="108" w:type="dxa"/>
              <w:bottom w:w="0" w:type="dxa"/>
              <w:right w:w="108" w:type="dxa"/>
            </w:tcMar>
          </w:tcPr>
          <w:p w14:paraId="7A75E428" w14:textId="77777777" w:rsidR="00C52129" w:rsidRPr="00714C56" w:rsidRDefault="00C52129" w:rsidP="00EA09AA">
            <w:pPr>
              <w:pStyle w:val="TableTextEntries"/>
              <w:keepNext/>
              <w:rPr>
                <w:rFonts w:ascii="Calibri" w:hAnsi="Calibri"/>
                <w:color w:val="44546A"/>
                <w:lang w:val="en-GB" w:eastAsia="en-AU"/>
              </w:rPr>
            </w:pPr>
            <w:r w:rsidRPr="00714C56">
              <w:rPr>
                <w:rFonts w:asciiTheme="minorHAnsi" w:eastAsiaTheme="minorHAnsi" w:hAnsiTheme="minorHAnsi" w:cstheme="minorBidi"/>
                <w:color w:val="44546A"/>
                <w:lang w:val="en-GB"/>
              </w:rPr>
              <w:t>33%</w:t>
            </w:r>
          </w:p>
        </w:tc>
        <w:tc>
          <w:tcPr>
            <w:tcW w:w="762" w:type="pct"/>
          </w:tcPr>
          <w:p w14:paraId="17BED117" w14:textId="50191A97" w:rsidR="00C52129" w:rsidRPr="00714C56" w:rsidRDefault="00714C56" w:rsidP="00EA09AA">
            <w:pPr>
              <w:pStyle w:val="TableTextEntries"/>
              <w:keepNext/>
              <w:jc w:val="center"/>
              <w:rPr>
                <w:rFonts w:asciiTheme="minorHAnsi" w:eastAsiaTheme="minorHAnsi" w:hAnsiTheme="minorHAnsi" w:cstheme="minorBidi"/>
                <w:color w:val="44546A"/>
                <w:lang w:val="en-GB"/>
              </w:rPr>
            </w:pPr>
            <w:r w:rsidRPr="00714C56">
              <w:rPr>
                <w:rFonts w:asciiTheme="minorHAnsi" w:eastAsiaTheme="minorHAnsi" w:hAnsiTheme="minorHAnsi" w:cstheme="minorBidi"/>
                <w:color w:val="44546A"/>
                <w:lang w:val="en-GB"/>
              </w:rPr>
              <w:t>30%</w:t>
            </w:r>
          </w:p>
        </w:tc>
      </w:tr>
      <w:tr w:rsidR="00C52129" w:rsidRPr="006457D2" w14:paraId="0502544A" w14:textId="77777777" w:rsidTr="00874563">
        <w:tc>
          <w:tcPr>
            <w:tcW w:w="636" w:type="pct"/>
            <w:tcMar>
              <w:top w:w="57" w:type="dxa"/>
              <w:left w:w="108" w:type="dxa"/>
              <w:bottom w:w="57" w:type="dxa"/>
              <w:right w:w="108" w:type="dxa"/>
            </w:tcMar>
          </w:tcPr>
          <w:p w14:paraId="487694C2" w14:textId="77777777" w:rsidR="00C52129" w:rsidRPr="00E22D36" w:rsidRDefault="00C52129" w:rsidP="00EA09AA">
            <w:pPr>
              <w:pStyle w:val="BodyText"/>
              <w:rPr>
                <w:rFonts w:ascii="Calibri" w:hAnsi="Calibri"/>
                <w:color w:val="44546A"/>
                <w:sz w:val="17"/>
                <w:szCs w:val="17"/>
                <w:highlight w:val="cyan"/>
                <w:lang w:eastAsia="en-US"/>
              </w:rPr>
            </w:pPr>
          </w:p>
        </w:tc>
        <w:tc>
          <w:tcPr>
            <w:tcW w:w="1271" w:type="pct"/>
            <w:tcMar>
              <w:top w:w="0" w:type="dxa"/>
              <w:left w:w="108" w:type="dxa"/>
              <w:bottom w:w="0" w:type="dxa"/>
              <w:right w:w="108" w:type="dxa"/>
            </w:tcMar>
            <w:hideMark/>
          </w:tcPr>
          <w:p w14:paraId="0835BEB5" w14:textId="77777777" w:rsidR="00C52129" w:rsidRPr="00011487" w:rsidRDefault="00C52129" w:rsidP="00EA09AA">
            <w:pPr>
              <w:spacing w:before="40" w:after="40" w:line="200" w:lineRule="atLeast"/>
              <w:rPr>
                <w:rFonts w:ascii="Calibri" w:hAnsi="Calibri"/>
                <w:iCs/>
                <w:color w:val="44546A"/>
                <w:sz w:val="17"/>
                <w:szCs w:val="17"/>
                <w:highlight w:val="yellow"/>
                <w:lang w:eastAsia="en-AU"/>
              </w:rPr>
            </w:pPr>
            <w:r w:rsidRPr="000267EC">
              <w:rPr>
                <w:iCs/>
                <w:color w:val="44546A"/>
                <w:sz w:val="17"/>
                <w:szCs w:val="17"/>
              </w:rPr>
              <w:t>Number of poor women and men who increase their access to financial services</w:t>
            </w:r>
            <w:r>
              <w:rPr>
                <w:iCs/>
                <w:color w:val="44546A"/>
                <w:sz w:val="17"/>
                <w:szCs w:val="17"/>
              </w:rPr>
              <w:t xml:space="preserve"> </w:t>
            </w:r>
            <w:r w:rsidRPr="000267EC">
              <w:rPr>
                <w:iCs/>
                <w:color w:val="44546A"/>
                <w:sz w:val="17"/>
                <w:szCs w:val="17"/>
              </w:rPr>
              <w:t xml:space="preserve"> </w:t>
            </w:r>
            <w:r w:rsidRPr="000267EC">
              <w:rPr>
                <w:sz w:val="17"/>
                <w:szCs w:val="17"/>
              </w:rPr>
              <w:t>(PAF Indicator 9)</w:t>
            </w:r>
          </w:p>
        </w:tc>
        <w:tc>
          <w:tcPr>
            <w:tcW w:w="848" w:type="pct"/>
            <w:tcMar>
              <w:top w:w="0" w:type="dxa"/>
              <w:left w:w="108" w:type="dxa"/>
              <w:bottom w:w="0" w:type="dxa"/>
              <w:right w:w="108" w:type="dxa"/>
            </w:tcMar>
            <w:hideMark/>
          </w:tcPr>
          <w:p w14:paraId="08F81C1E" w14:textId="77777777" w:rsidR="00C52129" w:rsidRPr="00011487" w:rsidRDefault="00C52129" w:rsidP="00EA09AA">
            <w:pPr>
              <w:spacing w:before="40" w:after="40" w:line="200" w:lineRule="atLeast"/>
              <w:rPr>
                <w:iCs/>
                <w:color w:val="44546A"/>
                <w:sz w:val="17"/>
                <w:szCs w:val="17"/>
                <w:highlight w:val="yellow"/>
              </w:rPr>
            </w:pPr>
            <w:r w:rsidRPr="000267EC">
              <w:rPr>
                <w:iCs/>
                <w:color w:val="44546A"/>
                <w:sz w:val="17"/>
                <w:szCs w:val="17"/>
              </w:rPr>
              <w:t xml:space="preserve">Total: </w:t>
            </w:r>
            <w:r w:rsidRPr="002856AF">
              <w:rPr>
                <w:iCs/>
                <w:color w:val="44546A"/>
                <w:sz w:val="17"/>
                <w:szCs w:val="17"/>
              </w:rPr>
              <w:t>34,536</w:t>
            </w:r>
          </w:p>
        </w:tc>
        <w:tc>
          <w:tcPr>
            <w:tcW w:w="721" w:type="pct"/>
            <w:shd w:val="clear" w:color="auto" w:fill="FFC000"/>
            <w:tcMar>
              <w:top w:w="0" w:type="dxa"/>
              <w:left w:w="108" w:type="dxa"/>
              <w:bottom w:w="0" w:type="dxa"/>
              <w:right w:w="108" w:type="dxa"/>
            </w:tcMar>
            <w:hideMark/>
          </w:tcPr>
          <w:p w14:paraId="315B5EAD" w14:textId="700340A3" w:rsidR="00C52129" w:rsidRPr="00596202" w:rsidRDefault="00874563" w:rsidP="00EA09AA">
            <w:pPr>
              <w:spacing w:before="40" w:after="40" w:line="200" w:lineRule="atLeast"/>
              <w:jc w:val="center"/>
              <w:rPr>
                <w:rFonts w:ascii="Helvetica" w:hAnsi="Helvetica" w:cs="Helvetica"/>
                <w:color w:val="FFFFFF"/>
                <w:sz w:val="17"/>
                <w:szCs w:val="17"/>
                <w:highlight w:val="yellow"/>
                <w:lang w:val="en-AU" w:eastAsia="en-AU"/>
              </w:rPr>
            </w:pPr>
            <w:r w:rsidRPr="002606F0">
              <w:rPr>
                <w:rFonts w:ascii="Helvetica" w:hAnsi="Helvetica" w:cs="Helvetica"/>
                <w:color w:val="FFFFFF"/>
                <w:sz w:val="17"/>
                <w:szCs w:val="17"/>
                <w:lang w:eastAsia="en-AU"/>
              </w:rPr>
              <w:t>Partially achieved</w:t>
            </w:r>
          </w:p>
        </w:tc>
        <w:tc>
          <w:tcPr>
            <w:tcW w:w="762" w:type="pct"/>
            <w:tcMar>
              <w:top w:w="0" w:type="dxa"/>
              <w:left w:w="108" w:type="dxa"/>
              <w:bottom w:w="0" w:type="dxa"/>
              <w:right w:w="108" w:type="dxa"/>
            </w:tcMar>
            <w:hideMark/>
          </w:tcPr>
          <w:p w14:paraId="194BDA08" w14:textId="28C47E73" w:rsidR="00C52129" w:rsidRPr="00D22725" w:rsidRDefault="009F2769" w:rsidP="009F2769">
            <w:pPr>
              <w:pStyle w:val="TableTextEntries"/>
              <w:keepNext/>
              <w:rPr>
                <w:rFonts w:asciiTheme="minorHAnsi" w:eastAsiaTheme="minorHAnsi" w:hAnsiTheme="minorHAnsi" w:cstheme="minorBidi"/>
                <w:color w:val="44546A"/>
                <w:lang w:val="en-GB"/>
              </w:rPr>
            </w:pPr>
            <w:r>
              <w:rPr>
                <w:rFonts w:asciiTheme="minorHAnsi" w:eastAsiaTheme="minorHAnsi" w:hAnsiTheme="minorHAnsi" w:cstheme="minorBidi"/>
                <w:color w:val="44546A"/>
                <w:lang w:val="en-GB"/>
              </w:rPr>
              <w:t>16,847</w:t>
            </w:r>
            <w:r w:rsidRPr="007E14DC">
              <w:rPr>
                <w:rFonts w:asciiTheme="minorHAnsi" w:eastAsiaTheme="minorHAnsi" w:hAnsiTheme="minorHAnsi" w:cstheme="minorBidi"/>
                <w:color w:val="44546A"/>
                <w:lang w:val="en-GB"/>
              </w:rPr>
              <w:t xml:space="preserve"> (</w:t>
            </w:r>
            <w:r>
              <w:rPr>
                <w:rFonts w:asciiTheme="minorHAnsi" w:eastAsiaTheme="minorHAnsi" w:hAnsiTheme="minorHAnsi" w:cstheme="minorBidi"/>
                <w:color w:val="44546A"/>
                <w:lang w:val="en-GB"/>
              </w:rPr>
              <w:t>8,997</w:t>
            </w:r>
            <w:r w:rsidRPr="007E14DC">
              <w:rPr>
                <w:rFonts w:asciiTheme="minorHAnsi" w:eastAsiaTheme="minorHAnsi" w:hAnsiTheme="minorHAnsi" w:cstheme="minorBidi"/>
                <w:color w:val="44546A"/>
                <w:lang w:val="en-GB"/>
              </w:rPr>
              <w:t xml:space="preserve"> women, </w:t>
            </w:r>
            <w:r>
              <w:rPr>
                <w:rFonts w:asciiTheme="minorHAnsi" w:eastAsiaTheme="minorHAnsi" w:hAnsiTheme="minorHAnsi" w:cstheme="minorBidi"/>
                <w:color w:val="44546A"/>
                <w:lang w:val="en-GB"/>
              </w:rPr>
              <w:t>7,850</w:t>
            </w:r>
            <w:r w:rsidRPr="007E14DC">
              <w:rPr>
                <w:rFonts w:asciiTheme="minorHAnsi" w:eastAsiaTheme="minorHAnsi" w:hAnsiTheme="minorHAnsi" w:cstheme="minorBidi"/>
                <w:color w:val="44546A"/>
                <w:lang w:val="en-GB"/>
              </w:rPr>
              <w:t xml:space="preserve"> men) </w:t>
            </w:r>
          </w:p>
        </w:tc>
        <w:tc>
          <w:tcPr>
            <w:tcW w:w="762" w:type="pct"/>
          </w:tcPr>
          <w:p w14:paraId="0DF82DD1" w14:textId="4E1C1632" w:rsidR="00C52129" w:rsidRDefault="007E14DC" w:rsidP="00EA09AA">
            <w:pPr>
              <w:pStyle w:val="TableTextEntries"/>
              <w:keepNext/>
              <w:jc w:val="center"/>
              <w:rPr>
                <w:rFonts w:asciiTheme="minorHAnsi" w:eastAsiaTheme="minorHAnsi" w:hAnsiTheme="minorHAnsi" w:cstheme="minorBidi"/>
                <w:color w:val="44546A"/>
                <w:lang w:val="en-GB"/>
              </w:rPr>
            </w:pPr>
            <w:r>
              <w:rPr>
                <w:rFonts w:asciiTheme="minorHAnsi" w:eastAsiaTheme="minorHAnsi" w:hAnsiTheme="minorHAnsi" w:cstheme="minorBidi"/>
                <w:color w:val="44546A"/>
                <w:lang w:val="en-GB"/>
              </w:rPr>
              <w:t>4,840</w:t>
            </w:r>
            <w:r>
              <w:rPr>
                <w:rStyle w:val="FootnoteReference"/>
                <w:rFonts w:asciiTheme="minorHAnsi" w:eastAsiaTheme="minorHAnsi" w:hAnsiTheme="minorHAnsi" w:cstheme="minorBidi"/>
                <w:color w:val="44546A"/>
                <w:lang w:val="en-GB"/>
              </w:rPr>
              <w:footnoteReference w:id="2"/>
            </w:r>
          </w:p>
        </w:tc>
      </w:tr>
      <w:tr w:rsidR="00C52129" w:rsidRPr="006457D2" w14:paraId="1B7F843D" w14:textId="77777777" w:rsidTr="00EA09AA">
        <w:tc>
          <w:tcPr>
            <w:tcW w:w="636" w:type="pct"/>
            <w:tcMar>
              <w:top w:w="57" w:type="dxa"/>
              <w:left w:w="108" w:type="dxa"/>
              <w:bottom w:w="57" w:type="dxa"/>
              <w:right w:w="108" w:type="dxa"/>
            </w:tcMar>
            <w:hideMark/>
          </w:tcPr>
          <w:p w14:paraId="4568588C" w14:textId="77777777" w:rsidR="00C52129" w:rsidRPr="00E04F93" w:rsidRDefault="00C52129" w:rsidP="00EA09AA">
            <w:pPr>
              <w:pStyle w:val="BodyText"/>
              <w:rPr>
                <w:rFonts w:ascii="Calibri" w:hAnsi="Calibri"/>
                <w:color w:val="44546A"/>
                <w:sz w:val="17"/>
                <w:szCs w:val="17"/>
                <w:lang w:eastAsia="en-US"/>
              </w:rPr>
            </w:pPr>
            <w:r w:rsidRPr="00E04F93">
              <w:rPr>
                <w:rFonts w:ascii="Calibri" w:hAnsi="Calibri"/>
                <w:color w:val="44546A"/>
                <w:sz w:val="17"/>
                <w:szCs w:val="17"/>
                <w:lang w:eastAsia="en-US"/>
              </w:rPr>
              <w:t>2.2: Improved road infrastructure increasingly connects producers with consumers</w:t>
            </w:r>
          </w:p>
        </w:tc>
        <w:tc>
          <w:tcPr>
            <w:tcW w:w="1271" w:type="pct"/>
            <w:tcMar>
              <w:top w:w="0" w:type="dxa"/>
              <w:left w:w="108" w:type="dxa"/>
              <w:bottom w:w="0" w:type="dxa"/>
              <w:right w:w="108" w:type="dxa"/>
            </w:tcMar>
            <w:hideMark/>
          </w:tcPr>
          <w:p w14:paraId="4F19DF81" w14:textId="77777777" w:rsidR="00C52129" w:rsidRPr="00E04F93" w:rsidRDefault="00C52129" w:rsidP="00EA09AA">
            <w:pPr>
              <w:spacing w:before="40" w:after="40" w:line="200" w:lineRule="atLeast"/>
              <w:rPr>
                <w:rFonts w:ascii="Calibri" w:hAnsi="Calibri"/>
                <w:iCs/>
                <w:color w:val="44546A"/>
                <w:sz w:val="17"/>
                <w:szCs w:val="17"/>
                <w:lang w:eastAsia="en-AU"/>
              </w:rPr>
            </w:pPr>
            <w:r w:rsidRPr="00E04F93">
              <w:rPr>
                <w:iCs/>
                <w:color w:val="44546A"/>
                <w:sz w:val="17"/>
                <w:szCs w:val="17"/>
              </w:rPr>
              <w:t xml:space="preserve">Targeted investments contribute to sustained improvements in the national road network. (Assessed by kilometres of roads that are subject to design/routine maintenance / periodic maintenance and rehabilitation) </w:t>
            </w:r>
            <w:r w:rsidRPr="00E04F93">
              <w:rPr>
                <w:sz w:val="17"/>
                <w:szCs w:val="17"/>
              </w:rPr>
              <w:t>(PAF Indicator 6)</w:t>
            </w:r>
          </w:p>
        </w:tc>
        <w:tc>
          <w:tcPr>
            <w:tcW w:w="848" w:type="pct"/>
            <w:tcMar>
              <w:top w:w="0" w:type="dxa"/>
              <w:left w:w="108" w:type="dxa"/>
              <w:bottom w:w="0" w:type="dxa"/>
              <w:right w:w="108" w:type="dxa"/>
            </w:tcMar>
            <w:hideMark/>
          </w:tcPr>
          <w:p w14:paraId="2EA0403D" w14:textId="23ED2DA9" w:rsidR="00C52129" w:rsidRPr="00011487" w:rsidRDefault="00C52129" w:rsidP="00071BD1">
            <w:pPr>
              <w:pStyle w:val="Default"/>
              <w:rPr>
                <w:rFonts w:asciiTheme="minorHAnsi" w:hAnsiTheme="minorHAnsi" w:cstheme="minorBidi"/>
                <w:iCs/>
                <w:color w:val="44546A"/>
                <w:sz w:val="17"/>
                <w:szCs w:val="17"/>
                <w:highlight w:val="yellow"/>
                <w:lang w:val="en-GB"/>
              </w:rPr>
            </w:pPr>
            <w:r w:rsidRPr="0010326C">
              <w:rPr>
                <w:rFonts w:asciiTheme="minorHAnsi" w:hAnsiTheme="minorHAnsi" w:cstheme="minorBidi"/>
                <w:iCs/>
                <w:color w:val="44546A"/>
                <w:sz w:val="17"/>
                <w:szCs w:val="17"/>
                <w:lang w:val="en-GB"/>
              </w:rPr>
              <w:t>Distance (km) of roads that are subject to routine maintenance / periodic m</w:t>
            </w:r>
            <w:r>
              <w:rPr>
                <w:rFonts w:asciiTheme="minorHAnsi" w:hAnsiTheme="minorHAnsi" w:cstheme="minorBidi"/>
                <w:iCs/>
                <w:color w:val="44546A"/>
                <w:sz w:val="17"/>
                <w:szCs w:val="17"/>
                <w:lang w:val="en-GB"/>
              </w:rPr>
              <w:t xml:space="preserve">aintenance and rehabilitation: </w:t>
            </w:r>
            <w:r w:rsidR="00071BD1">
              <w:rPr>
                <w:rFonts w:asciiTheme="minorHAnsi" w:hAnsiTheme="minorHAnsi" w:cstheme="minorBidi"/>
                <w:iCs/>
                <w:color w:val="44546A"/>
                <w:sz w:val="17"/>
                <w:szCs w:val="17"/>
                <w:lang w:val="en-GB"/>
              </w:rPr>
              <w:t xml:space="preserve">1,500 </w:t>
            </w:r>
            <w:r w:rsidRPr="0010326C">
              <w:rPr>
                <w:rFonts w:asciiTheme="minorHAnsi" w:hAnsiTheme="minorHAnsi" w:cstheme="minorBidi"/>
                <w:iCs/>
                <w:color w:val="44546A"/>
                <w:sz w:val="17"/>
                <w:szCs w:val="17"/>
                <w:lang w:val="en-GB"/>
              </w:rPr>
              <w:t>km</w:t>
            </w:r>
          </w:p>
        </w:tc>
        <w:tc>
          <w:tcPr>
            <w:tcW w:w="721" w:type="pct"/>
            <w:shd w:val="clear" w:color="auto" w:fill="92D050"/>
            <w:tcMar>
              <w:top w:w="0" w:type="dxa"/>
              <w:left w:w="108" w:type="dxa"/>
              <w:bottom w:w="0" w:type="dxa"/>
              <w:right w:w="108" w:type="dxa"/>
            </w:tcMar>
            <w:hideMark/>
          </w:tcPr>
          <w:p w14:paraId="54CD3EF9" w14:textId="77777777" w:rsidR="00C52129" w:rsidRPr="00596202" w:rsidRDefault="00C52129" w:rsidP="00EA09AA">
            <w:pPr>
              <w:spacing w:before="40" w:after="40" w:line="200" w:lineRule="atLeast"/>
              <w:jc w:val="center"/>
              <w:rPr>
                <w:rFonts w:ascii="Helvetica" w:hAnsi="Helvetica" w:cs="Helvetica"/>
                <w:color w:val="FFFFFF"/>
                <w:sz w:val="17"/>
                <w:szCs w:val="17"/>
                <w:highlight w:val="yellow"/>
                <w:lang w:val="en-AU" w:eastAsia="en-AU"/>
              </w:rPr>
            </w:pPr>
            <w:r w:rsidRPr="005E37FA">
              <w:rPr>
                <w:rFonts w:ascii="Helvetica" w:hAnsi="Helvetica" w:cs="Helvetica"/>
                <w:color w:val="FFFFFF"/>
                <w:sz w:val="17"/>
                <w:szCs w:val="17"/>
                <w:lang w:eastAsia="en-AU"/>
              </w:rPr>
              <w:t>Achieved</w:t>
            </w:r>
          </w:p>
        </w:tc>
        <w:tc>
          <w:tcPr>
            <w:tcW w:w="762" w:type="pct"/>
            <w:tcMar>
              <w:top w:w="0" w:type="dxa"/>
              <w:left w:w="108" w:type="dxa"/>
              <w:bottom w:w="0" w:type="dxa"/>
              <w:right w:w="108" w:type="dxa"/>
            </w:tcMar>
            <w:hideMark/>
          </w:tcPr>
          <w:p w14:paraId="60F5B5FD" w14:textId="7B7EC5FD" w:rsidR="00C52129" w:rsidRPr="00D22725" w:rsidRDefault="00C53B71" w:rsidP="00EA09AA">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1,703</w:t>
            </w:r>
            <w:r w:rsidR="00C52129" w:rsidRPr="00D22725">
              <w:rPr>
                <w:rFonts w:asciiTheme="minorHAnsi" w:hAnsiTheme="minorHAnsi" w:cstheme="minorBidi"/>
                <w:color w:val="495965" w:themeColor="text2"/>
                <w:lang w:val="en-GB"/>
              </w:rPr>
              <w:t xml:space="preserve"> km </w:t>
            </w:r>
          </w:p>
        </w:tc>
        <w:tc>
          <w:tcPr>
            <w:tcW w:w="762" w:type="pct"/>
          </w:tcPr>
          <w:p w14:paraId="4D539B74" w14:textId="23C75607" w:rsidR="00C52129" w:rsidRPr="00FA699A" w:rsidRDefault="00C53B71" w:rsidP="00EA09AA">
            <w:pPr>
              <w:pStyle w:val="TableTextEntries"/>
              <w:keepNext/>
              <w:jc w:val="center"/>
              <w:rPr>
                <w:rFonts w:asciiTheme="minorHAnsi" w:hAnsiTheme="minorHAnsi" w:cstheme="minorBidi"/>
                <w:color w:val="495965" w:themeColor="text2"/>
                <w:lang w:val="en-GB"/>
              </w:rPr>
            </w:pPr>
            <w:r>
              <w:rPr>
                <w:rFonts w:asciiTheme="minorHAnsi" w:hAnsiTheme="minorHAnsi" w:cstheme="minorBidi"/>
                <w:color w:val="495965" w:themeColor="text2"/>
                <w:lang w:val="en-GB"/>
              </w:rPr>
              <w:t>TBC</w:t>
            </w:r>
          </w:p>
        </w:tc>
      </w:tr>
    </w:tbl>
    <w:p w14:paraId="0600DC80" w14:textId="77777777" w:rsidR="00C52129" w:rsidRDefault="00C52129" w:rsidP="00C52129">
      <w:r>
        <w:br w:type="page"/>
      </w:r>
    </w:p>
    <w:tbl>
      <w:tblPr>
        <w:tblW w:w="5000" w:type="pct"/>
        <w:tblCellMar>
          <w:left w:w="0" w:type="dxa"/>
          <w:right w:w="0" w:type="dxa"/>
        </w:tblCellMar>
        <w:tblLook w:val="04A0" w:firstRow="1" w:lastRow="0" w:firstColumn="1" w:lastColumn="0" w:noHBand="0" w:noVBand="1"/>
      </w:tblPr>
      <w:tblGrid>
        <w:gridCol w:w="1921"/>
        <w:gridCol w:w="3484"/>
        <w:gridCol w:w="2404"/>
        <w:gridCol w:w="2044"/>
        <w:gridCol w:w="2160"/>
        <w:gridCol w:w="2160"/>
      </w:tblGrid>
      <w:tr w:rsidR="00C52129" w:rsidRPr="006457D2" w14:paraId="44473DEB" w14:textId="77777777" w:rsidTr="00EA09AA">
        <w:tc>
          <w:tcPr>
            <w:tcW w:w="1907" w:type="pct"/>
            <w:gridSpan w:val="2"/>
            <w:tcMar>
              <w:top w:w="57" w:type="dxa"/>
              <w:left w:w="108" w:type="dxa"/>
              <w:bottom w:w="57" w:type="dxa"/>
              <w:right w:w="108" w:type="dxa"/>
            </w:tcMar>
            <w:hideMark/>
          </w:tcPr>
          <w:p w14:paraId="6A17C0C9" w14:textId="77777777" w:rsidR="00C52129" w:rsidRPr="0097474B" w:rsidRDefault="00C52129" w:rsidP="00EA09AA">
            <w:pPr>
              <w:spacing w:before="40" w:after="40" w:line="200" w:lineRule="atLeast"/>
              <w:rPr>
                <w:rFonts w:ascii="Calibri" w:hAnsi="Calibri"/>
                <w:iCs/>
                <w:color w:val="44546A"/>
                <w:sz w:val="17"/>
                <w:szCs w:val="17"/>
                <w:lang w:eastAsia="en-AU"/>
              </w:rPr>
            </w:pPr>
            <w:r w:rsidRPr="0097474B">
              <w:rPr>
                <w:rFonts w:ascii="Calibri" w:hAnsi="Calibri"/>
                <w:b/>
                <w:bCs/>
                <w:color w:val="44546A"/>
                <w:sz w:val="17"/>
                <w:szCs w:val="17"/>
              </w:rPr>
              <w:lastRenderedPageBreak/>
              <w:t>Enhancing human development</w:t>
            </w:r>
          </w:p>
        </w:tc>
        <w:tc>
          <w:tcPr>
            <w:tcW w:w="848" w:type="pct"/>
            <w:tcMar>
              <w:top w:w="0" w:type="dxa"/>
              <w:left w:w="108" w:type="dxa"/>
              <w:bottom w:w="0" w:type="dxa"/>
              <w:right w:w="108" w:type="dxa"/>
            </w:tcMar>
          </w:tcPr>
          <w:p w14:paraId="2C4BD841" w14:textId="77777777" w:rsidR="00C52129" w:rsidRPr="00E22D36" w:rsidRDefault="00C52129" w:rsidP="00EA09AA">
            <w:pPr>
              <w:spacing w:before="40" w:after="40" w:line="200" w:lineRule="atLeast"/>
              <w:rPr>
                <w:rFonts w:ascii="Helvetica" w:hAnsi="Helvetica" w:cs="Helvetica"/>
                <w:color w:val="44546A"/>
                <w:sz w:val="17"/>
                <w:szCs w:val="17"/>
                <w:highlight w:val="cyan"/>
                <w:lang w:eastAsia="en-AU"/>
              </w:rPr>
            </w:pPr>
          </w:p>
        </w:tc>
        <w:tc>
          <w:tcPr>
            <w:tcW w:w="721" w:type="pct"/>
            <w:tcMar>
              <w:top w:w="0" w:type="dxa"/>
              <w:left w:w="108" w:type="dxa"/>
              <w:bottom w:w="0" w:type="dxa"/>
              <w:right w:w="108" w:type="dxa"/>
            </w:tcMar>
          </w:tcPr>
          <w:p w14:paraId="74B40B67" w14:textId="77777777" w:rsidR="00C52129" w:rsidRPr="00004D56" w:rsidRDefault="00C52129" w:rsidP="00EA09AA">
            <w:pPr>
              <w:spacing w:before="40" w:after="40" w:line="200" w:lineRule="atLeast"/>
              <w:rPr>
                <w:rFonts w:ascii="Helvetica" w:hAnsi="Helvetica" w:cs="Helvetica"/>
                <w:color w:val="FFFFFF"/>
                <w:sz w:val="17"/>
                <w:szCs w:val="17"/>
                <w:highlight w:val="yellow"/>
                <w:lang w:eastAsia="en-AU"/>
              </w:rPr>
            </w:pPr>
          </w:p>
        </w:tc>
        <w:tc>
          <w:tcPr>
            <w:tcW w:w="762" w:type="pct"/>
            <w:tcMar>
              <w:top w:w="0" w:type="dxa"/>
              <w:left w:w="108" w:type="dxa"/>
              <w:bottom w:w="0" w:type="dxa"/>
              <w:right w:w="108" w:type="dxa"/>
            </w:tcMar>
          </w:tcPr>
          <w:p w14:paraId="3A266DCC" w14:textId="77777777" w:rsidR="00C52129" w:rsidRPr="00004D56" w:rsidRDefault="00C52129" w:rsidP="00EA09AA">
            <w:pPr>
              <w:pStyle w:val="TableTextEntries"/>
              <w:keepNext/>
              <w:rPr>
                <w:rFonts w:ascii="Calibri" w:hAnsi="Calibri"/>
                <w:color w:val="44546A"/>
                <w:highlight w:val="yellow"/>
                <w:lang w:val="en-GB" w:eastAsia="en-AU"/>
              </w:rPr>
            </w:pPr>
          </w:p>
        </w:tc>
        <w:tc>
          <w:tcPr>
            <w:tcW w:w="762" w:type="pct"/>
          </w:tcPr>
          <w:p w14:paraId="6F4EFCDB" w14:textId="77777777" w:rsidR="00C52129" w:rsidRPr="00004D56" w:rsidRDefault="00C52129" w:rsidP="00EA09AA">
            <w:pPr>
              <w:pStyle w:val="TableTextEntries"/>
              <w:keepNext/>
              <w:rPr>
                <w:rFonts w:ascii="Calibri" w:hAnsi="Calibri"/>
                <w:color w:val="44546A"/>
                <w:highlight w:val="yellow"/>
                <w:lang w:val="en-GB" w:eastAsia="en-AU"/>
              </w:rPr>
            </w:pPr>
          </w:p>
        </w:tc>
      </w:tr>
      <w:tr w:rsidR="00C52129" w:rsidRPr="006457D2" w14:paraId="6EE714FB" w14:textId="77777777" w:rsidTr="009A2684">
        <w:tc>
          <w:tcPr>
            <w:tcW w:w="678" w:type="pct"/>
            <w:tcMar>
              <w:top w:w="57" w:type="dxa"/>
              <w:left w:w="108" w:type="dxa"/>
              <w:bottom w:w="57" w:type="dxa"/>
              <w:right w:w="108" w:type="dxa"/>
            </w:tcMar>
            <w:hideMark/>
          </w:tcPr>
          <w:p w14:paraId="39D374D7" w14:textId="452072FC" w:rsidR="00C52129" w:rsidRPr="0061204C" w:rsidRDefault="00C52129" w:rsidP="0029377D">
            <w:pPr>
              <w:pStyle w:val="BodyText"/>
              <w:rPr>
                <w:rFonts w:ascii="Calibri" w:hAnsi="Calibri"/>
                <w:color w:val="44546A"/>
                <w:sz w:val="17"/>
                <w:szCs w:val="17"/>
                <w:lang w:eastAsia="en-US"/>
              </w:rPr>
            </w:pPr>
            <w:r w:rsidRPr="0061204C">
              <w:rPr>
                <w:rFonts w:ascii="Calibri" w:hAnsi="Calibri"/>
                <w:color w:val="44546A"/>
                <w:sz w:val="17"/>
                <w:szCs w:val="17"/>
                <w:lang w:eastAsia="en-US"/>
              </w:rPr>
              <w:t>3.</w:t>
            </w:r>
            <w:r w:rsidR="00DC0F1D">
              <w:rPr>
                <w:rFonts w:ascii="Calibri" w:hAnsi="Calibri"/>
                <w:color w:val="44546A"/>
                <w:sz w:val="17"/>
                <w:szCs w:val="17"/>
                <w:lang w:eastAsia="en-US"/>
              </w:rPr>
              <w:t>1</w:t>
            </w:r>
            <w:r w:rsidRPr="0061204C">
              <w:rPr>
                <w:rFonts w:ascii="Calibri" w:hAnsi="Calibri"/>
                <w:color w:val="44546A"/>
                <w:sz w:val="17"/>
                <w:szCs w:val="17"/>
                <w:lang w:eastAsia="en-US"/>
              </w:rPr>
              <w:t>: The quality of key services and access to education are improved</w:t>
            </w:r>
          </w:p>
        </w:tc>
        <w:tc>
          <w:tcPr>
            <w:tcW w:w="1229" w:type="pct"/>
            <w:tcMar>
              <w:top w:w="0" w:type="dxa"/>
              <w:left w:w="108" w:type="dxa"/>
              <w:bottom w:w="0" w:type="dxa"/>
              <w:right w:w="108" w:type="dxa"/>
            </w:tcMar>
            <w:hideMark/>
          </w:tcPr>
          <w:p w14:paraId="00362FA8" w14:textId="77777777" w:rsidR="00C52129" w:rsidRPr="0061204C" w:rsidRDefault="00C52129" w:rsidP="00EA09AA">
            <w:pPr>
              <w:spacing w:before="40" w:after="40" w:line="200" w:lineRule="atLeast"/>
              <w:rPr>
                <w:rFonts w:ascii="Calibri" w:hAnsi="Calibri"/>
                <w:iCs/>
                <w:color w:val="44546A"/>
                <w:sz w:val="17"/>
                <w:szCs w:val="17"/>
                <w:lang w:eastAsia="en-AU"/>
              </w:rPr>
            </w:pPr>
            <w:r w:rsidRPr="0061204C">
              <w:rPr>
                <w:iCs/>
                <w:color w:val="44546A"/>
                <w:sz w:val="17"/>
                <w:szCs w:val="17"/>
              </w:rPr>
              <w:t>Number of additional girls and boys enrolled in school</w:t>
            </w:r>
          </w:p>
        </w:tc>
        <w:tc>
          <w:tcPr>
            <w:tcW w:w="848" w:type="pct"/>
            <w:tcMar>
              <w:top w:w="0" w:type="dxa"/>
              <w:left w:w="108" w:type="dxa"/>
              <w:bottom w:w="0" w:type="dxa"/>
              <w:right w:w="108" w:type="dxa"/>
            </w:tcMar>
            <w:hideMark/>
          </w:tcPr>
          <w:p w14:paraId="39CEE173" w14:textId="77777777" w:rsidR="00C52129" w:rsidRPr="0061204C" w:rsidRDefault="00C52129" w:rsidP="00EA09AA">
            <w:pPr>
              <w:pStyle w:val="Default"/>
              <w:rPr>
                <w:rFonts w:ascii="Helvetica" w:hAnsi="Helvetica" w:cs="Helvetica"/>
                <w:color w:val="44546A"/>
                <w:sz w:val="17"/>
                <w:szCs w:val="17"/>
                <w:lang w:eastAsia="en-AU"/>
              </w:rPr>
            </w:pPr>
            <w:r w:rsidRPr="0061204C">
              <w:rPr>
                <w:iCs/>
                <w:color w:val="44546A"/>
                <w:sz w:val="17"/>
                <w:szCs w:val="17"/>
                <w:lang w:val="en-GB"/>
              </w:rPr>
              <w:t>100,000</w:t>
            </w:r>
            <w:r w:rsidRPr="0061204C">
              <w:rPr>
                <w:rFonts w:ascii="Helvetica" w:hAnsi="Helvetica" w:cs="Helvetica"/>
                <w:iCs/>
                <w:sz w:val="16"/>
                <w:szCs w:val="16"/>
                <w:lang w:eastAsia="en-AU"/>
              </w:rPr>
              <w:t xml:space="preserve"> </w:t>
            </w:r>
          </w:p>
        </w:tc>
        <w:tc>
          <w:tcPr>
            <w:tcW w:w="721" w:type="pct"/>
            <w:shd w:val="clear" w:color="auto" w:fill="92D050"/>
            <w:tcMar>
              <w:top w:w="0" w:type="dxa"/>
              <w:left w:w="108" w:type="dxa"/>
              <w:bottom w:w="0" w:type="dxa"/>
              <w:right w:w="108" w:type="dxa"/>
            </w:tcMar>
            <w:hideMark/>
          </w:tcPr>
          <w:p w14:paraId="50ABD311" w14:textId="779C1FCC" w:rsidR="00C52129" w:rsidRPr="009A2684" w:rsidRDefault="00C52129" w:rsidP="00EA09AA">
            <w:pPr>
              <w:spacing w:before="40" w:after="40" w:line="200" w:lineRule="atLeast"/>
              <w:jc w:val="center"/>
              <w:rPr>
                <w:rFonts w:ascii="Helvetica" w:hAnsi="Helvetica" w:cs="Helvetica"/>
                <w:color w:val="FFFFFF"/>
                <w:sz w:val="17"/>
                <w:szCs w:val="17"/>
                <w:lang w:val="en-AU" w:eastAsia="en-AU"/>
              </w:rPr>
            </w:pPr>
            <w:r w:rsidRPr="009A2684">
              <w:rPr>
                <w:rFonts w:ascii="Helvetica" w:hAnsi="Helvetica" w:cs="Helvetica"/>
                <w:color w:val="FFFFFF"/>
                <w:sz w:val="17"/>
                <w:szCs w:val="17"/>
                <w:lang w:eastAsia="en-AU"/>
              </w:rPr>
              <w:t>Achieved</w:t>
            </w:r>
          </w:p>
        </w:tc>
        <w:tc>
          <w:tcPr>
            <w:tcW w:w="762" w:type="pct"/>
            <w:tcMar>
              <w:top w:w="0" w:type="dxa"/>
              <w:left w:w="108" w:type="dxa"/>
              <w:bottom w:w="0" w:type="dxa"/>
              <w:right w:w="108" w:type="dxa"/>
            </w:tcMar>
          </w:tcPr>
          <w:p w14:paraId="6ACD16AE" w14:textId="6A87E3CE" w:rsidR="00C52129" w:rsidRPr="00596202" w:rsidRDefault="009A2684" w:rsidP="00EA09AA">
            <w:pPr>
              <w:pStyle w:val="TableTextEntries"/>
              <w:keepNext/>
              <w:rPr>
                <w:rFonts w:ascii="Calibri" w:hAnsi="Calibri"/>
                <w:color w:val="44546A"/>
                <w:highlight w:val="yellow"/>
                <w:lang w:val="en-GB" w:eastAsia="en-AU"/>
              </w:rPr>
            </w:pPr>
            <w:r w:rsidRPr="009A2684">
              <w:rPr>
                <w:rFonts w:ascii="Calibri" w:hAnsi="Calibri"/>
                <w:color w:val="44546A"/>
                <w:lang w:val="en-GB" w:eastAsia="en-AU"/>
              </w:rPr>
              <w:t>202,034 (108,359 boys, 93,675 girls)</w:t>
            </w:r>
          </w:p>
        </w:tc>
        <w:tc>
          <w:tcPr>
            <w:tcW w:w="762" w:type="pct"/>
          </w:tcPr>
          <w:p w14:paraId="58EBF371" w14:textId="03A7C362" w:rsidR="00C52129" w:rsidRPr="006D08C3" w:rsidRDefault="007E42A6" w:rsidP="00EA09AA">
            <w:pPr>
              <w:pStyle w:val="TableTextEntries"/>
              <w:keepNext/>
              <w:jc w:val="center"/>
              <w:rPr>
                <w:rFonts w:ascii="Calibri" w:hAnsi="Calibri"/>
                <w:color w:val="44546A"/>
                <w:lang w:val="en-GB" w:eastAsia="en-AU"/>
              </w:rPr>
            </w:pPr>
            <w:r>
              <w:rPr>
                <w:rFonts w:ascii="Calibri" w:hAnsi="Calibri"/>
                <w:color w:val="44546A"/>
                <w:lang w:val="en-GB" w:eastAsia="en-AU"/>
              </w:rPr>
              <w:t>Not available at time of reporting</w:t>
            </w:r>
          </w:p>
        </w:tc>
      </w:tr>
      <w:tr w:rsidR="007E42A6" w:rsidRPr="006457D2" w14:paraId="37C24BB2" w14:textId="77777777" w:rsidTr="00EA09AA">
        <w:tc>
          <w:tcPr>
            <w:tcW w:w="678" w:type="pct"/>
            <w:tcBorders>
              <w:bottom w:val="single" w:sz="12" w:space="0" w:color="000000" w:themeColor="text1"/>
            </w:tcBorders>
            <w:tcMar>
              <w:top w:w="57" w:type="dxa"/>
              <w:left w:w="108" w:type="dxa"/>
              <w:bottom w:w="57" w:type="dxa"/>
              <w:right w:w="108" w:type="dxa"/>
            </w:tcMar>
          </w:tcPr>
          <w:p w14:paraId="321CE6B5" w14:textId="08E819BF" w:rsidR="007E42A6" w:rsidRPr="0061204C" w:rsidRDefault="007E42A6" w:rsidP="0029377D">
            <w:pPr>
              <w:pStyle w:val="BodyText"/>
              <w:rPr>
                <w:rFonts w:ascii="Calibri" w:hAnsi="Calibri"/>
                <w:color w:val="44546A"/>
                <w:sz w:val="17"/>
                <w:szCs w:val="17"/>
                <w:lang w:eastAsia="en-US"/>
              </w:rPr>
            </w:pPr>
            <w:r w:rsidRPr="006457D2">
              <w:rPr>
                <w:rFonts w:ascii="Calibri" w:hAnsi="Calibri"/>
                <w:color w:val="44546A"/>
                <w:sz w:val="17"/>
                <w:szCs w:val="17"/>
                <w:lang w:eastAsia="en-US"/>
              </w:rPr>
              <w:t>3.</w:t>
            </w:r>
            <w:r w:rsidR="00DC0F1D">
              <w:rPr>
                <w:rFonts w:ascii="Calibri" w:hAnsi="Calibri"/>
                <w:color w:val="44546A"/>
                <w:sz w:val="17"/>
                <w:szCs w:val="17"/>
                <w:lang w:eastAsia="en-US"/>
              </w:rPr>
              <w:t>2</w:t>
            </w:r>
            <w:r w:rsidRPr="006457D2">
              <w:rPr>
                <w:rFonts w:ascii="Calibri" w:hAnsi="Calibri"/>
                <w:color w:val="44546A"/>
                <w:sz w:val="17"/>
                <w:szCs w:val="17"/>
                <w:lang w:eastAsia="en-US"/>
              </w:rPr>
              <w:t>:  The quality of key services in health and HIV/AIDS are improved</w:t>
            </w:r>
          </w:p>
        </w:tc>
        <w:tc>
          <w:tcPr>
            <w:tcW w:w="1229" w:type="pct"/>
            <w:tcBorders>
              <w:bottom w:val="single" w:sz="12" w:space="0" w:color="000000" w:themeColor="text1"/>
            </w:tcBorders>
            <w:tcMar>
              <w:top w:w="0" w:type="dxa"/>
              <w:left w:w="108" w:type="dxa"/>
              <w:bottom w:w="0" w:type="dxa"/>
              <w:right w:w="108" w:type="dxa"/>
            </w:tcMar>
          </w:tcPr>
          <w:p w14:paraId="19CB7B9B" w14:textId="77777777" w:rsidR="007E42A6" w:rsidRPr="0061204C" w:rsidRDefault="007E42A6" w:rsidP="007E42A6">
            <w:pPr>
              <w:spacing w:before="40" w:after="40" w:line="200" w:lineRule="atLeast"/>
              <w:rPr>
                <w:iCs/>
                <w:color w:val="44546A"/>
                <w:sz w:val="17"/>
                <w:szCs w:val="17"/>
              </w:rPr>
            </w:pPr>
            <w:r w:rsidRPr="006457D2">
              <w:rPr>
                <w:iCs/>
                <w:color w:val="44546A"/>
                <w:sz w:val="17"/>
                <w:szCs w:val="17"/>
              </w:rPr>
              <w:t>Number of additional births attended by a skilled birth attendant</w:t>
            </w:r>
          </w:p>
        </w:tc>
        <w:tc>
          <w:tcPr>
            <w:tcW w:w="848" w:type="pct"/>
            <w:tcBorders>
              <w:bottom w:val="single" w:sz="12" w:space="0" w:color="000000" w:themeColor="text1"/>
            </w:tcBorders>
            <w:tcMar>
              <w:top w:w="0" w:type="dxa"/>
              <w:left w:w="108" w:type="dxa"/>
              <w:bottom w:w="0" w:type="dxa"/>
              <w:right w:w="108" w:type="dxa"/>
            </w:tcMar>
          </w:tcPr>
          <w:p w14:paraId="2E51B896" w14:textId="77777777" w:rsidR="007E42A6" w:rsidRPr="0061204C" w:rsidRDefault="007E42A6" w:rsidP="007E42A6">
            <w:pPr>
              <w:pStyle w:val="Default"/>
              <w:rPr>
                <w:iCs/>
                <w:color w:val="44546A"/>
                <w:sz w:val="17"/>
                <w:szCs w:val="17"/>
                <w:lang w:val="en-GB"/>
              </w:rPr>
            </w:pPr>
            <w:r w:rsidRPr="00703132">
              <w:rPr>
                <w:iCs/>
                <w:color w:val="44546A"/>
                <w:sz w:val="17"/>
                <w:szCs w:val="17"/>
                <w:lang w:val="en-GB"/>
              </w:rPr>
              <w:t>9,500</w:t>
            </w:r>
          </w:p>
        </w:tc>
        <w:tc>
          <w:tcPr>
            <w:tcW w:w="721" w:type="pct"/>
            <w:tcBorders>
              <w:bottom w:val="single" w:sz="12" w:space="0" w:color="000000" w:themeColor="text1"/>
            </w:tcBorders>
            <w:shd w:val="clear" w:color="auto" w:fill="auto"/>
            <w:tcMar>
              <w:top w:w="0" w:type="dxa"/>
              <w:left w:w="108" w:type="dxa"/>
              <w:bottom w:w="0" w:type="dxa"/>
              <w:right w:w="108" w:type="dxa"/>
            </w:tcMar>
          </w:tcPr>
          <w:p w14:paraId="10230CB7" w14:textId="77777777" w:rsidR="007E42A6" w:rsidRPr="00995136" w:rsidRDefault="007E42A6" w:rsidP="007E42A6">
            <w:pPr>
              <w:spacing w:before="40" w:after="40" w:line="200" w:lineRule="atLeast"/>
              <w:jc w:val="center"/>
              <w:rPr>
                <w:rFonts w:ascii="Calibri" w:hAnsi="Calibri" w:cs="Times New Roman"/>
                <w:iCs/>
                <w:color w:val="44546A"/>
                <w:sz w:val="17"/>
                <w:szCs w:val="17"/>
              </w:rPr>
            </w:pPr>
            <w:r w:rsidRPr="00995136">
              <w:rPr>
                <w:rFonts w:ascii="Calibri" w:hAnsi="Calibri" w:cs="Times New Roman"/>
                <w:iCs/>
                <w:color w:val="44546A"/>
                <w:sz w:val="17"/>
                <w:szCs w:val="17"/>
              </w:rPr>
              <w:t>N/A</w:t>
            </w:r>
          </w:p>
        </w:tc>
        <w:tc>
          <w:tcPr>
            <w:tcW w:w="762" w:type="pct"/>
            <w:tcBorders>
              <w:bottom w:val="single" w:sz="12" w:space="0" w:color="000000" w:themeColor="text1"/>
            </w:tcBorders>
            <w:tcMar>
              <w:top w:w="0" w:type="dxa"/>
              <w:left w:w="108" w:type="dxa"/>
              <w:bottom w:w="0" w:type="dxa"/>
              <w:right w:w="108" w:type="dxa"/>
            </w:tcMar>
          </w:tcPr>
          <w:p w14:paraId="2BAB8121" w14:textId="77777777" w:rsidR="007E42A6" w:rsidRPr="00995136" w:rsidRDefault="007E42A6" w:rsidP="007E42A6">
            <w:pPr>
              <w:pStyle w:val="TableTextEntries"/>
              <w:keepNext/>
              <w:rPr>
                <w:rFonts w:ascii="Calibri" w:eastAsiaTheme="minorHAnsi" w:hAnsi="Calibri"/>
                <w:color w:val="44546A"/>
                <w:lang w:val="en-GB"/>
              </w:rPr>
            </w:pPr>
            <w:r w:rsidRPr="00995136">
              <w:rPr>
                <w:rFonts w:ascii="Calibri" w:eastAsiaTheme="minorHAnsi" w:hAnsi="Calibri"/>
                <w:color w:val="44546A"/>
                <w:lang w:val="en-GB"/>
              </w:rPr>
              <w:t>Data not available at time of reporting</w:t>
            </w:r>
          </w:p>
        </w:tc>
        <w:tc>
          <w:tcPr>
            <w:tcW w:w="762" w:type="pct"/>
            <w:tcBorders>
              <w:bottom w:val="single" w:sz="12" w:space="0" w:color="000000" w:themeColor="text1"/>
            </w:tcBorders>
          </w:tcPr>
          <w:p w14:paraId="6D858EC0" w14:textId="7B1C8BDA" w:rsidR="007E42A6" w:rsidRPr="00552C02" w:rsidRDefault="007E42A6" w:rsidP="007E42A6">
            <w:pPr>
              <w:pStyle w:val="TableTextEntries"/>
              <w:keepNext/>
              <w:jc w:val="center"/>
              <w:rPr>
                <w:rFonts w:ascii="Calibri" w:hAnsi="Calibri"/>
                <w:color w:val="44546A"/>
                <w:lang w:val="en-GB" w:eastAsia="en-AU"/>
              </w:rPr>
            </w:pPr>
            <w:r>
              <w:rPr>
                <w:rFonts w:ascii="Calibri" w:hAnsi="Calibri"/>
                <w:color w:val="44546A"/>
                <w:lang w:val="en-GB" w:eastAsia="en-AU"/>
              </w:rPr>
              <w:t>Not available at time of reporting</w:t>
            </w:r>
          </w:p>
        </w:tc>
      </w:tr>
    </w:tbl>
    <w:p w14:paraId="33DEAD87" w14:textId="77777777" w:rsidR="00C52129" w:rsidRDefault="00C52129" w:rsidP="00C52129">
      <w:pPr>
        <w:spacing w:before="20" w:after="20" w:line="180" w:lineRule="atLeast"/>
        <w:jc w:val="both"/>
        <w:rPr>
          <w:rFonts w:ascii="Calibri" w:hAnsi="Calibri"/>
          <w:b/>
          <w:bCs/>
          <w:color w:val="44546A"/>
          <w:sz w:val="16"/>
          <w:szCs w:val="16"/>
        </w:rPr>
      </w:pPr>
      <w:r>
        <w:rPr>
          <w:b/>
          <w:bCs/>
          <w:sz w:val="16"/>
          <w:szCs w:val="16"/>
        </w:rPr>
        <w:t xml:space="preserve">Note: </w:t>
      </w:r>
    </w:p>
    <w:p w14:paraId="00B3E0EC" w14:textId="77777777" w:rsidR="00C52129" w:rsidRDefault="00C52129" w:rsidP="00C52129">
      <w:pPr>
        <w:spacing w:before="20" w:after="20" w:line="180" w:lineRule="atLeast"/>
        <w:jc w:val="both"/>
        <w:rPr>
          <w:b/>
          <w:bCs/>
          <w:color w:val="auto"/>
          <w:sz w:val="16"/>
          <w:szCs w:val="16"/>
          <w:lang w:val="en-AU"/>
        </w:rPr>
      </w:pPr>
      <w:r>
        <w:rPr>
          <w:rFonts w:ascii="Webdings" w:hAnsi="Webdings"/>
          <w:b/>
          <w:bCs/>
          <w:color w:val="72AF2F"/>
          <w:sz w:val="16"/>
          <w:szCs w:val="16"/>
        </w:rPr>
        <w:t></w:t>
      </w:r>
      <w:r>
        <w:rPr>
          <w:b/>
          <w:bCs/>
          <w:sz w:val="16"/>
          <w:szCs w:val="16"/>
        </w:rPr>
        <w:t> </w:t>
      </w:r>
      <w:r>
        <w:rPr>
          <w:b/>
          <w:bCs/>
          <w:sz w:val="16"/>
          <w:szCs w:val="16"/>
        </w:rPr>
        <w:t xml:space="preserve"> Achieved.  Significant progress has been made and the performance benchmark was achieved </w:t>
      </w:r>
    </w:p>
    <w:p w14:paraId="0FC87F26" w14:textId="77777777" w:rsidR="00C52129" w:rsidRDefault="00C52129" w:rsidP="00C52129">
      <w:pPr>
        <w:spacing w:before="20" w:after="20" w:line="180" w:lineRule="atLeast"/>
        <w:jc w:val="both"/>
        <w:rPr>
          <w:b/>
          <w:bCs/>
          <w:sz w:val="16"/>
          <w:szCs w:val="16"/>
        </w:rPr>
      </w:pPr>
      <w:r>
        <w:rPr>
          <w:rFonts w:ascii="Webdings" w:hAnsi="Webdings"/>
          <w:b/>
          <w:bCs/>
          <w:color w:val="E36C0A"/>
          <w:sz w:val="16"/>
          <w:szCs w:val="16"/>
        </w:rPr>
        <w:t></w:t>
      </w:r>
      <w:r>
        <w:rPr>
          <w:b/>
          <w:bCs/>
          <w:sz w:val="16"/>
          <w:szCs w:val="16"/>
        </w:rPr>
        <w:t> </w:t>
      </w:r>
      <w:r>
        <w:rPr>
          <w:b/>
          <w:bCs/>
          <w:sz w:val="16"/>
          <w:szCs w:val="16"/>
        </w:rPr>
        <w:t xml:space="preserve"> Partly achieved.  Some progress has been made towards achieving the performance benchmark, but progress was less than anticipated. </w:t>
      </w:r>
    </w:p>
    <w:p w14:paraId="19C29E3D" w14:textId="77777777" w:rsidR="00C52129" w:rsidRDefault="00C52129" w:rsidP="00C52129">
      <w:pPr>
        <w:spacing w:before="20" w:after="20" w:line="180" w:lineRule="atLeast"/>
        <w:jc w:val="both"/>
        <w:rPr>
          <w:b/>
          <w:bCs/>
          <w:sz w:val="16"/>
          <w:szCs w:val="16"/>
        </w:rPr>
      </w:pPr>
      <w:r>
        <w:rPr>
          <w:rFonts w:ascii="Webdings" w:hAnsi="Webdings"/>
          <w:b/>
          <w:bCs/>
          <w:color w:val="FF0000"/>
          <w:sz w:val="16"/>
          <w:szCs w:val="16"/>
        </w:rPr>
        <w:t></w:t>
      </w:r>
      <w:r>
        <w:rPr>
          <w:b/>
          <w:bCs/>
          <w:sz w:val="16"/>
          <w:szCs w:val="16"/>
        </w:rPr>
        <w:t> </w:t>
      </w:r>
      <w:r>
        <w:rPr>
          <w:b/>
          <w:bCs/>
          <w:sz w:val="16"/>
          <w:szCs w:val="16"/>
        </w:rPr>
        <w:t xml:space="preserve"> Not achieved. Progress towards the performance benchmark has been significantly below expectations</w:t>
      </w:r>
    </w:p>
    <w:p w14:paraId="5A3D4970" w14:textId="77777777" w:rsidR="00C52129" w:rsidRDefault="00C52129" w:rsidP="00C52129">
      <w:pPr>
        <w:pStyle w:val="Default"/>
        <w:rPr>
          <w:sz w:val="16"/>
          <w:szCs w:val="16"/>
        </w:rPr>
      </w:pPr>
    </w:p>
    <w:p w14:paraId="7C372384" w14:textId="77777777" w:rsidR="00C52129" w:rsidRDefault="00C52129" w:rsidP="00C52129">
      <w:pPr>
        <w:pStyle w:val="Default"/>
        <w:rPr>
          <w:sz w:val="16"/>
          <w:szCs w:val="16"/>
        </w:rPr>
      </w:pPr>
      <w:r>
        <w:rPr>
          <w:sz w:val="16"/>
          <w:szCs w:val="16"/>
        </w:rPr>
        <w:t xml:space="preserve">*Excludes number of police and law and justice officials trained. </w:t>
      </w:r>
    </w:p>
    <w:p w14:paraId="6A5A6E98" w14:textId="77777777" w:rsidR="00C52129" w:rsidRPr="00883ADA" w:rsidRDefault="00C52129" w:rsidP="00C52129">
      <w:pPr>
        <w:spacing w:line="240" w:lineRule="auto"/>
        <w:rPr>
          <w:color w:val="auto"/>
        </w:rPr>
      </w:pPr>
      <w:r w:rsidRPr="0068170A">
        <w:rPr>
          <w:color w:val="auto"/>
          <w:sz w:val="16"/>
          <w:szCs w:val="16"/>
        </w:rPr>
        <w:t xml:space="preserve">**These benchmarks reflect results from Australia’s programs across </w:t>
      </w:r>
      <w:r>
        <w:rPr>
          <w:color w:val="auto"/>
          <w:sz w:val="16"/>
          <w:szCs w:val="16"/>
        </w:rPr>
        <w:t>Papua New Guinea</w:t>
      </w:r>
      <w:r w:rsidRPr="0068170A">
        <w:rPr>
          <w:color w:val="auto"/>
          <w:sz w:val="16"/>
          <w:szCs w:val="16"/>
        </w:rPr>
        <w:t>, including in the Autonomous Region of Bougainville</w:t>
      </w:r>
      <w:r>
        <w:rPr>
          <w:color w:val="auto"/>
          <w:sz w:val="16"/>
          <w:szCs w:val="16"/>
        </w:rPr>
        <w:t>.</w:t>
      </w:r>
    </w:p>
    <w:p w14:paraId="2A51AFF0" w14:textId="77777777" w:rsidR="00C52129" w:rsidRDefault="00C52129" w:rsidP="00C52129">
      <w:pPr>
        <w:spacing w:line="240" w:lineRule="auto"/>
        <w:rPr>
          <w:color w:val="auto"/>
          <w:sz w:val="16"/>
          <w:szCs w:val="16"/>
        </w:rPr>
      </w:pPr>
      <w:r>
        <w:rPr>
          <w:color w:val="auto"/>
          <w:sz w:val="16"/>
          <w:szCs w:val="16"/>
        </w:rPr>
        <w:t>***This performance benchmark</w:t>
      </w:r>
      <w:r w:rsidRPr="0068170A">
        <w:rPr>
          <w:color w:val="auto"/>
          <w:sz w:val="16"/>
          <w:szCs w:val="16"/>
        </w:rPr>
        <w:t xml:space="preserve"> captures not only our aid for trade investments but also our investments in private sector led growth, such as support to the Asia Pacific Technical College-</w:t>
      </w:r>
      <w:r>
        <w:rPr>
          <w:color w:val="auto"/>
          <w:sz w:val="16"/>
          <w:szCs w:val="16"/>
        </w:rPr>
        <w:t>Papua New Guinea.</w:t>
      </w:r>
    </w:p>
    <w:p w14:paraId="1AD74130" w14:textId="77777777" w:rsidR="00C52129" w:rsidRDefault="00C52129" w:rsidP="00C52129">
      <w:pPr>
        <w:spacing w:line="240" w:lineRule="auto"/>
        <w:rPr>
          <w:rFonts w:ascii="Franklin Gothic Book" w:eastAsia="Times New Roman" w:hAnsi="Franklin Gothic Book"/>
          <w:b/>
          <w:sz w:val="24"/>
          <w:szCs w:val="24"/>
        </w:rPr>
      </w:pPr>
      <w:r>
        <w:rPr>
          <w:color w:val="auto"/>
          <w:sz w:val="16"/>
          <w:szCs w:val="16"/>
        </w:rPr>
        <w:t>****</w:t>
      </w:r>
      <w:r w:rsidRPr="00035311">
        <w:rPr>
          <w:color w:val="auto"/>
          <w:sz w:val="16"/>
          <w:szCs w:val="16"/>
        </w:rPr>
        <w:t>DFAT aggregate development result, based on a pro-rata assessment of Australia’s financial contribution to the health sector in Papua New Guinea.</w:t>
      </w:r>
    </w:p>
    <w:p w14:paraId="4EEC8E5A" w14:textId="77777777" w:rsidR="00C52129" w:rsidRDefault="00C52129" w:rsidP="00C52129">
      <w:pPr>
        <w:rPr>
          <w:rFonts w:ascii="Franklin Gothic Book" w:eastAsia="Times New Roman" w:hAnsi="Franklin Gothic Book"/>
          <w:b/>
          <w:sz w:val="24"/>
          <w:szCs w:val="24"/>
        </w:rPr>
      </w:pPr>
    </w:p>
    <w:p w14:paraId="3EF58584" w14:textId="77777777" w:rsidR="007E42A6" w:rsidRDefault="007E42A6">
      <w:pPr>
        <w:suppressAutoHyphens w:val="0"/>
        <w:spacing w:before="0" w:after="120" w:line="440" w:lineRule="atLeast"/>
        <w:rPr>
          <w:rFonts w:asciiTheme="majorHAnsi" w:hAnsiTheme="majorHAnsi" w:cstheme="majorHAnsi"/>
          <w:sz w:val="38"/>
          <w:szCs w:val="38"/>
        </w:rPr>
      </w:pPr>
      <w:r>
        <w:rPr>
          <w:rFonts w:asciiTheme="majorHAnsi" w:hAnsiTheme="majorHAnsi" w:cstheme="majorHAnsi"/>
          <w:sz w:val="38"/>
          <w:szCs w:val="38"/>
        </w:rPr>
        <w:br w:type="page"/>
      </w:r>
    </w:p>
    <w:p w14:paraId="2548F724" w14:textId="7B852BFD" w:rsidR="00400B0F" w:rsidRPr="008821C2" w:rsidRDefault="00400B0F" w:rsidP="008821C2">
      <w:pPr>
        <w:suppressAutoHyphens w:val="0"/>
        <w:spacing w:before="360" w:after="120" w:line="300" w:lineRule="exact"/>
        <w:rPr>
          <w:rFonts w:asciiTheme="majorHAnsi" w:hAnsiTheme="majorHAnsi" w:cstheme="majorHAnsi"/>
          <w:sz w:val="38"/>
          <w:szCs w:val="38"/>
        </w:rPr>
      </w:pPr>
      <w:r w:rsidRPr="008821C2">
        <w:rPr>
          <w:rFonts w:asciiTheme="majorHAnsi" w:hAnsiTheme="majorHAnsi" w:cstheme="majorHAnsi"/>
          <w:sz w:val="38"/>
          <w:szCs w:val="38"/>
        </w:rPr>
        <w:lastRenderedPageBreak/>
        <w:t>Annex C - Evaluation Planning</w:t>
      </w:r>
    </w:p>
    <w:p w14:paraId="7B3DE7A2" w14:textId="77777777"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4046" w:type="dxa"/>
        <w:tblLayout w:type="fixed"/>
        <w:tblLook w:val="04A0" w:firstRow="1" w:lastRow="0" w:firstColumn="1" w:lastColumn="0" w:noHBand="0" w:noVBand="1"/>
      </w:tblPr>
      <w:tblGrid>
        <w:gridCol w:w="5318"/>
        <w:gridCol w:w="5157"/>
        <w:gridCol w:w="1776"/>
        <w:gridCol w:w="1795"/>
      </w:tblGrid>
      <w:tr w:rsidR="00B5136D" w:rsidRPr="00C61187" w14:paraId="5034B2DB" w14:textId="77777777" w:rsidTr="00023B0C">
        <w:trPr>
          <w:cnfStyle w:val="100000000000" w:firstRow="1" w:lastRow="0" w:firstColumn="0" w:lastColumn="0" w:oddVBand="0" w:evenVBand="0" w:oddHBand="0" w:evenHBand="0" w:firstRowFirstColumn="0" w:firstRowLastColumn="0" w:lastRowFirstColumn="0" w:lastRowLastColumn="0"/>
          <w:trHeight w:val="741"/>
        </w:trPr>
        <w:tc>
          <w:tcPr>
            <w:tcW w:w="5276" w:type="dxa"/>
          </w:tcPr>
          <w:p w14:paraId="10EC1D9A" w14:textId="77777777" w:rsidR="00B5136D" w:rsidRPr="00812509" w:rsidRDefault="00B5136D" w:rsidP="00EA09A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4D385837" w14:textId="5FBBB986" w:rsidR="00B5136D" w:rsidRPr="00812509" w:rsidRDefault="00B5136D" w:rsidP="00EA09AA">
            <w:pPr>
              <w:keepLines/>
              <w:spacing w:line="200" w:lineRule="atLeast"/>
              <w:rPr>
                <w:rFonts w:asciiTheme="minorHAnsi" w:eastAsia="Times New Roman" w:hAnsiTheme="minorHAnsi"/>
                <w:b w:val="0"/>
                <w:iCs/>
                <w:szCs w:val="17"/>
                <w:lang w:eastAsia="en-US"/>
              </w:rPr>
            </w:pPr>
          </w:p>
        </w:tc>
        <w:tc>
          <w:tcPr>
            <w:tcW w:w="5129" w:type="dxa"/>
          </w:tcPr>
          <w:p w14:paraId="059D0376" w14:textId="77777777" w:rsidR="00B5136D" w:rsidRPr="00812509" w:rsidRDefault="00B5136D" w:rsidP="00EA09A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748" w:type="dxa"/>
          </w:tcPr>
          <w:p w14:paraId="739A724C" w14:textId="77777777" w:rsidR="00B5136D" w:rsidRPr="00812509" w:rsidRDefault="00B5136D" w:rsidP="00EA09A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753" w:type="dxa"/>
          </w:tcPr>
          <w:p w14:paraId="3480E743" w14:textId="77777777" w:rsidR="00B5136D" w:rsidRPr="00812509" w:rsidRDefault="00B5136D" w:rsidP="00EA09A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B5136D" w:rsidRPr="003B5EE5" w14:paraId="0ABC7721" w14:textId="77777777" w:rsidTr="00023B0C">
        <w:trPr>
          <w:cnfStyle w:val="100000000000" w:firstRow="1" w:lastRow="0" w:firstColumn="0" w:lastColumn="0" w:oddVBand="0" w:evenVBand="0" w:oddHBand="0" w:evenHBand="0" w:firstRowFirstColumn="0" w:firstRowLastColumn="0" w:lastRowFirstColumn="0" w:lastRowLastColumn="0"/>
          <w:trHeight w:val="515"/>
        </w:trPr>
        <w:tc>
          <w:tcPr>
            <w:tcW w:w="5276" w:type="dxa"/>
          </w:tcPr>
          <w:p w14:paraId="53AD72C0" w14:textId="174DD70D"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INM228</w:t>
            </w:r>
            <w:r>
              <w:rPr>
                <w:rFonts w:asciiTheme="minorHAnsi" w:eastAsia="Times New Roman" w:hAnsiTheme="minorHAnsi"/>
                <w:b w:val="0"/>
                <w:iCs/>
                <w:color w:val="auto"/>
                <w:szCs w:val="17"/>
                <w:lang w:eastAsia="en-US"/>
              </w:rPr>
              <w:t xml:space="preserve"> Institutional Partnership Program</w:t>
            </w:r>
          </w:p>
        </w:tc>
        <w:tc>
          <w:tcPr>
            <w:tcW w:w="5129" w:type="dxa"/>
          </w:tcPr>
          <w:p w14:paraId="401802EC" w14:textId="7FBE00BE"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Institutional Partnerships Program review</w:t>
            </w:r>
          </w:p>
        </w:tc>
        <w:tc>
          <w:tcPr>
            <w:tcW w:w="1748" w:type="dxa"/>
          </w:tcPr>
          <w:p w14:paraId="7434E309" w14:textId="1FD252E6"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July 2019</w:t>
            </w:r>
          </w:p>
        </w:tc>
        <w:tc>
          <w:tcPr>
            <w:tcW w:w="1753" w:type="dxa"/>
          </w:tcPr>
          <w:p w14:paraId="78450422" w14:textId="376FFC6F"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October 2019 (TBC)</w:t>
            </w:r>
          </w:p>
        </w:tc>
      </w:tr>
      <w:tr w:rsidR="00B5136D" w:rsidRPr="003B5EE5" w14:paraId="6ACBDD2F" w14:textId="77777777" w:rsidTr="00023B0C">
        <w:trPr>
          <w:cnfStyle w:val="100000000000" w:firstRow="1" w:lastRow="0" w:firstColumn="0" w:lastColumn="0" w:oddVBand="0" w:evenVBand="0" w:oddHBand="0" w:evenHBand="0" w:firstRowFirstColumn="0" w:firstRowLastColumn="0" w:lastRowFirstColumn="0" w:lastRowLastColumn="0"/>
          <w:trHeight w:val="508"/>
        </w:trPr>
        <w:tc>
          <w:tcPr>
            <w:tcW w:w="5276" w:type="dxa"/>
          </w:tcPr>
          <w:p w14:paraId="2E164074" w14:textId="46C10CA7"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INL477</w:t>
            </w:r>
            <w:r>
              <w:rPr>
                <w:rFonts w:asciiTheme="minorHAnsi" w:eastAsia="Times New Roman" w:hAnsiTheme="minorHAnsi"/>
                <w:b w:val="0"/>
                <w:iCs/>
                <w:color w:val="auto"/>
                <w:szCs w:val="17"/>
                <w:lang w:eastAsia="en-US"/>
              </w:rPr>
              <w:t xml:space="preserve"> PNG Governance Facility</w:t>
            </w:r>
          </w:p>
        </w:tc>
        <w:tc>
          <w:tcPr>
            <w:tcW w:w="5129" w:type="dxa"/>
          </w:tcPr>
          <w:p w14:paraId="26B35CF6" w14:textId="3EFC0880"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Governance Youth Programs (City Mission/Gini Goada/UYEP)</w:t>
            </w:r>
          </w:p>
        </w:tc>
        <w:tc>
          <w:tcPr>
            <w:tcW w:w="1748" w:type="dxa"/>
          </w:tcPr>
          <w:p w14:paraId="4A021365" w14:textId="12A8A055" w:rsidR="00B5136D" w:rsidRPr="00EA13B8" w:rsidRDefault="006F271F" w:rsidP="00EA09AA">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 2019</w:t>
            </w:r>
          </w:p>
        </w:tc>
        <w:tc>
          <w:tcPr>
            <w:tcW w:w="1753" w:type="dxa"/>
          </w:tcPr>
          <w:p w14:paraId="3C8238DA" w14:textId="630EDB2B" w:rsidR="00B5136D" w:rsidRPr="00EA13B8" w:rsidRDefault="00B5136D" w:rsidP="00EA09AA">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December 2019</w:t>
            </w:r>
            <w:r w:rsidR="00023B0C">
              <w:rPr>
                <w:rFonts w:asciiTheme="minorHAnsi" w:eastAsia="Times New Roman" w:hAnsiTheme="minorHAnsi"/>
                <w:b w:val="0"/>
                <w:iCs/>
                <w:color w:val="auto"/>
                <w:szCs w:val="17"/>
                <w:lang w:eastAsia="en-US"/>
              </w:rPr>
              <w:t xml:space="preserve"> (TBC)</w:t>
            </w:r>
          </w:p>
        </w:tc>
      </w:tr>
      <w:tr w:rsidR="00B5136D" w:rsidRPr="003B5EE5" w14:paraId="3F3376DF" w14:textId="77777777" w:rsidTr="00023B0C">
        <w:trPr>
          <w:cnfStyle w:val="100000000000" w:firstRow="1" w:lastRow="0" w:firstColumn="0" w:lastColumn="0" w:oddVBand="0" w:evenVBand="0" w:oddHBand="0" w:evenHBand="0" w:firstRowFirstColumn="0" w:firstRowLastColumn="0" w:lastRowFirstColumn="0" w:lastRowLastColumn="0"/>
          <w:trHeight w:val="515"/>
        </w:trPr>
        <w:tc>
          <w:tcPr>
            <w:tcW w:w="5276" w:type="dxa"/>
          </w:tcPr>
          <w:p w14:paraId="47EAC581" w14:textId="42EA9398"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INL477</w:t>
            </w:r>
            <w:r>
              <w:rPr>
                <w:rFonts w:asciiTheme="minorHAnsi" w:eastAsia="Times New Roman" w:hAnsiTheme="minorHAnsi"/>
                <w:b w:val="0"/>
                <w:iCs/>
                <w:color w:val="auto"/>
                <w:szCs w:val="17"/>
                <w:lang w:eastAsia="en-US"/>
              </w:rPr>
              <w:t xml:space="preserve"> PNG Governance Facility</w:t>
            </w:r>
          </w:p>
        </w:tc>
        <w:tc>
          <w:tcPr>
            <w:tcW w:w="5129" w:type="dxa"/>
          </w:tcPr>
          <w:p w14:paraId="14A7C3D4" w14:textId="77925C17"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Church Partnership Program mid-term review</w:t>
            </w:r>
          </w:p>
        </w:tc>
        <w:tc>
          <w:tcPr>
            <w:tcW w:w="1748" w:type="dxa"/>
          </w:tcPr>
          <w:p w14:paraId="031046F4" w14:textId="379B5F7D"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June 2019</w:t>
            </w:r>
          </w:p>
        </w:tc>
        <w:tc>
          <w:tcPr>
            <w:tcW w:w="1753" w:type="dxa"/>
          </w:tcPr>
          <w:p w14:paraId="187798F4" w14:textId="033D2389"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 2019</w:t>
            </w:r>
          </w:p>
        </w:tc>
      </w:tr>
      <w:tr w:rsidR="00B5136D" w:rsidRPr="003B5EE5" w14:paraId="05D66A45" w14:textId="77777777" w:rsidTr="00023B0C">
        <w:trPr>
          <w:cnfStyle w:val="100000000000" w:firstRow="1" w:lastRow="0" w:firstColumn="0" w:lastColumn="0" w:oddVBand="0" w:evenVBand="0" w:oddHBand="0" w:evenHBand="0" w:firstRowFirstColumn="0" w:firstRowLastColumn="0" w:lastRowFirstColumn="0" w:lastRowLastColumn="0"/>
          <w:trHeight w:val="733"/>
        </w:trPr>
        <w:tc>
          <w:tcPr>
            <w:tcW w:w="5276" w:type="dxa"/>
          </w:tcPr>
          <w:p w14:paraId="1C76658A" w14:textId="3DFECC68"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INM116</w:t>
            </w:r>
            <w:r>
              <w:rPr>
                <w:rFonts w:asciiTheme="minorHAnsi" w:eastAsia="Times New Roman" w:hAnsiTheme="minorHAnsi"/>
                <w:b w:val="0"/>
                <w:iCs/>
                <w:color w:val="auto"/>
                <w:szCs w:val="17"/>
                <w:lang w:eastAsia="en-US"/>
              </w:rPr>
              <w:t xml:space="preserve"> </w:t>
            </w:r>
            <w:r w:rsidRPr="009818B9">
              <w:rPr>
                <w:rFonts w:asciiTheme="minorHAnsi" w:eastAsia="Times New Roman" w:hAnsiTheme="minorHAnsi"/>
                <w:b w:val="0"/>
                <w:iCs/>
                <w:color w:val="auto"/>
                <w:szCs w:val="17"/>
                <w:lang w:eastAsia="en-US"/>
              </w:rPr>
              <w:t>PNG Disaster Risk Reduction Program</w:t>
            </w:r>
          </w:p>
        </w:tc>
        <w:tc>
          <w:tcPr>
            <w:tcW w:w="5129" w:type="dxa"/>
          </w:tcPr>
          <w:p w14:paraId="0522292A" w14:textId="7316D144"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Independent Review of the “Strengthening Disaster Risk Management in PNG” project</w:t>
            </w:r>
          </w:p>
        </w:tc>
        <w:tc>
          <w:tcPr>
            <w:tcW w:w="1748" w:type="dxa"/>
          </w:tcPr>
          <w:p w14:paraId="0A91F56C" w14:textId="6079A396"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January 2019</w:t>
            </w:r>
          </w:p>
        </w:tc>
        <w:tc>
          <w:tcPr>
            <w:tcW w:w="1753" w:type="dxa"/>
          </w:tcPr>
          <w:p w14:paraId="133F7E21" w14:textId="5B6AB646"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April 2019</w:t>
            </w:r>
          </w:p>
        </w:tc>
      </w:tr>
      <w:tr w:rsidR="00B5136D" w:rsidRPr="003B5EE5" w14:paraId="3EB47C19" w14:textId="77777777" w:rsidTr="00023B0C">
        <w:trPr>
          <w:cnfStyle w:val="100000000000" w:firstRow="1" w:lastRow="0" w:firstColumn="0" w:lastColumn="0" w:oddVBand="0" w:evenVBand="0" w:oddHBand="0" w:evenHBand="0" w:firstRowFirstColumn="0" w:firstRowLastColumn="0" w:lastRowFirstColumn="0" w:lastRowLastColumn="0"/>
          <w:trHeight w:val="508"/>
        </w:trPr>
        <w:tc>
          <w:tcPr>
            <w:tcW w:w="5276" w:type="dxa"/>
          </w:tcPr>
          <w:p w14:paraId="1456F886" w14:textId="45ADD0C8"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INL610</w:t>
            </w:r>
            <w:r>
              <w:rPr>
                <w:rFonts w:asciiTheme="minorHAnsi" w:eastAsia="Times New Roman" w:hAnsiTheme="minorHAnsi"/>
                <w:b w:val="0"/>
                <w:iCs/>
                <w:color w:val="auto"/>
                <w:szCs w:val="17"/>
                <w:lang w:eastAsia="en-US"/>
              </w:rPr>
              <w:t xml:space="preserve"> </w:t>
            </w:r>
            <w:r w:rsidRPr="009818B9">
              <w:rPr>
                <w:rFonts w:asciiTheme="minorHAnsi" w:eastAsia="Times New Roman" w:hAnsiTheme="minorHAnsi"/>
                <w:b w:val="0"/>
                <w:iCs/>
                <w:color w:val="auto"/>
                <w:szCs w:val="17"/>
                <w:lang w:eastAsia="en-US"/>
              </w:rPr>
              <w:t>Pacific Leadership and Governance Precinct Program</w:t>
            </w:r>
          </w:p>
        </w:tc>
        <w:tc>
          <w:tcPr>
            <w:tcW w:w="5129" w:type="dxa"/>
          </w:tcPr>
          <w:p w14:paraId="6788F821" w14:textId="03E91C04"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Pacific Leadership and Governance Precinct (Precinct)</w:t>
            </w:r>
          </w:p>
        </w:tc>
        <w:tc>
          <w:tcPr>
            <w:tcW w:w="1748" w:type="dxa"/>
          </w:tcPr>
          <w:p w14:paraId="0CA406D3" w14:textId="751424C1"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sidRPr="00EA13B8">
              <w:rPr>
                <w:rFonts w:asciiTheme="minorHAnsi" w:eastAsia="Times New Roman" w:hAnsiTheme="minorHAnsi"/>
                <w:b w:val="0"/>
                <w:iCs/>
                <w:color w:val="auto"/>
                <w:szCs w:val="17"/>
                <w:lang w:eastAsia="en-US"/>
              </w:rPr>
              <w:t>February 2019</w:t>
            </w:r>
          </w:p>
        </w:tc>
        <w:tc>
          <w:tcPr>
            <w:tcW w:w="1753" w:type="dxa"/>
          </w:tcPr>
          <w:p w14:paraId="5B509D6E" w14:textId="74FD5A61" w:rsidR="00B5136D" w:rsidRPr="00EA13B8" w:rsidRDefault="00B5136D" w:rsidP="00EA13B8">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 2019</w:t>
            </w:r>
          </w:p>
        </w:tc>
      </w:tr>
    </w:tbl>
    <w:p w14:paraId="118E22C5" w14:textId="0014FB33" w:rsidR="00400B0F" w:rsidRPr="005769E7" w:rsidRDefault="005769E7" w:rsidP="005769E7">
      <w:pPr>
        <w:spacing w:before="360"/>
        <w:rPr>
          <w:rFonts w:eastAsia="Times New Roman"/>
          <w:iCs/>
          <w:color w:val="auto"/>
          <w:sz w:val="17"/>
          <w:szCs w:val="17"/>
        </w:rPr>
      </w:pPr>
      <w:r w:rsidRPr="005769E7">
        <w:rPr>
          <w:rFonts w:eastAsia="Times New Roman"/>
          <w:iCs/>
          <w:color w:val="auto"/>
          <w:sz w:val="17"/>
          <w:szCs w:val="17"/>
        </w:rPr>
        <w:t xml:space="preserve">We are currently working on a list of planned evaluations for 2020. </w:t>
      </w:r>
    </w:p>
    <w:p w14:paraId="3FF587D4" w14:textId="77777777" w:rsidR="005769E7" w:rsidRPr="00C61187" w:rsidRDefault="005769E7" w:rsidP="005769E7">
      <w:pPr>
        <w:spacing w:before="360"/>
        <w:rPr>
          <w:b/>
        </w:rPr>
        <w:sectPr w:rsidR="005769E7"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14:paraId="14D895D2" w14:textId="77777777" w:rsidR="00400B0F" w:rsidRPr="00901B73" w:rsidRDefault="00400B0F" w:rsidP="00901B73">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p w14:paraId="7843E5C2" w14:textId="7FE752B4" w:rsidR="00901B73" w:rsidRPr="004527D9" w:rsidRDefault="00901B73" w:rsidP="00CB3379">
      <w:pPr>
        <w:pStyle w:val="ListBullet"/>
        <w:tabs>
          <w:tab w:val="clear" w:pos="284"/>
        </w:tabs>
        <w:spacing w:before="400"/>
        <w:rPr>
          <w:color w:val="FF0000"/>
        </w:rPr>
      </w:pPr>
      <w:r w:rsidRPr="00EF26B5">
        <w:rPr>
          <w:rFonts w:asciiTheme="minorHAnsi" w:eastAsiaTheme="majorEastAsia" w:hAnsiTheme="minorHAnsi" w:cstheme="minorHAnsi"/>
          <w:caps/>
          <w:color w:val="495965" w:themeColor="text2"/>
          <w:sz w:val="36"/>
          <w:szCs w:val="36"/>
          <w:lang w:val="en-GB" w:eastAsia="en-US"/>
        </w:rPr>
        <w:t>1 AQC ratings</w:t>
      </w:r>
    </w:p>
    <w:tbl>
      <w:tblPr>
        <w:tblStyle w:val="APPR"/>
        <w:tblW w:w="4838" w:type="pct"/>
        <w:tblLook w:val="0000" w:firstRow="0" w:lastRow="0" w:firstColumn="0" w:lastColumn="0" w:noHBand="0" w:noVBand="0"/>
      </w:tblPr>
      <w:tblGrid>
        <w:gridCol w:w="3325"/>
        <w:gridCol w:w="1033"/>
        <w:gridCol w:w="854"/>
        <w:gridCol w:w="659"/>
        <w:gridCol w:w="659"/>
        <w:gridCol w:w="683"/>
        <w:gridCol w:w="743"/>
        <w:gridCol w:w="659"/>
        <w:gridCol w:w="711"/>
      </w:tblGrid>
      <w:tr w:rsidR="00A50757" w:rsidRPr="00812509" w14:paraId="18A87875" w14:textId="77777777" w:rsidTr="00154F8C">
        <w:trPr>
          <w:cnfStyle w:val="000000010000" w:firstRow="0" w:lastRow="0" w:firstColumn="0" w:lastColumn="0" w:oddVBand="0" w:evenVBand="0" w:oddHBand="0" w:evenHBand="1" w:firstRowFirstColumn="0" w:firstRowLastColumn="0" w:lastRowFirstColumn="0" w:lastRowLastColumn="0"/>
          <w:trHeight w:val="1420"/>
        </w:trPr>
        <w:tc>
          <w:tcPr>
            <w:tcW w:w="1760" w:type="pct"/>
          </w:tcPr>
          <w:p w14:paraId="5FD246C0"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06368" behindDoc="0" locked="0" layoutInCell="1" allowOverlap="1" wp14:anchorId="7295A900" wp14:editId="7295A901">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38" w:type="pct"/>
            <w:textDirection w:val="btLr"/>
          </w:tcPr>
          <w:p w14:paraId="20F11695"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42" w:type="pct"/>
            <w:textDirection w:val="btLr"/>
          </w:tcPr>
          <w:p w14:paraId="5BFC1C02"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39" w:type="pct"/>
            <w:textDirection w:val="btLr"/>
          </w:tcPr>
          <w:p w14:paraId="71CB564F"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39" w:type="pct"/>
            <w:textDirection w:val="btLr"/>
          </w:tcPr>
          <w:p w14:paraId="20BB0FE2"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51" w:type="pct"/>
            <w:textDirection w:val="btLr"/>
          </w:tcPr>
          <w:p w14:paraId="435D1C41"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83" w:type="pct"/>
            <w:textDirection w:val="btLr"/>
          </w:tcPr>
          <w:p w14:paraId="6611CA92"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9" w:type="pct"/>
            <w:textDirection w:val="btLr"/>
          </w:tcPr>
          <w:p w14:paraId="53951E87"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59" w:type="pct"/>
            <w:textDirection w:val="btLr"/>
          </w:tcPr>
          <w:p w14:paraId="1AC0F291" w14:textId="77777777" w:rsidR="00A50757" w:rsidRPr="00812509" w:rsidRDefault="00A50757"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A50757" w:rsidRPr="00812509" w14:paraId="02F03163"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774D1A84" w14:textId="25CDCC0F" w:rsidR="00A50757" w:rsidRPr="00812509" w:rsidRDefault="00A50757" w:rsidP="006574F7">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Australia Awards PNG</w:t>
            </w:r>
          </w:p>
        </w:tc>
        <w:tc>
          <w:tcPr>
            <w:tcW w:w="538" w:type="pct"/>
            <w:vMerge w:val="restart"/>
          </w:tcPr>
          <w:p w14:paraId="1BFAC716" w14:textId="7560B1E8" w:rsidR="00A50757" w:rsidRPr="00812509" w:rsidRDefault="00A50757" w:rsidP="006574F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$18</w:t>
            </w:r>
            <w:r w:rsidRPr="000C2531">
              <w:rPr>
                <w:rFonts w:asciiTheme="minorHAnsi" w:eastAsia="Times New Roman" w:hAnsiTheme="minorHAnsi"/>
                <w:iCs/>
                <w:szCs w:val="17"/>
                <w:lang w:eastAsia="en-US"/>
              </w:rPr>
              <w:t>5</w:t>
            </w:r>
            <w:r>
              <w:rPr>
                <w:rFonts w:asciiTheme="minorHAnsi" w:eastAsia="Times New Roman" w:hAnsiTheme="minorHAnsi"/>
                <w:iCs/>
                <w:szCs w:val="17"/>
                <w:lang w:eastAsia="en-US"/>
              </w:rPr>
              <w:t>.0</w:t>
            </w:r>
            <w:r w:rsidRPr="000C2531">
              <w:rPr>
                <w:rFonts w:asciiTheme="minorHAnsi" w:eastAsia="Times New Roman" w:hAnsiTheme="minorHAnsi"/>
                <w:iCs/>
                <w:szCs w:val="17"/>
                <w:lang w:eastAsia="en-US"/>
              </w:rPr>
              <w:t>m</w:t>
            </w:r>
          </w:p>
          <w:p w14:paraId="50E867F8" w14:textId="636F0858" w:rsidR="00A50757" w:rsidRPr="00812509" w:rsidRDefault="00A50757" w:rsidP="00C36B59">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2016-2</w:t>
            </w:r>
            <w:r>
              <w:rPr>
                <w:rFonts w:asciiTheme="minorHAnsi" w:eastAsia="Times New Roman" w:hAnsiTheme="minorHAnsi"/>
                <w:iCs/>
                <w:szCs w:val="17"/>
                <w:lang w:eastAsia="en-US"/>
              </w:rPr>
              <w:t>6</w:t>
            </w:r>
          </w:p>
        </w:tc>
        <w:tc>
          <w:tcPr>
            <w:tcW w:w="442" w:type="pct"/>
          </w:tcPr>
          <w:p w14:paraId="7EE96AF5" w14:textId="77777777" w:rsidR="00A50757" w:rsidRPr="00812509" w:rsidRDefault="00A50757" w:rsidP="006574F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5BB93F59" w14:textId="14B03A7E"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92D050"/>
            <w:noWrap/>
          </w:tcPr>
          <w:p w14:paraId="6CC02D65" w14:textId="1BA0D488"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1" w:type="pct"/>
            <w:shd w:val="clear" w:color="auto" w:fill="92D050"/>
            <w:noWrap/>
          </w:tcPr>
          <w:p w14:paraId="239A6365" w14:textId="0E8DBBC9"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3" w:type="pct"/>
            <w:shd w:val="clear" w:color="auto" w:fill="auto"/>
            <w:noWrap/>
          </w:tcPr>
          <w:p w14:paraId="74E3DC26" w14:textId="052289D1"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auto"/>
            <w:noWrap/>
          </w:tcPr>
          <w:p w14:paraId="6481A26D" w14:textId="397CD5CA"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p>
        </w:tc>
        <w:tc>
          <w:tcPr>
            <w:tcW w:w="359" w:type="pct"/>
            <w:shd w:val="clear" w:color="auto" w:fill="92D050"/>
            <w:noWrap/>
          </w:tcPr>
          <w:p w14:paraId="5C411CEB" w14:textId="1343AD2D" w:rsidR="00A50757" w:rsidRPr="00812509" w:rsidRDefault="00A50757" w:rsidP="006574F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A50757" w:rsidRPr="00812509" w14:paraId="0E73A7DD"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53A35F82" w14:textId="77777777" w:rsidR="00A50757" w:rsidRPr="00812509" w:rsidRDefault="00A50757" w:rsidP="003F2278">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3D93CF14" w14:textId="77777777" w:rsidR="00A50757" w:rsidRPr="00812509" w:rsidRDefault="00A50757" w:rsidP="003F2278">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6A7BFC5E" w14:textId="77777777" w:rsidR="00A50757" w:rsidRPr="00812509" w:rsidRDefault="00A50757" w:rsidP="003F227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318D94A4" w14:textId="731646F0"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9" w:type="pct"/>
            <w:tcBorders>
              <w:bottom w:val="single" w:sz="4" w:space="0" w:color="auto"/>
            </w:tcBorders>
            <w:shd w:val="clear" w:color="auto" w:fill="FFFF00"/>
            <w:noWrap/>
          </w:tcPr>
          <w:p w14:paraId="1F8C2009" w14:textId="46BAD618"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1" w:type="pct"/>
            <w:tcBorders>
              <w:bottom w:val="single" w:sz="4" w:space="0" w:color="auto"/>
            </w:tcBorders>
            <w:shd w:val="clear" w:color="auto" w:fill="92D050"/>
            <w:noWrap/>
          </w:tcPr>
          <w:p w14:paraId="5DB5C58C" w14:textId="0563FC5B"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3" w:type="pct"/>
            <w:tcBorders>
              <w:bottom w:val="single" w:sz="4" w:space="0" w:color="auto"/>
            </w:tcBorders>
            <w:shd w:val="clear" w:color="auto" w:fill="FFFF00"/>
            <w:noWrap/>
          </w:tcPr>
          <w:p w14:paraId="21686241" w14:textId="6CE9949A"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9" w:type="pct"/>
            <w:tcBorders>
              <w:bottom w:val="single" w:sz="4" w:space="0" w:color="auto"/>
            </w:tcBorders>
            <w:shd w:val="clear" w:color="auto" w:fill="92D050"/>
            <w:noWrap/>
          </w:tcPr>
          <w:p w14:paraId="3C8E1BA6" w14:textId="338CDE74"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9" w:type="pct"/>
            <w:tcBorders>
              <w:bottom w:val="single" w:sz="4" w:space="0" w:color="auto"/>
            </w:tcBorders>
            <w:shd w:val="clear" w:color="auto" w:fill="92D050"/>
            <w:noWrap/>
          </w:tcPr>
          <w:p w14:paraId="32C78673" w14:textId="0A53EFAF" w:rsidR="00A50757" w:rsidRPr="00812509" w:rsidRDefault="00A50757" w:rsidP="003F22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A50757" w:rsidRPr="00812509" w14:paraId="221D7A0E"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05FB8A07" w14:textId="00BF90DA" w:rsidR="00A50757" w:rsidRPr="00812509" w:rsidRDefault="00A50757" w:rsidP="00F94D31">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Education Capacity Development Facility</w:t>
            </w:r>
          </w:p>
        </w:tc>
        <w:tc>
          <w:tcPr>
            <w:tcW w:w="538" w:type="pct"/>
            <w:vMerge w:val="restart"/>
          </w:tcPr>
          <w:p w14:paraId="5A307CDE" w14:textId="04CE0234" w:rsidR="00A50757" w:rsidRPr="00812509" w:rsidRDefault="00A50757" w:rsidP="00F94D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$277.6</w:t>
            </w:r>
            <w:r w:rsidRPr="000C2531">
              <w:rPr>
                <w:rFonts w:asciiTheme="minorHAnsi" w:eastAsia="Times New Roman" w:hAnsiTheme="minorHAnsi"/>
                <w:iCs/>
                <w:szCs w:val="17"/>
                <w:lang w:eastAsia="en-US"/>
              </w:rPr>
              <w:t>m</w:t>
            </w:r>
          </w:p>
          <w:p w14:paraId="1DEADFA0" w14:textId="7164964F" w:rsidR="00A50757" w:rsidRPr="00812509" w:rsidRDefault="00A50757" w:rsidP="00F94D31">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2011-20</w:t>
            </w:r>
          </w:p>
        </w:tc>
        <w:tc>
          <w:tcPr>
            <w:tcW w:w="442" w:type="pct"/>
          </w:tcPr>
          <w:p w14:paraId="5691AFA0" w14:textId="77777777" w:rsidR="00A50757" w:rsidRPr="00812509" w:rsidRDefault="00A50757" w:rsidP="00F94D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noWrap/>
          </w:tcPr>
          <w:p w14:paraId="2E0B774D" w14:textId="77777777"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FFFF00"/>
            <w:noWrap/>
          </w:tcPr>
          <w:p w14:paraId="08EC8737" w14:textId="47CBFE40"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1" w:type="pct"/>
            <w:shd w:val="clear" w:color="auto" w:fill="FFFF00"/>
            <w:noWrap/>
          </w:tcPr>
          <w:p w14:paraId="750BEBF8" w14:textId="5AFCB18B"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3" w:type="pct"/>
            <w:noWrap/>
          </w:tcPr>
          <w:p w14:paraId="656882A0" w14:textId="77777777"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p>
        </w:tc>
        <w:tc>
          <w:tcPr>
            <w:tcW w:w="339" w:type="pct"/>
            <w:noWrap/>
          </w:tcPr>
          <w:p w14:paraId="756825F0" w14:textId="77777777"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p>
        </w:tc>
        <w:tc>
          <w:tcPr>
            <w:tcW w:w="359" w:type="pct"/>
            <w:shd w:val="clear" w:color="auto" w:fill="FFFF00"/>
            <w:noWrap/>
          </w:tcPr>
          <w:p w14:paraId="37846505" w14:textId="4C44F873"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50757" w:rsidRPr="00812509" w14:paraId="2EE2DC0C"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5FE0205C" w14:textId="77777777" w:rsidR="00A50757" w:rsidRPr="00812509" w:rsidRDefault="00A50757" w:rsidP="00F94D31">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344648E2" w14:textId="77777777" w:rsidR="00A50757" w:rsidRPr="00812509" w:rsidRDefault="00A50757" w:rsidP="00F94D31">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0766C951" w14:textId="77777777" w:rsidR="00A50757" w:rsidRPr="00812509" w:rsidRDefault="00A50757" w:rsidP="00F94D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FFFF00"/>
            <w:noWrap/>
          </w:tcPr>
          <w:p w14:paraId="0D45D948" w14:textId="57C65E3B"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9" w:type="pct"/>
            <w:tcBorders>
              <w:bottom w:val="single" w:sz="4" w:space="0" w:color="auto"/>
            </w:tcBorders>
            <w:shd w:val="clear" w:color="auto" w:fill="FFC000"/>
            <w:noWrap/>
          </w:tcPr>
          <w:p w14:paraId="4BAD631E" w14:textId="4C24FA99"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1" w:type="pct"/>
            <w:tcBorders>
              <w:bottom w:val="single" w:sz="4" w:space="0" w:color="auto"/>
            </w:tcBorders>
            <w:shd w:val="clear" w:color="auto" w:fill="FFC000"/>
            <w:noWrap/>
          </w:tcPr>
          <w:p w14:paraId="55C04612" w14:textId="5487042B"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83" w:type="pct"/>
            <w:tcBorders>
              <w:bottom w:val="single" w:sz="4" w:space="0" w:color="auto"/>
            </w:tcBorders>
            <w:shd w:val="clear" w:color="auto" w:fill="FFC000"/>
            <w:noWrap/>
          </w:tcPr>
          <w:p w14:paraId="4C4D0804" w14:textId="7E21293E"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39" w:type="pct"/>
            <w:tcBorders>
              <w:bottom w:val="single" w:sz="4" w:space="0" w:color="auto"/>
            </w:tcBorders>
            <w:shd w:val="clear" w:color="auto" w:fill="FFC000"/>
            <w:noWrap/>
          </w:tcPr>
          <w:p w14:paraId="4239555F" w14:textId="27455534"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9" w:type="pct"/>
            <w:tcBorders>
              <w:bottom w:val="single" w:sz="4" w:space="0" w:color="auto"/>
            </w:tcBorders>
            <w:shd w:val="clear" w:color="auto" w:fill="FFFF00"/>
            <w:noWrap/>
          </w:tcPr>
          <w:p w14:paraId="2C8D0823" w14:textId="1C75FF05" w:rsidR="00A50757" w:rsidRPr="00812509" w:rsidRDefault="00A50757" w:rsidP="00F94D3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50757" w:rsidRPr="00812509" w14:paraId="12499A16"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0285C336" w14:textId="77777777" w:rsidR="00A50757" w:rsidRPr="000C2531" w:rsidRDefault="00A50757" w:rsidP="00215D1A">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 xml:space="preserve">Health Capacity Development </w:t>
            </w:r>
          </w:p>
          <w:p w14:paraId="00E725ED" w14:textId="609EAC35" w:rsidR="00A50757" w:rsidRPr="000C2531" w:rsidRDefault="00A50757" w:rsidP="00215D1A">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&amp; Service Delivery</w:t>
            </w:r>
          </w:p>
        </w:tc>
        <w:tc>
          <w:tcPr>
            <w:tcW w:w="538" w:type="pct"/>
            <w:vMerge w:val="restart"/>
            <w:shd w:val="clear" w:color="auto" w:fill="auto"/>
          </w:tcPr>
          <w:p w14:paraId="4A237C9A" w14:textId="77777777" w:rsidR="00A50757" w:rsidRDefault="00A50757" w:rsidP="00215D1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$349.4m</w:t>
            </w:r>
          </w:p>
          <w:p w14:paraId="3EA69518" w14:textId="2E9EFAC6" w:rsidR="00A50757" w:rsidRPr="000C2531" w:rsidRDefault="00A50757" w:rsidP="00215D1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2011-20</w:t>
            </w:r>
          </w:p>
        </w:tc>
        <w:tc>
          <w:tcPr>
            <w:tcW w:w="442" w:type="pct"/>
          </w:tcPr>
          <w:p w14:paraId="17B282B4" w14:textId="57BEE244" w:rsidR="00A50757" w:rsidRPr="00812509" w:rsidRDefault="00A50757" w:rsidP="00215D1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364CEF2F" w14:textId="77777777" w:rsidR="00A50757" w:rsidRDefault="00A50757" w:rsidP="00215D1A">
            <w:pPr>
              <w:keepLines/>
              <w:spacing w:before="40" w:after="40" w:line="200" w:lineRule="atLeast"/>
              <w:jc w:val="center"/>
              <w:rPr>
                <w:rFonts w:eastAsia="Times New Roman"/>
                <w:iCs/>
                <w:szCs w:val="17"/>
              </w:rPr>
            </w:pPr>
          </w:p>
        </w:tc>
        <w:tc>
          <w:tcPr>
            <w:tcW w:w="339" w:type="pct"/>
            <w:shd w:val="clear" w:color="auto" w:fill="FFFF00"/>
            <w:noWrap/>
          </w:tcPr>
          <w:p w14:paraId="4080B5F7" w14:textId="3176CA99" w:rsidR="00A50757" w:rsidRDefault="00A50757" w:rsidP="00215D1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1" w:type="pct"/>
            <w:shd w:val="clear" w:color="auto" w:fill="FFFF00"/>
            <w:noWrap/>
          </w:tcPr>
          <w:p w14:paraId="24D1A10B" w14:textId="354714E4" w:rsidR="00A50757" w:rsidRDefault="00A50757" w:rsidP="00215D1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3" w:type="pct"/>
            <w:shd w:val="clear" w:color="auto" w:fill="auto"/>
            <w:noWrap/>
          </w:tcPr>
          <w:p w14:paraId="191BF472" w14:textId="77777777" w:rsidR="00A50757" w:rsidRDefault="00A50757" w:rsidP="00215D1A">
            <w:pPr>
              <w:keepLines/>
              <w:spacing w:before="40" w:after="40" w:line="200" w:lineRule="atLeast"/>
              <w:jc w:val="center"/>
              <w:rPr>
                <w:rFonts w:eastAsia="Times New Roman"/>
                <w:iCs/>
                <w:szCs w:val="17"/>
              </w:rPr>
            </w:pPr>
          </w:p>
        </w:tc>
        <w:tc>
          <w:tcPr>
            <w:tcW w:w="339" w:type="pct"/>
            <w:shd w:val="clear" w:color="auto" w:fill="auto"/>
            <w:noWrap/>
          </w:tcPr>
          <w:p w14:paraId="607D7DE6" w14:textId="77777777" w:rsidR="00A50757" w:rsidRDefault="00A50757" w:rsidP="00215D1A">
            <w:pPr>
              <w:keepLines/>
              <w:spacing w:before="40" w:after="40" w:line="200" w:lineRule="atLeast"/>
              <w:jc w:val="center"/>
              <w:rPr>
                <w:rFonts w:eastAsia="Times New Roman"/>
                <w:iCs/>
                <w:szCs w:val="17"/>
              </w:rPr>
            </w:pPr>
          </w:p>
        </w:tc>
        <w:tc>
          <w:tcPr>
            <w:tcW w:w="359" w:type="pct"/>
            <w:shd w:val="clear" w:color="auto" w:fill="FFFF00"/>
            <w:noWrap/>
          </w:tcPr>
          <w:p w14:paraId="4953BB25" w14:textId="02F94958" w:rsidR="00A50757" w:rsidRDefault="00A50757" w:rsidP="00215D1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A50757" w:rsidRPr="00812509" w14:paraId="23A46F7A"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2CA8E99A" w14:textId="01C520BE" w:rsidR="00A50757" w:rsidRPr="000C2531" w:rsidRDefault="00A50757" w:rsidP="00215D1A">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shd w:val="clear" w:color="auto" w:fill="auto"/>
          </w:tcPr>
          <w:p w14:paraId="671687D8" w14:textId="77777777" w:rsidR="00A50757" w:rsidRPr="000C2531" w:rsidRDefault="00A50757" w:rsidP="00215D1A">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66664D92" w14:textId="50FB3720" w:rsidR="00A50757" w:rsidRPr="00812509" w:rsidRDefault="00A50757" w:rsidP="00215D1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FFFF00"/>
            <w:noWrap/>
          </w:tcPr>
          <w:p w14:paraId="7DBACDA6" w14:textId="4EDBC668" w:rsidR="00A50757" w:rsidRDefault="00A50757" w:rsidP="00215D1A">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FF00"/>
            <w:noWrap/>
          </w:tcPr>
          <w:p w14:paraId="027063ED" w14:textId="46302D7D" w:rsidR="00A50757" w:rsidRDefault="00A50757" w:rsidP="00215D1A">
            <w:pPr>
              <w:keepLines/>
              <w:spacing w:before="40" w:after="40" w:line="200" w:lineRule="atLeast"/>
              <w:jc w:val="center"/>
              <w:rPr>
                <w:rFonts w:eastAsia="Times New Roman"/>
                <w:iCs/>
                <w:szCs w:val="17"/>
              </w:rPr>
            </w:pPr>
            <w:r>
              <w:rPr>
                <w:rFonts w:eastAsia="Times New Roman"/>
                <w:iCs/>
                <w:szCs w:val="17"/>
              </w:rPr>
              <w:t>4</w:t>
            </w:r>
          </w:p>
        </w:tc>
        <w:tc>
          <w:tcPr>
            <w:tcW w:w="351" w:type="pct"/>
            <w:tcBorders>
              <w:bottom w:val="single" w:sz="4" w:space="0" w:color="auto"/>
            </w:tcBorders>
            <w:shd w:val="clear" w:color="auto" w:fill="92D050"/>
            <w:noWrap/>
          </w:tcPr>
          <w:p w14:paraId="2CB63013" w14:textId="15A77599" w:rsidR="00A50757" w:rsidRDefault="00A50757" w:rsidP="00215D1A">
            <w:pPr>
              <w:keepLines/>
              <w:spacing w:before="40" w:after="40" w:line="200" w:lineRule="atLeast"/>
              <w:jc w:val="center"/>
              <w:rPr>
                <w:rFonts w:eastAsia="Times New Roman"/>
                <w:iCs/>
                <w:szCs w:val="17"/>
              </w:rPr>
            </w:pPr>
            <w:r>
              <w:rPr>
                <w:rFonts w:eastAsia="Times New Roman"/>
                <w:iCs/>
                <w:szCs w:val="17"/>
              </w:rPr>
              <w:t>5</w:t>
            </w:r>
          </w:p>
        </w:tc>
        <w:tc>
          <w:tcPr>
            <w:tcW w:w="383" w:type="pct"/>
            <w:tcBorders>
              <w:bottom w:val="single" w:sz="4" w:space="0" w:color="auto"/>
            </w:tcBorders>
            <w:shd w:val="clear" w:color="auto" w:fill="FFC000"/>
            <w:noWrap/>
          </w:tcPr>
          <w:p w14:paraId="645F0C7D" w14:textId="49C886DF" w:rsidR="00A50757" w:rsidRDefault="00A50757" w:rsidP="00215D1A">
            <w:pPr>
              <w:keepLines/>
              <w:spacing w:before="40" w:after="40" w:line="200" w:lineRule="atLeast"/>
              <w:jc w:val="center"/>
              <w:rPr>
                <w:rFonts w:eastAsia="Times New Roman"/>
                <w:iCs/>
                <w:szCs w:val="17"/>
              </w:rPr>
            </w:pPr>
            <w:r>
              <w:rPr>
                <w:rFonts w:eastAsia="Times New Roman"/>
                <w:iCs/>
                <w:szCs w:val="17"/>
              </w:rPr>
              <w:t>3</w:t>
            </w:r>
          </w:p>
        </w:tc>
        <w:tc>
          <w:tcPr>
            <w:tcW w:w="339" w:type="pct"/>
            <w:tcBorders>
              <w:bottom w:val="single" w:sz="4" w:space="0" w:color="auto"/>
            </w:tcBorders>
            <w:shd w:val="clear" w:color="auto" w:fill="FFFF00"/>
            <w:noWrap/>
          </w:tcPr>
          <w:p w14:paraId="2D6F021C" w14:textId="58145E99" w:rsidR="00A50757" w:rsidRDefault="00A50757" w:rsidP="00215D1A">
            <w:pPr>
              <w:keepLines/>
              <w:spacing w:before="40" w:after="40" w:line="200" w:lineRule="atLeast"/>
              <w:jc w:val="center"/>
              <w:rPr>
                <w:rFonts w:eastAsia="Times New Roman"/>
                <w:iCs/>
                <w:szCs w:val="17"/>
              </w:rPr>
            </w:pPr>
            <w:r>
              <w:rPr>
                <w:rFonts w:eastAsia="Times New Roman"/>
                <w:iCs/>
                <w:szCs w:val="17"/>
              </w:rPr>
              <w:t>4</w:t>
            </w:r>
          </w:p>
        </w:tc>
        <w:tc>
          <w:tcPr>
            <w:tcW w:w="359" w:type="pct"/>
            <w:tcBorders>
              <w:bottom w:val="single" w:sz="4" w:space="0" w:color="auto"/>
            </w:tcBorders>
            <w:shd w:val="clear" w:color="auto" w:fill="FFFF00"/>
            <w:noWrap/>
          </w:tcPr>
          <w:p w14:paraId="16B0B8D4" w14:textId="1ABBE9EC" w:rsidR="00A50757" w:rsidRDefault="00A50757" w:rsidP="00215D1A">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773AA01C"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394052F3" w14:textId="77777777" w:rsidR="00A50757" w:rsidRPr="000C2531" w:rsidRDefault="00A50757" w:rsidP="00F806AA">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PNG Health &amp; HIV Multilateral</w:t>
            </w:r>
          </w:p>
          <w:p w14:paraId="09D063F6" w14:textId="73BAF7DC" w:rsidR="00A50757" w:rsidRPr="000C2531" w:rsidRDefault="00A50757" w:rsidP="00F806AA">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Partnerships</w:t>
            </w:r>
          </w:p>
        </w:tc>
        <w:tc>
          <w:tcPr>
            <w:tcW w:w="538" w:type="pct"/>
            <w:vMerge w:val="restart"/>
          </w:tcPr>
          <w:p w14:paraId="407E7187" w14:textId="77777777" w:rsidR="00A50757" w:rsidRDefault="00A50757" w:rsidP="00F806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$16.5m</w:t>
            </w:r>
          </w:p>
          <w:p w14:paraId="1A9798B4" w14:textId="77FFF3E4" w:rsidR="00A50757" w:rsidRPr="000C2531" w:rsidRDefault="00A50757" w:rsidP="00F806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2013-20</w:t>
            </w:r>
          </w:p>
        </w:tc>
        <w:tc>
          <w:tcPr>
            <w:tcW w:w="442" w:type="pct"/>
          </w:tcPr>
          <w:p w14:paraId="44C9FE0B" w14:textId="2CC42714" w:rsidR="00A50757" w:rsidRPr="00812509" w:rsidRDefault="00A50757" w:rsidP="00F806A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1423BEDF" w14:textId="77777777" w:rsidR="00A50757" w:rsidRDefault="00A50757" w:rsidP="00F806AA">
            <w:pPr>
              <w:keepLines/>
              <w:spacing w:before="40" w:after="40" w:line="200" w:lineRule="atLeast"/>
              <w:jc w:val="center"/>
              <w:rPr>
                <w:rFonts w:eastAsia="Times New Roman"/>
                <w:iCs/>
                <w:szCs w:val="17"/>
              </w:rPr>
            </w:pPr>
          </w:p>
        </w:tc>
        <w:tc>
          <w:tcPr>
            <w:tcW w:w="339" w:type="pct"/>
            <w:shd w:val="clear" w:color="auto" w:fill="FFFF00"/>
            <w:noWrap/>
          </w:tcPr>
          <w:p w14:paraId="3A5E2071" w14:textId="6D0D3552" w:rsidR="00A50757" w:rsidRDefault="00A50757" w:rsidP="00F806A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1" w:type="pct"/>
            <w:shd w:val="clear" w:color="auto" w:fill="FFFF00"/>
            <w:noWrap/>
          </w:tcPr>
          <w:p w14:paraId="480F6811" w14:textId="2EC36F32" w:rsidR="00A50757" w:rsidRDefault="00A50757" w:rsidP="00F806A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3" w:type="pct"/>
            <w:shd w:val="clear" w:color="auto" w:fill="auto"/>
            <w:noWrap/>
          </w:tcPr>
          <w:p w14:paraId="121825ED" w14:textId="77777777" w:rsidR="00A50757" w:rsidRDefault="00A50757" w:rsidP="00F806AA">
            <w:pPr>
              <w:keepLines/>
              <w:spacing w:before="40" w:after="40" w:line="200" w:lineRule="atLeast"/>
              <w:jc w:val="center"/>
              <w:rPr>
                <w:rFonts w:eastAsia="Times New Roman"/>
                <w:iCs/>
                <w:szCs w:val="17"/>
              </w:rPr>
            </w:pPr>
          </w:p>
        </w:tc>
        <w:tc>
          <w:tcPr>
            <w:tcW w:w="339" w:type="pct"/>
            <w:shd w:val="clear" w:color="auto" w:fill="auto"/>
            <w:noWrap/>
          </w:tcPr>
          <w:p w14:paraId="4373AF18" w14:textId="77777777" w:rsidR="00A50757" w:rsidRDefault="00A50757" w:rsidP="00F806AA">
            <w:pPr>
              <w:keepLines/>
              <w:spacing w:before="40" w:after="40" w:line="200" w:lineRule="atLeast"/>
              <w:jc w:val="center"/>
              <w:rPr>
                <w:rFonts w:eastAsia="Times New Roman"/>
                <w:iCs/>
                <w:szCs w:val="17"/>
              </w:rPr>
            </w:pPr>
          </w:p>
        </w:tc>
        <w:tc>
          <w:tcPr>
            <w:tcW w:w="359" w:type="pct"/>
            <w:shd w:val="clear" w:color="auto" w:fill="FFFF00"/>
            <w:noWrap/>
          </w:tcPr>
          <w:p w14:paraId="4810F5D3" w14:textId="1A8D93EE" w:rsidR="00A50757" w:rsidRDefault="00A50757" w:rsidP="00F806A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A50757" w:rsidRPr="00812509" w14:paraId="14DD7F76"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1F1D44D1" w14:textId="099F244D" w:rsidR="00A50757" w:rsidRPr="000C2531" w:rsidRDefault="00A50757" w:rsidP="00F806AA">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40E5B61B" w14:textId="77777777" w:rsidR="00A50757" w:rsidRPr="000C2531" w:rsidRDefault="00A50757" w:rsidP="00F806AA">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4787FBC8" w14:textId="7C1C0380" w:rsidR="00A50757" w:rsidRPr="00812509" w:rsidRDefault="00A50757" w:rsidP="00F806A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46D2F68E" w14:textId="443CA7B0" w:rsidR="00A50757" w:rsidRDefault="00A50757" w:rsidP="00F806AA">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FFFF00"/>
            <w:noWrap/>
          </w:tcPr>
          <w:p w14:paraId="264989B1" w14:textId="0B1C9548" w:rsidR="00A50757" w:rsidRDefault="00A50757" w:rsidP="00F806AA">
            <w:pPr>
              <w:keepLines/>
              <w:spacing w:before="40" w:after="40" w:line="200" w:lineRule="atLeast"/>
              <w:jc w:val="center"/>
              <w:rPr>
                <w:rFonts w:eastAsia="Times New Roman"/>
                <w:iCs/>
                <w:szCs w:val="17"/>
              </w:rPr>
            </w:pPr>
            <w:r>
              <w:rPr>
                <w:rFonts w:eastAsia="Times New Roman"/>
                <w:iCs/>
                <w:szCs w:val="17"/>
              </w:rPr>
              <w:t>4</w:t>
            </w:r>
          </w:p>
        </w:tc>
        <w:tc>
          <w:tcPr>
            <w:tcW w:w="351" w:type="pct"/>
            <w:tcBorders>
              <w:bottom w:val="single" w:sz="4" w:space="0" w:color="auto"/>
            </w:tcBorders>
            <w:shd w:val="clear" w:color="auto" w:fill="92D050"/>
            <w:noWrap/>
          </w:tcPr>
          <w:p w14:paraId="6E34188D" w14:textId="24F59ECB" w:rsidR="00A50757" w:rsidRDefault="00A50757" w:rsidP="00F806AA">
            <w:pPr>
              <w:keepLines/>
              <w:spacing w:before="40" w:after="40" w:line="200" w:lineRule="atLeast"/>
              <w:jc w:val="center"/>
              <w:rPr>
                <w:rFonts w:eastAsia="Times New Roman"/>
                <w:iCs/>
                <w:szCs w:val="17"/>
              </w:rPr>
            </w:pPr>
            <w:r>
              <w:rPr>
                <w:rFonts w:eastAsia="Times New Roman"/>
                <w:iCs/>
                <w:szCs w:val="17"/>
              </w:rPr>
              <w:t>5</w:t>
            </w:r>
          </w:p>
        </w:tc>
        <w:tc>
          <w:tcPr>
            <w:tcW w:w="383" w:type="pct"/>
            <w:tcBorders>
              <w:bottom w:val="single" w:sz="4" w:space="0" w:color="auto"/>
            </w:tcBorders>
            <w:shd w:val="clear" w:color="auto" w:fill="FFFF00"/>
            <w:noWrap/>
          </w:tcPr>
          <w:p w14:paraId="5F9EBD7A" w14:textId="3F59DB90" w:rsidR="00A50757" w:rsidRDefault="00A50757" w:rsidP="00F806AA">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92D050"/>
            <w:noWrap/>
          </w:tcPr>
          <w:p w14:paraId="67D7CCA8" w14:textId="433F18D3" w:rsidR="00A50757" w:rsidRDefault="00A50757" w:rsidP="00F806AA">
            <w:pPr>
              <w:keepLines/>
              <w:spacing w:before="40" w:after="40" w:line="200" w:lineRule="atLeast"/>
              <w:jc w:val="center"/>
              <w:rPr>
                <w:rFonts w:eastAsia="Times New Roman"/>
                <w:iCs/>
                <w:szCs w:val="17"/>
              </w:rPr>
            </w:pPr>
            <w:r>
              <w:rPr>
                <w:rFonts w:eastAsia="Times New Roman"/>
                <w:iCs/>
                <w:szCs w:val="17"/>
              </w:rPr>
              <w:t>5</w:t>
            </w:r>
          </w:p>
        </w:tc>
        <w:tc>
          <w:tcPr>
            <w:tcW w:w="359" w:type="pct"/>
            <w:tcBorders>
              <w:bottom w:val="single" w:sz="4" w:space="0" w:color="auto"/>
            </w:tcBorders>
            <w:shd w:val="clear" w:color="auto" w:fill="FFFF00"/>
            <w:noWrap/>
          </w:tcPr>
          <w:p w14:paraId="5CD332FA" w14:textId="643FF96C" w:rsidR="00A50757" w:rsidRDefault="00A50757" w:rsidP="00F806AA">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6BED4323"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27AAA991" w14:textId="77777777" w:rsidR="00A50757" w:rsidRPr="000C2531" w:rsidRDefault="00A50757" w:rsidP="008E635B">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 xml:space="preserve">Transport Sector Support </w:t>
            </w:r>
          </w:p>
          <w:p w14:paraId="07E5C680" w14:textId="5937EAC1" w:rsidR="00A50757" w:rsidRPr="000C2531" w:rsidRDefault="00A50757" w:rsidP="008E635B">
            <w:pPr>
              <w:keepLines/>
              <w:spacing w:before="40" w:after="40" w:line="200" w:lineRule="atLeast"/>
              <w:rPr>
                <w:rFonts w:asciiTheme="minorHAnsi" w:eastAsia="Times New Roman" w:hAnsiTheme="minorHAnsi"/>
                <w:iCs/>
                <w:szCs w:val="17"/>
                <w:lang w:eastAsia="en-US"/>
              </w:rPr>
            </w:pPr>
            <w:r w:rsidRPr="000C2531">
              <w:rPr>
                <w:rFonts w:asciiTheme="minorHAnsi" w:eastAsia="Times New Roman" w:hAnsiTheme="minorHAnsi"/>
                <w:iCs/>
                <w:szCs w:val="17"/>
                <w:lang w:eastAsia="en-US"/>
              </w:rPr>
              <w:t>Program – Phase 2</w:t>
            </w:r>
          </w:p>
        </w:tc>
        <w:tc>
          <w:tcPr>
            <w:tcW w:w="538" w:type="pct"/>
            <w:vMerge w:val="restart"/>
          </w:tcPr>
          <w:p w14:paraId="1DD52AA3" w14:textId="327C4633" w:rsidR="00A50757" w:rsidRPr="000C2531" w:rsidRDefault="00A50757" w:rsidP="008E635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$463.5</w:t>
            </w:r>
            <w:r w:rsidRPr="000C2531">
              <w:rPr>
                <w:rFonts w:asciiTheme="minorHAnsi" w:eastAsia="Times New Roman" w:hAnsiTheme="minorHAnsi"/>
                <w:iCs/>
                <w:szCs w:val="17"/>
                <w:lang w:eastAsia="en-US"/>
              </w:rPr>
              <w:t>m</w:t>
            </w:r>
          </w:p>
          <w:p w14:paraId="14FCD35A" w14:textId="6E07AA3A" w:rsidR="00A50757" w:rsidRPr="000C2531" w:rsidRDefault="00A50757" w:rsidP="008E635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2013-22</w:t>
            </w:r>
          </w:p>
        </w:tc>
        <w:tc>
          <w:tcPr>
            <w:tcW w:w="442" w:type="pct"/>
          </w:tcPr>
          <w:p w14:paraId="4244D5AC" w14:textId="501CDF46" w:rsidR="00A50757" w:rsidRPr="00812509" w:rsidRDefault="00A50757" w:rsidP="008E635B">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65C6073E" w14:textId="77777777" w:rsidR="00A50757" w:rsidRDefault="00A50757" w:rsidP="008E635B">
            <w:pPr>
              <w:keepLines/>
              <w:spacing w:before="40" w:after="40" w:line="200" w:lineRule="atLeast"/>
              <w:jc w:val="center"/>
              <w:rPr>
                <w:rFonts w:eastAsia="Times New Roman"/>
                <w:iCs/>
                <w:szCs w:val="17"/>
              </w:rPr>
            </w:pPr>
          </w:p>
        </w:tc>
        <w:tc>
          <w:tcPr>
            <w:tcW w:w="339" w:type="pct"/>
            <w:shd w:val="clear" w:color="auto" w:fill="92D050"/>
            <w:noWrap/>
          </w:tcPr>
          <w:p w14:paraId="7910B49B" w14:textId="3643FD45" w:rsidR="00A50757" w:rsidRDefault="00A50757" w:rsidP="008E635B">
            <w:pPr>
              <w:keepLines/>
              <w:spacing w:before="40" w:after="40" w:line="200" w:lineRule="atLeast"/>
              <w:jc w:val="center"/>
              <w:rPr>
                <w:rFonts w:eastAsia="Times New Roman"/>
                <w:iCs/>
                <w:szCs w:val="17"/>
              </w:rPr>
            </w:pPr>
            <w:r>
              <w:rPr>
                <w:rFonts w:eastAsia="Times New Roman"/>
                <w:iCs/>
                <w:szCs w:val="17"/>
              </w:rPr>
              <w:t>5</w:t>
            </w:r>
          </w:p>
        </w:tc>
        <w:tc>
          <w:tcPr>
            <w:tcW w:w="351" w:type="pct"/>
            <w:shd w:val="clear" w:color="auto" w:fill="FFFF00"/>
            <w:noWrap/>
          </w:tcPr>
          <w:p w14:paraId="10ED8B68" w14:textId="1DE481F5"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c>
          <w:tcPr>
            <w:tcW w:w="383" w:type="pct"/>
            <w:shd w:val="clear" w:color="auto" w:fill="auto"/>
            <w:noWrap/>
          </w:tcPr>
          <w:p w14:paraId="0409DA3E" w14:textId="77777777" w:rsidR="00A50757" w:rsidRDefault="00A50757" w:rsidP="008E635B">
            <w:pPr>
              <w:keepLines/>
              <w:spacing w:before="40" w:after="40" w:line="200" w:lineRule="atLeast"/>
              <w:jc w:val="center"/>
              <w:rPr>
                <w:rFonts w:eastAsia="Times New Roman"/>
                <w:iCs/>
                <w:szCs w:val="17"/>
              </w:rPr>
            </w:pPr>
          </w:p>
        </w:tc>
        <w:tc>
          <w:tcPr>
            <w:tcW w:w="339" w:type="pct"/>
            <w:shd w:val="clear" w:color="auto" w:fill="auto"/>
            <w:noWrap/>
          </w:tcPr>
          <w:p w14:paraId="09063E9D" w14:textId="77777777" w:rsidR="00A50757" w:rsidRDefault="00A50757" w:rsidP="008E635B">
            <w:pPr>
              <w:keepLines/>
              <w:spacing w:before="40" w:after="40" w:line="200" w:lineRule="atLeast"/>
              <w:jc w:val="center"/>
              <w:rPr>
                <w:rFonts w:eastAsia="Times New Roman"/>
                <w:iCs/>
                <w:szCs w:val="17"/>
              </w:rPr>
            </w:pPr>
          </w:p>
        </w:tc>
        <w:tc>
          <w:tcPr>
            <w:tcW w:w="359" w:type="pct"/>
            <w:shd w:val="clear" w:color="auto" w:fill="FFFF00"/>
            <w:noWrap/>
          </w:tcPr>
          <w:p w14:paraId="4F9CC874" w14:textId="7F67AF89"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65B0D068"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08358BA8" w14:textId="77777777" w:rsidR="00A50757" w:rsidRPr="00812509" w:rsidRDefault="00A50757" w:rsidP="008E635B">
            <w:pPr>
              <w:keepLines/>
              <w:spacing w:before="40" w:after="40" w:line="200" w:lineRule="atLeast"/>
              <w:rPr>
                <w:rFonts w:eastAsia="Times New Roman"/>
                <w:iCs/>
                <w:szCs w:val="17"/>
              </w:rPr>
            </w:pPr>
          </w:p>
        </w:tc>
        <w:tc>
          <w:tcPr>
            <w:tcW w:w="538" w:type="pct"/>
            <w:vMerge/>
            <w:tcBorders>
              <w:bottom w:val="single" w:sz="4" w:space="0" w:color="auto"/>
            </w:tcBorders>
          </w:tcPr>
          <w:p w14:paraId="093B5BEA" w14:textId="77777777" w:rsidR="00A50757" w:rsidRPr="00812509" w:rsidRDefault="00A50757" w:rsidP="008E635B">
            <w:pPr>
              <w:keepLines/>
              <w:spacing w:before="40" w:after="40" w:line="200" w:lineRule="atLeast"/>
              <w:rPr>
                <w:rFonts w:eastAsia="Times New Roman"/>
                <w:iCs/>
                <w:szCs w:val="17"/>
              </w:rPr>
            </w:pPr>
          </w:p>
        </w:tc>
        <w:tc>
          <w:tcPr>
            <w:tcW w:w="442" w:type="pct"/>
            <w:tcBorders>
              <w:bottom w:val="single" w:sz="4" w:space="0" w:color="auto"/>
            </w:tcBorders>
          </w:tcPr>
          <w:p w14:paraId="4541D61B" w14:textId="7EAE6CEC" w:rsidR="00A50757" w:rsidRPr="00812509" w:rsidRDefault="00A50757" w:rsidP="008E635B">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09BFA932" w14:textId="7AD5EFA7" w:rsidR="00A50757" w:rsidRDefault="00A50757" w:rsidP="008E635B">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FFFF00"/>
            <w:noWrap/>
          </w:tcPr>
          <w:p w14:paraId="18CA9F69" w14:textId="59C81D5B"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c>
          <w:tcPr>
            <w:tcW w:w="351" w:type="pct"/>
            <w:tcBorders>
              <w:bottom w:val="single" w:sz="4" w:space="0" w:color="auto"/>
            </w:tcBorders>
            <w:shd w:val="clear" w:color="auto" w:fill="92D050"/>
            <w:noWrap/>
          </w:tcPr>
          <w:p w14:paraId="3052341F" w14:textId="5A16C4F5" w:rsidR="00A50757" w:rsidRDefault="00A50757" w:rsidP="008E635B">
            <w:pPr>
              <w:keepLines/>
              <w:spacing w:before="40" w:after="40" w:line="200" w:lineRule="atLeast"/>
              <w:jc w:val="center"/>
              <w:rPr>
                <w:rFonts w:eastAsia="Times New Roman"/>
                <w:iCs/>
                <w:szCs w:val="17"/>
              </w:rPr>
            </w:pPr>
            <w:r>
              <w:rPr>
                <w:rFonts w:eastAsia="Times New Roman"/>
                <w:iCs/>
                <w:szCs w:val="17"/>
              </w:rPr>
              <w:t>5</w:t>
            </w:r>
          </w:p>
        </w:tc>
        <w:tc>
          <w:tcPr>
            <w:tcW w:w="383" w:type="pct"/>
            <w:tcBorders>
              <w:bottom w:val="single" w:sz="4" w:space="0" w:color="auto"/>
            </w:tcBorders>
            <w:shd w:val="clear" w:color="auto" w:fill="FFFF00"/>
            <w:noWrap/>
          </w:tcPr>
          <w:p w14:paraId="5CA64CD8" w14:textId="28BBFB21"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FF00"/>
            <w:noWrap/>
          </w:tcPr>
          <w:p w14:paraId="72DEF486" w14:textId="1B9B0A87"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c>
          <w:tcPr>
            <w:tcW w:w="359" w:type="pct"/>
            <w:tcBorders>
              <w:bottom w:val="single" w:sz="4" w:space="0" w:color="auto"/>
            </w:tcBorders>
            <w:shd w:val="clear" w:color="auto" w:fill="FFFF00"/>
            <w:noWrap/>
          </w:tcPr>
          <w:p w14:paraId="6E57B4C2" w14:textId="113FB61E" w:rsidR="00A50757" w:rsidRDefault="00A50757" w:rsidP="008E635B">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386C8E8D"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21E1B499" w14:textId="56948145" w:rsidR="00A50757" w:rsidRPr="00812509" w:rsidRDefault="00A50757" w:rsidP="00BC414E">
            <w:pPr>
              <w:keepLines/>
              <w:spacing w:before="40" w:after="40" w:line="200" w:lineRule="atLeast"/>
              <w:rPr>
                <w:rFonts w:eastAsia="Times New Roman"/>
                <w:iCs/>
                <w:szCs w:val="17"/>
              </w:rPr>
            </w:pPr>
            <w:r w:rsidRPr="00180EAD">
              <w:rPr>
                <w:rFonts w:asciiTheme="minorHAnsi" w:eastAsia="Times New Roman" w:hAnsiTheme="minorHAnsi"/>
                <w:iCs/>
                <w:szCs w:val="17"/>
                <w:lang w:eastAsia="en-US"/>
              </w:rPr>
              <w:t>Incentive</w:t>
            </w:r>
            <w:r>
              <w:rPr>
                <w:rFonts w:eastAsia="Times New Roman"/>
                <w:iCs/>
                <w:szCs w:val="17"/>
              </w:rPr>
              <w:t xml:space="preserve"> Fund Phase IV</w:t>
            </w:r>
          </w:p>
        </w:tc>
        <w:tc>
          <w:tcPr>
            <w:tcW w:w="538" w:type="pct"/>
            <w:vMerge w:val="restart"/>
          </w:tcPr>
          <w:p w14:paraId="416BA262" w14:textId="41D7E155" w:rsidR="00A50757" w:rsidRPr="00180EAD" w:rsidRDefault="00A50757" w:rsidP="00BC414E">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$100</w:t>
            </w:r>
            <w:r>
              <w:rPr>
                <w:rFonts w:asciiTheme="minorHAnsi" w:eastAsia="Times New Roman" w:hAnsiTheme="minorHAnsi"/>
                <w:iCs/>
                <w:szCs w:val="17"/>
                <w:lang w:eastAsia="en-US"/>
              </w:rPr>
              <w:t>.3</w:t>
            </w:r>
            <w:r w:rsidRPr="00180EAD">
              <w:rPr>
                <w:rFonts w:asciiTheme="minorHAnsi" w:eastAsia="Times New Roman" w:hAnsiTheme="minorHAnsi"/>
                <w:iCs/>
                <w:szCs w:val="17"/>
                <w:lang w:eastAsia="en-US"/>
              </w:rPr>
              <w:t>m</w:t>
            </w:r>
          </w:p>
          <w:p w14:paraId="6ADA0761" w14:textId="59415A26" w:rsidR="00A50757" w:rsidRPr="00812509" w:rsidRDefault="00A50757" w:rsidP="00BC414E">
            <w:pPr>
              <w:keepLines/>
              <w:spacing w:before="40" w:after="40" w:line="200" w:lineRule="atLeast"/>
              <w:rPr>
                <w:rFonts w:eastAsia="Times New Roman"/>
                <w:iCs/>
                <w:szCs w:val="17"/>
              </w:rPr>
            </w:pPr>
            <w:r w:rsidRPr="00180EAD">
              <w:rPr>
                <w:rFonts w:asciiTheme="minorHAnsi" w:eastAsia="Times New Roman" w:hAnsiTheme="minorHAnsi"/>
                <w:iCs/>
                <w:szCs w:val="17"/>
                <w:lang w:eastAsia="en-US"/>
              </w:rPr>
              <w:t>2015-21</w:t>
            </w:r>
          </w:p>
        </w:tc>
        <w:tc>
          <w:tcPr>
            <w:tcW w:w="442" w:type="pct"/>
          </w:tcPr>
          <w:p w14:paraId="4959FE1D" w14:textId="15DA91B2" w:rsidR="00A50757" w:rsidRPr="00812509" w:rsidRDefault="00A50757" w:rsidP="00BC414E">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1C766B57" w14:textId="77777777" w:rsidR="00A50757" w:rsidRDefault="00A50757" w:rsidP="00BC414E">
            <w:pPr>
              <w:keepLines/>
              <w:spacing w:before="40" w:after="40" w:line="200" w:lineRule="atLeast"/>
              <w:jc w:val="center"/>
              <w:rPr>
                <w:rFonts w:eastAsia="Times New Roman"/>
                <w:iCs/>
                <w:szCs w:val="17"/>
              </w:rPr>
            </w:pPr>
          </w:p>
        </w:tc>
        <w:tc>
          <w:tcPr>
            <w:tcW w:w="339" w:type="pct"/>
            <w:shd w:val="clear" w:color="auto" w:fill="92D050"/>
            <w:noWrap/>
          </w:tcPr>
          <w:p w14:paraId="0600A30E" w14:textId="4F78AF28" w:rsidR="00A50757" w:rsidRDefault="00A50757" w:rsidP="00BC414E">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51" w:type="pct"/>
            <w:shd w:val="clear" w:color="auto" w:fill="92D050"/>
            <w:noWrap/>
          </w:tcPr>
          <w:p w14:paraId="617BF746" w14:textId="63E4642D" w:rsidR="00A50757" w:rsidRDefault="00A50757" w:rsidP="00BC414E">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83" w:type="pct"/>
            <w:shd w:val="clear" w:color="auto" w:fill="auto"/>
            <w:noWrap/>
          </w:tcPr>
          <w:p w14:paraId="6BCA1231" w14:textId="77777777" w:rsidR="00A50757" w:rsidRDefault="00A50757" w:rsidP="00BC414E">
            <w:pPr>
              <w:keepLines/>
              <w:spacing w:before="40" w:after="40" w:line="200" w:lineRule="atLeast"/>
              <w:jc w:val="center"/>
              <w:rPr>
                <w:rFonts w:eastAsia="Times New Roman"/>
                <w:iCs/>
                <w:szCs w:val="17"/>
              </w:rPr>
            </w:pPr>
          </w:p>
        </w:tc>
        <w:tc>
          <w:tcPr>
            <w:tcW w:w="339" w:type="pct"/>
            <w:shd w:val="clear" w:color="auto" w:fill="auto"/>
            <w:noWrap/>
          </w:tcPr>
          <w:p w14:paraId="4228D2DE" w14:textId="77777777" w:rsidR="00A50757" w:rsidRDefault="00A50757" w:rsidP="00BC414E">
            <w:pPr>
              <w:keepLines/>
              <w:spacing w:before="40" w:after="40" w:line="200" w:lineRule="atLeast"/>
              <w:jc w:val="center"/>
              <w:rPr>
                <w:rFonts w:eastAsia="Times New Roman"/>
                <w:iCs/>
                <w:szCs w:val="17"/>
              </w:rPr>
            </w:pPr>
          </w:p>
        </w:tc>
        <w:tc>
          <w:tcPr>
            <w:tcW w:w="359" w:type="pct"/>
            <w:shd w:val="clear" w:color="auto" w:fill="92D050"/>
            <w:noWrap/>
          </w:tcPr>
          <w:p w14:paraId="332E6C3C" w14:textId="4BE3F999" w:rsidR="00A50757" w:rsidRDefault="00A50757" w:rsidP="00BC414E">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r>
      <w:tr w:rsidR="00A50757" w:rsidRPr="00812509" w14:paraId="64154BBE"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37A5982E" w14:textId="77777777" w:rsidR="00A50757" w:rsidRPr="00812509" w:rsidRDefault="00A50757" w:rsidP="00BC414E">
            <w:pPr>
              <w:keepLines/>
              <w:spacing w:before="40" w:after="40" w:line="200" w:lineRule="atLeast"/>
              <w:rPr>
                <w:rFonts w:eastAsia="Times New Roman"/>
                <w:iCs/>
                <w:szCs w:val="17"/>
              </w:rPr>
            </w:pPr>
          </w:p>
        </w:tc>
        <w:tc>
          <w:tcPr>
            <w:tcW w:w="538" w:type="pct"/>
            <w:vMerge/>
            <w:tcBorders>
              <w:bottom w:val="single" w:sz="4" w:space="0" w:color="auto"/>
            </w:tcBorders>
          </w:tcPr>
          <w:p w14:paraId="66CBF832" w14:textId="77777777" w:rsidR="00A50757" w:rsidRPr="00812509" w:rsidRDefault="00A50757" w:rsidP="00BC414E">
            <w:pPr>
              <w:keepLines/>
              <w:spacing w:before="40" w:after="40" w:line="200" w:lineRule="atLeast"/>
              <w:rPr>
                <w:rFonts w:eastAsia="Times New Roman"/>
                <w:iCs/>
                <w:szCs w:val="17"/>
              </w:rPr>
            </w:pPr>
          </w:p>
        </w:tc>
        <w:tc>
          <w:tcPr>
            <w:tcW w:w="442" w:type="pct"/>
            <w:tcBorders>
              <w:bottom w:val="single" w:sz="4" w:space="0" w:color="auto"/>
            </w:tcBorders>
          </w:tcPr>
          <w:p w14:paraId="39FD8E0D" w14:textId="7D141AC6" w:rsidR="00A50757" w:rsidRPr="00812509" w:rsidRDefault="00A50757" w:rsidP="00BC414E">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4F3F542D" w14:textId="45B82E85" w:rsidR="00A50757" w:rsidRDefault="00A50757" w:rsidP="00BC414E">
            <w:pPr>
              <w:keepLines/>
              <w:spacing w:before="40" w:after="40" w:line="200" w:lineRule="atLeast"/>
              <w:jc w:val="center"/>
              <w:rPr>
                <w:rFonts w:eastAsia="Times New Roman"/>
                <w:iCs/>
                <w:szCs w:val="17"/>
              </w:rPr>
            </w:pPr>
            <w:r>
              <w:rPr>
                <w:rFonts w:eastAsia="Times New Roman"/>
                <w:iCs/>
                <w:szCs w:val="17"/>
              </w:rPr>
              <w:t>6</w:t>
            </w:r>
          </w:p>
        </w:tc>
        <w:tc>
          <w:tcPr>
            <w:tcW w:w="339" w:type="pct"/>
            <w:tcBorders>
              <w:bottom w:val="single" w:sz="4" w:space="0" w:color="auto"/>
            </w:tcBorders>
            <w:shd w:val="clear" w:color="auto" w:fill="92D050"/>
            <w:noWrap/>
          </w:tcPr>
          <w:p w14:paraId="4B8D18D1" w14:textId="0B6D708B" w:rsidR="00A50757" w:rsidRDefault="00A50757" w:rsidP="00BC414E">
            <w:pPr>
              <w:keepLines/>
              <w:spacing w:before="40" w:after="40" w:line="200" w:lineRule="atLeast"/>
              <w:jc w:val="center"/>
              <w:rPr>
                <w:rFonts w:eastAsia="Times New Roman"/>
                <w:iCs/>
                <w:szCs w:val="17"/>
              </w:rPr>
            </w:pPr>
            <w:r>
              <w:rPr>
                <w:rFonts w:eastAsia="Times New Roman"/>
                <w:iCs/>
                <w:szCs w:val="17"/>
              </w:rPr>
              <w:t>5</w:t>
            </w:r>
          </w:p>
        </w:tc>
        <w:tc>
          <w:tcPr>
            <w:tcW w:w="351" w:type="pct"/>
            <w:tcBorders>
              <w:bottom w:val="single" w:sz="4" w:space="0" w:color="auto"/>
            </w:tcBorders>
            <w:shd w:val="clear" w:color="auto" w:fill="FFFF00"/>
            <w:noWrap/>
          </w:tcPr>
          <w:p w14:paraId="7EFDD4ED" w14:textId="63B56FF9" w:rsidR="00A50757" w:rsidRDefault="00A50757" w:rsidP="00BC414E">
            <w:pPr>
              <w:keepLines/>
              <w:spacing w:before="40" w:after="40" w:line="200" w:lineRule="atLeast"/>
              <w:jc w:val="center"/>
              <w:rPr>
                <w:rFonts w:eastAsia="Times New Roman"/>
                <w:iCs/>
                <w:szCs w:val="17"/>
              </w:rPr>
            </w:pPr>
            <w:r>
              <w:rPr>
                <w:rFonts w:eastAsia="Times New Roman"/>
                <w:iCs/>
                <w:szCs w:val="17"/>
              </w:rPr>
              <w:t>4</w:t>
            </w:r>
          </w:p>
        </w:tc>
        <w:tc>
          <w:tcPr>
            <w:tcW w:w="383" w:type="pct"/>
            <w:tcBorders>
              <w:bottom w:val="single" w:sz="4" w:space="0" w:color="auto"/>
            </w:tcBorders>
            <w:shd w:val="clear" w:color="auto" w:fill="92D050"/>
            <w:noWrap/>
          </w:tcPr>
          <w:p w14:paraId="6ADE817B" w14:textId="4162D91D" w:rsidR="00A50757" w:rsidRDefault="00A50757" w:rsidP="00BC414E">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92D050"/>
            <w:noWrap/>
          </w:tcPr>
          <w:p w14:paraId="751A2F69" w14:textId="6A03E003" w:rsidR="00A50757" w:rsidRDefault="00A50757" w:rsidP="00BC414E">
            <w:pPr>
              <w:keepLines/>
              <w:spacing w:before="40" w:after="40" w:line="200" w:lineRule="atLeast"/>
              <w:jc w:val="center"/>
              <w:rPr>
                <w:rFonts w:eastAsia="Times New Roman"/>
                <w:iCs/>
                <w:szCs w:val="17"/>
              </w:rPr>
            </w:pPr>
            <w:r>
              <w:rPr>
                <w:rFonts w:eastAsia="Times New Roman"/>
                <w:iCs/>
                <w:szCs w:val="17"/>
              </w:rPr>
              <w:t>5</w:t>
            </w:r>
          </w:p>
        </w:tc>
        <w:tc>
          <w:tcPr>
            <w:tcW w:w="359" w:type="pct"/>
            <w:tcBorders>
              <w:bottom w:val="single" w:sz="4" w:space="0" w:color="auto"/>
            </w:tcBorders>
            <w:shd w:val="clear" w:color="auto" w:fill="92D050"/>
            <w:noWrap/>
          </w:tcPr>
          <w:p w14:paraId="0899C65C" w14:textId="6B6B6694" w:rsidR="00A50757" w:rsidRDefault="00A50757" w:rsidP="00BC414E">
            <w:pPr>
              <w:keepLines/>
              <w:spacing w:before="40" w:after="40" w:line="200" w:lineRule="atLeast"/>
              <w:jc w:val="center"/>
              <w:rPr>
                <w:rFonts w:eastAsia="Times New Roman"/>
                <w:iCs/>
                <w:szCs w:val="17"/>
              </w:rPr>
            </w:pPr>
            <w:r>
              <w:rPr>
                <w:rFonts w:eastAsia="Times New Roman"/>
                <w:iCs/>
                <w:szCs w:val="17"/>
              </w:rPr>
              <w:t>5</w:t>
            </w:r>
          </w:p>
        </w:tc>
      </w:tr>
      <w:tr w:rsidR="00A50757" w:rsidRPr="00812509" w14:paraId="7445D168"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val="restart"/>
          </w:tcPr>
          <w:p w14:paraId="24DF5381" w14:textId="77777777" w:rsidR="00A50757" w:rsidRPr="00180EAD" w:rsidRDefault="00A50757" w:rsidP="00BF5731">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 xml:space="preserve">Justice Services Stability for </w:t>
            </w:r>
          </w:p>
          <w:p w14:paraId="68A6E685" w14:textId="26933316" w:rsidR="00A50757" w:rsidRPr="00180EAD" w:rsidRDefault="00A50757" w:rsidP="00BF5731">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Development</w:t>
            </w:r>
          </w:p>
        </w:tc>
        <w:tc>
          <w:tcPr>
            <w:tcW w:w="538" w:type="pct"/>
            <w:vMerge w:val="restart"/>
          </w:tcPr>
          <w:p w14:paraId="660A6062" w14:textId="78566E9F" w:rsidR="00A50757" w:rsidRPr="00180EAD" w:rsidRDefault="00A50757" w:rsidP="00BF57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$91.2</w:t>
            </w:r>
            <w:r w:rsidRPr="00180EAD">
              <w:rPr>
                <w:rFonts w:asciiTheme="minorHAnsi" w:eastAsia="Times New Roman" w:hAnsiTheme="minorHAnsi"/>
                <w:iCs/>
                <w:szCs w:val="17"/>
                <w:lang w:eastAsia="en-US"/>
              </w:rPr>
              <w:t>m</w:t>
            </w:r>
          </w:p>
          <w:p w14:paraId="65E66A89" w14:textId="585EC888" w:rsidR="00A50757" w:rsidRPr="00180EAD" w:rsidRDefault="00A50757" w:rsidP="00BF57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w:t>
            </w:r>
          </w:p>
        </w:tc>
        <w:tc>
          <w:tcPr>
            <w:tcW w:w="442" w:type="pct"/>
          </w:tcPr>
          <w:p w14:paraId="5391EB07" w14:textId="3F6CB5DE" w:rsidR="00A50757" w:rsidRPr="00812509" w:rsidRDefault="00A50757" w:rsidP="00BF5731">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1FF23C8B" w14:textId="77777777" w:rsidR="00A50757" w:rsidRDefault="00A50757" w:rsidP="00BF5731">
            <w:pPr>
              <w:keepLines/>
              <w:spacing w:before="40" w:after="40" w:line="200" w:lineRule="atLeast"/>
              <w:jc w:val="center"/>
              <w:rPr>
                <w:rFonts w:eastAsia="Times New Roman"/>
                <w:iCs/>
                <w:szCs w:val="17"/>
              </w:rPr>
            </w:pPr>
          </w:p>
        </w:tc>
        <w:tc>
          <w:tcPr>
            <w:tcW w:w="339" w:type="pct"/>
            <w:shd w:val="clear" w:color="auto" w:fill="FFFF00"/>
            <w:noWrap/>
          </w:tcPr>
          <w:p w14:paraId="2B096189" w14:textId="2C4BAD51" w:rsidR="00A50757" w:rsidRDefault="00A50757" w:rsidP="00BF573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1" w:type="pct"/>
            <w:shd w:val="clear" w:color="auto" w:fill="FFFF00"/>
            <w:noWrap/>
          </w:tcPr>
          <w:p w14:paraId="21EF91B9" w14:textId="0557124D" w:rsidR="00A50757" w:rsidRDefault="00A50757" w:rsidP="00BF573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3" w:type="pct"/>
            <w:shd w:val="clear" w:color="auto" w:fill="auto"/>
            <w:noWrap/>
          </w:tcPr>
          <w:p w14:paraId="7EB62E96" w14:textId="77777777" w:rsidR="00A50757" w:rsidRDefault="00A50757" w:rsidP="00BF5731">
            <w:pPr>
              <w:keepLines/>
              <w:spacing w:before="40" w:after="40" w:line="200" w:lineRule="atLeast"/>
              <w:jc w:val="center"/>
              <w:rPr>
                <w:rFonts w:eastAsia="Times New Roman"/>
                <w:iCs/>
                <w:szCs w:val="17"/>
              </w:rPr>
            </w:pPr>
          </w:p>
        </w:tc>
        <w:tc>
          <w:tcPr>
            <w:tcW w:w="339" w:type="pct"/>
            <w:shd w:val="clear" w:color="auto" w:fill="auto"/>
            <w:noWrap/>
          </w:tcPr>
          <w:p w14:paraId="2E261C2A" w14:textId="77777777" w:rsidR="00A50757" w:rsidRDefault="00A50757" w:rsidP="00BF5731">
            <w:pPr>
              <w:keepLines/>
              <w:spacing w:before="40" w:after="40" w:line="200" w:lineRule="atLeast"/>
              <w:jc w:val="center"/>
              <w:rPr>
                <w:rFonts w:eastAsia="Times New Roman"/>
                <w:iCs/>
                <w:szCs w:val="17"/>
              </w:rPr>
            </w:pPr>
          </w:p>
        </w:tc>
        <w:tc>
          <w:tcPr>
            <w:tcW w:w="359" w:type="pct"/>
            <w:shd w:val="clear" w:color="auto" w:fill="92D050"/>
            <w:noWrap/>
          </w:tcPr>
          <w:p w14:paraId="071351DA" w14:textId="178D1973" w:rsidR="00A50757" w:rsidRDefault="00A50757" w:rsidP="00BF573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r>
      <w:tr w:rsidR="00A50757" w:rsidRPr="00812509" w14:paraId="78F3133C"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vMerge/>
            <w:tcBorders>
              <w:bottom w:val="single" w:sz="4" w:space="0" w:color="auto"/>
            </w:tcBorders>
          </w:tcPr>
          <w:p w14:paraId="357F7B1E" w14:textId="77777777" w:rsidR="00A50757" w:rsidRPr="00180EAD" w:rsidRDefault="00A50757" w:rsidP="00BF5731">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76A2FCF2" w14:textId="77777777" w:rsidR="00A50757" w:rsidRPr="00180EAD" w:rsidRDefault="00A50757" w:rsidP="00BF5731">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65CEC1F4" w14:textId="4889EEC6" w:rsidR="00A50757" w:rsidRPr="00812509" w:rsidRDefault="00A50757" w:rsidP="00BF5731">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47F3992A" w14:textId="04494E26" w:rsidR="00A50757" w:rsidRDefault="00A50757" w:rsidP="00BF5731">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FFFF00"/>
            <w:noWrap/>
          </w:tcPr>
          <w:p w14:paraId="6747ACD5" w14:textId="34E173F2" w:rsidR="00A50757" w:rsidRDefault="00A50757" w:rsidP="00BF5731">
            <w:pPr>
              <w:keepLines/>
              <w:spacing w:before="40" w:after="40" w:line="200" w:lineRule="atLeast"/>
              <w:jc w:val="center"/>
              <w:rPr>
                <w:rFonts w:eastAsia="Times New Roman"/>
                <w:iCs/>
                <w:szCs w:val="17"/>
              </w:rPr>
            </w:pPr>
            <w:r>
              <w:rPr>
                <w:rFonts w:eastAsia="Times New Roman"/>
                <w:iCs/>
                <w:szCs w:val="17"/>
              </w:rPr>
              <w:t>4</w:t>
            </w:r>
          </w:p>
        </w:tc>
        <w:tc>
          <w:tcPr>
            <w:tcW w:w="351" w:type="pct"/>
            <w:tcBorders>
              <w:bottom w:val="single" w:sz="4" w:space="0" w:color="auto"/>
            </w:tcBorders>
            <w:shd w:val="clear" w:color="auto" w:fill="FFFF00"/>
            <w:noWrap/>
          </w:tcPr>
          <w:p w14:paraId="43BE59A5" w14:textId="75309671" w:rsidR="00A50757" w:rsidRDefault="00A50757" w:rsidP="00BF5731">
            <w:pPr>
              <w:keepLines/>
              <w:spacing w:before="40" w:after="40" w:line="200" w:lineRule="atLeast"/>
              <w:jc w:val="center"/>
              <w:rPr>
                <w:rFonts w:eastAsia="Times New Roman"/>
                <w:iCs/>
                <w:szCs w:val="17"/>
              </w:rPr>
            </w:pPr>
            <w:r>
              <w:rPr>
                <w:rFonts w:eastAsia="Times New Roman"/>
                <w:iCs/>
                <w:szCs w:val="17"/>
              </w:rPr>
              <w:t>4</w:t>
            </w:r>
          </w:p>
        </w:tc>
        <w:tc>
          <w:tcPr>
            <w:tcW w:w="383" w:type="pct"/>
            <w:tcBorders>
              <w:bottom w:val="single" w:sz="4" w:space="0" w:color="auto"/>
            </w:tcBorders>
            <w:shd w:val="clear" w:color="auto" w:fill="FFC000"/>
            <w:noWrap/>
          </w:tcPr>
          <w:p w14:paraId="7881E8DA" w14:textId="09049272" w:rsidR="00A50757" w:rsidRDefault="00A50757" w:rsidP="00BF5731">
            <w:pPr>
              <w:keepLines/>
              <w:spacing w:before="40" w:after="40" w:line="200" w:lineRule="atLeast"/>
              <w:jc w:val="center"/>
              <w:rPr>
                <w:rFonts w:eastAsia="Times New Roman"/>
                <w:iCs/>
                <w:szCs w:val="17"/>
              </w:rPr>
            </w:pPr>
            <w:r>
              <w:rPr>
                <w:rFonts w:eastAsia="Times New Roman"/>
                <w:iCs/>
                <w:szCs w:val="17"/>
              </w:rPr>
              <w:t>3</w:t>
            </w:r>
          </w:p>
        </w:tc>
        <w:tc>
          <w:tcPr>
            <w:tcW w:w="339" w:type="pct"/>
            <w:tcBorders>
              <w:bottom w:val="single" w:sz="4" w:space="0" w:color="auto"/>
            </w:tcBorders>
            <w:shd w:val="clear" w:color="auto" w:fill="FFFF00"/>
            <w:noWrap/>
          </w:tcPr>
          <w:p w14:paraId="2ACEF233" w14:textId="4AE30FFB" w:rsidR="00A50757" w:rsidRDefault="00A50757" w:rsidP="00BF5731">
            <w:pPr>
              <w:keepLines/>
              <w:spacing w:before="40" w:after="40" w:line="200" w:lineRule="atLeast"/>
              <w:jc w:val="center"/>
              <w:rPr>
                <w:rFonts w:eastAsia="Times New Roman"/>
                <w:iCs/>
                <w:szCs w:val="17"/>
              </w:rPr>
            </w:pPr>
            <w:r>
              <w:rPr>
                <w:rFonts w:eastAsia="Times New Roman"/>
                <w:iCs/>
                <w:szCs w:val="17"/>
              </w:rPr>
              <w:t>4</w:t>
            </w:r>
          </w:p>
        </w:tc>
        <w:tc>
          <w:tcPr>
            <w:tcW w:w="359" w:type="pct"/>
            <w:tcBorders>
              <w:bottom w:val="single" w:sz="4" w:space="0" w:color="auto"/>
            </w:tcBorders>
            <w:shd w:val="clear" w:color="auto" w:fill="92D050"/>
            <w:noWrap/>
          </w:tcPr>
          <w:p w14:paraId="602E63DE" w14:textId="05ADE5F3" w:rsidR="00A50757" w:rsidRDefault="00A50757" w:rsidP="00BF5731">
            <w:pPr>
              <w:keepLines/>
              <w:spacing w:before="40" w:after="40" w:line="200" w:lineRule="atLeast"/>
              <w:jc w:val="center"/>
              <w:rPr>
                <w:rFonts w:eastAsia="Times New Roman"/>
                <w:iCs/>
                <w:szCs w:val="17"/>
              </w:rPr>
            </w:pPr>
            <w:r>
              <w:rPr>
                <w:rFonts w:eastAsia="Times New Roman"/>
                <w:iCs/>
                <w:szCs w:val="17"/>
              </w:rPr>
              <w:t>5</w:t>
            </w:r>
          </w:p>
        </w:tc>
      </w:tr>
      <w:tr w:rsidR="00A50757" w:rsidRPr="00812509" w14:paraId="312383C2"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Pr>
          <w:p w14:paraId="7DF94F2D" w14:textId="0739E873" w:rsidR="00A50757" w:rsidRPr="00180EAD" w:rsidRDefault="00A50757" w:rsidP="003C5A6F">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Combating corruption in PNG</w:t>
            </w:r>
          </w:p>
        </w:tc>
        <w:tc>
          <w:tcPr>
            <w:tcW w:w="538" w:type="pct"/>
          </w:tcPr>
          <w:p w14:paraId="605F6BC7" w14:textId="77A547C9" w:rsidR="00A50757" w:rsidRPr="00180EAD" w:rsidRDefault="00A50757" w:rsidP="003C5A6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$7.9</w:t>
            </w:r>
            <w:r w:rsidRPr="00180EAD">
              <w:rPr>
                <w:rFonts w:asciiTheme="minorHAnsi" w:eastAsia="Times New Roman" w:hAnsiTheme="minorHAnsi"/>
                <w:iCs/>
                <w:szCs w:val="17"/>
                <w:lang w:eastAsia="en-US"/>
              </w:rPr>
              <w:t>m</w:t>
            </w:r>
          </w:p>
        </w:tc>
        <w:tc>
          <w:tcPr>
            <w:tcW w:w="442" w:type="pct"/>
          </w:tcPr>
          <w:p w14:paraId="47B6AA01" w14:textId="586EAF3F" w:rsidR="00A50757" w:rsidRPr="00812509" w:rsidRDefault="00A50757" w:rsidP="003C5A6F">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45A4B3BE" w14:textId="77777777" w:rsidR="00A50757" w:rsidRDefault="00A50757" w:rsidP="003C5A6F">
            <w:pPr>
              <w:keepLines/>
              <w:spacing w:before="40" w:after="40" w:line="200" w:lineRule="atLeast"/>
              <w:jc w:val="center"/>
              <w:rPr>
                <w:rFonts w:eastAsia="Times New Roman"/>
                <w:iCs/>
                <w:szCs w:val="17"/>
              </w:rPr>
            </w:pPr>
          </w:p>
        </w:tc>
        <w:tc>
          <w:tcPr>
            <w:tcW w:w="339" w:type="pct"/>
            <w:shd w:val="clear" w:color="auto" w:fill="92D050"/>
            <w:noWrap/>
          </w:tcPr>
          <w:p w14:paraId="5A904F85" w14:textId="5588174F"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51" w:type="pct"/>
            <w:shd w:val="clear" w:color="auto" w:fill="FFFF00"/>
            <w:noWrap/>
          </w:tcPr>
          <w:p w14:paraId="6D4796CD" w14:textId="10413BA9" w:rsidR="00A50757" w:rsidRDefault="00A50757" w:rsidP="003C5A6F">
            <w:pPr>
              <w:keepLines/>
              <w:spacing w:before="40" w:after="40" w:line="200" w:lineRule="atLeast"/>
              <w:jc w:val="center"/>
              <w:rPr>
                <w:rFonts w:eastAsia="Times New Roman"/>
                <w:iCs/>
                <w:szCs w:val="17"/>
              </w:rPr>
            </w:pPr>
            <w:r>
              <w:rPr>
                <w:rFonts w:eastAsia="Times New Roman"/>
                <w:iCs/>
                <w:szCs w:val="17"/>
              </w:rPr>
              <w:t>4</w:t>
            </w:r>
          </w:p>
        </w:tc>
        <w:tc>
          <w:tcPr>
            <w:tcW w:w="383" w:type="pct"/>
            <w:shd w:val="clear" w:color="auto" w:fill="auto"/>
            <w:noWrap/>
          </w:tcPr>
          <w:p w14:paraId="6E712F7B" w14:textId="77777777" w:rsidR="00A50757" w:rsidRDefault="00A50757" w:rsidP="003C5A6F">
            <w:pPr>
              <w:keepLines/>
              <w:spacing w:before="40" w:after="40" w:line="200" w:lineRule="atLeast"/>
              <w:jc w:val="center"/>
              <w:rPr>
                <w:rFonts w:eastAsia="Times New Roman"/>
                <w:iCs/>
                <w:szCs w:val="17"/>
              </w:rPr>
            </w:pPr>
          </w:p>
        </w:tc>
        <w:tc>
          <w:tcPr>
            <w:tcW w:w="339" w:type="pct"/>
            <w:shd w:val="clear" w:color="auto" w:fill="auto"/>
            <w:noWrap/>
          </w:tcPr>
          <w:p w14:paraId="07376903" w14:textId="77777777" w:rsidR="00A50757" w:rsidRDefault="00A50757" w:rsidP="003C5A6F">
            <w:pPr>
              <w:keepLines/>
              <w:spacing w:before="40" w:after="40" w:line="200" w:lineRule="atLeast"/>
              <w:jc w:val="center"/>
              <w:rPr>
                <w:rFonts w:eastAsia="Times New Roman"/>
                <w:iCs/>
                <w:szCs w:val="17"/>
              </w:rPr>
            </w:pPr>
          </w:p>
        </w:tc>
        <w:tc>
          <w:tcPr>
            <w:tcW w:w="359" w:type="pct"/>
            <w:shd w:val="clear" w:color="auto" w:fill="FFC000"/>
            <w:noWrap/>
          </w:tcPr>
          <w:p w14:paraId="73C45E25" w14:textId="3A950298" w:rsidR="00A50757" w:rsidRDefault="00A50757" w:rsidP="003C5A6F">
            <w:pPr>
              <w:keepLines/>
              <w:spacing w:before="40" w:after="40" w:line="200" w:lineRule="atLeast"/>
              <w:jc w:val="center"/>
              <w:rPr>
                <w:rFonts w:eastAsia="Times New Roman"/>
                <w:iCs/>
                <w:szCs w:val="17"/>
              </w:rPr>
            </w:pPr>
            <w:r>
              <w:rPr>
                <w:rFonts w:eastAsia="Times New Roman"/>
                <w:iCs/>
                <w:szCs w:val="17"/>
              </w:rPr>
              <w:t>3</w:t>
            </w:r>
          </w:p>
        </w:tc>
      </w:tr>
      <w:tr w:rsidR="00A50757" w:rsidRPr="00812509" w14:paraId="09C1E76F"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Borders>
              <w:bottom w:val="single" w:sz="4" w:space="0" w:color="auto"/>
            </w:tcBorders>
          </w:tcPr>
          <w:p w14:paraId="3A826F76" w14:textId="77777777" w:rsidR="00A50757" w:rsidRPr="00180EAD" w:rsidRDefault="00A50757" w:rsidP="003C5A6F">
            <w:pPr>
              <w:keepLines/>
              <w:spacing w:before="40" w:after="40" w:line="200" w:lineRule="atLeast"/>
              <w:rPr>
                <w:rFonts w:asciiTheme="minorHAnsi" w:eastAsia="Times New Roman" w:hAnsiTheme="minorHAnsi"/>
                <w:iCs/>
                <w:szCs w:val="17"/>
                <w:lang w:eastAsia="en-US"/>
              </w:rPr>
            </w:pPr>
          </w:p>
        </w:tc>
        <w:tc>
          <w:tcPr>
            <w:tcW w:w="538" w:type="pct"/>
            <w:tcBorders>
              <w:bottom w:val="single" w:sz="4" w:space="0" w:color="auto"/>
            </w:tcBorders>
          </w:tcPr>
          <w:p w14:paraId="38FACE5F" w14:textId="4E22641D" w:rsidR="00A50757" w:rsidRPr="00180EAD" w:rsidRDefault="00A50757" w:rsidP="003C5A6F">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2014-21</w:t>
            </w:r>
          </w:p>
        </w:tc>
        <w:tc>
          <w:tcPr>
            <w:tcW w:w="442" w:type="pct"/>
            <w:tcBorders>
              <w:bottom w:val="single" w:sz="4" w:space="0" w:color="auto"/>
            </w:tcBorders>
          </w:tcPr>
          <w:p w14:paraId="08CBD773" w14:textId="2945DC87" w:rsidR="00A50757" w:rsidRPr="00812509" w:rsidRDefault="00A50757" w:rsidP="003C5A6F">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0F150E74" w14:textId="06ED7050"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92D050"/>
            <w:noWrap/>
          </w:tcPr>
          <w:p w14:paraId="35D82A0B" w14:textId="300D65A5"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51" w:type="pct"/>
            <w:tcBorders>
              <w:bottom w:val="single" w:sz="4" w:space="0" w:color="auto"/>
            </w:tcBorders>
            <w:shd w:val="clear" w:color="auto" w:fill="92D050"/>
            <w:noWrap/>
          </w:tcPr>
          <w:p w14:paraId="40D1C0C9" w14:textId="29B84D75"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83" w:type="pct"/>
            <w:tcBorders>
              <w:bottom w:val="single" w:sz="4" w:space="0" w:color="auto"/>
            </w:tcBorders>
            <w:shd w:val="clear" w:color="auto" w:fill="92D050"/>
            <w:noWrap/>
          </w:tcPr>
          <w:p w14:paraId="49DDC239" w14:textId="2EE97B52"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92D050"/>
            <w:noWrap/>
          </w:tcPr>
          <w:p w14:paraId="5B70F16D" w14:textId="72A505A3" w:rsidR="00A50757" w:rsidRDefault="00A50757" w:rsidP="003C5A6F">
            <w:pPr>
              <w:keepLines/>
              <w:spacing w:before="40" w:after="40" w:line="200" w:lineRule="atLeast"/>
              <w:jc w:val="center"/>
              <w:rPr>
                <w:rFonts w:eastAsia="Times New Roman"/>
                <w:iCs/>
                <w:szCs w:val="17"/>
              </w:rPr>
            </w:pPr>
            <w:r>
              <w:rPr>
                <w:rFonts w:eastAsia="Times New Roman"/>
                <w:iCs/>
                <w:szCs w:val="17"/>
              </w:rPr>
              <w:t>5</w:t>
            </w:r>
          </w:p>
        </w:tc>
        <w:tc>
          <w:tcPr>
            <w:tcW w:w="359" w:type="pct"/>
            <w:tcBorders>
              <w:bottom w:val="single" w:sz="4" w:space="0" w:color="auto"/>
            </w:tcBorders>
            <w:shd w:val="clear" w:color="auto" w:fill="FFFF00"/>
            <w:noWrap/>
          </w:tcPr>
          <w:p w14:paraId="16EAD1F2" w14:textId="6EFA22A3" w:rsidR="00A50757" w:rsidRDefault="00A50757" w:rsidP="003C5A6F">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21B53287"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Pr>
          <w:p w14:paraId="659C6706" w14:textId="7607CA86" w:rsidR="00A50757" w:rsidRPr="00180EAD" w:rsidRDefault="00A50757" w:rsidP="001C0090">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PNG Governance Facility</w:t>
            </w:r>
          </w:p>
        </w:tc>
        <w:tc>
          <w:tcPr>
            <w:tcW w:w="538" w:type="pct"/>
          </w:tcPr>
          <w:p w14:paraId="3C293163" w14:textId="60EA5C96" w:rsidR="00A50757" w:rsidRPr="00180EAD" w:rsidRDefault="00A50757" w:rsidP="001C009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$419.4</w:t>
            </w:r>
            <w:r w:rsidRPr="00180EAD">
              <w:rPr>
                <w:rFonts w:asciiTheme="minorHAnsi" w:eastAsia="Times New Roman" w:hAnsiTheme="minorHAnsi"/>
                <w:iCs/>
                <w:szCs w:val="17"/>
                <w:lang w:eastAsia="en-US"/>
              </w:rPr>
              <w:t>m</w:t>
            </w:r>
          </w:p>
        </w:tc>
        <w:tc>
          <w:tcPr>
            <w:tcW w:w="442" w:type="pct"/>
          </w:tcPr>
          <w:p w14:paraId="13588580" w14:textId="25389C28" w:rsidR="00A50757" w:rsidRPr="00812509" w:rsidRDefault="00A50757" w:rsidP="001C0090">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46062D82" w14:textId="77777777" w:rsidR="00A50757" w:rsidRDefault="00A50757" w:rsidP="001C0090">
            <w:pPr>
              <w:keepLines/>
              <w:spacing w:before="40" w:after="40" w:line="200" w:lineRule="atLeast"/>
              <w:jc w:val="center"/>
              <w:rPr>
                <w:rFonts w:eastAsia="Times New Roman"/>
                <w:iCs/>
                <w:szCs w:val="17"/>
              </w:rPr>
            </w:pPr>
          </w:p>
        </w:tc>
        <w:tc>
          <w:tcPr>
            <w:tcW w:w="339" w:type="pct"/>
            <w:shd w:val="clear" w:color="auto" w:fill="FFFF00"/>
            <w:noWrap/>
          </w:tcPr>
          <w:p w14:paraId="760C9BEE" w14:textId="468C4CE4" w:rsidR="00A50757" w:rsidRDefault="00A50757" w:rsidP="001C0090">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1" w:type="pct"/>
            <w:shd w:val="clear" w:color="auto" w:fill="FFFF00"/>
            <w:noWrap/>
          </w:tcPr>
          <w:p w14:paraId="5CC6F325" w14:textId="0F6EA8FD" w:rsidR="00A50757" w:rsidRDefault="00A50757" w:rsidP="001C0090">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3" w:type="pct"/>
            <w:shd w:val="clear" w:color="auto" w:fill="auto"/>
            <w:noWrap/>
          </w:tcPr>
          <w:p w14:paraId="576AABAE" w14:textId="77777777" w:rsidR="00A50757" w:rsidRDefault="00A50757" w:rsidP="001C0090">
            <w:pPr>
              <w:keepLines/>
              <w:spacing w:before="40" w:after="40" w:line="200" w:lineRule="atLeast"/>
              <w:jc w:val="center"/>
              <w:rPr>
                <w:rFonts w:eastAsia="Times New Roman"/>
                <w:iCs/>
                <w:szCs w:val="17"/>
              </w:rPr>
            </w:pPr>
          </w:p>
        </w:tc>
        <w:tc>
          <w:tcPr>
            <w:tcW w:w="339" w:type="pct"/>
            <w:shd w:val="clear" w:color="auto" w:fill="auto"/>
            <w:noWrap/>
          </w:tcPr>
          <w:p w14:paraId="324918DD" w14:textId="77777777" w:rsidR="00A50757" w:rsidRDefault="00A50757" w:rsidP="001C0090">
            <w:pPr>
              <w:keepLines/>
              <w:spacing w:before="40" w:after="40" w:line="200" w:lineRule="atLeast"/>
              <w:jc w:val="center"/>
              <w:rPr>
                <w:rFonts w:eastAsia="Times New Roman"/>
                <w:iCs/>
                <w:szCs w:val="17"/>
              </w:rPr>
            </w:pPr>
          </w:p>
        </w:tc>
        <w:tc>
          <w:tcPr>
            <w:tcW w:w="359" w:type="pct"/>
            <w:shd w:val="clear" w:color="auto" w:fill="FFFF00"/>
            <w:noWrap/>
          </w:tcPr>
          <w:p w14:paraId="394BAA48" w14:textId="2355A371" w:rsidR="00A50757" w:rsidRDefault="00A50757" w:rsidP="001C0090">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A50757" w:rsidRPr="00812509" w14:paraId="4BD01EC3"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Borders>
              <w:bottom w:val="single" w:sz="4" w:space="0" w:color="auto"/>
            </w:tcBorders>
          </w:tcPr>
          <w:p w14:paraId="3F603C69" w14:textId="77777777" w:rsidR="00A50757" w:rsidRPr="00180EAD" w:rsidRDefault="00A50757" w:rsidP="001C0090">
            <w:pPr>
              <w:keepLines/>
              <w:spacing w:before="40" w:after="40" w:line="200" w:lineRule="atLeast"/>
              <w:rPr>
                <w:rFonts w:asciiTheme="minorHAnsi" w:eastAsia="Times New Roman" w:hAnsiTheme="minorHAnsi"/>
                <w:iCs/>
                <w:szCs w:val="17"/>
                <w:lang w:eastAsia="en-US"/>
              </w:rPr>
            </w:pPr>
          </w:p>
        </w:tc>
        <w:tc>
          <w:tcPr>
            <w:tcW w:w="538" w:type="pct"/>
            <w:tcBorders>
              <w:bottom w:val="single" w:sz="4" w:space="0" w:color="auto"/>
            </w:tcBorders>
          </w:tcPr>
          <w:p w14:paraId="69FA5A0A" w14:textId="1190F2D6" w:rsidR="00A50757" w:rsidRPr="00180EAD" w:rsidRDefault="00A50757" w:rsidP="001C0090">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2014-20</w:t>
            </w:r>
          </w:p>
        </w:tc>
        <w:tc>
          <w:tcPr>
            <w:tcW w:w="442" w:type="pct"/>
            <w:tcBorders>
              <w:bottom w:val="single" w:sz="4" w:space="0" w:color="auto"/>
            </w:tcBorders>
          </w:tcPr>
          <w:p w14:paraId="445D1FED" w14:textId="07CB82CD" w:rsidR="00A50757" w:rsidRPr="00812509" w:rsidRDefault="00A50757" w:rsidP="001C0090">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FFFF00"/>
            <w:noWrap/>
          </w:tcPr>
          <w:p w14:paraId="439EAF53" w14:textId="591FE513" w:rsidR="00A50757" w:rsidRDefault="00A50757" w:rsidP="001C0090">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FF00"/>
            <w:noWrap/>
          </w:tcPr>
          <w:p w14:paraId="39B8D008" w14:textId="3362F405" w:rsidR="00A50757" w:rsidRDefault="00A50757" w:rsidP="001C0090">
            <w:pPr>
              <w:keepLines/>
              <w:spacing w:before="40" w:after="40" w:line="200" w:lineRule="atLeast"/>
              <w:jc w:val="center"/>
              <w:rPr>
                <w:rFonts w:eastAsia="Times New Roman"/>
                <w:iCs/>
                <w:szCs w:val="17"/>
              </w:rPr>
            </w:pPr>
            <w:r>
              <w:rPr>
                <w:rFonts w:eastAsia="Times New Roman"/>
                <w:iCs/>
                <w:szCs w:val="17"/>
              </w:rPr>
              <w:t>4</w:t>
            </w:r>
          </w:p>
        </w:tc>
        <w:tc>
          <w:tcPr>
            <w:tcW w:w="351" w:type="pct"/>
            <w:tcBorders>
              <w:bottom w:val="single" w:sz="4" w:space="0" w:color="auto"/>
            </w:tcBorders>
            <w:shd w:val="clear" w:color="auto" w:fill="FFFF00"/>
            <w:noWrap/>
          </w:tcPr>
          <w:p w14:paraId="02118453" w14:textId="4311DE2F" w:rsidR="00A50757" w:rsidRDefault="00A50757" w:rsidP="001C0090">
            <w:pPr>
              <w:keepLines/>
              <w:spacing w:before="40" w:after="40" w:line="200" w:lineRule="atLeast"/>
              <w:jc w:val="center"/>
              <w:rPr>
                <w:rFonts w:eastAsia="Times New Roman"/>
                <w:iCs/>
                <w:szCs w:val="17"/>
              </w:rPr>
            </w:pPr>
            <w:r>
              <w:rPr>
                <w:rFonts w:eastAsia="Times New Roman"/>
                <w:iCs/>
                <w:szCs w:val="17"/>
              </w:rPr>
              <w:t>4</w:t>
            </w:r>
          </w:p>
        </w:tc>
        <w:tc>
          <w:tcPr>
            <w:tcW w:w="383" w:type="pct"/>
            <w:tcBorders>
              <w:bottom w:val="single" w:sz="4" w:space="0" w:color="auto"/>
            </w:tcBorders>
            <w:shd w:val="clear" w:color="auto" w:fill="FFFF00"/>
            <w:noWrap/>
          </w:tcPr>
          <w:p w14:paraId="750E0737" w14:textId="17E6F066" w:rsidR="00A50757" w:rsidRDefault="00A50757" w:rsidP="001C0090">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FF00"/>
            <w:noWrap/>
          </w:tcPr>
          <w:p w14:paraId="3637C97C" w14:textId="5A754F2E" w:rsidR="00A50757" w:rsidRDefault="00A50757" w:rsidP="001C0090">
            <w:pPr>
              <w:keepLines/>
              <w:spacing w:before="40" w:after="40" w:line="200" w:lineRule="atLeast"/>
              <w:jc w:val="center"/>
              <w:rPr>
                <w:rFonts w:eastAsia="Times New Roman"/>
                <w:iCs/>
                <w:szCs w:val="17"/>
              </w:rPr>
            </w:pPr>
            <w:r>
              <w:rPr>
                <w:rFonts w:eastAsia="Times New Roman"/>
                <w:iCs/>
                <w:szCs w:val="17"/>
              </w:rPr>
              <w:t>4</w:t>
            </w:r>
          </w:p>
        </w:tc>
        <w:tc>
          <w:tcPr>
            <w:tcW w:w="359" w:type="pct"/>
            <w:tcBorders>
              <w:bottom w:val="single" w:sz="4" w:space="0" w:color="auto"/>
            </w:tcBorders>
            <w:shd w:val="clear" w:color="auto" w:fill="FFC000"/>
            <w:noWrap/>
          </w:tcPr>
          <w:p w14:paraId="1539783C" w14:textId="3A9688A8" w:rsidR="00A50757" w:rsidRDefault="00A50757" w:rsidP="001C0090">
            <w:pPr>
              <w:keepLines/>
              <w:spacing w:before="40" w:after="40" w:line="200" w:lineRule="atLeast"/>
              <w:jc w:val="center"/>
              <w:rPr>
                <w:rFonts w:eastAsia="Times New Roman"/>
                <w:iCs/>
                <w:szCs w:val="17"/>
              </w:rPr>
            </w:pPr>
            <w:r>
              <w:rPr>
                <w:rFonts w:eastAsia="Times New Roman"/>
                <w:iCs/>
                <w:szCs w:val="17"/>
              </w:rPr>
              <w:t>3</w:t>
            </w:r>
          </w:p>
        </w:tc>
      </w:tr>
      <w:tr w:rsidR="00A50757" w:rsidRPr="00812509" w14:paraId="596B5C07"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Pr>
          <w:p w14:paraId="22F978EA" w14:textId="3E1316E7" w:rsidR="00A50757" w:rsidRPr="00180EAD" w:rsidRDefault="00A50757" w:rsidP="009F190D">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Quality Technical Assurance Group</w:t>
            </w:r>
          </w:p>
        </w:tc>
        <w:tc>
          <w:tcPr>
            <w:tcW w:w="538" w:type="pct"/>
          </w:tcPr>
          <w:p w14:paraId="57A05E35" w14:textId="620F4D2C" w:rsidR="00A50757" w:rsidRPr="00180EAD" w:rsidRDefault="00A50757" w:rsidP="009F190D">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$3.8m</w:t>
            </w:r>
          </w:p>
        </w:tc>
        <w:tc>
          <w:tcPr>
            <w:tcW w:w="442" w:type="pct"/>
          </w:tcPr>
          <w:p w14:paraId="3E4AEFBF" w14:textId="10E40AE8" w:rsidR="00A50757" w:rsidRPr="00812509" w:rsidRDefault="00A50757" w:rsidP="009F190D">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5BDC39B8" w14:textId="77777777" w:rsidR="00A50757" w:rsidRDefault="00A50757" w:rsidP="009F190D">
            <w:pPr>
              <w:keepLines/>
              <w:spacing w:before="40" w:after="40" w:line="200" w:lineRule="atLeast"/>
              <w:jc w:val="center"/>
              <w:rPr>
                <w:rFonts w:eastAsia="Times New Roman"/>
                <w:iCs/>
                <w:szCs w:val="17"/>
              </w:rPr>
            </w:pPr>
          </w:p>
        </w:tc>
        <w:tc>
          <w:tcPr>
            <w:tcW w:w="339" w:type="pct"/>
            <w:shd w:val="clear" w:color="auto" w:fill="FFFF00"/>
            <w:noWrap/>
          </w:tcPr>
          <w:p w14:paraId="2A9F1EB0" w14:textId="7FEDFAC4" w:rsidR="00A50757" w:rsidRDefault="00A50757" w:rsidP="009F190D">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1" w:type="pct"/>
            <w:shd w:val="clear" w:color="auto" w:fill="FFFF00"/>
            <w:noWrap/>
          </w:tcPr>
          <w:p w14:paraId="35690D6C" w14:textId="67BA20EB" w:rsidR="00A50757" w:rsidRDefault="00A50757" w:rsidP="009F190D">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3" w:type="pct"/>
            <w:shd w:val="clear" w:color="auto" w:fill="auto"/>
            <w:noWrap/>
          </w:tcPr>
          <w:p w14:paraId="1A34A6A7" w14:textId="77777777" w:rsidR="00A50757" w:rsidRDefault="00A50757" w:rsidP="009F190D">
            <w:pPr>
              <w:keepLines/>
              <w:spacing w:before="40" w:after="40" w:line="200" w:lineRule="atLeast"/>
              <w:jc w:val="center"/>
              <w:rPr>
                <w:rFonts w:eastAsia="Times New Roman"/>
                <w:iCs/>
                <w:szCs w:val="17"/>
              </w:rPr>
            </w:pPr>
          </w:p>
        </w:tc>
        <w:tc>
          <w:tcPr>
            <w:tcW w:w="339" w:type="pct"/>
            <w:shd w:val="clear" w:color="auto" w:fill="auto"/>
            <w:noWrap/>
          </w:tcPr>
          <w:p w14:paraId="70EA13E8" w14:textId="77777777" w:rsidR="00A50757" w:rsidRDefault="00A50757" w:rsidP="009F190D">
            <w:pPr>
              <w:keepLines/>
              <w:spacing w:before="40" w:after="40" w:line="200" w:lineRule="atLeast"/>
              <w:jc w:val="center"/>
              <w:rPr>
                <w:rFonts w:eastAsia="Times New Roman"/>
                <w:iCs/>
                <w:szCs w:val="17"/>
              </w:rPr>
            </w:pPr>
          </w:p>
        </w:tc>
        <w:tc>
          <w:tcPr>
            <w:tcW w:w="359" w:type="pct"/>
            <w:shd w:val="clear" w:color="auto" w:fill="FFFF00"/>
            <w:noWrap/>
          </w:tcPr>
          <w:p w14:paraId="5F0A90CF" w14:textId="6A8DD0FA" w:rsidR="00A50757" w:rsidRDefault="00A50757" w:rsidP="009F190D">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A50757" w:rsidRPr="00812509" w14:paraId="21390174" w14:textId="77777777" w:rsidTr="00154F8C">
        <w:trPr>
          <w:cnfStyle w:val="000000010000" w:firstRow="0" w:lastRow="0" w:firstColumn="0" w:lastColumn="0" w:oddVBand="0" w:evenVBand="0" w:oddHBand="0" w:evenHBand="1" w:firstRowFirstColumn="0" w:firstRowLastColumn="0" w:lastRowFirstColumn="0" w:lastRowLastColumn="0"/>
          <w:trHeight w:val="285"/>
        </w:trPr>
        <w:tc>
          <w:tcPr>
            <w:tcW w:w="1760" w:type="pct"/>
            <w:tcBorders>
              <w:bottom w:val="single" w:sz="4" w:space="0" w:color="auto"/>
            </w:tcBorders>
          </w:tcPr>
          <w:p w14:paraId="414728E2" w14:textId="77777777" w:rsidR="00A50757" w:rsidRPr="00180EAD" w:rsidRDefault="00A50757" w:rsidP="009F190D">
            <w:pPr>
              <w:keepLines/>
              <w:spacing w:before="40" w:after="40" w:line="200" w:lineRule="atLeast"/>
              <w:rPr>
                <w:rFonts w:asciiTheme="minorHAnsi" w:eastAsia="Times New Roman" w:hAnsiTheme="minorHAnsi"/>
                <w:iCs/>
                <w:szCs w:val="17"/>
                <w:lang w:eastAsia="en-US"/>
              </w:rPr>
            </w:pPr>
          </w:p>
        </w:tc>
        <w:tc>
          <w:tcPr>
            <w:tcW w:w="538" w:type="pct"/>
            <w:tcBorders>
              <w:bottom w:val="single" w:sz="4" w:space="0" w:color="auto"/>
            </w:tcBorders>
          </w:tcPr>
          <w:p w14:paraId="61F8367F" w14:textId="33BCBF18" w:rsidR="00A50757" w:rsidRPr="00180EAD" w:rsidRDefault="00A50757" w:rsidP="009F190D">
            <w:pPr>
              <w:keepLines/>
              <w:spacing w:before="40" w:after="40" w:line="200" w:lineRule="atLeast"/>
              <w:rPr>
                <w:rFonts w:asciiTheme="minorHAnsi" w:eastAsia="Times New Roman" w:hAnsiTheme="minorHAnsi"/>
                <w:iCs/>
                <w:szCs w:val="17"/>
                <w:lang w:eastAsia="en-US"/>
              </w:rPr>
            </w:pPr>
            <w:r w:rsidRPr="00180EAD">
              <w:rPr>
                <w:rFonts w:asciiTheme="minorHAnsi" w:eastAsia="Times New Roman" w:hAnsiTheme="minorHAnsi"/>
                <w:iCs/>
                <w:szCs w:val="17"/>
                <w:lang w:eastAsia="en-US"/>
              </w:rPr>
              <w:t>2017-20</w:t>
            </w:r>
          </w:p>
        </w:tc>
        <w:tc>
          <w:tcPr>
            <w:tcW w:w="442" w:type="pct"/>
            <w:tcBorders>
              <w:bottom w:val="single" w:sz="4" w:space="0" w:color="auto"/>
            </w:tcBorders>
          </w:tcPr>
          <w:p w14:paraId="0A4FA285" w14:textId="17832D04" w:rsidR="00A50757" w:rsidRPr="00812509" w:rsidRDefault="00A50757" w:rsidP="009F190D">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auto"/>
            <w:noWrap/>
          </w:tcPr>
          <w:p w14:paraId="2C1A8FE0" w14:textId="0C917D5B"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120E49C3" w14:textId="7A386E7B"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c>
          <w:tcPr>
            <w:tcW w:w="351" w:type="pct"/>
            <w:tcBorders>
              <w:bottom w:val="single" w:sz="4" w:space="0" w:color="auto"/>
            </w:tcBorders>
            <w:shd w:val="clear" w:color="auto" w:fill="auto"/>
            <w:noWrap/>
          </w:tcPr>
          <w:p w14:paraId="493078F5" w14:textId="6CB5DDC6"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c>
          <w:tcPr>
            <w:tcW w:w="383" w:type="pct"/>
            <w:tcBorders>
              <w:bottom w:val="single" w:sz="4" w:space="0" w:color="auto"/>
            </w:tcBorders>
            <w:shd w:val="clear" w:color="auto" w:fill="auto"/>
            <w:noWrap/>
          </w:tcPr>
          <w:p w14:paraId="639D34E8" w14:textId="730DE2AC"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21038352" w14:textId="32064D2D"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c>
          <w:tcPr>
            <w:tcW w:w="359" w:type="pct"/>
            <w:tcBorders>
              <w:bottom w:val="single" w:sz="4" w:space="0" w:color="auto"/>
            </w:tcBorders>
            <w:shd w:val="clear" w:color="auto" w:fill="auto"/>
            <w:noWrap/>
          </w:tcPr>
          <w:p w14:paraId="1ED1AEDE" w14:textId="3CADBD3A" w:rsidR="00A50757" w:rsidRDefault="00A50757" w:rsidP="009F190D">
            <w:pPr>
              <w:keepLines/>
              <w:spacing w:before="40" w:after="40" w:line="200" w:lineRule="atLeast"/>
              <w:jc w:val="center"/>
              <w:rPr>
                <w:rFonts w:eastAsia="Times New Roman"/>
                <w:iCs/>
                <w:szCs w:val="17"/>
              </w:rPr>
            </w:pPr>
            <w:r>
              <w:rPr>
                <w:rFonts w:eastAsia="Times New Roman"/>
                <w:iCs/>
                <w:szCs w:val="17"/>
              </w:rPr>
              <w:t>n/a</w:t>
            </w:r>
          </w:p>
        </w:tc>
      </w:tr>
    </w:tbl>
    <w:p w14:paraId="50208DC7" w14:textId="77777777" w:rsidR="005E0A54" w:rsidRPr="00C61187" w:rsidRDefault="005E0A54" w:rsidP="00400B0F">
      <w:pPr>
        <w:rPr>
          <w:iCs/>
        </w:rPr>
      </w:pPr>
    </w:p>
    <w:p w14:paraId="16F669D4" w14:textId="36D16B97" w:rsidR="00795FF1" w:rsidRPr="004527D9" w:rsidRDefault="00795FF1" w:rsidP="00795FF1">
      <w:pPr>
        <w:pStyle w:val="ListBullet"/>
        <w:tabs>
          <w:tab w:val="clear" w:pos="284"/>
        </w:tabs>
        <w:spacing w:before="400"/>
        <w:rPr>
          <w:color w:val="FF0000"/>
        </w:rPr>
      </w:pPr>
      <w:r w:rsidRPr="00EF26B5">
        <w:rPr>
          <w:rFonts w:asciiTheme="minorHAnsi" w:eastAsiaTheme="majorEastAsia" w:hAnsiTheme="minorHAnsi" w:cstheme="minorHAnsi"/>
          <w:caps/>
          <w:color w:val="495965" w:themeColor="text2"/>
          <w:sz w:val="36"/>
          <w:szCs w:val="36"/>
          <w:lang w:val="en-GB" w:eastAsia="en-US"/>
        </w:rPr>
        <w:lastRenderedPageBreak/>
        <w:t>AQC ratings</w:t>
      </w:r>
      <w:r>
        <w:rPr>
          <w:rFonts w:asciiTheme="minorHAnsi" w:eastAsiaTheme="majorEastAsia" w:hAnsiTheme="minorHAnsi" w:cstheme="minorHAnsi"/>
          <w:caps/>
          <w:color w:val="495965" w:themeColor="text2"/>
          <w:sz w:val="36"/>
          <w:szCs w:val="36"/>
          <w:lang w:val="en-GB" w:eastAsia="en-US"/>
        </w:rPr>
        <w:t xml:space="preserve"> continued</w:t>
      </w:r>
    </w:p>
    <w:tbl>
      <w:tblPr>
        <w:tblStyle w:val="APPR"/>
        <w:tblW w:w="4932" w:type="pct"/>
        <w:tblLook w:val="0000" w:firstRow="0" w:lastRow="0" w:firstColumn="0" w:lastColumn="0" w:noHBand="0" w:noVBand="0"/>
      </w:tblPr>
      <w:tblGrid>
        <w:gridCol w:w="3391"/>
        <w:gridCol w:w="1050"/>
        <w:gridCol w:w="868"/>
        <w:gridCol w:w="672"/>
        <w:gridCol w:w="672"/>
        <w:gridCol w:w="698"/>
        <w:gridCol w:w="757"/>
        <w:gridCol w:w="672"/>
        <w:gridCol w:w="727"/>
      </w:tblGrid>
      <w:tr w:rsidR="00A50757" w:rsidRPr="00812509" w14:paraId="2318F968" w14:textId="77777777" w:rsidTr="00154F8C">
        <w:trPr>
          <w:cnfStyle w:val="000000010000" w:firstRow="0" w:lastRow="0" w:firstColumn="0" w:lastColumn="0" w:oddVBand="0" w:evenVBand="0" w:oddHBand="0" w:evenHBand="1" w:firstRowFirstColumn="0" w:firstRowLastColumn="0" w:lastRowFirstColumn="0" w:lastRowLastColumn="0"/>
          <w:trHeight w:val="1432"/>
        </w:trPr>
        <w:tc>
          <w:tcPr>
            <w:tcW w:w="1760" w:type="pct"/>
          </w:tcPr>
          <w:p w14:paraId="06469C12"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08416" behindDoc="0" locked="0" layoutInCell="1" allowOverlap="1" wp14:anchorId="6FB1222E" wp14:editId="79793CD0">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38" w:type="pct"/>
            <w:textDirection w:val="btLr"/>
          </w:tcPr>
          <w:p w14:paraId="5DDE1EE7"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42" w:type="pct"/>
            <w:textDirection w:val="btLr"/>
          </w:tcPr>
          <w:p w14:paraId="2D545EE2"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39" w:type="pct"/>
            <w:textDirection w:val="btLr"/>
          </w:tcPr>
          <w:p w14:paraId="18C8CB36"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39" w:type="pct"/>
            <w:textDirection w:val="btLr"/>
          </w:tcPr>
          <w:p w14:paraId="6A28988D"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52" w:type="pct"/>
            <w:textDirection w:val="btLr"/>
          </w:tcPr>
          <w:p w14:paraId="3271536F"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83" w:type="pct"/>
            <w:textDirection w:val="btLr"/>
          </w:tcPr>
          <w:p w14:paraId="409A869E"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9" w:type="pct"/>
            <w:textDirection w:val="btLr"/>
          </w:tcPr>
          <w:p w14:paraId="032B2535"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0" w:type="pct"/>
            <w:textDirection w:val="btLr"/>
          </w:tcPr>
          <w:p w14:paraId="293F1282" w14:textId="77777777" w:rsidR="00A50757" w:rsidRPr="00812509" w:rsidRDefault="00A50757" w:rsidP="009818B9">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A50757" w:rsidRPr="00812509" w14:paraId="6C507BAB"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1024BFE9" w14:textId="1BD9217C" w:rsidR="00A50757" w:rsidRPr="00812509" w:rsidRDefault="00A50757" w:rsidP="00442F27">
            <w:pPr>
              <w:keepLines/>
              <w:spacing w:before="40" w:after="40" w:line="200" w:lineRule="atLeast"/>
              <w:rPr>
                <w:rFonts w:asciiTheme="minorHAnsi" w:eastAsia="Times New Roman" w:hAnsiTheme="minorHAnsi"/>
                <w:iCs/>
                <w:szCs w:val="17"/>
                <w:lang w:eastAsia="en-US"/>
              </w:rPr>
            </w:pPr>
            <w:r w:rsidRPr="00442F27">
              <w:rPr>
                <w:rFonts w:asciiTheme="minorHAnsi" w:eastAsia="Times New Roman" w:hAnsiTheme="minorHAnsi"/>
                <w:iCs/>
                <w:szCs w:val="17"/>
                <w:lang w:eastAsia="en-US"/>
              </w:rPr>
              <w:t>Economic Governance and Inclusive Growth</w:t>
            </w:r>
          </w:p>
        </w:tc>
        <w:tc>
          <w:tcPr>
            <w:tcW w:w="538" w:type="pct"/>
            <w:vMerge w:val="restart"/>
          </w:tcPr>
          <w:p w14:paraId="57823EB8" w14:textId="77777777" w:rsidR="00A50757" w:rsidRDefault="00A50757" w:rsidP="00442F2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$13.6m</w:t>
            </w:r>
          </w:p>
          <w:p w14:paraId="5A6FC24A" w14:textId="52FC4D88" w:rsidR="00A50757" w:rsidRPr="00812509" w:rsidRDefault="00A50757" w:rsidP="00442F2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2017-20</w:t>
            </w:r>
          </w:p>
        </w:tc>
        <w:tc>
          <w:tcPr>
            <w:tcW w:w="442" w:type="pct"/>
          </w:tcPr>
          <w:p w14:paraId="0C7D676E" w14:textId="10F9087B" w:rsidR="00A50757" w:rsidRPr="00812509" w:rsidRDefault="00A50757" w:rsidP="00442F2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41F59292" w14:textId="77777777"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FFFF00"/>
            <w:noWrap/>
          </w:tcPr>
          <w:p w14:paraId="0504B9F1" w14:textId="598B1FC5"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2" w:type="pct"/>
            <w:shd w:val="clear" w:color="auto" w:fill="FFFF00"/>
            <w:noWrap/>
          </w:tcPr>
          <w:p w14:paraId="215E104B" w14:textId="35DFB18C"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3" w:type="pct"/>
            <w:shd w:val="clear" w:color="auto" w:fill="auto"/>
            <w:noWrap/>
          </w:tcPr>
          <w:p w14:paraId="30A3DA80" w14:textId="77777777"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auto"/>
            <w:noWrap/>
          </w:tcPr>
          <w:p w14:paraId="19021E65" w14:textId="77777777"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60" w:type="pct"/>
            <w:shd w:val="clear" w:color="auto" w:fill="FFFF00"/>
            <w:noWrap/>
          </w:tcPr>
          <w:p w14:paraId="0154BD85" w14:textId="62A469D5"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50757" w:rsidRPr="00812509" w14:paraId="4780C504"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66A52F97" w14:textId="77777777" w:rsidR="00A50757" w:rsidRPr="00812509" w:rsidRDefault="00A50757" w:rsidP="00442F27">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6A1F9BA1" w14:textId="77777777" w:rsidR="00A50757" w:rsidRPr="00812509" w:rsidRDefault="00A50757" w:rsidP="00442F27">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59A25F48" w14:textId="3CC70A4F" w:rsidR="00A50757" w:rsidRPr="00812509" w:rsidRDefault="00A50757" w:rsidP="00442F2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auto"/>
            <w:noWrap/>
          </w:tcPr>
          <w:p w14:paraId="452E274C" w14:textId="44937C17"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39" w:type="pct"/>
            <w:tcBorders>
              <w:bottom w:val="single" w:sz="4" w:space="0" w:color="auto"/>
            </w:tcBorders>
            <w:shd w:val="clear" w:color="auto" w:fill="auto"/>
            <w:noWrap/>
          </w:tcPr>
          <w:p w14:paraId="16A655CB" w14:textId="14560F3E"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52" w:type="pct"/>
            <w:tcBorders>
              <w:bottom w:val="single" w:sz="4" w:space="0" w:color="auto"/>
            </w:tcBorders>
            <w:shd w:val="clear" w:color="auto" w:fill="auto"/>
            <w:noWrap/>
          </w:tcPr>
          <w:p w14:paraId="063615A8" w14:textId="70C01798"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83" w:type="pct"/>
            <w:tcBorders>
              <w:bottom w:val="single" w:sz="4" w:space="0" w:color="auto"/>
            </w:tcBorders>
            <w:shd w:val="clear" w:color="auto" w:fill="auto"/>
            <w:noWrap/>
          </w:tcPr>
          <w:p w14:paraId="63E97764" w14:textId="3D473B70"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39" w:type="pct"/>
            <w:tcBorders>
              <w:bottom w:val="single" w:sz="4" w:space="0" w:color="auto"/>
            </w:tcBorders>
            <w:shd w:val="clear" w:color="auto" w:fill="auto"/>
            <w:noWrap/>
          </w:tcPr>
          <w:p w14:paraId="0E961B5C" w14:textId="23BA4DCB"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c>
          <w:tcPr>
            <w:tcW w:w="360" w:type="pct"/>
            <w:tcBorders>
              <w:bottom w:val="single" w:sz="4" w:space="0" w:color="auto"/>
            </w:tcBorders>
            <w:shd w:val="clear" w:color="auto" w:fill="auto"/>
            <w:noWrap/>
          </w:tcPr>
          <w:p w14:paraId="2FA45EB5" w14:textId="4487AB10" w:rsidR="00A50757" w:rsidRPr="00812509" w:rsidRDefault="00A50757" w:rsidP="00442F27">
            <w:pPr>
              <w:keepLines/>
              <w:spacing w:before="40" w:after="40" w:line="200" w:lineRule="atLeast"/>
              <w:jc w:val="center"/>
              <w:rPr>
                <w:rFonts w:asciiTheme="minorHAnsi" w:eastAsia="Times New Roman" w:hAnsiTheme="minorHAnsi"/>
                <w:iCs/>
                <w:szCs w:val="17"/>
                <w:lang w:eastAsia="en-US"/>
              </w:rPr>
            </w:pPr>
          </w:p>
        </w:tc>
      </w:tr>
      <w:tr w:rsidR="00A50757" w:rsidRPr="00812509" w14:paraId="6534774D"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21D9F582" w14:textId="77777777" w:rsidR="00A50757" w:rsidRPr="00812509" w:rsidRDefault="00A50757" w:rsidP="00794B7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 xml:space="preserve">Gender Equality / Gender </w:t>
            </w:r>
          </w:p>
          <w:p w14:paraId="321309FD" w14:textId="41AC3253" w:rsidR="00A50757" w:rsidRPr="00812509" w:rsidRDefault="00A50757" w:rsidP="00794B7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Based Violence</w:t>
            </w:r>
          </w:p>
        </w:tc>
        <w:tc>
          <w:tcPr>
            <w:tcW w:w="538" w:type="pct"/>
            <w:vMerge w:val="restart"/>
          </w:tcPr>
          <w:p w14:paraId="17BE0A04" w14:textId="2511EEF3" w:rsidR="00A50757" w:rsidRPr="00812509" w:rsidRDefault="00A50757" w:rsidP="00794B7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$63.3sp</w:t>
            </w:r>
            <w:r w:rsidRPr="00337DE8">
              <w:rPr>
                <w:rFonts w:asciiTheme="minorHAnsi" w:eastAsia="Times New Roman" w:hAnsiTheme="minorHAnsi"/>
                <w:iCs/>
                <w:szCs w:val="17"/>
                <w:lang w:eastAsia="en-US"/>
              </w:rPr>
              <w:t>m</w:t>
            </w:r>
          </w:p>
          <w:p w14:paraId="18CABA74" w14:textId="7092F632" w:rsidR="00A50757" w:rsidRPr="00812509" w:rsidRDefault="00A50757" w:rsidP="00794B7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2008-20</w:t>
            </w:r>
          </w:p>
        </w:tc>
        <w:tc>
          <w:tcPr>
            <w:tcW w:w="442" w:type="pct"/>
          </w:tcPr>
          <w:p w14:paraId="345FB87A" w14:textId="3AE3584F" w:rsidR="00A50757" w:rsidRPr="00812509" w:rsidRDefault="00A50757" w:rsidP="00794B7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5734ECF9" w14:textId="77777777"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92D050"/>
            <w:noWrap/>
          </w:tcPr>
          <w:p w14:paraId="2473DF54" w14:textId="01408798"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2" w:type="pct"/>
            <w:shd w:val="clear" w:color="auto" w:fill="92D050"/>
            <w:noWrap/>
          </w:tcPr>
          <w:p w14:paraId="0C4B6F50" w14:textId="36AC450C"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383" w:type="pct"/>
            <w:shd w:val="clear" w:color="auto" w:fill="auto"/>
            <w:noWrap/>
          </w:tcPr>
          <w:p w14:paraId="44FA02B7" w14:textId="77777777"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p>
        </w:tc>
        <w:tc>
          <w:tcPr>
            <w:tcW w:w="339" w:type="pct"/>
            <w:shd w:val="clear" w:color="auto" w:fill="auto"/>
            <w:noWrap/>
          </w:tcPr>
          <w:p w14:paraId="4646F83A" w14:textId="77777777"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p>
        </w:tc>
        <w:tc>
          <w:tcPr>
            <w:tcW w:w="360" w:type="pct"/>
            <w:shd w:val="clear" w:color="auto" w:fill="92D050"/>
            <w:noWrap/>
          </w:tcPr>
          <w:p w14:paraId="2BADA96E" w14:textId="1D0E4CEF"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r>
      <w:tr w:rsidR="00A50757" w:rsidRPr="00812509" w14:paraId="700637DE"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28D1B3CB" w14:textId="77777777" w:rsidR="00A50757" w:rsidRPr="00812509" w:rsidRDefault="00A50757" w:rsidP="00794B72">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0FEB3F07" w14:textId="77777777" w:rsidR="00A50757" w:rsidRPr="00812509" w:rsidRDefault="00A50757" w:rsidP="00794B72">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4EDD9F92" w14:textId="3EBF9FD9" w:rsidR="00A50757" w:rsidRPr="00812509" w:rsidRDefault="00A50757" w:rsidP="00794B7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273F8E70" w14:textId="02BA4B4A"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339" w:type="pct"/>
            <w:tcBorders>
              <w:bottom w:val="single" w:sz="4" w:space="0" w:color="auto"/>
            </w:tcBorders>
            <w:shd w:val="clear" w:color="auto" w:fill="92D050"/>
            <w:noWrap/>
          </w:tcPr>
          <w:p w14:paraId="4C4835D4" w14:textId="6274459D"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2" w:type="pct"/>
            <w:tcBorders>
              <w:bottom w:val="single" w:sz="4" w:space="0" w:color="auto"/>
            </w:tcBorders>
            <w:shd w:val="clear" w:color="auto" w:fill="92D050"/>
            <w:noWrap/>
          </w:tcPr>
          <w:p w14:paraId="0945E960" w14:textId="3C323015"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3" w:type="pct"/>
            <w:tcBorders>
              <w:bottom w:val="single" w:sz="4" w:space="0" w:color="auto"/>
            </w:tcBorders>
            <w:shd w:val="clear" w:color="auto" w:fill="92D050"/>
            <w:noWrap/>
          </w:tcPr>
          <w:p w14:paraId="5A16B5CE" w14:textId="65AD797F"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9" w:type="pct"/>
            <w:tcBorders>
              <w:bottom w:val="single" w:sz="4" w:space="0" w:color="auto"/>
            </w:tcBorders>
            <w:shd w:val="clear" w:color="auto" w:fill="92D050"/>
            <w:noWrap/>
          </w:tcPr>
          <w:p w14:paraId="344986F0" w14:textId="663C537A"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60" w:type="pct"/>
            <w:tcBorders>
              <w:bottom w:val="single" w:sz="4" w:space="0" w:color="auto"/>
            </w:tcBorders>
            <w:shd w:val="clear" w:color="auto" w:fill="92D050"/>
            <w:noWrap/>
          </w:tcPr>
          <w:p w14:paraId="03CA7CA2" w14:textId="2747127E" w:rsidR="00A50757" w:rsidRPr="00812509" w:rsidRDefault="00A50757" w:rsidP="00794B7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A50757" w:rsidRPr="00812509" w14:paraId="1E7AACDE"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6A06E89A" w14:textId="236EEEF6" w:rsidR="00A50757" w:rsidRPr="000C2531" w:rsidRDefault="00A50757" w:rsidP="00794B7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Sports for Development</w:t>
            </w:r>
          </w:p>
        </w:tc>
        <w:tc>
          <w:tcPr>
            <w:tcW w:w="538" w:type="pct"/>
            <w:vMerge w:val="restart"/>
          </w:tcPr>
          <w:p w14:paraId="4BD4CE1E" w14:textId="77777777" w:rsidR="00A50757" w:rsidRDefault="00A50757" w:rsidP="00794B7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$7.5m</w:t>
            </w:r>
          </w:p>
          <w:p w14:paraId="2616557B" w14:textId="6ED5095B" w:rsidR="00A50757" w:rsidRPr="000C2531" w:rsidRDefault="00A50757" w:rsidP="00794B7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2015-19</w:t>
            </w:r>
          </w:p>
        </w:tc>
        <w:tc>
          <w:tcPr>
            <w:tcW w:w="442" w:type="pct"/>
          </w:tcPr>
          <w:p w14:paraId="41DA1AFD" w14:textId="586416CE" w:rsidR="00A50757" w:rsidRPr="00337DE8" w:rsidRDefault="00A50757" w:rsidP="00794B7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674A2470" w14:textId="77777777" w:rsidR="00A50757" w:rsidRDefault="00A50757" w:rsidP="00794B72">
            <w:pPr>
              <w:keepLines/>
              <w:spacing w:before="40" w:after="40" w:line="200" w:lineRule="atLeast"/>
              <w:jc w:val="center"/>
              <w:rPr>
                <w:rFonts w:eastAsia="Times New Roman"/>
                <w:iCs/>
                <w:szCs w:val="17"/>
              </w:rPr>
            </w:pPr>
          </w:p>
        </w:tc>
        <w:tc>
          <w:tcPr>
            <w:tcW w:w="339" w:type="pct"/>
            <w:shd w:val="clear" w:color="auto" w:fill="92D050"/>
            <w:noWrap/>
          </w:tcPr>
          <w:p w14:paraId="2264D64C" w14:textId="335850DD" w:rsidR="00A50757" w:rsidRDefault="00A50757" w:rsidP="00794B72">
            <w:pPr>
              <w:keepLines/>
              <w:spacing w:before="40" w:after="40" w:line="200" w:lineRule="atLeast"/>
              <w:jc w:val="center"/>
              <w:rPr>
                <w:rFonts w:eastAsia="Times New Roman"/>
                <w:iCs/>
                <w:szCs w:val="17"/>
              </w:rPr>
            </w:pPr>
            <w:r>
              <w:rPr>
                <w:rFonts w:eastAsia="Times New Roman"/>
                <w:iCs/>
                <w:szCs w:val="17"/>
              </w:rPr>
              <w:t>5</w:t>
            </w:r>
          </w:p>
        </w:tc>
        <w:tc>
          <w:tcPr>
            <w:tcW w:w="352" w:type="pct"/>
            <w:shd w:val="clear" w:color="auto" w:fill="92D050"/>
            <w:noWrap/>
          </w:tcPr>
          <w:p w14:paraId="117DF3E2" w14:textId="17AC893F" w:rsidR="00A50757" w:rsidRDefault="00A50757" w:rsidP="00794B72">
            <w:pPr>
              <w:keepLines/>
              <w:spacing w:before="40" w:after="40" w:line="200" w:lineRule="atLeast"/>
              <w:jc w:val="center"/>
              <w:rPr>
                <w:rFonts w:eastAsia="Times New Roman"/>
                <w:iCs/>
                <w:szCs w:val="17"/>
              </w:rPr>
            </w:pPr>
            <w:r>
              <w:rPr>
                <w:rFonts w:eastAsia="Times New Roman"/>
                <w:iCs/>
                <w:szCs w:val="17"/>
              </w:rPr>
              <w:t>5</w:t>
            </w:r>
          </w:p>
        </w:tc>
        <w:tc>
          <w:tcPr>
            <w:tcW w:w="383" w:type="pct"/>
            <w:shd w:val="clear" w:color="auto" w:fill="auto"/>
            <w:noWrap/>
          </w:tcPr>
          <w:p w14:paraId="2801E983" w14:textId="77777777" w:rsidR="00A50757" w:rsidRDefault="00A50757" w:rsidP="00794B72">
            <w:pPr>
              <w:keepLines/>
              <w:spacing w:before="40" w:after="40" w:line="200" w:lineRule="atLeast"/>
              <w:jc w:val="center"/>
              <w:rPr>
                <w:rFonts w:eastAsia="Times New Roman"/>
                <w:iCs/>
                <w:szCs w:val="17"/>
              </w:rPr>
            </w:pPr>
          </w:p>
        </w:tc>
        <w:tc>
          <w:tcPr>
            <w:tcW w:w="339" w:type="pct"/>
            <w:shd w:val="clear" w:color="auto" w:fill="auto"/>
            <w:noWrap/>
          </w:tcPr>
          <w:p w14:paraId="6C681A35" w14:textId="77777777" w:rsidR="00A50757" w:rsidRDefault="00A50757" w:rsidP="00794B72">
            <w:pPr>
              <w:keepLines/>
              <w:spacing w:before="40" w:after="40" w:line="200" w:lineRule="atLeast"/>
              <w:jc w:val="center"/>
              <w:rPr>
                <w:rFonts w:eastAsia="Times New Roman"/>
                <w:iCs/>
                <w:szCs w:val="17"/>
              </w:rPr>
            </w:pPr>
          </w:p>
        </w:tc>
        <w:tc>
          <w:tcPr>
            <w:tcW w:w="360" w:type="pct"/>
            <w:shd w:val="clear" w:color="auto" w:fill="FFFF00"/>
            <w:noWrap/>
          </w:tcPr>
          <w:p w14:paraId="70C2585D" w14:textId="296EC84E" w:rsidR="00A50757" w:rsidRDefault="00A50757" w:rsidP="00794B72">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0EB763BC"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634680B6" w14:textId="77777777" w:rsidR="00A50757" w:rsidRPr="000C2531" w:rsidRDefault="00A50757" w:rsidP="00794B72">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22C4AB92" w14:textId="77777777" w:rsidR="00A50757" w:rsidRPr="000C2531" w:rsidRDefault="00A50757" w:rsidP="00794B72">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6DF6D7A1" w14:textId="12CBC7E9" w:rsidR="00A50757" w:rsidRPr="00337DE8" w:rsidRDefault="00A50757" w:rsidP="00794B7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31BB224B" w14:textId="64727FC1" w:rsidR="00A50757" w:rsidRDefault="00A50757" w:rsidP="00794B72">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FFFF00"/>
            <w:noWrap/>
          </w:tcPr>
          <w:p w14:paraId="731F52D0" w14:textId="6494528A" w:rsidR="00A50757" w:rsidRDefault="00A50757" w:rsidP="00794B72">
            <w:pPr>
              <w:keepLines/>
              <w:spacing w:before="40" w:after="40" w:line="200" w:lineRule="atLeast"/>
              <w:jc w:val="center"/>
              <w:rPr>
                <w:rFonts w:eastAsia="Times New Roman"/>
                <w:iCs/>
                <w:szCs w:val="17"/>
              </w:rPr>
            </w:pPr>
            <w:r>
              <w:rPr>
                <w:rFonts w:eastAsia="Times New Roman"/>
                <w:iCs/>
                <w:szCs w:val="17"/>
              </w:rPr>
              <w:t>4</w:t>
            </w:r>
          </w:p>
        </w:tc>
        <w:tc>
          <w:tcPr>
            <w:tcW w:w="352" w:type="pct"/>
            <w:tcBorders>
              <w:bottom w:val="single" w:sz="4" w:space="0" w:color="auto"/>
            </w:tcBorders>
            <w:shd w:val="clear" w:color="auto" w:fill="FFFF00"/>
            <w:noWrap/>
          </w:tcPr>
          <w:p w14:paraId="13B8DEEA" w14:textId="564EE856" w:rsidR="00A50757" w:rsidRDefault="00A50757" w:rsidP="00794B72">
            <w:pPr>
              <w:keepLines/>
              <w:spacing w:before="40" w:after="40" w:line="200" w:lineRule="atLeast"/>
              <w:jc w:val="center"/>
              <w:rPr>
                <w:rFonts w:eastAsia="Times New Roman"/>
                <w:iCs/>
                <w:szCs w:val="17"/>
              </w:rPr>
            </w:pPr>
            <w:r>
              <w:rPr>
                <w:rFonts w:eastAsia="Times New Roman"/>
                <w:iCs/>
                <w:szCs w:val="17"/>
              </w:rPr>
              <w:t>4</w:t>
            </w:r>
          </w:p>
        </w:tc>
        <w:tc>
          <w:tcPr>
            <w:tcW w:w="383" w:type="pct"/>
            <w:tcBorders>
              <w:bottom w:val="single" w:sz="4" w:space="0" w:color="auto"/>
            </w:tcBorders>
            <w:shd w:val="clear" w:color="auto" w:fill="FFC000"/>
            <w:noWrap/>
          </w:tcPr>
          <w:p w14:paraId="364C7978" w14:textId="4C588690" w:rsidR="00A50757" w:rsidRDefault="00A50757" w:rsidP="00794B72">
            <w:pPr>
              <w:keepLines/>
              <w:spacing w:before="40" w:after="40" w:line="200" w:lineRule="atLeast"/>
              <w:jc w:val="center"/>
              <w:rPr>
                <w:rFonts w:eastAsia="Times New Roman"/>
                <w:iCs/>
                <w:szCs w:val="17"/>
              </w:rPr>
            </w:pPr>
            <w:r>
              <w:rPr>
                <w:rFonts w:eastAsia="Times New Roman"/>
                <w:iCs/>
                <w:szCs w:val="17"/>
              </w:rPr>
              <w:t>3</w:t>
            </w:r>
          </w:p>
        </w:tc>
        <w:tc>
          <w:tcPr>
            <w:tcW w:w="339" w:type="pct"/>
            <w:tcBorders>
              <w:bottom w:val="single" w:sz="4" w:space="0" w:color="auto"/>
            </w:tcBorders>
            <w:shd w:val="clear" w:color="auto" w:fill="92D050"/>
            <w:noWrap/>
          </w:tcPr>
          <w:p w14:paraId="2EDCCEDB" w14:textId="0ECF0BAE" w:rsidR="00A50757" w:rsidRDefault="00A50757" w:rsidP="00794B72">
            <w:pPr>
              <w:keepLines/>
              <w:spacing w:before="40" w:after="40" w:line="200" w:lineRule="atLeast"/>
              <w:jc w:val="center"/>
              <w:rPr>
                <w:rFonts w:eastAsia="Times New Roman"/>
                <w:iCs/>
                <w:szCs w:val="17"/>
              </w:rPr>
            </w:pPr>
            <w:r>
              <w:rPr>
                <w:rFonts w:eastAsia="Times New Roman"/>
                <w:iCs/>
                <w:szCs w:val="17"/>
              </w:rPr>
              <w:t>5</w:t>
            </w:r>
          </w:p>
        </w:tc>
        <w:tc>
          <w:tcPr>
            <w:tcW w:w="360" w:type="pct"/>
            <w:tcBorders>
              <w:bottom w:val="single" w:sz="4" w:space="0" w:color="auto"/>
            </w:tcBorders>
            <w:shd w:val="clear" w:color="auto" w:fill="92D050"/>
            <w:noWrap/>
          </w:tcPr>
          <w:p w14:paraId="67F86E5D" w14:textId="2CE73479" w:rsidR="00A50757" w:rsidRDefault="00A50757" w:rsidP="00794B72">
            <w:pPr>
              <w:keepLines/>
              <w:spacing w:before="40" w:after="40" w:line="200" w:lineRule="atLeast"/>
              <w:jc w:val="center"/>
              <w:rPr>
                <w:rFonts w:eastAsia="Times New Roman"/>
                <w:iCs/>
                <w:szCs w:val="17"/>
              </w:rPr>
            </w:pPr>
            <w:r>
              <w:rPr>
                <w:rFonts w:eastAsia="Times New Roman"/>
                <w:iCs/>
                <w:szCs w:val="17"/>
              </w:rPr>
              <w:t>5</w:t>
            </w:r>
          </w:p>
        </w:tc>
      </w:tr>
      <w:tr w:rsidR="00A50757" w:rsidRPr="00812509" w14:paraId="5859322F"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5A704D3F" w14:textId="27C897CE" w:rsidR="00A50757" w:rsidRPr="000C2531" w:rsidRDefault="00A50757" w:rsidP="001B0088">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Climate Change Portfolio</w:t>
            </w:r>
          </w:p>
        </w:tc>
        <w:tc>
          <w:tcPr>
            <w:tcW w:w="538" w:type="pct"/>
            <w:vMerge w:val="restart"/>
          </w:tcPr>
          <w:p w14:paraId="44444B35" w14:textId="77777777" w:rsidR="00A50757" w:rsidRPr="000C2531" w:rsidRDefault="00A50757" w:rsidP="001B0088">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$9.8m</w:t>
            </w:r>
          </w:p>
          <w:p w14:paraId="21504633" w14:textId="5EA1AC68" w:rsidR="00A50757" w:rsidRPr="000C2531" w:rsidRDefault="00A50757" w:rsidP="001B0088">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2018-22</w:t>
            </w:r>
          </w:p>
        </w:tc>
        <w:tc>
          <w:tcPr>
            <w:tcW w:w="442" w:type="pct"/>
          </w:tcPr>
          <w:p w14:paraId="1FA1E3FA" w14:textId="2EC0FEC7" w:rsidR="00A50757" w:rsidRPr="00337DE8" w:rsidRDefault="00A50757" w:rsidP="001B008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20B3B24F" w14:textId="77777777" w:rsidR="00A50757" w:rsidRDefault="00A50757" w:rsidP="001B0088">
            <w:pPr>
              <w:keepLines/>
              <w:spacing w:before="40" w:after="40" w:line="200" w:lineRule="atLeast"/>
              <w:jc w:val="center"/>
              <w:rPr>
                <w:rFonts w:eastAsia="Times New Roman"/>
                <w:iCs/>
                <w:szCs w:val="17"/>
              </w:rPr>
            </w:pPr>
          </w:p>
        </w:tc>
        <w:tc>
          <w:tcPr>
            <w:tcW w:w="339" w:type="pct"/>
            <w:shd w:val="clear" w:color="auto" w:fill="FFFF00"/>
            <w:noWrap/>
          </w:tcPr>
          <w:p w14:paraId="28CC34ED" w14:textId="6BC08809" w:rsidR="00A50757" w:rsidRDefault="00A50757" w:rsidP="001B0088">
            <w:pPr>
              <w:keepLines/>
              <w:spacing w:before="40" w:after="40" w:line="200" w:lineRule="atLeast"/>
              <w:jc w:val="center"/>
              <w:rPr>
                <w:rFonts w:eastAsia="Times New Roman"/>
                <w:iCs/>
                <w:szCs w:val="17"/>
              </w:rPr>
            </w:pPr>
            <w:r>
              <w:rPr>
                <w:rFonts w:eastAsia="Times New Roman"/>
                <w:iCs/>
                <w:szCs w:val="17"/>
              </w:rPr>
              <w:t>4</w:t>
            </w:r>
          </w:p>
        </w:tc>
        <w:tc>
          <w:tcPr>
            <w:tcW w:w="352" w:type="pct"/>
            <w:shd w:val="clear" w:color="auto" w:fill="FFFF00"/>
            <w:noWrap/>
          </w:tcPr>
          <w:p w14:paraId="3D1732BA" w14:textId="411753BF" w:rsidR="00A50757" w:rsidRDefault="00A50757" w:rsidP="001B0088">
            <w:pPr>
              <w:keepLines/>
              <w:spacing w:before="40" w:after="40" w:line="200" w:lineRule="atLeast"/>
              <w:jc w:val="center"/>
              <w:rPr>
                <w:rFonts w:eastAsia="Times New Roman"/>
                <w:iCs/>
                <w:szCs w:val="17"/>
              </w:rPr>
            </w:pPr>
            <w:r>
              <w:rPr>
                <w:rFonts w:eastAsia="Times New Roman"/>
                <w:iCs/>
                <w:szCs w:val="17"/>
              </w:rPr>
              <w:t>4</w:t>
            </w:r>
          </w:p>
        </w:tc>
        <w:tc>
          <w:tcPr>
            <w:tcW w:w="383" w:type="pct"/>
            <w:shd w:val="clear" w:color="auto" w:fill="auto"/>
            <w:noWrap/>
          </w:tcPr>
          <w:p w14:paraId="3E01E01D" w14:textId="77777777" w:rsidR="00A50757" w:rsidRDefault="00A50757" w:rsidP="001B0088">
            <w:pPr>
              <w:keepLines/>
              <w:spacing w:before="40" w:after="40" w:line="200" w:lineRule="atLeast"/>
              <w:jc w:val="center"/>
              <w:rPr>
                <w:rFonts w:eastAsia="Times New Roman"/>
                <w:iCs/>
                <w:szCs w:val="17"/>
              </w:rPr>
            </w:pPr>
          </w:p>
        </w:tc>
        <w:tc>
          <w:tcPr>
            <w:tcW w:w="339" w:type="pct"/>
            <w:shd w:val="clear" w:color="auto" w:fill="auto"/>
            <w:noWrap/>
          </w:tcPr>
          <w:p w14:paraId="68FF8A81" w14:textId="77777777" w:rsidR="00A50757" w:rsidRDefault="00A50757" w:rsidP="001B0088">
            <w:pPr>
              <w:keepLines/>
              <w:spacing w:before="40" w:after="40" w:line="200" w:lineRule="atLeast"/>
              <w:jc w:val="center"/>
              <w:rPr>
                <w:rFonts w:eastAsia="Times New Roman"/>
                <w:iCs/>
                <w:szCs w:val="17"/>
              </w:rPr>
            </w:pPr>
          </w:p>
        </w:tc>
        <w:tc>
          <w:tcPr>
            <w:tcW w:w="360" w:type="pct"/>
            <w:shd w:val="clear" w:color="auto" w:fill="FFFF00"/>
            <w:noWrap/>
          </w:tcPr>
          <w:p w14:paraId="2E716C21" w14:textId="57F63B65" w:rsidR="00A50757" w:rsidRDefault="00A50757" w:rsidP="001B0088">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4BCE6D63"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70E71953" w14:textId="77777777" w:rsidR="00A50757" w:rsidRPr="000C2531" w:rsidRDefault="00A50757" w:rsidP="001B0088">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6CC386B3" w14:textId="77777777" w:rsidR="00A50757" w:rsidRPr="000C2531" w:rsidRDefault="00A50757" w:rsidP="001B0088">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2413837B" w14:textId="3CFAD68F" w:rsidR="00A50757" w:rsidRPr="00337DE8" w:rsidRDefault="00A50757" w:rsidP="001B008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auto"/>
            <w:noWrap/>
          </w:tcPr>
          <w:p w14:paraId="1BA7C24E" w14:textId="732387CD"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0DD5DBCB" w14:textId="47CA906A"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c>
          <w:tcPr>
            <w:tcW w:w="352" w:type="pct"/>
            <w:tcBorders>
              <w:bottom w:val="single" w:sz="4" w:space="0" w:color="auto"/>
            </w:tcBorders>
            <w:shd w:val="clear" w:color="auto" w:fill="auto"/>
            <w:noWrap/>
          </w:tcPr>
          <w:p w14:paraId="605DA9B9" w14:textId="1FA23F7F"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c>
          <w:tcPr>
            <w:tcW w:w="383" w:type="pct"/>
            <w:tcBorders>
              <w:bottom w:val="single" w:sz="4" w:space="0" w:color="auto"/>
            </w:tcBorders>
            <w:shd w:val="clear" w:color="auto" w:fill="auto"/>
            <w:noWrap/>
          </w:tcPr>
          <w:p w14:paraId="04451A24" w14:textId="68C59F6D"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6A089B30" w14:textId="2916C289"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c>
          <w:tcPr>
            <w:tcW w:w="360" w:type="pct"/>
            <w:tcBorders>
              <w:bottom w:val="single" w:sz="4" w:space="0" w:color="auto"/>
            </w:tcBorders>
            <w:shd w:val="clear" w:color="auto" w:fill="auto"/>
            <w:noWrap/>
          </w:tcPr>
          <w:p w14:paraId="67365E8C" w14:textId="31508246" w:rsidR="00A50757" w:rsidRDefault="00A50757" w:rsidP="001B0088">
            <w:pPr>
              <w:keepLines/>
              <w:spacing w:before="40" w:after="40" w:line="200" w:lineRule="atLeast"/>
              <w:jc w:val="center"/>
              <w:rPr>
                <w:rFonts w:eastAsia="Times New Roman"/>
                <w:iCs/>
                <w:szCs w:val="17"/>
              </w:rPr>
            </w:pPr>
            <w:r>
              <w:rPr>
                <w:rFonts w:eastAsia="Times New Roman"/>
                <w:iCs/>
                <w:szCs w:val="17"/>
              </w:rPr>
              <w:t>n/a</w:t>
            </w:r>
          </w:p>
        </w:tc>
      </w:tr>
      <w:tr w:rsidR="00A50757" w:rsidRPr="00812509" w14:paraId="07FC97F9"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503687B2" w14:textId="6EE8C480" w:rsidR="00A50757" w:rsidRPr="000C2531" w:rsidRDefault="00A50757" w:rsidP="00151FC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Bougainville Programming</w:t>
            </w:r>
          </w:p>
        </w:tc>
        <w:tc>
          <w:tcPr>
            <w:tcW w:w="538" w:type="pct"/>
            <w:vMerge w:val="restart"/>
          </w:tcPr>
          <w:p w14:paraId="0A7493AA" w14:textId="5973E296" w:rsidR="00A50757" w:rsidRPr="000C2531" w:rsidRDefault="00A50757" w:rsidP="00151FC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$18.5</w:t>
            </w:r>
            <w:r w:rsidRPr="00337DE8">
              <w:rPr>
                <w:rFonts w:asciiTheme="minorHAnsi" w:eastAsia="Times New Roman" w:hAnsiTheme="minorHAnsi"/>
                <w:iCs/>
                <w:szCs w:val="17"/>
                <w:lang w:eastAsia="en-US"/>
              </w:rPr>
              <w:t>m</w:t>
            </w:r>
          </w:p>
          <w:p w14:paraId="4BFD51FC" w14:textId="3551986E" w:rsidR="00A50757" w:rsidRPr="000C2531" w:rsidRDefault="00A50757" w:rsidP="00151FC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2014-20</w:t>
            </w:r>
          </w:p>
        </w:tc>
        <w:tc>
          <w:tcPr>
            <w:tcW w:w="442" w:type="pct"/>
          </w:tcPr>
          <w:p w14:paraId="503EFED9" w14:textId="7E06039D"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1BC39D8E" w14:textId="77777777" w:rsidR="00A50757" w:rsidRDefault="00A50757" w:rsidP="00151FC2">
            <w:pPr>
              <w:keepLines/>
              <w:spacing w:before="40" w:after="40" w:line="200" w:lineRule="atLeast"/>
              <w:jc w:val="center"/>
              <w:rPr>
                <w:rFonts w:eastAsia="Times New Roman"/>
                <w:iCs/>
                <w:szCs w:val="17"/>
              </w:rPr>
            </w:pPr>
          </w:p>
        </w:tc>
        <w:tc>
          <w:tcPr>
            <w:tcW w:w="339" w:type="pct"/>
            <w:shd w:val="clear" w:color="auto" w:fill="FFFF00"/>
            <w:noWrap/>
          </w:tcPr>
          <w:p w14:paraId="3A801871" w14:textId="3D1892AE"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52" w:type="pct"/>
            <w:shd w:val="clear" w:color="auto" w:fill="FFFF00"/>
            <w:noWrap/>
          </w:tcPr>
          <w:p w14:paraId="5F36884E" w14:textId="72BFE00B"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83" w:type="pct"/>
            <w:shd w:val="clear" w:color="auto" w:fill="auto"/>
            <w:noWrap/>
          </w:tcPr>
          <w:p w14:paraId="4A180FB2" w14:textId="77777777" w:rsidR="00A50757" w:rsidRDefault="00A50757" w:rsidP="00151FC2">
            <w:pPr>
              <w:keepLines/>
              <w:spacing w:before="40" w:after="40" w:line="200" w:lineRule="atLeast"/>
              <w:jc w:val="center"/>
              <w:rPr>
                <w:rFonts w:eastAsia="Times New Roman"/>
                <w:iCs/>
                <w:szCs w:val="17"/>
              </w:rPr>
            </w:pPr>
          </w:p>
        </w:tc>
        <w:tc>
          <w:tcPr>
            <w:tcW w:w="339" w:type="pct"/>
            <w:shd w:val="clear" w:color="auto" w:fill="auto"/>
            <w:noWrap/>
          </w:tcPr>
          <w:p w14:paraId="181F0711" w14:textId="77777777" w:rsidR="00A50757" w:rsidRDefault="00A50757" w:rsidP="00151FC2">
            <w:pPr>
              <w:keepLines/>
              <w:spacing w:before="40" w:after="40" w:line="200" w:lineRule="atLeast"/>
              <w:jc w:val="center"/>
              <w:rPr>
                <w:rFonts w:eastAsia="Times New Roman"/>
                <w:iCs/>
                <w:szCs w:val="17"/>
              </w:rPr>
            </w:pPr>
          </w:p>
        </w:tc>
        <w:tc>
          <w:tcPr>
            <w:tcW w:w="360" w:type="pct"/>
            <w:shd w:val="clear" w:color="auto" w:fill="FFFF00"/>
            <w:noWrap/>
          </w:tcPr>
          <w:p w14:paraId="795EE420" w14:textId="46030719"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07553B85"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005EED8C" w14:textId="77777777" w:rsidR="00A50757" w:rsidRPr="00337DE8" w:rsidRDefault="00A50757" w:rsidP="00151FC2">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54CBCF47" w14:textId="77777777" w:rsidR="00A50757" w:rsidRPr="00337DE8" w:rsidRDefault="00A50757" w:rsidP="00151FC2">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29DBB235" w14:textId="47C58BCE"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FFFF00"/>
            <w:noWrap/>
          </w:tcPr>
          <w:p w14:paraId="6C507431" w14:textId="23929F4A"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FF00"/>
            <w:noWrap/>
          </w:tcPr>
          <w:p w14:paraId="65866CF1" w14:textId="3291268B"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52" w:type="pct"/>
            <w:tcBorders>
              <w:bottom w:val="single" w:sz="4" w:space="0" w:color="auto"/>
            </w:tcBorders>
            <w:shd w:val="clear" w:color="auto" w:fill="92D050"/>
            <w:noWrap/>
          </w:tcPr>
          <w:p w14:paraId="710E3E2D" w14:textId="4D94912E" w:rsidR="00A50757" w:rsidRDefault="00A50757" w:rsidP="00151FC2">
            <w:pPr>
              <w:keepLines/>
              <w:spacing w:before="40" w:after="40" w:line="200" w:lineRule="atLeast"/>
              <w:jc w:val="center"/>
              <w:rPr>
                <w:rFonts w:eastAsia="Times New Roman"/>
                <w:iCs/>
                <w:szCs w:val="17"/>
              </w:rPr>
            </w:pPr>
            <w:r>
              <w:rPr>
                <w:rFonts w:eastAsia="Times New Roman"/>
                <w:iCs/>
                <w:szCs w:val="17"/>
              </w:rPr>
              <w:t>5</w:t>
            </w:r>
          </w:p>
        </w:tc>
        <w:tc>
          <w:tcPr>
            <w:tcW w:w="383" w:type="pct"/>
            <w:tcBorders>
              <w:bottom w:val="single" w:sz="4" w:space="0" w:color="auto"/>
            </w:tcBorders>
            <w:shd w:val="clear" w:color="auto" w:fill="FFFF00"/>
            <w:noWrap/>
          </w:tcPr>
          <w:p w14:paraId="4A744260" w14:textId="3FCFE74F"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39" w:type="pct"/>
            <w:tcBorders>
              <w:bottom w:val="single" w:sz="4" w:space="0" w:color="auto"/>
            </w:tcBorders>
            <w:shd w:val="clear" w:color="auto" w:fill="FFC000"/>
            <w:noWrap/>
          </w:tcPr>
          <w:p w14:paraId="69234ACB" w14:textId="2E80320C"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c>
          <w:tcPr>
            <w:tcW w:w="360" w:type="pct"/>
            <w:tcBorders>
              <w:bottom w:val="single" w:sz="4" w:space="0" w:color="auto"/>
            </w:tcBorders>
            <w:shd w:val="clear" w:color="auto" w:fill="FFFF00"/>
            <w:noWrap/>
          </w:tcPr>
          <w:p w14:paraId="09F9397F" w14:textId="08FD4D45"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66C2AE29"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6BD911FD" w14:textId="33FB1D94"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Kokoda Initiative</w:t>
            </w:r>
          </w:p>
        </w:tc>
        <w:tc>
          <w:tcPr>
            <w:tcW w:w="538" w:type="pct"/>
            <w:vMerge w:val="restart"/>
          </w:tcPr>
          <w:p w14:paraId="26974D24" w14:textId="77777777"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$43.1m</w:t>
            </w:r>
          </w:p>
          <w:p w14:paraId="278439AA" w14:textId="62C7AB2A"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2008-20</w:t>
            </w:r>
          </w:p>
        </w:tc>
        <w:tc>
          <w:tcPr>
            <w:tcW w:w="442" w:type="pct"/>
          </w:tcPr>
          <w:p w14:paraId="16A4EA8E" w14:textId="00913BBA"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4FC7069D" w14:textId="77777777" w:rsidR="00A50757" w:rsidRDefault="00A50757" w:rsidP="00151FC2">
            <w:pPr>
              <w:keepLines/>
              <w:spacing w:before="40" w:after="40" w:line="200" w:lineRule="atLeast"/>
              <w:jc w:val="center"/>
              <w:rPr>
                <w:rFonts w:eastAsia="Times New Roman"/>
                <w:iCs/>
                <w:szCs w:val="17"/>
              </w:rPr>
            </w:pPr>
          </w:p>
        </w:tc>
        <w:tc>
          <w:tcPr>
            <w:tcW w:w="339" w:type="pct"/>
            <w:shd w:val="clear" w:color="auto" w:fill="FFFF00"/>
            <w:noWrap/>
          </w:tcPr>
          <w:p w14:paraId="21559FFF" w14:textId="1F2F1687"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52" w:type="pct"/>
            <w:shd w:val="clear" w:color="auto" w:fill="FFC000"/>
            <w:noWrap/>
          </w:tcPr>
          <w:p w14:paraId="6CE7CB75" w14:textId="4A1CA5F7"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c>
          <w:tcPr>
            <w:tcW w:w="383" w:type="pct"/>
            <w:shd w:val="clear" w:color="auto" w:fill="auto"/>
            <w:noWrap/>
          </w:tcPr>
          <w:p w14:paraId="13752ED5" w14:textId="77777777" w:rsidR="00A50757" w:rsidRDefault="00A50757" w:rsidP="00151FC2">
            <w:pPr>
              <w:keepLines/>
              <w:spacing w:before="40" w:after="40" w:line="200" w:lineRule="atLeast"/>
              <w:jc w:val="center"/>
              <w:rPr>
                <w:rFonts w:eastAsia="Times New Roman"/>
                <w:iCs/>
                <w:szCs w:val="17"/>
              </w:rPr>
            </w:pPr>
          </w:p>
        </w:tc>
        <w:tc>
          <w:tcPr>
            <w:tcW w:w="339" w:type="pct"/>
            <w:shd w:val="clear" w:color="auto" w:fill="auto"/>
            <w:noWrap/>
          </w:tcPr>
          <w:p w14:paraId="11926771" w14:textId="77777777" w:rsidR="00A50757" w:rsidRDefault="00A50757" w:rsidP="00151FC2">
            <w:pPr>
              <w:keepLines/>
              <w:spacing w:before="40" w:after="40" w:line="200" w:lineRule="atLeast"/>
              <w:jc w:val="center"/>
              <w:rPr>
                <w:rFonts w:eastAsia="Times New Roman"/>
                <w:iCs/>
                <w:szCs w:val="17"/>
              </w:rPr>
            </w:pPr>
          </w:p>
        </w:tc>
        <w:tc>
          <w:tcPr>
            <w:tcW w:w="360" w:type="pct"/>
            <w:shd w:val="clear" w:color="auto" w:fill="FFC000"/>
            <w:noWrap/>
          </w:tcPr>
          <w:p w14:paraId="38970729" w14:textId="581F6D12"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r>
      <w:tr w:rsidR="00A50757" w:rsidRPr="00812509" w14:paraId="57FDEDD5"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Borders>
              <w:bottom w:val="single" w:sz="4" w:space="0" w:color="auto"/>
            </w:tcBorders>
          </w:tcPr>
          <w:p w14:paraId="55A05600" w14:textId="77777777" w:rsidR="00A50757" w:rsidRPr="00337DE8" w:rsidRDefault="00A50757" w:rsidP="00151FC2">
            <w:pPr>
              <w:keepLines/>
              <w:spacing w:before="40" w:after="40" w:line="200" w:lineRule="atLeast"/>
              <w:rPr>
                <w:rFonts w:asciiTheme="minorHAnsi" w:eastAsia="Times New Roman" w:hAnsiTheme="minorHAnsi"/>
                <w:iCs/>
                <w:szCs w:val="17"/>
                <w:lang w:eastAsia="en-US"/>
              </w:rPr>
            </w:pPr>
          </w:p>
        </w:tc>
        <w:tc>
          <w:tcPr>
            <w:tcW w:w="538" w:type="pct"/>
            <w:vMerge/>
            <w:tcBorders>
              <w:bottom w:val="single" w:sz="4" w:space="0" w:color="auto"/>
            </w:tcBorders>
          </w:tcPr>
          <w:p w14:paraId="0310288D" w14:textId="77777777" w:rsidR="00A50757" w:rsidRPr="00337DE8" w:rsidRDefault="00A50757" w:rsidP="00151FC2">
            <w:pPr>
              <w:keepLines/>
              <w:spacing w:before="40" w:after="40" w:line="200" w:lineRule="atLeast"/>
              <w:rPr>
                <w:rFonts w:asciiTheme="minorHAnsi" w:eastAsia="Times New Roman" w:hAnsiTheme="minorHAnsi"/>
                <w:iCs/>
                <w:szCs w:val="17"/>
                <w:lang w:eastAsia="en-US"/>
              </w:rPr>
            </w:pPr>
          </w:p>
        </w:tc>
        <w:tc>
          <w:tcPr>
            <w:tcW w:w="442" w:type="pct"/>
            <w:tcBorders>
              <w:bottom w:val="single" w:sz="4" w:space="0" w:color="auto"/>
            </w:tcBorders>
          </w:tcPr>
          <w:p w14:paraId="1DF067F1" w14:textId="5EACF289" w:rsidR="00A50757" w:rsidRPr="00337DE8" w:rsidRDefault="00A50757" w:rsidP="00151FC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92D050"/>
            <w:noWrap/>
          </w:tcPr>
          <w:p w14:paraId="2AD03D4E" w14:textId="28830D00" w:rsidR="00A50757" w:rsidRDefault="00A50757" w:rsidP="00151FC2">
            <w:pPr>
              <w:keepLines/>
              <w:spacing w:before="40" w:after="40" w:line="200" w:lineRule="atLeast"/>
              <w:jc w:val="center"/>
              <w:rPr>
                <w:rFonts w:eastAsia="Times New Roman"/>
                <w:iCs/>
                <w:szCs w:val="17"/>
              </w:rPr>
            </w:pPr>
            <w:r>
              <w:rPr>
                <w:rFonts w:eastAsia="Times New Roman"/>
                <w:iCs/>
                <w:szCs w:val="17"/>
              </w:rPr>
              <w:t>5</w:t>
            </w:r>
          </w:p>
        </w:tc>
        <w:tc>
          <w:tcPr>
            <w:tcW w:w="339" w:type="pct"/>
            <w:tcBorders>
              <w:bottom w:val="single" w:sz="4" w:space="0" w:color="auto"/>
            </w:tcBorders>
            <w:shd w:val="clear" w:color="auto" w:fill="FFFF00"/>
            <w:noWrap/>
          </w:tcPr>
          <w:p w14:paraId="11CC9F06" w14:textId="43B1A08C"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52" w:type="pct"/>
            <w:tcBorders>
              <w:bottom w:val="single" w:sz="4" w:space="0" w:color="auto"/>
            </w:tcBorders>
            <w:shd w:val="clear" w:color="auto" w:fill="FFFF00"/>
            <w:noWrap/>
          </w:tcPr>
          <w:p w14:paraId="71FD59CE" w14:textId="6F0A6CB0" w:rsidR="00A50757" w:rsidRDefault="00A50757" w:rsidP="00151FC2">
            <w:pPr>
              <w:keepLines/>
              <w:spacing w:before="40" w:after="40" w:line="200" w:lineRule="atLeast"/>
              <w:jc w:val="center"/>
              <w:rPr>
                <w:rFonts w:eastAsia="Times New Roman"/>
                <w:iCs/>
                <w:szCs w:val="17"/>
              </w:rPr>
            </w:pPr>
            <w:r>
              <w:rPr>
                <w:rFonts w:eastAsia="Times New Roman"/>
                <w:iCs/>
                <w:szCs w:val="17"/>
              </w:rPr>
              <w:t>4</w:t>
            </w:r>
          </w:p>
        </w:tc>
        <w:tc>
          <w:tcPr>
            <w:tcW w:w="383" w:type="pct"/>
            <w:tcBorders>
              <w:bottom w:val="single" w:sz="4" w:space="0" w:color="auto"/>
            </w:tcBorders>
            <w:shd w:val="clear" w:color="auto" w:fill="FFC000"/>
            <w:noWrap/>
          </w:tcPr>
          <w:p w14:paraId="1F6B2F9F" w14:textId="0AA5A966"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c>
          <w:tcPr>
            <w:tcW w:w="339" w:type="pct"/>
            <w:tcBorders>
              <w:bottom w:val="single" w:sz="4" w:space="0" w:color="auto"/>
            </w:tcBorders>
            <w:shd w:val="clear" w:color="auto" w:fill="FFC000"/>
            <w:noWrap/>
          </w:tcPr>
          <w:p w14:paraId="6E0E9CEF" w14:textId="04600E2E"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c>
          <w:tcPr>
            <w:tcW w:w="360" w:type="pct"/>
            <w:tcBorders>
              <w:bottom w:val="single" w:sz="4" w:space="0" w:color="auto"/>
            </w:tcBorders>
            <w:shd w:val="clear" w:color="auto" w:fill="FFC000"/>
            <w:noWrap/>
          </w:tcPr>
          <w:p w14:paraId="41A7632D" w14:textId="7470DC68" w:rsidR="00A50757" w:rsidRDefault="00A50757" w:rsidP="00151FC2">
            <w:pPr>
              <w:keepLines/>
              <w:spacing w:before="40" w:after="40" w:line="200" w:lineRule="atLeast"/>
              <w:jc w:val="center"/>
              <w:rPr>
                <w:rFonts w:eastAsia="Times New Roman"/>
                <w:iCs/>
                <w:szCs w:val="17"/>
              </w:rPr>
            </w:pPr>
            <w:r>
              <w:rPr>
                <w:rFonts w:eastAsia="Times New Roman"/>
                <w:iCs/>
                <w:szCs w:val="17"/>
              </w:rPr>
              <w:t>3</w:t>
            </w:r>
          </w:p>
        </w:tc>
      </w:tr>
      <w:tr w:rsidR="00A50757" w:rsidRPr="00812509" w14:paraId="20BA96D0"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val="restart"/>
          </w:tcPr>
          <w:p w14:paraId="4C055BC7" w14:textId="77777777" w:rsidR="00A50757" w:rsidRPr="00337DE8" w:rsidRDefault="00A50757" w:rsidP="009E3E59">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 xml:space="preserve">Institutional Partnership </w:t>
            </w:r>
          </w:p>
          <w:p w14:paraId="01959485" w14:textId="049ECE9E" w:rsidR="00A50757" w:rsidRPr="00337DE8" w:rsidRDefault="00A50757" w:rsidP="009E3E59">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Program</w:t>
            </w:r>
          </w:p>
        </w:tc>
        <w:tc>
          <w:tcPr>
            <w:tcW w:w="538" w:type="pct"/>
            <w:vMerge w:val="restart"/>
          </w:tcPr>
          <w:p w14:paraId="6E1E7B59" w14:textId="34E31236" w:rsidR="00A50757" w:rsidRPr="00337DE8" w:rsidRDefault="00A50757" w:rsidP="009E3E5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$63.0</w:t>
            </w:r>
            <w:r w:rsidRPr="00337DE8">
              <w:rPr>
                <w:rFonts w:asciiTheme="minorHAnsi" w:eastAsia="Times New Roman" w:hAnsiTheme="minorHAnsi"/>
                <w:iCs/>
                <w:szCs w:val="17"/>
                <w:lang w:eastAsia="en-US"/>
              </w:rPr>
              <w:t xml:space="preserve">m </w:t>
            </w:r>
          </w:p>
          <w:p w14:paraId="653C7E74" w14:textId="226EEC96" w:rsidR="00A50757" w:rsidRPr="00337DE8" w:rsidRDefault="00A50757" w:rsidP="009E3E59">
            <w:pPr>
              <w:keepLines/>
              <w:spacing w:before="40" w:after="40" w:line="200" w:lineRule="atLeast"/>
              <w:rPr>
                <w:rFonts w:asciiTheme="minorHAnsi" w:eastAsia="Times New Roman" w:hAnsiTheme="minorHAnsi"/>
                <w:iCs/>
                <w:szCs w:val="17"/>
                <w:lang w:eastAsia="en-US"/>
              </w:rPr>
            </w:pPr>
            <w:r w:rsidRPr="00337DE8">
              <w:rPr>
                <w:rFonts w:asciiTheme="minorHAnsi" w:eastAsia="Times New Roman" w:hAnsiTheme="minorHAnsi"/>
                <w:iCs/>
                <w:szCs w:val="17"/>
                <w:lang w:eastAsia="en-US"/>
              </w:rPr>
              <w:t>2017-20</w:t>
            </w:r>
          </w:p>
        </w:tc>
        <w:tc>
          <w:tcPr>
            <w:tcW w:w="442" w:type="pct"/>
          </w:tcPr>
          <w:p w14:paraId="5CCC1948" w14:textId="2BE152CE" w:rsidR="00A50757" w:rsidRPr="00337DE8" w:rsidRDefault="00A50757" w:rsidP="009E3E59">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shd w:val="clear" w:color="auto" w:fill="auto"/>
            <w:noWrap/>
          </w:tcPr>
          <w:p w14:paraId="1CF2C3A3" w14:textId="77777777" w:rsidR="00A50757" w:rsidRDefault="00A50757" w:rsidP="009E3E59">
            <w:pPr>
              <w:keepLines/>
              <w:spacing w:before="40" w:after="40" w:line="200" w:lineRule="atLeast"/>
              <w:jc w:val="center"/>
              <w:rPr>
                <w:rFonts w:eastAsia="Times New Roman"/>
                <w:iCs/>
                <w:szCs w:val="17"/>
              </w:rPr>
            </w:pPr>
          </w:p>
        </w:tc>
        <w:tc>
          <w:tcPr>
            <w:tcW w:w="339" w:type="pct"/>
            <w:shd w:val="clear" w:color="auto" w:fill="FFFF00"/>
            <w:noWrap/>
          </w:tcPr>
          <w:p w14:paraId="28480DF2" w14:textId="4D852768" w:rsidR="00A50757" w:rsidRDefault="00A50757" w:rsidP="009E3E59">
            <w:pPr>
              <w:keepLines/>
              <w:spacing w:before="40" w:after="40" w:line="200" w:lineRule="atLeast"/>
              <w:jc w:val="center"/>
              <w:rPr>
                <w:rFonts w:eastAsia="Times New Roman"/>
                <w:iCs/>
                <w:szCs w:val="17"/>
              </w:rPr>
            </w:pPr>
            <w:r>
              <w:rPr>
                <w:rFonts w:eastAsia="Times New Roman"/>
                <w:iCs/>
                <w:szCs w:val="17"/>
              </w:rPr>
              <w:t>4</w:t>
            </w:r>
          </w:p>
        </w:tc>
        <w:tc>
          <w:tcPr>
            <w:tcW w:w="352" w:type="pct"/>
            <w:shd w:val="clear" w:color="auto" w:fill="FFFF00"/>
            <w:noWrap/>
          </w:tcPr>
          <w:p w14:paraId="6F4BCC8F" w14:textId="027E8FDA" w:rsidR="00A50757" w:rsidRDefault="00A50757" w:rsidP="009E3E59">
            <w:pPr>
              <w:keepLines/>
              <w:spacing w:before="40" w:after="40" w:line="200" w:lineRule="atLeast"/>
              <w:jc w:val="center"/>
              <w:rPr>
                <w:rFonts w:eastAsia="Times New Roman"/>
                <w:iCs/>
                <w:szCs w:val="17"/>
              </w:rPr>
            </w:pPr>
            <w:r>
              <w:rPr>
                <w:rFonts w:eastAsia="Times New Roman"/>
                <w:iCs/>
                <w:szCs w:val="17"/>
              </w:rPr>
              <w:t>4</w:t>
            </w:r>
          </w:p>
        </w:tc>
        <w:tc>
          <w:tcPr>
            <w:tcW w:w="383" w:type="pct"/>
            <w:shd w:val="clear" w:color="auto" w:fill="auto"/>
            <w:noWrap/>
          </w:tcPr>
          <w:p w14:paraId="49F38D60" w14:textId="77777777" w:rsidR="00A50757" w:rsidRDefault="00A50757" w:rsidP="009E3E59">
            <w:pPr>
              <w:keepLines/>
              <w:spacing w:before="40" w:after="40" w:line="200" w:lineRule="atLeast"/>
              <w:jc w:val="center"/>
              <w:rPr>
                <w:rFonts w:eastAsia="Times New Roman"/>
                <w:iCs/>
                <w:szCs w:val="17"/>
              </w:rPr>
            </w:pPr>
          </w:p>
        </w:tc>
        <w:tc>
          <w:tcPr>
            <w:tcW w:w="339" w:type="pct"/>
            <w:shd w:val="clear" w:color="auto" w:fill="auto"/>
            <w:noWrap/>
          </w:tcPr>
          <w:p w14:paraId="1F83666E" w14:textId="77777777" w:rsidR="00A50757" w:rsidRDefault="00A50757" w:rsidP="009E3E59">
            <w:pPr>
              <w:keepLines/>
              <w:spacing w:before="40" w:after="40" w:line="200" w:lineRule="atLeast"/>
              <w:jc w:val="center"/>
              <w:rPr>
                <w:rFonts w:eastAsia="Times New Roman"/>
                <w:iCs/>
                <w:szCs w:val="17"/>
              </w:rPr>
            </w:pPr>
          </w:p>
        </w:tc>
        <w:tc>
          <w:tcPr>
            <w:tcW w:w="360" w:type="pct"/>
            <w:shd w:val="clear" w:color="auto" w:fill="FFC000"/>
            <w:noWrap/>
          </w:tcPr>
          <w:p w14:paraId="0EFD598A" w14:textId="07959E71" w:rsidR="00A50757" w:rsidRDefault="00A50757" w:rsidP="009E3E59">
            <w:pPr>
              <w:keepLines/>
              <w:spacing w:before="40" w:after="40" w:line="200" w:lineRule="atLeast"/>
              <w:jc w:val="center"/>
              <w:rPr>
                <w:rFonts w:eastAsia="Times New Roman"/>
                <w:iCs/>
                <w:szCs w:val="17"/>
              </w:rPr>
            </w:pPr>
            <w:r>
              <w:rPr>
                <w:rFonts w:eastAsia="Times New Roman"/>
                <w:iCs/>
                <w:szCs w:val="17"/>
              </w:rPr>
              <w:t>3</w:t>
            </w:r>
          </w:p>
        </w:tc>
      </w:tr>
      <w:tr w:rsidR="00A50757" w:rsidRPr="00812509" w14:paraId="1DE9EB13"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vMerge/>
          </w:tcPr>
          <w:p w14:paraId="31386AD4" w14:textId="77777777" w:rsidR="00A50757" w:rsidRPr="00337DE8" w:rsidRDefault="00A50757" w:rsidP="009E3E59">
            <w:pPr>
              <w:keepLines/>
              <w:spacing w:before="40" w:after="40" w:line="200" w:lineRule="atLeast"/>
              <w:rPr>
                <w:rFonts w:asciiTheme="minorHAnsi" w:eastAsia="Times New Roman" w:hAnsiTheme="minorHAnsi"/>
                <w:iCs/>
                <w:szCs w:val="17"/>
                <w:lang w:eastAsia="en-US"/>
              </w:rPr>
            </w:pPr>
          </w:p>
        </w:tc>
        <w:tc>
          <w:tcPr>
            <w:tcW w:w="538" w:type="pct"/>
            <w:vMerge/>
          </w:tcPr>
          <w:p w14:paraId="5C670282" w14:textId="77777777" w:rsidR="00A50757" w:rsidRPr="00337DE8" w:rsidRDefault="00A50757" w:rsidP="009E3E59">
            <w:pPr>
              <w:keepLines/>
              <w:spacing w:before="40" w:after="40" w:line="200" w:lineRule="atLeast"/>
              <w:rPr>
                <w:rFonts w:asciiTheme="minorHAnsi" w:eastAsia="Times New Roman" w:hAnsiTheme="minorHAnsi"/>
                <w:iCs/>
                <w:szCs w:val="17"/>
                <w:lang w:eastAsia="en-US"/>
              </w:rPr>
            </w:pPr>
          </w:p>
        </w:tc>
        <w:tc>
          <w:tcPr>
            <w:tcW w:w="442" w:type="pct"/>
          </w:tcPr>
          <w:p w14:paraId="76D8179B" w14:textId="7E327064" w:rsidR="00A50757" w:rsidRPr="00337DE8" w:rsidRDefault="00A50757" w:rsidP="009E3E59">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shd w:val="clear" w:color="auto" w:fill="FFFF00"/>
            <w:noWrap/>
          </w:tcPr>
          <w:p w14:paraId="5B0E821A" w14:textId="20110969" w:rsidR="00A50757" w:rsidRDefault="00A50757" w:rsidP="009E3E59">
            <w:pPr>
              <w:keepLines/>
              <w:spacing w:before="40" w:after="40" w:line="200" w:lineRule="atLeast"/>
              <w:jc w:val="center"/>
              <w:rPr>
                <w:rFonts w:eastAsia="Times New Roman"/>
                <w:iCs/>
                <w:szCs w:val="17"/>
              </w:rPr>
            </w:pPr>
            <w:r>
              <w:rPr>
                <w:rFonts w:eastAsia="Times New Roman"/>
                <w:iCs/>
                <w:szCs w:val="17"/>
              </w:rPr>
              <w:t>4</w:t>
            </w:r>
          </w:p>
        </w:tc>
        <w:tc>
          <w:tcPr>
            <w:tcW w:w="339" w:type="pct"/>
            <w:shd w:val="clear" w:color="auto" w:fill="FFC000"/>
            <w:noWrap/>
          </w:tcPr>
          <w:p w14:paraId="56A215C2" w14:textId="49E50D4F" w:rsidR="00A50757" w:rsidRDefault="00A50757" w:rsidP="009E3E59">
            <w:pPr>
              <w:keepLines/>
              <w:spacing w:before="40" w:after="40" w:line="200" w:lineRule="atLeast"/>
              <w:jc w:val="center"/>
              <w:rPr>
                <w:rFonts w:eastAsia="Times New Roman"/>
                <w:iCs/>
                <w:szCs w:val="17"/>
              </w:rPr>
            </w:pPr>
            <w:r>
              <w:rPr>
                <w:rFonts w:eastAsia="Times New Roman"/>
                <w:iCs/>
                <w:szCs w:val="17"/>
              </w:rPr>
              <w:t>3</w:t>
            </w:r>
          </w:p>
        </w:tc>
        <w:tc>
          <w:tcPr>
            <w:tcW w:w="352" w:type="pct"/>
            <w:shd w:val="clear" w:color="auto" w:fill="FFC000"/>
            <w:noWrap/>
          </w:tcPr>
          <w:p w14:paraId="2329860D" w14:textId="41BCC179" w:rsidR="00A50757" w:rsidRDefault="00A50757" w:rsidP="009E3E59">
            <w:pPr>
              <w:keepLines/>
              <w:spacing w:before="40" w:after="40" w:line="200" w:lineRule="atLeast"/>
              <w:jc w:val="center"/>
              <w:rPr>
                <w:rFonts w:eastAsia="Times New Roman"/>
                <w:iCs/>
                <w:szCs w:val="17"/>
              </w:rPr>
            </w:pPr>
            <w:r>
              <w:rPr>
                <w:rFonts w:eastAsia="Times New Roman"/>
                <w:iCs/>
                <w:szCs w:val="17"/>
              </w:rPr>
              <w:t>3</w:t>
            </w:r>
          </w:p>
        </w:tc>
        <w:tc>
          <w:tcPr>
            <w:tcW w:w="383" w:type="pct"/>
            <w:shd w:val="clear" w:color="auto" w:fill="FF0000"/>
            <w:noWrap/>
          </w:tcPr>
          <w:p w14:paraId="0B085AA5" w14:textId="347450ED" w:rsidR="00A50757" w:rsidRDefault="00A50757" w:rsidP="009E3E59">
            <w:pPr>
              <w:keepLines/>
              <w:spacing w:before="40" w:after="40" w:line="200" w:lineRule="atLeast"/>
              <w:jc w:val="center"/>
              <w:rPr>
                <w:rFonts w:eastAsia="Times New Roman"/>
                <w:iCs/>
                <w:szCs w:val="17"/>
              </w:rPr>
            </w:pPr>
            <w:r>
              <w:rPr>
                <w:rFonts w:eastAsia="Times New Roman"/>
                <w:iCs/>
                <w:szCs w:val="17"/>
              </w:rPr>
              <w:t>2</w:t>
            </w:r>
          </w:p>
        </w:tc>
        <w:tc>
          <w:tcPr>
            <w:tcW w:w="339" w:type="pct"/>
            <w:shd w:val="clear" w:color="auto" w:fill="FFC000"/>
            <w:noWrap/>
          </w:tcPr>
          <w:p w14:paraId="5A8A2F13" w14:textId="6145D002" w:rsidR="00A50757" w:rsidRDefault="00A50757" w:rsidP="009E3E59">
            <w:pPr>
              <w:keepLines/>
              <w:spacing w:before="40" w:after="40" w:line="200" w:lineRule="atLeast"/>
              <w:jc w:val="center"/>
              <w:rPr>
                <w:rFonts w:eastAsia="Times New Roman"/>
                <w:iCs/>
                <w:szCs w:val="17"/>
              </w:rPr>
            </w:pPr>
            <w:r>
              <w:rPr>
                <w:rFonts w:eastAsia="Times New Roman"/>
                <w:iCs/>
                <w:szCs w:val="17"/>
              </w:rPr>
              <w:t>3</w:t>
            </w:r>
          </w:p>
        </w:tc>
        <w:tc>
          <w:tcPr>
            <w:tcW w:w="360" w:type="pct"/>
            <w:shd w:val="clear" w:color="auto" w:fill="FF0000"/>
            <w:noWrap/>
          </w:tcPr>
          <w:p w14:paraId="023CE285" w14:textId="58339B26" w:rsidR="00A50757" w:rsidRDefault="00A50757" w:rsidP="009E3E59">
            <w:pPr>
              <w:keepLines/>
              <w:spacing w:before="40" w:after="40" w:line="200" w:lineRule="atLeast"/>
              <w:jc w:val="center"/>
              <w:rPr>
                <w:rFonts w:eastAsia="Times New Roman"/>
                <w:iCs/>
                <w:szCs w:val="17"/>
              </w:rPr>
            </w:pPr>
            <w:r>
              <w:rPr>
                <w:rFonts w:eastAsia="Times New Roman"/>
                <w:iCs/>
                <w:szCs w:val="17"/>
              </w:rPr>
              <w:t>2</w:t>
            </w:r>
          </w:p>
        </w:tc>
      </w:tr>
      <w:tr w:rsidR="00A50757" w:rsidRPr="00812509" w14:paraId="465071A9"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tcBorders>
              <w:top w:val="single" w:sz="4" w:space="0" w:color="auto"/>
            </w:tcBorders>
          </w:tcPr>
          <w:p w14:paraId="1344526B" w14:textId="165EA5EB" w:rsidR="00A50757" w:rsidRPr="00707060" w:rsidRDefault="00A50757" w:rsidP="00DB07F4">
            <w:pPr>
              <w:keepLines/>
              <w:spacing w:before="40" w:after="40" w:line="200" w:lineRule="atLeast"/>
              <w:rPr>
                <w:rFonts w:asciiTheme="minorHAnsi" w:eastAsia="Times New Roman" w:hAnsiTheme="minorHAnsi"/>
                <w:iCs/>
                <w:szCs w:val="17"/>
                <w:lang w:eastAsia="en-US"/>
              </w:rPr>
            </w:pPr>
            <w:r w:rsidRPr="00707060">
              <w:rPr>
                <w:rFonts w:asciiTheme="minorHAnsi" w:eastAsia="Times New Roman" w:hAnsiTheme="minorHAnsi"/>
                <w:iCs/>
                <w:szCs w:val="17"/>
                <w:lang w:eastAsia="en-US"/>
              </w:rPr>
              <w:t>PNG Partnerships Fund</w:t>
            </w:r>
          </w:p>
        </w:tc>
        <w:tc>
          <w:tcPr>
            <w:tcW w:w="538" w:type="pct"/>
            <w:tcBorders>
              <w:top w:val="single" w:sz="4" w:space="0" w:color="auto"/>
            </w:tcBorders>
          </w:tcPr>
          <w:p w14:paraId="4B56E58B" w14:textId="77777777" w:rsidR="00A50757" w:rsidRPr="00707060" w:rsidRDefault="00A50757" w:rsidP="00DB07F4">
            <w:pPr>
              <w:keepLines/>
              <w:spacing w:before="40" w:after="40" w:line="200" w:lineRule="atLeast"/>
              <w:rPr>
                <w:rFonts w:asciiTheme="minorHAnsi" w:eastAsia="Times New Roman" w:hAnsiTheme="minorHAnsi"/>
                <w:iCs/>
                <w:szCs w:val="17"/>
                <w:lang w:eastAsia="en-US"/>
              </w:rPr>
            </w:pPr>
            <w:r w:rsidRPr="00707060">
              <w:rPr>
                <w:rFonts w:asciiTheme="minorHAnsi" w:eastAsia="Times New Roman" w:hAnsiTheme="minorHAnsi"/>
                <w:iCs/>
                <w:szCs w:val="17"/>
                <w:lang w:eastAsia="en-US"/>
              </w:rPr>
              <w:t>$150.0m</w:t>
            </w:r>
          </w:p>
          <w:p w14:paraId="3F1A9E40" w14:textId="77FFD910" w:rsidR="00A50757" w:rsidRPr="00707060" w:rsidRDefault="00A50757" w:rsidP="00DB07F4">
            <w:pPr>
              <w:keepLines/>
              <w:spacing w:before="40" w:after="40" w:line="200" w:lineRule="atLeast"/>
              <w:rPr>
                <w:rFonts w:asciiTheme="minorHAnsi" w:eastAsia="Times New Roman" w:hAnsiTheme="minorHAnsi"/>
                <w:iCs/>
                <w:szCs w:val="17"/>
                <w:lang w:eastAsia="en-US"/>
              </w:rPr>
            </w:pPr>
            <w:r w:rsidRPr="00707060">
              <w:rPr>
                <w:rFonts w:asciiTheme="minorHAnsi" w:eastAsia="Times New Roman" w:hAnsiTheme="minorHAnsi"/>
                <w:iCs/>
                <w:szCs w:val="17"/>
                <w:lang w:eastAsia="en-US"/>
              </w:rPr>
              <w:t>2017-20</w:t>
            </w:r>
          </w:p>
        </w:tc>
        <w:tc>
          <w:tcPr>
            <w:tcW w:w="442" w:type="pct"/>
            <w:tcBorders>
              <w:top w:val="single" w:sz="4" w:space="0" w:color="auto"/>
            </w:tcBorders>
          </w:tcPr>
          <w:p w14:paraId="7B35CCBF" w14:textId="60D46DD2" w:rsidR="00A50757" w:rsidRPr="00812509" w:rsidRDefault="00A50757" w:rsidP="00DB07F4">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9" w:type="pct"/>
            <w:tcBorders>
              <w:top w:val="single" w:sz="4" w:space="0" w:color="auto"/>
            </w:tcBorders>
            <w:shd w:val="clear" w:color="auto" w:fill="auto"/>
            <w:noWrap/>
          </w:tcPr>
          <w:p w14:paraId="59FCB0DF" w14:textId="77777777" w:rsidR="00A50757" w:rsidRDefault="00A50757" w:rsidP="00DB07F4">
            <w:pPr>
              <w:keepLines/>
              <w:spacing w:before="40" w:after="40" w:line="200" w:lineRule="atLeast"/>
              <w:jc w:val="center"/>
              <w:rPr>
                <w:rFonts w:eastAsia="Times New Roman"/>
                <w:iCs/>
                <w:szCs w:val="17"/>
              </w:rPr>
            </w:pPr>
          </w:p>
        </w:tc>
        <w:tc>
          <w:tcPr>
            <w:tcW w:w="339" w:type="pct"/>
            <w:tcBorders>
              <w:top w:val="single" w:sz="4" w:space="0" w:color="auto"/>
            </w:tcBorders>
            <w:shd w:val="clear" w:color="auto" w:fill="FFFF00"/>
            <w:noWrap/>
          </w:tcPr>
          <w:p w14:paraId="4E1A5405" w14:textId="2D518FAF" w:rsidR="00A50757" w:rsidRDefault="00A50757" w:rsidP="00DB07F4">
            <w:pPr>
              <w:keepLines/>
              <w:spacing w:before="40" w:after="40" w:line="200" w:lineRule="atLeast"/>
              <w:jc w:val="center"/>
              <w:rPr>
                <w:rFonts w:eastAsia="Times New Roman"/>
                <w:iCs/>
                <w:szCs w:val="17"/>
              </w:rPr>
            </w:pPr>
            <w:r>
              <w:rPr>
                <w:rFonts w:eastAsia="Times New Roman"/>
                <w:iCs/>
                <w:szCs w:val="17"/>
              </w:rPr>
              <w:t>4</w:t>
            </w:r>
          </w:p>
        </w:tc>
        <w:tc>
          <w:tcPr>
            <w:tcW w:w="352" w:type="pct"/>
            <w:tcBorders>
              <w:top w:val="single" w:sz="4" w:space="0" w:color="auto"/>
            </w:tcBorders>
            <w:shd w:val="clear" w:color="auto" w:fill="FFFF00"/>
            <w:noWrap/>
          </w:tcPr>
          <w:p w14:paraId="63162B11" w14:textId="2D01EC1D" w:rsidR="00A50757" w:rsidRDefault="00A50757" w:rsidP="00DB07F4">
            <w:pPr>
              <w:keepLines/>
              <w:spacing w:before="40" w:after="40" w:line="200" w:lineRule="atLeast"/>
              <w:jc w:val="center"/>
              <w:rPr>
                <w:rFonts w:eastAsia="Times New Roman"/>
                <w:iCs/>
                <w:szCs w:val="17"/>
              </w:rPr>
            </w:pPr>
            <w:r>
              <w:rPr>
                <w:rFonts w:eastAsia="Times New Roman"/>
                <w:iCs/>
                <w:szCs w:val="17"/>
              </w:rPr>
              <w:t>4</w:t>
            </w:r>
          </w:p>
        </w:tc>
        <w:tc>
          <w:tcPr>
            <w:tcW w:w="383" w:type="pct"/>
            <w:tcBorders>
              <w:top w:val="single" w:sz="4" w:space="0" w:color="auto"/>
            </w:tcBorders>
            <w:shd w:val="clear" w:color="auto" w:fill="auto"/>
            <w:noWrap/>
          </w:tcPr>
          <w:p w14:paraId="647F108D" w14:textId="77777777" w:rsidR="00A50757" w:rsidRDefault="00A50757" w:rsidP="00DB07F4">
            <w:pPr>
              <w:keepLines/>
              <w:spacing w:before="40" w:after="40" w:line="200" w:lineRule="atLeast"/>
              <w:jc w:val="center"/>
              <w:rPr>
                <w:rFonts w:eastAsia="Times New Roman"/>
                <w:iCs/>
                <w:szCs w:val="17"/>
              </w:rPr>
            </w:pPr>
          </w:p>
        </w:tc>
        <w:tc>
          <w:tcPr>
            <w:tcW w:w="339" w:type="pct"/>
            <w:tcBorders>
              <w:top w:val="single" w:sz="4" w:space="0" w:color="auto"/>
            </w:tcBorders>
            <w:shd w:val="clear" w:color="auto" w:fill="auto"/>
            <w:noWrap/>
          </w:tcPr>
          <w:p w14:paraId="79AAE835" w14:textId="77777777" w:rsidR="00A50757" w:rsidRDefault="00A50757" w:rsidP="00DB07F4">
            <w:pPr>
              <w:keepLines/>
              <w:spacing w:before="40" w:after="40" w:line="200" w:lineRule="atLeast"/>
              <w:jc w:val="center"/>
              <w:rPr>
                <w:rFonts w:eastAsia="Times New Roman"/>
                <w:iCs/>
                <w:szCs w:val="17"/>
              </w:rPr>
            </w:pPr>
          </w:p>
        </w:tc>
        <w:tc>
          <w:tcPr>
            <w:tcW w:w="360" w:type="pct"/>
            <w:tcBorders>
              <w:top w:val="single" w:sz="4" w:space="0" w:color="auto"/>
            </w:tcBorders>
            <w:shd w:val="clear" w:color="auto" w:fill="FFFF00"/>
            <w:noWrap/>
          </w:tcPr>
          <w:p w14:paraId="2C9B242E" w14:textId="3DCBEF93" w:rsidR="00A50757" w:rsidRDefault="00A50757" w:rsidP="00DB07F4">
            <w:pPr>
              <w:keepLines/>
              <w:spacing w:before="40" w:after="40" w:line="200" w:lineRule="atLeast"/>
              <w:jc w:val="center"/>
              <w:rPr>
                <w:rFonts w:eastAsia="Times New Roman"/>
                <w:iCs/>
                <w:szCs w:val="17"/>
              </w:rPr>
            </w:pPr>
            <w:r>
              <w:rPr>
                <w:rFonts w:eastAsia="Times New Roman"/>
                <w:iCs/>
                <w:szCs w:val="17"/>
              </w:rPr>
              <w:t>4</w:t>
            </w:r>
          </w:p>
        </w:tc>
      </w:tr>
      <w:tr w:rsidR="00A50757" w:rsidRPr="00812509" w14:paraId="5C7F1B39" w14:textId="77777777" w:rsidTr="00154F8C">
        <w:trPr>
          <w:cnfStyle w:val="000000010000" w:firstRow="0" w:lastRow="0" w:firstColumn="0" w:lastColumn="0" w:oddVBand="0" w:evenVBand="0" w:oddHBand="0" w:evenHBand="1" w:firstRowFirstColumn="0" w:firstRowLastColumn="0" w:lastRowFirstColumn="0" w:lastRowLastColumn="0"/>
          <w:trHeight w:val="287"/>
        </w:trPr>
        <w:tc>
          <w:tcPr>
            <w:tcW w:w="1760" w:type="pct"/>
            <w:tcBorders>
              <w:bottom w:val="single" w:sz="4" w:space="0" w:color="auto"/>
            </w:tcBorders>
          </w:tcPr>
          <w:p w14:paraId="077B2A49" w14:textId="77777777" w:rsidR="00A50757" w:rsidRPr="00337DE8" w:rsidRDefault="00A50757" w:rsidP="00DB07F4">
            <w:pPr>
              <w:keepLines/>
              <w:spacing w:before="40" w:after="40" w:line="200" w:lineRule="atLeast"/>
              <w:rPr>
                <w:rFonts w:eastAsia="Times New Roman"/>
                <w:iCs/>
                <w:szCs w:val="17"/>
              </w:rPr>
            </w:pPr>
          </w:p>
        </w:tc>
        <w:tc>
          <w:tcPr>
            <w:tcW w:w="538" w:type="pct"/>
            <w:tcBorders>
              <w:bottom w:val="single" w:sz="4" w:space="0" w:color="auto"/>
            </w:tcBorders>
          </w:tcPr>
          <w:p w14:paraId="1B11EEB1" w14:textId="77777777" w:rsidR="00A50757" w:rsidRPr="00337DE8" w:rsidRDefault="00A50757" w:rsidP="00DB07F4">
            <w:pPr>
              <w:keepLines/>
              <w:spacing w:before="40" w:after="40" w:line="200" w:lineRule="atLeast"/>
              <w:rPr>
                <w:rFonts w:eastAsia="Times New Roman"/>
                <w:iCs/>
                <w:szCs w:val="17"/>
              </w:rPr>
            </w:pPr>
          </w:p>
        </w:tc>
        <w:tc>
          <w:tcPr>
            <w:tcW w:w="442" w:type="pct"/>
            <w:tcBorders>
              <w:bottom w:val="single" w:sz="4" w:space="0" w:color="auto"/>
            </w:tcBorders>
          </w:tcPr>
          <w:p w14:paraId="19FEAA4F" w14:textId="5086074D" w:rsidR="00A50757" w:rsidRPr="00812509" w:rsidRDefault="00A50757" w:rsidP="00DB07F4">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9" w:type="pct"/>
            <w:tcBorders>
              <w:bottom w:val="single" w:sz="4" w:space="0" w:color="auto"/>
            </w:tcBorders>
            <w:shd w:val="clear" w:color="auto" w:fill="auto"/>
            <w:noWrap/>
          </w:tcPr>
          <w:p w14:paraId="59D86068" w14:textId="362D4B18"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5CF7491A" w14:textId="02A69A2F"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c>
          <w:tcPr>
            <w:tcW w:w="352" w:type="pct"/>
            <w:tcBorders>
              <w:bottom w:val="single" w:sz="4" w:space="0" w:color="auto"/>
            </w:tcBorders>
            <w:shd w:val="clear" w:color="auto" w:fill="auto"/>
            <w:noWrap/>
          </w:tcPr>
          <w:p w14:paraId="15BC43B0" w14:textId="4C75B4F8"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c>
          <w:tcPr>
            <w:tcW w:w="383" w:type="pct"/>
            <w:tcBorders>
              <w:bottom w:val="single" w:sz="4" w:space="0" w:color="auto"/>
            </w:tcBorders>
            <w:shd w:val="clear" w:color="auto" w:fill="auto"/>
            <w:noWrap/>
          </w:tcPr>
          <w:p w14:paraId="727D7739" w14:textId="5AAC7B44"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c>
          <w:tcPr>
            <w:tcW w:w="339" w:type="pct"/>
            <w:tcBorders>
              <w:bottom w:val="single" w:sz="4" w:space="0" w:color="auto"/>
            </w:tcBorders>
            <w:shd w:val="clear" w:color="auto" w:fill="auto"/>
            <w:noWrap/>
          </w:tcPr>
          <w:p w14:paraId="5253C010" w14:textId="2601C323"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c>
          <w:tcPr>
            <w:tcW w:w="360" w:type="pct"/>
            <w:tcBorders>
              <w:bottom w:val="single" w:sz="4" w:space="0" w:color="auto"/>
            </w:tcBorders>
            <w:shd w:val="clear" w:color="auto" w:fill="auto"/>
            <w:noWrap/>
          </w:tcPr>
          <w:p w14:paraId="71FC177A" w14:textId="2CA7CA9E" w:rsidR="00A50757" w:rsidRDefault="00A50757" w:rsidP="00DB07F4">
            <w:pPr>
              <w:keepLines/>
              <w:spacing w:before="40" w:after="40" w:line="200" w:lineRule="atLeast"/>
              <w:jc w:val="center"/>
              <w:rPr>
                <w:rFonts w:eastAsia="Times New Roman"/>
                <w:iCs/>
                <w:szCs w:val="17"/>
              </w:rPr>
            </w:pPr>
            <w:r>
              <w:rPr>
                <w:rFonts w:eastAsia="Times New Roman"/>
                <w:iCs/>
                <w:szCs w:val="17"/>
              </w:rPr>
              <w:t>n/a</w:t>
            </w:r>
          </w:p>
        </w:tc>
      </w:tr>
    </w:tbl>
    <w:p w14:paraId="7429965D" w14:textId="78B58421" w:rsidR="00C05D5C" w:rsidRPr="00085E5F" w:rsidRDefault="00C05D5C" w:rsidP="004A6867">
      <w:pPr>
        <w:pStyle w:val="ListBullet"/>
        <w:tabs>
          <w:tab w:val="clear" w:pos="284"/>
        </w:tabs>
        <w:spacing w:before="400"/>
        <w:rPr>
          <w:color w:val="FF0000"/>
        </w:rPr>
      </w:pPr>
      <w:r w:rsidRPr="00EF26B5">
        <w:rPr>
          <w:rFonts w:asciiTheme="minorHAnsi" w:eastAsiaTheme="majorEastAsia" w:hAnsiTheme="minorHAnsi" w:cstheme="minorHAnsi"/>
          <w:caps/>
          <w:color w:val="495965" w:themeColor="text2"/>
          <w:sz w:val="36"/>
          <w:szCs w:val="36"/>
          <w:lang w:val="en-GB" w:eastAsia="en-US"/>
        </w:rPr>
        <w:t>2 HAQC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918" w:type="pct"/>
        <w:tblLook w:val="0000" w:firstRow="0" w:lastRow="0" w:firstColumn="0" w:lastColumn="0" w:noHBand="0" w:noVBand="0"/>
      </w:tblPr>
      <w:tblGrid>
        <w:gridCol w:w="3213"/>
        <w:gridCol w:w="1185"/>
        <w:gridCol w:w="692"/>
        <w:gridCol w:w="678"/>
        <w:gridCol w:w="707"/>
        <w:gridCol w:w="773"/>
        <w:gridCol w:w="705"/>
        <w:gridCol w:w="766"/>
        <w:gridCol w:w="761"/>
      </w:tblGrid>
      <w:tr w:rsidR="00B169F2" w:rsidRPr="00812509" w14:paraId="3321CF43" w14:textId="77777777" w:rsidTr="00154F8C">
        <w:trPr>
          <w:cnfStyle w:val="000000010000" w:firstRow="0" w:lastRow="0" w:firstColumn="0" w:lastColumn="0" w:oddVBand="0" w:evenVBand="0" w:oddHBand="0" w:evenHBand="1" w:firstRowFirstColumn="0" w:firstRowLastColumn="0" w:lastRowFirstColumn="0" w:lastRowLastColumn="0"/>
          <w:trHeight w:val="1608"/>
        </w:trPr>
        <w:tc>
          <w:tcPr>
            <w:tcW w:w="1673" w:type="pct"/>
          </w:tcPr>
          <w:p w14:paraId="7A7A72A1"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02272" behindDoc="0" locked="0" layoutInCell="1" allowOverlap="1" wp14:anchorId="7295A902" wp14:editId="7295A903">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10" w:type="pct"/>
            <w:textDirection w:val="btLr"/>
          </w:tcPr>
          <w:p w14:paraId="468C8CA3"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50" w:type="pct"/>
            <w:noWrap/>
            <w:textDirection w:val="btLr"/>
          </w:tcPr>
          <w:p w14:paraId="1ECABFE0"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43" w:type="pct"/>
            <w:noWrap/>
            <w:textDirection w:val="btLr"/>
          </w:tcPr>
          <w:p w14:paraId="632FC838"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58" w:type="pct"/>
            <w:noWrap/>
            <w:textDirection w:val="btLr"/>
          </w:tcPr>
          <w:p w14:paraId="3B20F000"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93" w:type="pct"/>
            <w:noWrap/>
            <w:textDirection w:val="btLr"/>
          </w:tcPr>
          <w:p w14:paraId="79A3F9CD"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57" w:type="pct"/>
            <w:noWrap/>
            <w:textDirection w:val="btLr"/>
          </w:tcPr>
          <w:p w14:paraId="22B32A75"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89" w:type="pct"/>
            <w:textDirection w:val="btLr"/>
          </w:tcPr>
          <w:p w14:paraId="4E707D14" w14:textId="77777777" w:rsidR="00B169F2" w:rsidRPr="00812509" w:rsidRDefault="00B169F2"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79" w:type="pct"/>
            <w:textDirection w:val="btLr"/>
          </w:tcPr>
          <w:p w14:paraId="4C7B5968" w14:textId="2F082FBC" w:rsidR="00B169F2" w:rsidRPr="00812509" w:rsidRDefault="00B169F2" w:rsidP="00EA09A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Protection</w:t>
            </w:r>
          </w:p>
        </w:tc>
      </w:tr>
      <w:tr w:rsidR="00B169F2" w:rsidRPr="00812509" w14:paraId="2147ABCA" w14:textId="77777777" w:rsidTr="00154F8C">
        <w:trPr>
          <w:cnfStyle w:val="000000010000" w:firstRow="0" w:lastRow="0" w:firstColumn="0" w:lastColumn="0" w:oddVBand="0" w:evenVBand="0" w:oddHBand="0" w:evenHBand="1" w:firstRowFirstColumn="0" w:firstRowLastColumn="0" w:lastRowFirstColumn="0" w:lastRowLastColumn="0"/>
          <w:trHeight w:val="303"/>
        </w:trPr>
        <w:tc>
          <w:tcPr>
            <w:tcW w:w="1673" w:type="pct"/>
          </w:tcPr>
          <w:p w14:paraId="33190712" w14:textId="664020A7" w:rsidR="00B169F2" w:rsidRPr="00812509" w:rsidRDefault="00B169F2" w:rsidP="00EA09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Highlands Earthquake response</w:t>
            </w:r>
          </w:p>
        </w:tc>
        <w:tc>
          <w:tcPr>
            <w:tcW w:w="610" w:type="pct"/>
          </w:tcPr>
          <w:p w14:paraId="5BA47E47" w14:textId="77777777" w:rsidR="00B169F2" w:rsidRPr="00580EF6" w:rsidRDefault="00B169F2" w:rsidP="00EA09AA">
            <w:pPr>
              <w:keepLines/>
              <w:spacing w:before="40" w:after="40" w:line="200" w:lineRule="atLeast"/>
              <w:rPr>
                <w:rFonts w:asciiTheme="minorHAnsi" w:eastAsia="Times New Roman" w:hAnsiTheme="minorHAnsi"/>
                <w:iCs/>
                <w:szCs w:val="17"/>
                <w:lang w:eastAsia="en-US"/>
              </w:rPr>
            </w:pPr>
            <w:r w:rsidRPr="00580EF6">
              <w:rPr>
                <w:rFonts w:asciiTheme="minorHAnsi" w:eastAsia="Times New Roman" w:hAnsiTheme="minorHAnsi"/>
                <w:iCs/>
                <w:szCs w:val="17"/>
                <w:lang w:eastAsia="en-US"/>
              </w:rPr>
              <w:t>$3.7m</w:t>
            </w:r>
          </w:p>
          <w:p w14:paraId="0ED3C780" w14:textId="324D21DC" w:rsidR="00B169F2" w:rsidRPr="00812509" w:rsidRDefault="00B169F2" w:rsidP="00EA09AA">
            <w:pPr>
              <w:keepLines/>
              <w:spacing w:before="40" w:after="40" w:line="200" w:lineRule="atLeast"/>
              <w:rPr>
                <w:rFonts w:asciiTheme="minorHAnsi" w:eastAsia="Times New Roman" w:hAnsiTheme="minorHAnsi"/>
                <w:iCs/>
                <w:szCs w:val="17"/>
                <w:lang w:eastAsia="en-US"/>
              </w:rPr>
            </w:pPr>
            <w:r w:rsidRPr="00580EF6">
              <w:rPr>
                <w:rFonts w:asciiTheme="minorHAnsi" w:eastAsia="Times New Roman" w:hAnsiTheme="minorHAnsi"/>
                <w:iCs/>
                <w:szCs w:val="17"/>
                <w:lang w:eastAsia="en-US"/>
              </w:rPr>
              <w:t>2018-29</w:t>
            </w:r>
          </w:p>
        </w:tc>
        <w:tc>
          <w:tcPr>
            <w:tcW w:w="350" w:type="pct"/>
            <w:shd w:val="clear" w:color="auto" w:fill="92D050"/>
            <w:noWrap/>
          </w:tcPr>
          <w:p w14:paraId="2BCEDCEC" w14:textId="76198ED7"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43" w:type="pct"/>
            <w:shd w:val="clear" w:color="auto" w:fill="FFFF00"/>
            <w:noWrap/>
          </w:tcPr>
          <w:p w14:paraId="39FE01B5" w14:textId="0CB64B33"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8" w:type="pct"/>
            <w:shd w:val="clear" w:color="auto" w:fill="FFFF00"/>
            <w:noWrap/>
          </w:tcPr>
          <w:p w14:paraId="60944A87" w14:textId="22627860"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3" w:type="pct"/>
            <w:shd w:val="clear" w:color="auto" w:fill="FFFF00"/>
            <w:noWrap/>
          </w:tcPr>
          <w:p w14:paraId="33FC0BB7" w14:textId="64D8DC88"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7" w:type="pct"/>
            <w:shd w:val="clear" w:color="auto" w:fill="FFC000"/>
            <w:noWrap/>
          </w:tcPr>
          <w:p w14:paraId="675A29D2" w14:textId="77777777"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89" w:type="pct"/>
            <w:shd w:val="clear" w:color="auto" w:fill="92D050"/>
          </w:tcPr>
          <w:p w14:paraId="09033BED" w14:textId="293C1CCB"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9" w:type="pct"/>
            <w:shd w:val="clear" w:color="auto" w:fill="FFFF00"/>
          </w:tcPr>
          <w:p w14:paraId="5C1EB662" w14:textId="5798E439" w:rsidR="00B169F2" w:rsidRPr="00812509" w:rsidRDefault="00B169F2"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55962439" w14:textId="77777777" w:rsidR="00400B0F" w:rsidRDefault="00400B0F" w:rsidP="00400B0F">
      <w:pPr>
        <w:rPr>
          <w:iCs/>
        </w:rPr>
      </w:pPr>
    </w:p>
    <w:p w14:paraId="04D0F492" w14:textId="45EA57D9" w:rsidR="00C05D5C" w:rsidRPr="004527D9" w:rsidRDefault="00C05D5C" w:rsidP="00B40313">
      <w:pPr>
        <w:pStyle w:val="ListBullet"/>
        <w:tabs>
          <w:tab w:val="clear" w:pos="284"/>
        </w:tabs>
        <w:spacing w:before="400"/>
        <w:rPr>
          <w:color w:val="FF0000"/>
        </w:rPr>
      </w:pPr>
      <w:r w:rsidRPr="00EF26B5">
        <w:rPr>
          <w:rFonts w:asciiTheme="minorHAnsi" w:eastAsiaTheme="majorEastAsia" w:hAnsiTheme="minorHAnsi" w:cstheme="minorHAnsi"/>
          <w:caps/>
          <w:color w:val="495965" w:themeColor="text2"/>
          <w:sz w:val="36"/>
          <w:szCs w:val="36"/>
          <w:lang w:val="en-GB" w:eastAsia="en-US"/>
        </w:rPr>
        <w:lastRenderedPageBreak/>
        <w:t>3 FAQC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85" w:type="pct"/>
        <w:tblLook w:val="0000" w:firstRow="0" w:lastRow="0" w:firstColumn="0" w:lastColumn="0" w:noHBand="0" w:noVBand="0"/>
      </w:tblPr>
      <w:tblGrid>
        <w:gridCol w:w="3119"/>
        <w:gridCol w:w="1210"/>
        <w:gridCol w:w="684"/>
        <w:gridCol w:w="702"/>
        <w:gridCol w:w="691"/>
        <w:gridCol w:w="721"/>
        <w:gridCol w:w="788"/>
        <w:gridCol w:w="719"/>
        <w:gridCol w:w="782"/>
      </w:tblGrid>
      <w:tr w:rsidR="00B4681D" w:rsidRPr="00812509" w14:paraId="2852661D" w14:textId="77777777" w:rsidTr="00154F8C">
        <w:trPr>
          <w:cnfStyle w:val="000000010000" w:firstRow="0" w:lastRow="0" w:firstColumn="0" w:lastColumn="0" w:oddVBand="0" w:evenVBand="0" w:oddHBand="0" w:evenHBand="1" w:firstRowFirstColumn="0" w:firstRowLastColumn="0" w:lastRowFirstColumn="0" w:lastRowLastColumn="0"/>
          <w:trHeight w:val="1526"/>
        </w:trPr>
        <w:tc>
          <w:tcPr>
            <w:tcW w:w="1634" w:type="pct"/>
          </w:tcPr>
          <w:p w14:paraId="5F434480"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04320" behindDoc="0" locked="0" layoutInCell="1" allowOverlap="1" wp14:anchorId="7295A904" wp14:editId="7295A905">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28" w:type="pct"/>
            <w:textDirection w:val="btLr"/>
          </w:tcPr>
          <w:p w14:paraId="32A7DCEF"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48" w:type="pct"/>
            <w:noWrap/>
            <w:textDirection w:val="btLr"/>
          </w:tcPr>
          <w:p w14:paraId="6CD38F05"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58" w:type="pct"/>
            <w:noWrap/>
            <w:textDirection w:val="btLr"/>
          </w:tcPr>
          <w:p w14:paraId="0B2296A0"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52" w:type="pct"/>
            <w:noWrap/>
            <w:textDirection w:val="btLr"/>
          </w:tcPr>
          <w:p w14:paraId="48F92981"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68" w:type="pct"/>
            <w:noWrap/>
            <w:textDirection w:val="btLr"/>
          </w:tcPr>
          <w:p w14:paraId="19BA083E"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04" w:type="pct"/>
            <w:noWrap/>
            <w:textDirection w:val="btLr"/>
          </w:tcPr>
          <w:p w14:paraId="10DAE5DA"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67" w:type="pct"/>
            <w:noWrap/>
            <w:textDirection w:val="btLr"/>
          </w:tcPr>
          <w:p w14:paraId="38B09FEE"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93" w:type="pct"/>
            <w:textDirection w:val="btLr"/>
          </w:tcPr>
          <w:p w14:paraId="6AF44F17" w14:textId="77777777" w:rsidR="00B4681D" w:rsidRPr="00812509" w:rsidRDefault="00B4681D" w:rsidP="00EA09A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B4681D" w:rsidRPr="00812509" w14:paraId="7F801471" w14:textId="77777777" w:rsidTr="00154F8C">
        <w:trPr>
          <w:cnfStyle w:val="000000010000" w:firstRow="0" w:lastRow="0" w:firstColumn="0" w:lastColumn="0" w:oddVBand="0" w:evenVBand="0" w:oddHBand="0" w:evenHBand="1" w:firstRowFirstColumn="0" w:firstRowLastColumn="0" w:lastRowFirstColumn="0" w:lastRowLastColumn="0"/>
          <w:trHeight w:val="288"/>
        </w:trPr>
        <w:tc>
          <w:tcPr>
            <w:tcW w:w="1634" w:type="pct"/>
          </w:tcPr>
          <w:p w14:paraId="7C241CEE" w14:textId="5ADFFFE5" w:rsidR="00B4681D" w:rsidRPr="00812509" w:rsidRDefault="00B4681D" w:rsidP="00EA09AA">
            <w:pPr>
              <w:keepLines/>
              <w:spacing w:before="40" w:after="40" w:line="200" w:lineRule="atLeast"/>
              <w:rPr>
                <w:rFonts w:asciiTheme="minorHAnsi" w:eastAsia="Times New Roman" w:hAnsiTheme="minorHAnsi"/>
                <w:iCs/>
                <w:szCs w:val="17"/>
                <w:lang w:eastAsia="en-US"/>
              </w:rPr>
            </w:pPr>
            <w:r w:rsidRPr="00B4681D">
              <w:rPr>
                <w:rFonts w:asciiTheme="minorHAnsi" w:eastAsia="Times New Roman" w:hAnsiTheme="minorHAnsi"/>
                <w:iCs/>
                <w:szCs w:val="17"/>
                <w:lang w:eastAsia="en-US"/>
              </w:rPr>
              <w:t>PNG Microfinance Expansion Project</w:t>
            </w:r>
          </w:p>
        </w:tc>
        <w:tc>
          <w:tcPr>
            <w:tcW w:w="628" w:type="pct"/>
          </w:tcPr>
          <w:p w14:paraId="1076D1B9" w14:textId="77777777" w:rsidR="00B4681D" w:rsidRPr="00DE0F88" w:rsidRDefault="00B4681D" w:rsidP="00EA09AA">
            <w:pPr>
              <w:autoSpaceDE w:val="0"/>
              <w:autoSpaceDN w:val="0"/>
              <w:adjustRightInd w:val="0"/>
              <w:rPr>
                <w:rFonts w:asciiTheme="minorHAnsi" w:eastAsia="Times New Roman" w:hAnsiTheme="minorHAnsi"/>
                <w:iCs/>
                <w:szCs w:val="17"/>
                <w:lang w:eastAsia="en-US"/>
              </w:rPr>
            </w:pPr>
            <w:r w:rsidRPr="00DE0F88">
              <w:rPr>
                <w:rFonts w:asciiTheme="minorHAnsi" w:eastAsia="Times New Roman" w:hAnsiTheme="minorHAnsi"/>
                <w:iCs/>
                <w:szCs w:val="17"/>
                <w:lang w:eastAsia="en-US"/>
              </w:rPr>
              <w:t xml:space="preserve">$25.4m </w:t>
            </w:r>
          </w:p>
          <w:p w14:paraId="3958520A" w14:textId="77777777" w:rsidR="00B4681D" w:rsidRPr="00812509" w:rsidRDefault="00B4681D" w:rsidP="00EA09A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4</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348" w:type="pct"/>
            <w:shd w:val="clear" w:color="auto" w:fill="FFFF00"/>
            <w:noWrap/>
          </w:tcPr>
          <w:p w14:paraId="0C502D71" w14:textId="77777777"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8" w:type="pct"/>
            <w:shd w:val="clear" w:color="auto" w:fill="FFFF00"/>
            <w:noWrap/>
          </w:tcPr>
          <w:p w14:paraId="7AEBF96D" w14:textId="2371FEFD"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2" w:type="pct"/>
            <w:shd w:val="clear" w:color="auto" w:fill="FFFF00"/>
            <w:noWrap/>
          </w:tcPr>
          <w:p w14:paraId="49CCBF56" w14:textId="7663E71F"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FFC000"/>
            <w:noWrap/>
          </w:tcPr>
          <w:p w14:paraId="4ED52015" w14:textId="58CB4601"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4" w:type="pct"/>
            <w:shd w:val="clear" w:color="auto" w:fill="FFC000"/>
            <w:noWrap/>
          </w:tcPr>
          <w:p w14:paraId="613C974D" w14:textId="20735EA2"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67" w:type="pct"/>
            <w:shd w:val="clear" w:color="auto" w:fill="FFFF00"/>
            <w:noWrap/>
          </w:tcPr>
          <w:p w14:paraId="6C853E5C" w14:textId="21B9E507"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3" w:type="pct"/>
            <w:shd w:val="clear" w:color="auto" w:fill="FFFF00"/>
          </w:tcPr>
          <w:p w14:paraId="4EB64402" w14:textId="0E54B654" w:rsidR="00B4681D" w:rsidRPr="00812509" w:rsidRDefault="00B4681D" w:rsidP="00EA09A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B4681D" w:rsidRPr="00812509" w14:paraId="23D063F4" w14:textId="77777777" w:rsidTr="00154F8C">
        <w:trPr>
          <w:cnfStyle w:val="000000010000" w:firstRow="0" w:lastRow="0" w:firstColumn="0" w:lastColumn="0" w:oddVBand="0" w:evenVBand="0" w:oddHBand="0" w:evenHBand="1" w:firstRowFirstColumn="0" w:firstRowLastColumn="0" w:lastRowFirstColumn="0" w:lastRowLastColumn="0"/>
          <w:trHeight w:val="288"/>
        </w:trPr>
        <w:tc>
          <w:tcPr>
            <w:tcW w:w="1634" w:type="pct"/>
            <w:tcBorders>
              <w:top w:val="single" w:sz="4" w:space="0" w:color="auto"/>
              <w:bottom w:val="single" w:sz="12" w:space="0" w:color="000000" w:themeColor="text1"/>
            </w:tcBorders>
          </w:tcPr>
          <w:p w14:paraId="413B65E7" w14:textId="106815C6" w:rsidR="00B4681D" w:rsidRPr="00DE0F88" w:rsidRDefault="00DE0F88" w:rsidP="00EA09AA">
            <w:pPr>
              <w:keepLines/>
              <w:spacing w:before="40" w:after="40" w:line="200" w:lineRule="atLeast"/>
              <w:rPr>
                <w:rFonts w:asciiTheme="minorHAnsi" w:eastAsia="Times New Roman" w:hAnsiTheme="minorHAnsi"/>
                <w:iCs/>
                <w:szCs w:val="17"/>
                <w:lang w:eastAsia="en-US"/>
              </w:rPr>
            </w:pPr>
            <w:r w:rsidRPr="00DE0F88">
              <w:rPr>
                <w:rFonts w:asciiTheme="minorHAnsi" w:eastAsia="Times New Roman" w:hAnsiTheme="minorHAnsi"/>
                <w:iCs/>
                <w:szCs w:val="17"/>
                <w:lang w:eastAsia="en-US"/>
              </w:rPr>
              <w:t>PNG National Museum and Art Gallery</w:t>
            </w:r>
          </w:p>
        </w:tc>
        <w:tc>
          <w:tcPr>
            <w:tcW w:w="628" w:type="pct"/>
            <w:tcBorders>
              <w:top w:val="single" w:sz="4" w:space="0" w:color="auto"/>
              <w:bottom w:val="single" w:sz="12" w:space="0" w:color="000000" w:themeColor="text1"/>
            </w:tcBorders>
          </w:tcPr>
          <w:p w14:paraId="74F5AACF" w14:textId="77777777" w:rsidR="00B4681D" w:rsidRPr="00DE0F88" w:rsidRDefault="00DE0F88" w:rsidP="00EA09AA">
            <w:pPr>
              <w:autoSpaceDE w:val="0"/>
              <w:autoSpaceDN w:val="0"/>
              <w:adjustRightInd w:val="0"/>
              <w:rPr>
                <w:rFonts w:asciiTheme="minorHAnsi" w:eastAsia="Times New Roman" w:hAnsiTheme="minorHAnsi"/>
                <w:iCs/>
                <w:szCs w:val="17"/>
                <w:lang w:eastAsia="en-US"/>
              </w:rPr>
            </w:pPr>
            <w:r w:rsidRPr="00DE0F88">
              <w:rPr>
                <w:rFonts w:asciiTheme="minorHAnsi" w:eastAsia="Times New Roman" w:hAnsiTheme="minorHAnsi"/>
                <w:iCs/>
                <w:szCs w:val="17"/>
                <w:lang w:eastAsia="en-US"/>
              </w:rPr>
              <w:t>$4.0m</w:t>
            </w:r>
          </w:p>
          <w:p w14:paraId="1EC1278F" w14:textId="628B6DD7" w:rsidR="00DE0F88" w:rsidRPr="00DE0F88" w:rsidRDefault="00DE0F88" w:rsidP="00EA09AA">
            <w:pPr>
              <w:autoSpaceDE w:val="0"/>
              <w:autoSpaceDN w:val="0"/>
              <w:adjustRightInd w:val="0"/>
              <w:rPr>
                <w:rFonts w:asciiTheme="minorHAnsi" w:eastAsia="Times New Roman" w:hAnsiTheme="minorHAnsi"/>
                <w:iCs/>
                <w:szCs w:val="17"/>
                <w:lang w:eastAsia="en-US"/>
              </w:rPr>
            </w:pPr>
            <w:r w:rsidRPr="00DE0F88">
              <w:rPr>
                <w:rFonts w:asciiTheme="minorHAnsi" w:eastAsia="Times New Roman" w:hAnsiTheme="minorHAnsi"/>
                <w:iCs/>
                <w:szCs w:val="17"/>
                <w:lang w:eastAsia="en-US"/>
              </w:rPr>
              <w:t>2014-18</w:t>
            </w:r>
          </w:p>
        </w:tc>
        <w:tc>
          <w:tcPr>
            <w:tcW w:w="348" w:type="pct"/>
            <w:tcBorders>
              <w:top w:val="single" w:sz="4" w:space="0" w:color="auto"/>
              <w:bottom w:val="single" w:sz="12" w:space="0" w:color="000000" w:themeColor="text1"/>
            </w:tcBorders>
            <w:shd w:val="clear" w:color="auto" w:fill="FFFF00"/>
            <w:noWrap/>
          </w:tcPr>
          <w:p w14:paraId="73176E37" w14:textId="3731C884"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4</w:t>
            </w:r>
          </w:p>
        </w:tc>
        <w:tc>
          <w:tcPr>
            <w:tcW w:w="358" w:type="pct"/>
            <w:tcBorders>
              <w:top w:val="single" w:sz="4" w:space="0" w:color="auto"/>
              <w:bottom w:val="single" w:sz="12" w:space="0" w:color="000000" w:themeColor="text1"/>
            </w:tcBorders>
            <w:shd w:val="clear" w:color="auto" w:fill="92D050"/>
            <w:noWrap/>
          </w:tcPr>
          <w:p w14:paraId="64EC28F1" w14:textId="28EDB8E5"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5</w:t>
            </w:r>
          </w:p>
        </w:tc>
        <w:tc>
          <w:tcPr>
            <w:tcW w:w="352" w:type="pct"/>
            <w:tcBorders>
              <w:top w:val="single" w:sz="4" w:space="0" w:color="auto"/>
              <w:bottom w:val="single" w:sz="12" w:space="0" w:color="000000" w:themeColor="text1"/>
            </w:tcBorders>
            <w:shd w:val="clear" w:color="auto" w:fill="92D050"/>
            <w:noWrap/>
          </w:tcPr>
          <w:p w14:paraId="52EB9438" w14:textId="75337744"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5</w:t>
            </w:r>
          </w:p>
        </w:tc>
        <w:tc>
          <w:tcPr>
            <w:tcW w:w="368" w:type="pct"/>
            <w:tcBorders>
              <w:top w:val="single" w:sz="4" w:space="0" w:color="auto"/>
              <w:bottom w:val="single" w:sz="12" w:space="0" w:color="000000" w:themeColor="text1"/>
            </w:tcBorders>
            <w:shd w:val="clear" w:color="auto" w:fill="FFC000"/>
            <w:noWrap/>
          </w:tcPr>
          <w:p w14:paraId="32A20D0C" w14:textId="64FA69DB"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3</w:t>
            </w:r>
          </w:p>
        </w:tc>
        <w:tc>
          <w:tcPr>
            <w:tcW w:w="404" w:type="pct"/>
            <w:tcBorders>
              <w:top w:val="single" w:sz="4" w:space="0" w:color="auto"/>
              <w:bottom w:val="single" w:sz="12" w:space="0" w:color="000000" w:themeColor="text1"/>
            </w:tcBorders>
            <w:shd w:val="clear" w:color="auto" w:fill="FFFF00"/>
            <w:noWrap/>
          </w:tcPr>
          <w:p w14:paraId="0DDB63FF" w14:textId="251FB5FF"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4</w:t>
            </w:r>
          </w:p>
        </w:tc>
        <w:tc>
          <w:tcPr>
            <w:tcW w:w="367" w:type="pct"/>
            <w:tcBorders>
              <w:top w:val="single" w:sz="4" w:space="0" w:color="auto"/>
              <w:bottom w:val="single" w:sz="12" w:space="0" w:color="000000" w:themeColor="text1"/>
            </w:tcBorders>
            <w:shd w:val="clear" w:color="auto" w:fill="FFFF00"/>
            <w:noWrap/>
          </w:tcPr>
          <w:p w14:paraId="3497F0EC" w14:textId="1BBD60AA"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4</w:t>
            </w:r>
          </w:p>
        </w:tc>
        <w:tc>
          <w:tcPr>
            <w:tcW w:w="393" w:type="pct"/>
            <w:tcBorders>
              <w:top w:val="single" w:sz="4" w:space="0" w:color="auto"/>
              <w:bottom w:val="single" w:sz="12" w:space="0" w:color="000000" w:themeColor="text1"/>
            </w:tcBorders>
            <w:shd w:val="clear" w:color="auto" w:fill="FFC000"/>
          </w:tcPr>
          <w:p w14:paraId="44026BEB" w14:textId="74533A4E" w:rsidR="00B4681D" w:rsidRPr="00812509" w:rsidRDefault="00DE0F88" w:rsidP="00EA09AA">
            <w:pPr>
              <w:keepLines/>
              <w:spacing w:before="40" w:after="40" w:line="200" w:lineRule="atLeast"/>
              <w:jc w:val="center"/>
              <w:rPr>
                <w:rFonts w:eastAsia="Times New Roman"/>
                <w:iCs/>
                <w:szCs w:val="17"/>
              </w:rPr>
            </w:pPr>
            <w:r>
              <w:rPr>
                <w:rFonts w:eastAsia="Times New Roman"/>
                <w:iCs/>
                <w:szCs w:val="17"/>
              </w:rPr>
              <w:t>3</w:t>
            </w:r>
          </w:p>
        </w:tc>
      </w:tr>
    </w:tbl>
    <w:p w14:paraId="6F9D3A4B" w14:textId="77777777" w:rsidR="00C05D5C" w:rsidRPr="00812509" w:rsidRDefault="00C05D5C" w:rsidP="00C05D5C">
      <w:pPr>
        <w:spacing w:before="20" w:after="20" w:line="180" w:lineRule="atLeast"/>
        <w:jc w:val="both"/>
        <w:rPr>
          <w:rFonts w:eastAsia="Times New Roman"/>
          <w:b/>
          <w:sz w:val="14"/>
          <w:szCs w:val="14"/>
        </w:rPr>
      </w:pPr>
    </w:p>
    <w:p w14:paraId="7DD24A33" w14:textId="77777777"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07758995" w14:textId="77777777"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432BC0C4"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08EFC6B"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087646DA"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3C88D298"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6803D570" w14:textId="77777777" w:rsidR="00C05D5C" w:rsidRPr="00812509" w:rsidRDefault="00C05D5C" w:rsidP="00C05D5C">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76202577" w14:textId="77777777" w:rsidR="00C05D5C" w:rsidRDefault="00C05D5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4A4A4921" w14:textId="77777777" w:rsidR="003C2096" w:rsidRDefault="003C2096" w:rsidP="00C05D5C">
      <w:pPr>
        <w:pStyle w:val="Subtitle"/>
        <w:spacing w:before="360" w:after="120" w:line="300" w:lineRule="exact"/>
        <w:rPr>
          <w:rFonts w:asciiTheme="majorHAnsi" w:hAnsiTheme="majorHAnsi" w:cstheme="majorHAnsi"/>
        </w:rPr>
        <w:sectPr w:rsidR="003C2096" w:rsidSect="00CA7DD8">
          <w:headerReference w:type="default" r:id="rId33"/>
          <w:pgSz w:w="11906" w:h="16838" w:code="9"/>
          <w:pgMar w:top="1527" w:right="1134" w:bottom="851" w:left="1134" w:header="1418" w:footer="267" w:gutter="0"/>
          <w:cols w:space="397"/>
          <w:docGrid w:linePitch="360"/>
        </w:sectPr>
      </w:pPr>
    </w:p>
    <w:p w14:paraId="1EE45D6B" w14:textId="449C024B" w:rsidR="00C05D5C" w:rsidRPr="00EF26B5" w:rsidRDefault="00C05D5C" w:rsidP="00C05D5C">
      <w:pPr>
        <w:pStyle w:val="Subtitle"/>
        <w:spacing w:before="360" w:after="120" w:line="300" w:lineRule="exact"/>
        <w:rPr>
          <w:rFonts w:asciiTheme="majorHAnsi" w:hAnsiTheme="majorHAnsi" w:cstheme="majorHAnsi"/>
          <w:bCs w:val="0"/>
          <w:iCs w:val="0"/>
          <w:caps w:val="0"/>
        </w:rPr>
      </w:pPr>
      <w:r w:rsidRPr="00614FE9">
        <w:rPr>
          <w:rFonts w:asciiTheme="majorHAnsi" w:hAnsiTheme="majorHAnsi" w:cstheme="majorHAnsi"/>
        </w:rPr>
        <w:lastRenderedPageBreak/>
        <w:t>Annex E – Performance Assessment Framework</w:t>
      </w:r>
      <w:r w:rsidR="00903D75" w:rsidRPr="00614FE9">
        <w:rPr>
          <w:rFonts w:asciiTheme="majorHAnsi" w:hAnsiTheme="majorHAnsi" w:cstheme="majorHAnsi"/>
        </w:rPr>
        <w:t xml:space="preserve"> </w:t>
      </w:r>
    </w:p>
    <w:tbl>
      <w:tblPr>
        <w:tblStyle w:val="TableGrid"/>
        <w:tblW w:w="15156" w:type="dxa"/>
        <w:tblInd w:w="-572" w:type="dxa"/>
        <w:tblLook w:val="04A0" w:firstRow="1" w:lastRow="0" w:firstColumn="1" w:lastColumn="0" w:noHBand="0" w:noVBand="1"/>
      </w:tblPr>
      <w:tblGrid>
        <w:gridCol w:w="5255"/>
        <w:gridCol w:w="1988"/>
        <w:gridCol w:w="2840"/>
        <w:gridCol w:w="3126"/>
        <w:gridCol w:w="1947"/>
      </w:tblGrid>
      <w:tr w:rsidR="00F00E20" w:rsidRPr="006F3534" w14:paraId="089911CF" w14:textId="400A4D12" w:rsidTr="00F16D63">
        <w:trPr>
          <w:trHeight w:val="196"/>
        </w:trPr>
        <w:tc>
          <w:tcPr>
            <w:tcW w:w="15156" w:type="dxa"/>
            <w:gridSpan w:val="5"/>
          </w:tcPr>
          <w:p w14:paraId="663B8F44" w14:textId="4BAB77D0" w:rsidR="00F00E20" w:rsidRPr="006F3534" w:rsidRDefault="00F00E20" w:rsidP="00EA09AA">
            <w:pPr>
              <w:spacing w:before="0" w:after="0" w:line="240" w:lineRule="auto"/>
              <w:jc w:val="center"/>
              <w:rPr>
                <w:sz w:val="18"/>
                <w:szCs w:val="18"/>
              </w:rPr>
            </w:pPr>
            <w:r w:rsidRPr="006F3534">
              <w:rPr>
                <w:sz w:val="18"/>
                <w:szCs w:val="18"/>
              </w:rPr>
              <w:t>Performance Assessment Framework for Australian Development Cooperation in Papua New Guinea 2017-18</w:t>
            </w:r>
            <w:r>
              <w:rPr>
                <w:sz w:val="18"/>
                <w:szCs w:val="18"/>
              </w:rPr>
              <w:t xml:space="preserve"> </w:t>
            </w:r>
          </w:p>
        </w:tc>
      </w:tr>
      <w:tr w:rsidR="00F00E20" w:rsidRPr="006F3534" w14:paraId="1F0C1B92" w14:textId="15F41AD8" w:rsidTr="00F16D63">
        <w:trPr>
          <w:trHeight w:val="210"/>
        </w:trPr>
        <w:tc>
          <w:tcPr>
            <w:tcW w:w="5255" w:type="dxa"/>
          </w:tcPr>
          <w:p w14:paraId="734CEDC4" w14:textId="77777777" w:rsidR="00F00E20" w:rsidRPr="006F3534" w:rsidRDefault="00F00E20" w:rsidP="00EA09AA">
            <w:pPr>
              <w:spacing w:before="0" w:after="0" w:line="240" w:lineRule="auto"/>
              <w:rPr>
                <w:sz w:val="18"/>
                <w:szCs w:val="18"/>
              </w:rPr>
            </w:pPr>
            <w:r w:rsidRPr="006F3534">
              <w:rPr>
                <w:sz w:val="18"/>
                <w:szCs w:val="18"/>
              </w:rPr>
              <w:t>Objective/indicator</w:t>
            </w:r>
          </w:p>
        </w:tc>
        <w:tc>
          <w:tcPr>
            <w:tcW w:w="1988" w:type="dxa"/>
          </w:tcPr>
          <w:p w14:paraId="694A618D" w14:textId="77777777" w:rsidR="00F00E20" w:rsidRPr="006F3534" w:rsidRDefault="00F00E20" w:rsidP="00EA09AA">
            <w:pPr>
              <w:spacing w:before="0" w:after="0" w:line="240" w:lineRule="auto"/>
              <w:rPr>
                <w:sz w:val="18"/>
                <w:szCs w:val="18"/>
              </w:rPr>
            </w:pPr>
            <w:r w:rsidRPr="006F3534">
              <w:rPr>
                <w:sz w:val="18"/>
                <w:szCs w:val="18"/>
              </w:rPr>
              <w:t>2016-17</w:t>
            </w:r>
          </w:p>
        </w:tc>
        <w:tc>
          <w:tcPr>
            <w:tcW w:w="2840" w:type="dxa"/>
          </w:tcPr>
          <w:p w14:paraId="658D470C" w14:textId="77777777" w:rsidR="00F00E20" w:rsidRPr="006F3534" w:rsidRDefault="00F00E20" w:rsidP="00EA09AA">
            <w:pPr>
              <w:spacing w:before="0" w:after="0" w:line="240" w:lineRule="auto"/>
              <w:rPr>
                <w:sz w:val="18"/>
                <w:szCs w:val="18"/>
              </w:rPr>
            </w:pPr>
            <w:r w:rsidRPr="006F3534">
              <w:rPr>
                <w:sz w:val="18"/>
                <w:szCs w:val="18"/>
              </w:rPr>
              <w:t>2017-18</w:t>
            </w:r>
          </w:p>
        </w:tc>
        <w:tc>
          <w:tcPr>
            <w:tcW w:w="3124" w:type="dxa"/>
          </w:tcPr>
          <w:p w14:paraId="77EB759E" w14:textId="475D5283" w:rsidR="00F00E20" w:rsidRPr="006F3534" w:rsidRDefault="00F00E20" w:rsidP="00EA09AA">
            <w:pPr>
              <w:spacing w:before="0" w:after="0" w:line="240" w:lineRule="auto"/>
              <w:rPr>
                <w:sz w:val="18"/>
                <w:szCs w:val="18"/>
              </w:rPr>
            </w:pPr>
            <w:r>
              <w:rPr>
                <w:sz w:val="18"/>
                <w:szCs w:val="18"/>
              </w:rPr>
              <w:t xml:space="preserve">2018-19 </w:t>
            </w:r>
          </w:p>
        </w:tc>
        <w:tc>
          <w:tcPr>
            <w:tcW w:w="1947" w:type="dxa"/>
          </w:tcPr>
          <w:p w14:paraId="50B67C9A" w14:textId="598B59A2" w:rsidR="00F00E20" w:rsidRDefault="00F00E20" w:rsidP="00EA09AA">
            <w:pPr>
              <w:spacing w:before="0" w:after="0" w:line="240" w:lineRule="auto"/>
              <w:rPr>
                <w:sz w:val="18"/>
                <w:szCs w:val="18"/>
              </w:rPr>
            </w:pPr>
            <w:r>
              <w:rPr>
                <w:sz w:val="18"/>
                <w:szCs w:val="18"/>
              </w:rPr>
              <w:t>2019-20 target</w:t>
            </w:r>
          </w:p>
        </w:tc>
      </w:tr>
      <w:tr w:rsidR="00F00E20" w:rsidRPr="006F3534" w14:paraId="3F4F4AFF" w14:textId="03D6F944" w:rsidTr="00F16D63">
        <w:trPr>
          <w:trHeight w:val="406"/>
        </w:trPr>
        <w:tc>
          <w:tcPr>
            <w:tcW w:w="13209" w:type="dxa"/>
            <w:gridSpan w:val="4"/>
            <w:shd w:val="clear" w:color="auto" w:fill="ADDEC1" w:themeFill="accent6" w:themeFillTint="66"/>
          </w:tcPr>
          <w:p w14:paraId="2E8A7C8B" w14:textId="77777777" w:rsidR="00F00E20" w:rsidRPr="006F3534" w:rsidRDefault="00F00E20" w:rsidP="00EA09AA">
            <w:pPr>
              <w:spacing w:before="0" w:after="0" w:line="240" w:lineRule="auto"/>
              <w:rPr>
                <w:rFonts w:eastAsia="Times New Roman"/>
                <w:iCs/>
                <w:sz w:val="18"/>
                <w:szCs w:val="18"/>
              </w:rPr>
            </w:pPr>
            <w:r w:rsidRPr="006F3534">
              <w:rPr>
                <w:sz w:val="18"/>
                <w:szCs w:val="18"/>
              </w:rPr>
              <w:t>Objective 1: Promoting effective governance</w:t>
            </w:r>
            <w:r w:rsidRPr="006F3534">
              <w:rPr>
                <w:rFonts w:eastAsia="Times New Roman"/>
                <w:iCs/>
                <w:sz w:val="18"/>
                <w:szCs w:val="18"/>
              </w:rPr>
              <w:t xml:space="preserve">. </w:t>
            </w:r>
          </w:p>
          <w:p w14:paraId="11D8A56F" w14:textId="77777777" w:rsidR="00F00E20" w:rsidRPr="006F3534" w:rsidRDefault="00F00E20" w:rsidP="00EA09AA">
            <w:pPr>
              <w:spacing w:before="0" w:after="0" w:line="240" w:lineRule="auto"/>
              <w:rPr>
                <w:rFonts w:eastAsia="Times New Roman"/>
                <w:iCs/>
                <w:sz w:val="18"/>
                <w:szCs w:val="18"/>
                <w:lang w:eastAsia="en-AU"/>
              </w:rPr>
            </w:pPr>
            <w:r w:rsidRPr="006F3534">
              <w:rPr>
                <w:rFonts w:eastAsia="Times New Roman"/>
                <w:iCs/>
                <w:sz w:val="18"/>
                <w:szCs w:val="18"/>
              </w:rPr>
              <w:t>Sub-objective: Developing public sector leadership</w:t>
            </w:r>
          </w:p>
        </w:tc>
        <w:tc>
          <w:tcPr>
            <w:tcW w:w="1947" w:type="dxa"/>
            <w:shd w:val="clear" w:color="auto" w:fill="ADDEC1" w:themeFill="accent6" w:themeFillTint="66"/>
          </w:tcPr>
          <w:p w14:paraId="69254698" w14:textId="77777777" w:rsidR="00F00E20" w:rsidRPr="006F3534" w:rsidRDefault="00F00E20" w:rsidP="00EA09AA">
            <w:pPr>
              <w:spacing w:before="0" w:after="0" w:line="240" w:lineRule="auto"/>
              <w:rPr>
                <w:sz w:val="18"/>
                <w:szCs w:val="18"/>
              </w:rPr>
            </w:pPr>
          </w:p>
        </w:tc>
      </w:tr>
      <w:tr w:rsidR="00F00E20" w:rsidRPr="006F3534" w14:paraId="55228AEA" w14:textId="56122B74" w:rsidTr="00F16D63">
        <w:trPr>
          <w:trHeight w:val="575"/>
        </w:trPr>
        <w:tc>
          <w:tcPr>
            <w:tcW w:w="5255" w:type="dxa"/>
            <w:vAlign w:val="center"/>
          </w:tcPr>
          <w:p w14:paraId="5FFCF0E7"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 xml:space="preserve">1. </w:t>
            </w:r>
            <w:r w:rsidRPr="006F3534">
              <w:rPr>
                <w:rFonts w:eastAsia="Times New Roman"/>
                <w:iCs/>
                <w:sz w:val="18"/>
                <w:szCs w:val="18"/>
              </w:rPr>
              <w:t>Number of women and men trained and engaged by Papua New Guinea in positions where they can practice new knowledge and skills</w:t>
            </w:r>
          </w:p>
        </w:tc>
        <w:tc>
          <w:tcPr>
            <w:tcW w:w="1988" w:type="dxa"/>
            <w:vAlign w:val="center"/>
          </w:tcPr>
          <w:p w14:paraId="05B2A6B6" w14:textId="77777777" w:rsidR="00F00E20" w:rsidRPr="006F3534" w:rsidRDefault="00F00E20" w:rsidP="00F16D63">
            <w:pPr>
              <w:keepLines/>
              <w:spacing w:before="60" w:after="0" w:line="240" w:lineRule="auto"/>
              <w:rPr>
                <w:rFonts w:eastAsia="Times New Roman"/>
                <w:iCs/>
                <w:sz w:val="18"/>
                <w:szCs w:val="18"/>
              </w:rPr>
            </w:pPr>
            <w:r w:rsidRPr="006F3534">
              <w:rPr>
                <w:rFonts w:eastAsia="Times New Roman"/>
                <w:iCs/>
                <w:sz w:val="18"/>
                <w:szCs w:val="18"/>
              </w:rPr>
              <w:t>14,990</w:t>
            </w:r>
          </w:p>
        </w:tc>
        <w:tc>
          <w:tcPr>
            <w:tcW w:w="2840" w:type="dxa"/>
            <w:vAlign w:val="center"/>
          </w:tcPr>
          <w:p w14:paraId="31B250F6" w14:textId="03CB2D74" w:rsidR="00F00E20" w:rsidRPr="00877A6B" w:rsidRDefault="00F00E20" w:rsidP="00236AA1">
            <w:pPr>
              <w:keepLines/>
              <w:spacing w:before="0" w:after="0"/>
              <w:rPr>
                <w:rFonts w:eastAsia="Times New Roman"/>
                <w:iCs/>
                <w:sz w:val="18"/>
                <w:szCs w:val="18"/>
              </w:rPr>
            </w:pPr>
            <w:r>
              <w:rPr>
                <w:rFonts w:eastAsia="Times New Roman"/>
                <w:iCs/>
                <w:sz w:val="18"/>
                <w:szCs w:val="18"/>
              </w:rPr>
              <w:t xml:space="preserve">17,101 </w:t>
            </w:r>
          </w:p>
          <w:p w14:paraId="20D8B3BA" w14:textId="0B67663F" w:rsidR="00F00E20" w:rsidRPr="00CE5DD5" w:rsidRDefault="00F00E20" w:rsidP="00236AA1">
            <w:pPr>
              <w:keepLines/>
              <w:spacing w:before="0" w:after="0" w:line="240" w:lineRule="auto"/>
              <w:rPr>
                <w:rFonts w:eastAsia="Times New Roman"/>
                <w:iCs/>
                <w:sz w:val="18"/>
                <w:szCs w:val="18"/>
              </w:rPr>
            </w:pPr>
            <w:r w:rsidRPr="00877A6B">
              <w:rPr>
                <w:rFonts w:eastAsia="Times New Roman"/>
                <w:iCs/>
                <w:sz w:val="18"/>
                <w:szCs w:val="18"/>
              </w:rPr>
              <w:t>(women 7,727,</w:t>
            </w:r>
            <w:r>
              <w:rPr>
                <w:rFonts w:eastAsia="Times New Roman"/>
                <w:iCs/>
                <w:sz w:val="18"/>
                <w:szCs w:val="18"/>
              </w:rPr>
              <w:t xml:space="preserve"> </w:t>
            </w:r>
            <w:r w:rsidRPr="00877A6B">
              <w:rPr>
                <w:rFonts w:eastAsia="Times New Roman"/>
                <w:iCs/>
                <w:sz w:val="18"/>
                <w:szCs w:val="18"/>
              </w:rPr>
              <w:t>men 9,374)</w:t>
            </w:r>
            <w:r w:rsidR="006F3F5D">
              <w:rPr>
                <w:rFonts w:eastAsia="Times New Roman"/>
                <w:iCs/>
                <w:sz w:val="18"/>
                <w:szCs w:val="18"/>
              </w:rPr>
              <w:t xml:space="preserve">    </w:t>
            </w:r>
            <w:r>
              <w:rPr>
                <w:rFonts w:eastAsia="Times New Roman"/>
                <w:iCs/>
                <w:sz w:val="18"/>
                <w:szCs w:val="18"/>
              </w:rPr>
              <w:t xml:space="preserve"> </w:t>
            </w:r>
          </w:p>
        </w:tc>
        <w:tc>
          <w:tcPr>
            <w:tcW w:w="3124" w:type="dxa"/>
            <w:vAlign w:val="center"/>
          </w:tcPr>
          <w:p w14:paraId="3473AF8D" w14:textId="090EC858" w:rsidR="0079114A" w:rsidRPr="006F3534" w:rsidRDefault="00175268" w:rsidP="00175268">
            <w:pPr>
              <w:keepLines/>
              <w:spacing w:before="60" w:after="0" w:line="240" w:lineRule="auto"/>
              <w:rPr>
                <w:rFonts w:eastAsia="Times New Roman"/>
                <w:iCs/>
                <w:sz w:val="18"/>
                <w:szCs w:val="18"/>
              </w:rPr>
            </w:pPr>
            <w:r>
              <w:rPr>
                <w:rFonts w:eastAsia="Times New Roman"/>
                <w:iCs/>
                <w:sz w:val="18"/>
                <w:szCs w:val="18"/>
              </w:rPr>
              <w:t>46,083</w:t>
            </w:r>
            <w:r w:rsidR="00995136">
              <w:rPr>
                <w:rFonts w:eastAsia="Times New Roman"/>
                <w:iCs/>
                <w:sz w:val="18"/>
                <w:szCs w:val="18"/>
              </w:rPr>
              <w:t xml:space="preserve"> (</w:t>
            </w:r>
            <w:r>
              <w:rPr>
                <w:rFonts w:eastAsia="Times New Roman"/>
                <w:iCs/>
                <w:sz w:val="18"/>
                <w:szCs w:val="18"/>
              </w:rPr>
              <w:t>27,249</w:t>
            </w:r>
            <w:r w:rsidR="00995136">
              <w:rPr>
                <w:rFonts w:eastAsia="Times New Roman"/>
                <w:iCs/>
                <w:sz w:val="18"/>
                <w:szCs w:val="18"/>
              </w:rPr>
              <w:t xml:space="preserve"> women, </w:t>
            </w:r>
            <w:r>
              <w:rPr>
                <w:rFonts w:eastAsia="Times New Roman"/>
                <w:iCs/>
                <w:sz w:val="18"/>
                <w:szCs w:val="18"/>
              </w:rPr>
              <w:t>18,834</w:t>
            </w:r>
            <w:r w:rsidR="00995136">
              <w:rPr>
                <w:rFonts w:eastAsia="Times New Roman"/>
                <w:iCs/>
                <w:sz w:val="18"/>
                <w:szCs w:val="18"/>
              </w:rPr>
              <w:t xml:space="preserve"> men)</w:t>
            </w:r>
            <w:r w:rsidR="006F3F5D">
              <w:rPr>
                <w:rFonts w:eastAsia="Times New Roman"/>
                <w:iCs/>
                <w:sz w:val="18"/>
                <w:szCs w:val="18"/>
              </w:rPr>
              <w:t xml:space="preserve"> </w:t>
            </w:r>
            <w:r w:rsidR="00995136" w:rsidRPr="00877A6B">
              <w:rPr>
                <w:rFonts w:eastAsia="Times New Roman"/>
                <w:iCs/>
                <w:sz w:val="18"/>
                <w:szCs w:val="18"/>
              </w:rPr>
              <w:t xml:space="preserve">Target was </w:t>
            </w:r>
            <w:r w:rsidR="00995136" w:rsidRPr="00D511C3">
              <w:rPr>
                <w:rFonts w:eastAsia="Times New Roman"/>
                <w:iCs/>
                <w:sz w:val="18"/>
                <w:szCs w:val="18"/>
              </w:rPr>
              <w:t>1</w:t>
            </w:r>
            <w:r w:rsidR="00995136">
              <w:rPr>
                <w:rFonts w:eastAsia="Times New Roman"/>
                <w:iCs/>
                <w:sz w:val="18"/>
                <w:szCs w:val="18"/>
              </w:rPr>
              <w:t>3,979</w:t>
            </w:r>
          </w:p>
        </w:tc>
        <w:tc>
          <w:tcPr>
            <w:tcW w:w="1947" w:type="dxa"/>
          </w:tcPr>
          <w:p w14:paraId="1219F31C" w14:textId="0F20B75C" w:rsidR="00F00E20" w:rsidRDefault="00175268" w:rsidP="00F16D63">
            <w:pPr>
              <w:keepLines/>
              <w:spacing w:before="60" w:after="0" w:line="240" w:lineRule="auto"/>
              <w:rPr>
                <w:rFonts w:eastAsia="Times New Roman"/>
                <w:iCs/>
                <w:sz w:val="18"/>
                <w:szCs w:val="18"/>
              </w:rPr>
            </w:pPr>
            <w:r>
              <w:rPr>
                <w:rFonts w:eastAsia="Times New Roman"/>
                <w:iCs/>
                <w:sz w:val="18"/>
                <w:szCs w:val="18"/>
              </w:rPr>
              <w:t>33,062</w:t>
            </w:r>
            <w:r>
              <w:rPr>
                <w:rStyle w:val="FootnoteReference"/>
                <w:rFonts w:eastAsia="Times New Roman"/>
                <w:iCs/>
                <w:sz w:val="18"/>
                <w:szCs w:val="18"/>
              </w:rPr>
              <w:footnoteReference w:id="3"/>
            </w:r>
          </w:p>
        </w:tc>
      </w:tr>
      <w:tr w:rsidR="00F00E20" w:rsidRPr="006F3534" w14:paraId="6C886152" w14:textId="08903737" w:rsidTr="00F16D63">
        <w:trPr>
          <w:trHeight w:val="589"/>
        </w:trPr>
        <w:tc>
          <w:tcPr>
            <w:tcW w:w="5255" w:type="dxa"/>
            <w:vAlign w:val="center"/>
          </w:tcPr>
          <w:p w14:paraId="293812EB"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 xml:space="preserve">2. </w:t>
            </w:r>
            <w:r w:rsidRPr="006F3534">
              <w:rPr>
                <w:rFonts w:eastAsia="Times New Roman"/>
                <w:iCs/>
                <w:sz w:val="18"/>
                <w:szCs w:val="18"/>
              </w:rPr>
              <w:t>Number of women and men graduating from courses delivered by the Pacific Leadership and Governance Precinct</w:t>
            </w:r>
          </w:p>
        </w:tc>
        <w:tc>
          <w:tcPr>
            <w:tcW w:w="1988" w:type="dxa"/>
            <w:vAlign w:val="center"/>
          </w:tcPr>
          <w:p w14:paraId="673A8807" w14:textId="77777777" w:rsidR="00F00E20" w:rsidRPr="006F3534" w:rsidRDefault="00F00E20" w:rsidP="00F16D63">
            <w:pPr>
              <w:keepLines/>
              <w:spacing w:before="60" w:after="0" w:line="240" w:lineRule="auto"/>
              <w:rPr>
                <w:rFonts w:eastAsia="Times New Roman"/>
                <w:iCs/>
                <w:sz w:val="18"/>
                <w:szCs w:val="18"/>
              </w:rPr>
            </w:pPr>
            <w:r w:rsidRPr="006F3534">
              <w:rPr>
                <w:rFonts w:eastAsia="Times New Roman"/>
                <w:iCs/>
                <w:sz w:val="18"/>
                <w:szCs w:val="18"/>
              </w:rPr>
              <w:t>466</w:t>
            </w:r>
          </w:p>
        </w:tc>
        <w:tc>
          <w:tcPr>
            <w:tcW w:w="2840" w:type="dxa"/>
            <w:vAlign w:val="center"/>
          </w:tcPr>
          <w:p w14:paraId="4B815965" w14:textId="77777777" w:rsidR="00F00E20" w:rsidRPr="00CE5DD5" w:rsidRDefault="00F00E20" w:rsidP="00236AA1">
            <w:pPr>
              <w:keepLines/>
              <w:spacing w:before="0" w:after="0"/>
              <w:rPr>
                <w:rFonts w:eastAsia="Times New Roman"/>
                <w:iCs/>
                <w:sz w:val="18"/>
                <w:szCs w:val="18"/>
              </w:rPr>
            </w:pPr>
            <w:r w:rsidRPr="00CE5DD5">
              <w:rPr>
                <w:rFonts w:eastAsia="Times New Roman"/>
                <w:iCs/>
                <w:sz w:val="18"/>
                <w:szCs w:val="18"/>
              </w:rPr>
              <w:t>784 Target was 503</w:t>
            </w:r>
          </w:p>
          <w:p w14:paraId="3C4F6443" w14:textId="77777777" w:rsidR="00F00E20" w:rsidRPr="00CE5DD5" w:rsidRDefault="00F00E20" w:rsidP="00236AA1">
            <w:pPr>
              <w:keepLines/>
              <w:spacing w:before="0" w:after="0" w:line="240" w:lineRule="auto"/>
              <w:rPr>
                <w:rFonts w:eastAsia="Times New Roman"/>
                <w:iCs/>
                <w:sz w:val="18"/>
                <w:szCs w:val="18"/>
              </w:rPr>
            </w:pPr>
            <w:r w:rsidRPr="00CE5DD5">
              <w:rPr>
                <w:rFonts w:eastAsia="Times New Roman"/>
                <w:iCs/>
                <w:sz w:val="18"/>
                <w:szCs w:val="18"/>
              </w:rPr>
              <w:t>(women 271, men 513)</w:t>
            </w:r>
          </w:p>
        </w:tc>
        <w:tc>
          <w:tcPr>
            <w:tcW w:w="3124" w:type="dxa"/>
            <w:vAlign w:val="center"/>
          </w:tcPr>
          <w:p w14:paraId="6D12257C" w14:textId="1F88479A" w:rsidR="00F00E20" w:rsidRDefault="00F00E20" w:rsidP="00F16D63">
            <w:pPr>
              <w:keepLines/>
              <w:spacing w:before="60" w:after="0" w:line="240" w:lineRule="auto"/>
              <w:rPr>
                <w:rFonts w:eastAsia="Times New Roman"/>
                <w:iCs/>
                <w:sz w:val="18"/>
                <w:szCs w:val="18"/>
              </w:rPr>
            </w:pPr>
            <w:r>
              <w:rPr>
                <w:rFonts w:eastAsia="Times New Roman"/>
                <w:iCs/>
                <w:sz w:val="18"/>
                <w:szCs w:val="18"/>
              </w:rPr>
              <w:t>819 (305 women, 514 men)</w:t>
            </w:r>
          </w:p>
          <w:p w14:paraId="4CC63FBF" w14:textId="1CBF2C45" w:rsidR="00F00E20" w:rsidRPr="006F3534" w:rsidRDefault="00F00E20" w:rsidP="00F16D63">
            <w:pPr>
              <w:keepLines/>
              <w:spacing w:before="60" w:after="0" w:line="240" w:lineRule="auto"/>
              <w:rPr>
                <w:rFonts w:eastAsia="Times New Roman"/>
                <w:iCs/>
                <w:sz w:val="18"/>
                <w:szCs w:val="18"/>
                <w:lang w:eastAsia="en-AU"/>
              </w:rPr>
            </w:pPr>
            <w:r w:rsidRPr="00877A6B">
              <w:rPr>
                <w:rFonts w:eastAsia="Times New Roman"/>
                <w:iCs/>
                <w:sz w:val="18"/>
                <w:szCs w:val="18"/>
              </w:rPr>
              <w:t xml:space="preserve">Target was </w:t>
            </w:r>
            <w:r w:rsidRPr="00D511C3">
              <w:rPr>
                <w:rFonts w:eastAsia="Times New Roman"/>
                <w:iCs/>
                <w:sz w:val="18"/>
                <w:szCs w:val="18"/>
                <w:lang w:eastAsia="en-AU"/>
              </w:rPr>
              <w:t>560</w:t>
            </w:r>
          </w:p>
        </w:tc>
        <w:tc>
          <w:tcPr>
            <w:tcW w:w="1947" w:type="dxa"/>
          </w:tcPr>
          <w:p w14:paraId="1FA2FBBE" w14:textId="24005320" w:rsidR="00F00E20" w:rsidRDefault="00175268" w:rsidP="00F16D63">
            <w:pPr>
              <w:keepLines/>
              <w:spacing w:before="60" w:after="0" w:line="240" w:lineRule="auto"/>
              <w:rPr>
                <w:rFonts w:eastAsia="Times New Roman"/>
                <w:iCs/>
                <w:sz w:val="18"/>
                <w:szCs w:val="18"/>
              </w:rPr>
            </w:pPr>
            <w:r>
              <w:rPr>
                <w:rFonts w:eastAsia="Times New Roman"/>
                <w:iCs/>
                <w:sz w:val="18"/>
                <w:szCs w:val="18"/>
              </w:rPr>
              <w:t>84</w:t>
            </w:r>
            <w:r w:rsidR="00F00E20">
              <w:rPr>
                <w:rFonts w:eastAsia="Times New Roman"/>
                <w:iCs/>
                <w:sz w:val="18"/>
                <w:szCs w:val="18"/>
              </w:rPr>
              <w:t>0</w:t>
            </w:r>
          </w:p>
        </w:tc>
      </w:tr>
      <w:tr w:rsidR="00F00E20" w:rsidRPr="006F3534" w14:paraId="74F5E920" w14:textId="4AA07BCB" w:rsidTr="00F16D63">
        <w:trPr>
          <w:trHeight w:val="196"/>
        </w:trPr>
        <w:tc>
          <w:tcPr>
            <w:tcW w:w="13209" w:type="dxa"/>
            <w:gridSpan w:val="4"/>
            <w:shd w:val="clear" w:color="auto" w:fill="ADDEC1" w:themeFill="accent6" w:themeFillTint="66"/>
            <w:vAlign w:val="center"/>
          </w:tcPr>
          <w:p w14:paraId="470A65F3" w14:textId="77777777" w:rsidR="00F00E20" w:rsidRPr="00CE5DD5" w:rsidRDefault="00F00E20" w:rsidP="00F16D63">
            <w:pPr>
              <w:keepLines/>
              <w:spacing w:before="0" w:after="0" w:line="240" w:lineRule="auto"/>
              <w:rPr>
                <w:rFonts w:eastAsia="Times New Roman"/>
                <w:iCs/>
                <w:sz w:val="18"/>
                <w:szCs w:val="18"/>
              </w:rPr>
            </w:pPr>
            <w:r w:rsidRPr="00CE5DD5">
              <w:rPr>
                <w:rFonts w:eastAsia="Times New Roman"/>
                <w:iCs/>
                <w:sz w:val="18"/>
                <w:szCs w:val="18"/>
              </w:rPr>
              <w:t>Sub-objective: Integrating partnerships to improve access to services</w:t>
            </w:r>
          </w:p>
        </w:tc>
        <w:tc>
          <w:tcPr>
            <w:tcW w:w="1947" w:type="dxa"/>
            <w:shd w:val="clear" w:color="auto" w:fill="ADDEC1" w:themeFill="accent6" w:themeFillTint="66"/>
          </w:tcPr>
          <w:p w14:paraId="09B9F770" w14:textId="77777777" w:rsidR="00F00E20" w:rsidRPr="00CE5DD5" w:rsidRDefault="00F00E20" w:rsidP="00F16D63">
            <w:pPr>
              <w:keepLines/>
              <w:spacing w:after="0" w:line="240" w:lineRule="auto"/>
              <w:rPr>
                <w:rFonts w:eastAsia="Times New Roman"/>
                <w:iCs/>
                <w:sz w:val="18"/>
                <w:szCs w:val="18"/>
              </w:rPr>
            </w:pPr>
          </w:p>
        </w:tc>
      </w:tr>
      <w:tr w:rsidR="00F00E20" w:rsidRPr="006F3534" w14:paraId="4424B927" w14:textId="3E562B40" w:rsidTr="00F16D63">
        <w:trPr>
          <w:trHeight w:val="210"/>
        </w:trPr>
        <w:tc>
          <w:tcPr>
            <w:tcW w:w="5255" w:type="dxa"/>
            <w:vAlign w:val="center"/>
          </w:tcPr>
          <w:p w14:paraId="18FD6644"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3. Number of partnerships</w:t>
            </w:r>
          </w:p>
        </w:tc>
        <w:tc>
          <w:tcPr>
            <w:tcW w:w="1988" w:type="dxa"/>
            <w:vAlign w:val="center"/>
          </w:tcPr>
          <w:p w14:paraId="4C48F912"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103</w:t>
            </w:r>
          </w:p>
        </w:tc>
        <w:tc>
          <w:tcPr>
            <w:tcW w:w="2840" w:type="dxa"/>
            <w:vAlign w:val="center"/>
          </w:tcPr>
          <w:p w14:paraId="2688147D" w14:textId="77777777" w:rsidR="00F00E20" w:rsidRPr="00CE5DD5" w:rsidRDefault="00F00E20" w:rsidP="00236AA1">
            <w:pPr>
              <w:keepLines/>
              <w:spacing w:before="0" w:after="0" w:line="240" w:lineRule="auto"/>
              <w:rPr>
                <w:rFonts w:eastAsia="Times New Roman"/>
                <w:iCs/>
                <w:sz w:val="18"/>
                <w:szCs w:val="18"/>
              </w:rPr>
            </w:pPr>
            <w:r w:rsidRPr="00CE5DD5">
              <w:rPr>
                <w:rFonts w:eastAsia="Times New Roman"/>
                <w:iCs/>
                <w:sz w:val="18"/>
                <w:szCs w:val="18"/>
              </w:rPr>
              <w:t>131 Target was 132</w:t>
            </w:r>
          </w:p>
        </w:tc>
        <w:tc>
          <w:tcPr>
            <w:tcW w:w="3124" w:type="dxa"/>
            <w:vAlign w:val="center"/>
          </w:tcPr>
          <w:p w14:paraId="4D86B6EE" w14:textId="4C1A68EE" w:rsidR="00F00E20" w:rsidRPr="006F3534" w:rsidRDefault="00C24C90" w:rsidP="00F16D63">
            <w:pPr>
              <w:keepLines/>
              <w:spacing w:before="60" w:after="0" w:line="240" w:lineRule="auto"/>
              <w:rPr>
                <w:rFonts w:eastAsia="Times New Roman"/>
                <w:iCs/>
                <w:sz w:val="18"/>
                <w:szCs w:val="18"/>
                <w:lang w:eastAsia="en-AU"/>
              </w:rPr>
            </w:pPr>
            <w:r>
              <w:rPr>
                <w:rFonts w:eastAsia="Times New Roman"/>
                <w:iCs/>
                <w:sz w:val="18"/>
                <w:szCs w:val="18"/>
              </w:rPr>
              <w:t>633,</w:t>
            </w:r>
            <w:r w:rsidR="00F00E20">
              <w:rPr>
                <w:rFonts w:eastAsia="Times New Roman"/>
                <w:iCs/>
                <w:sz w:val="18"/>
                <w:szCs w:val="18"/>
              </w:rPr>
              <w:t xml:space="preserve"> </w:t>
            </w:r>
            <w:r w:rsidR="00F00E20" w:rsidRPr="00877A6B">
              <w:rPr>
                <w:rFonts w:eastAsia="Times New Roman"/>
                <w:iCs/>
                <w:sz w:val="18"/>
                <w:szCs w:val="18"/>
              </w:rPr>
              <w:t xml:space="preserve">Target was </w:t>
            </w:r>
            <w:r w:rsidR="00F00E20" w:rsidRPr="00D511C3">
              <w:rPr>
                <w:rFonts w:eastAsia="Times New Roman"/>
                <w:iCs/>
                <w:sz w:val="18"/>
                <w:szCs w:val="18"/>
                <w:lang w:eastAsia="en-AU"/>
              </w:rPr>
              <w:t>134</w:t>
            </w:r>
          </w:p>
        </w:tc>
        <w:tc>
          <w:tcPr>
            <w:tcW w:w="1947" w:type="dxa"/>
          </w:tcPr>
          <w:p w14:paraId="0AC60C7F" w14:textId="5C9F6E96" w:rsidR="00F00E20" w:rsidRDefault="00F00E20" w:rsidP="00F16D63">
            <w:pPr>
              <w:keepLines/>
              <w:spacing w:before="60" w:after="0" w:line="240" w:lineRule="auto"/>
              <w:rPr>
                <w:rFonts w:eastAsia="Times New Roman"/>
                <w:iCs/>
                <w:sz w:val="18"/>
                <w:szCs w:val="18"/>
              </w:rPr>
            </w:pPr>
            <w:r>
              <w:rPr>
                <w:rFonts w:eastAsia="Times New Roman"/>
                <w:iCs/>
                <w:sz w:val="18"/>
                <w:szCs w:val="18"/>
              </w:rPr>
              <w:t>116</w:t>
            </w:r>
          </w:p>
        </w:tc>
      </w:tr>
      <w:tr w:rsidR="00F00E20" w:rsidRPr="006F3534" w14:paraId="68FF60DF" w14:textId="6ADA1A3C" w:rsidTr="00F16D63">
        <w:trPr>
          <w:trHeight w:val="575"/>
        </w:trPr>
        <w:tc>
          <w:tcPr>
            <w:tcW w:w="5255" w:type="dxa"/>
            <w:vAlign w:val="center"/>
          </w:tcPr>
          <w:p w14:paraId="4FDFEE33"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 xml:space="preserve">4. </w:t>
            </w:r>
            <w:r w:rsidRPr="006F3534">
              <w:rPr>
                <w:rFonts w:eastAsia="Times New Roman"/>
                <w:iCs/>
                <w:sz w:val="18"/>
                <w:szCs w:val="18"/>
              </w:rPr>
              <w:t>Number of women, men and youth using improved services provided by civil society, private sector partners or sub-national governments</w:t>
            </w:r>
          </w:p>
        </w:tc>
        <w:tc>
          <w:tcPr>
            <w:tcW w:w="1988" w:type="dxa"/>
            <w:vAlign w:val="center"/>
          </w:tcPr>
          <w:p w14:paraId="5CC1FCFB" w14:textId="77777777" w:rsidR="00F00E20" w:rsidRPr="006F3534" w:rsidRDefault="00F00E20" w:rsidP="00F16D63">
            <w:pPr>
              <w:keepLines/>
              <w:spacing w:before="60" w:after="0" w:line="240" w:lineRule="auto"/>
              <w:rPr>
                <w:rFonts w:eastAsia="Times New Roman"/>
                <w:iCs/>
                <w:sz w:val="18"/>
                <w:szCs w:val="18"/>
              </w:rPr>
            </w:pPr>
            <w:r w:rsidRPr="006F3534">
              <w:rPr>
                <w:rFonts w:eastAsia="Times New Roman"/>
                <w:iCs/>
                <w:sz w:val="18"/>
                <w:szCs w:val="18"/>
              </w:rPr>
              <w:t>254,345</w:t>
            </w:r>
          </w:p>
        </w:tc>
        <w:tc>
          <w:tcPr>
            <w:tcW w:w="2840" w:type="dxa"/>
            <w:vAlign w:val="center"/>
          </w:tcPr>
          <w:p w14:paraId="19131CF3" w14:textId="77777777" w:rsidR="00F00E20" w:rsidRPr="00877A6B" w:rsidRDefault="00F00E20" w:rsidP="00236AA1">
            <w:pPr>
              <w:keepLines/>
              <w:spacing w:before="0" w:after="0"/>
              <w:rPr>
                <w:rFonts w:eastAsia="Times New Roman"/>
                <w:iCs/>
                <w:sz w:val="18"/>
                <w:szCs w:val="18"/>
              </w:rPr>
            </w:pPr>
            <w:r w:rsidRPr="00877A6B">
              <w:rPr>
                <w:rFonts w:eastAsia="Times New Roman"/>
                <w:iCs/>
                <w:sz w:val="18"/>
                <w:szCs w:val="18"/>
              </w:rPr>
              <w:t>430,946 Target was 269,013</w:t>
            </w:r>
          </w:p>
          <w:p w14:paraId="0D4A621C" w14:textId="77777777" w:rsidR="00F00E20" w:rsidRPr="00CE5DD5" w:rsidRDefault="00F00E20" w:rsidP="00236AA1">
            <w:pPr>
              <w:keepLines/>
              <w:spacing w:before="0" w:after="0" w:line="240" w:lineRule="auto"/>
              <w:rPr>
                <w:rFonts w:eastAsia="Times New Roman"/>
                <w:iCs/>
                <w:color w:val="FF0000"/>
                <w:sz w:val="18"/>
                <w:szCs w:val="18"/>
              </w:rPr>
            </w:pPr>
            <w:r w:rsidRPr="00877A6B">
              <w:rPr>
                <w:rFonts w:eastAsia="Times New Roman"/>
                <w:iCs/>
                <w:sz w:val="18"/>
                <w:szCs w:val="18"/>
              </w:rPr>
              <w:t>(women 210,789 men 219,753)</w:t>
            </w:r>
          </w:p>
        </w:tc>
        <w:tc>
          <w:tcPr>
            <w:tcW w:w="3124" w:type="dxa"/>
            <w:vAlign w:val="center"/>
          </w:tcPr>
          <w:p w14:paraId="79A278C0" w14:textId="16517AC6" w:rsidR="006218F8" w:rsidRPr="00C24C90" w:rsidRDefault="00C24C90" w:rsidP="00C24C90">
            <w:pPr>
              <w:keepLines/>
              <w:spacing w:before="60" w:after="0" w:line="240" w:lineRule="auto"/>
              <w:rPr>
                <w:rFonts w:eastAsia="Times New Roman"/>
                <w:iCs/>
                <w:sz w:val="18"/>
                <w:szCs w:val="18"/>
              </w:rPr>
            </w:pPr>
            <w:r>
              <w:rPr>
                <w:rFonts w:eastAsia="Times New Roman"/>
                <w:iCs/>
                <w:sz w:val="18"/>
                <w:szCs w:val="18"/>
              </w:rPr>
              <w:t>1,190,728</w:t>
            </w:r>
            <w:r w:rsidR="00F00E20">
              <w:rPr>
                <w:rFonts w:eastAsia="Times New Roman"/>
                <w:iCs/>
                <w:sz w:val="18"/>
                <w:szCs w:val="18"/>
              </w:rPr>
              <w:t xml:space="preserve"> (</w:t>
            </w:r>
            <w:r>
              <w:rPr>
                <w:rFonts w:eastAsia="Times New Roman"/>
                <w:iCs/>
                <w:sz w:val="18"/>
                <w:szCs w:val="18"/>
              </w:rPr>
              <w:t xml:space="preserve">582,792 women, 607,936 </w:t>
            </w:r>
            <w:r w:rsidR="00F00E20">
              <w:rPr>
                <w:rFonts w:eastAsia="Times New Roman"/>
                <w:iCs/>
                <w:sz w:val="18"/>
                <w:szCs w:val="18"/>
              </w:rPr>
              <w:t xml:space="preserve">men) </w:t>
            </w:r>
            <w:r w:rsidR="00F00E20" w:rsidRPr="00877A6B">
              <w:rPr>
                <w:rFonts w:eastAsia="Times New Roman"/>
                <w:iCs/>
                <w:sz w:val="18"/>
                <w:szCs w:val="18"/>
              </w:rPr>
              <w:t xml:space="preserve">Target was </w:t>
            </w:r>
            <w:r w:rsidR="00F00E20" w:rsidRPr="00D511C3">
              <w:rPr>
                <w:rFonts w:eastAsia="Times New Roman"/>
                <w:iCs/>
                <w:sz w:val="18"/>
                <w:szCs w:val="18"/>
              </w:rPr>
              <w:t>411,463</w:t>
            </w:r>
          </w:p>
        </w:tc>
        <w:tc>
          <w:tcPr>
            <w:tcW w:w="1947" w:type="dxa"/>
          </w:tcPr>
          <w:p w14:paraId="4C2D4F2E" w14:textId="008B7B1B" w:rsidR="00F00E20" w:rsidRDefault="00F00E20" w:rsidP="00F16D63">
            <w:pPr>
              <w:keepLines/>
              <w:spacing w:before="60" w:after="0" w:line="240" w:lineRule="auto"/>
              <w:rPr>
                <w:rFonts w:eastAsia="Times New Roman"/>
                <w:iCs/>
                <w:sz w:val="18"/>
                <w:szCs w:val="18"/>
              </w:rPr>
            </w:pPr>
            <w:r>
              <w:rPr>
                <w:rFonts w:eastAsia="Times New Roman"/>
                <w:iCs/>
                <w:sz w:val="18"/>
                <w:szCs w:val="18"/>
              </w:rPr>
              <w:t>32,188</w:t>
            </w:r>
            <w:r w:rsidR="00C24C90">
              <w:rPr>
                <w:rStyle w:val="FootnoteReference"/>
                <w:rFonts w:eastAsia="Times New Roman"/>
                <w:iCs/>
                <w:sz w:val="18"/>
                <w:szCs w:val="18"/>
              </w:rPr>
              <w:footnoteReference w:id="4"/>
            </w:r>
          </w:p>
        </w:tc>
      </w:tr>
      <w:tr w:rsidR="00F00E20" w:rsidRPr="006F3534" w14:paraId="787E56ED" w14:textId="01437A65" w:rsidTr="00F16D63">
        <w:trPr>
          <w:trHeight w:val="180"/>
        </w:trPr>
        <w:tc>
          <w:tcPr>
            <w:tcW w:w="13209" w:type="dxa"/>
            <w:gridSpan w:val="4"/>
            <w:shd w:val="clear" w:color="auto" w:fill="ADDEC1" w:themeFill="accent6" w:themeFillTint="66"/>
            <w:vAlign w:val="center"/>
          </w:tcPr>
          <w:p w14:paraId="2834466C" w14:textId="77777777" w:rsidR="00F00E20" w:rsidRPr="00CE5DD5" w:rsidRDefault="00F00E20" w:rsidP="00F16D63">
            <w:pPr>
              <w:keepLines/>
              <w:spacing w:before="0" w:after="0" w:line="240" w:lineRule="auto"/>
              <w:rPr>
                <w:rFonts w:eastAsia="Times New Roman"/>
                <w:iCs/>
                <w:sz w:val="18"/>
                <w:szCs w:val="18"/>
              </w:rPr>
            </w:pPr>
            <w:r w:rsidRPr="00CE5DD5">
              <w:rPr>
                <w:rFonts w:eastAsia="Times New Roman"/>
                <w:iCs/>
                <w:sz w:val="18"/>
                <w:szCs w:val="18"/>
              </w:rPr>
              <w:t>Sub-objective: Effective law and justice system</w:t>
            </w:r>
          </w:p>
        </w:tc>
        <w:tc>
          <w:tcPr>
            <w:tcW w:w="1947" w:type="dxa"/>
            <w:shd w:val="clear" w:color="auto" w:fill="ADDEC1" w:themeFill="accent6" w:themeFillTint="66"/>
          </w:tcPr>
          <w:p w14:paraId="14BB30A3" w14:textId="77777777" w:rsidR="00F00E20" w:rsidRPr="00CE5DD5" w:rsidRDefault="00F00E20" w:rsidP="00F16D63">
            <w:pPr>
              <w:keepLines/>
              <w:spacing w:after="0" w:line="240" w:lineRule="auto"/>
              <w:rPr>
                <w:rFonts w:eastAsia="Times New Roman"/>
                <w:iCs/>
                <w:sz w:val="18"/>
                <w:szCs w:val="18"/>
              </w:rPr>
            </w:pPr>
          </w:p>
        </w:tc>
      </w:tr>
      <w:tr w:rsidR="00F00E20" w:rsidRPr="006F3534" w14:paraId="76A8CE13" w14:textId="6C459CAE" w:rsidTr="00F16D63">
        <w:trPr>
          <w:trHeight w:val="589"/>
        </w:trPr>
        <w:tc>
          <w:tcPr>
            <w:tcW w:w="5255" w:type="dxa"/>
            <w:vAlign w:val="center"/>
          </w:tcPr>
          <w:p w14:paraId="21D9BD0F" w14:textId="7C2ED5FB" w:rsidR="00F00E20" w:rsidRPr="006F3534" w:rsidRDefault="00F00E20" w:rsidP="004829BD">
            <w:pPr>
              <w:keepLines/>
              <w:spacing w:before="60" w:after="0" w:line="240" w:lineRule="auto"/>
              <w:rPr>
                <w:rFonts w:eastAsia="Times New Roman"/>
                <w:iCs/>
                <w:sz w:val="18"/>
                <w:szCs w:val="18"/>
              </w:rPr>
            </w:pPr>
            <w:r>
              <w:rPr>
                <w:rFonts w:eastAsia="Times New Roman"/>
                <w:iCs/>
                <w:sz w:val="18"/>
                <w:szCs w:val="18"/>
              </w:rPr>
              <w:t xml:space="preserve">5. </w:t>
            </w:r>
            <w:r w:rsidRPr="00471FCD">
              <w:rPr>
                <w:rFonts w:eastAsia="Times New Roman"/>
                <w:iCs/>
                <w:sz w:val="18"/>
                <w:szCs w:val="18"/>
              </w:rPr>
              <w:t>Number of women and men with greater awareness of legal rights and responsibilities</w:t>
            </w:r>
          </w:p>
        </w:tc>
        <w:tc>
          <w:tcPr>
            <w:tcW w:w="1988" w:type="dxa"/>
            <w:vAlign w:val="center"/>
          </w:tcPr>
          <w:p w14:paraId="39369EC6"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25,400</w:t>
            </w:r>
          </w:p>
        </w:tc>
        <w:tc>
          <w:tcPr>
            <w:tcW w:w="2840" w:type="dxa"/>
            <w:vAlign w:val="center"/>
          </w:tcPr>
          <w:p w14:paraId="7F75DFDA" w14:textId="77777777" w:rsidR="00F00E20" w:rsidRPr="00CE5DD5" w:rsidRDefault="00F00E20" w:rsidP="00236AA1">
            <w:pPr>
              <w:keepLines/>
              <w:spacing w:before="0" w:after="0"/>
              <w:rPr>
                <w:rFonts w:eastAsia="Times New Roman"/>
                <w:iCs/>
                <w:sz w:val="18"/>
                <w:szCs w:val="18"/>
              </w:rPr>
            </w:pPr>
            <w:r w:rsidRPr="00CE5DD5">
              <w:rPr>
                <w:rFonts w:eastAsia="Times New Roman"/>
                <w:iCs/>
                <w:sz w:val="18"/>
                <w:szCs w:val="18"/>
              </w:rPr>
              <w:t>25,373 Target was 25,400</w:t>
            </w:r>
          </w:p>
          <w:p w14:paraId="6819AACD" w14:textId="77777777" w:rsidR="00F00E20" w:rsidRPr="00CE5DD5" w:rsidRDefault="00F00E20" w:rsidP="00236AA1">
            <w:pPr>
              <w:keepLines/>
              <w:spacing w:before="0" w:after="0" w:line="240" w:lineRule="auto"/>
              <w:rPr>
                <w:rFonts w:eastAsia="Times New Roman"/>
                <w:iCs/>
                <w:color w:val="FF0000"/>
                <w:sz w:val="18"/>
                <w:szCs w:val="18"/>
              </w:rPr>
            </w:pPr>
            <w:r w:rsidRPr="00CE5DD5">
              <w:rPr>
                <w:rFonts w:eastAsia="Times New Roman"/>
                <w:iCs/>
                <w:sz w:val="18"/>
                <w:szCs w:val="18"/>
              </w:rPr>
              <w:t>(women 17,744 men 7,629)</w:t>
            </w:r>
          </w:p>
        </w:tc>
        <w:tc>
          <w:tcPr>
            <w:tcW w:w="3124" w:type="dxa"/>
            <w:vAlign w:val="center"/>
          </w:tcPr>
          <w:p w14:paraId="3BBA5702" w14:textId="71299A79" w:rsidR="00F00E20" w:rsidRPr="001D395F" w:rsidRDefault="004829BD" w:rsidP="004829BD">
            <w:pPr>
              <w:keepLines/>
              <w:spacing w:before="60" w:after="0" w:line="240" w:lineRule="auto"/>
              <w:rPr>
                <w:rFonts w:eastAsia="Times New Roman"/>
                <w:iCs/>
                <w:color w:val="FF0000"/>
                <w:sz w:val="18"/>
                <w:szCs w:val="18"/>
                <w:lang w:eastAsia="en-AU"/>
              </w:rPr>
            </w:pPr>
            <w:r>
              <w:rPr>
                <w:rFonts w:eastAsia="Times New Roman"/>
                <w:iCs/>
                <w:sz w:val="18"/>
                <w:szCs w:val="18"/>
              </w:rPr>
              <w:t>149</w:t>
            </w:r>
            <w:r w:rsidR="00F00E20">
              <w:rPr>
                <w:rFonts w:eastAsia="Times New Roman"/>
                <w:iCs/>
                <w:sz w:val="18"/>
                <w:szCs w:val="18"/>
              </w:rPr>
              <w:t>,</w:t>
            </w:r>
            <w:r>
              <w:rPr>
                <w:rFonts w:eastAsia="Times New Roman"/>
                <w:iCs/>
                <w:sz w:val="18"/>
                <w:szCs w:val="18"/>
              </w:rPr>
              <w:t>083</w:t>
            </w:r>
            <w:r w:rsidR="00F00E20">
              <w:rPr>
                <w:rFonts w:eastAsia="Times New Roman"/>
                <w:iCs/>
                <w:sz w:val="18"/>
                <w:szCs w:val="18"/>
              </w:rPr>
              <w:t xml:space="preserve"> (</w:t>
            </w:r>
            <w:r>
              <w:rPr>
                <w:rFonts w:eastAsia="Times New Roman"/>
                <w:iCs/>
                <w:sz w:val="18"/>
                <w:szCs w:val="18"/>
              </w:rPr>
              <w:t>gender data unavailable</w:t>
            </w:r>
            <w:r w:rsidR="00F00E20">
              <w:rPr>
                <w:rFonts w:eastAsia="Times New Roman"/>
                <w:iCs/>
                <w:sz w:val="18"/>
                <w:szCs w:val="18"/>
              </w:rPr>
              <w:t xml:space="preserve">) </w:t>
            </w:r>
            <w:r w:rsidR="00F00E20" w:rsidRPr="00877A6B">
              <w:rPr>
                <w:rFonts w:eastAsia="Times New Roman"/>
                <w:iCs/>
                <w:sz w:val="18"/>
                <w:szCs w:val="18"/>
              </w:rPr>
              <w:t xml:space="preserve">Target was </w:t>
            </w:r>
            <w:r w:rsidR="00F00E20" w:rsidRPr="00D4205A">
              <w:rPr>
                <w:rFonts w:eastAsia="Times New Roman"/>
                <w:iCs/>
                <w:sz w:val="18"/>
                <w:szCs w:val="18"/>
              </w:rPr>
              <w:t>25,000</w:t>
            </w:r>
          </w:p>
        </w:tc>
        <w:tc>
          <w:tcPr>
            <w:tcW w:w="1947" w:type="dxa"/>
          </w:tcPr>
          <w:p w14:paraId="45989EC8" w14:textId="3E2F93CC" w:rsidR="00F00E20" w:rsidRDefault="00F00E20" w:rsidP="00F16D63">
            <w:pPr>
              <w:keepLines/>
              <w:spacing w:before="60" w:after="0" w:line="240" w:lineRule="auto"/>
              <w:rPr>
                <w:rFonts w:eastAsia="Times New Roman"/>
                <w:iCs/>
                <w:sz w:val="18"/>
                <w:szCs w:val="18"/>
              </w:rPr>
            </w:pPr>
            <w:r>
              <w:rPr>
                <w:rFonts w:eastAsia="Times New Roman"/>
                <w:iCs/>
                <w:sz w:val="18"/>
                <w:szCs w:val="18"/>
              </w:rPr>
              <w:t>140,000</w:t>
            </w:r>
          </w:p>
        </w:tc>
      </w:tr>
      <w:tr w:rsidR="00F00E20" w:rsidRPr="006F3534" w14:paraId="7C007D29" w14:textId="0B103F8B" w:rsidTr="00F16D63">
        <w:trPr>
          <w:trHeight w:val="406"/>
        </w:trPr>
        <w:tc>
          <w:tcPr>
            <w:tcW w:w="13209" w:type="dxa"/>
            <w:gridSpan w:val="4"/>
            <w:shd w:val="clear" w:color="auto" w:fill="ADDEC1" w:themeFill="accent6" w:themeFillTint="66"/>
            <w:vAlign w:val="center"/>
          </w:tcPr>
          <w:p w14:paraId="44F6B3C0" w14:textId="77777777" w:rsidR="00F00E20" w:rsidRPr="00F16D63" w:rsidRDefault="00F00E20" w:rsidP="00F16D63">
            <w:pPr>
              <w:spacing w:before="0" w:after="0" w:line="240" w:lineRule="auto"/>
              <w:rPr>
                <w:sz w:val="18"/>
                <w:szCs w:val="18"/>
              </w:rPr>
            </w:pPr>
            <w:r w:rsidRPr="00F16D63">
              <w:rPr>
                <w:sz w:val="18"/>
                <w:szCs w:val="18"/>
              </w:rPr>
              <w:t xml:space="preserve">Strategic Objective 2: Enabling economic growth </w:t>
            </w:r>
          </w:p>
          <w:p w14:paraId="475AA889" w14:textId="77777777" w:rsidR="00F00E20" w:rsidRPr="00CE5DD5" w:rsidRDefault="00F00E20" w:rsidP="00F16D63">
            <w:pPr>
              <w:spacing w:before="0" w:after="0" w:line="240" w:lineRule="auto"/>
              <w:rPr>
                <w:rFonts w:eastAsia="Times New Roman"/>
                <w:iCs/>
                <w:sz w:val="18"/>
                <w:szCs w:val="18"/>
              </w:rPr>
            </w:pPr>
            <w:r w:rsidRPr="00F16D63">
              <w:rPr>
                <w:sz w:val="18"/>
                <w:szCs w:val="18"/>
              </w:rPr>
              <w:t>Sub-objective: Well-maintained economic and social infrastructure</w:t>
            </w:r>
          </w:p>
        </w:tc>
        <w:tc>
          <w:tcPr>
            <w:tcW w:w="1947" w:type="dxa"/>
            <w:shd w:val="clear" w:color="auto" w:fill="ADDEC1" w:themeFill="accent6" w:themeFillTint="66"/>
          </w:tcPr>
          <w:p w14:paraId="096265A8" w14:textId="77777777" w:rsidR="00F00E20" w:rsidRPr="00CE5DD5" w:rsidRDefault="00F00E20" w:rsidP="00F16D63">
            <w:pPr>
              <w:keepLines/>
              <w:spacing w:after="0" w:line="240" w:lineRule="auto"/>
              <w:rPr>
                <w:rFonts w:eastAsia="Times New Roman"/>
                <w:iCs/>
                <w:sz w:val="18"/>
                <w:szCs w:val="18"/>
              </w:rPr>
            </w:pPr>
          </w:p>
        </w:tc>
      </w:tr>
      <w:tr w:rsidR="00F00E20" w:rsidRPr="006F3534" w14:paraId="2EE2D136" w14:textId="1EE28D50" w:rsidTr="00F16D63">
        <w:trPr>
          <w:trHeight w:val="196"/>
        </w:trPr>
        <w:tc>
          <w:tcPr>
            <w:tcW w:w="5255" w:type="dxa"/>
            <w:vAlign w:val="center"/>
          </w:tcPr>
          <w:p w14:paraId="39CE9597"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 xml:space="preserve">6. </w:t>
            </w:r>
            <w:r w:rsidRPr="006F3534">
              <w:rPr>
                <w:rFonts w:eastAsia="Times New Roman"/>
                <w:iCs/>
                <w:sz w:val="18"/>
                <w:szCs w:val="18"/>
              </w:rPr>
              <w:t>Length of Papua New Guinea priority roads maintained</w:t>
            </w:r>
          </w:p>
        </w:tc>
        <w:tc>
          <w:tcPr>
            <w:tcW w:w="1988" w:type="dxa"/>
            <w:vAlign w:val="center"/>
          </w:tcPr>
          <w:p w14:paraId="454D99E5" w14:textId="02735039" w:rsidR="00F00E20" w:rsidRPr="006F3534" w:rsidRDefault="00F00E20" w:rsidP="004829BD">
            <w:pPr>
              <w:spacing w:before="60" w:after="0" w:line="240" w:lineRule="auto"/>
              <w:rPr>
                <w:sz w:val="18"/>
                <w:szCs w:val="18"/>
              </w:rPr>
            </w:pPr>
            <w:r w:rsidRPr="006F3534">
              <w:rPr>
                <w:rFonts w:eastAsia="Times New Roman"/>
                <w:iCs/>
                <w:sz w:val="18"/>
                <w:szCs w:val="18"/>
              </w:rPr>
              <w:t>760.3 km</w:t>
            </w:r>
          </w:p>
        </w:tc>
        <w:tc>
          <w:tcPr>
            <w:tcW w:w="2840" w:type="dxa"/>
            <w:vAlign w:val="center"/>
          </w:tcPr>
          <w:p w14:paraId="4D15D070" w14:textId="77777777" w:rsidR="00F00E20" w:rsidRPr="00CE5DD5" w:rsidRDefault="00F00E20" w:rsidP="00236AA1">
            <w:pPr>
              <w:spacing w:before="0" w:after="0" w:line="240" w:lineRule="auto"/>
              <w:rPr>
                <w:rFonts w:eastAsia="Times New Roman"/>
                <w:iCs/>
                <w:sz w:val="18"/>
                <w:szCs w:val="18"/>
              </w:rPr>
            </w:pPr>
            <w:r w:rsidRPr="00CE5DD5">
              <w:rPr>
                <w:rFonts w:eastAsia="Times New Roman"/>
                <w:iCs/>
                <w:sz w:val="18"/>
                <w:szCs w:val="18"/>
              </w:rPr>
              <w:t>1,981 km</w:t>
            </w:r>
          </w:p>
        </w:tc>
        <w:tc>
          <w:tcPr>
            <w:tcW w:w="3124" w:type="dxa"/>
            <w:vAlign w:val="center"/>
          </w:tcPr>
          <w:p w14:paraId="58EA4841" w14:textId="0DDD6771" w:rsidR="00F00E20" w:rsidRPr="001D395F" w:rsidRDefault="00F00E20" w:rsidP="00F16D63">
            <w:pPr>
              <w:spacing w:before="60" w:after="0" w:line="240" w:lineRule="auto"/>
              <w:rPr>
                <w:sz w:val="18"/>
                <w:szCs w:val="18"/>
              </w:rPr>
            </w:pPr>
            <w:r>
              <w:rPr>
                <w:rFonts w:eastAsia="Times New Roman"/>
                <w:iCs/>
                <w:sz w:val="18"/>
                <w:szCs w:val="18"/>
              </w:rPr>
              <w:t xml:space="preserve">1,703 </w:t>
            </w:r>
            <w:r w:rsidRPr="00877A6B">
              <w:rPr>
                <w:rFonts w:eastAsia="Times New Roman"/>
                <w:iCs/>
                <w:sz w:val="18"/>
                <w:szCs w:val="18"/>
              </w:rPr>
              <w:t xml:space="preserve">Target was </w:t>
            </w:r>
            <w:r w:rsidRPr="00DF2006">
              <w:rPr>
                <w:rFonts w:eastAsia="Times New Roman"/>
                <w:iCs/>
                <w:sz w:val="18"/>
                <w:szCs w:val="18"/>
              </w:rPr>
              <w:t>1,500</w:t>
            </w:r>
            <w:r>
              <w:rPr>
                <w:rFonts w:eastAsia="Times New Roman"/>
                <w:iCs/>
                <w:sz w:val="18"/>
                <w:szCs w:val="18"/>
              </w:rPr>
              <w:t xml:space="preserve"> </w:t>
            </w:r>
            <w:r w:rsidRPr="00DF2006">
              <w:rPr>
                <w:rFonts w:eastAsia="Times New Roman"/>
                <w:iCs/>
                <w:sz w:val="18"/>
                <w:szCs w:val="18"/>
              </w:rPr>
              <w:t>km</w:t>
            </w:r>
          </w:p>
        </w:tc>
        <w:tc>
          <w:tcPr>
            <w:tcW w:w="1947" w:type="dxa"/>
          </w:tcPr>
          <w:p w14:paraId="74540123" w14:textId="2F3C86DE" w:rsidR="00F00E20" w:rsidRDefault="001A5C3E" w:rsidP="00F16D63">
            <w:pPr>
              <w:spacing w:before="60" w:after="0" w:line="240" w:lineRule="auto"/>
              <w:rPr>
                <w:rFonts w:eastAsia="Times New Roman"/>
                <w:iCs/>
                <w:sz w:val="18"/>
                <w:szCs w:val="18"/>
              </w:rPr>
            </w:pPr>
            <w:r>
              <w:rPr>
                <w:rFonts w:eastAsia="Times New Roman"/>
                <w:iCs/>
                <w:sz w:val="18"/>
                <w:szCs w:val="18"/>
              </w:rPr>
              <w:t>1,500</w:t>
            </w:r>
          </w:p>
        </w:tc>
      </w:tr>
      <w:tr w:rsidR="00F00E20" w:rsidRPr="006F3534" w14:paraId="3FF18B0A" w14:textId="55BC9C11" w:rsidTr="00F16D63">
        <w:trPr>
          <w:trHeight w:val="210"/>
        </w:trPr>
        <w:tc>
          <w:tcPr>
            <w:tcW w:w="13209" w:type="dxa"/>
            <w:gridSpan w:val="4"/>
            <w:shd w:val="clear" w:color="auto" w:fill="ADDEC1" w:themeFill="accent6" w:themeFillTint="66"/>
            <w:vAlign w:val="center"/>
          </w:tcPr>
          <w:p w14:paraId="4E80D829" w14:textId="77777777" w:rsidR="00F00E20" w:rsidRPr="00CE5DD5" w:rsidRDefault="00F00E20" w:rsidP="00F16D63">
            <w:pPr>
              <w:keepLines/>
              <w:spacing w:before="0" w:after="0" w:line="240" w:lineRule="auto"/>
              <w:rPr>
                <w:rFonts w:eastAsia="Times New Roman"/>
                <w:iCs/>
                <w:sz w:val="18"/>
                <w:szCs w:val="18"/>
              </w:rPr>
            </w:pPr>
            <w:r w:rsidRPr="00CE5DD5">
              <w:rPr>
                <w:rFonts w:eastAsia="Times New Roman"/>
                <w:iCs/>
                <w:sz w:val="18"/>
                <w:szCs w:val="18"/>
              </w:rPr>
              <w:t>Sub-objective: Catalyse inclusive economic growth</w:t>
            </w:r>
          </w:p>
        </w:tc>
        <w:tc>
          <w:tcPr>
            <w:tcW w:w="1947" w:type="dxa"/>
            <w:shd w:val="clear" w:color="auto" w:fill="ADDEC1" w:themeFill="accent6" w:themeFillTint="66"/>
          </w:tcPr>
          <w:p w14:paraId="3FBC17DC" w14:textId="77777777" w:rsidR="00F00E20" w:rsidRPr="00CE5DD5" w:rsidRDefault="00F00E20" w:rsidP="00F16D63">
            <w:pPr>
              <w:keepLines/>
              <w:spacing w:before="0" w:after="0" w:line="240" w:lineRule="auto"/>
              <w:rPr>
                <w:rFonts w:eastAsia="Times New Roman"/>
                <w:iCs/>
                <w:sz w:val="18"/>
                <w:szCs w:val="18"/>
              </w:rPr>
            </w:pPr>
          </w:p>
        </w:tc>
      </w:tr>
      <w:tr w:rsidR="00F00E20" w:rsidRPr="006F3534" w14:paraId="7721C4B2" w14:textId="2DEC2B0A" w:rsidTr="00F16D63">
        <w:trPr>
          <w:trHeight w:val="196"/>
        </w:trPr>
        <w:tc>
          <w:tcPr>
            <w:tcW w:w="5255" w:type="dxa"/>
            <w:vAlign w:val="center"/>
          </w:tcPr>
          <w:p w14:paraId="306FD8EC" w14:textId="77777777" w:rsidR="00F00E20" w:rsidRPr="00A6745E" w:rsidRDefault="00F00E20" w:rsidP="00236AA1">
            <w:pPr>
              <w:keepLines/>
              <w:spacing w:before="0" w:after="0" w:line="240" w:lineRule="auto"/>
              <w:rPr>
                <w:rFonts w:eastAsia="Times New Roman"/>
                <w:iCs/>
                <w:sz w:val="18"/>
                <w:szCs w:val="18"/>
              </w:rPr>
            </w:pPr>
            <w:r>
              <w:rPr>
                <w:rFonts w:eastAsia="Times New Roman"/>
                <w:iCs/>
                <w:sz w:val="18"/>
                <w:szCs w:val="18"/>
              </w:rPr>
              <w:t xml:space="preserve">7. </w:t>
            </w:r>
            <w:r w:rsidRPr="00A6745E">
              <w:rPr>
                <w:rFonts w:eastAsia="Times New Roman"/>
                <w:iCs/>
                <w:sz w:val="18"/>
                <w:szCs w:val="18"/>
              </w:rPr>
              <w:t>Value of private sector investment leveraged (AUD)</w:t>
            </w:r>
          </w:p>
        </w:tc>
        <w:tc>
          <w:tcPr>
            <w:tcW w:w="1988" w:type="dxa"/>
            <w:vAlign w:val="center"/>
          </w:tcPr>
          <w:p w14:paraId="4DE1AADA" w14:textId="77777777" w:rsidR="00F00E20" w:rsidRPr="006F3534" w:rsidRDefault="00F00E20" w:rsidP="00236AA1">
            <w:pPr>
              <w:keepLines/>
              <w:spacing w:before="0" w:after="0" w:line="240" w:lineRule="auto"/>
              <w:rPr>
                <w:rFonts w:eastAsia="Times New Roman"/>
                <w:iCs/>
                <w:sz w:val="18"/>
                <w:szCs w:val="18"/>
              </w:rPr>
            </w:pPr>
            <w:r>
              <w:rPr>
                <w:rFonts w:eastAsia="Times New Roman"/>
                <w:iCs/>
                <w:sz w:val="18"/>
                <w:szCs w:val="18"/>
              </w:rPr>
              <w:t>$4,000,000</w:t>
            </w:r>
          </w:p>
        </w:tc>
        <w:tc>
          <w:tcPr>
            <w:tcW w:w="2840" w:type="dxa"/>
            <w:vAlign w:val="center"/>
          </w:tcPr>
          <w:p w14:paraId="65645438" w14:textId="77777777" w:rsidR="00F00E20" w:rsidRPr="00CE5DD5" w:rsidRDefault="00F00E20" w:rsidP="00236AA1">
            <w:pPr>
              <w:keepLines/>
              <w:spacing w:before="0" w:after="0" w:line="240" w:lineRule="auto"/>
              <w:rPr>
                <w:rFonts w:eastAsia="Times New Roman"/>
                <w:iCs/>
                <w:sz w:val="18"/>
                <w:szCs w:val="18"/>
              </w:rPr>
            </w:pPr>
            <w:r w:rsidRPr="00877A6B">
              <w:rPr>
                <w:rFonts w:eastAsia="Times New Roman"/>
                <w:iCs/>
                <w:sz w:val="18"/>
                <w:szCs w:val="18"/>
              </w:rPr>
              <w:t>$4,380,151</w:t>
            </w:r>
          </w:p>
        </w:tc>
        <w:tc>
          <w:tcPr>
            <w:tcW w:w="3124" w:type="dxa"/>
            <w:vAlign w:val="center"/>
          </w:tcPr>
          <w:p w14:paraId="54FFDF2E" w14:textId="18E01D5C" w:rsidR="00F00E20" w:rsidRPr="006F3534" w:rsidRDefault="00F00E20" w:rsidP="00236AA1">
            <w:pPr>
              <w:spacing w:before="0" w:after="0" w:line="240" w:lineRule="auto"/>
              <w:rPr>
                <w:sz w:val="18"/>
                <w:szCs w:val="18"/>
              </w:rPr>
            </w:pPr>
            <w:r>
              <w:rPr>
                <w:sz w:val="18"/>
                <w:szCs w:val="18"/>
              </w:rPr>
              <w:t>$</w:t>
            </w:r>
            <w:r w:rsidR="00D33A15">
              <w:rPr>
                <w:sz w:val="18"/>
                <w:szCs w:val="18"/>
              </w:rPr>
              <w:t>7,381,813, Target</w:t>
            </w:r>
            <w:r w:rsidRPr="00877A6B">
              <w:rPr>
                <w:rFonts w:eastAsia="Times New Roman"/>
                <w:iCs/>
                <w:sz w:val="18"/>
                <w:szCs w:val="18"/>
              </w:rPr>
              <w:t xml:space="preserve"> was </w:t>
            </w:r>
            <w:r>
              <w:rPr>
                <w:sz w:val="18"/>
                <w:szCs w:val="18"/>
              </w:rPr>
              <w:t>$4,000,000</w:t>
            </w:r>
          </w:p>
        </w:tc>
        <w:tc>
          <w:tcPr>
            <w:tcW w:w="1947" w:type="dxa"/>
          </w:tcPr>
          <w:p w14:paraId="583BE97C" w14:textId="4394315F" w:rsidR="00F00E20" w:rsidRDefault="00F00E20" w:rsidP="00236AA1">
            <w:pPr>
              <w:spacing w:before="0" w:after="0" w:line="240" w:lineRule="auto"/>
              <w:rPr>
                <w:sz w:val="18"/>
                <w:szCs w:val="18"/>
              </w:rPr>
            </w:pPr>
            <w:r>
              <w:rPr>
                <w:sz w:val="18"/>
                <w:szCs w:val="18"/>
              </w:rPr>
              <w:t>$3,000,000</w:t>
            </w:r>
            <w:r w:rsidR="00AF1B01">
              <w:rPr>
                <w:rStyle w:val="FootnoteReference"/>
                <w:sz w:val="18"/>
                <w:szCs w:val="18"/>
              </w:rPr>
              <w:footnoteReference w:id="5"/>
            </w:r>
          </w:p>
        </w:tc>
      </w:tr>
      <w:tr w:rsidR="00F00E20" w:rsidRPr="006F3534" w14:paraId="2D5CAA9D" w14:textId="0D79257F" w:rsidTr="00F16D63">
        <w:trPr>
          <w:trHeight w:val="406"/>
        </w:trPr>
        <w:tc>
          <w:tcPr>
            <w:tcW w:w="5255" w:type="dxa"/>
            <w:vAlign w:val="center"/>
          </w:tcPr>
          <w:p w14:paraId="6583CA76" w14:textId="77777777" w:rsidR="00F00E20" w:rsidRPr="00A6745E" w:rsidRDefault="00F00E20" w:rsidP="00F16D63">
            <w:pPr>
              <w:keepLines/>
              <w:spacing w:before="60" w:after="0" w:line="240" w:lineRule="auto"/>
              <w:rPr>
                <w:rFonts w:eastAsia="Times New Roman"/>
                <w:iCs/>
                <w:sz w:val="18"/>
                <w:szCs w:val="18"/>
              </w:rPr>
            </w:pPr>
            <w:r>
              <w:rPr>
                <w:rFonts w:eastAsia="Times New Roman"/>
                <w:iCs/>
                <w:sz w:val="18"/>
                <w:szCs w:val="18"/>
              </w:rPr>
              <w:t xml:space="preserve">8. </w:t>
            </w:r>
            <w:r w:rsidRPr="00A6745E">
              <w:rPr>
                <w:rFonts w:eastAsia="Times New Roman"/>
                <w:iCs/>
                <w:sz w:val="18"/>
                <w:szCs w:val="18"/>
              </w:rPr>
              <w:t>Value of development investment attracted to PNG facilitated by or value-added to by Australia (AUD)</w:t>
            </w:r>
          </w:p>
        </w:tc>
        <w:tc>
          <w:tcPr>
            <w:tcW w:w="1988" w:type="dxa"/>
            <w:vAlign w:val="center"/>
          </w:tcPr>
          <w:p w14:paraId="0BFAFCFE" w14:textId="77777777" w:rsidR="00F00E20" w:rsidRDefault="00F00E20" w:rsidP="00F16D63">
            <w:pPr>
              <w:keepLines/>
              <w:spacing w:before="60" w:after="0" w:line="240" w:lineRule="auto"/>
              <w:rPr>
                <w:rFonts w:eastAsia="Times New Roman"/>
                <w:iCs/>
                <w:sz w:val="18"/>
                <w:szCs w:val="18"/>
              </w:rPr>
            </w:pPr>
            <w:r w:rsidRPr="00CC569D">
              <w:rPr>
                <w:rFonts w:eastAsia="Times New Roman"/>
                <w:iCs/>
                <w:sz w:val="18"/>
                <w:szCs w:val="18"/>
              </w:rPr>
              <w:t>$7,185,098</w:t>
            </w:r>
          </w:p>
        </w:tc>
        <w:tc>
          <w:tcPr>
            <w:tcW w:w="2840" w:type="dxa"/>
            <w:vAlign w:val="center"/>
          </w:tcPr>
          <w:p w14:paraId="36C853DF" w14:textId="77777777" w:rsidR="00F00E20" w:rsidRPr="00CE5DD5" w:rsidRDefault="00F00E20" w:rsidP="00236AA1">
            <w:pPr>
              <w:keepLines/>
              <w:spacing w:before="0" w:after="0" w:line="240" w:lineRule="auto"/>
              <w:rPr>
                <w:rFonts w:eastAsia="Times New Roman"/>
                <w:iCs/>
                <w:sz w:val="18"/>
                <w:szCs w:val="18"/>
              </w:rPr>
            </w:pPr>
            <w:r w:rsidRPr="00CE5DD5">
              <w:rPr>
                <w:rFonts w:eastAsia="Times New Roman"/>
                <w:iCs/>
                <w:sz w:val="18"/>
                <w:szCs w:val="18"/>
              </w:rPr>
              <w:t>$146,663,452 Target was $42,000,000</w:t>
            </w:r>
          </w:p>
        </w:tc>
        <w:tc>
          <w:tcPr>
            <w:tcW w:w="3124" w:type="dxa"/>
            <w:vAlign w:val="center"/>
          </w:tcPr>
          <w:p w14:paraId="3E46634F" w14:textId="6438DE5D" w:rsidR="00F00E20" w:rsidRDefault="00F00E20" w:rsidP="00D33A15">
            <w:pPr>
              <w:spacing w:before="60" w:after="0" w:line="240" w:lineRule="auto"/>
              <w:rPr>
                <w:sz w:val="18"/>
                <w:szCs w:val="18"/>
              </w:rPr>
            </w:pPr>
            <w:r>
              <w:rPr>
                <w:rFonts w:eastAsia="Times New Roman"/>
                <w:iCs/>
                <w:sz w:val="18"/>
                <w:szCs w:val="18"/>
              </w:rPr>
              <w:t>$</w:t>
            </w:r>
            <w:r w:rsidR="00D33A15">
              <w:rPr>
                <w:rFonts w:eastAsia="Times New Roman"/>
                <w:iCs/>
                <w:sz w:val="18"/>
                <w:szCs w:val="18"/>
              </w:rPr>
              <w:t>451,328,449</w:t>
            </w:r>
            <w:r w:rsidR="00237779">
              <w:rPr>
                <w:rFonts w:eastAsia="Times New Roman"/>
                <w:iCs/>
                <w:sz w:val="18"/>
                <w:szCs w:val="18"/>
              </w:rPr>
              <w:t xml:space="preserve">, </w:t>
            </w:r>
            <w:r w:rsidRPr="00877A6B">
              <w:rPr>
                <w:rFonts w:eastAsia="Times New Roman"/>
                <w:iCs/>
                <w:sz w:val="18"/>
                <w:szCs w:val="18"/>
              </w:rPr>
              <w:t xml:space="preserve">Target was </w:t>
            </w:r>
            <w:r>
              <w:rPr>
                <w:sz w:val="18"/>
                <w:szCs w:val="18"/>
              </w:rPr>
              <w:t>$67,000,000</w:t>
            </w:r>
          </w:p>
        </w:tc>
        <w:tc>
          <w:tcPr>
            <w:tcW w:w="1947" w:type="dxa"/>
          </w:tcPr>
          <w:p w14:paraId="7BA03EBE" w14:textId="05A1C9E5" w:rsidR="00F00E20" w:rsidRDefault="009D56FD" w:rsidP="00F16D63">
            <w:pPr>
              <w:spacing w:before="60" w:after="0" w:line="240" w:lineRule="auto"/>
              <w:rPr>
                <w:rFonts w:eastAsia="Times New Roman"/>
                <w:iCs/>
                <w:sz w:val="18"/>
                <w:szCs w:val="18"/>
              </w:rPr>
            </w:pPr>
            <w:r>
              <w:rPr>
                <w:rFonts w:eastAsia="Times New Roman"/>
                <w:iCs/>
                <w:sz w:val="18"/>
                <w:szCs w:val="18"/>
              </w:rPr>
              <w:t>$90,000,000</w:t>
            </w:r>
            <w:r w:rsidR="00D33A15">
              <w:rPr>
                <w:rStyle w:val="FootnoteReference"/>
                <w:rFonts w:eastAsia="Times New Roman"/>
                <w:iCs/>
                <w:sz w:val="18"/>
                <w:szCs w:val="18"/>
              </w:rPr>
              <w:footnoteReference w:id="6"/>
            </w:r>
          </w:p>
        </w:tc>
      </w:tr>
      <w:tr w:rsidR="00F00E20" w:rsidRPr="006F3534" w14:paraId="1B044B0F" w14:textId="4D93F569" w:rsidTr="00F16D63">
        <w:trPr>
          <w:trHeight w:val="589"/>
        </w:trPr>
        <w:tc>
          <w:tcPr>
            <w:tcW w:w="5255" w:type="dxa"/>
            <w:vAlign w:val="center"/>
          </w:tcPr>
          <w:p w14:paraId="570A0580" w14:textId="77777777" w:rsidR="00F00E20" w:rsidRPr="00A6745E" w:rsidRDefault="00F00E20" w:rsidP="00F16D63">
            <w:pPr>
              <w:keepLines/>
              <w:spacing w:before="60" w:after="0" w:line="240" w:lineRule="auto"/>
              <w:rPr>
                <w:rFonts w:eastAsia="Times New Roman"/>
                <w:iCs/>
                <w:sz w:val="18"/>
                <w:szCs w:val="18"/>
              </w:rPr>
            </w:pPr>
            <w:r>
              <w:rPr>
                <w:rFonts w:eastAsia="Times New Roman"/>
                <w:iCs/>
                <w:sz w:val="18"/>
                <w:szCs w:val="18"/>
              </w:rPr>
              <w:t xml:space="preserve">9. </w:t>
            </w:r>
            <w:r w:rsidRPr="00A6745E">
              <w:rPr>
                <w:rFonts w:eastAsia="Times New Roman"/>
                <w:iCs/>
                <w:sz w:val="18"/>
                <w:szCs w:val="18"/>
              </w:rPr>
              <w:t>Number of women &amp; men with better access to financial services</w:t>
            </w:r>
          </w:p>
        </w:tc>
        <w:tc>
          <w:tcPr>
            <w:tcW w:w="1988" w:type="dxa"/>
            <w:vAlign w:val="center"/>
          </w:tcPr>
          <w:p w14:paraId="3681EFBE" w14:textId="77777777" w:rsidR="00F00E20" w:rsidRPr="006F3534" w:rsidRDefault="00F00E20" w:rsidP="00F16D63">
            <w:pPr>
              <w:keepLines/>
              <w:spacing w:before="60" w:after="0" w:line="240" w:lineRule="auto"/>
              <w:rPr>
                <w:rFonts w:eastAsia="Times New Roman"/>
                <w:iCs/>
                <w:sz w:val="18"/>
                <w:szCs w:val="18"/>
              </w:rPr>
            </w:pPr>
            <w:r>
              <w:rPr>
                <w:rFonts w:eastAsia="Times New Roman"/>
                <w:iCs/>
                <w:sz w:val="18"/>
                <w:szCs w:val="18"/>
              </w:rPr>
              <w:t>46,000</w:t>
            </w:r>
          </w:p>
        </w:tc>
        <w:tc>
          <w:tcPr>
            <w:tcW w:w="2840" w:type="dxa"/>
            <w:vAlign w:val="center"/>
          </w:tcPr>
          <w:p w14:paraId="26641A7E" w14:textId="3F27D3C9" w:rsidR="00F00E20" w:rsidRPr="00CE5DD5" w:rsidRDefault="00F00E20" w:rsidP="00236AA1">
            <w:pPr>
              <w:keepLines/>
              <w:spacing w:before="0" w:after="0"/>
              <w:rPr>
                <w:rFonts w:eastAsia="Times New Roman"/>
                <w:iCs/>
                <w:sz w:val="18"/>
                <w:szCs w:val="18"/>
              </w:rPr>
            </w:pPr>
            <w:r w:rsidRPr="00CE5DD5">
              <w:rPr>
                <w:rFonts w:eastAsia="Times New Roman"/>
                <w:iCs/>
                <w:sz w:val="18"/>
                <w:szCs w:val="18"/>
              </w:rPr>
              <w:t>59,217</w:t>
            </w:r>
            <w:r w:rsidR="00B62486">
              <w:rPr>
                <w:rFonts w:eastAsia="Times New Roman"/>
                <w:iCs/>
                <w:sz w:val="18"/>
                <w:szCs w:val="18"/>
              </w:rPr>
              <w:t xml:space="preserve"> </w:t>
            </w:r>
            <w:r w:rsidRPr="00CE5DD5">
              <w:rPr>
                <w:rFonts w:eastAsia="Times New Roman"/>
                <w:iCs/>
                <w:sz w:val="18"/>
                <w:szCs w:val="18"/>
              </w:rPr>
              <w:t>(women 30,912, men 28,305)</w:t>
            </w:r>
          </w:p>
        </w:tc>
        <w:tc>
          <w:tcPr>
            <w:tcW w:w="3124" w:type="dxa"/>
            <w:vAlign w:val="center"/>
          </w:tcPr>
          <w:p w14:paraId="69591EED" w14:textId="27CCE722" w:rsidR="00F00E20" w:rsidRPr="006F3534" w:rsidRDefault="00D33A15" w:rsidP="00D33A15">
            <w:pPr>
              <w:spacing w:before="60" w:after="0" w:line="240" w:lineRule="auto"/>
              <w:rPr>
                <w:sz w:val="18"/>
                <w:szCs w:val="18"/>
              </w:rPr>
            </w:pPr>
            <w:r>
              <w:rPr>
                <w:rFonts w:eastAsia="Times New Roman"/>
                <w:iCs/>
                <w:sz w:val="18"/>
                <w:szCs w:val="18"/>
              </w:rPr>
              <w:t>16,847</w:t>
            </w:r>
            <w:r w:rsidR="00F00E20">
              <w:rPr>
                <w:rFonts w:eastAsia="Times New Roman"/>
                <w:iCs/>
                <w:sz w:val="18"/>
                <w:szCs w:val="18"/>
              </w:rPr>
              <w:t xml:space="preserve"> (</w:t>
            </w:r>
            <w:r>
              <w:rPr>
                <w:rFonts w:eastAsia="Times New Roman"/>
                <w:iCs/>
                <w:sz w:val="18"/>
                <w:szCs w:val="18"/>
              </w:rPr>
              <w:t>8,997</w:t>
            </w:r>
            <w:r w:rsidR="00F00E20">
              <w:rPr>
                <w:rFonts w:eastAsia="Times New Roman"/>
                <w:iCs/>
                <w:sz w:val="18"/>
                <w:szCs w:val="18"/>
              </w:rPr>
              <w:t xml:space="preserve"> women, </w:t>
            </w:r>
            <w:r>
              <w:rPr>
                <w:rFonts w:eastAsia="Times New Roman"/>
                <w:iCs/>
                <w:sz w:val="18"/>
                <w:szCs w:val="18"/>
              </w:rPr>
              <w:t>7,850</w:t>
            </w:r>
            <w:r w:rsidR="00F00E20">
              <w:rPr>
                <w:rFonts w:eastAsia="Times New Roman"/>
                <w:iCs/>
                <w:sz w:val="18"/>
                <w:szCs w:val="18"/>
              </w:rPr>
              <w:t xml:space="preserve"> men) </w:t>
            </w:r>
            <w:r w:rsidR="00F00E20" w:rsidRPr="00877A6B">
              <w:rPr>
                <w:rFonts w:eastAsia="Times New Roman"/>
                <w:iCs/>
                <w:sz w:val="18"/>
                <w:szCs w:val="18"/>
              </w:rPr>
              <w:t xml:space="preserve">Target was </w:t>
            </w:r>
            <w:r w:rsidR="00F00E20">
              <w:rPr>
                <w:sz w:val="18"/>
                <w:szCs w:val="18"/>
              </w:rPr>
              <w:t>34,536</w:t>
            </w:r>
            <w:r w:rsidR="008361EA">
              <w:rPr>
                <w:rStyle w:val="FootnoteReference"/>
                <w:sz w:val="18"/>
                <w:szCs w:val="18"/>
              </w:rPr>
              <w:footnoteReference w:id="7"/>
            </w:r>
          </w:p>
        </w:tc>
        <w:tc>
          <w:tcPr>
            <w:tcW w:w="1947" w:type="dxa"/>
          </w:tcPr>
          <w:p w14:paraId="403A96AF" w14:textId="7660BA68" w:rsidR="00F00E20" w:rsidRDefault="001A5C3E" w:rsidP="00F16D63">
            <w:pPr>
              <w:spacing w:before="60" w:after="0" w:line="240" w:lineRule="auto"/>
              <w:rPr>
                <w:rFonts w:eastAsia="Times New Roman"/>
                <w:iCs/>
                <w:sz w:val="18"/>
                <w:szCs w:val="18"/>
              </w:rPr>
            </w:pPr>
            <w:r>
              <w:rPr>
                <w:rFonts w:eastAsia="Times New Roman"/>
                <w:iCs/>
                <w:sz w:val="18"/>
                <w:szCs w:val="18"/>
              </w:rPr>
              <w:t>6,440</w:t>
            </w:r>
            <w:r w:rsidR="009D56FD">
              <w:rPr>
                <w:rStyle w:val="FootnoteReference"/>
                <w:rFonts w:eastAsia="Times New Roman"/>
                <w:iCs/>
                <w:sz w:val="18"/>
                <w:szCs w:val="18"/>
              </w:rPr>
              <w:footnoteReference w:id="8"/>
            </w:r>
          </w:p>
        </w:tc>
      </w:tr>
      <w:tr w:rsidR="00F00E20" w:rsidRPr="006F3534" w14:paraId="6D1A633F" w14:textId="22B393BD" w:rsidTr="00F16D63">
        <w:trPr>
          <w:trHeight w:val="575"/>
        </w:trPr>
        <w:tc>
          <w:tcPr>
            <w:tcW w:w="5255" w:type="dxa"/>
            <w:vAlign w:val="center"/>
          </w:tcPr>
          <w:p w14:paraId="0EC03394" w14:textId="77777777" w:rsidR="00F00E20" w:rsidRPr="00A6745E" w:rsidRDefault="00F00E20" w:rsidP="00F16D63">
            <w:pPr>
              <w:keepLines/>
              <w:spacing w:before="60" w:after="0" w:line="240" w:lineRule="auto"/>
              <w:rPr>
                <w:rFonts w:eastAsia="Times New Roman"/>
                <w:iCs/>
                <w:sz w:val="18"/>
                <w:szCs w:val="18"/>
              </w:rPr>
            </w:pPr>
            <w:r>
              <w:rPr>
                <w:rFonts w:eastAsia="Times New Roman"/>
                <w:iCs/>
                <w:sz w:val="18"/>
                <w:szCs w:val="18"/>
              </w:rPr>
              <w:t xml:space="preserve">10. </w:t>
            </w:r>
            <w:r w:rsidRPr="00A6745E">
              <w:rPr>
                <w:rFonts w:eastAsia="Times New Roman"/>
                <w:iCs/>
                <w:sz w:val="18"/>
                <w:szCs w:val="18"/>
              </w:rPr>
              <w:t>Number of women and men with better access to markets</w:t>
            </w:r>
          </w:p>
        </w:tc>
        <w:tc>
          <w:tcPr>
            <w:tcW w:w="1988" w:type="dxa"/>
            <w:vAlign w:val="center"/>
          </w:tcPr>
          <w:p w14:paraId="7E875FEC" w14:textId="77777777" w:rsidR="00F00E20" w:rsidRPr="006F3534" w:rsidRDefault="00F00E20" w:rsidP="00F16D63">
            <w:pPr>
              <w:keepLines/>
              <w:spacing w:before="60" w:after="0" w:line="240" w:lineRule="auto"/>
              <w:rPr>
                <w:rFonts w:eastAsia="Times New Roman"/>
                <w:iCs/>
                <w:sz w:val="18"/>
                <w:szCs w:val="18"/>
              </w:rPr>
            </w:pPr>
            <w:r w:rsidRPr="006F3534">
              <w:rPr>
                <w:rFonts w:eastAsia="Times New Roman"/>
                <w:iCs/>
                <w:sz w:val="18"/>
                <w:szCs w:val="18"/>
              </w:rPr>
              <w:t>324,459</w:t>
            </w:r>
          </w:p>
        </w:tc>
        <w:tc>
          <w:tcPr>
            <w:tcW w:w="2840" w:type="dxa"/>
            <w:vAlign w:val="center"/>
          </w:tcPr>
          <w:p w14:paraId="2A77D28D" w14:textId="77777777" w:rsidR="00F00E20" w:rsidRPr="00877A6B" w:rsidRDefault="00F00E20" w:rsidP="00F16D63">
            <w:pPr>
              <w:keepLines/>
              <w:spacing w:before="60" w:after="0"/>
              <w:rPr>
                <w:rFonts w:eastAsia="Times New Roman"/>
                <w:iCs/>
                <w:sz w:val="18"/>
                <w:szCs w:val="18"/>
              </w:rPr>
            </w:pPr>
            <w:r w:rsidRPr="00877A6B">
              <w:rPr>
                <w:rFonts w:eastAsia="Times New Roman"/>
                <w:iCs/>
                <w:sz w:val="18"/>
                <w:szCs w:val="18"/>
              </w:rPr>
              <w:t>964,470</w:t>
            </w:r>
          </w:p>
          <w:p w14:paraId="51D541C4" w14:textId="77777777" w:rsidR="00F00E20" w:rsidRPr="00CE5DD5" w:rsidRDefault="00F00E20" w:rsidP="00F16D63">
            <w:pPr>
              <w:keepLines/>
              <w:spacing w:before="60" w:after="0" w:line="240" w:lineRule="auto"/>
              <w:rPr>
                <w:rFonts w:eastAsia="Times New Roman"/>
                <w:iCs/>
                <w:color w:val="FF0000"/>
                <w:sz w:val="18"/>
                <w:szCs w:val="18"/>
              </w:rPr>
            </w:pPr>
            <w:r w:rsidRPr="00877A6B">
              <w:rPr>
                <w:rFonts w:eastAsia="Times New Roman"/>
                <w:iCs/>
                <w:sz w:val="18"/>
                <w:szCs w:val="18"/>
              </w:rPr>
              <w:t>(women 498,285, men 498,185)</w:t>
            </w:r>
          </w:p>
        </w:tc>
        <w:tc>
          <w:tcPr>
            <w:tcW w:w="3124" w:type="dxa"/>
            <w:vAlign w:val="center"/>
          </w:tcPr>
          <w:p w14:paraId="7D48CE2C" w14:textId="5B74EB02" w:rsidR="00F00E20" w:rsidRPr="00177262" w:rsidRDefault="007C28E8" w:rsidP="007C28E8">
            <w:pPr>
              <w:spacing w:before="60" w:after="0" w:line="240" w:lineRule="auto"/>
              <w:rPr>
                <w:color w:val="FF0000"/>
                <w:sz w:val="18"/>
                <w:szCs w:val="18"/>
              </w:rPr>
            </w:pPr>
            <w:r>
              <w:rPr>
                <w:rFonts w:eastAsia="Times New Roman"/>
                <w:iCs/>
                <w:sz w:val="18"/>
                <w:szCs w:val="18"/>
              </w:rPr>
              <w:t>1,047,791</w:t>
            </w:r>
            <w:r w:rsidR="00F00E20">
              <w:rPr>
                <w:rFonts w:eastAsia="Times New Roman"/>
                <w:iCs/>
                <w:sz w:val="18"/>
                <w:szCs w:val="18"/>
              </w:rPr>
              <w:t xml:space="preserve"> (</w:t>
            </w:r>
            <w:r>
              <w:rPr>
                <w:rFonts w:eastAsia="Times New Roman"/>
                <w:iCs/>
                <w:sz w:val="18"/>
                <w:szCs w:val="18"/>
              </w:rPr>
              <w:t>504,210</w:t>
            </w:r>
            <w:r w:rsidR="00F00E20">
              <w:rPr>
                <w:rFonts w:eastAsia="Times New Roman"/>
                <w:iCs/>
                <w:sz w:val="18"/>
                <w:szCs w:val="18"/>
              </w:rPr>
              <w:t xml:space="preserve"> women, </w:t>
            </w:r>
            <w:r>
              <w:rPr>
                <w:rFonts w:eastAsia="Times New Roman"/>
                <w:iCs/>
                <w:sz w:val="18"/>
                <w:szCs w:val="18"/>
              </w:rPr>
              <w:t>543,581</w:t>
            </w:r>
            <w:r w:rsidR="00F00E20">
              <w:rPr>
                <w:rFonts w:eastAsia="Times New Roman"/>
                <w:iCs/>
                <w:sz w:val="18"/>
                <w:szCs w:val="18"/>
              </w:rPr>
              <w:t xml:space="preserve"> men) </w:t>
            </w:r>
            <w:r w:rsidR="00F00E20" w:rsidRPr="00877A6B">
              <w:rPr>
                <w:rFonts w:eastAsia="Times New Roman"/>
                <w:iCs/>
                <w:sz w:val="18"/>
                <w:szCs w:val="18"/>
              </w:rPr>
              <w:t xml:space="preserve">Target was </w:t>
            </w:r>
            <w:r w:rsidR="00F00E20" w:rsidRPr="00184D76">
              <w:rPr>
                <w:sz w:val="18"/>
                <w:szCs w:val="18"/>
              </w:rPr>
              <w:t>1,015,159</w:t>
            </w:r>
          </w:p>
        </w:tc>
        <w:tc>
          <w:tcPr>
            <w:tcW w:w="1947" w:type="dxa"/>
          </w:tcPr>
          <w:p w14:paraId="5E377D2B" w14:textId="00340102" w:rsidR="00F00E20" w:rsidRDefault="001A5C3E" w:rsidP="00F16D63">
            <w:pPr>
              <w:spacing w:before="60" w:after="0" w:line="240" w:lineRule="auto"/>
              <w:rPr>
                <w:rFonts w:eastAsia="Times New Roman"/>
                <w:iCs/>
                <w:sz w:val="18"/>
                <w:szCs w:val="18"/>
              </w:rPr>
            </w:pPr>
            <w:r>
              <w:rPr>
                <w:rFonts w:eastAsia="Times New Roman"/>
                <w:iCs/>
                <w:sz w:val="18"/>
                <w:szCs w:val="18"/>
              </w:rPr>
              <w:t>900,000</w:t>
            </w:r>
          </w:p>
        </w:tc>
      </w:tr>
    </w:tbl>
    <w:p w14:paraId="2DB95479" w14:textId="458B2D74" w:rsidR="007E69FF" w:rsidRDefault="007E69FF"/>
    <w:tbl>
      <w:tblPr>
        <w:tblStyle w:val="TableGrid"/>
        <w:tblW w:w="15022" w:type="dxa"/>
        <w:tblInd w:w="-572" w:type="dxa"/>
        <w:tblLook w:val="04A0" w:firstRow="1" w:lastRow="0" w:firstColumn="1" w:lastColumn="0" w:noHBand="0" w:noVBand="1"/>
      </w:tblPr>
      <w:tblGrid>
        <w:gridCol w:w="4709"/>
        <w:gridCol w:w="2630"/>
        <w:gridCol w:w="2545"/>
        <w:gridCol w:w="2570"/>
        <w:gridCol w:w="2568"/>
      </w:tblGrid>
      <w:tr w:rsidR="007E69FF" w:rsidRPr="006F3534" w14:paraId="3C1A6EB2" w14:textId="2F5B4301" w:rsidTr="00F60563">
        <w:tc>
          <w:tcPr>
            <w:tcW w:w="15022" w:type="dxa"/>
            <w:gridSpan w:val="5"/>
            <w:shd w:val="clear" w:color="auto" w:fill="ADDEC1" w:themeFill="accent6" w:themeFillTint="66"/>
            <w:vAlign w:val="center"/>
          </w:tcPr>
          <w:p w14:paraId="3A34661A" w14:textId="77777777" w:rsidR="007E69FF" w:rsidRPr="00A6745E" w:rsidRDefault="007E69FF" w:rsidP="00EA09AA">
            <w:pPr>
              <w:keepLines/>
              <w:spacing w:before="0" w:after="0" w:line="240" w:lineRule="auto"/>
              <w:rPr>
                <w:rFonts w:eastAsia="Times New Roman"/>
                <w:iCs/>
                <w:sz w:val="18"/>
                <w:szCs w:val="18"/>
              </w:rPr>
            </w:pPr>
            <w:r>
              <w:br w:type="page"/>
            </w:r>
            <w:r w:rsidRPr="00A6745E">
              <w:rPr>
                <w:rFonts w:eastAsia="Times New Roman"/>
                <w:iCs/>
                <w:sz w:val="18"/>
                <w:szCs w:val="18"/>
              </w:rPr>
              <w:t>Strategic Objective 3: Enhancing human development</w:t>
            </w:r>
          </w:p>
          <w:p w14:paraId="5B265241" w14:textId="073DBA08" w:rsidR="007E69FF" w:rsidRDefault="007E69FF" w:rsidP="00EA09AA">
            <w:pPr>
              <w:keepLines/>
              <w:spacing w:before="0" w:after="0" w:line="240" w:lineRule="auto"/>
            </w:pPr>
            <w:r w:rsidRPr="006F3534">
              <w:rPr>
                <w:rFonts w:eastAsia="Times New Roman"/>
                <w:iCs/>
                <w:sz w:val="18"/>
                <w:szCs w:val="18"/>
              </w:rPr>
              <w:t>Sub-objective: More effective education service delivery system</w:t>
            </w:r>
          </w:p>
        </w:tc>
      </w:tr>
      <w:tr w:rsidR="007E69FF" w:rsidRPr="006F3534" w14:paraId="5B5A2873" w14:textId="083CE23D" w:rsidTr="007E69FF">
        <w:tc>
          <w:tcPr>
            <w:tcW w:w="4709" w:type="dxa"/>
          </w:tcPr>
          <w:p w14:paraId="2594976D" w14:textId="4B3072F4" w:rsidR="007E69FF" w:rsidRPr="006F3534" w:rsidRDefault="00D82F50" w:rsidP="0029377D">
            <w:pPr>
              <w:keepLines/>
              <w:spacing w:before="0" w:after="0" w:line="240" w:lineRule="auto"/>
              <w:rPr>
                <w:rFonts w:eastAsia="Times New Roman"/>
                <w:iCs/>
                <w:sz w:val="18"/>
                <w:szCs w:val="18"/>
              </w:rPr>
            </w:pPr>
            <w:r>
              <w:rPr>
                <w:rFonts w:eastAsia="Times New Roman"/>
                <w:iCs/>
                <w:sz w:val="18"/>
                <w:szCs w:val="18"/>
              </w:rPr>
              <w:t>11</w:t>
            </w:r>
            <w:r w:rsidR="007E69FF">
              <w:rPr>
                <w:rFonts w:eastAsia="Times New Roman"/>
                <w:iCs/>
                <w:sz w:val="18"/>
                <w:szCs w:val="18"/>
              </w:rPr>
              <w:t xml:space="preserve">. </w:t>
            </w:r>
            <w:r w:rsidR="007E69FF" w:rsidRPr="006F3534">
              <w:rPr>
                <w:rFonts w:eastAsia="Times New Roman"/>
                <w:iCs/>
                <w:sz w:val="18"/>
                <w:szCs w:val="18"/>
              </w:rPr>
              <w:t xml:space="preserve">Number of women and men (by province) graduating from Australia Awards, APTC and Fellowships </w:t>
            </w:r>
          </w:p>
        </w:tc>
        <w:tc>
          <w:tcPr>
            <w:tcW w:w="2630" w:type="dxa"/>
            <w:vAlign w:val="center"/>
          </w:tcPr>
          <w:p w14:paraId="5081FBE6"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791 (</w:t>
            </w:r>
            <w:r w:rsidRPr="006F3534">
              <w:rPr>
                <w:rFonts w:eastAsia="Times New Roman"/>
                <w:iCs/>
                <w:sz w:val="18"/>
                <w:szCs w:val="18"/>
              </w:rPr>
              <w:t>2016</w:t>
            </w:r>
            <w:r>
              <w:rPr>
                <w:rFonts w:eastAsia="Times New Roman"/>
                <w:iCs/>
                <w:sz w:val="18"/>
                <w:szCs w:val="18"/>
              </w:rPr>
              <w:t>)</w:t>
            </w:r>
          </w:p>
        </w:tc>
        <w:tc>
          <w:tcPr>
            <w:tcW w:w="2545" w:type="dxa"/>
            <w:vAlign w:val="center"/>
          </w:tcPr>
          <w:p w14:paraId="25A99573" w14:textId="77777777" w:rsidR="007E69FF" w:rsidRPr="00865BBE" w:rsidRDefault="007E69FF" w:rsidP="00EA09AA">
            <w:pPr>
              <w:spacing w:before="0" w:after="0" w:line="240" w:lineRule="auto"/>
              <w:rPr>
                <w:rFonts w:eastAsia="Times New Roman"/>
                <w:iCs/>
                <w:color w:val="FF0000"/>
                <w:sz w:val="18"/>
                <w:szCs w:val="18"/>
              </w:rPr>
            </w:pPr>
            <w:r w:rsidRPr="00C7531B">
              <w:rPr>
                <w:rFonts w:eastAsia="Times New Roman"/>
                <w:iCs/>
                <w:sz w:val="18"/>
                <w:szCs w:val="18"/>
              </w:rPr>
              <w:t>839</w:t>
            </w:r>
            <w:r>
              <w:rPr>
                <w:rFonts w:eastAsia="Times New Roman"/>
                <w:iCs/>
                <w:sz w:val="18"/>
                <w:szCs w:val="18"/>
              </w:rPr>
              <w:t xml:space="preserve"> (398 women and 441 men)</w:t>
            </w:r>
          </w:p>
        </w:tc>
        <w:tc>
          <w:tcPr>
            <w:tcW w:w="2570" w:type="dxa"/>
            <w:vAlign w:val="center"/>
          </w:tcPr>
          <w:p w14:paraId="75D73005" w14:textId="010A676E" w:rsidR="007E69FF" w:rsidRPr="006F3534" w:rsidRDefault="007E69FF" w:rsidP="00EA09AA">
            <w:pPr>
              <w:spacing w:before="0" w:after="0" w:line="240" w:lineRule="auto"/>
              <w:rPr>
                <w:sz w:val="18"/>
                <w:szCs w:val="18"/>
              </w:rPr>
            </w:pPr>
            <w:r>
              <w:rPr>
                <w:rFonts w:eastAsia="Times New Roman"/>
                <w:iCs/>
                <w:sz w:val="18"/>
                <w:szCs w:val="18"/>
              </w:rPr>
              <w:t xml:space="preserve">1,120 (467 women, 653 men) </w:t>
            </w:r>
            <w:r w:rsidRPr="00877A6B">
              <w:rPr>
                <w:rFonts w:eastAsia="Times New Roman"/>
                <w:iCs/>
                <w:sz w:val="18"/>
                <w:szCs w:val="18"/>
              </w:rPr>
              <w:t xml:space="preserve">Target was </w:t>
            </w:r>
            <w:r w:rsidRPr="00C7531B">
              <w:rPr>
                <w:rFonts w:eastAsia="Times New Roman"/>
                <w:iCs/>
                <w:sz w:val="18"/>
                <w:szCs w:val="18"/>
              </w:rPr>
              <w:t>575</w:t>
            </w:r>
          </w:p>
        </w:tc>
        <w:tc>
          <w:tcPr>
            <w:tcW w:w="2568" w:type="dxa"/>
          </w:tcPr>
          <w:p w14:paraId="22BFE5CD" w14:textId="298EB6BD" w:rsidR="007E69FF" w:rsidRDefault="00581227" w:rsidP="00F16D63">
            <w:pPr>
              <w:spacing w:after="0" w:line="240" w:lineRule="auto"/>
              <w:rPr>
                <w:rFonts w:eastAsia="Times New Roman"/>
                <w:iCs/>
                <w:sz w:val="18"/>
                <w:szCs w:val="18"/>
              </w:rPr>
            </w:pPr>
            <w:r w:rsidRPr="00581227">
              <w:rPr>
                <w:rFonts w:eastAsia="Times New Roman"/>
                <w:iCs/>
                <w:sz w:val="18"/>
                <w:szCs w:val="18"/>
              </w:rPr>
              <w:t>90 graduates In-Australia long-term; 250 In-PNG graduates; 150 short course graduates</w:t>
            </w:r>
          </w:p>
        </w:tc>
      </w:tr>
      <w:tr w:rsidR="007E69FF" w:rsidRPr="006F3534" w14:paraId="1010EA96" w14:textId="36DFA052" w:rsidTr="007E69FF">
        <w:tc>
          <w:tcPr>
            <w:tcW w:w="12454" w:type="dxa"/>
            <w:gridSpan w:val="4"/>
            <w:shd w:val="clear" w:color="auto" w:fill="ADDEC1" w:themeFill="accent6" w:themeFillTint="66"/>
            <w:vAlign w:val="center"/>
          </w:tcPr>
          <w:p w14:paraId="2CCEAEB4" w14:textId="77777777" w:rsidR="007E69FF" w:rsidRPr="00A6745E" w:rsidRDefault="007E69FF" w:rsidP="00EA09AA">
            <w:pPr>
              <w:keepLines/>
              <w:spacing w:before="0" w:after="0" w:line="240" w:lineRule="auto"/>
              <w:rPr>
                <w:rFonts w:eastAsia="Times New Roman"/>
                <w:iCs/>
                <w:sz w:val="18"/>
                <w:szCs w:val="18"/>
              </w:rPr>
            </w:pPr>
            <w:r w:rsidRPr="006F3534">
              <w:rPr>
                <w:rFonts w:eastAsia="Times New Roman"/>
                <w:iCs/>
                <w:sz w:val="18"/>
                <w:szCs w:val="18"/>
              </w:rPr>
              <w:t>Sub-objective: More effective health security systems and health services</w:t>
            </w:r>
          </w:p>
        </w:tc>
        <w:tc>
          <w:tcPr>
            <w:tcW w:w="2568" w:type="dxa"/>
            <w:shd w:val="clear" w:color="auto" w:fill="ADDEC1" w:themeFill="accent6" w:themeFillTint="66"/>
          </w:tcPr>
          <w:p w14:paraId="3C164221" w14:textId="77777777" w:rsidR="007E69FF" w:rsidRPr="006F3534" w:rsidRDefault="007E69FF" w:rsidP="00EA09AA">
            <w:pPr>
              <w:keepLines/>
              <w:spacing w:before="0" w:after="0" w:line="240" w:lineRule="auto"/>
              <w:rPr>
                <w:rFonts w:eastAsia="Times New Roman"/>
                <w:iCs/>
                <w:sz w:val="18"/>
                <w:szCs w:val="18"/>
              </w:rPr>
            </w:pPr>
          </w:p>
        </w:tc>
      </w:tr>
      <w:tr w:rsidR="007E69FF" w:rsidRPr="006F3534" w14:paraId="55A1EFE4" w14:textId="3CF3CBBF" w:rsidTr="007E69FF">
        <w:tc>
          <w:tcPr>
            <w:tcW w:w="4709" w:type="dxa"/>
          </w:tcPr>
          <w:p w14:paraId="740442FF" w14:textId="4FD98D83" w:rsidR="007E69FF" w:rsidRPr="006F3534" w:rsidRDefault="00D82F50" w:rsidP="0029377D">
            <w:pPr>
              <w:keepLines/>
              <w:spacing w:before="0" w:after="0" w:line="240" w:lineRule="auto"/>
              <w:rPr>
                <w:rFonts w:eastAsia="Times New Roman"/>
                <w:iCs/>
                <w:sz w:val="18"/>
                <w:szCs w:val="18"/>
              </w:rPr>
            </w:pPr>
            <w:r>
              <w:rPr>
                <w:rFonts w:eastAsia="Times New Roman"/>
                <w:iCs/>
                <w:sz w:val="18"/>
                <w:szCs w:val="18"/>
              </w:rPr>
              <w:t>12</w:t>
            </w:r>
            <w:r w:rsidR="007E69FF">
              <w:rPr>
                <w:rFonts w:eastAsia="Times New Roman"/>
                <w:iCs/>
                <w:sz w:val="18"/>
                <w:szCs w:val="18"/>
              </w:rPr>
              <w:t xml:space="preserve">. </w:t>
            </w:r>
            <w:r w:rsidR="007E69FF" w:rsidRPr="006F3534">
              <w:rPr>
                <w:rFonts w:eastAsia="Times New Roman"/>
                <w:iCs/>
                <w:sz w:val="18"/>
                <w:szCs w:val="18"/>
              </w:rPr>
              <w:t>Couple years protection in Eastern Highlands, Bougainville, Morobe and National Capital District</w:t>
            </w:r>
          </w:p>
        </w:tc>
        <w:tc>
          <w:tcPr>
            <w:tcW w:w="2630" w:type="dxa"/>
            <w:vAlign w:val="center"/>
          </w:tcPr>
          <w:p w14:paraId="628B2DEA"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104,000</w:t>
            </w:r>
          </w:p>
        </w:tc>
        <w:tc>
          <w:tcPr>
            <w:tcW w:w="2545" w:type="dxa"/>
            <w:vAlign w:val="center"/>
          </w:tcPr>
          <w:p w14:paraId="106D5ED3" w14:textId="77777777" w:rsidR="007E69FF" w:rsidRPr="00CE5DD5" w:rsidRDefault="007E69FF" w:rsidP="00EA09AA">
            <w:pPr>
              <w:keepLines/>
              <w:spacing w:before="0" w:after="0" w:line="240" w:lineRule="auto"/>
              <w:rPr>
                <w:rFonts w:eastAsia="Times New Roman"/>
                <w:iCs/>
                <w:sz w:val="18"/>
                <w:szCs w:val="18"/>
              </w:rPr>
            </w:pPr>
            <w:r w:rsidRPr="00877A6B">
              <w:rPr>
                <w:rFonts w:eastAsia="Times New Roman"/>
                <w:iCs/>
                <w:sz w:val="18"/>
                <w:szCs w:val="18"/>
              </w:rPr>
              <w:t>104,157 Target was 160,000</w:t>
            </w:r>
          </w:p>
        </w:tc>
        <w:tc>
          <w:tcPr>
            <w:tcW w:w="2570" w:type="dxa"/>
            <w:vAlign w:val="center"/>
          </w:tcPr>
          <w:p w14:paraId="4EDB7EF2" w14:textId="1DE6FA01" w:rsidR="007E69FF" w:rsidRPr="0086071A" w:rsidRDefault="007E69FF" w:rsidP="00EA09AA">
            <w:pPr>
              <w:spacing w:before="0" w:after="0" w:line="240" w:lineRule="auto"/>
              <w:rPr>
                <w:color w:val="FF0000"/>
                <w:sz w:val="18"/>
                <w:szCs w:val="18"/>
              </w:rPr>
            </w:pPr>
            <w:r>
              <w:rPr>
                <w:rFonts w:eastAsia="Times New Roman"/>
                <w:iCs/>
                <w:sz w:val="18"/>
                <w:szCs w:val="18"/>
              </w:rPr>
              <w:t xml:space="preserve">133,308 </w:t>
            </w:r>
            <w:r w:rsidRPr="00877A6B">
              <w:rPr>
                <w:rFonts w:eastAsia="Times New Roman"/>
                <w:iCs/>
                <w:sz w:val="18"/>
                <w:szCs w:val="18"/>
              </w:rPr>
              <w:t>Target was 200,000</w:t>
            </w:r>
          </w:p>
        </w:tc>
        <w:tc>
          <w:tcPr>
            <w:tcW w:w="2568" w:type="dxa"/>
          </w:tcPr>
          <w:p w14:paraId="6FDC3D78" w14:textId="141B734E" w:rsidR="007E69FF" w:rsidRDefault="007E69FF" w:rsidP="00F16D63">
            <w:pPr>
              <w:spacing w:after="0" w:line="240" w:lineRule="auto"/>
              <w:rPr>
                <w:rFonts w:eastAsia="Times New Roman"/>
                <w:iCs/>
                <w:sz w:val="18"/>
                <w:szCs w:val="18"/>
              </w:rPr>
            </w:pPr>
            <w:r>
              <w:rPr>
                <w:rFonts w:eastAsia="Times New Roman"/>
                <w:iCs/>
                <w:sz w:val="18"/>
                <w:szCs w:val="18"/>
              </w:rPr>
              <w:t>56,000</w:t>
            </w:r>
          </w:p>
        </w:tc>
      </w:tr>
      <w:tr w:rsidR="007E69FF" w:rsidRPr="006F3534" w14:paraId="2661E187" w14:textId="6F2F11B0" w:rsidTr="007E69FF">
        <w:tc>
          <w:tcPr>
            <w:tcW w:w="4709" w:type="dxa"/>
          </w:tcPr>
          <w:p w14:paraId="407CDFD6" w14:textId="2A4CD108" w:rsidR="007E69FF" w:rsidRPr="00F16D63" w:rsidRDefault="00D82F50" w:rsidP="0029377D">
            <w:pPr>
              <w:keepLines/>
              <w:spacing w:before="0" w:after="0" w:line="240" w:lineRule="auto"/>
              <w:rPr>
                <w:rFonts w:eastAsia="Times New Roman"/>
                <w:iCs/>
                <w:sz w:val="18"/>
                <w:szCs w:val="18"/>
              </w:rPr>
            </w:pPr>
            <w:r w:rsidRPr="00F16D63">
              <w:rPr>
                <w:rFonts w:eastAsia="Times New Roman"/>
                <w:iCs/>
                <w:sz w:val="18"/>
                <w:szCs w:val="18"/>
              </w:rPr>
              <w:t>1</w:t>
            </w:r>
            <w:r>
              <w:rPr>
                <w:rFonts w:eastAsia="Times New Roman"/>
                <w:iCs/>
                <w:sz w:val="18"/>
                <w:szCs w:val="18"/>
              </w:rPr>
              <w:t>3</w:t>
            </w:r>
            <w:r w:rsidR="007E69FF" w:rsidRPr="00F16D63">
              <w:rPr>
                <w:rFonts w:eastAsia="Times New Roman"/>
                <w:iCs/>
                <w:sz w:val="18"/>
                <w:szCs w:val="18"/>
              </w:rPr>
              <w:t>. Percentage of tuberculosis patients in Western Province retained in treatment</w:t>
            </w:r>
          </w:p>
        </w:tc>
        <w:tc>
          <w:tcPr>
            <w:tcW w:w="2630" w:type="dxa"/>
            <w:vAlign w:val="center"/>
          </w:tcPr>
          <w:p w14:paraId="11A3DEB3" w14:textId="77777777" w:rsidR="007E69FF" w:rsidRPr="00F16D63" w:rsidRDefault="007E69FF" w:rsidP="00EA09AA">
            <w:pPr>
              <w:keepLines/>
              <w:spacing w:before="0" w:after="0" w:line="240" w:lineRule="auto"/>
              <w:rPr>
                <w:rFonts w:eastAsia="Times New Roman"/>
                <w:iCs/>
                <w:sz w:val="18"/>
                <w:szCs w:val="18"/>
              </w:rPr>
            </w:pPr>
            <w:r w:rsidRPr="00F16D63">
              <w:rPr>
                <w:rFonts w:eastAsia="Times New Roman"/>
                <w:iCs/>
                <w:sz w:val="18"/>
                <w:szCs w:val="18"/>
              </w:rPr>
              <w:t>99%</w:t>
            </w:r>
          </w:p>
        </w:tc>
        <w:tc>
          <w:tcPr>
            <w:tcW w:w="2545" w:type="dxa"/>
            <w:vAlign w:val="center"/>
          </w:tcPr>
          <w:p w14:paraId="56A33737" w14:textId="77777777" w:rsidR="007E69FF" w:rsidRPr="00F16D63" w:rsidRDefault="007E69FF" w:rsidP="00EA09AA">
            <w:pPr>
              <w:keepLines/>
              <w:spacing w:before="0" w:after="0" w:line="240" w:lineRule="auto"/>
              <w:rPr>
                <w:rFonts w:eastAsia="Times New Roman"/>
                <w:iCs/>
                <w:sz w:val="18"/>
                <w:szCs w:val="18"/>
              </w:rPr>
            </w:pPr>
            <w:r w:rsidRPr="00F16D63">
              <w:rPr>
                <w:rFonts w:eastAsia="Times New Roman"/>
                <w:iCs/>
                <w:sz w:val="18"/>
                <w:szCs w:val="18"/>
              </w:rPr>
              <w:t>99% (Target was 85%)</w:t>
            </w:r>
          </w:p>
        </w:tc>
        <w:tc>
          <w:tcPr>
            <w:tcW w:w="2570" w:type="dxa"/>
            <w:vAlign w:val="center"/>
          </w:tcPr>
          <w:p w14:paraId="4E8A300A" w14:textId="7ADEC47F" w:rsidR="007E69FF" w:rsidRPr="00F16D63" w:rsidRDefault="00EB6C0A" w:rsidP="00EA09AA">
            <w:pPr>
              <w:spacing w:before="0" w:after="0" w:line="240" w:lineRule="auto"/>
              <w:rPr>
                <w:color w:val="FF0000"/>
                <w:sz w:val="18"/>
                <w:szCs w:val="18"/>
              </w:rPr>
            </w:pPr>
            <w:r w:rsidRPr="00F16D63">
              <w:rPr>
                <w:rFonts w:eastAsia="Times New Roman"/>
                <w:iCs/>
                <w:sz w:val="18"/>
                <w:szCs w:val="18"/>
              </w:rPr>
              <w:t xml:space="preserve">99% </w:t>
            </w:r>
            <w:r w:rsidR="007E69FF" w:rsidRPr="00F16D63">
              <w:rPr>
                <w:rFonts w:eastAsia="Times New Roman"/>
                <w:iCs/>
                <w:sz w:val="18"/>
                <w:szCs w:val="18"/>
              </w:rPr>
              <w:t xml:space="preserve"> Target was 85%</w:t>
            </w:r>
          </w:p>
        </w:tc>
        <w:tc>
          <w:tcPr>
            <w:tcW w:w="2568" w:type="dxa"/>
          </w:tcPr>
          <w:p w14:paraId="7BC678C2" w14:textId="2C11C701" w:rsidR="007E69FF" w:rsidRPr="002436E2" w:rsidRDefault="002436E2" w:rsidP="00F16D63">
            <w:pPr>
              <w:spacing w:after="0" w:line="240" w:lineRule="auto"/>
              <w:rPr>
                <w:rFonts w:eastAsia="Times New Roman"/>
                <w:iCs/>
                <w:sz w:val="18"/>
                <w:szCs w:val="18"/>
              </w:rPr>
            </w:pPr>
            <w:r w:rsidRPr="002436E2">
              <w:rPr>
                <w:rFonts w:eastAsia="Times New Roman"/>
                <w:iCs/>
                <w:sz w:val="18"/>
                <w:szCs w:val="18"/>
              </w:rPr>
              <w:t>85%</w:t>
            </w:r>
          </w:p>
        </w:tc>
      </w:tr>
      <w:tr w:rsidR="007E69FF" w:rsidRPr="006F3534" w14:paraId="1EEBD8C8" w14:textId="08139301" w:rsidTr="007E69FF">
        <w:tc>
          <w:tcPr>
            <w:tcW w:w="12454" w:type="dxa"/>
            <w:gridSpan w:val="4"/>
            <w:shd w:val="clear" w:color="auto" w:fill="ADDEC1" w:themeFill="accent6" w:themeFillTint="66"/>
            <w:vAlign w:val="center"/>
          </w:tcPr>
          <w:p w14:paraId="1415AF1E" w14:textId="77777777" w:rsidR="007E69FF" w:rsidRPr="006F3534" w:rsidRDefault="007E69FF" w:rsidP="00EA09AA">
            <w:pPr>
              <w:spacing w:before="0" w:after="0" w:line="240" w:lineRule="auto"/>
              <w:rPr>
                <w:sz w:val="18"/>
                <w:szCs w:val="18"/>
              </w:rPr>
            </w:pPr>
            <w:r w:rsidRPr="006F3534">
              <w:rPr>
                <w:rFonts w:eastAsia="Times New Roman"/>
                <w:iCs/>
                <w:sz w:val="18"/>
                <w:szCs w:val="18"/>
              </w:rPr>
              <w:t>Sub-objective: Gender equality and women’s empowerment</w:t>
            </w:r>
          </w:p>
        </w:tc>
        <w:tc>
          <w:tcPr>
            <w:tcW w:w="2568" w:type="dxa"/>
            <w:shd w:val="clear" w:color="auto" w:fill="ADDEC1" w:themeFill="accent6" w:themeFillTint="66"/>
          </w:tcPr>
          <w:p w14:paraId="71FB4FD2" w14:textId="77777777" w:rsidR="007E69FF" w:rsidRPr="006F3534" w:rsidRDefault="007E69FF" w:rsidP="00EA09AA">
            <w:pPr>
              <w:spacing w:before="0" w:after="0" w:line="240" w:lineRule="auto"/>
              <w:rPr>
                <w:rFonts w:eastAsia="Times New Roman"/>
                <w:iCs/>
                <w:sz w:val="18"/>
                <w:szCs w:val="18"/>
              </w:rPr>
            </w:pPr>
          </w:p>
        </w:tc>
      </w:tr>
      <w:tr w:rsidR="007E69FF" w:rsidRPr="006F3534" w14:paraId="6949DFA5" w14:textId="51322FE9" w:rsidTr="007E69FF">
        <w:tc>
          <w:tcPr>
            <w:tcW w:w="4709" w:type="dxa"/>
          </w:tcPr>
          <w:p w14:paraId="58E8440D" w14:textId="00F7452D" w:rsidR="007E69FF" w:rsidRPr="002436E2" w:rsidRDefault="00D82F50" w:rsidP="0029377D">
            <w:pPr>
              <w:keepLines/>
              <w:spacing w:before="0" w:after="0" w:line="240" w:lineRule="auto"/>
              <w:rPr>
                <w:rFonts w:eastAsia="Times New Roman"/>
                <w:iCs/>
                <w:sz w:val="18"/>
                <w:szCs w:val="18"/>
              </w:rPr>
            </w:pPr>
            <w:r w:rsidRPr="002436E2">
              <w:rPr>
                <w:rFonts w:eastAsia="Times New Roman"/>
                <w:iCs/>
                <w:sz w:val="18"/>
                <w:szCs w:val="18"/>
              </w:rPr>
              <w:t>1</w:t>
            </w:r>
            <w:r>
              <w:rPr>
                <w:rFonts w:eastAsia="Times New Roman"/>
                <w:iCs/>
                <w:sz w:val="18"/>
                <w:szCs w:val="18"/>
              </w:rPr>
              <w:t>4</w:t>
            </w:r>
            <w:r w:rsidR="007E69FF" w:rsidRPr="002436E2">
              <w:rPr>
                <w:rFonts w:eastAsia="Times New Roman"/>
                <w:iCs/>
                <w:sz w:val="18"/>
                <w:szCs w:val="18"/>
              </w:rPr>
              <w:t>. Number of women and girls who have accessed crisis support services and family and sexual violence centres</w:t>
            </w:r>
          </w:p>
        </w:tc>
        <w:tc>
          <w:tcPr>
            <w:tcW w:w="2630" w:type="dxa"/>
            <w:vAlign w:val="center"/>
          </w:tcPr>
          <w:p w14:paraId="618786EE" w14:textId="77777777" w:rsidR="007E69FF" w:rsidRPr="002436E2" w:rsidRDefault="007E69FF" w:rsidP="00EA09AA">
            <w:pPr>
              <w:keepLines/>
              <w:spacing w:before="0" w:after="0" w:line="240" w:lineRule="auto"/>
              <w:rPr>
                <w:rFonts w:eastAsia="Times New Roman"/>
                <w:iCs/>
                <w:sz w:val="18"/>
                <w:szCs w:val="18"/>
              </w:rPr>
            </w:pPr>
            <w:r w:rsidRPr="002436E2">
              <w:rPr>
                <w:rFonts w:eastAsia="Times New Roman"/>
                <w:iCs/>
                <w:sz w:val="18"/>
                <w:szCs w:val="18"/>
              </w:rPr>
              <w:t>2,026</w:t>
            </w:r>
          </w:p>
        </w:tc>
        <w:tc>
          <w:tcPr>
            <w:tcW w:w="2545" w:type="dxa"/>
            <w:vAlign w:val="center"/>
          </w:tcPr>
          <w:p w14:paraId="27503AFE" w14:textId="77777777" w:rsidR="007E69FF" w:rsidRPr="002436E2" w:rsidRDefault="007E69FF" w:rsidP="00EA09AA">
            <w:pPr>
              <w:keepLines/>
              <w:spacing w:before="0" w:after="0" w:line="240" w:lineRule="auto"/>
              <w:rPr>
                <w:rFonts w:eastAsia="Times New Roman"/>
                <w:iCs/>
                <w:sz w:val="18"/>
                <w:szCs w:val="18"/>
              </w:rPr>
            </w:pPr>
            <w:r w:rsidRPr="002436E2">
              <w:rPr>
                <w:rFonts w:eastAsia="Times New Roman"/>
                <w:iCs/>
                <w:sz w:val="18"/>
                <w:szCs w:val="18"/>
              </w:rPr>
              <w:t>19,387 (Target was 16,500)</w:t>
            </w:r>
          </w:p>
        </w:tc>
        <w:tc>
          <w:tcPr>
            <w:tcW w:w="2570" w:type="dxa"/>
            <w:vAlign w:val="center"/>
          </w:tcPr>
          <w:p w14:paraId="4BF3F6A4" w14:textId="7D1A6456" w:rsidR="007E69FF" w:rsidRPr="002436E2" w:rsidRDefault="002436E2" w:rsidP="00592439">
            <w:pPr>
              <w:spacing w:before="0" w:after="0" w:line="240" w:lineRule="auto"/>
              <w:rPr>
                <w:color w:val="FF0000"/>
                <w:sz w:val="18"/>
                <w:szCs w:val="18"/>
              </w:rPr>
            </w:pPr>
            <w:r w:rsidRPr="002436E2">
              <w:rPr>
                <w:rFonts w:eastAsia="Times New Roman"/>
                <w:iCs/>
                <w:sz w:val="18"/>
                <w:szCs w:val="18"/>
              </w:rPr>
              <w:t>7,388</w:t>
            </w:r>
            <w:r w:rsidR="007E69FF" w:rsidRPr="002436E2">
              <w:rPr>
                <w:rFonts w:eastAsia="Times New Roman"/>
                <w:iCs/>
                <w:sz w:val="18"/>
                <w:szCs w:val="18"/>
              </w:rPr>
              <w:t xml:space="preserve"> Target was unavailable at time</w:t>
            </w:r>
          </w:p>
        </w:tc>
        <w:tc>
          <w:tcPr>
            <w:tcW w:w="2568" w:type="dxa"/>
          </w:tcPr>
          <w:p w14:paraId="0D64EAF8" w14:textId="652F1341" w:rsidR="007E69FF" w:rsidRPr="002436E2" w:rsidRDefault="002436E2" w:rsidP="00F16D63">
            <w:pPr>
              <w:spacing w:after="0" w:line="240" w:lineRule="auto"/>
              <w:rPr>
                <w:rFonts w:eastAsia="Times New Roman"/>
                <w:iCs/>
                <w:sz w:val="18"/>
                <w:szCs w:val="18"/>
              </w:rPr>
            </w:pPr>
            <w:r w:rsidRPr="002436E2">
              <w:rPr>
                <w:rFonts w:eastAsia="Times New Roman"/>
                <w:iCs/>
                <w:sz w:val="18"/>
                <w:szCs w:val="18"/>
              </w:rPr>
              <w:t>Target unavailable at time of reporting</w:t>
            </w:r>
          </w:p>
        </w:tc>
      </w:tr>
      <w:tr w:rsidR="007E69FF" w:rsidRPr="006F3534" w14:paraId="51A46BCD" w14:textId="7396E017" w:rsidTr="007E69FF">
        <w:tc>
          <w:tcPr>
            <w:tcW w:w="4709" w:type="dxa"/>
          </w:tcPr>
          <w:p w14:paraId="5215B6A0" w14:textId="0A94D985" w:rsidR="007E69FF" w:rsidRPr="00EB3CC9" w:rsidRDefault="00D82F50" w:rsidP="0029377D">
            <w:pPr>
              <w:spacing w:before="0" w:after="0" w:line="240" w:lineRule="auto"/>
              <w:rPr>
                <w:rFonts w:eastAsia="Times New Roman"/>
                <w:iCs/>
                <w:sz w:val="18"/>
                <w:szCs w:val="18"/>
              </w:rPr>
            </w:pPr>
            <w:r w:rsidRPr="00EB3CC9">
              <w:rPr>
                <w:rFonts w:eastAsia="Times New Roman"/>
                <w:iCs/>
                <w:sz w:val="18"/>
                <w:szCs w:val="18"/>
              </w:rPr>
              <w:t>1</w:t>
            </w:r>
            <w:r>
              <w:rPr>
                <w:rFonts w:eastAsia="Times New Roman"/>
                <w:iCs/>
                <w:sz w:val="18"/>
                <w:szCs w:val="18"/>
              </w:rPr>
              <w:t>5</w:t>
            </w:r>
            <w:r w:rsidR="007E69FF" w:rsidRPr="00EB3CC9">
              <w:rPr>
                <w:rFonts w:eastAsia="Times New Roman"/>
                <w:iCs/>
                <w:sz w:val="18"/>
                <w:szCs w:val="18"/>
              </w:rPr>
              <w:t>. Number of women trained or mentored and engaged by Papua New Guinea in positions to influence decision-making, including through candidacy in elections and at the local government level</w:t>
            </w:r>
          </w:p>
        </w:tc>
        <w:tc>
          <w:tcPr>
            <w:tcW w:w="2630" w:type="dxa"/>
            <w:vAlign w:val="center"/>
          </w:tcPr>
          <w:p w14:paraId="260BF15E" w14:textId="77777777" w:rsidR="007E69FF" w:rsidRPr="00EB3CC9" w:rsidRDefault="007E69FF" w:rsidP="00EA09AA">
            <w:pPr>
              <w:spacing w:before="0" w:after="0" w:line="240" w:lineRule="auto"/>
              <w:rPr>
                <w:sz w:val="18"/>
                <w:szCs w:val="18"/>
              </w:rPr>
            </w:pPr>
            <w:r w:rsidRPr="00EB3CC9">
              <w:rPr>
                <w:rFonts w:eastAsia="Times New Roman"/>
                <w:iCs/>
                <w:sz w:val="18"/>
                <w:szCs w:val="18"/>
              </w:rPr>
              <w:t>378</w:t>
            </w:r>
          </w:p>
        </w:tc>
        <w:tc>
          <w:tcPr>
            <w:tcW w:w="2545" w:type="dxa"/>
            <w:vAlign w:val="center"/>
          </w:tcPr>
          <w:p w14:paraId="33376370" w14:textId="77777777" w:rsidR="007E69FF" w:rsidRPr="00CE5DD5" w:rsidRDefault="007E69FF" w:rsidP="00EA09AA">
            <w:pPr>
              <w:spacing w:before="0" w:after="0" w:line="240" w:lineRule="auto"/>
              <w:rPr>
                <w:rFonts w:eastAsia="Times New Roman"/>
                <w:iCs/>
                <w:sz w:val="18"/>
                <w:szCs w:val="18"/>
              </w:rPr>
            </w:pPr>
            <w:r w:rsidRPr="00877A6B">
              <w:rPr>
                <w:rFonts w:eastAsia="Times New Roman"/>
                <w:iCs/>
                <w:sz w:val="18"/>
                <w:szCs w:val="18"/>
              </w:rPr>
              <w:t>623</w:t>
            </w:r>
          </w:p>
        </w:tc>
        <w:tc>
          <w:tcPr>
            <w:tcW w:w="2570" w:type="dxa"/>
            <w:vAlign w:val="center"/>
          </w:tcPr>
          <w:p w14:paraId="6EEE93AE" w14:textId="1CD5801C" w:rsidR="007E69FF" w:rsidRPr="00EB3CC9" w:rsidRDefault="007E69FF" w:rsidP="00861560">
            <w:pPr>
              <w:spacing w:before="0" w:after="0" w:line="240" w:lineRule="auto"/>
              <w:rPr>
                <w:sz w:val="18"/>
                <w:szCs w:val="18"/>
              </w:rPr>
            </w:pPr>
            <w:r>
              <w:rPr>
                <w:rFonts w:eastAsia="Times New Roman"/>
                <w:iCs/>
                <w:sz w:val="18"/>
                <w:szCs w:val="18"/>
              </w:rPr>
              <w:t>16,</w:t>
            </w:r>
            <w:r w:rsidR="00861560">
              <w:rPr>
                <w:rFonts w:eastAsia="Times New Roman"/>
                <w:iCs/>
                <w:sz w:val="18"/>
                <w:szCs w:val="18"/>
              </w:rPr>
              <w:t>701</w:t>
            </w:r>
            <w:r>
              <w:rPr>
                <w:rFonts w:eastAsia="Times New Roman"/>
                <w:iCs/>
                <w:sz w:val="18"/>
                <w:szCs w:val="18"/>
              </w:rPr>
              <w:t xml:space="preserve"> </w:t>
            </w:r>
            <w:r w:rsidRPr="00877A6B">
              <w:rPr>
                <w:rFonts w:eastAsia="Times New Roman"/>
                <w:iCs/>
                <w:sz w:val="18"/>
                <w:szCs w:val="18"/>
              </w:rPr>
              <w:t xml:space="preserve">Target was </w:t>
            </w:r>
            <w:r w:rsidRPr="00EB3CC9">
              <w:rPr>
                <w:rFonts w:eastAsia="Times New Roman"/>
                <w:iCs/>
                <w:sz w:val="18"/>
                <w:szCs w:val="18"/>
              </w:rPr>
              <w:t>60</w:t>
            </w:r>
            <w:r w:rsidRPr="00EB3CC9">
              <w:rPr>
                <w:rStyle w:val="FootnoteReference"/>
                <w:rFonts w:eastAsia="Times New Roman"/>
                <w:iCs/>
                <w:sz w:val="18"/>
                <w:szCs w:val="18"/>
              </w:rPr>
              <w:footnoteReference w:id="9"/>
            </w:r>
          </w:p>
        </w:tc>
        <w:tc>
          <w:tcPr>
            <w:tcW w:w="2568" w:type="dxa"/>
          </w:tcPr>
          <w:p w14:paraId="7E1FD4CD" w14:textId="7C5ABD53" w:rsidR="007E69FF" w:rsidRDefault="007E69FF" w:rsidP="00F16D63">
            <w:pPr>
              <w:spacing w:after="0" w:line="240" w:lineRule="auto"/>
              <w:rPr>
                <w:rFonts w:eastAsia="Times New Roman"/>
                <w:iCs/>
                <w:sz w:val="18"/>
                <w:szCs w:val="18"/>
              </w:rPr>
            </w:pPr>
            <w:r>
              <w:rPr>
                <w:rFonts w:eastAsia="Times New Roman"/>
                <w:iCs/>
                <w:sz w:val="18"/>
                <w:szCs w:val="18"/>
              </w:rPr>
              <w:t>1</w:t>
            </w:r>
            <w:r w:rsidR="000915E2">
              <w:rPr>
                <w:rFonts w:eastAsia="Times New Roman"/>
                <w:iCs/>
                <w:sz w:val="18"/>
                <w:szCs w:val="18"/>
              </w:rPr>
              <w:t>65,550</w:t>
            </w:r>
          </w:p>
        </w:tc>
      </w:tr>
      <w:tr w:rsidR="007E69FF" w:rsidRPr="006F3534" w14:paraId="34AE2A62" w14:textId="2633C5D1" w:rsidTr="007E69FF">
        <w:tc>
          <w:tcPr>
            <w:tcW w:w="4709" w:type="dxa"/>
          </w:tcPr>
          <w:p w14:paraId="2BC87F66" w14:textId="40AECA7B" w:rsidR="007E69FF" w:rsidRPr="00EB3CC9" w:rsidRDefault="00D82F50" w:rsidP="0029377D">
            <w:pPr>
              <w:spacing w:before="0" w:after="0" w:line="240" w:lineRule="auto"/>
              <w:rPr>
                <w:rFonts w:eastAsia="Times New Roman"/>
                <w:iCs/>
                <w:sz w:val="18"/>
                <w:szCs w:val="18"/>
              </w:rPr>
            </w:pPr>
            <w:r w:rsidRPr="00EB3CC9">
              <w:rPr>
                <w:rFonts w:eastAsia="Times New Roman"/>
                <w:iCs/>
                <w:sz w:val="18"/>
                <w:szCs w:val="18"/>
              </w:rPr>
              <w:t>1</w:t>
            </w:r>
            <w:r>
              <w:rPr>
                <w:rFonts w:eastAsia="Times New Roman"/>
                <w:iCs/>
                <w:sz w:val="18"/>
                <w:szCs w:val="18"/>
              </w:rPr>
              <w:t>6</w:t>
            </w:r>
            <w:r w:rsidR="007E69FF" w:rsidRPr="00EB3CC9">
              <w:rPr>
                <w:rFonts w:eastAsia="Times New Roman"/>
                <w:iCs/>
                <w:sz w:val="18"/>
                <w:szCs w:val="18"/>
              </w:rPr>
              <w:t xml:space="preserve">. Aid effectiveness - </w:t>
            </w:r>
            <w:r w:rsidR="007E69FF" w:rsidRPr="00EB3CC9">
              <w:rPr>
                <w:sz w:val="18"/>
                <w:szCs w:val="18"/>
              </w:rPr>
              <w:t>DFAT delivers effective programs in Papua New Guinea</w:t>
            </w:r>
          </w:p>
        </w:tc>
        <w:tc>
          <w:tcPr>
            <w:tcW w:w="2630" w:type="dxa"/>
            <w:vAlign w:val="center"/>
          </w:tcPr>
          <w:p w14:paraId="45CC436C" w14:textId="77777777" w:rsidR="007E69FF" w:rsidRPr="00EB3CC9" w:rsidRDefault="007E69FF" w:rsidP="00EA09AA">
            <w:pPr>
              <w:keepLines/>
              <w:spacing w:before="0" w:after="0" w:line="240" w:lineRule="auto"/>
              <w:rPr>
                <w:rFonts w:eastAsia="Times New Roman"/>
                <w:iCs/>
                <w:sz w:val="18"/>
                <w:szCs w:val="18"/>
              </w:rPr>
            </w:pPr>
            <w:r w:rsidRPr="00EB3CC9">
              <w:rPr>
                <w:rFonts w:eastAsia="Times New Roman"/>
                <w:iCs/>
                <w:sz w:val="18"/>
                <w:szCs w:val="18"/>
              </w:rPr>
              <w:t>Development of the Performance Assessment Framework for the Aid Investment Plan 2015-2019.</w:t>
            </w:r>
          </w:p>
        </w:tc>
        <w:tc>
          <w:tcPr>
            <w:tcW w:w="2545" w:type="dxa"/>
            <w:vAlign w:val="center"/>
          </w:tcPr>
          <w:p w14:paraId="48435821" w14:textId="77777777" w:rsidR="007E69FF" w:rsidRPr="00EB3CC9" w:rsidRDefault="007E69FF" w:rsidP="00EA09AA">
            <w:pPr>
              <w:keepLines/>
              <w:spacing w:before="0" w:after="0" w:line="240" w:lineRule="auto"/>
              <w:rPr>
                <w:rFonts w:eastAsia="Times New Roman"/>
                <w:iCs/>
                <w:sz w:val="18"/>
                <w:szCs w:val="18"/>
              </w:rPr>
            </w:pPr>
            <w:r w:rsidRPr="00CE5DD5">
              <w:rPr>
                <w:rFonts w:eastAsia="Times New Roman"/>
                <w:iCs/>
                <w:sz w:val="18"/>
                <w:szCs w:val="18"/>
              </w:rPr>
              <w:t>Planning underway for new Aid Investment Plan and accompanying PAF</w:t>
            </w:r>
          </w:p>
        </w:tc>
        <w:tc>
          <w:tcPr>
            <w:tcW w:w="2570" w:type="dxa"/>
            <w:vAlign w:val="center"/>
          </w:tcPr>
          <w:p w14:paraId="5A98D848" w14:textId="6158CE96" w:rsidR="007E69FF" w:rsidRPr="00EB3CC9" w:rsidRDefault="007E69FF" w:rsidP="00592439">
            <w:pPr>
              <w:keepLines/>
              <w:spacing w:before="0" w:after="0" w:line="240" w:lineRule="auto"/>
              <w:rPr>
                <w:rFonts w:eastAsia="Times New Roman"/>
                <w:iCs/>
                <w:sz w:val="18"/>
                <w:szCs w:val="18"/>
              </w:rPr>
            </w:pPr>
            <w:r>
              <w:rPr>
                <w:rFonts w:eastAsia="Times New Roman"/>
                <w:iCs/>
                <w:sz w:val="18"/>
                <w:szCs w:val="18"/>
              </w:rPr>
              <w:t>Work on n</w:t>
            </w:r>
            <w:r w:rsidRPr="00EB3CC9">
              <w:rPr>
                <w:rFonts w:eastAsia="Times New Roman"/>
                <w:iCs/>
                <w:sz w:val="18"/>
                <w:szCs w:val="18"/>
              </w:rPr>
              <w:t>ew Aid Investment Plan and Performance Assessment Framework</w:t>
            </w:r>
            <w:r>
              <w:rPr>
                <w:rFonts w:eastAsia="Times New Roman"/>
                <w:iCs/>
                <w:sz w:val="18"/>
                <w:szCs w:val="18"/>
              </w:rPr>
              <w:t xml:space="preserve"> has commenced</w:t>
            </w:r>
            <w:r w:rsidRPr="00EB3CC9">
              <w:rPr>
                <w:rFonts w:eastAsia="Times New Roman"/>
                <w:iCs/>
                <w:sz w:val="18"/>
                <w:szCs w:val="18"/>
              </w:rPr>
              <w:t>.</w:t>
            </w:r>
          </w:p>
        </w:tc>
        <w:tc>
          <w:tcPr>
            <w:tcW w:w="2568" w:type="dxa"/>
          </w:tcPr>
          <w:p w14:paraId="2B38BAD1" w14:textId="4C2D121F" w:rsidR="007E69FF" w:rsidRDefault="007E69FF" w:rsidP="00F16D63">
            <w:pPr>
              <w:keepLines/>
              <w:spacing w:after="0" w:line="240" w:lineRule="auto"/>
              <w:rPr>
                <w:rFonts w:eastAsia="Times New Roman"/>
                <w:iCs/>
                <w:sz w:val="18"/>
                <w:szCs w:val="18"/>
              </w:rPr>
            </w:pPr>
            <w:r>
              <w:rPr>
                <w:rFonts w:eastAsia="Times New Roman"/>
                <w:iCs/>
                <w:sz w:val="18"/>
                <w:szCs w:val="18"/>
              </w:rPr>
              <w:t xml:space="preserve">New </w:t>
            </w:r>
            <w:r w:rsidRPr="00861560">
              <w:rPr>
                <w:rFonts w:eastAsia="Times New Roman"/>
                <w:iCs/>
                <w:sz w:val="18"/>
                <w:szCs w:val="18"/>
              </w:rPr>
              <w:t>AIP</w:t>
            </w:r>
            <w:r>
              <w:rPr>
                <w:rFonts w:eastAsia="Times New Roman"/>
                <w:iCs/>
                <w:sz w:val="18"/>
                <w:szCs w:val="18"/>
              </w:rPr>
              <w:t xml:space="preserve"> and PAF to be completed</w:t>
            </w:r>
          </w:p>
        </w:tc>
      </w:tr>
      <w:tr w:rsidR="007E69FF" w:rsidRPr="006F3534" w14:paraId="50443618" w14:textId="3A63C03D" w:rsidTr="007E69FF">
        <w:tc>
          <w:tcPr>
            <w:tcW w:w="12454" w:type="dxa"/>
            <w:gridSpan w:val="4"/>
            <w:shd w:val="clear" w:color="auto" w:fill="ADDEC1" w:themeFill="accent6" w:themeFillTint="66"/>
            <w:vAlign w:val="center"/>
          </w:tcPr>
          <w:p w14:paraId="189CBE7B" w14:textId="77777777" w:rsidR="007E69FF" w:rsidRPr="006F3534" w:rsidRDefault="007E69FF" w:rsidP="00EA09AA">
            <w:pPr>
              <w:spacing w:before="0" w:after="0" w:line="240" w:lineRule="auto"/>
              <w:rPr>
                <w:sz w:val="18"/>
                <w:szCs w:val="18"/>
              </w:rPr>
            </w:pPr>
            <w:r w:rsidRPr="006F3534">
              <w:rPr>
                <w:sz w:val="20"/>
              </w:rPr>
              <w:t>Shared Development Objective to 2017–18:</w:t>
            </w:r>
            <w:r>
              <w:rPr>
                <w:sz w:val="20"/>
              </w:rPr>
              <w:t xml:space="preserve"> </w:t>
            </w:r>
            <w:r w:rsidRPr="006F3534">
              <w:rPr>
                <w:sz w:val="20"/>
              </w:rPr>
              <w:t>Economic and strategic partnership that contributes to sustained and inclusive economic growth in Papua New Guinea</w:t>
            </w:r>
            <w:r w:rsidRPr="006F3534">
              <w:rPr>
                <w:rFonts w:eastAsia="Times New Roman"/>
                <w:iCs/>
                <w:sz w:val="20"/>
                <w:szCs w:val="17"/>
              </w:rPr>
              <w:t xml:space="preserve"> Broader Partnership Indicators*</w:t>
            </w:r>
          </w:p>
        </w:tc>
        <w:tc>
          <w:tcPr>
            <w:tcW w:w="2568" w:type="dxa"/>
            <w:shd w:val="clear" w:color="auto" w:fill="ADDEC1" w:themeFill="accent6" w:themeFillTint="66"/>
          </w:tcPr>
          <w:p w14:paraId="1FD2B59C" w14:textId="77777777" w:rsidR="007E69FF" w:rsidRPr="006F3534" w:rsidRDefault="007E69FF" w:rsidP="00EA09AA">
            <w:pPr>
              <w:spacing w:before="0" w:after="0" w:line="240" w:lineRule="auto"/>
              <w:rPr>
                <w:sz w:val="20"/>
              </w:rPr>
            </w:pPr>
          </w:p>
        </w:tc>
      </w:tr>
      <w:tr w:rsidR="007E69FF" w:rsidRPr="006F3534" w14:paraId="26CFC378" w14:textId="718DE627" w:rsidTr="007E69FF">
        <w:tc>
          <w:tcPr>
            <w:tcW w:w="4709" w:type="dxa"/>
          </w:tcPr>
          <w:p w14:paraId="63DC2683" w14:textId="12C4BC57" w:rsidR="007E69FF" w:rsidRPr="006F3534" w:rsidRDefault="00D82F50" w:rsidP="0029377D">
            <w:pPr>
              <w:rPr>
                <w:sz w:val="18"/>
              </w:rPr>
            </w:pPr>
            <w:r>
              <w:rPr>
                <w:sz w:val="18"/>
              </w:rPr>
              <w:t>17</w:t>
            </w:r>
            <w:r w:rsidR="007E69FF">
              <w:rPr>
                <w:sz w:val="18"/>
              </w:rPr>
              <w:t xml:space="preserve">. </w:t>
            </w:r>
            <w:r w:rsidR="007E69FF" w:rsidRPr="006F3534">
              <w:rPr>
                <w:sz w:val="18"/>
              </w:rPr>
              <w:t>Number of women and men travelling between Australia and Papua New Guinea (by class of visa)</w:t>
            </w:r>
          </w:p>
        </w:tc>
        <w:tc>
          <w:tcPr>
            <w:tcW w:w="2630" w:type="dxa"/>
            <w:vAlign w:val="center"/>
          </w:tcPr>
          <w:p w14:paraId="0FBE49BB" w14:textId="77777777" w:rsidR="007E69FF" w:rsidRPr="00AE5A6A" w:rsidRDefault="007E69FF" w:rsidP="00EA09AA">
            <w:pPr>
              <w:spacing w:before="0" w:after="0" w:line="240" w:lineRule="auto"/>
              <w:rPr>
                <w:rFonts w:eastAsia="Times New Roman"/>
                <w:iCs/>
                <w:sz w:val="18"/>
                <w:szCs w:val="18"/>
              </w:rPr>
            </w:pPr>
            <w:r w:rsidRPr="00AE5A6A">
              <w:rPr>
                <w:rFonts w:eastAsia="Times New Roman"/>
                <w:iCs/>
                <w:sz w:val="18"/>
                <w:szCs w:val="18"/>
              </w:rPr>
              <w:t>52,000 Papua New Guinean arrivals in Australia (short term movements), 2016</w:t>
            </w:r>
          </w:p>
          <w:p w14:paraId="121F521E" w14:textId="77777777" w:rsidR="007E69FF" w:rsidRPr="006F3534" w:rsidRDefault="007E69FF" w:rsidP="00EA09AA">
            <w:pPr>
              <w:spacing w:before="0" w:after="0" w:line="240" w:lineRule="auto"/>
              <w:rPr>
                <w:rFonts w:eastAsia="Times New Roman"/>
                <w:iCs/>
                <w:sz w:val="18"/>
                <w:szCs w:val="18"/>
              </w:rPr>
            </w:pPr>
            <w:r w:rsidRPr="00AE5A6A">
              <w:rPr>
                <w:rFonts w:eastAsia="Times New Roman"/>
                <w:iCs/>
                <w:sz w:val="18"/>
                <w:szCs w:val="18"/>
              </w:rPr>
              <w:t>102,400 Australian departures for Papua New Guinea (short term movements), 2016</w:t>
            </w:r>
          </w:p>
        </w:tc>
        <w:tc>
          <w:tcPr>
            <w:tcW w:w="2545" w:type="dxa"/>
            <w:vAlign w:val="center"/>
          </w:tcPr>
          <w:p w14:paraId="569E11CD" w14:textId="77777777" w:rsidR="007E69FF" w:rsidRPr="00AE5A6A" w:rsidRDefault="007E69FF" w:rsidP="00EA09AA">
            <w:pPr>
              <w:spacing w:before="0" w:after="0" w:line="240" w:lineRule="auto"/>
              <w:rPr>
                <w:rFonts w:eastAsia="Times New Roman"/>
                <w:iCs/>
                <w:sz w:val="18"/>
                <w:szCs w:val="18"/>
              </w:rPr>
            </w:pPr>
            <w:r w:rsidRPr="00D55FC4">
              <w:rPr>
                <w:rFonts w:eastAsia="Times New Roman"/>
                <w:iCs/>
                <w:sz w:val="18"/>
                <w:szCs w:val="18"/>
              </w:rPr>
              <w:t xml:space="preserve">40,368 </w:t>
            </w:r>
            <w:r w:rsidRPr="00AE5A6A">
              <w:rPr>
                <w:rFonts w:eastAsia="Times New Roman"/>
                <w:iCs/>
                <w:sz w:val="18"/>
                <w:szCs w:val="18"/>
              </w:rPr>
              <w:t>Papua New Guinean arrivals in Austra</w:t>
            </w:r>
            <w:r>
              <w:rPr>
                <w:rFonts w:eastAsia="Times New Roman"/>
                <w:iCs/>
                <w:sz w:val="18"/>
                <w:szCs w:val="18"/>
              </w:rPr>
              <w:t>lia (short term movements)</w:t>
            </w:r>
          </w:p>
          <w:p w14:paraId="091DDB90" w14:textId="77777777" w:rsidR="007E69FF" w:rsidRPr="006F3534" w:rsidRDefault="007E69FF" w:rsidP="00EA09AA">
            <w:pPr>
              <w:spacing w:before="0" w:after="0" w:line="240" w:lineRule="auto"/>
              <w:rPr>
                <w:rFonts w:eastAsia="Times New Roman"/>
                <w:iCs/>
                <w:sz w:val="18"/>
                <w:szCs w:val="18"/>
              </w:rPr>
            </w:pPr>
            <w:r w:rsidRPr="00D55FC4">
              <w:rPr>
                <w:rFonts w:eastAsia="Times New Roman"/>
                <w:iCs/>
                <w:sz w:val="18"/>
                <w:szCs w:val="18"/>
              </w:rPr>
              <w:t xml:space="preserve">76,095 </w:t>
            </w:r>
            <w:r w:rsidRPr="00AE5A6A">
              <w:rPr>
                <w:rFonts w:eastAsia="Times New Roman"/>
                <w:iCs/>
                <w:sz w:val="18"/>
                <w:szCs w:val="18"/>
              </w:rPr>
              <w:t>Australian departures for Papua New Gui</w:t>
            </w:r>
            <w:r>
              <w:rPr>
                <w:rFonts w:eastAsia="Times New Roman"/>
                <w:iCs/>
                <w:sz w:val="18"/>
                <w:szCs w:val="18"/>
              </w:rPr>
              <w:t>nea (short term movements)</w:t>
            </w:r>
          </w:p>
        </w:tc>
        <w:tc>
          <w:tcPr>
            <w:tcW w:w="2570" w:type="dxa"/>
            <w:shd w:val="clear" w:color="auto" w:fill="auto"/>
            <w:vAlign w:val="center"/>
          </w:tcPr>
          <w:p w14:paraId="41DDB38F" w14:textId="603F039B" w:rsidR="009104DF" w:rsidRPr="00AE5A6A" w:rsidRDefault="009104DF" w:rsidP="009104DF">
            <w:pPr>
              <w:spacing w:before="0" w:after="0" w:line="240" w:lineRule="auto"/>
              <w:rPr>
                <w:rFonts w:eastAsia="Times New Roman"/>
                <w:iCs/>
                <w:sz w:val="18"/>
                <w:szCs w:val="18"/>
              </w:rPr>
            </w:pPr>
            <w:r>
              <w:rPr>
                <w:rFonts w:eastAsia="Times New Roman"/>
                <w:iCs/>
                <w:sz w:val="18"/>
                <w:szCs w:val="18"/>
              </w:rPr>
              <w:t>38,802</w:t>
            </w:r>
            <w:r w:rsidRPr="00D55FC4">
              <w:rPr>
                <w:rFonts w:eastAsia="Times New Roman"/>
                <w:iCs/>
                <w:sz w:val="18"/>
                <w:szCs w:val="18"/>
              </w:rPr>
              <w:t xml:space="preserve"> </w:t>
            </w:r>
            <w:r w:rsidRPr="00AE5A6A">
              <w:rPr>
                <w:rFonts w:eastAsia="Times New Roman"/>
                <w:iCs/>
                <w:sz w:val="18"/>
                <w:szCs w:val="18"/>
              </w:rPr>
              <w:t>Papua New Guinean arrivals in Austra</w:t>
            </w:r>
            <w:r>
              <w:rPr>
                <w:rFonts w:eastAsia="Times New Roman"/>
                <w:iCs/>
                <w:sz w:val="18"/>
                <w:szCs w:val="18"/>
              </w:rPr>
              <w:t>lia (short term movements)</w:t>
            </w:r>
          </w:p>
          <w:p w14:paraId="597CE0FA" w14:textId="2E010750" w:rsidR="007E69FF" w:rsidRPr="006F3534" w:rsidRDefault="009104DF" w:rsidP="009104DF">
            <w:pPr>
              <w:spacing w:before="0" w:after="0" w:line="240" w:lineRule="auto"/>
              <w:rPr>
                <w:sz w:val="18"/>
                <w:szCs w:val="18"/>
              </w:rPr>
            </w:pPr>
            <w:r>
              <w:rPr>
                <w:rFonts w:eastAsia="Times New Roman"/>
                <w:iCs/>
                <w:sz w:val="18"/>
                <w:szCs w:val="18"/>
              </w:rPr>
              <w:t>Figure unavailable for</w:t>
            </w:r>
            <w:r w:rsidRPr="00D55FC4">
              <w:rPr>
                <w:rFonts w:eastAsia="Times New Roman"/>
                <w:iCs/>
                <w:sz w:val="18"/>
                <w:szCs w:val="18"/>
              </w:rPr>
              <w:t xml:space="preserve"> </w:t>
            </w:r>
            <w:r w:rsidRPr="00AE5A6A">
              <w:rPr>
                <w:rFonts w:eastAsia="Times New Roman"/>
                <w:iCs/>
                <w:sz w:val="18"/>
                <w:szCs w:val="18"/>
              </w:rPr>
              <w:t>Australian departures for Papua New Gui</w:t>
            </w:r>
            <w:r>
              <w:rPr>
                <w:rFonts w:eastAsia="Times New Roman"/>
                <w:iCs/>
                <w:sz w:val="18"/>
                <w:szCs w:val="18"/>
              </w:rPr>
              <w:t>nea (short term movements)</w:t>
            </w:r>
          </w:p>
        </w:tc>
        <w:tc>
          <w:tcPr>
            <w:tcW w:w="2568" w:type="dxa"/>
            <w:shd w:val="clear" w:color="auto" w:fill="A6A6A6" w:themeFill="background1" w:themeFillShade="A6"/>
          </w:tcPr>
          <w:p w14:paraId="6BC3671E" w14:textId="77777777" w:rsidR="007E69FF" w:rsidRDefault="007E69FF" w:rsidP="00EA09AA">
            <w:pPr>
              <w:spacing w:before="0" w:after="0" w:line="240" w:lineRule="auto"/>
              <w:rPr>
                <w:sz w:val="18"/>
                <w:szCs w:val="18"/>
              </w:rPr>
            </w:pPr>
          </w:p>
        </w:tc>
      </w:tr>
      <w:tr w:rsidR="007E69FF" w:rsidRPr="006F3534" w14:paraId="498036FA" w14:textId="4257DAF7" w:rsidTr="007E69FF">
        <w:tc>
          <w:tcPr>
            <w:tcW w:w="4709" w:type="dxa"/>
          </w:tcPr>
          <w:p w14:paraId="0B8A949C" w14:textId="6C5A7A50" w:rsidR="007E69FF" w:rsidRPr="006F3534" w:rsidRDefault="00D82F50" w:rsidP="0029377D">
            <w:pPr>
              <w:rPr>
                <w:sz w:val="18"/>
              </w:rPr>
            </w:pPr>
            <w:r>
              <w:rPr>
                <w:sz w:val="18"/>
              </w:rPr>
              <w:t>18</w:t>
            </w:r>
            <w:r w:rsidR="007E69FF">
              <w:rPr>
                <w:sz w:val="18"/>
              </w:rPr>
              <w:t xml:space="preserve">. </w:t>
            </w:r>
            <w:r w:rsidR="007E69FF" w:rsidRPr="006F3534">
              <w:rPr>
                <w:sz w:val="18"/>
              </w:rPr>
              <w:t>Number of women and men Australian tourists travelling to Papua New Guinea</w:t>
            </w:r>
          </w:p>
        </w:tc>
        <w:tc>
          <w:tcPr>
            <w:tcW w:w="2630" w:type="dxa"/>
            <w:vAlign w:val="center"/>
          </w:tcPr>
          <w:p w14:paraId="5E73D91F" w14:textId="77777777" w:rsidR="007E69FF" w:rsidRPr="006F3534" w:rsidRDefault="007E69FF" w:rsidP="00EA09AA">
            <w:pPr>
              <w:spacing w:before="0" w:after="0" w:line="240" w:lineRule="auto"/>
              <w:rPr>
                <w:rFonts w:eastAsia="Times New Roman"/>
                <w:iCs/>
                <w:sz w:val="18"/>
                <w:szCs w:val="18"/>
              </w:rPr>
            </w:pPr>
            <w:r w:rsidRPr="006F3534">
              <w:rPr>
                <w:rFonts w:eastAsia="Times New Roman"/>
                <w:iCs/>
                <w:sz w:val="18"/>
                <w:szCs w:val="18"/>
              </w:rPr>
              <w:t>24,677 Australian visitors (holiday) to Papua New Guinea in 2016</w:t>
            </w:r>
          </w:p>
        </w:tc>
        <w:tc>
          <w:tcPr>
            <w:tcW w:w="2545" w:type="dxa"/>
            <w:vAlign w:val="center"/>
          </w:tcPr>
          <w:p w14:paraId="1D5D59CC" w14:textId="77777777" w:rsidR="007E69FF" w:rsidRPr="006F3534" w:rsidRDefault="007E69FF" w:rsidP="00EA09AA">
            <w:pPr>
              <w:keepLines/>
              <w:spacing w:before="0" w:after="0" w:line="240" w:lineRule="auto"/>
              <w:rPr>
                <w:rFonts w:eastAsia="Times New Roman"/>
                <w:iCs/>
                <w:sz w:val="18"/>
                <w:szCs w:val="18"/>
              </w:rPr>
            </w:pPr>
            <w:r w:rsidRPr="00BF7DA2">
              <w:rPr>
                <w:rFonts w:eastAsia="Times New Roman"/>
                <w:iCs/>
                <w:sz w:val="18"/>
                <w:szCs w:val="18"/>
              </w:rPr>
              <w:t>Figure unavailable at time of reporting</w:t>
            </w:r>
          </w:p>
        </w:tc>
        <w:tc>
          <w:tcPr>
            <w:tcW w:w="2570" w:type="dxa"/>
            <w:shd w:val="clear" w:color="auto" w:fill="auto"/>
            <w:vAlign w:val="center"/>
          </w:tcPr>
          <w:p w14:paraId="214AB14A" w14:textId="7AE544DF" w:rsidR="007E69FF" w:rsidRPr="006F3534" w:rsidRDefault="009104DF" w:rsidP="00EA09AA">
            <w:pPr>
              <w:spacing w:before="0" w:after="0" w:line="240" w:lineRule="auto"/>
              <w:rPr>
                <w:sz w:val="18"/>
                <w:szCs w:val="18"/>
              </w:rPr>
            </w:pPr>
            <w:r w:rsidRPr="00BF7DA2">
              <w:rPr>
                <w:rFonts w:eastAsia="Times New Roman"/>
                <w:iCs/>
                <w:sz w:val="18"/>
                <w:szCs w:val="18"/>
              </w:rPr>
              <w:t>Figure unavailable at time of reporting</w:t>
            </w:r>
          </w:p>
        </w:tc>
        <w:tc>
          <w:tcPr>
            <w:tcW w:w="2568" w:type="dxa"/>
            <w:shd w:val="clear" w:color="auto" w:fill="A6A6A6" w:themeFill="background1" w:themeFillShade="A6"/>
          </w:tcPr>
          <w:p w14:paraId="3F781351" w14:textId="77777777" w:rsidR="007E69FF" w:rsidRDefault="007E69FF" w:rsidP="00EA09AA">
            <w:pPr>
              <w:spacing w:before="0" w:after="0" w:line="240" w:lineRule="auto"/>
              <w:rPr>
                <w:rFonts w:eastAsia="Times New Roman"/>
                <w:iCs/>
                <w:sz w:val="18"/>
                <w:szCs w:val="18"/>
              </w:rPr>
            </w:pPr>
          </w:p>
        </w:tc>
      </w:tr>
      <w:tr w:rsidR="007E69FF" w:rsidRPr="006F3534" w14:paraId="0F336FB3" w14:textId="7C89DF3E" w:rsidTr="007E69FF">
        <w:tc>
          <w:tcPr>
            <w:tcW w:w="4709" w:type="dxa"/>
          </w:tcPr>
          <w:p w14:paraId="56C9FF84" w14:textId="1CB6C7D2" w:rsidR="007E69FF" w:rsidRPr="006F3534" w:rsidRDefault="00D82F50" w:rsidP="00EA09AA">
            <w:pPr>
              <w:rPr>
                <w:sz w:val="18"/>
              </w:rPr>
            </w:pPr>
            <w:r>
              <w:rPr>
                <w:sz w:val="18"/>
              </w:rPr>
              <w:lastRenderedPageBreak/>
              <w:t>19</w:t>
            </w:r>
            <w:r w:rsidR="007E69FF">
              <w:rPr>
                <w:sz w:val="18"/>
              </w:rPr>
              <w:t xml:space="preserve">. </w:t>
            </w:r>
            <w:r w:rsidR="007E69FF" w:rsidRPr="006F3534">
              <w:rPr>
                <w:sz w:val="18"/>
              </w:rPr>
              <w:t>Value of trade between Australia and Papua New Guinea (as goods, services)</w:t>
            </w:r>
          </w:p>
        </w:tc>
        <w:tc>
          <w:tcPr>
            <w:tcW w:w="2630" w:type="dxa"/>
            <w:vAlign w:val="center"/>
          </w:tcPr>
          <w:p w14:paraId="1E5C5DF8" w14:textId="77777777" w:rsidR="007E69FF" w:rsidRPr="006F3534" w:rsidRDefault="007E69FF" w:rsidP="00EA09AA">
            <w:pPr>
              <w:spacing w:before="0" w:after="0" w:line="240" w:lineRule="auto"/>
              <w:rPr>
                <w:rFonts w:eastAsia="Times New Roman"/>
                <w:iCs/>
                <w:sz w:val="18"/>
                <w:szCs w:val="18"/>
              </w:rPr>
            </w:pPr>
            <w:r w:rsidRPr="006F3534">
              <w:rPr>
                <w:rFonts w:eastAsia="Times New Roman"/>
                <w:iCs/>
                <w:sz w:val="18"/>
                <w:szCs w:val="18"/>
              </w:rPr>
              <w:t>$5.3 billion in 2016</w:t>
            </w:r>
          </w:p>
        </w:tc>
        <w:tc>
          <w:tcPr>
            <w:tcW w:w="2545" w:type="dxa"/>
            <w:vAlign w:val="center"/>
          </w:tcPr>
          <w:p w14:paraId="588DC5F7"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$5.9 billion in 2017</w:t>
            </w:r>
          </w:p>
        </w:tc>
        <w:tc>
          <w:tcPr>
            <w:tcW w:w="2570" w:type="dxa"/>
            <w:shd w:val="clear" w:color="auto" w:fill="auto"/>
            <w:vAlign w:val="center"/>
          </w:tcPr>
          <w:p w14:paraId="51F06A86" w14:textId="03B7A8DF" w:rsidR="007E69FF" w:rsidRPr="006F3534" w:rsidRDefault="007E69FF" w:rsidP="00EA09AA">
            <w:pPr>
              <w:spacing w:before="0" w:after="0" w:line="240" w:lineRule="auto"/>
              <w:rPr>
                <w:sz w:val="18"/>
                <w:szCs w:val="18"/>
              </w:rPr>
            </w:pPr>
            <w:r>
              <w:rPr>
                <w:sz w:val="18"/>
                <w:szCs w:val="18"/>
              </w:rPr>
              <w:t>$5.8 billion in 2018</w:t>
            </w:r>
          </w:p>
        </w:tc>
        <w:tc>
          <w:tcPr>
            <w:tcW w:w="2568" w:type="dxa"/>
            <w:shd w:val="clear" w:color="auto" w:fill="A6A6A6" w:themeFill="background1" w:themeFillShade="A6"/>
          </w:tcPr>
          <w:p w14:paraId="50463F0A" w14:textId="77777777" w:rsidR="007E69FF" w:rsidRDefault="007E69FF" w:rsidP="00EA09AA">
            <w:pPr>
              <w:spacing w:before="0" w:after="0" w:line="240" w:lineRule="auto"/>
              <w:rPr>
                <w:sz w:val="18"/>
                <w:szCs w:val="18"/>
              </w:rPr>
            </w:pPr>
          </w:p>
        </w:tc>
      </w:tr>
      <w:tr w:rsidR="007E69FF" w:rsidRPr="006F3534" w14:paraId="599DEC29" w14:textId="31ED43AB" w:rsidTr="007E69FF">
        <w:tc>
          <w:tcPr>
            <w:tcW w:w="4709" w:type="dxa"/>
          </w:tcPr>
          <w:p w14:paraId="4350D169" w14:textId="2B1C7A37" w:rsidR="007E69FF" w:rsidRPr="006F3534" w:rsidRDefault="00D82F50" w:rsidP="0029377D">
            <w:pPr>
              <w:rPr>
                <w:sz w:val="18"/>
              </w:rPr>
            </w:pPr>
            <w:r>
              <w:rPr>
                <w:sz w:val="18"/>
              </w:rPr>
              <w:t>20</w:t>
            </w:r>
            <w:r w:rsidR="007E69FF">
              <w:rPr>
                <w:sz w:val="18"/>
              </w:rPr>
              <w:t xml:space="preserve">. </w:t>
            </w:r>
            <w:r w:rsidR="007E69FF" w:rsidRPr="006F3534">
              <w:rPr>
                <w:sz w:val="18"/>
              </w:rPr>
              <w:t>Number of Australian companies doing business in Papua New Guinea, and number of transactions</w:t>
            </w:r>
          </w:p>
        </w:tc>
        <w:tc>
          <w:tcPr>
            <w:tcW w:w="2630" w:type="dxa"/>
            <w:vAlign w:val="center"/>
          </w:tcPr>
          <w:p w14:paraId="0E7E8981" w14:textId="77777777" w:rsidR="007E69FF" w:rsidRPr="006F3534" w:rsidRDefault="007E69FF" w:rsidP="00EA09AA">
            <w:pPr>
              <w:spacing w:before="0" w:after="0" w:line="240" w:lineRule="auto"/>
              <w:rPr>
                <w:rFonts w:eastAsia="Times New Roman"/>
                <w:iCs/>
                <w:sz w:val="18"/>
                <w:szCs w:val="18"/>
              </w:rPr>
            </w:pPr>
            <w:r w:rsidRPr="006F3534">
              <w:rPr>
                <w:rFonts w:eastAsia="Times New Roman"/>
                <w:iCs/>
                <w:sz w:val="18"/>
                <w:szCs w:val="18"/>
              </w:rPr>
              <w:t>4,605 exporters making 159,079 transactions</w:t>
            </w:r>
          </w:p>
        </w:tc>
        <w:tc>
          <w:tcPr>
            <w:tcW w:w="2545" w:type="dxa"/>
            <w:vAlign w:val="center"/>
          </w:tcPr>
          <w:p w14:paraId="276DE3F8" w14:textId="77777777" w:rsidR="007E69FF" w:rsidRPr="006F3534" w:rsidRDefault="007E69FF" w:rsidP="00EA09AA">
            <w:pPr>
              <w:keepLines/>
              <w:spacing w:before="0" w:after="0" w:line="240" w:lineRule="auto"/>
              <w:rPr>
                <w:rFonts w:eastAsia="Times New Roman"/>
                <w:iCs/>
                <w:sz w:val="18"/>
                <w:szCs w:val="18"/>
              </w:rPr>
            </w:pPr>
            <w:r w:rsidRPr="00183E0B">
              <w:rPr>
                <w:rFonts w:eastAsia="Times New Roman"/>
                <w:iCs/>
                <w:sz w:val="18"/>
                <w:szCs w:val="18"/>
              </w:rPr>
              <w:t>4,466 exporters making 158,148 transactions</w:t>
            </w:r>
          </w:p>
        </w:tc>
        <w:tc>
          <w:tcPr>
            <w:tcW w:w="2570" w:type="dxa"/>
            <w:shd w:val="clear" w:color="auto" w:fill="auto"/>
            <w:vAlign w:val="center"/>
          </w:tcPr>
          <w:p w14:paraId="3DCF6D39" w14:textId="0A43749E" w:rsidR="007E69FF" w:rsidRPr="006F3534" w:rsidRDefault="007E69FF" w:rsidP="00EA09AA">
            <w:pPr>
              <w:spacing w:before="0" w:after="0" w:line="240" w:lineRule="auto"/>
              <w:rPr>
                <w:sz w:val="18"/>
                <w:szCs w:val="18"/>
              </w:rPr>
            </w:pPr>
            <w:r w:rsidRPr="00BF7DA2">
              <w:rPr>
                <w:rFonts w:eastAsia="Times New Roman"/>
                <w:iCs/>
                <w:sz w:val="18"/>
                <w:szCs w:val="18"/>
              </w:rPr>
              <w:t>Figure unavailable at time of reporting</w:t>
            </w:r>
          </w:p>
        </w:tc>
        <w:tc>
          <w:tcPr>
            <w:tcW w:w="2568" w:type="dxa"/>
            <w:shd w:val="clear" w:color="auto" w:fill="A6A6A6" w:themeFill="background1" w:themeFillShade="A6"/>
          </w:tcPr>
          <w:p w14:paraId="7649B336" w14:textId="77777777" w:rsidR="007E69FF" w:rsidRPr="00BF7DA2" w:rsidRDefault="007E69FF" w:rsidP="00EA09AA">
            <w:pPr>
              <w:spacing w:before="0" w:after="0" w:line="240" w:lineRule="auto"/>
              <w:rPr>
                <w:rFonts w:eastAsia="Times New Roman"/>
                <w:iCs/>
                <w:sz w:val="18"/>
                <w:szCs w:val="18"/>
              </w:rPr>
            </w:pPr>
          </w:p>
        </w:tc>
      </w:tr>
      <w:tr w:rsidR="007E69FF" w:rsidRPr="006F3534" w14:paraId="1F4DDD52" w14:textId="046D1263" w:rsidTr="007E69FF">
        <w:tc>
          <w:tcPr>
            <w:tcW w:w="4709" w:type="dxa"/>
          </w:tcPr>
          <w:p w14:paraId="1A79D38A" w14:textId="7E8948EC" w:rsidR="007E69FF" w:rsidRPr="006F3534" w:rsidRDefault="00D82F50" w:rsidP="0029377D">
            <w:pPr>
              <w:rPr>
                <w:sz w:val="18"/>
              </w:rPr>
            </w:pPr>
            <w:r>
              <w:rPr>
                <w:sz w:val="18"/>
              </w:rPr>
              <w:t>21</w:t>
            </w:r>
            <w:r w:rsidR="007E69FF">
              <w:rPr>
                <w:sz w:val="18"/>
              </w:rPr>
              <w:t xml:space="preserve">. </w:t>
            </w:r>
            <w:r w:rsidR="007E69FF" w:rsidRPr="006F3534">
              <w:rPr>
                <w:sz w:val="18"/>
              </w:rPr>
              <w:t>Foreign Investment Stock</w:t>
            </w:r>
          </w:p>
        </w:tc>
        <w:tc>
          <w:tcPr>
            <w:tcW w:w="2630" w:type="dxa"/>
            <w:vAlign w:val="center"/>
          </w:tcPr>
          <w:p w14:paraId="4EB50529" w14:textId="77777777" w:rsidR="007E69FF" w:rsidRPr="006F3534" w:rsidRDefault="007E69FF" w:rsidP="00EA09AA">
            <w:pPr>
              <w:spacing w:before="0" w:after="0" w:line="240" w:lineRule="auto"/>
              <w:rPr>
                <w:rFonts w:eastAsia="Times New Roman"/>
                <w:iCs/>
                <w:sz w:val="18"/>
                <w:szCs w:val="18"/>
              </w:rPr>
            </w:pPr>
            <w:r w:rsidRPr="006F3534">
              <w:rPr>
                <w:rFonts w:eastAsia="Times New Roman"/>
                <w:iCs/>
                <w:sz w:val="18"/>
                <w:szCs w:val="18"/>
              </w:rPr>
              <w:t>$18 billion in 2016</w:t>
            </w:r>
          </w:p>
        </w:tc>
        <w:tc>
          <w:tcPr>
            <w:tcW w:w="2545" w:type="dxa"/>
            <w:vAlign w:val="center"/>
          </w:tcPr>
          <w:p w14:paraId="1193E04C"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$16.3 billion in 2017</w:t>
            </w:r>
          </w:p>
        </w:tc>
        <w:tc>
          <w:tcPr>
            <w:tcW w:w="2570" w:type="dxa"/>
            <w:shd w:val="clear" w:color="auto" w:fill="auto"/>
            <w:vAlign w:val="center"/>
          </w:tcPr>
          <w:p w14:paraId="71107463" w14:textId="3B5F1EBB" w:rsidR="007E69FF" w:rsidRPr="006F3534" w:rsidRDefault="007E69FF" w:rsidP="00EA09AA">
            <w:pPr>
              <w:spacing w:before="0" w:after="0" w:line="240" w:lineRule="auto"/>
              <w:rPr>
                <w:sz w:val="18"/>
                <w:szCs w:val="18"/>
              </w:rPr>
            </w:pPr>
            <w:r>
              <w:rPr>
                <w:sz w:val="18"/>
                <w:szCs w:val="18"/>
              </w:rPr>
              <w:t>$16.9 billion in 2018</w:t>
            </w:r>
          </w:p>
        </w:tc>
        <w:tc>
          <w:tcPr>
            <w:tcW w:w="2568" w:type="dxa"/>
            <w:shd w:val="clear" w:color="auto" w:fill="A6A6A6" w:themeFill="background1" w:themeFillShade="A6"/>
          </w:tcPr>
          <w:p w14:paraId="67670580" w14:textId="77777777" w:rsidR="007E69FF" w:rsidRDefault="007E69FF" w:rsidP="00EA09AA">
            <w:pPr>
              <w:spacing w:before="0" w:after="0" w:line="240" w:lineRule="auto"/>
              <w:rPr>
                <w:sz w:val="18"/>
                <w:szCs w:val="18"/>
              </w:rPr>
            </w:pPr>
          </w:p>
        </w:tc>
      </w:tr>
      <w:tr w:rsidR="007E69FF" w:rsidRPr="006F3534" w14:paraId="3BF53292" w14:textId="764AFFC6" w:rsidTr="007E69FF">
        <w:tc>
          <w:tcPr>
            <w:tcW w:w="4709" w:type="dxa"/>
          </w:tcPr>
          <w:p w14:paraId="0930673D" w14:textId="73BF87BB" w:rsidR="007E69FF" w:rsidRPr="006F3534" w:rsidRDefault="00D82F50" w:rsidP="0029377D">
            <w:pPr>
              <w:rPr>
                <w:sz w:val="18"/>
              </w:rPr>
            </w:pPr>
            <w:r>
              <w:rPr>
                <w:sz w:val="18"/>
              </w:rPr>
              <w:t>22</w:t>
            </w:r>
            <w:r w:rsidR="007E69FF">
              <w:rPr>
                <w:sz w:val="18"/>
              </w:rPr>
              <w:t xml:space="preserve">. </w:t>
            </w:r>
            <w:r w:rsidR="007E69FF" w:rsidRPr="006F3534">
              <w:rPr>
                <w:sz w:val="18"/>
              </w:rPr>
              <w:t>Number of institutional partnerships</w:t>
            </w:r>
          </w:p>
        </w:tc>
        <w:tc>
          <w:tcPr>
            <w:tcW w:w="2630" w:type="dxa"/>
            <w:vAlign w:val="center"/>
          </w:tcPr>
          <w:p w14:paraId="20F53779" w14:textId="77777777" w:rsidR="007E69FF" w:rsidRPr="006F3534" w:rsidRDefault="007E69FF" w:rsidP="00EA09AA">
            <w:pPr>
              <w:spacing w:before="0" w:after="0" w:line="240" w:lineRule="auto"/>
              <w:rPr>
                <w:rFonts w:eastAsia="Times New Roman"/>
                <w:iCs/>
                <w:sz w:val="18"/>
                <w:szCs w:val="18"/>
              </w:rPr>
            </w:pPr>
            <w:r>
              <w:rPr>
                <w:rFonts w:eastAsia="Times New Roman"/>
                <w:iCs/>
                <w:sz w:val="18"/>
                <w:szCs w:val="18"/>
              </w:rPr>
              <w:t>16</w:t>
            </w:r>
          </w:p>
        </w:tc>
        <w:tc>
          <w:tcPr>
            <w:tcW w:w="2545" w:type="dxa"/>
            <w:vAlign w:val="center"/>
          </w:tcPr>
          <w:p w14:paraId="7A5DEC27"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13</w:t>
            </w:r>
          </w:p>
        </w:tc>
        <w:tc>
          <w:tcPr>
            <w:tcW w:w="2570" w:type="dxa"/>
            <w:shd w:val="clear" w:color="auto" w:fill="auto"/>
            <w:vAlign w:val="center"/>
          </w:tcPr>
          <w:p w14:paraId="00399426" w14:textId="46DECB4C" w:rsidR="007E69FF" w:rsidRPr="006F3534" w:rsidRDefault="007E69FF" w:rsidP="00EA09AA">
            <w:pPr>
              <w:spacing w:before="0" w:after="0" w:line="240" w:lineRule="auto"/>
              <w:rPr>
                <w:sz w:val="18"/>
                <w:szCs w:val="18"/>
              </w:rPr>
            </w:pPr>
            <w:r>
              <w:rPr>
                <w:sz w:val="18"/>
                <w:szCs w:val="18"/>
              </w:rPr>
              <w:t>11</w:t>
            </w:r>
          </w:p>
        </w:tc>
        <w:tc>
          <w:tcPr>
            <w:tcW w:w="2568" w:type="dxa"/>
            <w:shd w:val="clear" w:color="auto" w:fill="A6A6A6" w:themeFill="background1" w:themeFillShade="A6"/>
          </w:tcPr>
          <w:p w14:paraId="36434DEF" w14:textId="77777777" w:rsidR="007E69FF" w:rsidRDefault="007E69FF" w:rsidP="00EA09AA">
            <w:pPr>
              <w:spacing w:before="0" w:after="0" w:line="240" w:lineRule="auto"/>
              <w:rPr>
                <w:sz w:val="18"/>
                <w:szCs w:val="18"/>
              </w:rPr>
            </w:pPr>
          </w:p>
        </w:tc>
      </w:tr>
      <w:tr w:rsidR="007E69FF" w:rsidRPr="006F3534" w14:paraId="4B589BFE" w14:textId="4F119F2B" w:rsidTr="007E69FF">
        <w:tc>
          <w:tcPr>
            <w:tcW w:w="4709" w:type="dxa"/>
          </w:tcPr>
          <w:p w14:paraId="48A1F0CB" w14:textId="15C716D5" w:rsidR="007E69FF" w:rsidRPr="006F3534" w:rsidRDefault="00D82F50" w:rsidP="0029377D">
            <w:pPr>
              <w:rPr>
                <w:sz w:val="18"/>
              </w:rPr>
            </w:pPr>
            <w:r>
              <w:rPr>
                <w:sz w:val="18"/>
              </w:rPr>
              <w:t>23</w:t>
            </w:r>
            <w:r w:rsidR="007E69FF">
              <w:rPr>
                <w:sz w:val="18"/>
              </w:rPr>
              <w:t xml:space="preserve">. </w:t>
            </w:r>
            <w:r w:rsidR="007E69FF" w:rsidRPr="006F3534">
              <w:rPr>
                <w:sz w:val="18"/>
              </w:rPr>
              <w:t>Number of twinning</w:t>
            </w:r>
            <w:r w:rsidR="007E69FF">
              <w:rPr>
                <w:sz w:val="18"/>
              </w:rPr>
              <w:t>/short term</w:t>
            </w:r>
            <w:r w:rsidR="007E69FF" w:rsidRPr="006F3534">
              <w:rPr>
                <w:sz w:val="18"/>
              </w:rPr>
              <w:t xml:space="preserve"> arrangements</w:t>
            </w:r>
          </w:p>
        </w:tc>
        <w:tc>
          <w:tcPr>
            <w:tcW w:w="2630" w:type="dxa"/>
            <w:vAlign w:val="center"/>
          </w:tcPr>
          <w:p w14:paraId="079F773D" w14:textId="77777777" w:rsidR="007E69FF" w:rsidRPr="006F3534" w:rsidRDefault="007E69FF" w:rsidP="00EA09AA">
            <w:pPr>
              <w:spacing w:before="0" w:after="0" w:line="240" w:lineRule="auto"/>
              <w:rPr>
                <w:rFonts w:eastAsia="Times New Roman"/>
                <w:iCs/>
                <w:sz w:val="18"/>
                <w:szCs w:val="18"/>
              </w:rPr>
            </w:pPr>
            <w:r w:rsidRPr="006F3534">
              <w:rPr>
                <w:rFonts w:eastAsia="Times New Roman"/>
                <w:iCs/>
                <w:sz w:val="18"/>
                <w:szCs w:val="18"/>
              </w:rPr>
              <w:t>3</w:t>
            </w:r>
          </w:p>
        </w:tc>
        <w:tc>
          <w:tcPr>
            <w:tcW w:w="2545" w:type="dxa"/>
            <w:vAlign w:val="center"/>
          </w:tcPr>
          <w:p w14:paraId="0BAE0A53" w14:textId="77777777" w:rsidR="007E69FF" w:rsidRPr="006F3534" w:rsidRDefault="007E69FF" w:rsidP="00EA09AA">
            <w:pPr>
              <w:keepLines/>
              <w:spacing w:before="0" w:after="0" w:line="240" w:lineRule="auto"/>
              <w:rPr>
                <w:rFonts w:eastAsia="Times New Roman"/>
                <w:iCs/>
                <w:sz w:val="18"/>
                <w:szCs w:val="18"/>
              </w:rPr>
            </w:pPr>
            <w:r>
              <w:rPr>
                <w:rFonts w:eastAsia="Times New Roman"/>
                <w:iCs/>
                <w:sz w:val="18"/>
                <w:szCs w:val="18"/>
              </w:rPr>
              <w:t>5</w:t>
            </w:r>
          </w:p>
        </w:tc>
        <w:tc>
          <w:tcPr>
            <w:tcW w:w="2570" w:type="dxa"/>
            <w:shd w:val="clear" w:color="auto" w:fill="auto"/>
            <w:vAlign w:val="center"/>
          </w:tcPr>
          <w:p w14:paraId="2ECEB73E" w14:textId="37AEE125" w:rsidR="007E69FF" w:rsidRPr="006F3534" w:rsidRDefault="007E69FF" w:rsidP="00EA09AA">
            <w:pPr>
              <w:spacing w:before="0" w:after="0" w:line="240" w:lineRule="auto"/>
              <w:rPr>
                <w:sz w:val="18"/>
                <w:szCs w:val="18"/>
              </w:rPr>
            </w:pPr>
            <w:r>
              <w:rPr>
                <w:sz w:val="18"/>
                <w:szCs w:val="18"/>
              </w:rPr>
              <w:t>3</w:t>
            </w:r>
          </w:p>
        </w:tc>
        <w:tc>
          <w:tcPr>
            <w:tcW w:w="2568" w:type="dxa"/>
            <w:shd w:val="clear" w:color="auto" w:fill="A6A6A6" w:themeFill="background1" w:themeFillShade="A6"/>
          </w:tcPr>
          <w:p w14:paraId="72140A30" w14:textId="77777777" w:rsidR="007E69FF" w:rsidRDefault="007E69FF" w:rsidP="00EA09AA">
            <w:pPr>
              <w:spacing w:before="0" w:after="0" w:line="240" w:lineRule="auto"/>
              <w:rPr>
                <w:sz w:val="18"/>
                <w:szCs w:val="18"/>
              </w:rPr>
            </w:pPr>
          </w:p>
        </w:tc>
      </w:tr>
    </w:tbl>
    <w:p w14:paraId="21652A47" w14:textId="6CAA54E2" w:rsidR="00964D2F" w:rsidRDefault="00964D2F" w:rsidP="00C05D5C">
      <w:pPr>
        <w:rPr>
          <w:rFonts w:asciiTheme="majorHAnsi" w:eastAsiaTheme="majorEastAsia" w:hAnsiTheme="majorHAnsi" w:cstheme="majorHAnsi"/>
          <w:bCs/>
          <w:iCs/>
          <w:caps/>
          <w:spacing w:val="-10"/>
          <w:kern w:val="28"/>
          <w:sz w:val="38"/>
          <w:szCs w:val="24"/>
        </w:rPr>
      </w:pPr>
    </w:p>
    <w:p w14:paraId="5D876393" w14:textId="37069B83" w:rsidR="00714C56" w:rsidRDefault="00714C56" w:rsidP="00C05D5C">
      <w:pPr>
        <w:rPr>
          <w:sz w:val="18"/>
        </w:rPr>
      </w:pPr>
      <w:r w:rsidRPr="00714C56">
        <w:rPr>
          <w:sz w:val="18"/>
        </w:rPr>
        <w:t xml:space="preserve">A new </w:t>
      </w:r>
      <w:r>
        <w:rPr>
          <w:sz w:val="18"/>
        </w:rPr>
        <w:t xml:space="preserve">Performance assessment Framework (PAF) is currently under development for the new </w:t>
      </w:r>
      <w:r w:rsidRPr="00861560">
        <w:rPr>
          <w:sz w:val="18"/>
        </w:rPr>
        <w:t>AIP</w:t>
      </w:r>
      <w:r>
        <w:rPr>
          <w:sz w:val="18"/>
        </w:rPr>
        <w:t xml:space="preserve">. </w:t>
      </w:r>
    </w:p>
    <w:p w14:paraId="75B32397" w14:textId="77777777" w:rsidR="00714C56" w:rsidRPr="00714C56" w:rsidRDefault="00714C56" w:rsidP="00C05D5C">
      <w:pPr>
        <w:rPr>
          <w:sz w:val="18"/>
        </w:rPr>
        <w:sectPr w:rsidR="00714C56" w:rsidRPr="00714C56" w:rsidSect="003C2096">
          <w:pgSz w:w="16838" w:h="11906" w:orient="landscape" w:code="9"/>
          <w:pgMar w:top="1134" w:right="1527" w:bottom="1134" w:left="851" w:header="1418" w:footer="267" w:gutter="0"/>
          <w:cols w:space="397"/>
          <w:docGrid w:linePitch="360"/>
        </w:sectPr>
      </w:pPr>
    </w:p>
    <w:p w14:paraId="4113B8D0" w14:textId="77777777" w:rsidR="00C05D5C" w:rsidRPr="00EF26B5" w:rsidRDefault="00C05D5C" w:rsidP="00C05D5C">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14:paraId="67847AE6" w14:textId="77777777" w:rsidTr="00D05246">
        <w:trPr>
          <w:trHeight w:val="1156"/>
        </w:trPr>
        <w:tc>
          <w:tcPr>
            <w:tcW w:w="1271" w:type="dxa"/>
            <w:shd w:val="clear" w:color="auto" w:fill="D7DEE2" w:themeFill="text2" w:themeFillTint="33"/>
          </w:tcPr>
          <w:p w14:paraId="2CA5E74B" w14:textId="77777777" w:rsidR="00BE737D" w:rsidRDefault="00BE737D" w:rsidP="00D05246">
            <w:pPr>
              <w:spacing w:before="80" w:after="80"/>
            </w:pPr>
            <w:r w:rsidRPr="00F75380">
              <w:rPr>
                <w:noProof/>
                <w:lang w:val="en-AU" w:eastAsia="en-AU"/>
              </w:rPr>
              <w:drawing>
                <wp:inline distT="0" distB="0" distL="0" distR="0" wp14:anchorId="7295A906" wp14:editId="7295A907">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73A6F904" w14:textId="77777777"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67AC074F" w14:textId="77777777" w:rsidR="00BE737D" w:rsidRDefault="00BE737D" w:rsidP="00D05246"/>
        </w:tc>
        <w:tc>
          <w:tcPr>
            <w:tcW w:w="1276" w:type="dxa"/>
            <w:shd w:val="clear" w:color="auto" w:fill="D7DEE2" w:themeFill="text2" w:themeFillTint="33"/>
          </w:tcPr>
          <w:p w14:paraId="4DA16174" w14:textId="77777777" w:rsidR="00BE737D" w:rsidRDefault="00BE737D" w:rsidP="00D05246">
            <w:pPr>
              <w:spacing w:before="80" w:after="80"/>
            </w:pPr>
            <w:r>
              <w:rPr>
                <w:noProof/>
                <w:lang w:val="en-AU" w:eastAsia="en-AU"/>
              </w:rPr>
              <w:drawing>
                <wp:inline distT="0" distB="0" distL="0" distR="0" wp14:anchorId="7295A908" wp14:editId="7295A909">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3246D5E" w14:textId="77777777"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14:paraId="5B45DC10" w14:textId="77777777" w:rsidTr="00D05246">
        <w:tc>
          <w:tcPr>
            <w:tcW w:w="1271" w:type="dxa"/>
            <w:shd w:val="clear" w:color="auto" w:fill="D7DEE2" w:themeFill="text2" w:themeFillTint="33"/>
          </w:tcPr>
          <w:p w14:paraId="606BBBE5" w14:textId="77777777" w:rsidR="00BE737D" w:rsidRDefault="00BE737D" w:rsidP="00D05246">
            <w:pPr>
              <w:spacing w:before="80" w:after="80"/>
            </w:pPr>
            <w:r>
              <w:rPr>
                <w:noProof/>
                <w:lang w:val="en-AU" w:eastAsia="en-AU"/>
              </w:rPr>
              <w:drawing>
                <wp:inline distT="0" distB="0" distL="0" distR="0" wp14:anchorId="7295A90A" wp14:editId="7295A90B">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0142113" w14:textId="77777777"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3F45AA6C" w14:textId="77777777" w:rsidR="00BE737D" w:rsidRDefault="00BE737D" w:rsidP="00D05246"/>
        </w:tc>
        <w:tc>
          <w:tcPr>
            <w:tcW w:w="1276" w:type="dxa"/>
            <w:shd w:val="clear" w:color="auto" w:fill="D7DEE2" w:themeFill="text2" w:themeFillTint="33"/>
          </w:tcPr>
          <w:p w14:paraId="6EA7C6E0" w14:textId="77777777" w:rsidR="00BE737D" w:rsidRDefault="00BE737D" w:rsidP="00D05246">
            <w:pPr>
              <w:spacing w:before="80" w:after="80"/>
            </w:pPr>
            <w:r>
              <w:rPr>
                <w:noProof/>
                <w:lang w:val="en-AU" w:eastAsia="en-AU"/>
              </w:rPr>
              <w:drawing>
                <wp:inline distT="0" distB="0" distL="0" distR="0" wp14:anchorId="7295A90C" wp14:editId="7295A90D">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58570D1" w14:textId="77777777"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14:paraId="215BBF02" w14:textId="77777777" w:rsidTr="00D05246">
        <w:tc>
          <w:tcPr>
            <w:tcW w:w="1271" w:type="dxa"/>
            <w:shd w:val="clear" w:color="auto" w:fill="D7DEE2" w:themeFill="text2" w:themeFillTint="33"/>
          </w:tcPr>
          <w:p w14:paraId="22183F5C" w14:textId="77777777" w:rsidR="00BE737D" w:rsidRDefault="00BE737D" w:rsidP="00D05246">
            <w:pPr>
              <w:spacing w:before="80" w:after="80"/>
            </w:pPr>
            <w:r>
              <w:rPr>
                <w:noProof/>
                <w:lang w:val="en-AU" w:eastAsia="en-AU"/>
              </w:rPr>
              <w:drawing>
                <wp:inline distT="0" distB="0" distL="0" distR="0" wp14:anchorId="7295A90E" wp14:editId="7295A90F">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7437554" w14:textId="77777777"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11F8E73E" w14:textId="77777777" w:rsidR="00BE737D" w:rsidRDefault="00BE737D" w:rsidP="00D05246"/>
        </w:tc>
        <w:tc>
          <w:tcPr>
            <w:tcW w:w="1276" w:type="dxa"/>
            <w:shd w:val="clear" w:color="auto" w:fill="D7DEE2" w:themeFill="text2" w:themeFillTint="33"/>
          </w:tcPr>
          <w:p w14:paraId="14CBF331" w14:textId="77777777" w:rsidR="00BE737D" w:rsidRDefault="00BE737D" w:rsidP="00D05246">
            <w:pPr>
              <w:spacing w:before="80" w:after="80"/>
            </w:pPr>
            <w:r>
              <w:rPr>
                <w:noProof/>
                <w:lang w:val="en-AU" w:eastAsia="en-AU"/>
              </w:rPr>
              <w:drawing>
                <wp:inline distT="0" distB="0" distL="0" distR="0" wp14:anchorId="7295A910" wp14:editId="7295A911">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F3D6515" w14:textId="77777777"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14:paraId="49A0A4D6" w14:textId="77777777" w:rsidTr="00D05246">
        <w:tc>
          <w:tcPr>
            <w:tcW w:w="1271" w:type="dxa"/>
            <w:shd w:val="clear" w:color="auto" w:fill="D7DEE2" w:themeFill="text2" w:themeFillTint="33"/>
          </w:tcPr>
          <w:p w14:paraId="57BB6440" w14:textId="77777777" w:rsidR="00BE737D" w:rsidRDefault="00BE737D" w:rsidP="00D05246">
            <w:pPr>
              <w:spacing w:before="80" w:after="80"/>
            </w:pPr>
            <w:r>
              <w:rPr>
                <w:noProof/>
                <w:lang w:val="en-AU" w:eastAsia="en-AU"/>
              </w:rPr>
              <w:drawing>
                <wp:inline distT="0" distB="0" distL="0" distR="0" wp14:anchorId="7295A912" wp14:editId="7295A913">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B01D1C0" w14:textId="77777777"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1FD89F2C" w14:textId="77777777" w:rsidR="00BE737D" w:rsidRDefault="00BE737D" w:rsidP="00D05246"/>
        </w:tc>
        <w:tc>
          <w:tcPr>
            <w:tcW w:w="1276" w:type="dxa"/>
            <w:shd w:val="clear" w:color="auto" w:fill="D7DEE2" w:themeFill="text2" w:themeFillTint="33"/>
          </w:tcPr>
          <w:p w14:paraId="545F2E74" w14:textId="77777777" w:rsidR="00BE737D" w:rsidRDefault="00BE737D" w:rsidP="00D05246">
            <w:pPr>
              <w:spacing w:before="80" w:after="80"/>
            </w:pPr>
            <w:r>
              <w:rPr>
                <w:noProof/>
                <w:lang w:val="en-AU" w:eastAsia="en-AU"/>
              </w:rPr>
              <w:drawing>
                <wp:inline distT="0" distB="0" distL="0" distR="0" wp14:anchorId="7295A914" wp14:editId="7295A915">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285FF51" w14:textId="77777777"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14:paraId="25FFB863" w14:textId="77777777" w:rsidTr="00D05246">
        <w:tc>
          <w:tcPr>
            <w:tcW w:w="1271" w:type="dxa"/>
            <w:shd w:val="clear" w:color="auto" w:fill="D7DEE2" w:themeFill="text2" w:themeFillTint="33"/>
          </w:tcPr>
          <w:p w14:paraId="32E07A7D" w14:textId="77777777" w:rsidR="00BE737D" w:rsidRDefault="00BE737D" w:rsidP="00D05246">
            <w:pPr>
              <w:spacing w:before="80" w:after="80"/>
            </w:pPr>
            <w:r>
              <w:rPr>
                <w:noProof/>
                <w:lang w:val="en-AU" w:eastAsia="en-AU"/>
              </w:rPr>
              <w:drawing>
                <wp:inline distT="0" distB="0" distL="0" distR="0" wp14:anchorId="7295A916" wp14:editId="7295A917">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8C7D198" w14:textId="77777777"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54C0994C" w14:textId="77777777" w:rsidR="00BE737D" w:rsidRDefault="00BE737D" w:rsidP="00D05246"/>
        </w:tc>
        <w:tc>
          <w:tcPr>
            <w:tcW w:w="1276" w:type="dxa"/>
            <w:shd w:val="clear" w:color="auto" w:fill="D7DEE2" w:themeFill="text2" w:themeFillTint="33"/>
          </w:tcPr>
          <w:p w14:paraId="7BC5D3B8" w14:textId="77777777" w:rsidR="00BE737D" w:rsidRDefault="00BE737D" w:rsidP="00D05246">
            <w:pPr>
              <w:spacing w:before="80" w:after="80"/>
            </w:pPr>
            <w:r>
              <w:rPr>
                <w:noProof/>
                <w:lang w:val="en-AU" w:eastAsia="en-AU"/>
              </w:rPr>
              <w:drawing>
                <wp:inline distT="0" distB="0" distL="0" distR="0" wp14:anchorId="7295A918" wp14:editId="7295A919">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F583540" w14:textId="77777777"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14:paraId="15ECD644" w14:textId="77777777" w:rsidTr="00D05246">
        <w:tc>
          <w:tcPr>
            <w:tcW w:w="1271" w:type="dxa"/>
            <w:shd w:val="clear" w:color="auto" w:fill="D7DEE2" w:themeFill="text2" w:themeFillTint="33"/>
          </w:tcPr>
          <w:p w14:paraId="5E51633D" w14:textId="77777777" w:rsidR="00BE737D" w:rsidRDefault="00BE737D" w:rsidP="00D05246">
            <w:pPr>
              <w:spacing w:before="80" w:after="80"/>
            </w:pPr>
            <w:r>
              <w:rPr>
                <w:noProof/>
                <w:lang w:val="en-AU" w:eastAsia="en-AU"/>
              </w:rPr>
              <w:drawing>
                <wp:inline distT="0" distB="0" distL="0" distR="0" wp14:anchorId="7295A91A" wp14:editId="7295A91B">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358FA9E" w14:textId="77777777"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379368F9" w14:textId="77777777" w:rsidR="00BE737D" w:rsidRDefault="00BE737D" w:rsidP="00D05246"/>
        </w:tc>
        <w:tc>
          <w:tcPr>
            <w:tcW w:w="1276" w:type="dxa"/>
            <w:shd w:val="clear" w:color="auto" w:fill="D7DEE2" w:themeFill="text2" w:themeFillTint="33"/>
          </w:tcPr>
          <w:p w14:paraId="2D2EEFC0" w14:textId="77777777" w:rsidR="00BE737D" w:rsidRDefault="00BE737D" w:rsidP="00D05246">
            <w:pPr>
              <w:spacing w:before="80" w:after="80"/>
            </w:pPr>
            <w:r>
              <w:rPr>
                <w:noProof/>
                <w:lang w:val="en-AU" w:eastAsia="en-AU"/>
              </w:rPr>
              <w:drawing>
                <wp:inline distT="0" distB="0" distL="0" distR="0" wp14:anchorId="7295A91C" wp14:editId="7295A91D">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CB063AD" w14:textId="77777777"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14:paraId="717D0400" w14:textId="77777777" w:rsidTr="00D05246">
        <w:tc>
          <w:tcPr>
            <w:tcW w:w="1271" w:type="dxa"/>
            <w:shd w:val="clear" w:color="auto" w:fill="D7DEE2" w:themeFill="text2" w:themeFillTint="33"/>
          </w:tcPr>
          <w:p w14:paraId="39E4B044" w14:textId="77777777" w:rsidR="00BE737D" w:rsidRDefault="00BE737D" w:rsidP="00D05246">
            <w:pPr>
              <w:spacing w:before="80" w:after="80"/>
            </w:pPr>
            <w:r>
              <w:rPr>
                <w:noProof/>
                <w:lang w:val="en-AU" w:eastAsia="en-AU"/>
              </w:rPr>
              <w:drawing>
                <wp:inline distT="0" distB="0" distL="0" distR="0" wp14:anchorId="7295A91E" wp14:editId="7295A91F">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54AF813" w14:textId="77777777"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781B9C6F" w14:textId="77777777" w:rsidR="00BE737D" w:rsidRDefault="00BE737D" w:rsidP="00D05246"/>
        </w:tc>
        <w:tc>
          <w:tcPr>
            <w:tcW w:w="1276" w:type="dxa"/>
            <w:shd w:val="clear" w:color="auto" w:fill="D7DEE2" w:themeFill="text2" w:themeFillTint="33"/>
          </w:tcPr>
          <w:p w14:paraId="564D3C9E" w14:textId="77777777" w:rsidR="00BE737D" w:rsidRDefault="00BE737D" w:rsidP="00D05246">
            <w:pPr>
              <w:spacing w:before="80" w:after="80"/>
            </w:pPr>
            <w:r>
              <w:rPr>
                <w:noProof/>
                <w:lang w:val="en-AU" w:eastAsia="en-AU"/>
              </w:rPr>
              <w:drawing>
                <wp:inline distT="0" distB="0" distL="0" distR="0" wp14:anchorId="7295A920" wp14:editId="7295A921">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6C1B619F" w14:textId="77777777"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14:paraId="6D8FC2B2" w14:textId="77777777" w:rsidTr="00D05246">
        <w:tc>
          <w:tcPr>
            <w:tcW w:w="1271" w:type="dxa"/>
            <w:shd w:val="clear" w:color="auto" w:fill="D7DEE2" w:themeFill="text2" w:themeFillTint="33"/>
          </w:tcPr>
          <w:p w14:paraId="640F5BEC" w14:textId="77777777" w:rsidR="00BE737D" w:rsidRDefault="00BE737D" w:rsidP="00D05246">
            <w:pPr>
              <w:spacing w:before="80" w:after="80"/>
            </w:pPr>
            <w:r>
              <w:rPr>
                <w:noProof/>
                <w:lang w:val="en-AU" w:eastAsia="en-AU"/>
              </w:rPr>
              <w:drawing>
                <wp:inline distT="0" distB="0" distL="0" distR="0" wp14:anchorId="7295A922" wp14:editId="7295A923">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3C466A8A" w14:textId="77777777"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747208FF" w14:textId="77777777" w:rsidR="00BE737D" w:rsidRDefault="00BE737D" w:rsidP="00D05246"/>
        </w:tc>
        <w:tc>
          <w:tcPr>
            <w:tcW w:w="1276" w:type="dxa"/>
            <w:shd w:val="clear" w:color="auto" w:fill="D7DEE2" w:themeFill="text2" w:themeFillTint="33"/>
          </w:tcPr>
          <w:p w14:paraId="55D008CF" w14:textId="77777777" w:rsidR="00BE737D" w:rsidRDefault="00BE737D" w:rsidP="00D05246">
            <w:pPr>
              <w:spacing w:before="80" w:after="80"/>
            </w:pPr>
            <w:r>
              <w:rPr>
                <w:noProof/>
                <w:lang w:val="en-AU" w:eastAsia="en-AU"/>
              </w:rPr>
              <w:drawing>
                <wp:inline distT="0" distB="0" distL="0" distR="0" wp14:anchorId="7295A924" wp14:editId="7295A925">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8EED5E0" w14:textId="77777777"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14:paraId="18B32D5F" w14:textId="77777777" w:rsidTr="00D05246">
        <w:tc>
          <w:tcPr>
            <w:tcW w:w="1271" w:type="dxa"/>
            <w:shd w:val="clear" w:color="auto" w:fill="D7DEE2" w:themeFill="text2" w:themeFillTint="33"/>
          </w:tcPr>
          <w:p w14:paraId="3F2D1C14" w14:textId="77777777" w:rsidR="00BE737D" w:rsidRDefault="00BE737D" w:rsidP="00D05246">
            <w:pPr>
              <w:spacing w:before="80" w:after="80"/>
            </w:pPr>
            <w:r>
              <w:rPr>
                <w:noProof/>
                <w:lang w:val="en-AU" w:eastAsia="en-AU"/>
              </w:rPr>
              <w:drawing>
                <wp:inline distT="0" distB="0" distL="0" distR="0" wp14:anchorId="7295A926" wp14:editId="7295A927">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09AF705" w14:textId="77777777"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140346CC" w14:textId="77777777" w:rsidR="00BE737D" w:rsidRDefault="00BE737D" w:rsidP="00D05246"/>
        </w:tc>
        <w:tc>
          <w:tcPr>
            <w:tcW w:w="1276" w:type="dxa"/>
            <w:shd w:val="clear" w:color="auto" w:fill="D7DEE2" w:themeFill="text2" w:themeFillTint="33"/>
          </w:tcPr>
          <w:p w14:paraId="5CBFBAA0" w14:textId="77777777" w:rsidR="00BE737D" w:rsidRPr="00AB289B" w:rsidRDefault="00BE737D" w:rsidP="00D05246">
            <w:pPr>
              <w:spacing w:before="80" w:after="80"/>
              <w:rPr>
                <w:sz w:val="16"/>
              </w:rPr>
            </w:pPr>
          </w:p>
        </w:tc>
        <w:tc>
          <w:tcPr>
            <w:tcW w:w="3544" w:type="dxa"/>
            <w:shd w:val="clear" w:color="auto" w:fill="D7DEE2" w:themeFill="text2" w:themeFillTint="33"/>
          </w:tcPr>
          <w:p w14:paraId="42678702" w14:textId="77777777" w:rsidR="00BE737D" w:rsidRPr="00AB289B" w:rsidRDefault="00BE737D" w:rsidP="00D05246">
            <w:pPr>
              <w:spacing w:before="80" w:after="80"/>
              <w:rPr>
                <w:sz w:val="16"/>
              </w:rPr>
            </w:pPr>
          </w:p>
        </w:tc>
      </w:tr>
    </w:tbl>
    <w:p w14:paraId="2CE06097" w14:textId="2ABE06EB" w:rsidR="006C4F09" w:rsidRPr="005C78DB" w:rsidRDefault="006C4F09" w:rsidP="00091476"/>
    <w:sectPr w:rsidR="006C4F09" w:rsidRPr="005C78DB" w:rsidSect="00964D2F">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359A" w14:textId="77777777" w:rsidR="00C43C94" w:rsidRDefault="00C43C94" w:rsidP="00EF4574">
      <w:pPr>
        <w:spacing w:before="0" w:after="0" w:line="240" w:lineRule="auto"/>
      </w:pPr>
      <w:r>
        <w:separator/>
      </w:r>
    </w:p>
  </w:endnote>
  <w:endnote w:type="continuationSeparator" w:id="0">
    <w:p w14:paraId="2636B53C" w14:textId="77777777" w:rsidR="00C43C94" w:rsidRDefault="00C43C94" w:rsidP="00EF4574">
      <w:pPr>
        <w:spacing w:before="0" w:after="0" w:line="240" w:lineRule="auto"/>
      </w:pPr>
      <w:r>
        <w:continuationSeparator/>
      </w:r>
    </w:p>
  </w:endnote>
  <w:endnote w:type="continuationNotice" w:id="1">
    <w:p w14:paraId="1C9F78E7" w14:textId="77777777" w:rsidR="00C43C94" w:rsidRDefault="00C43C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503" w14:textId="77777777" w:rsidR="00C43C94" w:rsidRDefault="00C4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219180"/>
      <w:docPartObj>
        <w:docPartGallery w:val="Page Numbers (Bottom of Page)"/>
        <w:docPartUnique/>
      </w:docPartObj>
    </w:sdtPr>
    <w:sdtEndPr>
      <w:rPr>
        <w:noProof/>
      </w:rPr>
    </w:sdtEndPr>
    <w:sdtContent>
      <w:p w14:paraId="0B89ABEF" w14:textId="02955F7D" w:rsidR="00C43C94" w:rsidRDefault="00C43C94">
        <w:pPr>
          <w:pStyle w:val="Footer"/>
          <w:jc w:val="center"/>
        </w:pPr>
        <w:r w:rsidRPr="00F60A41">
          <w:rPr>
            <w:color w:val="auto"/>
          </w:rPr>
          <w:fldChar w:fldCharType="begin"/>
        </w:r>
        <w:r w:rsidRPr="00F60A41">
          <w:rPr>
            <w:color w:val="auto"/>
          </w:rPr>
          <w:instrText xml:space="preserve"> PAGE   \* MERGEFORMAT </w:instrText>
        </w:r>
        <w:r w:rsidRPr="00F60A41">
          <w:rPr>
            <w:color w:val="auto"/>
          </w:rPr>
          <w:fldChar w:fldCharType="separate"/>
        </w:r>
        <w:r w:rsidR="00095C39">
          <w:rPr>
            <w:noProof/>
            <w:color w:val="auto"/>
          </w:rPr>
          <w:t>6</w:t>
        </w:r>
        <w:r w:rsidRPr="00F60A41">
          <w:rPr>
            <w:noProof/>
            <w:color w:val="auto"/>
          </w:rPr>
          <w:fldChar w:fldCharType="end"/>
        </w:r>
      </w:p>
    </w:sdtContent>
  </w:sdt>
  <w:p w14:paraId="3B95AB8B" w14:textId="77777777" w:rsidR="00C43C94" w:rsidRDefault="00C4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0606" w14:textId="77777777" w:rsidR="00C43C94" w:rsidRDefault="00C43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C1A4" w14:textId="77777777" w:rsidR="00C43C94" w:rsidRPr="00CD0E4B" w:rsidRDefault="00C43C94" w:rsidP="00784031">
    <w:pPr>
      <w:pStyle w:val="Footer"/>
    </w:pPr>
    <w:r w:rsidRPr="00CD0E4B">
      <w:rPr>
        <w:noProof/>
        <w:lang w:val="en-AU" w:eastAsia="en-AU"/>
      </w:rPr>
      <w:drawing>
        <wp:inline distT="0" distB="0" distL="0" distR="0" wp14:anchorId="7295A93D" wp14:editId="7295A93E">
          <wp:extent cx="90000" cy="74520"/>
          <wp:effectExtent l="0" t="0" r="571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97CB50C" w14:textId="77777777" w:rsidR="00C43C94" w:rsidRPr="00CD0E4B" w:rsidRDefault="00C43C94"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B5B16" w14:textId="77777777" w:rsidR="00C43C94" w:rsidRPr="008C5A0E" w:rsidRDefault="00C43C94" w:rsidP="001D663E">
      <w:pPr>
        <w:pStyle w:val="Footer"/>
        <w:pBdr>
          <w:top w:val="single" w:sz="4" w:space="1" w:color="495965" w:themeColor="text2"/>
        </w:pBdr>
      </w:pPr>
    </w:p>
  </w:footnote>
  <w:footnote w:type="continuationSeparator" w:id="0">
    <w:p w14:paraId="7B756B06" w14:textId="77777777" w:rsidR="00C43C94" w:rsidRDefault="00C43C94" w:rsidP="00EF4574">
      <w:pPr>
        <w:spacing w:before="0" w:after="0" w:line="240" w:lineRule="auto"/>
      </w:pPr>
      <w:r>
        <w:continuationSeparator/>
      </w:r>
    </w:p>
  </w:footnote>
  <w:footnote w:type="continuationNotice" w:id="1">
    <w:p w14:paraId="703A77DA" w14:textId="77777777" w:rsidR="00C43C94" w:rsidRDefault="00C43C94">
      <w:pPr>
        <w:spacing w:before="0" w:after="0" w:line="240" w:lineRule="auto"/>
      </w:pPr>
    </w:p>
  </w:footnote>
  <w:footnote w:id="2">
    <w:p w14:paraId="268C5EB2" w14:textId="5498A12A" w:rsidR="00C43C94" w:rsidRPr="007E14DC" w:rsidRDefault="00C43C94">
      <w:pPr>
        <w:pStyle w:val="FootnoteText"/>
        <w:rPr>
          <w:lang w:val="en-AU"/>
        </w:rPr>
      </w:pPr>
      <w:r>
        <w:rPr>
          <w:rStyle w:val="FootnoteReference"/>
        </w:rPr>
        <w:footnoteRef/>
      </w:r>
      <w:r>
        <w:t xml:space="preserve"> </w:t>
      </w:r>
      <w:r>
        <w:rPr>
          <w:lang w:val="en-AU"/>
        </w:rPr>
        <w:t>Targets for EGIG reduced to zero after February 2018 Strategy Testing with Australian High Commission, Port Moresby, targets for Pacific Women not available at time of reporting</w:t>
      </w:r>
    </w:p>
  </w:footnote>
  <w:footnote w:id="3">
    <w:p w14:paraId="7526EB88" w14:textId="305B5D02" w:rsidR="00C43C94" w:rsidRPr="00236AA1" w:rsidRDefault="00C43C94" w:rsidP="00236AA1">
      <w:pPr>
        <w:pStyle w:val="FootnoteText"/>
        <w:spacing w:line="240" w:lineRule="auto"/>
        <w:rPr>
          <w:sz w:val="10"/>
          <w:szCs w:val="10"/>
          <w:lang w:val="en-AU"/>
        </w:rPr>
      </w:pPr>
      <w:r w:rsidRPr="00236AA1">
        <w:rPr>
          <w:rStyle w:val="FootnoteReference"/>
          <w:sz w:val="10"/>
          <w:szCs w:val="10"/>
        </w:rPr>
        <w:footnoteRef/>
      </w:r>
      <w:r w:rsidRPr="00236AA1">
        <w:rPr>
          <w:sz w:val="10"/>
          <w:szCs w:val="10"/>
        </w:rPr>
        <w:t xml:space="preserve"> </w:t>
      </w:r>
      <w:r w:rsidRPr="00236AA1">
        <w:rPr>
          <w:sz w:val="10"/>
          <w:szCs w:val="10"/>
          <w:lang w:val="en-AU"/>
        </w:rPr>
        <w:t>Gender targets not available at time of reporting</w:t>
      </w:r>
    </w:p>
  </w:footnote>
  <w:footnote w:id="4">
    <w:p w14:paraId="01FE655F" w14:textId="2E1BDD40" w:rsidR="00C43C94" w:rsidRPr="00236AA1" w:rsidRDefault="00C43C94" w:rsidP="00236AA1">
      <w:pPr>
        <w:pStyle w:val="FootnoteText"/>
        <w:spacing w:line="240" w:lineRule="auto"/>
        <w:rPr>
          <w:sz w:val="10"/>
          <w:szCs w:val="10"/>
          <w:lang w:val="en-AU"/>
        </w:rPr>
      </w:pPr>
      <w:r w:rsidRPr="00236AA1">
        <w:rPr>
          <w:rStyle w:val="FootnoteReference"/>
          <w:sz w:val="10"/>
          <w:szCs w:val="10"/>
        </w:rPr>
        <w:footnoteRef/>
      </w:r>
      <w:r w:rsidRPr="00236AA1">
        <w:rPr>
          <w:sz w:val="10"/>
          <w:szCs w:val="10"/>
        </w:rPr>
        <w:t xml:space="preserve"> </w:t>
      </w:r>
      <w:r w:rsidRPr="00236AA1">
        <w:rPr>
          <w:sz w:val="10"/>
          <w:szCs w:val="10"/>
          <w:lang w:val="en-AU"/>
        </w:rPr>
        <w:t>Gender and Health targets nor available at time of reporting</w:t>
      </w:r>
    </w:p>
  </w:footnote>
  <w:footnote w:id="5">
    <w:p w14:paraId="2736DDF5" w14:textId="7CE9C338" w:rsidR="00C43C94" w:rsidRPr="00236AA1" w:rsidRDefault="00C43C94" w:rsidP="00236AA1">
      <w:pPr>
        <w:pStyle w:val="FootnoteText"/>
        <w:spacing w:line="240" w:lineRule="auto"/>
        <w:rPr>
          <w:sz w:val="10"/>
          <w:szCs w:val="10"/>
          <w:lang w:val="en-AU"/>
        </w:rPr>
      </w:pPr>
      <w:r w:rsidRPr="00236AA1">
        <w:rPr>
          <w:rStyle w:val="FootnoteReference"/>
          <w:sz w:val="10"/>
          <w:szCs w:val="10"/>
        </w:rPr>
        <w:footnoteRef/>
      </w:r>
      <w:r w:rsidRPr="00236AA1">
        <w:rPr>
          <w:sz w:val="10"/>
          <w:szCs w:val="10"/>
        </w:rPr>
        <w:t xml:space="preserve"> </w:t>
      </w:r>
      <w:r w:rsidRPr="00236AA1">
        <w:rPr>
          <w:sz w:val="10"/>
          <w:szCs w:val="10"/>
          <w:lang w:val="en-AU"/>
        </w:rPr>
        <w:t>Targets for EGIG reduced to zero after February 2018 Strategy Testing with Australian High Commission, Port Moresby. Gender targets unavailable at time of reporting</w:t>
      </w:r>
    </w:p>
  </w:footnote>
  <w:footnote w:id="6">
    <w:p w14:paraId="2ACB07F2" w14:textId="15C24A38" w:rsidR="00C43C94" w:rsidRPr="00236AA1" w:rsidRDefault="00C43C94" w:rsidP="00236AA1">
      <w:pPr>
        <w:pStyle w:val="FootnoteText"/>
        <w:spacing w:line="240" w:lineRule="auto"/>
        <w:rPr>
          <w:sz w:val="10"/>
          <w:szCs w:val="10"/>
          <w:lang w:val="en-AU"/>
        </w:rPr>
      </w:pPr>
      <w:r w:rsidRPr="00236AA1">
        <w:rPr>
          <w:rStyle w:val="FootnoteReference"/>
          <w:sz w:val="10"/>
          <w:szCs w:val="10"/>
        </w:rPr>
        <w:footnoteRef/>
      </w:r>
      <w:r w:rsidRPr="00236AA1">
        <w:rPr>
          <w:sz w:val="10"/>
          <w:szCs w:val="10"/>
        </w:rPr>
        <w:t xml:space="preserve"> </w:t>
      </w:r>
      <w:r w:rsidRPr="00236AA1">
        <w:rPr>
          <w:sz w:val="10"/>
          <w:szCs w:val="10"/>
          <w:lang w:val="en-AU"/>
        </w:rPr>
        <w:t xml:space="preserve">Gender targets unavailable at time of reporting. </w:t>
      </w:r>
    </w:p>
  </w:footnote>
  <w:footnote w:id="7">
    <w:p w14:paraId="7ACBDAA4" w14:textId="039D27B7" w:rsidR="00C43C94" w:rsidRPr="00236AA1" w:rsidRDefault="00C43C94" w:rsidP="00236AA1">
      <w:pPr>
        <w:pStyle w:val="FootnoteText"/>
        <w:spacing w:line="240" w:lineRule="auto"/>
        <w:rPr>
          <w:sz w:val="10"/>
          <w:szCs w:val="10"/>
          <w:lang w:val="en-AU"/>
        </w:rPr>
      </w:pPr>
      <w:r w:rsidRPr="00236AA1">
        <w:rPr>
          <w:rStyle w:val="FootnoteReference"/>
          <w:sz w:val="10"/>
          <w:szCs w:val="10"/>
        </w:rPr>
        <w:footnoteRef/>
      </w:r>
      <w:r w:rsidRPr="00236AA1">
        <w:rPr>
          <w:sz w:val="10"/>
          <w:szCs w:val="10"/>
        </w:rPr>
        <w:t xml:space="preserve"> </w:t>
      </w:r>
      <w:r w:rsidRPr="00236AA1">
        <w:rPr>
          <w:sz w:val="10"/>
          <w:szCs w:val="10"/>
          <w:lang w:val="en-AU"/>
        </w:rPr>
        <w:t>Targets for EGIG reduced to zero after February 2018 Strategy Testing with Australian High Commission, Port Moresby.</w:t>
      </w:r>
    </w:p>
  </w:footnote>
  <w:footnote w:id="8">
    <w:p w14:paraId="6BE27BE4" w14:textId="557D88DE" w:rsidR="00C43C94" w:rsidRPr="009D56FD" w:rsidRDefault="00C43C94" w:rsidP="00236AA1">
      <w:pPr>
        <w:pStyle w:val="FootnoteText"/>
        <w:spacing w:line="240" w:lineRule="auto"/>
        <w:rPr>
          <w:lang w:val="en-AU"/>
        </w:rPr>
      </w:pPr>
      <w:r w:rsidRPr="00236AA1">
        <w:rPr>
          <w:rStyle w:val="FootnoteReference"/>
          <w:sz w:val="10"/>
          <w:szCs w:val="10"/>
        </w:rPr>
        <w:footnoteRef/>
      </w:r>
      <w:r w:rsidRPr="00236AA1">
        <w:rPr>
          <w:sz w:val="10"/>
          <w:szCs w:val="10"/>
        </w:rPr>
        <w:t xml:space="preserve"> </w:t>
      </w:r>
      <w:r w:rsidRPr="00236AA1">
        <w:rPr>
          <w:sz w:val="10"/>
          <w:szCs w:val="10"/>
          <w:lang w:val="en-AU"/>
        </w:rPr>
        <w:t>Targets for EGIG reduced to zero after February 2018 Strategy Testing with Australian High Commission, Port Moresby. Gender targets unavailable at time of reporting.</w:t>
      </w:r>
      <w:r>
        <w:rPr>
          <w:lang w:val="en-AU"/>
        </w:rPr>
        <w:t xml:space="preserve"> </w:t>
      </w:r>
    </w:p>
  </w:footnote>
  <w:footnote w:id="9">
    <w:p w14:paraId="563AB10B" w14:textId="77777777" w:rsidR="00C43C94" w:rsidRDefault="00C43C94" w:rsidP="003C2096">
      <w:pPr>
        <w:pStyle w:val="FootnoteText"/>
        <w:rPr>
          <w:lang w:val="en-AU"/>
        </w:rPr>
      </w:pPr>
      <w:r>
        <w:rPr>
          <w:rStyle w:val="FootnoteReference"/>
        </w:rPr>
        <w:footnoteRef/>
      </w:r>
      <w:r>
        <w:t xml:space="preserve"> </w:t>
      </w:r>
      <w:r>
        <w:rPr>
          <w:lang w:val="en-AU"/>
        </w:rPr>
        <w:t>Target is for the Bougainville program only. Excludes target for the Gender program which is unavailable at time of reporting.</w:t>
      </w:r>
    </w:p>
    <w:p w14:paraId="24A6C738" w14:textId="77777777" w:rsidR="00C43C94" w:rsidRPr="00EB5418" w:rsidRDefault="00C43C94" w:rsidP="003C2096">
      <w:pPr>
        <w:pStyle w:val="FootnoteText"/>
        <w:rPr>
          <w:lang w:val="en-AU"/>
        </w:rPr>
      </w:pPr>
      <w:r w:rsidRPr="00FC586D">
        <w:rPr>
          <w:lang w:val="en-AU"/>
        </w:rPr>
        <w:t>*Target unavailable at time of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691D" w14:textId="77777777" w:rsidR="00C43C94" w:rsidRDefault="00C43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EC93" w14:textId="43A69721" w:rsidR="00C43C94" w:rsidRPr="00333501" w:rsidRDefault="00C43C94" w:rsidP="008F56A8">
    <w:pPr>
      <w:pStyle w:val="Header"/>
      <w:jc w:val="left"/>
    </w:pPr>
    <w:r>
      <w:rPr>
        <w:noProof/>
        <w:lang w:val="en-AU" w:eastAsia="en-AU"/>
      </w:rPr>
      <w:drawing>
        <wp:anchor distT="0" distB="0" distL="114300" distR="114300" simplePos="0" relativeHeight="251655680" behindDoc="1" locked="1" layoutInCell="1" allowOverlap="1" wp14:anchorId="7295A935" wp14:editId="7541BF42">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1D4E" w14:textId="77777777" w:rsidR="00C43C94" w:rsidRDefault="00C43C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6BF6" w14:textId="77777777" w:rsidR="00C43C94" w:rsidRDefault="00C43C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7EE8" w14:textId="1C683B3E" w:rsidR="00C43C94" w:rsidRPr="00333501" w:rsidRDefault="00C43C94" w:rsidP="008F56A8">
    <w:pPr>
      <w:pStyle w:val="Header"/>
      <w:jc w:val="left"/>
    </w:pPr>
    <w:r>
      <w:rPr>
        <w:noProof/>
        <w:lang w:val="en-AU" w:eastAsia="en-AU"/>
      </w:rPr>
      <w:drawing>
        <wp:anchor distT="0" distB="0" distL="114300" distR="114300" simplePos="0" relativeHeight="251657728" behindDoc="1" locked="1" layoutInCell="1" allowOverlap="1" wp14:anchorId="7295A939" wp14:editId="7295A93A">
          <wp:simplePos x="0" y="0"/>
          <wp:positionH relativeFrom="page">
            <wp:posOffset>160020</wp:posOffset>
          </wp:positionH>
          <wp:positionV relativeFrom="page">
            <wp:posOffset>160020</wp:posOffset>
          </wp:positionV>
          <wp:extent cx="10662285" cy="7545705"/>
          <wp:effectExtent l="0" t="0" r="5715" b="0"/>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B307" w14:textId="77777777" w:rsidR="00C43C94" w:rsidRPr="003D352D" w:rsidRDefault="00C43C94" w:rsidP="003D352D">
    <w:pPr>
      <w:pStyle w:val="Header"/>
      <w:jc w:val="left"/>
    </w:pPr>
    <w:r>
      <w:rPr>
        <w:noProof/>
        <w:lang w:val="en-AU" w:eastAsia="en-AU"/>
      </w:rPr>
      <w:drawing>
        <wp:anchor distT="0" distB="0" distL="114300" distR="114300" simplePos="0" relativeHeight="251656704" behindDoc="1" locked="1" layoutInCell="1" allowOverlap="1" wp14:anchorId="7295A93B" wp14:editId="7295A93C">
          <wp:simplePos x="0" y="0"/>
          <wp:positionH relativeFrom="page">
            <wp:posOffset>7620</wp:posOffset>
          </wp:positionH>
          <wp:positionV relativeFrom="page">
            <wp:posOffset>7620</wp:posOffset>
          </wp:positionV>
          <wp:extent cx="10662285" cy="7545705"/>
          <wp:effectExtent l="0" t="0" r="5715" b="0"/>
          <wp:wrapNone/>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95C0" w14:textId="77777777" w:rsidR="00C43C94" w:rsidRPr="00333501" w:rsidRDefault="00C43C94" w:rsidP="008F56A8">
    <w:pPr>
      <w:pStyle w:val="Header"/>
      <w:jc w:val="left"/>
    </w:pPr>
    <w:r>
      <w:rPr>
        <w:noProof/>
        <w:lang w:val="en-AU" w:eastAsia="en-AU"/>
      </w:rPr>
      <w:drawing>
        <wp:anchor distT="0" distB="0" distL="114300" distR="114300" simplePos="0" relativeHeight="251658752" behindDoc="1" locked="1" layoutInCell="1" allowOverlap="1" wp14:anchorId="7295A93F" wp14:editId="7295A940">
          <wp:simplePos x="0" y="0"/>
          <wp:positionH relativeFrom="page">
            <wp:align>right</wp:align>
          </wp:positionH>
          <wp:positionV relativeFrom="page">
            <wp:align>top</wp:align>
          </wp:positionV>
          <wp:extent cx="7559040" cy="11025505"/>
          <wp:effectExtent l="0" t="0" r="3810" b="4445"/>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8C7687"/>
    <w:multiLevelType w:val="hybridMultilevel"/>
    <w:tmpl w:val="50FE807E"/>
    <w:lvl w:ilvl="0" w:tplc="11600D4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C537F1"/>
    <w:multiLevelType w:val="hybridMultilevel"/>
    <w:tmpl w:val="BD304B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52E39"/>
    <w:multiLevelType w:val="hybridMultilevel"/>
    <w:tmpl w:val="181C4D56"/>
    <w:lvl w:ilvl="0" w:tplc="D38882D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F05D5"/>
    <w:multiLevelType w:val="hybridMultilevel"/>
    <w:tmpl w:val="13F4CF3C"/>
    <w:lvl w:ilvl="0" w:tplc="23864142">
      <w:start w:val="42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E6A56A4"/>
    <w:multiLevelType w:val="hybridMultilevel"/>
    <w:tmpl w:val="4D3EA2E4"/>
    <w:lvl w:ilvl="0" w:tplc="9E721A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A6F50"/>
    <w:multiLevelType w:val="hybridMultilevel"/>
    <w:tmpl w:val="E24E7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B8A3F4B"/>
    <w:multiLevelType w:val="hybridMultilevel"/>
    <w:tmpl w:val="C24A0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7"/>
  </w:num>
  <w:num w:numId="23">
    <w:abstractNumId w:val="17"/>
  </w:num>
  <w:num w:numId="24">
    <w:abstractNumId w:val="24"/>
  </w:num>
  <w:num w:numId="25">
    <w:abstractNumId w:val="24"/>
  </w:num>
  <w:num w:numId="26">
    <w:abstractNumId w:val="24"/>
  </w:num>
  <w:num w:numId="27">
    <w:abstractNumId w:val="23"/>
  </w:num>
  <w:num w:numId="28">
    <w:abstractNumId w:val="10"/>
  </w:num>
  <w:num w:numId="29">
    <w:abstractNumId w:val="10"/>
  </w:num>
  <w:num w:numId="30">
    <w:abstractNumId w:val="10"/>
  </w:num>
  <w:num w:numId="31">
    <w:abstractNumId w:val="18"/>
  </w:num>
  <w:num w:numId="32">
    <w:abstractNumId w:val="21"/>
  </w:num>
  <w:num w:numId="33">
    <w:abstractNumId w:val="28"/>
  </w:num>
  <w:num w:numId="34">
    <w:abstractNumId w:val="19"/>
  </w:num>
  <w:num w:numId="35">
    <w:abstractNumId w:val="12"/>
  </w:num>
  <w:num w:numId="36">
    <w:abstractNumId w:val="16"/>
  </w:num>
  <w:num w:numId="37">
    <w:abstractNumId w:val="14"/>
  </w:num>
  <w:num w:numId="38">
    <w:abstractNumId w:val="20"/>
  </w:num>
  <w:num w:numId="39">
    <w:abstractNumId w:val="26"/>
  </w:num>
  <w:num w:numId="40">
    <w:abstractNumId w:val="15"/>
  </w:num>
  <w:num w:numId="41">
    <w:abstractNumId w:val="22"/>
  </w:num>
  <w:num w:numId="42">
    <w:abstractNumId w:val="29"/>
  </w:num>
  <w:num w:numId="43">
    <w:abstractNumId w:val="1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A5B"/>
    <w:rsid w:val="00001DA8"/>
    <w:rsid w:val="0000279C"/>
    <w:rsid w:val="00014939"/>
    <w:rsid w:val="00015316"/>
    <w:rsid w:val="00016C2A"/>
    <w:rsid w:val="0002080A"/>
    <w:rsid w:val="00023B0C"/>
    <w:rsid w:val="00027025"/>
    <w:rsid w:val="000273CA"/>
    <w:rsid w:val="0002782F"/>
    <w:rsid w:val="00027F29"/>
    <w:rsid w:val="00031512"/>
    <w:rsid w:val="00033AB7"/>
    <w:rsid w:val="00037833"/>
    <w:rsid w:val="00043C2F"/>
    <w:rsid w:val="00047FFB"/>
    <w:rsid w:val="00052D54"/>
    <w:rsid w:val="00054E4D"/>
    <w:rsid w:val="00055688"/>
    <w:rsid w:val="00060073"/>
    <w:rsid w:val="00060268"/>
    <w:rsid w:val="00060BFF"/>
    <w:rsid w:val="00060F24"/>
    <w:rsid w:val="00063AEA"/>
    <w:rsid w:val="00063B6F"/>
    <w:rsid w:val="00066440"/>
    <w:rsid w:val="00066AB2"/>
    <w:rsid w:val="00071BD1"/>
    <w:rsid w:val="00076ED3"/>
    <w:rsid w:val="00077842"/>
    <w:rsid w:val="00077F81"/>
    <w:rsid w:val="00084483"/>
    <w:rsid w:val="000844BE"/>
    <w:rsid w:val="00084537"/>
    <w:rsid w:val="00084C74"/>
    <w:rsid w:val="00091476"/>
    <w:rsid w:val="000915E2"/>
    <w:rsid w:val="00093C7F"/>
    <w:rsid w:val="00094875"/>
    <w:rsid w:val="00095C39"/>
    <w:rsid w:val="000A53A5"/>
    <w:rsid w:val="000A5C3D"/>
    <w:rsid w:val="000B6323"/>
    <w:rsid w:val="000B6C89"/>
    <w:rsid w:val="000B7255"/>
    <w:rsid w:val="000C011D"/>
    <w:rsid w:val="000C20DD"/>
    <w:rsid w:val="000C218A"/>
    <w:rsid w:val="000C2531"/>
    <w:rsid w:val="000C610E"/>
    <w:rsid w:val="000C74FD"/>
    <w:rsid w:val="000D4B8F"/>
    <w:rsid w:val="000D66D6"/>
    <w:rsid w:val="000D7B15"/>
    <w:rsid w:val="000E314A"/>
    <w:rsid w:val="000E5BF4"/>
    <w:rsid w:val="000E73BB"/>
    <w:rsid w:val="00102874"/>
    <w:rsid w:val="0010519E"/>
    <w:rsid w:val="001078F2"/>
    <w:rsid w:val="001103E6"/>
    <w:rsid w:val="0011100C"/>
    <w:rsid w:val="00116758"/>
    <w:rsid w:val="00122EDB"/>
    <w:rsid w:val="001230FA"/>
    <w:rsid w:val="001275CF"/>
    <w:rsid w:val="00127655"/>
    <w:rsid w:val="00132C6B"/>
    <w:rsid w:val="00134593"/>
    <w:rsid w:val="00146D37"/>
    <w:rsid w:val="00150DF7"/>
    <w:rsid w:val="00151FC2"/>
    <w:rsid w:val="001541EA"/>
    <w:rsid w:val="00154AA3"/>
    <w:rsid w:val="00154F8C"/>
    <w:rsid w:val="001606FE"/>
    <w:rsid w:val="00161600"/>
    <w:rsid w:val="00162218"/>
    <w:rsid w:val="0016408F"/>
    <w:rsid w:val="00166962"/>
    <w:rsid w:val="001704B2"/>
    <w:rsid w:val="00174B8C"/>
    <w:rsid w:val="00175268"/>
    <w:rsid w:val="0017553C"/>
    <w:rsid w:val="0017616E"/>
    <w:rsid w:val="00180EAD"/>
    <w:rsid w:val="00180FA4"/>
    <w:rsid w:val="00184818"/>
    <w:rsid w:val="00186ABE"/>
    <w:rsid w:val="00186EA3"/>
    <w:rsid w:val="00190AC9"/>
    <w:rsid w:val="0019461A"/>
    <w:rsid w:val="00196291"/>
    <w:rsid w:val="00196347"/>
    <w:rsid w:val="001A1373"/>
    <w:rsid w:val="001A4794"/>
    <w:rsid w:val="001A5C3E"/>
    <w:rsid w:val="001B0088"/>
    <w:rsid w:val="001B0E07"/>
    <w:rsid w:val="001B190B"/>
    <w:rsid w:val="001B3C09"/>
    <w:rsid w:val="001B5019"/>
    <w:rsid w:val="001C0090"/>
    <w:rsid w:val="001C26B3"/>
    <w:rsid w:val="001C5541"/>
    <w:rsid w:val="001C5A8C"/>
    <w:rsid w:val="001D2804"/>
    <w:rsid w:val="001D2D2B"/>
    <w:rsid w:val="001D35D1"/>
    <w:rsid w:val="001D508E"/>
    <w:rsid w:val="001D61EC"/>
    <w:rsid w:val="001D629B"/>
    <w:rsid w:val="001D663E"/>
    <w:rsid w:val="001D7F62"/>
    <w:rsid w:val="001E1DC0"/>
    <w:rsid w:val="001F12AB"/>
    <w:rsid w:val="001F5F86"/>
    <w:rsid w:val="001F7282"/>
    <w:rsid w:val="00200616"/>
    <w:rsid w:val="00200CE9"/>
    <w:rsid w:val="00201761"/>
    <w:rsid w:val="0020363F"/>
    <w:rsid w:val="00205040"/>
    <w:rsid w:val="0020689C"/>
    <w:rsid w:val="0021107F"/>
    <w:rsid w:val="00215D1A"/>
    <w:rsid w:val="00216481"/>
    <w:rsid w:val="0021749F"/>
    <w:rsid w:val="00223421"/>
    <w:rsid w:val="0022728A"/>
    <w:rsid w:val="002309D8"/>
    <w:rsid w:val="00232D27"/>
    <w:rsid w:val="00236A53"/>
    <w:rsid w:val="00236AA1"/>
    <w:rsid w:val="00237779"/>
    <w:rsid w:val="00240F21"/>
    <w:rsid w:val="00241704"/>
    <w:rsid w:val="00241F74"/>
    <w:rsid w:val="00243186"/>
    <w:rsid w:val="002436E2"/>
    <w:rsid w:val="002438C5"/>
    <w:rsid w:val="00247823"/>
    <w:rsid w:val="00247955"/>
    <w:rsid w:val="00251599"/>
    <w:rsid w:val="002519B7"/>
    <w:rsid w:val="00257BB4"/>
    <w:rsid w:val="002606F0"/>
    <w:rsid w:val="002656C6"/>
    <w:rsid w:val="00275DB7"/>
    <w:rsid w:val="0027602A"/>
    <w:rsid w:val="00281F0C"/>
    <w:rsid w:val="00284957"/>
    <w:rsid w:val="0028602A"/>
    <w:rsid w:val="00287256"/>
    <w:rsid w:val="002912C1"/>
    <w:rsid w:val="00293686"/>
    <w:rsid w:val="0029377D"/>
    <w:rsid w:val="002A235F"/>
    <w:rsid w:val="002A51CA"/>
    <w:rsid w:val="002A568D"/>
    <w:rsid w:val="002A6AC8"/>
    <w:rsid w:val="002B0982"/>
    <w:rsid w:val="002B304D"/>
    <w:rsid w:val="002B3D5B"/>
    <w:rsid w:val="002B3E95"/>
    <w:rsid w:val="002B5288"/>
    <w:rsid w:val="002B5E10"/>
    <w:rsid w:val="002B75FB"/>
    <w:rsid w:val="002B77A8"/>
    <w:rsid w:val="002C086D"/>
    <w:rsid w:val="002C6E5A"/>
    <w:rsid w:val="002D2B16"/>
    <w:rsid w:val="002D37BC"/>
    <w:rsid w:val="002D5126"/>
    <w:rsid w:val="002E0FAF"/>
    <w:rsid w:val="002E7A54"/>
    <w:rsid w:val="002F1033"/>
    <w:rsid w:val="002F1E8F"/>
    <w:rsid w:val="002F43F6"/>
    <w:rsid w:val="003002C0"/>
    <w:rsid w:val="00301144"/>
    <w:rsid w:val="003018EF"/>
    <w:rsid w:val="003027F0"/>
    <w:rsid w:val="003035CA"/>
    <w:rsid w:val="00305D49"/>
    <w:rsid w:val="00307577"/>
    <w:rsid w:val="00313871"/>
    <w:rsid w:val="003143A2"/>
    <w:rsid w:val="003148B7"/>
    <w:rsid w:val="003158C3"/>
    <w:rsid w:val="00315A1B"/>
    <w:rsid w:val="00320251"/>
    <w:rsid w:val="00324651"/>
    <w:rsid w:val="00326FE0"/>
    <w:rsid w:val="003274CD"/>
    <w:rsid w:val="003319B2"/>
    <w:rsid w:val="00332EC9"/>
    <w:rsid w:val="00333501"/>
    <w:rsid w:val="003340B4"/>
    <w:rsid w:val="00337DE8"/>
    <w:rsid w:val="00340AAA"/>
    <w:rsid w:val="00341116"/>
    <w:rsid w:val="003457C4"/>
    <w:rsid w:val="0035119D"/>
    <w:rsid w:val="00355959"/>
    <w:rsid w:val="00360D33"/>
    <w:rsid w:val="00360FB8"/>
    <w:rsid w:val="00361D7F"/>
    <w:rsid w:val="003704ED"/>
    <w:rsid w:val="0037266D"/>
    <w:rsid w:val="003769F9"/>
    <w:rsid w:val="0038467B"/>
    <w:rsid w:val="00385DFD"/>
    <w:rsid w:val="00385F0E"/>
    <w:rsid w:val="003A44F8"/>
    <w:rsid w:val="003A6250"/>
    <w:rsid w:val="003B4B0C"/>
    <w:rsid w:val="003B4F12"/>
    <w:rsid w:val="003B5E55"/>
    <w:rsid w:val="003C06AF"/>
    <w:rsid w:val="003C1046"/>
    <w:rsid w:val="003C2096"/>
    <w:rsid w:val="003C227B"/>
    <w:rsid w:val="003C3BC2"/>
    <w:rsid w:val="003C5A6F"/>
    <w:rsid w:val="003C65F7"/>
    <w:rsid w:val="003C6F62"/>
    <w:rsid w:val="003D352D"/>
    <w:rsid w:val="003D4B6C"/>
    <w:rsid w:val="003D55DD"/>
    <w:rsid w:val="003E2BE7"/>
    <w:rsid w:val="003E44C5"/>
    <w:rsid w:val="003F2278"/>
    <w:rsid w:val="00400B0F"/>
    <w:rsid w:val="004021F2"/>
    <w:rsid w:val="004028A8"/>
    <w:rsid w:val="00402ACC"/>
    <w:rsid w:val="00407BF0"/>
    <w:rsid w:val="00407EBA"/>
    <w:rsid w:val="004120EC"/>
    <w:rsid w:val="00412BA2"/>
    <w:rsid w:val="004140FD"/>
    <w:rsid w:val="00422195"/>
    <w:rsid w:val="00423F31"/>
    <w:rsid w:val="00427137"/>
    <w:rsid w:val="00430EF0"/>
    <w:rsid w:val="00431899"/>
    <w:rsid w:val="00431E2C"/>
    <w:rsid w:val="00434BD7"/>
    <w:rsid w:val="0043564E"/>
    <w:rsid w:val="00442F27"/>
    <w:rsid w:val="004440D2"/>
    <w:rsid w:val="00447D5F"/>
    <w:rsid w:val="004507DE"/>
    <w:rsid w:val="004579C1"/>
    <w:rsid w:val="00460F1E"/>
    <w:rsid w:val="00467CF8"/>
    <w:rsid w:val="004829BD"/>
    <w:rsid w:val="0048479C"/>
    <w:rsid w:val="00486804"/>
    <w:rsid w:val="00490E7F"/>
    <w:rsid w:val="004977A1"/>
    <w:rsid w:val="004A036B"/>
    <w:rsid w:val="004A3FB3"/>
    <w:rsid w:val="004A47A7"/>
    <w:rsid w:val="004A6301"/>
    <w:rsid w:val="004A6867"/>
    <w:rsid w:val="004A75B1"/>
    <w:rsid w:val="004B25E3"/>
    <w:rsid w:val="004B3775"/>
    <w:rsid w:val="004C0F09"/>
    <w:rsid w:val="004C185E"/>
    <w:rsid w:val="004C3865"/>
    <w:rsid w:val="004C75D1"/>
    <w:rsid w:val="004D0BA0"/>
    <w:rsid w:val="004D43F3"/>
    <w:rsid w:val="004D47B1"/>
    <w:rsid w:val="004D4EAE"/>
    <w:rsid w:val="004E0264"/>
    <w:rsid w:val="004E058F"/>
    <w:rsid w:val="004E0625"/>
    <w:rsid w:val="004E3B87"/>
    <w:rsid w:val="004E4C52"/>
    <w:rsid w:val="004F437F"/>
    <w:rsid w:val="004F613E"/>
    <w:rsid w:val="004F7208"/>
    <w:rsid w:val="005003FC"/>
    <w:rsid w:val="005033C1"/>
    <w:rsid w:val="00510921"/>
    <w:rsid w:val="00510AD3"/>
    <w:rsid w:val="00510FAB"/>
    <w:rsid w:val="005125F5"/>
    <w:rsid w:val="00513348"/>
    <w:rsid w:val="005136F4"/>
    <w:rsid w:val="005143F0"/>
    <w:rsid w:val="00517504"/>
    <w:rsid w:val="0052384D"/>
    <w:rsid w:val="00527DDE"/>
    <w:rsid w:val="005325A1"/>
    <w:rsid w:val="005331D6"/>
    <w:rsid w:val="00533B5D"/>
    <w:rsid w:val="00537F20"/>
    <w:rsid w:val="00542C58"/>
    <w:rsid w:val="005511BF"/>
    <w:rsid w:val="00551359"/>
    <w:rsid w:val="00551722"/>
    <w:rsid w:val="00552E27"/>
    <w:rsid w:val="00552F19"/>
    <w:rsid w:val="00562D3A"/>
    <w:rsid w:val="005655F4"/>
    <w:rsid w:val="00575654"/>
    <w:rsid w:val="005769E7"/>
    <w:rsid w:val="00580EF6"/>
    <w:rsid w:val="00581227"/>
    <w:rsid w:val="0059146A"/>
    <w:rsid w:val="0059150F"/>
    <w:rsid w:val="00592439"/>
    <w:rsid w:val="0059663A"/>
    <w:rsid w:val="005A0904"/>
    <w:rsid w:val="005A1071"/>
    <w:rsid w:val="005A405F"/>
    <w:rsid w:val="005B5769"/>
    <w:rsid w:val="005B666E"/>
    <w:rsid w:val="005B6885"/>
    <w:rsid w:val="005B73DE"/>
    <w:rsid w:val="005C1ADE"/>
    <w:rsid w:val="005D289F"/>
    <w:rsid w:val="005D3655"/>
    <w:rsid w:val="005D792F"/>
    <w:rsid w:val="005E0704"/>
    <w:rsid w:val="005E0A54"/>
    <w:rsid w:val="005E0B6A"/>
    <w:rsid w:val="005E37FA"/>
    <w:rsid w:val="005E606B"/>
    <w:rsid w:val="005E6078"/>
    <w:rsid w:val="005F1C25"/>
    <w:rsid w:val="005F2B00"/>
    <w:rsid w:val="005F7338"/>
    <w:rsid w:val="00600479"/>
    <w:rsid w:val="006126DB"/>
    <w:rsid w:val="00614FE9"/>
    <w:rsid w:val="00615669"/>
    <w:rsid w:val="006218F8"/>
    <w:rsid w:val="00622D5C"/>
    <w:rsid w:val="00623283"/>
    <w:rsid w:val="006236A8"/>
    <w:rsid w:val="00623BA1"/>
    <w:rsid w:val="00626144"/>
    <w:rsid w:val="00630E80"/>
    <w:rsid w:val="006322B5"/>
    <w:rsid w:val="006346BC"/>
    <w:rsid w:val="006352EA"/>
    <w:rsid w:val="0063592C"/>
    <w:rsid w:val="00636690"/>
    <w:rsid w:val="00651C3F"/>
    <w:rsid w:val="00655D7F"/>
    <w:rsid w:val="006574F7"/>
    <w:rsid w:val="00657AEE"/>
    <w:rsid w:val="00657DCB"/>
    <w:rsid w:val="00661293"/>
    <w:rsid w:val="0066652A"/>
    <w:rsid w:val="006665FB"/>
    <w:rsid w:val="00671533"/>
    <w:rsid w:val="0067463A"/>
    <w:rsid w:val="006766C2"/>
    <w:rsid w:val="00680522"/>
    <w:rsid w:val="00681F08"/>
    <w:rsid w:val="00682167"/>
    <w:rsid w:val="0068779A"/>
    <w:rsid w:val="00687DB5"/>
    <w:rsid w:val="0069161E"/>
    <w:rsid w:val="006926A1"/>
    <w:rsid w:val="0069301C"/>
    <w:rsid w:val="00695404"/>
    <w:rsid w:val="00696EBA"/>
    <w:rsid w:val="00696EDE"/>
    <w:rsid w:val="00697BFA"/>
    <w:rsid w:val="006A114C"/>
    <w:rsid w:val="006A1638"/>
    <w:rsid w:val="006A5F02"/>
    <w:rsid w:val="006B17F3"/>
    <w:rsid w:val="006B4C71"/>
    <w:rsid w:val="006B5636"/>
    <w:rsid w:val="006B72DA"/>
    <w:rsid w:val="006C0607"/>
    <w:rsid w:val="006C42AF"/>
    <w:rsid w:val="006C461A"/>
    <w:rsid w:val="006C4F09"/>
    <w:rsid w:val="006D270B"/>
    <w:rsid w:val="006D6F1E"/>
    <w:rsid w:val="006E1ABE"/>
    <w:rsid w:val="006E6FA2"/>
    <w:rsid w:val="006F271F"/>
    <w:rsid w:val="006F27B1"/>
    <w:rsid w:val="006F3F5D"/>
    <w:rsid w:val="006F41B6"/>
    <w:rsid w:val="00700B19"/>
    <w:rsid w:val="00701258"/>
    <w:rsid w:val="00704736"/>
    <w:rsid w:val="007052AB"/>
    <w:rsid w:val="0070687B"/>
    <w:rsid w:val="00707060"/>
    <w:rsid w:val="00711D8E"/>
    <w:rsid w:val="00711DBD"/>
    <w:rsid w:val="00712672"/>
    <w:rsid w:val="00714C56"/>
    <w:rsid w:val="00717556"/>
    <w:rsid w:val="0072170F"/>
    <w:rsid w:val="00724535"/>
    <w:rsid w:val="00725180"/>
    <w:rsid w:val="007258E3"/>
    <w:rsid w:val="0073124B"/>
    <w:rsid w:val="00731B43"/>
    <w:rsid w:val="00733A57"/>
    <w:rsid w:val="00734E3F"/>
    <w:rsid w:val="00736985"/>
    <w:rsid w:val="0073786E"/>
    <w:rsid w:val="00745159"/>
    <w:rsid w:val="00745DF5"/>
    <w:rsid w:val="00752BC1"/>
    <w:rsid w:val="007601E2"/>
    <w:rsid w:val="00760B62"/>
    <w:rsid w:val="00760C59"/>
    <w:rsid w:val="0076250F"/>
    <w:rsid w:val="00765D41"/>
    <w:rsid w:val="00767157"/>
    <w:rsid w:val="00771B53"/>
    <w:rsid w:val="00773A2A"/>
    <w:rsid w:val="0077418D"/>
    <w:rsid w:val="00776EEB"/>
    <w:rsid w:val="00781270"/>
    <w:rsid w:val="0078334D"/>
    <w:rsid w:val="00784031"/>
    <w:rsid w:val="00787F5B"/>
    <w:rsid w:val="0079114A"/>
    <w:rsid w:val="00794B72"/>
    <w:rsid w:val="00795FF1"/>
    <w:rsid w:val="007B3506"/>
    <w:rsid w:val="007B4865"/>
    <w:rsid w:val="007B6200"/>
    <w:rsid w:val="007B79A7"/>
    <w:rsid w:val="007C2540"/>
    <w:rsid w:val="007C28E8"/>
    <w:rsid w:val="007C7418"/>
    <w:rsid w:val="007D0299"/>
    <w:rsid w:val="007D0EA8"/>
    <w:rsid w:val="007D2E25"/>
    <w:rsid w:val="007D6C1A"/>
    <w:rsid w:val="007D7D78"/>
    <w:rsid w:val="007E0821"/>
    <w:rsid w:val="007E14DC"/>
    <w:rsid w:val="007E42A6"/>
    <w:rsid w:val="007E69FF"/>
    <w:rsid w:val="007F3395"/>
    <w:rsid w:val="007F51C6"/>
    <w:rsid w:val="007F6C1B"/>
    <w:rsid w:val="00800407"/>
    <w:rsid w:val="00800CCD"/>
    <w:rsid w:val="00800DF7"/>
    <w:rsid w:val="00801B9F"/>
    <w:rsid w:val="008057FD"/>
    <w:rsid w:val="00805BC2"/>
    <w:rsid w:val="00815B5E"/>
    <w:rsid w:val="00834CC3"/>
    <w:rsid w:val="00835E85"/>
    <w:rsid w:val="008361EA"/>
    <w:rsid w:val="00840AB6"/>
    <w:rsid w:val="008411C6"/>
    <w:rsid w:val="008425BD"/>
    <w:rsid w:val="00842B97"/>
    <w:rsid w:val="008467BA"/>
    <w:rsid w:val="008475F0"/>
    <w:rsid w:val="008477AB"/>
    <w:rsid w:val="008518C3"/>
    <w:rsid w:val="0085322E"/>
    <w:rsid w:val="00853D6F"/>
    <w:rsid w:val="00856C87"/>
    <w:rsid w:val="00861560"/>
    <w:rsid w:val="00862802"/>
    <w:rsid w:val="00864210"/>
    <w:rsid w:val="00864742"/>
    <w:rsid w:val="00866D4F"/>
    <w:rsid w:val="008737D5"/>
    <w:rsid w:val="00874563"/>
    <w:rsid w:val="00876CC8"/>
    <w:rsid w:val="008775C8"/>
    <w:rsid w:val="00880004"/>
    <w:rsid w:val="008821C2"/>
    <w:rsid w:val="00883681"/>
    <w:rsid w:val="0088399B"/>
    <w:rsid w:val="00883B06"/>
    <w:rsid w:val="00883EF5"/>
    <w:rsid w:val="00884C8C"/>
    <w:rsid w:val="008866D0"/>
    <w:rsid w:val="00891631"/>
    <w:rsid w:val="00894B0B"/>
    <w:rsid w:val="008A5AFE"/>
    <w:rsid w:val="008B2645"/>
    <w:rsid w:val="008B5747"/>
    <w:rsid w:val="008B68D7"/>
    <w:rsid w:val="008B7676"/>
    <w:rsid w:val="008B7D42"/>
    <w:rsid w:val="008C057E"/>
    <w:rsid w:val="008C2F58"/>
    <w:rsid w:val="008C5A0E"/>
    <w:rsid w:val="008C675F"/>
    <w:rsid w:val="008C7B3B"/>
    <w:rsid w:val="008D17AF"/>
    <w:rsid w:val="008D61B6"/>
    <w:rsid w:val="008E306F"/>
    <w:rsid w:val="008E3C87"/>
    <w:rsid w:val="008E635B"/>
    <w:rsid w:val="008F0C31"/>
    <w:rsid w:val="008F23DC"/>
    <w:rsid w:val="008F56A8"/>
    <w:rsid w:val="00901B73"/>
    <w:rsid w:val="009021DE"/>
    <w:rsid w:val="00903D75"/>
    <w:rsid w:val="009104DF"/>
    <w:rsid w:val="0091707C"/>
    <w:rsid w:val="00922763"/>
    <w:rsid w:val="00923CB5"/>
    <w:rsid w:val="0092436D"/>
    <w:rsid w:val="009313B5"/>
    <w:rsid w:val="0093286F"/>
    <w:rsid w:val="009328E9"/>
    <w:rsid w:val="00940417"/>
    <w:rsid w:val="00951ED2"/>
    <w:rsid w:val="00953B51"/>
    <w:rsid w:val="009569AB"/>
    <w:rsid w:val="0096475A"/>
    <w:rsid w:val="00964D2F"/>
    <w:rsid w:val="00970924"/>
    <w:rsid w:val="00973960"/>
    <w:rsid w:val="00977DF3"/>
    <w:rsid w:val="009818B9"/>
    <w:rsid w:val="00983CDB"/>
    <w:rsid w:val="009860DE"/>
    <w:rsid w:val="00986DC8"/>
    <w:rsid w:val="009903F3"/>
    <w:rsid w:val="00992C76"/>
    <w:rsid w:val="00995136"/>
    <w:rsid w:val="009A2684"/>
    <w:rsid w:val="009A3FE0"/>
    <w:rsid w:val="009A7C15"/>
    <w:rsid w:val="009B4D3B"/>
    <w:rsid w:val="009C1EB0"/>
    <w:rsid w:val="009C4AB3"/>
    <w:rsid w:val="009C746E"/>
    <w:rsid w:val="009D56FD"/>
    <w:rsid w:val="009D655A"/>
    <w:rsid w:val="009D7407"/>
    <w:rsid w:val="009E0866"/>
    <w:rsid w:val="009E3DDE"/>
    <w:rsid w:val="009E3E59"/>
    <w:rsid w:val="009E7BB8"/>
    <w:rsid w:val="009F0FD2"/>
    <w:rsid w:val="009F190D"/>
    <w:rsid w:val="009F2769"/>
    <w:rsid w:val="009F5488"/>
    <w:rsid w:val="009F6423"/>
    <w:rsid w:val="00A00F12"/>
    <w:rsid w:val="00A01827"/>
    <w:rsid w:val="00A117FA"/>
    <w:rsid w:val="00A16408"/>
    <w:rsid w:val="00A16580"/>
    <w:rsid w:val="00A17FE9"/>
    <w:rsid w:val="00A249DB"/>
    <w:rsid w:val="00A24A62"/>
    <w:rsid w:val="00A25113"/>
    <w:rsid w:val="00A267D7"/>
    <w:rsid w:val="00A26D9C"/>
    <w:rsid w:val="00A31182"/>
    <w:rsid w:val="00A31187"/>
    <w:rsid w:val="00A31C9F"/>
    <w:rsid w:val="00A33BE1"/>
    <w:rsid w:val="00A34CBA"/>
    <w:rsid w:val="00A379DE"/>
    <w:rsid w:val="00A4144F"/>
    <w:rsid w:val="00A41B8E"/>
    <w:rsid w:val="00A450A6"/>
    <w:rsid w:val="00A50757"/>
    <w:rsid w:val="00A54034"/>
    <w:rsid w:val="00A56F14"/>
    <w:rsid w:val="00A57774"/>
    <w:rsid w:val="00A607F4"/>
    <w:rsid w:val="00A63FB4"/>
    <w:rsid w:val="00A80F95"/>
    <w:rsid w:val="00A8197B"/>
    <w:rsid w:val="00A8436B"/>
    <w:rsid w:val="00A90F28"/>
    <w:rsid w:val="00AA4C10"/>
    <w:rsid w:val="00AA7004"/>
    <w:rsid w:val="00AA7BE3"/>
    <w:rsid w:val="00AB3DD9"/>
    <w:rsid w:val="00AB5E7F"/>
    <w:rsid w:val="00AC027A"/>
    <w:rsid w:val="00AC0CDD"/>
    <w:rsid w:val="00AC164A"/>
    <w:rsid w:val="00AC302F"/>
    <w:rsid w:val="00AC4F19"/>
    <w:rsid w:val="00AC549C"/>
    <w:rsid w:val="00AC5FFD"/>
    <w:rsid w:val="00AD0314"/>
    <w:rsid w:val="00AD4C44"/>
    <w:rsid w:val="00AD698B"/>
    <w:rsid w:val="00AE4D1D"/>
    <w:rsid w:val="00AE74B3"/>
    <w:rsid w:val="00AF1B01"/>
    <w:rsid w:val="00AF1B85"/>
    <w:rsid w:val="00AF2050"/>
    <w:rsid w:val="00AF4B30"/>
    <w:rsid w:val="00B03CA8"/>
    <w:rsid w:val="00B0489C"/>
    <w:rsid w:val="00B050D4"/>
    <w:rsid w:val="00B05DF4"/>
    <w:rsid w:val="00B169F2"/>
    <w:rsid w:val="00B17F39"/>
    <w:rsid w:val="00B21A4D"/>
    <w:rsid w:val="00B228D3"/>
    <w:rsid w:val="00B331DC"/>
    <w:rsid w:val="00B35E84"/>
    <w:rsid w:val="00B37C19"/>
    <w:rsid w:val="00B40313"/>
    <w:rsid w:val="00B41BD8"/>
    <w:rsid w:val="00B42046"/>
    <w:rsid w:val="00B423F5"/>
    <w:rsid w:val="00B438D3"/>
    <w:rsid w:val="00B4681D"/>
    <w:rsid w:val="00B473E3"/>
    <w:rsid w:val="00B47A9D"/>
    <w:rsid w:val="00B5136D"/>
    <w:rsid w:val="00B55E19"/>
    <w:rsid w:val="00B56B68"/>
    <w:rsid w:val="00B56FE6"/>
    <w:rsid w:val="00B608D9"/>
    <w:rsid w:val="00B62057"/>
    <w:rsid w:val="00B623A2"/>
    <w:rsid w:val="00B62486"/>
    <w:rsid w:val="00B679F4"/>
    <w:rsid w:val="00B75F1B"/>
    <w:rsid w:val="00B81EFA"/>
    <w:rsid w:val="00B830D1"/>
    <w:rsid w:val="00B87257"/>
    <w:rsid w:val="00B96971"/>
    <w:rsid w:val="00BA3A9A"/>
    <w:rsid w:val="00BA4B6D"/>
    <w:rsid w:val="00BB254C"/>
    <w:rsid w:val="00BB26C5"/>
    <w:rsid w:val="00BC337C"/>
    <w:rsid w:val="00BC36D3"/>
    <w:rsid w:val="00BC414E"/>
    <w:rsid w:val="00BD38E6"/>
    <w:rsid w:val="00BE08C3"/>
    <w:rsid w:val="00BE1CE7"/>
    <w:rsid w:val="00BE6C6D"/>
    <w:rsid w:val="00BE737D"/>
    <w:rsid w:val="00BF106A"/>
    <w:rsid w:val="00BF1081"/>
    <w:rsid w:val="00BF4DE6"/>
    <w:rsid w:val="00BF5731"/>
    <w:rsid w:val="00BF7BB5"/>
    <w:rsid w:val="00C05D5C"/>
    <w:rsid w:val="00C06C15"/>
    <w:rsid w:val="00C208A6"/>
    <w:rsid w:val="00C21F9C"/>
    <w:rsid w:val="00C24C90"/>
    <w:rsid w:val="00C25196"/>
    <w:rsid w:val="00C26FA3"/>
    <w:rsid w:val="00C3174D"/>
    <w:rsid w:val="00C34A36"/>
    <w:rsid w:val="00C36B59"/>
    <w:rsid w:val="00C37399"/>
    <w:rsid w:val="00C406F0"/>
    <w:rsid w:val="00C42CDE"/>
    <w:rsid w:val="00C43C94"/>
    <w:rsid w:val="00C500D7"/>
    <w:rsid w:val="00C500E0"/>
    <w:rsid w:val="00C5182A"/>
    <w:rsid w:val="00C52129"/>
    <w:rsid w:val="00C53B71"/>
    <w:rsid w:val="00C56771"/>
    <w:rsid w:val="00C574EC"/>
    <w:rsid w:val="00C6008D"/>
    <w:rsid w:val="00C637EC"/>
    <w:rsid w:val="00C63EE9"/>
    <w:rsid w:val="00C6626C"/>
    <w:rsid w:val="00C7297E"/>
    <w:rsid w:val="00C831FE"/>
    <w:rsid w:val="00C8425C"/>
    <w:rsid w:val="00C85F58"/>
    <w:rsid w:val="00C90AA1"/>
    <w:rsid w:val="00C90F21"/>
    <w:rsid w:val="00C950D1"/>
    <w:rsid w:val="00CA0222"/>
    <w:rsid w:val="00CA12D1"/>
    <w:rsid w:val="00CA37B1"/>
    <w:rsid w:val="00CA7DD8"/>
    <w:rsid w:val="00CB1959"/>
    <w:rsid w:val="00CB2A41"/>
    <w:rsid w:val="00CB3379"/>
    <w:rsid w:val="00CB46CA"/>
    <w:rsid w:val="00CB55A3"/>
    <w:rsid w:val="00CB61B7"/>
    <w:rsid w:val="00CC6262"/>
    <w:rsid w:val="00CC717A"/>
    <w:rsid w:val="00CC7877"/>
    <w:rsid w:val="00CD0E4B"/>
    <w:rsid w:val="00CD2A42"/>
    <w:rsid w:val="00CD2FBE"/>
    <w:rsid w:val="00CE0155"/>
    <w:rsid w:val="00CE2BFD"/>
    <w:rsid w:val="00CE3D5D"/>
    <w:rsid w:val="00CE5DF0"/>
    <w:rsid w:val="00CE68ED"/>
    <w:rsid w:val="00CE6F17"/>
    <w:rsid w:val="00CE7099"/>
    <w:rsid w:val="00CE7787"/>
    <w:rsid w:val="00CE7B0E"/>
    <w:rsid w:val="00CF45C1"/>
    <w:rsid w:val="00CF5DBF"/>
    <w:rsid w:val="00CF611A"/>
    <w:rsid w:val="00CF62AE"/>
    <w:rsid w:val="00D00802"/>
    <w:rsid w:val="00D0296C"/>
    <w:rsid w:val="00D02D65"/>
    <w:rsid w:val="00D05246"/>
    <w:rsid w:val="00D053B5"/>
    <w:rsid w:val="00D146A2"/>
    <w:rsid w:val="00D15A00"/>
    <w:rsid w:val="00D22725"/>
    <w:rsid w:val="00D24E34"/>
    <w:rsid w:val="00D3315E"/>
    <w:rsid w:val="00D33A15"/>
    <w:rsid w:val="00D33BF8"/>
    <w:rsid w:val="00D40AEB"/>
    <w:rsid w:val="00D40C0F"/>
    <w:rsid w:val="00D43276"/>
    <w:rsid w:val="00D439EF"/>
    <w:rsid w:val="00D442DF"/>
    <w:rsid w:val="00D451BE"/>
    <w:rsid w:val="00D460DC"/>
    <w:rsid w:val="00D46B0C"/>
    <w:rsid w:val="00D50444"/>
    <w:rsid w:val="00D50B6B"/>
    <w:rsid w:val="00D560D2"/>
    <w:rsid w:val="00D64BD1"/>
    <w:rsid w:val="00D66F36"/>
    <w:rsid w:val="00D72760"/>
    <w:rsid w:val="00D73EFE"/>
    <w:rsid w:val="00D7713F"/>
    <w:rsid w:val="00D80023"/>
    <w:rsid w:val="00D82F50"/>
    <w:rsid w:val="00D8565A"/>
    <w:rsid w:val="00D86954"/>
    <w:rsid w:val="00D87CE0"/>
    <w:rsid w:val="00DA01C3"/>
    <w:rsid w:val="00DA040F"/>
    <w:rsid w:val="00DA23D6"/>
    <w:rsid w:val="00DA3CA9"/>
    <w:rsid w:val="00DB07F4"/>
    <w:rsid w:val="00DC0F1D"/>
    <w:rsid w:val="00DD1986"/>
    <w:rsid w:val="00DD5AF1"/>
    <w:rsid w:val="00DD7581"/>
    <w:rsid w:val="00DE084C"/>
    <w:rsid w:val="00DE0F88"/>
    <w:rsid w:val="00DE6D49"/>
    <w:rsid w:val="00E051A5"/>
    <w:rsid w:val="00E05E30"/>
    <w:rsid w:val="00E0719C"/>
    <w:rsid w:val="00E111CC"/>
    <w:rsid w:val="00E13B30"/>
    <w:rsid w:val="00E15DF3"/>
    <w:rsid w:val="00E17445"/>
    <w:rsid w:val="00E20A68"/>
    <w:rsid w:val="00E20B51"/>
    <w:rsid w:val="00E20E14"/>
    <w:rsid w:val="00E22844"/>
    <w:rsid w:val="00E245D7"/>
    <w:rsid w:val="00E33E89"/>
    <w:rsid w:val="00E357B7"/>
    <w:rsid w:val="00E361E5"/>
    <w:rsid w:val="00E36F91"/>
    <w:rsid w:val="00E433EA"/>
    <w:rsid w:val="00E45C9A"/>
    <w:rsid w:val="00E4687F"/>
    <w:rsid w:val="00E47CE3"/>
    <w:rsid w:val="00E50F5E"/>
    <w:rsid w:val="00E53800"/>
    <w:rsid w:val="00E573C1"/>
    <w:rsid w:val="00E6081F"/>
    <w:rsid w:val="00E616FA"/>
    <w:rsid w:val="00E62532"/>
    <w:rsid w:val="00E65CBD"/>
    <w:rsid w:val="00E70C04"/>
    <w:rsid w:val="00E8323E"/>
    <w:rsid w:val="00E86DF3"/>
    <w:rsid w:val="00E93165"/>
    <w:rsid w:val="00E97955"/>
    <w:rsid w:val="00EA04B2"/>
    <w:rsid w:val="00EA09AA"/>
    <w:rsid w:val="00EA13B8"/>
    <w:rsid w:val="00EA20F3"/>
    <w:rsid w:val="00EA32DB"/>
    <w:rsid w:val="00EA4196"/>
    <w:rsid w:val="00EA5969"/>
    <w:rsid w:val="00EB2D0F"/>
    <w:rsid w:val="00EB3AFD"/>
    <w:rsid w:val="00EB6BB0"/>
    <w:rsid w:val="00EB6C0A"/>
    <w:rsid w:val="00EC243A"/>
    <w:rsid w:val="00EC7902"/>
    <w:rsid w:val="00ED2831"/>
    <w:rsid w:val="00ED43D1"/>
    <w:rsid w:val="00EE1F13"/>
    <w:rsid w:val="00EE4EE1"/>
    <w:rsid w:val="00EF31E0"/>
    <w:rsid w:val="00EF4574"/>
    <w:rsid w:val="00EF6247"/>
    <w:rsid w:val="00EF6543"/>
    <w:rsid w:val="00F00E20"/>
    <w:rsid w:val="00F03CF2"/>
    <w:rsid w:val="00F058B3"/>
    <w:rsid w:val="00F07924"/>
    <w:rsid w:val="00F1326C"/>
    <w:rsid w:val="00F16D63"/>
    <w:rsid w:val="00F17276"/>
    <w:rsid w:val="00F238A8"/>
    <w:rsid w:val="00F243E6"/>
    <w:rsid w:val="00F26475"/>
    <w:rsid w:val="00F2684E"/>
    <w:rsid w:val="00F3027C"/>
    <w:rsid w:val="00F40721"/>
    <w:rsid w:val="00F410BA"/>
    <w:rsid w:val="00F43E0F"/>
    <w:rsid w:val="00F46D79"/>
    <w:rsid w:val="00F5404C"/>
    <w:rsid w:val="00F60563"/>
    <w:rsid w:val="00F60A41"/>
    <w:rsid w:val="00F63D51"/>
    <w:rsid w:val="00F71BE5"/>
    <w:rsid w:val="00F729EF"/>
    <w:rsid w:val="00F72A73"/>
    <w:rsid w:val="00F77CAE"/>
    <w:rsid w:val="00F77ECA"/>
    <w:rsid w:val="00F806AA"/>
    <w:rsid w:val="00F82271"/>
    <w:rsid w:val="00F83428"/>
    <w:rsid w:val="00F93905"/>
    <w:rsid w:val="00F94D31"/>
    <w:rsid w:val="00F96BB9"/>
    <w:rsid w:val="00FC05C4"/>
    <w:rsid w:val="00FC4381"/>
    <w:rsid w:val="00FD1D5A"/>
    <w:rsid w:val="00FD4C3F"/>
    <w:rsid w:val="00FD5DA5"/>
    <w:rsid w:val="00FD66D9"/>
    <w:rsid w:val="00FE0286"/>
    <w:rsid w:val="00FE0FD4"/>
    <w:rsid w:val="00FE2BA3"/>
    <w:rsid w:val="00FE6D51"/>
    <w:rsid w:val="00FF09F3"/>
    <w:rsid w:val="00FF1D61"/>
    <w:rsid w:val="00FF5165"/>
    <w:rsid w:val="00FF5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68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uiPriority w:val="99"/>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uiPriority w:val="99"/>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49C"/>
    <w:rPr>
      <w:sz w:val="16"/>
      <w:szCs w:val="16"/>
    </w:rPr>
  </w:style>
  <w:style w:type="paragraph" w:styleId="CommentText">
    <w:name w:val="annotation text"/>
    <w:basedOn w:val="Normal"/>
    <w:link w:val="CommentTextChar"/>
    <w:uiPriority w:val="99"/>
    <w:unhideWhenUsed/>
    <w:rsid w:val="00AC549C"/>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rsid w:val="00AC549C"/>
    <w:rPr>
      <w:sz w:val="20"/>
      <w:szCs w:val="20"/>
    </w:rPr>
  </w:style>
  <w:style w:type="paragraph" w:styleId="CommentSubject">
    <w:name w:val="annotation subject"/>
    <w:basedOn w:val="CommentText"/>
    <w:next w:val="CommentText"/>
    <w:link w:val="CommentSubjectChar"/>
    <w:uiPriority w:val="99"/>
    <w:semiHidden/>
    <w:unhideWhenUsed/>
    <w:rsid w:val="0011100C"/>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11100C"/>
    <w:rPr>
      <w:b/>
      <w:bCs/>
      <w:color w:val="495965" w:themeColor="text2"/>
      <w:sz w:val="20"/>
      <w:szCs w:val="20"/>
      <w:lang w:val="en-GB"/>
    </w:rPr>
  </w:style>
  <w:style w:type="paragraph" w:customStyle="1" w:styleId="Default">
    <w:name w:val="Default"/>
    <w:basedOn w:val="Normal"/>
    <w:rsid w:val="00C52129"/>
    <w:pPr>
      <w:suppressAutoHyphens w:val="0"/>
      <w:autoSpaceDE w:val="0"/>
      <w:autoSpaceDN w:val="0"/>
      <w:spacing w:before="0" w:after="0" w:line="240" w:lineRule="auto"/>
    </w:pPr>
    <w:rPr>
      <w:rFonts w:ascii="Calibri" w:hAnsi="Calibri" w:cs="Times New Roman"/>
      <w:color w:val="000000"/>
      <w:sz w:val="24"/>
      <w:szCs w:val="24"/>
      <w:lang w:val="en-AU"/>
    </w:rPr>
  </w:style>
  <w:style w:type="table" w:styleId="TableGridLight">
    <w:name w:val="Grid Table Light"/>
    <w:basedOn w:val="TableNormal"/>
    <w:uiPriority w:val="40"/>
    <w:rsid w:val="00C52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52129"/>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340AA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40AAA"/>
    <w:rPr>
      <w:color w:val="495965" w:themeColor="text2"/>
      <w:sz w:val="20"/>
      <w:szCs w:val="20"/>
      <w:lang w:val="en-GB"/>
    </w:rPr>
  </w:style>
  <w:style w:type="character" w:styleId="EndnoteReference">
    <w:name w:val="endnote reference"/>
    <w:basedOn w:val="DefaultParagraphFont"/>
    <w:uiPriority w:val="99"/>
    <w:semiHidden/>
    <w:unhideWhenUsed/>
    <w:rsid w:val="00340AAA"/>
    <w:rPr>
      <w:vertAlign w:val="superscript"/>
    </w:rPr>
  </w:style>
  <w:style w:type="paragraph" w:styleId="NormalWeb">
    <w:name w:val="Normal (Web)"/>
    <w:basedOn w:val="Normal"/>
    <w:uiPriority w:val="99"/>
    <w:unhideWhenUsed/>
    <w:rsid w:val="00186ABE"/>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669">
      <w:bodyDiv w:val="1"/>
      <w:marLeft w:val="0"/>
      <w:marRight w:val="0"/>
      <w:marTop w:val="0"/>
      <w:marBottom w:val="0"/>
      <w:divBdr>
        <w:top w:val="none" w:sz="0" w:space="0" w:color="auto"/>
        <w:left w:val="none" w:sz="0" w:space="0" w:color="auto"/>
        <w:bottom w:val="none" w:sz="0" w:space="0" w:color="auto"/>
        <w:right w:val="none" w:sz="0" w:space="0" w:color="auto"/>
      </w:divBdr>
    </w:div>
    <w:div w:id="219363534">
      <w:bodyDiv w:val="1"/>
      <w:marLeft w:val="0"/>
      <w:marRight w:val="0"/>
      <w:marTop w:val="0"/>
      <w:marBottom w:val="0"/>
      <w:divBdr>
        <w:top w:val="none" w:sz="0" w:space="0" w:color="auto"/>
        <w:left w:val="none" w:sz="0" w:space="0" w:color="auto"/>
        <w:bottom w:val="none" w:sz="0" w:space="0" w:color="auto"/>
        <w:right w:val="none" w:sz="0" w:space="0" w:color="auto"/>
      </w:divBdr>
    </w:div>
    <w:div w:id="262690838">
      <w:bodyDiv w:val="1"/>
      <w:marLeft w:val="0"/>
      <w:marRight w:val="0"/>
      <w:marTop w:val="0"/>
      <w:marBottom w:val="0"/>
      <w:divBdr>
        <w:top w:val="none" w:sz="0" w:space="0" w:color="auto"/>
        <w:left w:val="none" w:sz="0" w:space="0" w:color="auto"/>
        <w:bottom w:val="none" w:sz="0" w:space="0" w:color="auto"/>
        <w:right w:val="none" w:sz="0" w:space="0" w:color="auto"/>
      </w:divBdr>
    </w:div>
    <w:div w:id="287706845">
      <w:bodyDiv w:val="1"/>
      <w:marLeft w:val="0"/>
      <w:marRight w:val="0"/>
      <w:marTop w:val="0"/>
      <w:marBottom w:val="0"/>
      <w:divBdr>
        <w:top w:val="none" w:sz="0" w:space="0" w:color="auto"/>
        <w:left w:val="none" w:sz="0" w:space="0" w:color="auto"/>
        <w:bottom w:val="none" w:sz="0" w:space="0" w:color="auto"/>
        <w:right w:val="none" w:sz="0" w:space="0" w:color="auto"/>
      </w:divBdr>
    </w:div>
    <w:div w:id="290788796">
      <w:bodyDiv w:val="1"/>
      <w:marLeft w:val="0"/>
      <w:marRight w:val="0"/>
      <w:marTop w:val="0"/>
      <w:marBottom w:val="0"/>
      <w:divBdr>
        <w:top w:val="none" w:sz="0" w:space="0" w:color="auto"/>
        <w:left w:val="none" w:sz="0" w:space="0" w:color="auto"/>
        <w:bottom w:val="none" w:sz="0" w:space="0" w:color="auto"/>
        <w:right w:val="none" w:sz="0" w:space="0" w:color="auto"/>
      </w:divBdr>
    </w:div>
    <w:div w:id="337656959">
      <w:bodyDiv w:val="1"/>
      <w:marLeft w:val="0"/>
      <w:marRight w:val="0"/>
      <w:marTop w:val="0"/>
      <w:marBottom w:val="0"/>
      <w:divBdr>
        <w:top w:val="none" w:sz="0" w:space="0" w:color="auto"/>
        <w:left w:val="none" w:sz="0" w:space="0" w:color="auto"/>
        <w:bottom w:val="none" w:sz="0" w:space="0" w:color="auto"/>
        <w:right w:val="none" w:sz="0" w:space="0" w:color="auto"/>
      </w:divBdr>
    </w:div>
    <w:div w:id="416482398">
      <w:bodyDiv w:val="1"/>
      <w:marLeft w:val="0"/>
      <w:marRight w:val="0"/>
      <w:marTop w:val="0"/>
      <w:marBottom w:val="0"/>
      <w:divBdr>
        <w:top w:val="none" w:sz="0" w:space="0" w:color="auto"/>
        <w:left w:val="none" w:sz="0" w:space="0" w:color="auto"/>
        <w:bottom w:val="none" w:sz="0" w:space="0" w:color="auto"/>
        <w:right w:val="none" w:sz="0" w:space="0" w:color="auto"/>
      </w:divBdr>
    </w:div>
    <w:div w:id="569778016">
      <w:bodyDiv w:val="1"/>
      <w:marLeft w:val="0"/>
      <w:marRight w:val="0"/>
      <w:marTop w:val="0"/>
      <w:marBottom w:val="0"/>
      <w:divBdr>
        <w:top w:val="none" w:sz="0" w:space="0" w:color="auto"/>
        <w:left w:val="none" w:sz="0" w:space="0" w:color="auto"/>
        <w:bottom w:val="none" w:sz="0" w:space="0" w:color="auto"/>
        <w:right w:val="none" w:sz="0" w:space="0" w:color="auto"/>
      </w:divBdr>
    </w:div>
    <w:div w:id="574902760">
      <w:bodyDiv w:val="1"/>
      <w:marLeft w:val="0"/>
      <w:marRight w:val="0"/>
      <w:marTop w:val="0"/>
      <w:marBottom w:val="0"/>
      <w:divBdr>
        <w:top w:val="none" w:sz="0" w:space="0" w:color="auto"/>
        <w:left w:val="none" w:sz="0" w:space="0" w:color="auto"/>
        <w:bottom w:val="none" w:sz="0" w:space="0" w:color="auto"/>
        <w:right w:val="none" w:sz="0" w:space="0" w:color="auto"/>
      </w:divBdr>
    </w:div>
    <w:div w:id="656305906">
      <w:bodyDiv w:val="1"/>
      <w:marLeft w:val="0"/>
      <w:marRight w:val="0"/>
      <w:marTop w:val="0"/>
      <w:marBottom w:val="0"/>
      <w:divBdr>
        <w:top w:val="none" w:sz="0" w:space="0" w:color="auto"/>
        <w:left w:val="none" w:sz="0" w:space="0" w:color="auto"/>
        <w:bottom w:val="none" w:sz="0" w:space="0" w:color="auto"/>
        <w:right w:val="none" w:sz="0" w:space="0" w:color="auto"/>
      </w:divBdr>
    </w:div>
    <w:div w:id="727455223">
      <w:bodyDiv w:val="1"/>
      <w:marLeft w:val="0"/>
      <w:marRight w:val="0"/>
      <w:marTop w:val="0"/>
      <w:marBottom w:val="0"/>
      <w:divBdr>
        <w:top w:val="none" w:sz="0" w:space="0" w:color="auto"/>
        <w:left w:val="none" w:sz="0" w:space="0" w:color="auto"/>
        <w:bottom w:val="none" w:sz="0" w:space="0" w:color="auto"/>
        <w:right w:val="none" w:sz="0" w:space="0" w:color="auto"/>
      </w:divBdr>
    </w:div>
    <w:div w:id="807743940">
      <w:bodyDiv w:val="1"/>
      <w:marLeft w:val="0"/>
      <w:marRight w:val="0"/>
      <w:marTop w:val="0"/>
      <w:marBottom w:val="0"/>
      <w:divBdr>
        <w:top w:val="none" w:sz="0" w:space="0" w:color="auto"/>
        <w:left w:val="none" w:sz="0" w:space="0" w:color="auto"/>
        <w:bottom w:val="none" w:sz="0" w:space="0" w:color="auto"/>
        <w:right w:val="none" w:sz="0" w:space="0" w:color="auto"/>
      </w:divBdr>
    </w:div>
    <w:div w:id="847215986">
      <w:bodyDiv w:val="1"/>
      <w:marLeft w:val="0"/>
      <w:marRight w:val="0"/>
      <w:marTop w:val="0"/>
      <w:marBottom w:val="0"/>
      <w:divBdr>
        <w:top w:val="none" w:sz="0" w:space="0" w:color="auto"/>
        <w:left w:val="none" w:sz="0" w:space="0" w:color="auto"/>
        <w:bottom w:val="none" w:sz="0" w:space="0" w:color="auto"/>
        <w:right w:val="none" w:sz="0" w:space="0" w:color="auto"/>
      </w:divBdr>
    </w:div>
    <w:div w:id="944771894">
      <w:bodyDiv w:val="1"/>
      <w:marLeft w:val="0"/>
      <w:marRight w:val="0"/>
      <w:marTop w:val="0"/>
      <w:marBottom w:val="0"/>
      <w:divBdr>
        <w:top w:val="none" w:sz="0" w:space="0" w:color="auto"/>
        <w:left w:val="none" w:sz="0" w:space="0" w:color="auto"/>
        <w:bottom w:val="none" w:sz="0" w:space="0" w:color="auto"/>
        <w:right w:val="none" w:sz="0" w:space="0" w:color="auto"/>
      </w:divBdr>
    </w:div>
    <w:div w:id="1126238217">
      <w:bodyDiv w:val="1"/>
      <w:marLeft w:val="0"/>
      <w:marRight w:val="0"/>
      <w:marTop w:val="0"/>
      <w:marBottom w:val="0"/>
      <w:divBdr>
        <w:top w:val="none" w:sz="0" w:space="0" w:color="auto"/>
        <w:left w:val="none" w:sz="0" w:space="0" w:color="auto"/>
        <w:bottom w:val="none" w:sz="0" w:space="0" w:color="auto"/>
        <w:right w:val="none" w:sz="0" w:space="0" w:color="auto"/>
      </w:divBdr>
    </w:div>
    <w:div w:id="1214464908">
      <w:bodyDiv w:val="1"/>
      <w:marLeft w:val="0"/>
      <w:marRight w:val="0"/>
      <w:marTop w:val="0"/>
      <w:marBottom w:val="0"/>
      <w:divBdr>
        <w:top w:val="none" w:sz="0" w:space="0" w:color="auto"/>
        <w:left w:val="none" w:sz="0" w:space="0" w:color="auto"/>
        <w:bottom w:val="none" w:sz="0" w:space="0" w:color="auto"/>
        <w:right w:val="none" w:sz="0" w:space="0" w:color="auto"/>
      </w:divBdr>
    </w:div>
    <w:div w:id="1357348369">
      <w:bodyDiv w:val="1"/>
      <w:marLeft w:val="0"/>
      <w:marRight w:val="0"/>
      <w:marTop w:val="0"/>
      <w:marBottom w:val="0"/>
      <w:divBdr>
        <w:top w:val="none" w:sz="0" w:space="0" w:color="auto"/>
        <w:left w:val="none" w:sz="0" w:space="0" w:color="auto"/>
        <w:bottom w:val="none" w:sz="0" w:space="0" w:color="auto"/>
        <w:right w:val="none" w:sz="0" w:space="0" w:color="auto"/>
      </w:divBdr>
    </w:div>
    <w:div w:id="1612130527">
      <w:bodyDiv w:val="1"/>
      <w:marLeft w:val="0"/>
      <w:marRight w:val="0"/>
      <w:marTop w:val="0"/>
      <w:marBottom w:val="0"/>
      <w:divBdr>
        <w:top w:val="none" w:sz="0" w:space="0" w:color="auto"/>
        <w:left w:val="none" w:sz="0" w:space="0" w:color="auto"/>
        <w:bottom w:val="none" w:sz="0" w:space="0" w:color="auto"/>
        <w:right w:val="none" w:sz="0" w:space="0" w:color="auto"/>
      </w:divBdr>
    </w:div>
    <w:div w:id="1659074923">
      <w:bodyDiv w:val="1"/>
      <w:marLeft w:val="0"/>
      <w:marRight w:val="0"/>
      <w:marTop w:val="0"/>
      <w:marBottom w:val="0"/>
      <w:divBdr>
        <w:top w:val="none" w:sz="0" w:space="0" w:color="auto"/>
        <w:left w:val="none" w:sz="0" w:space="0" w:color="auto"/>
        <w:bottom w:val="none" w:sz="0" w:space="0" w:color="auto"/>
        <w:right w:val="none" w:sz="0" w:space="0" w:color="auto"/>
      </w:divBdr>
    </w:div>
    <w:div w:id="1669939532">
      <w:bodyDiv w:val="1"/>
      <w:marLeft w:val="0"/>
      <w:marRight w:val="0"/>
      <w:marTop w:val="0"/>
      <w:marBottom w:val="0"/>
      <w:divBdr>
        <w:top w:val="none" w:sz="0" w:space="0" w:color="auto"/>
        <w:left w:val="none" w:sz="0" w:space="0" w:color="auto"/>
        <w:bottom w:val="none" w:sz="0" w:space="0" w:color="auto"/>
        <w:right w:val="none" w:sz="0" w:space="0" w:color="auto"/>
      </w:divBdr>
    </w:div>
    <w:div w:id="1711146392">
      <w:bodyDiv w:val="1"/>
      <w:marLeft w:val="0"/>
      <w:marRight w:val="0"/>
      <w:marTop w:val="0"/>
      <w:marBottom w:val="0"/>
      <w:divBdr>
        <w:top w:val="none" w:sz="0" w:space="0" w:color="auto"/>
        <w:left w:val="none" w:sz="0" w:space="0" w:color="auto"/>
        <w:bottom w:val="none" w:sz="0" w:space="0" w:color="auto"/>
        <w:right w:val="none" w:sz="0" w:space="0" w:color="auto"/>
      </w:divBdr>
    </w:div>
    <w:div w:id="2020155396">
      <w:bodyDiv w:val="1"/>
      <w:marLeft w:val="0"/>
      <w:marRight w:val="0"/>
      <w:marTop w:val="0"/>
      <w:marBottom w:val="0"/>
      <w:divBdr>
        <w:top w:val="none" w:sz="0" w:space="0" w:color="auto"/>
        <w:left w:val="none" w:sz="0" w:space="0" w:color="auto"/>
        <w:bottom w:val="none" w:sz="0" w:space="0" w:color="auto"/>
        <w:right w:val="none" w:sz="0" w:space="0" w:color="auto"/>
      </w:divBdr>
    </w:div>
    <w:div w:id="2027560764">
      <w:bodyDiv w:val="1"/>
      <w:marLeft w:val="0"/>
      <w:marRight w:val="0"/>
      <w:marTop w:val="0"/>
      <w:marBottom w:val="0"/>
      <w:divBdr>
        <w:top w:val="none" w:sz="0" w:space="0" w:color="auto"/>
        <w:left w:val="none" w:sz="0" w:space="0" w:color="auto"/>
        <w:bottom w:val="none" w:sz="0" w:space="0" w:color="auto"/>
        <w:right w:val="none" w:sz="0" w:space="0" w:color="auto"/>
      </w:divBdr>
    </w:div>
    <w:div w:id="20988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3.jpeg"/><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image" Target="media/image26.jpeg"/><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oter" Target="footer4.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jpe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eader" Target="header5.xml"/><Relationship Id="rId35" Type="http://schemas.openxmlformats.org/officeDocument/2006/relationships/image" Target="media/image19.jpeg"/><Relationship Id="rId43" Type="http://schemas.openxmlformats.org/officeDocument/2006/relationships/image" Target="media/image27.png"/><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7.xml"/><Relationship Id="rId38" Type="http://schemas.openxmlformats.org/officeDocument/2006/relationships/image" Target="media/image22.jpeg"/><Relationship Id="rId46" Type="http://schemas.openxmlformats.org/officeDocument/2006/relationships/customXml" Target="../customXml/item2.xml"/><Relationship Id="rId20" Type="http://schemas.openxmlformats.org/officeDocument/2006/relationships/image" Target="media/image8.jpeg"/><Relationship Id="rId41" Type="http://schemas.openxmlformats.org/officeDocument/2006/relationships/image" Target="media/image25.png"/></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BC6E3-DB11-49F6-916C-02CA10F33888}"/>
</file>

<file path=customXml/itemProps2.xml><?xml version="1.0" encoding="utf-8"?>
<ds:datastoreItem xmlns:ds="http://schemas.openxmlformats.org/officeDocument/2006/customXml" ds:itemID="{0028FD65-6A24-4730-97EF-CFDD415DED8D}"/>
</file>

<file path=customXml/itemProps3.xml><?xml version="1.0" encoding="utf-8"?>
<ds:datastoreItem xmlns:ds="http://schemas.openxmlformats.org/officeDocument/2006/customXml" ds:itemID="{5F04A67E-DD3C-4E93-85A1-B71AEAD26AB2}"/>
</file>

<file path=customXml/itemProps4.xml><?xml version="1.0" encoding="utf-8"?>
<ds:datastoreItem xmlns:ds="http://schemas.openxmlformats.org/officeDocument/2006/customXml" ds:itemID="{48F623AC-6577-444C-93C0-4AA4C328CA66}"/>
</file>

<file path=docProps/app.xml><?xml version="1.0" encoding="utf-8"?>
<Properties xmlns="http://schemas.openxmlformats.org/officeDocument/2006/extended-properties" xmlns:vt="http://schemas.openxmlformats.org/officeDocument/2006/docPropsVTypes">
  <Template>Normal.dotm</Template>
  <TotalTime>0</TotalTime>
  <Pages>36</Pages>
  <Words>17133</Words>
  <Characters>97662</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2019-10-15T23:40:00Z</dcterms:created>
  <dcterms:modified xsi:type="dcterms:W3CDTF">2019-10-15T23:43:00Z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9f119b4c-197d-4cfb-9356-3611de8f3b6c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