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07F8" w14:textId="1EEC05D3" w:rsidR="0059146A" w:rsidRDefault="0059146A" w:rsidP="005B5769">
      <w:pPr>
        <w:pStyle w:val="ListBullet"/>
        <w:tabs>
          <w:tab w:val="clear" w:pos="284"/>
        </w:tabs>
      </w:pPr>
      <w:bookmarkStart w:id="0" w:name="_GoBack"/>
      <w:bookmarkEnd w:id="0"/>
    </w:p>
    <w:p w14:paraId="75EF736E" w14:textId="77777777" w:rsidR="0059146A" w:rsidRDefault="0059146A" w:rsidP="005B5769">
      <w:pPr>
        <w:pStyle w:val="ListBullet"/>
        <w:tabs>
          <w:tab w:val="clear" w:pos="284"/>
        </w:tabs>
      </w:pPr>
    </w:p>
    <w:p w14:paraId="7E2C47F5" w14:textId="77777777" w:rsidR="0059146A" w:rsidRPr="0059146A" w:rsidRDefault="0059146A" w:rsidP="005B5769">
      <w:pPr>
        <w:pStyle w:val="ListBullet"/>
        <w:tabs>
          <w:tab w:val="clear" w:pos="284"/>
        </w:tabs>
      </w:pPr>
    </w:p>
    <w:p w14:paraId="03D16BBB" w14:textId="77777777" w:rsidR="00A56F14" w:rsidRPr="0059146A" w:rsidRDefault="00A56F14" w:rsidP="0059146A">
      <w:pPr>
        <w:pStyle w:val="ListBullet"/>
        <w:tabs>
          <w:tab w:val="clear" w:pos="284"/>
        </w:tabs>
      </w:pPr>
    </w:p>
    <w:p w14:paraId="141EA3CD" w14:textId="77777777" w:rsidR="00A56F14" w:rsidRDefault="00A56F14" w:rsidP="00A56F14">
      <w:pPr>
        <w:spacing w:after="200" w:line="276" w:lineRule="auto"/>
        <w:rPr>
          <w:b/>
        </w:rPr>
      </w:pPr>
    </w:p>
    <w:p w14:paraId="767EB228" w14:textId="77777777" w:rsidR="00A56F14" w:rsidRDefault="00A56F14" w:rsidP="00A56F14">
      <w:pPr>
        <w:spacing w:after="200" w:line="276" w:lineRule="auto"/>
        <w:rPr>
          <w:b/>
        </w:rPr>
      </w:pPr>
    </w:p>
    <w:p w14:paraId="75859BB1" w14:textId="77777777" w:rsidR="00C6626C" w:rsidRDefault="00C6626C" w:rsidP="00A56F14"/>
    <w:p w14:paraId="21B2DC8C" w14:textId="77777777" w:rsidR="00C6626C" w:rsidRDefault="00C6626C" w:rsidP="00A56F14"/>
    <w:p w14:paraId="65C3BB74" w14:textId="77777777" w:rsidR="00C6626C" w:rsidRDefault="00C6626C" w:rsidP="00A56F14"/>
    <w:p w14:paraId="20FB2DC1" w14:textId="77777777" w:rsidR="00C6626C" w:rsidRDefault="00C6626C" w:rsidP="00A56F14"/>
    <w:p w14:paraId="5F170C12" w14:textId="77777777" w:rsidR="00C6626C" w:rsidRDefault="00C6626C" w:rsidP="00A56F14"/>
    <w:p w14:paraId="1236E8E8" w14:textId="77777777" w:rsidR="00C6626C" w:rsidRDefault="00C6626C" w:rsidP="00A56F14"/>
    <w:p w14:paraId="5F91C201" w14:textId="77777777" w:rsidR="00C6626C" w:rsidRDefault="00C6626C" w:rsidP="00A56F14"/>
    <w:p w14:paraId="75CC8344" w14:textId="77777777" w:rsidR="00C6626C" w:rsidRDefault="00C6626C" w:rsidP="00A56F14"/>
    <w:p w14:paraId="41D4BEEA" w14:textId="77777777" w:rsidR="00C6626C" w:rsidRDefault="00C6626C" w:rsidP="00A56F14"/>
    <w:p w14:paraId="19ACF08D" w14:textId="77777777" w:rsidR="00C6626C" w:rsidRDefault="00C6626C" w:rsidP="00A56F14"/>
    <w:p w14:paraId="1A950706" w14:textId="77777777" w:rsidR="00C6626C" w:rsidRDefault="00C6626C" w:rsidP="00A56F14"/>
    <w:p w14:paraId="623B34B0" w14:textId="77777777" w:rsidR="00C6626C" w:rsidRDefault="00C6626C" w:rsidP="00A56F14"/>
    <w:p w14:paraId="14613708" w14:textId="77777777" w:rsidR="00C6626C" w:rsidRDefault="00C6626C" w:rsidP="00A56F14"/>
    <w:p w14:paraId="7088E161" w14:textId="77777777" w:rsidR="00C6626C" w:rsidRDefault="00C6626C" w:rsidP="00A56F14"/>
    <w:p w14:paraId="4E3B3E46" w14:textId="77777777" w:rsidR="00C6626C" w:rsidRDefault="00C6626C" w:rsidP="00A56F14"/>
    <w:p w14:paraId="51D0DCF8" w14:textId="77777777" w:rsidR="00C6626C" w:rsidRDefault="00C6626C" w:rsidP="00A56F14"/>
    <w:p w14:paraId="54B9F241" w14:textId="77777777" w:rsidR="00C6626C" w:rsidRDefault="00C6626C" w:rsidP="00A56F14"/>
    <w:p w14:paraId="7C8F917C" w14:textId="77777777" w:rsidR="00C6626C" w:rsidRDefault="00C6626C" w:rsidP="00A56F14"/>
    <w:p w14:paraId="2ACD3523" w14:textId="77777777" w:rsidR="00C6626C" w:rsidRDefault="00C6626C" w:rsidP="00A56F14"/>
    <w:p w14:paraId="1D7C598E" w14:textId="77777777" w:rsidR="00C6626C" w:rsidRDefault="00C6626C" w:rsidP="00A56F14"/>
    <w:p w14:paraId="46846E42" w14:textId="77777777" w:rsidR="00C6626C" w:rsidRDefault="00C6626C" w:rsidP="00A56F14"/>
    <w:p w14:paraId="6186B35D"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2FF29155" wp14:editId="07BE43DF">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293E7B42" wp14:editId="5D0B641F">
            <wp:simplePos x="0" y="0"/>
            <wp:positionH relativeFrom="page">
              <wp:posOffset>7620</wp:posOffset>
            </wp:positionH>
            <wp:positionV relativeFrom="page">
              <wp:posOffset>-185420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079BEB61" w14:textId="77777777" w:rsidR="00C6626C" w:rsidRPr="002A51CA" w:rsidRDefault="00C6626C" w:rsidP="002A51CA">
      <w:pPr>
        <w:pStyle w:val="Title"/>
        <w:spacing w:after="120" w:line="600" w:lineRule="exact"/>
        <w:rPr>
          <w:spacing w:val="-20"/>
          <w:sz w:val="60"/>
        </w:rPr>
      </w:pPr>
      <w:r w:rsidRPr="002A51CA">
        <w:rPr>
          <w:spacing w:val="-20"/>
          <w:sz w:val="60"/>
        </w:rPr>
        <w:t>Report 201</w:t>
      </w:r>
      <w:r w:rsidR="00AE5017">
        <w:rPr>
          <w:spacing w:val="-20"/>
          <w:sz w:val="60"/>
        </w:rPr>
        <w:t>7-18</w:t>
      </w:r>
    </w:p>
    <w:p w14:paraId="03A18DA2" w14:textId="77777777" w:rsidR="00C6626C" w:rsidRDefault="00A01F85" w:rsidP="00A56F14">
      <w:r>
        <w:rPr>
          <w:sz w:val="40"/>
        </w:rPr>
        <w:t>Papua New Guinea</w:t>
      </w:r>
    </w:p>
    <w:p w14:paraId="67C32577" w14:textId="77777777" w:rsidR="00C6626C" w:rsidRPr="00D76787" w:rsidRDefault="00C6626C" w:rsidP="00A56F14">
      <w:pPr>
        <w:rPr>
          <w:sz w:val="24"/>
        </w:rPr>
        <w:sectPr w:rsidR="00C6626C" w:rsidRPr="00D76787"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r w:rsidRPr="002A51CA">
        <w:rPr>
          <w:sz w:val="24"/>
        </w:rPr>
        <w:t>September 201</w:t>
      </w:r>
      <w:r w:rsidR="00AE5017">
        <w:rPr>
          <w:sz w:val="24"/>
        </w:rPr>
        <w:t>8</w:t>
      </w:r>
    </w:p>
    <w:p w14:paraId="4481271D" w14:textId="10368D29" w:rsidR="00C6626C" w:rsidRPr="00C61187" w:rsidRDefault="003F6EE0" w:rsidP="002A51CA">
      <w:pPr>
        <w:pStyle w:val="ListBullet"/>
        <w:tabs>
          <w:tab w:val="clear" w:pos="284"/>
        </w:tabs>
        <w:spacing w:before="360"/>
        <w:rPr>
          <w:kern w:val="28"/>
        </w:rPr>
      </w:pPr>
      <w:r>
        <w:rPr>
          <w:rFonts w:asciiTheme="majorHAnsi" w:eastAsiaTheme="majorEastAsia" w:hAnsiTheme="majorHAnsi" w:cstheme="majorBidi"/>
          <w:caps/>
          <w:color w:val="495965" w:themeColor="text2"/>
          <w:sz w:val="38"/>
          <w:szCs w:val="26"/>
          <w:lang w:val="en-GB" w:eastAsia="en-US"/>
        </w:rPr>
        <w:lastRenderedPageBreak/>
        <w:t xml:space="preserve">Key </w:t>
      </w:r>
      <w:r w:rsidR="00C6626C" w:rsidRPr="003F6EE0">
        <w:rPr>
          <w:rFonts w:asciiTheme="majorHAnsi" w:eastAsiaTheme="majorEastAsia" w:hAnsiTheme="majorHAnsi" w:cstheme="majorBidi"/>
          <w:caps/>
          <w:color w:val="495965" w:themeColor="text2"/>
          <w:sz w:val="38"/>
          <w:szCs w:val="26"/>
          <w:lang w:val="en-GB" w:eastAsia="en-US"/>
        </w:rPr>
        <w:t>Messages</w:t>
      </w:r>
    </w:p>
    <w:p w14:paraId="29C6580E" w14:textId="02DD7599" w:rsidR="00F13FA3" w:rsidRDefault="00F13FA3" w:rsidP="00F13FA3">
      <w:r>
        <w:t>Australia is committed to supporting our closest neighbour’s transition to a developed economy with stable institutions and inclusive growth.</w:t>
      </w:r>
      <w:r w:rsidR="00FF4BD9">
        <w:t xml:space="preserve"> </w:t>
      </w:r>
      <w:r>
        <w:t xml:space="preserve">Australia has aligned its foreign, trade, security and development policies to assist Papua New Guinea on this </w:t>
      </w:r>
      <w:r w:rsidR="00C32991">
        <w:t>path</w:t>
      </w:r>
      <w:r>
        <w:t>.</w:t>
      </w:r>
      <w:r w:rsidR="00FF4BD9">
        <w:t xml:space="preserve"> </w:t>
      </w:r>
      <w:r w:rsidRPr="00C42DA1">
        <w:t xml:space="preserve">Papua New Guinea is a country of enormous economic potential, strategically bridging Asia and the Pacific. </w:t>
      </w:r>
      <w:r w:rsidRPr="007D10EA">
        <w:t xml:space="preserve">Australia is Papua New Guinea’s largest trading and investment partner </w:t>
      </w:r>
      <w:r>
        <w:t>with $5.9</w:t>
      </w:r>
      <w:r w:rsidRPr="007D10EA">
        <w:t xml:space="preserve"> billion in two-way trade and approximately $18 billion of Australian investment.</w:t>
      </w:r>
    </w:p>
    <w:p w14:paraId="392CE6BB" w14:textId="77777777" w:rsidR="00401C71" w:rsidRPr="00EF0006" w:rsidRDefault="00401C71" w:rsidP="00F13FA3">
      <w:r w:rsidRPr="00EF0006">
        <w:t xml:space="preserve">Australia and Papua New Guinea have a close relationship built on </w:t>
      </w:r>
      <w:r w:rsidR="00607790" w:rsidRPr="00EF0006">
        <w:t xml:space="preserve">geographic proximity, </w:t>
      </w:r>
      <w:r w:rsidRPr="00EF0006">
        <w:t>shared history, economic and people-to-people links</w:t>
      </w:r>
      <w:r w:rsidR="00607790" w:rsidRPr="00EF0006">
        <w:t>,</w:t>
      </w:r>
      <w:r w:rsidRPr="00EF0006">
        <w:t xml:space="preserve"> </w:t>
      </w:r>
      <w:r w:rsidR="00607790" w:rsidRPr="00EF0006">
        <w:t xml:space="preserve">security cooperation </w:t>
      </w:r>
      <w:r w:rsidRPr="00EF0006">
        <w:t>and a growing str</w:t>
      </w:r>
      <w:r w:rsidR="00107CF6" w:rsidRPr="00EF0006">
        <w:t xml:space="preserve">ategic partnership. </w:t>
      </w:r>
      <w:r w:rsidRPr="00EF0006">
        <w:t>The bilateral relationship is shifting from one dominated by development assistance to an economic and strategic partnership based on shared interests</w:t>
      </w:r>
      <w:r w:rsidR="00B37F36">
        <w:t>, as was agreed at the Ministerial Forums in 2017 and 2018</w:t>
      </w:r>
      <w:r w:rsidRPr="00EF0006">
        <w:t xml:space="preserve">. At independence in 1975, Australian aid made up 40 per cent of </w:t>
      </w:r>
      <w:r w:rsidR="00B17E81" w:rsidRPr="00EF0006">
        <w:rPr>
          <w:lang w:val="en-US"/>
        </w:rPr>
        <w:t>P</w:t>
      </w:r>
      <w:r w:rsidR="00B17E81">
        <w:rPr>
          <w:lang w:val="en-US"/>
        </w:rPr>
        <w:t>apua New Guinea</w:t>
      </w:r>
      <w:r w:rsidR="00B17E81" w:rsidRPr="00EF0006">
        <w:rPr>
          <w:lang w:val="en-US"/>
        </w:rPr>
        <w:t xml:space="preserve">'s </w:t>
      </w:r>
      <w:r w:rsidRPr="00EF0006">
        <w:t>budget;</w:t>
      </w:r>
      <w:r w:rsidR="00A65F22" w:rsidRPr="00EF0006">
        <w:t xml:space="preserve"> today</w:t>
      </w:r>
      <w:r w:rsidRPr="00EF0006">
        <w:t xml:space="preserve"> it is </w:t>
      </w:r>
      <w:r w:rsidR="0094294D" w:rsidRPr="00EF0006">
        <w:t>approximately</w:t>
      </w:r>
      <w:r w:rsidRPr="00EF0006">
        <w:t xml:space="preserve"> </w:t>
      </w:r>
      <w:r w:rsidR="003A425C">
        <w:t>8</w:t>
      </w:r>
      <w:r w:rsidR="003A425C" w:rsidRPr="00EF0006">
        <w:t xml:space="preserve"> </w:t>
      </w:r>
      <w:r w:rsidRPr="00EF0006">
        <w:t>per cent.</w:t>
      </w:r>
    </w:p>
    <w:p w14:paraId="2BF5D015" w14:textId="26E33CFE" w:rsidR="008A1907" w:rsidRDefault="0039155E" w:rsidP="008A1907">
      <w:r w:rsidRPr="00EF0006">
        <w:t xml:space="preserve">Papua New Guinea </w:t>
      </w:r>
      <w:r w:rsidR="00401C71" w:rsidRPr="00EF0006">
        <w:t xml:space="preserve">remains Australia’s largest aid investment globally, with an estimated total of </w:t>
      </w:r>
      <w:r w:rsidR="002E47A0">
        <w:t>$541.0</w:t>
      </w:r>
      <w:r w:rsidR="00EC1024">
        <w:t> </w:t>
      </w:r>
      <w:r w:rsidR="00F74498" w:rsidRPr="00F74498">
        <w:t>million</w:t>
      </w:r>
      <w:r w:rsidR="00F74498">
        <w:t xml:space="preserve"> </w:t>
      </w:r>
      <w:r w:rsidR="00401C71" w:rsidRPr="00EF0006">
        <w:t xml:space="preserve">for 2017-18. </w:t>
      </w:r>
      <w:r w:rsidR="002477B9" w:rsidRPr="00EF0006">
        <w:t>This Aid Program Performance Report</w:t>
      </w:r>
      <w:r w:rsidR="002477B9">
        <w:t xml:space="preserve"> (APPR)</w:t>
      </w:r>
      <w:r w:rsidR="002477B9" w:rsidRPr="00EF0006">
        <w:t xml:space="preserve"> summarises the performance of Australia’s aid program in Papua New Guinea from July 2017 to June 2018 against the </w:t>
      </w:r>
      <w:r w:rsidR="002477B9" w:rsidRPr="00EF0006">
        <w:rPr>
          <w:i/>
        </w:rPr>
        <w:t>Papua New Guinea Aid Investment Plan 2015-16 to 2018-19</w:t>
      </w:r>
      <w:r w:rsidR="002477B9" w:rsidRPr="00EF0006">
        <w:t>. A Performance Assessment Framework for Australia’s development assistance to Papua New Guinea (Annex E) sets indicators of progress across the three outcome areas: promoting effective governance, enabling economic growth and enhancing human development.</w:t>
      </w:r>
      <w:r w:rsidR="002477B9">
        <w:t xml:space="preserve"> These three interlinked objectives are in line with Papua New Guinea’s priorities and are where Australia can add value</w:t>
      </w:r>
      <w:r w:rsidR="00401C71" w:rsidRPr="00EF0006">
        <w:t xml:space="preserve">. </w:t>
      </w:r>
      <w:r w:rsidR="00B94656">
        <w:t>E</w:t>
      </w:r>
      <w:r w:rsidR="00B94656" w:rsidRPr="00B94656">
        <w:t xml:space="preserve">ffective governance, particularly at subnational levels, is vital to ensuring the 80 per cent rural population receive services, </w:t>
      </w:r>
      <w:r w:rsidR="00B94656">
        <w:t xml:space="preserve">and </w:t>
      </w:r>
      <w:r w:rsidR="00676033">
        <w:t xml:space="preserve">improvements </w:t>
      </w:r>
      <w:r w:rsidR="00673B11">
        <w:t>in</w:t>
      </w:r>
      <w:r w:rsidR="00A3634E">
        <w:t xml:space="preserve"> health, </w:t>
      </w:r>
      <w:r w:rsidR="00B94656" w:rsidRPr="00B94656">
        <w:t xml:space="preserve">education </w:t>
      </w:r>
      <w:r w:rsidR="00A3634E">
        <w:t>and income generating</w:t>
      </w:r>
      <w:r w:rsidR="00A3634E" w:rsidRPr="00B94656">
        <w:t xml:space="preserve"> </w:t>
      </w:r>
      <w:r w:rsidR="00B94656" w:rsidRPr="00B94656">
        <w:t>outcomes</w:t>
      </w:r>
      <w:r w:rsidR="00B94656">
        <w:t xml:space="preserve">. </w:t>
      </w:r>
      <w:r w:rsidR="003A425C">
        <w:t>G</w:t>
      </w:r>
      <w:r w:rsidR="00401C71" w:rsidRPr="00EF0006">
        <w:t>ender equality</w:t>
      </w:r>
      <w:r w:rsidR="003A425C">
        <w:t xml:space="preserve"> and climate change</w:t>
      </w:r>
      <w:r w:rsidR="005B59E7">
        <w:t xml:space="preserve"> </w:t>
      </w:r>
      <w:r w:rsidR="00401C71" w:rsidRPr="00EF0006">
        <w:t xml:space="preserve">are crosscutting areas of the program. </w:t>
      </w:r>
    </w:p>
    <w:p w14:paraId="103C6EE1" w14:textId="36D46DC1" w:rsidR="00564CA7" w:rsidRPr="00EF0006" w:rsidRDefault="00564CA7" w:rsidP="00564CA7">
      <w:r w:rsidRPr="00EF0006">
        <w:t>Australia assisted Papua New Guinea’s response to the devastating earthquakes that struck the Highlands region</w:t>
      </w:r>
      <w:r w:rsidR="00A3634E">
        <w:t xml:space="preserve"> in </w:t>
      </w:r>
      <w:r w:rsidR="00A3634E" w:rsidRPr="00EF0006">
        <w:t>February and March</w:t>
      </w:r>
      <w:r w:rsidR="00A3634E">
        <w:t xml:space="preserve"> 2018</w:t>
      </w:r>
      <w:r w:rsidRPr="00EF0006">
        <w:t>.</w:t>
      </w:r>
      <w:r>
        <w:t xml:space="preserve"> </w:t>
      </w:r>
      <w:r w:rsidRPr="00EF0006">
        <w:t xml:space="preserve">Following a request from the Papua New Guinea Government, Australia provided a $5 million humanitarian assistance package to </w:t>
      </w:r>
      <w:r w:rsidR="00673B11">
        <w:t>assist</w:t>
      </w:r>
      <w:r w:rsidR="00673B11" w:rsidRPr="00EF0006">
        <w:t xml:space="preserve"> </w:t>
      </w:r>
      <w:r w:rsidRPr="00EF0006">
        <w:t xml:space="preserve">recovery, </w:t>
      </w:r>
      <w:r>
        <w:t xml:space="preserve">to support </w:t>
      </w:r>
      <w:r w:rsidRPr="00EF0006">
        <w:t xml:space="preserve">vulnerable women and children in affected areas and </w:t>
      </w:r>
      <w:r>
        <w:t xml:space="preserve">facilitate </w:t>
      </w:r>
      <w:r w:rsidRPr="00EF0006">
        <w:t xml:space="preserve">the deployment of an </w:t>
      </w:r>
      <w:r w:rsidRPr="00EF0006">
        <w:rPr>
          <w:lang w:val="en-US"/>
        </w:rPr>
        <w:t>Australian Medical Assistance Team (AUSMAT)</w:t>
      </w:r>
      <w:r w:rsidRPr="00EF0006">
        <w:t xml:space="preserve">. </w:t>
      </w:r>
      <w:r w:rsidRPr="00EF0006">
        <w:rPr>
          <w:lang w:val="en-US"/>
        </w:rPr>
        <w:t xml:space="preserve">The Australian Defence Force </w:t>
      </w:r>
      <w:r>
        <w:rPr>
          <w:lang w:val="en-US"/>
        </w:rPr>
        <w:t xml:space="preserve">(ADF) </w:t>
      </w:r>
      <w:r w:rsidRPr="00EF0006">
        <w:rPr>
          <w:lang w:val="en-US"/>
        </w:rPr>
        <w:t xml:space="preserve">also played a significant support role, </w:t>
      </w:r>
      <w:r>
        <w:rPr>
          <w:lang w:val="en-US"/>
        </w:rPr>
        <w:t xml:space="preserve">with </w:t>
      </w:r>
      <w:r>
        <w:rPr>
          <w:i/>
        </w:rPr>
        <w:t xml:space="preserve">Operation PNG Assist </w:t>
      </w:r>
      <w:r w:rsidRPr="00EF0006">
        <w:rPr>
          <w:lang w:val="en-US"/>
        </w:rPr>
        <w:t>deploying aircraft and ADF personnel to help distribute supplies to the affected region.</w:t>
      </w:r>
    </w:p>
    <w:p w14:paraId="79765885" w14:textId="788F649E" w:rsidR="00AF51BD" w:rsidRPr="00EC1024" w:rsidRDefault="003F1C75" w:rsidP="00AF51BD">
      <w:r>
        <w:t xml:space="preserve">Australia provided support for Papua New Guinea’s national elections in August 2017 to strengthen electoral processes and deliver polling operations in a country with some of the world's most difficult terrain. </w:t>
      </w:r>
      <w:r w:rsidR="00693CA0">
        <w:rPr>
          <w:lang w:val="en-US"/>
        </w:rPr>
        <w:t>T</w:t>
      </w:r>
      <w:r w:rsidR="00AF51BD" w:rsidRPr="00EF0006">
        <w:rPr>
          <w:lang w:val="en-US"/>
        </w:rPr>
        <w:t xml:space="preserve">his year </w:t>
      </w:r>
      <w:r w:rsidR="00AF51BD" w:rsidRPr="00724EF3">
        <w:t xml:space="preserve">Papua New Guinea </w:t>
      </w:r>
      <w:r w:rsidR="00693CA0">
        <w:rPr>
          <w:lang w:val="en-US"/>
        </w:rPr>
        <w:t>is</w:t>
      </w:r>
      <w:r w:rsidR="00693CA0" w:rsidRPr="00EF0006">
        <w:rPr>
          <w:lang w:val="en-US"/>
        </w:rPr>
        <w:t xml:space="preserve"> </w:t>
      </w:r>
      <w:r w:rsidR="00AF51BD" w:rsidRPr="00EF0006">
        <w:rPr>
          <w:lang w:val="en-US"/>
        </w:rPr>
        <w:t>host</w:t>
      </w:r>
      <w:r w:rsidR="00693CA0">
        <w:rPr>
          <w:lang w:val="en-US"/>
        </w:rPr>
        <w:t>ing</w:t>
      </w:r>
      <w:r w:rsidR="00AF51BD" w:rsidRPr="00EF0006">
        <w:rPr>
          <w:lang w:val="en-US"/>
        </w:rPr>
        <w:t xml:space="preserve"> APEC</w:t>
      </w:r>
      <w:r w:rsidR="00AF51BD">
        <w:rPr>
          <w:lang w:val="en-US"/>
        </w:rPr>
        <w:t xml:space="preserve"> and </w:t>
      </w:r>
      <w:r w:rsidR="00693CA0">
        <w:rPr>
          <w:lang w:val="en-US"/>
        </w:rPr>
        <w:t>we are</w:t>
      </w:r>
      <w:r w:rsidR="00AF51BD">
        <w:rPr>
          <w:lang w:val="en-US"/>
        </w:rPr>
        <w:t xml:space="preserve"> providing broad support </w:t>
      </w:r>
      <w:r w:rsidR="00693CA0">
        <w:rPr>
          <w:lang w:val="en-US"/>
        </w:rPr>
        <w:t xml:space="preserve">to </w:t>
      </w:r>
      <w:r w:rsidR="00AF51BD">
        <w:rPr>
          <w:lang w:val="en-US"/>
        </w:rPr>
        <w:t>Papua New Guinea’s</w:t>
      </w:r>
      <w:r w:rsidR="00AF51BD" w:rsidRPr="00EF0006">
        <w:rPr>
          <w:lang w:val="en-US"/>
        </w:rPr>
        <w:t xml:space="preserve"> public service agencies and operational support during </w:t>
      </w:r>
      <w:r w:rsidR="009F31B9">
        <w:rPr>
          <w:lang w:val="en-US"/>
        </w:rPr>
        <w:t>L</w:t>
      </w:r>
      <w:r w:rsidR="00AF51BD" w:rsidRPr="00EF0006">
        <w:rPr>
          <w:lang w:val="en-US"/>
        </w:rPr>
        <w:t xml:space="preserve">eaders </w:t>
      </w:r>
      <w:r w:rsidR="009F31B9">
        <w:rPr>
          <w:lang w:val="en-US"/>
        </w:rPr>
        <w:t>W</w:t>
      </w:r>
      <w:r w:rsidR="00AF51BD" w:rsidRPr="00EF0006">
        <w:rPr>
          <w:lang w:val="en-US"/>
        </w:rPr>
        <w:t>eek.</w:t>
      </w:r>
      <w:r w:rsidR="00AF51BD">
        <w:rPr>
          <w:lang w:val="en-US"/>
        </w:rPr>
        <w:t xml:space="preserve"> In 2017-18, </w:t>
      </w:r>
      <w:r w:rsidR="00AF51BD">
        <w:t>53 senior public servants from Papua New Guinea’s APEC Secretariat and other relevant government departments attended postgraduate studies in Australia under Australia Award short courses. These courses supported capacity building amongst key officials for APEC 2018 particularly in policy development, negotiation and coordination skills.</w:t>
      </w:r>
      <w:r w:rsidR="00FF4BD9">
        <w:t xml:space="preserve"> </w:t>
      </w:r>
    </w:p>
    <w:p w14:paraId="4C2EDBA7" w14:textId="750DBFE8" w:rsidR="000B46F0" w:rsidRPr="00EF0006" w:rsidRDefault="003F1D6C" w:rsidP="006C7EA2">
      <w:r w:rsidRPr="00EF0006">
        <w:t xml:space="preserve">Through the Pacific Leadership and </w:t>
      </w:r>
      <w:r w:rsidR="00B32C61">
        <w:t xml:space="preserve">Governance </w:t>
      </w:r>
      <w:r w:rsidRPr="00EF0006">
        <w:t xml:space="preserve">Precinct (Precinct), </w:t>
      </w:r>
      <w:r w:rsidR="00B32C61">
        <w:t xml:space="preserve">three </w:t>
      </w:r>
      <w:r w:rsidR="000B46F0" w:rsidRPr="00EF0006">
        <w:t>Australia</w:t>
      </w:r>
      <w:r w:rsidR="00B32C61">
        <w:t>n</w:t>
      </w:r>
      <w:r w:rsidR="000B46F0" w:rsidRPr="00EF0006">
        <w:t xml:space="preserve"> </w:t>
      </w:r>
      <w:r w:rsidR="00B32C61">
        <w:t>funded bui</w:t>
      </w:r>
      <w:r w:rsidR="00B47D1D">
        <w:t xml:space="preserve">ldings </w:t>
      </w:r>
      <w:r w:rsidR="00B32C61">
        <w:t xml:space="preserve">were opened </w:t>
      </w:r>
      <w:r w:rsidR="00B47D1D">
        <w:t xml:space="preserve">at </w:t>
      </w:r>
      <w:r w:rsidR="00B32C61">
        <w:t>th</w:t>
      </w:r>
      <w:r w:rsidR="00B47D1D">
        <w:t>e Pacific Institute of Leadership and Governance and the University of Papua New Guinea</w:t>
      </w:r>
      <w:r w:rsidR="00B32C61">
        <w:t>.</w:t>
      </w:r>
      <w:r w:rsidR="00FF4BD9">
        <w:t xml:space="preserve"> </w:t>
      </w:r>
      <w:r w:rsidR="00B32C61">
        <w:t xml:space="preserve">These </w:t>
      </w:r>
      <w:r w:rsidR="000B46F0" w:rsidRPr="00EF0006">
        <w:t xml:space="preserve">world-class facilities will help </w:t>
      </w:r>
      <w:r w:rsidR="006C7EA2" w:rsidRPr="00EF0006">
        <w:t xml:space="preserve">develop </w:t>
      </w:r>
      <w:r w:rsidRPr="00EF0006">
        <w:t xml:space="preserve">the next </w:t>
      </w:r>
      <w:r w:rsidR="000B46F0" w:rsidRPr="00EF0006">
        <w:t>generation of public service leaders in Papua New Guinea</w:t>
      </w:r>
      <w:r w:rsidR="006C7EA2" w:rsidRPr="00EF0006">
        <w:t>.</w:t>
      </w:r>
      <w:r w:rsidR="000B46F0" w:rsidRPr="00EF0006">
        <w:t xml:space="preserve"> </w:t>
      </w:r>
      <w:r w:rsidR="006C7EA2" w:rsidRPr="00EF0006">
        <w:t xml:space="preserve">Over </w:t>
      </w:r>
      <w:r w:rsidR="00383C1F">
        <w:t xml:space="preserve">1,500 </w:t>
      </w:r>
      <w:r w:rsidR="006C7EA2" w:rsidRPr="00EF0006">
        <w:t>Papua New Guineans</w:t>
      </w:r>
      <w:r w:rsidR="00E62000">
        <w:t xml:space="preserve"> have directly benefitted from </w:t>
      </w:r>
      <w:r w:rsidR="006C7EA2" w:rsidRPr="00EF0006">
        <w:t>Precinct courses</w:t>
      </w:r>
      <w:r w:rsidR="00EE3613">
        <w:t xml:space="preserve"> and events</w:t>
      </w:r>
      <w:r w:rsidR="00063017" w:rsidRPr="00EF0006">
        <w:t xml:space="preserve"> in 2017-18</w:t>
      </w:r>
      <w:r w:rsidR="006C7EA2" w:rsidRPr="00EF0006">
        <w:t xml:space="preserve">, and </w:t>
      </w:r>
      <w:r w:rsidRPr="00EF0006">
        <w:t xml:space="preserve">the Precinct has </w:t>
      </w:r>
      <w:r w:rsidR="006C7EA2" w:rsidRPr="00EF0006">
        <w:t>expanded</w:t>
      </w:r>
      <w:r w:rsidRPr="00EF0006">
        <w:t xml:space="preserve"> </w:t>
      </w:r>
      <w:r w:rsidR="00B32C61">
        <w:t>to</w:t>
      </w:r>
      <w:r w:rsidRPr="00EF0006">
        <w:t xml:space="preserve"> </w:t>
      </w:r>
      <w:r w:rsidR="00A3634E">
        <w:t>delivering courses at</w:t>
      </w:r>
      <w:r w:rsidR="00A3634E" w:rsidRPr="00EF0006">
        <w:t xml:space="preserve"> </w:t>
      </w:r>
      <w:r w:rsidR="000B46F0" w:rsidRPr="00EF0006">
        <w:t>regional</w:t>
      </w:r>
      <w:r w:rsidRPr="00EF0006">
        <w:t xml:space="preserve"> training</w:t>
      </w:r>
      <w:r w:rsidR="000B46F0" w:rsidRPr="00EF0006">
        <w:t xml:space="preserve"> centres.</w:t>
      </w:r>
    </w:p>
    <w:p w14:paraId="3CAD80E4" w14:textId="0E8346AE" w:rsidR="004074A0" w:rsidRPr="00EF0006" w:rsidRDefault="004074A0" w:rsidP="004074A0">
      <w:pPr>
        <w:rPr>
          <w:lang w:val="en-US"/>
        </w:rPr>
      </w:pPr>
      <w:r w:rsidRPr="008E6726">
        <w:rPr>
          <w:lang w:val="en-US"/>
        </w:rPr>
        <w:t>In 2017, Australia supported the maintenance and reconstruction of 1,981 kilometres of roads across 10 of</w:t>
      </w:r>
      <w:r>
        <w:rPr>
          <w:lang w:val="en-US"/>
        </w:rPr>
        <w:t xml:space="preserve"> Papua New Guinea</w:t>
      </w:r>
      <w:r w:rsidRPr="008E6726">
        <w:rPr>
          <w:lang w:val="en-US"/>
        </w:rPr>
        <w:t xml:space="preserve">’s 22 provinces and </w:t>
      </w:r>
      <w:r w:rsidR="00673B11">
        <w:rPr>
          <w:lang w:val="en-US"/>
        </w:rPr>
        <w:t xml:space="preserve">in </w:t>
      </w:r>
      <w:r w:rsidRPr="008E6726">
        <w:rPr>
          <w:lang w:val="en-US"/>
        </w:rPr>
        <w:t xml:space="preserve">the Autonomous Region of Bougainville, almost doubling the performance target of 1,000 kilometres. </w:t>
      </w:r>
      <w:r w:rsidR="00673B11">
        <w:rPr>
          <w:lang w:val="en-US"/>
        </w:rPr>
        <w:t>Australia’s</w:t>
      </w:r>
      <w:r w:rsidR="00673B11" w:rsidRPr="00EF0006">
        <w:rPr>
          <w:lang w:val="en-US"/>
        </w:rPr>
        <w:t xml:space="preserve"> </w:t>
      </w:r>
      <w:r w:rsidRPr="00EF0006">
        <w:rPr>
          <w:lang w:val="en-US"/>
        </w:rPr>
        <w:t>support to the transport sector improves the lives of ordinary Papua New Guineans linking farmers to markets, businesses to customers, and enabling people and communities to access services.</w:t>
      </w:r>
    </w:p>
    <w:p w14:paraId="673681E5" w14:textId="31FE7BFA" w:rsidR="00D1250A" w:rsidRDefault="00D1250A" w:rsidP="00D1250A">
      <w:pPr>
        <w:spacing w:after="0" w:line="240" w:lineRule="auto"/>
      </w:pPr>
      <w:r>
        <w:lastRenderedPageBreak/>
        <w:t xml:space="preserve">An Australian-funded project with the Papua New Guinea Internal Revenue Commission strengthened early collection and voluntary lodgement compliance. The project helped increase the Government </w:t>
      </w:r>
      <w:r w:rsidR="00564CA7">
        <w:t xml:space="preserve">of </w:t>
      </w:r>
      <w:r>
        <w:t xml:space="preserve">Papua New Guinea’s tax revenue by </w:t>
      </w:r>
      <w:r w:rsidR="00FF4BD9">
        <w:t>PGK</w:t>
      </w:r>
      <w:r>
        <w:t>315 million</w:t>
      </w:r>
      <w:r w:rsidR="00C32991">
        <w:t xml:space="preserve"> (AUD130 million)</w:t>
      </w:r>
      <w:r>
        <w:t xml:space="preserve">, an 18 per cent </w:t>
      </w:r>
      <w:r w:rsidR="00C32991">
        <w:t>increase</w:t>
      </w:r>
      <w:r>
        <w:t xml:space="preserve"> on pre-project figures. </w:t>
      </w:r>
    </w:p>
    <w:p w14:paraId="31220A94" w14:textId="77777777" w:rsidR="009F465B" w:rsidRPr="00EF0006" w:rsidRDefault="009F465B" w:rsidP="006E21A9">
      <w:pPr>
        <w:rPr>
          <w:lang w:val="en-US"/>
        </w:rPr>
      </w:pPr>
      <w:r w:rsidRPr="00EF0006">
        <w:t xml:space="preserve">In November 2017, Australia </w:t>
      </w:r>
      <w:r w:rsidR="00063017" w:rsidRPr="00EF0006">
        <w:t xml:space="preserve">agreed </w:t>
      </w:r>
      <w:r w:rsidRPr="00EF0006">
        <w:t xml:space="preserve">to </w:t>
      </w:r>
      <w:r w:rsidR="00B32C61">
        <w:t>co-</w:t>
      </w:r>
      <w:r w:rsidR="00063017" w:rsidRPr="00EF0006">
        <w:t>fund</w:t>
      </w:r>
      <w:r w:rsidRPr="00EF0006">
        <w:t xml:space="preserve"> </w:t>
      </w:r>
      <w:r w:rsidR="00B32C61">
        <w:t>the Coral Sea Cable System</w:t>
      </w:r>
      <w:r w:rsidRPr="00EF0006">
        <w:t xml:space="preserve"> </w:t>
      </w:r>
      <w:r w:rsidR="00B32C61">
        <w:t xml:space="preserve">with the governments of </w:t>
      </w:r>
      <w:r w:rsidRPr="00EF0006">
        <w:rPr>
          <w:lang w:val="en-US"/>
        </w:rPr>
        <w:t>Papua New Guinea</w:t>
      </w:r>
      <w:r w:rsidRPr="00EF0006">
        <w:t xml:space="preserve"> and the Solomon Islands.</w:t>
      </w:r>
      <w:r w:rsidR="00BA4E94" w:rsidRPr="00EF0006">
        <w:t xml:space="preserve"> </w:t>
      </w:r>
      <w:r w:rsidR="004E4DC9" w:rsidRPr="00EF0006">
        <w:rPr>
          <w:lang w:val="en-US"/>
        </w:rPr>
        <w:t>Once complete</w:t>
      </w:r>
      <w:r w:rsidR="00063017" w:rsidRPr="00EF0006">
        <w:rPr>
          <w:lang w:val="en-US"/>
        </w:rPr>
        <w:t>,</w:t>
      </w:r>
      <w:r w:rsidR="004E4DC9" w:rsidRPr="00EF0006">
        <w:rPr>
          <w:lang w:val="en-US"/>
        </w:rPr>
        <w:t xml:space="preserve"> the cable will </w:t>
      </w:r>
      <w:r w:rsidR="00EA4C12">
        <w:rPr>
          <w:lang w:val="en-US"/>
        </w:rPr>
        <w:t xml:space="preserve">have a transformative impact on internet connectivity in Papua New Guinea which currently has some of the highest internet prices, and poorest connectivity, in the world. The cables will provide 20,000 gigabits per second capability, compared to Papua New Guinea’s current bandwidth of 21 gigabits per second. The improvements to internet </w:t>
      </w:r>
      <w:r w:rsidR="00CC6D95">
        <w:rPr>
          <w:lang w:val="en-US"/>
        </w:rPr>
        <w:t xml:space="preserve">connectivity will translate into </w:t>
      </w:r>
      <w:r w:rsidR="004E4DC9" w:rsidRPr="00EF0006">
        <w:rPr>
          <w:lang w:val="en-US"/>
        </w:rPr>
        <w:t xml:space="preserve">economic and development benefits </w:t>
      </w:r>
      <w:r w:rsidR="00CC6D95">
        <w:rPr>
          <w:lang w:val="en-US"/>
        </w:rPr>
        <w:t>for</w:t>
      </w:r>
      <w:r w:rsidR="004E4DC9" w:rsidRPr="00EF0006">
        <w:rPr>
          <w:lang w:val="en-US"/>
        </w:rPr>
        <w:t xml:space="preserve"> </w:t>
      </w:r>
      <w:r w:rsidR="00FF4BD9" w:rsidRPr="00724EF3">
        <w:t>Papua New Guinea</w:t>
      </w:r>
      <w:r w:rsidR="004E4DC9" w:rsidRPr="00EF0006">
        <w:rPr>
          <w:lang w:val="en-US"/>
        </w:rPr>
        <w:t>.</w:t>
      </w:r>
    </w:p>
    <w:p w14:paraId="01FCA82F" w14:textId="10818645" w:rsidR="00535C9F" w:rsidRDefault="00D44046" w:rsidP="00610F13">
      <w:r>
        <w:t xml:space="preserve">In 2017-18, Australia provided support </w:t>
      </w:r>
      <w:r w:rsidR="008E4247">
        <w:t xml:space="preserve">that </w:t>
      </w:r>
      <w:r>
        <w:t>facilitat</w:t>
      </w:r>
      <w:r w:rsidR="008E4247">
        <w:t>ed</w:t>
      </w:r>
      <w:r>
        <w:t xml:space="preserve"> the </w:t>
      </w:r>
      <w:r w:rsidR="00317144" w:rsidRPr="00EF0006">
        <w:t>e</w:t>
      </w:r>
      <w:r>
        <w:t xml:space="preserve">xpansion of </w:t>
      </w:r>
      <w:r w:rsidR="00CD1238">
        <w:t>Asian Development Bank</w:t>
      </w:r>
      <w:r w:rsidR="00564CA7">
        <w:t xml:space="preserve"> (ADB)</w:t>
      </w:r>
      <w:r>
        <w:t xml:space="preserve"> and </w:t>
      </w:r>
      <w:r w:rsidR="00CD1238">
        <w:t>World Bank</w:t>
      </w:r>
      <w:r>
        <w:t xml:space="preserve"> activity</w:t>
      </w:r>
      <w:r w:rsidR="008E5CF0">
        <w:t xml:space="preserve"> in Papua New Guinea</w:t>
      </w:r>
      <w:r>
        <w:t xml:space="preserve">. </w:t>
      </w:r>
      <w:r w:rsidR="002B30F7">
        <w:t xml:space="preserve">In 2017 an ADB funding package of USD195 million to support healthcare services in Papua New Guinea was announced, and we expect a significant increase in multilateral assistance to </w:t>
      </w:r>
      <w:r w:rsidR="00FF4BD9" w:rsidRPr="00724EF3">
        <w:t xml:space="preserve">Papua New Guinea </w:t>
      </w:r>
      <w:r w:rsidR="002B30F7">
        <w:t xml:space="preserve">in the </w:t>
      </w:r>
      <w:r w:rsidR="00CD1A7A">
        <w:t>future</w:t>
      </w:r>
      <w:r w:rsidR="002B30F7">
        <w:t>.</w:t>
      </w:r>
      <w:r w:rsidR="00FF4BD9">
        <w:t xml:space="preserve"> </w:t>
      </w:r>
    </w:p>
    <w:p w14:paraId="54CCD370" w14:textId="74E40EAF" w:rsidR="008A1907" w:rsidRPr="00EF0006" w:rsidRDefault="008A1907" w:rsidP="000827FB">
      <w:r w:rsidRPr="00EF0006">
        <w:t xml:space="preserve">Australia assisted </w:t>
      </w:r>
      <w:r w:rsidR="00526990" w:rsidRPr="00EF0006">
        <w:t xml:space="preserve">Papua New Guinea </w:t>
      </w:r>
      <w:r w:rsidRPr="00EF0006">
        <w:t>to address gender</w:t>
      </w:r>
      <w:r w:rsidR="000D2C45" w:rsidRPr="00EF0006">
        <w:noBreakHyphen/>
      </w:r>
      <w:r w:rsidRPr="00EF0006">
        <w:t>based violence by</w:t>
      </w:r>
      <w:r w:rsidR="000827FB" w:rsidRPr="00EF0006">
        <w:t xml:space="preserve"> supporting improved service delivery, prevention pathways, advocacy coalitions and referral pathways</w:t>
      </w:r>
      <w:r w:rsidRPr="00EF0006">
        <w:t>.</w:t>
      </w:r>
      <w:r w:rsidR="00F268DC">
        <w:t xml:space="preserve"> </w:t>
      </w:r>
      <w:r w:rsidR="00F268DC" w:rsidRPr="00A061D7">
        <w:t xml:space="preserve">In 2017-18, </w:t>
      </w:r>
      <w:r w:rsidR="004C44D8" w:rsidRPr="004C44D8">
        <w:rPr>
          <w:i/>
        </w:rPr>
        <w:t xml:space="preserve">Pacific Women Shaping Pacific Development </w:t>
      </w:r>
      <w:r w:rsidR="00F268DC" w:rsidRPr="00A061D7">
        <w:t xml:space="preserve">projects enabled more than </w:t>
      </w:r>
      <w:r w:rsidR="00942CDE">
        <w:t>19,000</w:t>
      </w:r>
      <w:r w:rsidR="00942CDE" w:rsidRPr="00A061D7">
        <w:t xml:space="preserve"> </w:t>
      </w:r>
      <w:r w:rsidR="00F268DC" w:rsidRPr="00A061D7">
        <w:t>wo</w:t>
      </w:r>
      <w:r w:rsidR="00EC28E5">
        <w:t xml:space="preserve">men and girls to access support, </w:t>
      </w:r>
      <w:r w:rsidR="00F268DC" w:rsidRPr="00A061D7">
        <w:t xml:space="preserve">including counselling, health </w:t>
      </w:r>
      <w:r w:rsidR="002E0908">
        <w:t>and</w:t>
      </w:r>
      <w:r w:rsidR="00F268DC" w:rsidRPr="00A061D7">
        <w:t xml:space="preserve"> justice services, including for sorcery accusation-related cases</w:t>
      </w:r>
    </w:p>
    <w:p w14:paraId="50D84AA7" w14:textId="77777777" w:rsidR="00564CA7" w:rsidRPr="00EF0006" w:rsidRDefault="00564CA7" w:rsidP="00564CA7">
      <w:pPr>
        <w:rPr>
          <w:lang w:val="en-US"/>
        </w:rPr>
      </w:pPr>
      <w:r w:rsidRPr="00EF0006">
        <w:rPr>
          <w:lang w:val="en-US"/>
        </w:rPr>
        <w:t>The Climate Change Action Plan was signed by Minister John Pundari (</w:t>
      </w:r>
      <w:r w:rsidRPr="00EF0006">
        <w:t xml:space="preserve">Papua New Guinea </w:t>
      </w:r>
      <w:r w:rsidRPr="00EF0006">
        <w:rPr>
          <w:lang w:val="en-US"/>
        </w:rPr>
        <w:t>Minister for Environment and Climate Change) and Minister Frydenberg</w:t>
      </w:r>
      <w:r>
        <w:rPr>
          <w:lang w:val="en-US"/>
        </w:rPr>
        <w:t xml:space="preserve"> (then Minister for the Environment and Energy)</w:t>
      </w:r>
      <w:r w:rsidRPr="00EF0006">
        <w:rPr>
          <w:lang w:val="en-US"/>
        </w:rPr>
        <w:t xml:space="preserve"> in May 2018. </w:t>
      </w:r>
      <w:r>
        <w:t>The Action Plan sets the foundations for practical and long-term collaboration between Papua New Guinea and Australia on climate change</w:t>
      </w:r>
      <w:r>
        <w:rPr>
          <w:lang w:val="en-US"/>
        </w:rPr>
        <w:t>.</w:t>
      </w:r>
    </w:p>
    <w:p w14:paraId="14B4C6C8" w14:textId="1DCAB6F2" w:rsidR="00564E2A" w:rsidRPr="00724EF3" w:rsidRDefault="00C6626C" w:rsidP="004E0B9E">
      <w:pPr>
        <w:pStyle w:val="ListBullet"/>
        <w:tabs>
          <w:tab w:val="clear" w:pos="284"/>
        </w:tabs>
        <w:spacing w:before="360"/>
        <w:rPr>
          <w:kern w:val="28"/>
        </w:rPr>
      </w:pPr>
      <w:r w:rsidRPr="00724EF3">
        <w:rPr>
          <w:rFonts w:asciiTheme="majorHAnsi" w:eastAsiaTheme="majorEastAsia" w:hAnsiTheme="majorHAnsi" w:cstheme="majorBidi"/>
          <w:caps/>
          <w:color w:val="495965" w:themeColor="text2"/>
          <w:sz w:val="38"/>
          <w:szCs w:val="26"/>
          <w:lang w:val="en-GB" w:eastAsia="en-US"/>
        </w:rPr>
        <w:t>Context</w:t>
      </w:r>
    </w:p>
    <w:p w14:paraId="763A9F86" w14:textId="77777777" w:rsidR="007D10EA" w:rsidRDefault="00610F13" w:rsidP="00F13FA3">
      <w:r w:rsidRPr="00724EF3">
        <w:t xml:space="preserve">With less than four kilometres separating the two countries, Papua New Guinea </w:t>
      </w:r>
      <w:r w:rsidR="004D6C93">
        <w:t xml:space="preserve">and Australia </w:t>
      </w:r>
      <w:r w:rsidRPr="00724EF3">
        <w:t>will always be of critical stra</w:t>
      </w:r>
      <w:r w:rsidR="00547668" w:rsidRPr="00724EF3">
        <w:t xml:space="preserve">tegic importance to </w:t>
      </w:r>
      <w:r w:rsidR="004D6C93">
        <w:t>each other</w:t>
      </w:r>
      <w:r w:rsidR="00547668" w:rsidRPr="00724EF3">
        <w:t xml:space="preserve">. </w:t>
      </w:r>
      <w:r w:rsidR="003E1047">
        <w:t>This is reflected in deep trade and investment ties, close cooperation on security matters and well-established and expanding people-to-people links.</w:t>
      </w:r>
      <w:r w:rsidR="00FF4BD9">
        <w:t xml:space="preserve"> </w:t>
      </w:r>
      <w:r w:rsidR="003E1047">
        <w:t xml:space="preserve"> </w:t>
      </w:r>
      <w:r w:rsidR="00FF4BD9">
        <w:t xml:space="preserve"> </w:t>
      </w:r>
    </w:p>
    <w:p w14:paraId="4206D2B6" w14:textId="0CFB8D8A" w:rsidR="007D10EA" w:rsidRDefault="00A3634E" w:rsidP="00610F13">
      <w:r>
        <w:t>Papua New Guinea’s</w:t>
      </w:r>
      <w:r w:rsidR="00C42DA1" w:rsidRPr="00C42DA1">
        <w:t xml:space="preserve"> economy </w:t>
      </w:r>
      <w:r w:rsidR="00C4148B">
        <w:t xml:space="preserve">is </w:t>
      </w:r>
      <w:r w:rsidR="00C42DA1" w:rsidRPr="00C42DA1">
        <w:t>dominated by five sectors: the mineral and energy sectors, which account for the majority of export earnings; and the agricultural, forestry, and fishing sectors, which engage most of the labour force (the majority informally).</w:t>
      </w:r>
      <w:r w:rsidR="00FF4BD9">
        <w:t xml:space="preserve"> </w:t>
      </w:r>
    </w:p>
    <w:p w14:paraId="1ACE73D9" w14:textId="6D0ED7F8" w:rsidR="004D6C93" w:rsidRDefault="007D10EA" w:rsidP="00610F13">
      <w:r w:rsidRPr="007D10EA">
        <w:t>As a resource dependent economy,</w:t>
      </w:r>
      <w:r w:rsidR="007A7749">
        <w:t xml:space="preserve"> government</w:t>
      </w:r>
      <w:r w:rsidRPr="007D10EA">
        <w:t xml:space="preserve"> </w:t>
      </w:r>
      <w:r w:rsidR="007A7749">
        <w:t xml:space="preserve">revenue has </w:t>
      </w:r>
      <w:r w:rsidR="00B968C7">
        <w:t>slumped</w:t>
      </w:r>
      <w:r w:rsidR="007A7749">
        <w:t xml:space="preserve"> due to the downturn in </w:t>
      </w:r>
      <w:r w:rsidR="007A7749" w:rsidRPr="007D10EA">
        <w:t>international commodity prices</w:t>
      </w:r>
      <w:r w:rsidR="007A7749">
        <w:t xml:space="preserve">, and </w:t>
      </w:r>
      <w:r w:rsidRPr="007D10EA">
        <w:t>Papua New Guinea is facing a</w:t>
      </w:r>
      <w:r w:rsidR="007A7749">
        <w:t xml:space="preserve"> </w:t>
      </w:r>
      <w:r w:rsidRPr="007D10EA">
        <w:t xml:space="preserve">challenging economic outlook over the short to </w:t>
      </w:r>
      <w:r w:rsidR="00C4148B">
        <w:t>medium-</w:t>
      </w:r>
      <w:r w:rsidRPr="007D10EA">
        <w:t xml:space="preserve">term. Economic growth fell from an average of </w:t>
      </w:r>
      <w:r w:rsidR="005E4972">
        <w:t>7</w:t>
      </w:r>
      <w:r w:rsidR="005E4972" w:rsidRPr="007D10EA">
        <w:t xml:space="preserve"> </w:t>
      </w:r>
      <w:r w:rsidRPr="007D10EA">
        <w:t>per cent for the five years to 2016, to</w:t>
      </w:r>
      <w:r w:rsidR="00B968C7">
        <w:t xml:space="preserve"> just </w:t>
      </w:r>
      <w:r w:rsidR="00440236" w:rsidRPr="00A4474E">
        <w:t>2</w:t>
      </w:r>
      <w:r w:rsidR="00BD4E4F">
        <w:t> </w:t>
      </w:r>
      <w:r w:rsidRPr="007D10EA">
        <w:t xml:space="preserve">per cent </w:t>
      </w:r>
      <w:r w:rsidR="00A361DB">
        <w:t xml:space="preserve">in </w:t>
      </w:r>
      <w:r w:rsidRPr="007D10EA">
        <w:t xml:space="preserve">2017. </w:t>
      </w:r>
      <w:r w:rsidR="00B968C7">
        <w:t xml:space="preserve">With the significant decrease in government revenues, the government has taken on increased </w:t>
      </w:r>
      <w:r w:rsidRPr="007D10EA">
        <w:t>public debt</w:t>
      </w:r>
      <w:r w:rsidR="009505A9">
        <w:t>. F</w:t>
      </w:r>
      <w:r w:rsidR="00127C81">
        <w:t>oreign exchange restrictions</w:t>
      </w:r>
      <w:r w:rsidR="009505A9">
        <w:t xml:space="preserve"> are</w:t>
      </w:r>
      <w:r w:rsidR="00127C81">
        <w:t xml:space="preserve"> affecting enterprises </w:t>
      </w:r>
      <w:r w:rsidR="009505A9">
        <w:t>engaged in</w:t>
      </w:r>
      <w:r w:rsidR="00127C81">
        <w:t xml:space="preserve"> international business</w:t>
      </w:r>
      <w:r w:rsidRPr="007D10EA">
        <w:t xml:space="preserve">. Official debt levels have </w:t>
      </w:r>
      <w:r w:rsidR="00A4474E">
        <w:t>quadrupled</w:t>
      </w:r>
      <w:r w:rsidR="00A4474E" w:rsidRPr="007D10EA">
        <w:t xml:space="preserve"> </w:t>
      </w:r>
      <w:r w:rsidRPr="007D10EA">
        <w:t>since 2011</w:t>
      </w:r>
      <w:r w:rsidR="000D022D">
        <w:t xml:space="preserve">. </w:t>
      </w:r>
      <w:r w:rsidRPr="007D10EA">
        <w:t xml:space="preserve">While Papua New Guinea’s long-term economic outlook </w:t>
      </w:r>
      <w:r w:rsidR="00233D2F">
        <w:t>may be more</w:t>
      </w:r>
      <w:r w:rsidR="00233D2F" w:rsidRPr="007D10EA">
        <w:t xml:space="preserve"> </w:t>
      </w:r>
      <w:r w:rsidRPr="007D10EA">
        <w:t xml:space="preserve">positive, </w:t>
      </w:r>
      <w:r w:rsidR="006D6BBD">
        <w:t>largely driven by i</w:t>
      </w:r>
      <w:r w:rsidRPr="007D10EA">
        <w:t xml:space="preserve">ts natural resource wealth, it continues to face </w:t>
      </w:r>
      <w:r w:rsidR="00B968C7">
        <w:t>immense</w:t>
      </w:r>
      <w:r w:rsidR="00B968C7" w:rsidRPr="007D10EA">
        <w:t xml:space="preserve"> </w:t>
      </w:r>
      <w:r w:rsidRPr="007D10EA">
        <w:t xml:space="preserve">development challenges. </w:t>
      </w:r>
    </w:p>
    <w:p w14:paraId="7D3F1C9A" w14:textId="532EB11E" w:rsidR="00A80FE4" w:rsidRDefault="00E84A1B" w:rsidP="00A80FE4">
      <w:pPr>
        <w:rPr>
          <w:rFonts w:cs="Helvetica"/>
          <w:lang w:val="en"/>
        </w:rPr>
      </w:pPr>
      <w:r>
        <w:t>Papua New Guinea is in a period of</w:t>
      </w:r>
      <w:r w:rsidRPr="00E84A1B">
        <w:t xml:space="preserve"> rapid population growth </w:t>
      </w:r>
      <w:r w:rsidR="0046525E">
        <w:t>and its</w:t>
      </w:r>
      <w:r w:rsidR="00C42DA1">
        <w:t xml:space="preserve"> human </w:t>
      </w:r>
      <w:r w:rsidR="004D3C54" w:rsidRPr="00724EF3">
        <w:t xml:space="preserve">development indicators—such as maternal, child and infant mortality, the </w:t>
      </w:r>
      <w:r w:rsidR="00192D9B">
        <w:t>prevalence</w:t>
      </w:r>
      <w:r w:rsidR="00192D9B" w:rsidRPr="00724EF3">
        <w:t xml:space="preserve"> </w:t>
      </w:r>
      <w:r w:rsidR="004D3C54" w:rsidRPr="00724EF3">
        <w:t>of communicable diseases, and access to clean water and sanitation—are poor.</w:t>
      </w:r>
      <w:r w:rsidR="004D3C54">
        <w:t xml:space="preserve"> </w:t>
      </w:r>
      <w:r w:rsidR="00DC2044">
        <w:t xml:space="preserve">Around 80 per cent </w:t>
      </w:r>
      <w:r w:rsidR="00480231" w:rsidRPr="00724EF3">
        <w:rPr>
          <w:rFonts w:cs="Helvetica"/>
          <w:lang w:val="en"/>
        </w:rPr>
        <w:t xml:space="preserve">of the country’s population of </w:t>
      </w:r>
      <w:r w:rsidR="004D3C54">
        <w:rPr>
          <w:rFonts w:cs="Helvetica"/>
          <w:lang w:val="en"/>
        </w:rPr>
        <w:t>over</w:t>
      </w:r>
      <w:r w:rsidR="00480231" w:rsidRPr="00724EF3">
        <w:rPr>
          <w:rFonts w:cs="Helvetica"/>
          <w:lang w:val="en"/>
        </w:rPr>
        <w:t xml:space="preserve"> </w:t>
      </w:r>
      <w:r w:rsidR="00C4148B">
        <w:rPr>
          <w:rFonts w:cs="Helvetica"/>
          <w:lang w:val="en"/>
        </w:rPr>
        <w:t>eight</w:t>
      </w:r>
      <w:r w:rsidR="00480231" w:rsidRPr="00724EF3">
        <w:rPr>
          <w:rFonts w:cs="Helvetica"/>
          <w:lang w:val="en"/>
        </w:rPr>
        <w:t xml:space="preserve"> million people live in rural </w:t>
      </w:r>
      <w:r w:rsidR="004D6C93">
        <w:rPr>
          <w:rFonts w:cs="Helvetica"/>
          <w:lang w:val="en"/>
        </w:rPr>
        <w:t>communities</w:t>
      </w:r>
      <w:r w:rsidR="00480231" w:rsidRPr="00724EF3">
        <w:rPr>
          <w:rFonts w:cs="Helvetica"/>
          <w:lang w:val="en"/>
        </w:rPr>
        <w:t xml:space="preserve"> </w:t>
      </w:r>
      <w:r w:rsidR="00B471A4">
        <w:rPr>
          <w:rFonts w:cs="Helvetica"/>
          <w:lang w:val="en"/>
        </w:rPr>
        <w:t xml:space="preserve">and </w:t>
      </w:r>
      <w:r w:rsidR="00B471A4" w:rsidRPr="005B59E7">
        <w:rPr>
          <w:rFonts w:cs="Helvetica"/>
          <w:lang w:val="en"/>
        </w:rPr>
        <w:t xml:space="preserve">do not have access to schools with adequate facilities or staff, medical clinics with </w:t>
      </w:r>
      <w:r w:rsidR="00192D9B">
        <w:rPr>
          <w:rFonts w:cs="Helvetica"/>
          <w:lang w:val="en"/>
        </w:rPr>
        <w:t>sufficient</w:t>
      </w:r>
      <w:r w:rsidR="00192D9B" w:rsidRPr="005B59E7">
        <w:rPr>
          <w:rFonts w:cs="Helvetica"/>
          <w:lang w:val="en"/>
        </w:rPr>
        <w:t xml:space="preserve"> </w:t>
      </w:r>
      <w:r w:rsidR="00B471A4" w:rsidRPr="005B59E7">
        <w:rPr>
          <w:rFonts w:cs="Helvetica"/>
          <w:lang w:val="en"/>
        </w:rPr>
        <w:t>staff and drugs, toilets, electricity, running water or jobs.</w:t>
      </w:r>
      <w:r w:rsidR="00802390">
        <w:rPr>
          <w:rFonts w:cs="Helvetica"/>
          <w:lang w:val="en"/>
        </w:rPr>
        <w:t xml:space="preserve"> </w:t>
      </w:r>
    </w:p>
    <w:p w14:paraId="793938CD" w14:textId="2B1EC62A" w:rsidR="00703F9A" w:rsidRPr="00703F9A" w:rsidRDefault="00DF0B27" w:rsidP="00703F9A">
      <w:pPr>
        <w:rPr>
          <w:lang w:val="en-US"/>
        </w:rPr>
      </w:pPr>
      <w:r w:rsidRPr="00724EF3">
        <w:t>Gender inequality is a</w:t>
      </w:r>
      <w:r w:rsidR="00E926B7">
        <w:t xml:space="preserve"> significant</w:t>
      </w:r>
      <w:r w:rsidR="00192D9B">
        <w:t xml:space="preserve"> </w:t>
      </w:r>
      <w:r w:rsidRPr="00724EF3">
        <w:t xml:space="preserve">social, political and economic issue in </w:t>
      </w:r>
      <w:r w:rsidR="007E0950" w:rsidRPr="00724EF3">
        <w:t>Papua New Guinea</w:t>
      </w:r>
      <w:r w:rsidR="005E4972">
        <w:t>. V</w:t>
      </w:r>
      <w:r w:rsidRPr="00724EF3">
        <w:t>iolence against women is unacceptably high, women’s access to economic development opportunities is much less than men’s and women are often excluded from</w:t>
      </w:r>
      <w:r w:rsidR="00D57809">
        <w:t xml:space="preserve"> formal</w:t>
      </w:r>
      <w:r w:rsidRPr="00724EF3">
        <w:t xml:space="preserve"> leadership roles. </w:t>
      </w:r>
    </w:p>
    <w:p w14:paraId="2345103A" w14:textId="0D6B2766" w:rsidR="00D51601" w:rsidRPr="00724EF3" w:rsidRDefault="00703F9A" w:rsidP="00D51601">
      <w:r w:rsidRPr="00724EF3">
        <w:lastRenderedPageBreak/>
        <w:t xml:space="preserve">Papua New Guinea </w:t>
      </w:r>
      <w:r w:rsidR="00942CDE">
        <w:t>has</w:t>
      </w:r>
      <w:r w:rsidR="00942CDE" w:rsidRPr="00724EF3">
        <w:t xml:space="preserve"> </w:t>
      </w:r>
      <w:r w:rsidR="004B0710">
        <w:t xml:space="preserve">a mountainous </w:t>
      </w:r>
      <w:r w:rsidR="00942CDE">
        <w:t xml:space="preserve">mainland and over 600 islands </w:t>
      </w:r>
      <w:r w:rsidR="00D65DE6">
        <w:t>making</w:t>
      </w:r>
      <w:r w:rsidR="004B0710">
        <w:t xml:space="preserve"> service delivery difficult. It is also </w:t>
      </w:r>
      <w:r w:rsidR="00B658BF" w:rsidRPr="00724EF3">
        <w:t xml:space="preserve">one of the most disaster-prone countries in the </w:t>
      </w:r>
      <w:r w:rsidR="00C42DA1">
        <w:t>world</w:t>
      </w:r>
      <w:r w:rsidR="00B658BF" w:rsidRPr="00724EF3">
        <w:t xml:space="preserve">, </w:t>
      </w:r>
      <w:r w:rsidR="00D603B9">
        <w:t>experiencing</w:t>
      </w:r>
      <w:r w:rsidR="00A361DB">
        <w:t xml:space="preserve"> devastating earthquakes </w:t>
      </w:r>
      <w:r w:rsidR="00D603B9">
        <w:t>in</w:t>
      </w:r>
      <w:r w:rsidR="00A361DB">
        <w:t xml:space="preserve"> </w:t>
      </w:r>
      <w:r w:rsidR="006C6041">
        <w:t xml:space="preserve">four </w:t>
      </w:r>
      <w:r w:rsidR="00FE3A64">
        <w:t xml:space="preserve">highlands </w:t>
      </w:r>
      <w:r w:rsidR="006C6041">
        <w:t xml:space="preserve">provinces </w:t>
      </w:r>
      <w:r w:rsidR="00A361DB">
        <w:t xml:space="preserve">in </w:t>
      </w:r>
      <w:r w:rsidR="00D57809">
        <w:t>February and March 2018</w:t>
      </w:r>
      <w:r w:rsidR="00A361DB">
        <w:t>.</w:t>
      </w:r>
      <w:r w:rsidR="00FF4BD9">
        <w:t xml:space="preserve"> </w:t>
      </w:r>
      <w:r w:rsidR="00A361DB">
        <w:t>Other</w:t>
      </w:r>
      <w:r w:rsidR="006841B0">
        <w:t xml:space="preserve"> </w:t>
      </w:r>
      <w:r w:rsidR="00A361DB">
        <w:t>events</w:t>
      </w:r>
      <w:r w:rsidR="00FE3A64">
        <w:t xml:space="preserve"> </w:t>
      </w:r>
      <w:r w:rsidR="00A361DB">
        <w:t xml:space="preserve">include </w:t>
      </w:r>
      <w:r w:rsidR="009F5CFD" w:rsidRPr="00724EF3">
        <w:t xml:space="preserve">volcanic eruptions, tsunamis, cyclones, flooding, </w:t>
      </w:r>
      <w:r w:rsidR="009D598D">
        <w:t>landslides</w:t>
      </w:r>
      <w:r w:rsidR="00FE03C1">
        <w:t xml:space="preserve"> and</w:t>
      </w:r>
      <w:r w:rsidR="009D598D">
        <w:t xml:space="preserve"> droughts, and </w:t>
      </w:r>
      <w:r w:rsidR="00D603B9">
        <w:t>climate change</w:t>
      </w:r>
      <w:r w:rsidR="009F5CFD" w:rsidRPr="00724EF3">
        <w:t xml:space="preserve">. </w:t>
      </w:r>
      <w:r w:rsidR="000E656C">
        <w:t>T</w:t>
      </w:r>
      <w:r w:rsidR="000E656C" w:rsidRPr="000E656C">
        <w:t>he population is highly vulnerable to natural disasters</w:t>
      </w:r>
      <w:r w:rsidR="00371536">
        <w:t xml:space="preserve"> </w:t>
      </w:r>
      <w:r w:rsidR="00B821C3">
        <w:t xml:space="preserve">and climate change </w:t>
      </w:r>
      <w:r w:rsidR="00371536">
        <w:t xml:space="preserve">being largely rural based and dependent on </w:t>
      </w:r>
      <w:r w:rsidR="00D51601" w:rsidRPr="00724EF3">
        <w:t>subsistence farming</w:t>
      </w:r>
      <w:r w:rsidR="00371536">
        <w:t xml:space="preserve">.  </w:t>
      </w:r>
    </w:p>
    <w:p w14:paraId="2B8C4F5F" w14:textId="21678E3B" w:rsidR="00610F13" w:rsidRPr="00724EF3" w:rsidRDefault="00610F13" w:rsidP="00480231">
      <w:r w:rsidRPr="00724EF3">
        <w:t>Australia is</w:t>
      </w:r>
      <w:r w:rsidR="00FA72C8" w:rsidRPr="00724EF3">
        <w:t xml:space="preserve"> Papua New Guinea’s </w:t>
      </w:r>
      <w:r w:rsidRPr="00724EF3">
        <w:t>largest donor. Our dev</w:t>
      </w:r>
      <w:r w:rsidR="00BD4E4F">
        <w:t xml:space="preserve">elopment assistance is </w:t>
      </w:r>
      <w:r w:rsidR="00416ECC" w:rsidRPr="00724EF3">
        <w:t>nearly</w:t>
      </w:r>
      <w:r w:rsidRPr="00724EF3">
        <w:t xml:space="preserve"> 70 per cent of </w:t>
      </w:r>
      <w:r w:rsidR="00FE3CEC" w:rsidRPr="00724EF3">
        <w:t>Papua New Guinea</w:t>
      </w:r>
      <w:r w:rsidRPr="00724EF3">
        <w:t xml:space="preserve">’s total Official Development Assistance (ODA), which equates to around </w:t>
      </w:r>
      <w:r w:rsidR="005E4972">
        <w:t>8</w:t>
      </w:r>
      <w:r w:rsidR="005E4972" w:rsidRPr="00724EF3">
        <w:t xml:space="preserve"> </w:t>
      </w:r>
      <w:r w:rsidRPr="00724EF3">
        <w:t xml:space="preserve">per cent of </w:t>
      </w:r>
      <w:r w:rsidR="00FE3CEC" w:rsidRPr="00724EF3">
        <w:t>Papua New Guinea</w:t>
      </w:r>
      <w:r w:rsidRPr="00724EF3">
        <w:t xml:space="preserve">’s national budget. Australian aid to </w:t>
      </w:r>
      <w:r w:rsidR="00526990" w:rsidRPr="00724EF3">
        <w:t>Papua New Guinea</w:t>
      </w:r>
      <w:r w:rsidRPr="00724EF3">
        <w:t xml:space="preserve"> in</w:t>
      </w:r>
      <w:r w:rsidR="00762E8D" w:rsidRPr="00724EF3">
        <w:t xml:space="preserve"> </w:t>
      </w:r>
      <w:r w:rsidR="00E224C2" w:rsidRPr="00724EF3">
        <w:t>2017-18</w:t>
      </w:r>
      <w:r w:rsidR="00762E8D" w:rsidRPr="00724EF3">
        <w:t xml:space="preserve"> was $</w:t>
      </w:r>
      <w:r w:rsidR="00E6292B">
        <w:t>5</w:t>
      </w:r>
      <w:r w:rsidR="00B821C3">
        <w:t>41.0</w:t>
      </w:r>
      <w:r w:rsidRPr="00724EF3">
        <w:t xml:space="preserve"> million, w</w:t>
      </w:r>
      <w:r w:rsidR="00762E8D" w:rsidRPr="00724EF3">
        <w:t>ith $</w:t>
      </w:r>
      <w:r w:rsidR="009E1565" w:rsidRPr="00724EF3">
        <w:t>47</w:t>
      </w:r>
      <w:r w:rsidR="00B821C3">
        <w:t>1.8</w:t>
      </w:r>
      <w:r w:rsidRPr="00724EF3">
        <w:t xml:space="preserve"> million delivered bilaterally. The </w:t>
      </w:r>
      <w:r w:rsidR="00491C1B">
        <w:t>ADB</w:t>
      </w:r>
      <w:r w:rsidRPr="00724EF3">
        <w:t xml:space="preserve"> </w:t>
      </w:r>
      <w:r w:rsidR="00023E85">
        <w:t xml:space="preserve">and the World Bank have </w:t>
      </w:r>
      <w:r w:rsidR="00C42DA1">
        <w:t xml:space="preserve">an </w:t>
      </w:r>
      <w:r w:rsidR="00023E85">
        <w:t xml:space="preserve">established presence </w:t>
      </w:r>
      <w:r w:rsidR="008E4247">
        <w:t xml:space="preserve">in Papua New Guinea </w:t>
      </w:r>
      <w:r w:rsidR="00023E85">
        <w:t xml:space="preserve">and are </w:t>
      </w:r>
      <w:r w:rsidR="00480231" w:rsidRPr="00724EF3">
        <w:t>scaling up their development assistance programs</w:t>
      </w:r>
      <w:r w:rsidRPr="00724EF3">
        <w:t>.</w:t>
      </w:r>
      <w:r w:rsidR="00480231" w:rsidRPr="00724EF3">
        <w:t xml:space="preserve"> Other </w:t>
      </w:r>
      <w:r w:rsidR="00C42DA1">
        <w:t xml:space="preserve">significant </w:t>
      </w:r>
      <w:r w:rsidR="00480231" w:rsidRPr="00724EF3">
        <w:t xml:space="preserve">bilateral donors </w:t>
      </w:r>
      <w:r w:rsidR="00C42DA1">
        <w:t xml:space="preserve">include China, </w:t>
      </w:r>
      <w:r w:rsidR="00480231" w:rsidRPr="00724EF3">
        <w:t>New Zealand, Japan, the European Union and the United States of America.</w:t>
      </w:r>
      <w:r w:rsidR="00FF4BD9">
        <w:t xml:space="preserve"> </w:t>
      </w:r>
    </w:p>
    <w:p w14:paraId="40CDC23C" w14:textId="4C65FB1F" w:rsidR="00610F13" w:rsidRDefault="00610F13" w:rsidP="00610F13">
      <w:r w:rsidRPr="00724EF3">
        <w:t xml:space="preserve">Our development assistance is guided by </w:t>
      </w:r>
      <w:r w:rsidR="000E656C">
        <w:t xml:space="preserve">our </w:t>
      </w:r>
      <w:r w:rsidRPr="00724EF3">
        <w:rPr>
          <w:i/>
        </w:rPr>
        <w:t>Aid Investment Plan Papua New Guinea 2015-16 to 201</w:t>
      </w:r>
      <w:r w:rsidR="00275576" w:rsidRPr="00724EF3">
        <w:rPr>
          <w:i/>
        </w:rPr>
        <w:t>8-19</w:t>
      </w:r>
      <w:r w:rsidR="000E656C">
        <w:rPr>
          <w:i/>
        </w:rPr>
        <w:t xml:space="preserve">, </w:t>
      </w:r>
      <w:r w:rsidR="000E656C" w:rsidRPr="00A4474E">
        <w:t>which is aligned</w:t>
      </w:r>
      <w:r w:rsidR="000E656C">
        <w:rPr>
          <w:i/>
        </w:rPr>
        <w:t xml:space="preserve"> </w:t>
      </w:r>
      <w:r w:rsidRPr="00724EF3">
        <w:t xml:space="preserve">with Papua New Guinea’s existing </w:t>
      </w:r>
      <w:r w:rsidR="000E656C">
        <w:t xml:space="preserve">development </w:t>
      </w:r>
      <w:r w:rsidRPr="00724EF3">
        <w:t>frameworks and strategies</w:t>
      </w:r>
      <w:r w:rsidR="008E4247">
        <w:t>,</w:t>
      </w:r>
      <w:r w:rsidRPr="00724EF3">
        <w:t xml:space="preserve"> including </w:t>
      </w:r>
      <w:r w:rsidRPr="00724EF3">
        <w:rPr>
          <w:i/>
        </w:rPr>
        <w:t>Papua New Guinea Vision 2050</w:t>
      </w:r>
      <w:r w:rsidR="002C62C3">
        <w:rPr>
          <w:i/>
        </w:rPr>
        <w:t xml:space="preserve"> </w:t>
      </w:r>
      <w:r w:rsidR="002C62C3" w:rsidRPr="00A4474E">
        <w:t>and the</w:t>
      </w:r>
      <w:r w:rsidR="002C62C3">
        <w:rPr>
          <w:i/>
        </w:rPr>
        <w:t xml:space="preserve"> </w:t>
      </w:r>
      <w:r w:rsidRPr="00724EF3">
        <w:rPr>
          <w:i/>
        </w:rPr>
        <w:t>Papua New Guinea-Australia Aid Partnership Arrangement 201</w:t>
      </w:r>
      <w:r w:rsidR="00023E85">
        <w:rPr>
          <w:i/>
        </w:rPr>
        <w:t>7</w:t>
      </w:r>
      <w:r w:rsidRPr="00724EF3">
        <w:rPr>
          <w:i/>
        </w:rPr>
        <w:t>-201</w:t>
      </w:r>
      <w:r w:rsidR="000E656C">
        <w:rPr>
          <w:i/>
        </w:rPr>
        <w:t>9</w:t>
      </w:r>
      <w:r w:rsidRPr="00724EF3">
        <w:t>.</w:t>
      </w:r>
      <w:r w:rsidR="00A4474E">
        <w:t xml:space="preserve"> </w:t>
      </w:r>
      <w:r w:rsidR="00D57809">
        <w:t xml:space="preserve">Australia and Papua New Guinea agreed to extend </w:t>
      </w:r>
      <w:r w:rsidR="00A4474E">
        <w:t xml:space="preserve">the Aid Investment Plan and Aid Partnership Arrangement </w:t>
      </w:r>
      <w:r w:rsidR="006C6041">
        <w:t>until the 2019 Ministerial Forum</w:t>
      </w:r>
      <w:r w:rsidR="00D57809">
        <w:t xml:space="preserve"> to </w:t>
      </w:r>
      <w:r w:rsidR="00CF57CD">
        <w:t xml:space="preserve">ensure that it is aligned with </w:t>
      </w:r>
      <w:r w:rsidR="005E4972">
        <w:t>the Government of Papua New Guinea</w:t>
      </w:r>
      <w:r w:rsidR="00CF57CD">
        <w:t xml:space="preserve">’s </w:t>
      </w:r>
      <w:r w:rsidR="00D57809">
        <w:t xml:space="preserve">forthcoming </w:t>
      </w:r>
      <w:r w:rsidR="00D57809">
        <w:rPr>
          <w:i/>
        </w:rPr>
        <w:t>Medium Term Development Plan III</w:t>
      </w:r>
      <w:r w:rsidR="00A4474E">
        <w:t xml:space="preserve">. </w:t>
      </w:r>
    </w:p>
    <w:p w14:paraId="30A13FA8" w14:textId="44FAE97C" w:rsidR="00D527C2" w:rsidRDefault="00D527C2" w:rsidP="00610F13"/>
    <w:p w14:paraId="68DC20B2" w14:textId="77777777" w:rsidR="00E750CB" w:rsidRDefault="00E750CB" w:rsidP="00610F13"/>
    <w:p w14:paraId="3513CAED" w14:textId="77777777" w:rsidR="00C6626C" w:rsidRPr="002A51CA" w:rsidRDefault="00C6626C" w:rsidP="00354A00">
      <w:pPr>
        <w:suppressAutoHyphens w:val="0"/>
        <w:spacing w:before="0" w:after="120" w:line="440" w:lineRule="atLeas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Expenditure</w:t>
      </w:r>
    </w:p>
    <w:p w14:paraId="535CB718" w14:textId="77777777" w:rsidR="00A01F85" w:rsidRDefault="00A01F85" w:rsidP="00A01F85">
      <w:pPr>
        <w:rPr>
          <w:b/>
          <w:bCs/>
          <w:sz w:val="24"/>
          <w:szCs w:val="24"/>
        </w:rPr>
      </w:pPr>
      <w:r>
        <w:rPr>
          <w:b/>
          <w:bCs/>
          <w:sz w:val="24"/>
          <w:szCs w:val="24"/>
        </w:rPr>
        <w:t>Table 1 Tot</w:t>
      </w:r>
      <w:r w:rsidR="00061920">
        <w:rPr>
          <w:b/>
          <w:bCs/>
          <w:sz w:val="24"/>
          <w:szCs w:val="24"/>
        </w:rPr>
        <w:t xml:space="preserve">al </w:t>
      </w:r>
      <w:r w:rsidR="005E0998" w:rsidRPr="005E0998">
        <w:rPr>
          <w:b/>
          <w:bCs/>
          <w:sz w:val="24"/>
          <w:szCs w:val="24"/>
        </w:rPr>
        <w:t xml:space="preserve">Official Development Assistance </w:t>
      </w:r>
      <w:r w:rsidR="005E0998">
        <w:rPr>
          <w:b/>
          <w:bCs/>
          <w:sz w:val="24"/>
          <w:szCs w:val="24"/>
        </w:rPr>
        <w:t>(</w:t>
      </w:r>
      <w:r w:rsidR="00061920">
        <w:rPr>
          <w:b/>
          <w:bCs/>
          <w:sz w:val="24"/>
          <w:szCs w:val="24"/>
        </w:rPr>
        <w:t>ODA</w:t>
      </w:r>
      <w:r w:rsidR="005E0998">
        <w:rPr>
          <w:b/>
          <w:bCs/>
          <w:sz w:val="24"/>
          <w:szCs w:val="24"/>
        </w:rPr>
        <w:t>)</w:t>
      </w:r>
      <w:r w:rsidR="00061920">
        <w:rPr>
          <w:b/>
          <w:bCs/>
          <w:sz w:val="24"/>
          <w:szCs w:val="24"/>
        </w:rPr>
        <w:t xml:space="preserve"> Expenditure in FY 2017-18</w:t>
      </w:r>
    </w:p>
    <w:tbl>
      <w:tblPr>
        <w:tblW w:w="9639" w:type="dxa"/>
        <w:tblCellMar>
          <w:left w:w="0" w:type="dxa"/>
          <w:right w:w="0" w:type="dxa"/>
        </w:tblCellMar>
        <w:tblLook w:val="04A0" w:firstRow="1" w:lastRow="0" w:firstColumn="1" w:lastColumn="0" w:noHBand="0" w:noVBand="1"/>
      </w:tblPr>
      <w:tblGrid>
        <w:gridCol w:w="6374"/>
        <w:gridCol w:w="1423"/>
        <w:gridCol w:w="1842"/>
      </w:tblGrid>
      <w:tr w:rsidR="00CB7925" w14:paraId="68234C17" w14:textId="77777777" w:rsidTr="00417A72">
        <w:tc>
          <w:tcPr>
            <w:tcW w:w="6374" w:type="dxa"/>
            <w:tcBorders>
              <w:top w:val="single" w:sz="12" w:space="0" w:color="auto"/>
              <w:left w:val="nil"/>
              <w:bottom w:val="nil"/>
              <w:right w:val="nil"/>
            </w:tcBorders>
            <w:tcMar>
              <w:top w:w="0" w:type="dxa"/>
              <w:left w:w="108" w:type="dxa"/>
              <w:bottom w:w="0" w:type="dxa"/>
              <w:right w:w="108" w:type="dxa"/>
            </w:tcMar>
            <w:hideMark/>
          </w:tcPr>
          <w:p w14:paraId="26E8FB1F" w14:textId="77777777" w:rsidR="00CB7925" w:rsidRPr="00B00C04" w:rsidRDefault="005E4972" w:rsidP="00CB7925">
            <w:pPr>
              <w:rPr>
                <w:b/>
                <w:bCs/>
                <w:sz w:val="24"/>
                <w:szCs w:val="24"/>
              </w:rPr>
            </w:pPr>
            <w:r>
              <w:rPr>
                <w:b/>
                <w:sz w:val="20"/>
                <w:szCs w:val="20"/>
              </w:rPr>
              <w:t xml:space="preserve">Bilateral </w:t>
            </w:r>
            <w:r w:rsidR="00CB7925" w:rsidRPr="00B00C04">
              <w:rPr>
                <w:b/>
                <w:sz w:val="20"/>
                <w:szCs w:val="20"/>
              </w:rPr>
              <w:t>Objective</w:t>
            </w:r>
          </w:p>
        </w:tc>
        <w:tc>
          <w:tcPr>
            <w:tcW w:w="1423" w:type="dxa"/>
            <w:tcBorders>
              <w:top w:val="single" w:sz="12" w:space="0" w:color="auto"/>
              <w:left w:val="nil"/>
              <w:bottom w:val="nil"/>
              <w:right w:val="nil"/>
            </w:tcBorders>
            <w:tcMar>
              <w:top w:w="0" w:type="dxa"/>
              <w:left w:w="108" w:type="dxa"/>
              <w:bottom w:w="0" w:type="dxa"/>
              <w:right w:w="108" w:type="dxa"/>
            </w:tcMar>
            <w:hideMark/>
          </w:tcPr>
          <w:p w14:paraId="52F6A136" w14:textId="77777777" w:rsidR="00CB7925" w:rsidRPr="00B00C04" w:rsidRDefault="00CB7925" w:rsidP="00C94D35">
            <w:pPr>
              <w:jc w:val="center"/>
              <w:rPr>
                <w:b/>
                <w:bCs/>
                <w:sz w:val="24"/>
                <w:szCs w:val="24"/>
              </w:rPr>
            </w:pPr>
            <w:r w:rsidRPr="00B00C04">
              <w:rPr>
                <w:b/>
                <w:sz w:val="20"/>
                <w:szCs w:val="20"/>
              </w:rPr>
              <w:t>$ million</w:t>
            </w:r>
          </w:p>
        </w:tc>
        <w:tc>
          <w:tcPr>
            <w:tcW w:w="1842" w:type="dxa"/>
            <w:tcBorders>
              <w:top w:val="single" w:sz="12" w:space="0" w:color="auto"/>
              <w:left w:val="nil"/>
              <w:bottom w:val="nil"/>
              <w:right w:val="nil"/>
            </w:tcBorders>
            <w:tcMar>
              <w:top w:w="0" w:type="dxa"/>
              <w:left w:w="108" w:type="dxa"/>
              <w:bottom w:w="0" w:type="dxa"/>
              <w:right w:w="108" w:type="dxa"/>
            </w:tcMar>
            <w:hideMark/>
          </w:tcPr>
          <w:p w14:paraId="5A93835C" w14:textId="77777777" w:rsidR="00CB7925" w:rsidRPr="00B00C04" w:rsidRDefault="00CB7925" w:rsidP="00C94D35">
            <w:pPr>
              <w:ind w:right="-546"/>
              <w:jc w:val="center"/>
              <w:rPr>
                <w:b/>
                <w:bCs/>
                <w:sz w:val="24"/>
                <w:szCs w:val="24"/>
              </w:rPr>
            </w:pPr>
            <w:r w:rsidRPr="00B00C04">
              <w:rPr>
                <w:b/>
                <w:sz w:val="20"/>
                <w:szCs w:val="20"/>
              </w:rPr>
              <w:t>% of total ODA</w:t>
            </w:r>
          </w:p>
        </w:tc>
      </w:tr>
      <w:tr w:rsidR="00CB7925" w14:paraId="2CF00E38" w14:textId="77777777" w:rsidTr="00417A72">
        <w:tc>
          <w:tcPr>
            <w:tcW w:w="6374" w:type="dxa"/>
            <w:tcMar>
              <w:top w:w="0" w:type="dxa"/>
              <w:left w:w="108" w:type="dxa"/>
              <w:bottom w:w="0" w:type="dxa"/>
              <w:right w:w="108" w:type="dxa"/>
            </w:tcMar>
            <w:hideMark/>
          </w:tcPr>
          <w:p w14:paraId="2D2B0F3C" w14:textId="77777777" w:rsidR="00CB7925" w:rsidRPr="00B00C04" w:rsidRDefault="00CB7925" w:rsidP="00CB7925">
            <w:pPr>
              <w:rPr>
                <w:b/>
                <w:bCs/>
                <w:sz w:val="24"/>
                <w:szCs w:val="24"/>
              </w:rPr>
            </w:pPr>
            <w:r w:rsidRPr="00B00C04">
              <w:rPr>
                <w:sz w:val="20"/>
                <w:szCs w:val="20"/>
              </w:rPr>
              <w:t>Promoting Effective Governance</w:t>
            </w:r>
          </w:p>
        </w:tc>
        <w:tc>
          <w:tcPr>
            <w:tcW w:w="1423" w:type="dxa"/>
            <w:tcMar>
              <w:top w:w="0" w:type="dxa"/>
              <w:left w:w="108" w:type="dxa"/>
              <w:bottom w:w="0" w:type="dxa"/>
              <w:right w:w="108" w:type="dxa"/>
            </w:tcMar>
          </w:tcPr>
          <w:p w14:paraId="67F43474" w14:textId="691EA97E" w:rsidR="00CB7925" w:rsidRPr="00B00C04" w:rsidRDefault="00270252" w:rsidP="00C94D35">
            <w:pPr>
              <w:ind w:right="324"/>
              <w:jc w:val="right"/>
              <w:rPr>
                <w:bCs/>
                <w:highlight w:val="cyan"/>
              </w:rPr>
            </w:pPr>
            <w:r>
              <w:rPr>
                <w:bCs/>
              </w:rPr>
              <w:t>116.0</w:t>
            </w:r>
          </w:p>
        </w:tc>
        <w:tc>
          <w:tcPr>
            <w:tcW w:w="1842" w:type="dxa"/>
            <w:tcMar>
              <w:top w:w="0" w:type="dxa"/>
              <w:left w:w="108" w:type="dxa"/>
              <w:bottom w:w="0" w:type="dxa"/>
              <w:right w:w="108" w:type="dxa"/>
            </w:tcMar>
          </w:tcPr>
          <w:p w14:paraId="1E8D472B" w14:textId="43F22C66" w:rsidR="00CB7925" w:rsidRPr="00B00C04" w:rsidRDefault="00100D9D" w:rsidP="00C94D35">
            <w:pPr>
              <w:ind w:right="324"/>
              <w:jc w:val="right"/>
              <w:rPr>
                <w:bCs/>
                <w:highlight w:val="cyan"/>
              </w:rPr>
            </w:pPr>
            <w:r>
              <w:rPr>
                <w:bCs/>
              </w:rPr>
              <w:t>21.4</w:t>
            </w:r>
          </w:p>
        </w:tc>
      </w:tr>
      <w:tr w:rsidR="00CB7925" w14:paraId="2A039472" w14:textId="77777777" w:rsidTr="00417A72">
        <w:tc>
          <w:tcPr>
            <w:tcW w:w="6374" w:type="dxa"/>
            <w:tcMar>
              <w:top w:w="0" w:type="dxa"/>
              <w:left w:w="108" w:type="dxa"/>
              <w:bottom w:w="0" w:type="dxa"/>
              <w:right w:w="108" w:type="dxa"/>
            </w:tcMar>
            <w:hideMark/>
          </w:tcPr>
          <w:p w14:paraId="105E4CC5" w14:textId="77777777" w:rsidR="00CB7925" w:rsidRPr="00B00C04" w:rsidRDefault="00CB7925" w:rsidP="00CB7925">
            <w:pPr>
              <w:rPr>
                <w:b/>
                <w:bCs/>
                <w:sz w:val="24"/>
                <w:szCs w:val="24"/>
              </w:rPr>
            </w:pPr>
            <w:r w:rsidRPr="00B00C04">
              <w:rPr>
                <w:sz w:val="20"/>
                <w:szCs w:val="20"/>
              </w:rPr>
              <w:t>Enabling Economic Growth</w:t>
            </w:r>
          </w:p>
        </w:tc>
        <w:tc>
          <w:tcPr>
            <w:tcW w:w="1423" w:type="dxa"/>
            <w:tcMar>
              <w:top w:w="0" w:type="dxa"/>
              <w:left w:w="108" w:type="dxa"/>
              <w:bottom w:w="0" w:type="dxa"/>
              <w:right w:w="108" w:type="dxa"/>
            </w:tcMar>
          </w:tcPr>
          <w:p w14:paraId="0CB3CD8E" w14:textId="77777777" w:rsidR="00CB7925" w:rsidRPr="00B00C04" w:rsidRDefault="00CB7925" w:rsidP="00C94D35">
            <w:pPr>
              <w:ind w:right="324"/>
              <w:jc w:val="right"/>
              <w:rPr>
                <w:bCs/>
                <w:highlight w:val="cyan"/>
              </w:rPr>
            </w:pPr>
            <w:r w:rsidRPr="00837DAC">
              <w:rPr>
                <w:bCs/>
              </w:rPr>
              <w:t>159.6</w:t>
            </w:r>
          </w:p>
        </w:tc>
        <w:tc>
          <w:tcPr>
            <w:tcW w:w="1842" w:type="dxa"/>
            <w:tcMar>
              <w:top w:w="0" w:type="dxa"/>
              <w:left w:w="108" w:type="dxa"/>
              <w:bottom w:w="0" w:type="dxa"/>
              <w:right w:w="108" w:type="dxa"/>
            </w:tcMar>
          </w:tcPr>
          <w:p w14:paraId="68E16599" w14:textId="0C643ADA" w:rsidR="00CB7925" w:rsidRPr="00B00C04" w:rsidRDefault="00100D9D" w:rsidP="00C94D35">
            <w:pPr>
              <w:ind w:right="324"/>
              <w:jc w:val="right"/>
              <w:rPr>
                <w:bCs/>
                <w:highlight w:val="cyan"/>
              </w:rPr>
            </w:pPr>
            <w:r>
              <w:rPr>
                <w:bCs/>
              </w:rPr>
              <w:t>29.5</w:t>
            </w:r>
          </w:p>
        </w:tc>
      </w:tr>
      <w:tr w:rsidR="00CB7925" w14:paraId="6517B706" w14:textId="77777777" w:rsidTr="00417A72">
        <w:tc>
          <w:tcPr>
            <w:tcW w:w="6374" w:type="dxa"/>
            <w:tcMar>
              <w:top w:w="0" w:type="dxa"/>
              <w:left w:w="108" w:type="dxa"/>
              <w:bottom w:w="0" w:type="dxa"/>
              <w:right w:w="108" w:type="dxa"/>
            </w:tcMar>
            <w:hideMark/>
          </w:tcPr>
          <w:p w14:paraId="6662A889" w14:textId="77777777" w:rsidR="00CB7925" w:rsidRPr="00B00C04" w:rsidRDefault="00CB7925" w:rsidP="00CB7925">
            <w:pPr>
              <w:rPr>
                <w:sz w:val="20"/>
                <w:szCs w:val="20"/>
              </w:rPr>
            </w:pPr>
            <w:r w:rsidRPr="00B00C04">
              <w:rPr>
                <w:sz w:val="20"/>
                <w:szCs w:val="20"/>
              </w:rPr>
              <w:t>Enhancing Human Development</w:t>
            </w:r>
          </w:p>
        </w:tc>
        <w:tc>
          <w:tcPr>
            <w:tcW w:w="1423" w:type="dxa"/>
            <w:tcMar>
              <w:top w:w="0" w:type="dxa"/>
              <w:left w:w="108" w:type="dxa"/>
              <w:bottom w:w="0" w:type="dxa"/>
              <w:right w:w="108" w:type="dxa"/>
            </w:tcMar>
          </w:tcPr>
          <w:p w14:paraId="71E888C7" w14:textId="77777777" w:rsidR="00CB7925" w:rsidRPr="00B00C04" w:rsidRDefault="00CB7925" w:rsidP="00C94D35">
            <w:pPr>
              <w:ind w:right="324"/>
              <w:jc w:val="right"/>
              <w:rPr>
                <w:bCs/>
                <w:highlight w:val="cyan"/>
              </w:rPr>
            </w:pPr>
            <w:r w:rsidRPr="00837DAC">
              <w:rPr>
                <w:bCs/>
              </w:rPr>
              <w:t>156.</w:t>
            </w:r>
            <w:r w:rsidR="00191902">
              <w:rPr>
                <w:bCs/>
              </w:rPr>
              <w:t>6</w:t>
            </w:r>
          </w:p>
        </w:tc>
        <w:tc>
          <w:tcPr>
            <w:tcW w:w="1842" w:type="dxa"/>
            <w:tcMar>
              <w:top w:w="0" w:type="dxa"/>
              <w:left w:w="108" w:type="dxa"/>
              <w:bottom w:w="0" w:type="dxa"/>
              <w:right w:w="108" w:type="dxa"/>
            </w:tcMar>
          </w:tcPr>
          <w:p w14:paraId="00D4218C" w14:textId="49BD64CD" w:rsidR="00CB7925" w:rsidRPr="00B00C04" w:rsidRDefault="00100D9D" w:rsidP="00C94D35">
            <w:pPr>
              <w:ind w:right="324"/>
              <w:jc w:val="right"/>
              <w:rPr>
                <w:bCs/>
                <w:highlight w:val="cyan"/>
              </w:rPr>
            </w:pPr>
            <w:r>
              <w:rPr>
                <w:bCs/>
              </w:rPr>
              <w:t>29.0</w:t>
            </w:r>
          </w:p>
        </w:tc>
      </w:tr>
      <w:tr w:rsidR="00CB7925" w14:paraId="466F50BE" w14:textId="77777777" w:rsidTr="00417A72">
        <w:tc>
          <w:tcPr>
            <w:tcW w:w="6374" w:type="dxa"/>
            <w:tcMar>
              <w:top w:w="0" w:type="dxa"/>
              <w:left w:w="108" w:type="dxa"/>
              <w:bottom w:w="0" w:type="dxa"/>
              <w:right w:w="108" w:type="dxa"/>
            </w:tcMar>
          </w:tcPr>
          <w:p w14:paraId="59D53FBD" w14:textId="77777777" w:rsidR="00CB7925" w:rsidRPr="00B00C04" w:rsidRDefault="00CB7925" w:rsidP="00CB7925">
            <w:pPr>
              <w:rPr>
                <w:sz w:val="20"/>
                <w:szCs w:val="20"/>
              </w:rPr>
            </w:pPr>
            <w:r w:rsidRPr="00B00C04">
              <w:rPr>
                <w:sz w:val="20"/>
                <w:szCs w:val="20"/>
              </w:rPr>
              <w:t>Other</w:t>
            </w:r>
          </w:p>
        </w:tc>
        <w:tc>
          <w:tcPr>
            <w:tcW w:w="1423" w:type="dxa"/>
            <w:tcMar>
              <w:top w:w="0" w:type="dxa"/>
              <w:left w:w="108" w:type="dxa"/>
              <w:bottom w:w="0" w:type="dxa"/>
              <w:right w:w="108" w:type="dxa"/>
            </w:tcMar>
          </w:tcPr>
          <w:p w14:paraId="64FB23CE" w14:textId="77777777" w:rsidR="00CB7925" w:rsidRPr="00B00C04" w:rsidRDefault="00191902" w:rsidP="00C94D35">
            <w:pPr>
              <w:ind w:right="324"/>
              <w:jc w:val="right"/>
              <w:rPr>
                <w:bCs/>
                <w:highlight w:val="cyan"/>
              </w:rPr>
            </w:pPr>
            <w:r>
              <w:rPr>
                <w:bCs/>
              </w:rPr>
              <w:t>39.6</w:t>
            </w:r>
          </w:p>
        </w:tc>
        <w:tc>
          <w:tcPr>
            <w:tcW w:w="1842" w:type="dxa"/>
            <w:tcMar>
              <w:top w:w="0" w:type="dxa"/>
              <w:left w:w="108" w:type="dxa"/>
              <w:bottom w:w="0" w:type="dxa"/>
              <w:right w:w="108" w:type="dxa"/>
            </w:tcMar>
          </w:tcPr>
          <w:p w14:paraId="11997021" w14:textId="65F108C4" w:rsidR="00CB7925" w:rsidRPr="00B00C04" w:rsidRDefault="00100D9D" w:rsidP="00C94D35">
            <w:pPr>
              <w:ind w:right="324"/>
              <w:jc w:val="right"/>
              <w:rPr>
                <w:bCs/>
                <w:highlight w:val="cyan"/>
              </w:rPr>
            </w:pPr>
            <w:r>
              <w:rPr>
                <w:bCs/>
              </w:rPr>
              <w:t>7.3</w:t>
            </w:r>
          </w:p>
        </w:tc>
      </w:tr>
      <w:tr w:rsidR="00CB7925" w14:paraId="5D66F59A" w14:textId="77777777" w:rsidTr="00417A72">
        <w:tc>
          <w:tcPr>
            <w:tcW w:w="6374" w:type="dxa"/>
            <w:tcMar>
              <w:top w:w="0" w:type="dxa"/>
              <w:left w:w="108" w:type="dxa"/>
              <w:bottom w:w="0" w:type="dxa"/>
              <w:right w:w="108" w:type="dxa"/>
            </w:tcMar>
            <w:hideMark/>
          </w:tcPr>
          <w:p w14:paraId="3779700D" w14:textId="77777777" w:rsidR="00CB7925" w:rsidRPr="00B00C04" w:rsidRDefault="005E4972" w:rsidP="005E4972">
            <w:pPr>
              <w:rPr>
                <w:b/>
                <w:bCs/>
                <w:sz w:val="24"/>
                <w:szCs w:val="24"/>
              </w:rPr>
            </w:pPr>
            <w:r>
              <w:rPr>
                <w:b/>
                <w:sz w:val="20"/>
                <w:szCs w:val="20"/>
              </w:rPr>
              <w:t xml:space="preserve">Bilateral </w:t>
            </w:r>
            <w:r w:rsidR="00CB7925" w:rsidRPr="00B00C04">
              <w:rPr>
                <w:b/>
                <w:sz w:val="20"/>
                <w:szCs w:val="20"/>
              </w:rPr>
              <w:t xml:space="preserve">Sub-Total </w:t>
            </w:r>
          </w:p>
        </w:tc>
        <w:tc>
          <w:tcPr>
            <w:tcW w:w="1423" w:type="dxa"/>
            <w:tcMar>
              <w:top w:w="0" w:type="dxa"/>
              <w:left w:w="108" w:type="dxa"/>
              <w:bottom w:w="0" w:type="dxa"/>
              <w:right w:w="108" w:type="dxa"/>
            </w:tcMar>
          </w:tcPr>
          <w:p w14:paraId="48CC7332" w14:textId="6640A8A4" w:rsidR="00CB7925" w:rsidRPr="00061920" w:rsidRDefault="00270252" w:rsidP="00C94D35">
            <w:pPr>
              <w:ind w:right="324"/>
              <w:jc w:val="right"/>
              <w:rPr>
                <w:b/>
                <w:bCs/>
                <w:highlight w:val="yellow"/>
              </w:rPr>
            </w:pPr>
            <w:r>
              <w:rPr>
                <w:b/>
                <w:bCs/>
              </w:rPr>
              <w:t>471.8</w:t>
            </w:r>
          </w:p>
        </w:tc>
        <w:tc>
          <w:tcPr>
            <w:tcW w:w="1842" w:type="dxa"/>
            <w:tcMar>
              <w:top w:w="0" w:type="dxa"/>
              <w:left w:w="108" w:type="dxa"/>
              <w:bottom w:w="0" w:type="dxa"/>
              <w:right w:w="108" w:type="dxa"/>
            </w:tcMar>
          </w:tcPr>
          <w:p w14:paraId="666C2226" w14:textId="7455B101" w:rsidR="00CB7925" w:rsidRPr="00061920" w:rsidRDefault="00004B29" w:rsidP="00C94D35">
            <w:pPr>
              <w:ind w:right="324"/>
              <w:jc w:val="right"/>
              <w:rPr>
                <w:b/>
                <w:bCs/>
                <w:highlight w:val="yellow"/>
              </w:rPr>
            </w:pPr>
            <w:r>
              <w:rPr>
                <w:b/>
                <w:bCs/>
              </w:rPr>
              <w:t>87.2</w:t>
            </w:r>
          </w:p>
        </w:tc>
      </w:tr>
      <w:tr w:rsidR="00CB7925" w14:paraId="4AAE5F13" w14:textId="77777777" w:rsidTr="00417A72">
        <w:tc>
          <w:tcPr>
            <w:tcW w:w="6374" w:type="dxa"/>
            <w:tcMar>
              <w:top w:w="0" w:type="dxa"/>
              <w:left w:w="108" w:type="dxa"/>
              <w:bottom w:w="0" w:type="dxa"/>
              <w:right w:w="108" w:type="dxa"/>
            </w:tcMar>
            <w:hideMark/>
          </w:tcPr>
          <w:p w14:paraId="51E90111" w14:textId="77777777" w:rsidR="00CB7925" w:rsidRPr="00B00C04" w:rsidRDefault="00CB7925" w:rsidP="00CB7925">
            <w:pPr>
              <w:rPr>
                <w:b/>
                <w:bCs/>
                <w:sz w:val="24"/>
                <w:szCs w:val="24"/>
              </w:rPr>
            </w:pPr>
            <w:r w:rsidRPr="00B00C04">
              <w:rPr>
                <w:b/>
                <w:sz w:val="20"/>
                <w:szCs w:val="20"/>
              </w:rPr>
              <w:t>Regional and Global</w:t>
            </w:r>
          </w:p>
        </w:tc>
        <w:tc>
          <w:tcPr>
            <w:tcW w:w="1423" w:type="dxa"/>
            <w:tcMar>
              <w:top w:w="0" w:type="dxa"/>
              <w:left w:w="108" w:type="dxa"/>
              <w:bottom w:w="0" w:type="dxa"/>
              <w:right w:w="108" w:type="dxa"/>
            </w:tcMar>
          </w:tcPr>
          <w:p w14:paraId="72DAC722" w14:textId="77777777" w:rsidR="00CB7925" w:rsidRPr="00061920" w:rsidRDefault="00CB7925" w:rsidP="00C94D35">
            <w:pPr>
              <w:ind w:right="324"/>
              <w:jc w:val="right"/>
              <w:rPr>
                <w:b/>
                <w:bCs/>
                <w:highlight w:val="yellow"/>
              </w:rPr>
            </w:pPr>
            <w:r w:rsidRPr="00837DAC">
              <w:rPr>
                <w:b/>
                <w:bCs/>
              </w:rPr>
              <w:t>30.3</w:t>
            </w:r>
          </w:p>
        </w:tc>
        <w:tc>
          <w:tcPr>
            <w:tcW w:w="1842" w:type="dxa"/>
            <w:tcMar>
              <w:top w:w="0" w:type="dxa"/>
              <w:left w:w="108" w:type="dxa"/>
              <w:bottom w:w="0" w:type="dxa"/>
              <w:right w:w="108" w:type="dxa"/>
            </w:tcMar>
          </w:tcPr>
          <w:p w14:paraId="4E165B03" w14:textId="77777777" w:rsidR="00CB7925" w:rsidRPr="00061920" w:rsidRDefault="000425F6" w:rsidP="00C94D35">
            <w:pPr>
              <w:ind w:right="324"/>
              <w:jc w:val="right"/>
              <w:rPr>
                <w:b/>
                <w:bCs/>
                <w:highlight w:val="yellow"/>
              </w:rPr>
            </w:pPr>
            <w:r>
              <w:rPr>
                <w:b/>
                <w:bCs/>
              </w:rPr>
              <w:t>5.6</w:t>
            </w:r>
          </w:p>
        </w:tc>
      </w:tr>
      <w:tr w:rsidR="00CB7925" w14:paraId="1ACD7381" w14:textId="77777777" w:rsidTr="00417A72">
        <w:tc>
          <w:tcPr>
            <w:tcW w:w="6374" w:type="dxa"/>
            <w:tcMar>
              <w:top w:w="0" w:type="dxa"/>
              <w:left w:w="108" w:type="dxa"/>
              <w:bottom w:w="0" w:type="dxa"/>
              <w:right w:w="108" w:type="dxa"/>
            </w:tcMar>
            <w:hideMark/>
          </w:tcPr>
          <w:p w14:paraId="1E8245B4" w14:textId="77777777" w:rsidR="00CB7925" w:rsidRPr="00B00C04" w:rsidRDefault="00CB7925" w:rsidP="00CB7925">
            <w:pPr>
              <w:rPr>
                <w:b/>
                <w:bCs/>
                <w:sz w:val="24"/>
                <w:szCs w:val="24"/>
              </w:rPr>
            </w:pPr>
            <w:r w:rsidRPr="00B00C04">
              <w:rPr>
                <w:b/>
                <w:sz w:val="20"/>
                <w:szCs w:val="20"/>
              </w:rPr>
              <w:t>Other Government Departments</w:t>
            </w:r>
          </w:p>
        </w:tc>
        <w:tc>
          <w:tcPr>
            <w:tcW w:w="1423" w:type="dxa"/>
            <w:tcMar>
              <w:top w:w="0" w:type="dxa"/>
              <w:left w:w="108" w:type="dxa"/>
              <w:bottom w:w="0" w:type="dxa"/>
              <w:right w:w="108" w:type="dxa"/>
            </w:tcMar>
          </w:tcPr>
          <w:p w14:paraId="06B8D027" w14:textId="77777777" w:rsidR="00CB7925" w:rsidRPr="00061920" w:rsidRDefault="00CB7925" w:rsidP="00C94D35">
            <w:pPr>
              <w:ind w:right="324"/>
              <w:jc w:val="right"/>
              <w:rPr>
                <w:b/>
                <w:bCs/>
                <w:highlight w:val="yellow"/>
              </w:rPr>
            </w:pPr>
            <w:r w:rsidRPr="00837DAC">
              <w:rPr>
                <w:b/>
                <w:bCs/>
              </w:rPr>
              <w:t>38.9</w:t>
            </w:r>
          </w:p>
        </w:tc>
        <w:tc>
          <w:tcPr>
            <w:tcW w:w="1842" w:type="dxa"/>
            <w:tcMar>
              <w:top w:w="0" w:type="dxa"/>
              <w:left w:w="108" w:type="dxa"/>
              <w:bottom w:w="0" w:type="dxa"/>
              <w:right w:w="108" w:type="dxa"/>
            </w:tcMar>
          </w:tcPr>
          <w:p w14:paraId="7B161FC3" w14:textId="77777777" w:rsidR="00CB7925" w:rsidRPr="00B00C04" w:rsidRDefault="000425F6" w:rsidP="00C94D35">
            <w:pPr>
              <w:ind w:right="324"/>
              <w:jc w:val="right"/>
              <w:rPr>
                <w:b/>
                <w:bCs/>
              </w:rPr>
            </w:pPr>
            <w:r>
              <w:rPr>
                <w:b/>
                <w:bCs/>
              </w:rPr>
              <w:t>7.2</w:t>
            </w:r>
          </w:p>
        </w:tc>
      </w:tr>
      <w:tr w:rsidR="00CB7925" w14:paraId="4D8B68D1" w14:textId="77777777" w:rsidTr="00417A72">
        <w:tc>
          <w:tcPr>
            <w:tcW w:w="6374" w:type="dxa"/>
            <w:tcBorders>
              <w:top w:val="nil"/>
              <w:left w:val="nil"/>
              <w:bottom w:val="single" w:sz="12" w:space="0" w:color="auto"/>
              <w:right w:val="nil"/>
            </w:tcBorders>
            <w:tcMar>
              <w:top w:w="0" w:type="dxa"/>
              <w:left w:w="108" w:type="dxa"/>
              <w:bottom w:w="0" w:type="dxa"/>
              <w:right w:w="108" w:type="dxa"/>
            </w:tcMar>
            <w:hideMark/>
          </w:tcPr>
          <w:p w14:paraId="56D4D27C" w14:textId="77777777" w:rsidR="00CB7925" w:rsidRPr="00B00C04" w:rsidRDefault="00CB7925" w:rsidP="00CB7925">
            <w:pPr>
              <w:rPr>
                <w:b/>
                <w:bCs/>
                <w:sz w:val="24"/>
                <w:szCs w:val="24"/>
              </w:rPr>
            </w:pPr>
            <w:r w:rsidRPr="00B00C04">
              <w:rPr>
                <w:b/>
                <w:sz w:val="20"/>
                <w:szCs w:val="20"/>
              </w:rPr>
              <w:t>Total ODA Expenditure</w:t>
            </w:r>
          </w:p>
        </w:tc>
        <w:tc>
          <w:tcPr>
            <w:tcW w:w="1423" w:type="dxa"/>
            <w:tcBorders>
              <w:top w:val="nil"/>
              <w:left w:val="nil"/>
              <w:bottom w:val="single" w:sz="12" w:space="0" w:color="auto"/>
              <w:right w:val="nil"/>
            </w:tcBorders>
            <w:tcMar>
              <w:top w:w="0" w:type="dxa"/>
              <w:left w:w="108" w:type="dxa"/>
              <w:bottom w:w="0" w:type="dxa"/>
              <w:right w:w="108" w:type="dxa"/>
            </w:tcMar>
          </w:tcPr>
          <w:p w14:paraId="3D9BC8D9" w14:textId="7591A76D" w:rsidR="00CB7925" w:rsidRPr="00061920" w:rsidRDefault="009B100C" w:rsidP="00C94D35">
            <w:pPr>
              <w:ind w:right="324"/>
              <w:jc w:val="right"/>
              <w:rPr>
                <w:b/>
                <w:bCs/>
                <w:highlight w:val="yellow"/>
              </w:rPr>
            </w:pPr>
            <w:r>
              <w:rPr>
                <w:b/>
                <w:bCs/>
              </w:rPr>
              <w:t>541.0</w:t>
            </w:r>
          </w:p>
        </w:tc>
        <w:tc>
          <w:tcPr>
            <w:tcW w:w="1842" w:type="dxa"/>
            <w:tcBorders>
              <w:top w:val="nil"/>
              <w:left w:val="nil"/>
              <w:bottom w:val="single" w:sz="12" w:space="0" w:color="auto"/>
              <w:right w:val="nil"/>
            </w:tcBorders>
            <w:tcMar>
              <w:top w:w="0" w:type="dxa"/>
              <w:left w:w="108" w:type="dxa"/>
              <w:bottom w:w="0" w:type="dxa"/>
              <w:right w:w="108" w:type="dxa"/>
            </w:tcMar>
          </w:tcPr>
          <w:p w14:paraId="1C74F298" w14:textId="77777777" w:rsidR="00CB7925" w:rsidRPr="00B00C04" w:rsidRDefault="00CB7925" w:rsidP="00C94D35">
            <w:pPr>
              <w:ind w:right="324"/>
              <w:jc w:val="right"/>
              <w:rPr>
                <w:b/>
                <w:bCs/>
              </w:rPr>
            </w:pPr>
            <w:r w:rsidRPr="00837DAC">
              <w:rPr>
                <w:b/>
                <w:bCs/>
              </w:rPr>
              <w:t>100</w:t>
            </w:r>
          </w:p>
        </w:tc>
      </w:tr>
    </w:tbl>
    <w:p w14:paraId="7840EB38" w14:textId="77777777" w:rsidR="00D70AA1" w:rsidRPr="0017740D" w:rsidRDefault="00D70AA1" w:rsidP="00354A00">
      <w:pPr>
        <w:pStyle w:val="NormalIndented"/>
        <w:ind w:left="0"/>
        <w:rPr>
          <w:sz w:val="16"/>
        </w:rPr>
      </w:pPr>
    </w:p>
    <w:p w14:paraId="6D8CC69E" w14:textId="77777777" w:rsidR="00371536" w:rsidRDefault="00371536" w:rsidP="005B59E7">
      <w:pPr>
        <w:suppressAutoHyphens w:val="0"/>
        <w:spacing w:before="0" w:after="120" w:line="440" w:lineRule="atLeast"/>
        <w:rPr>
          <w:rFonts w:asciiTheme="majorHAnsi" w:eastAsiaTheme="majorEastAsia" w:hAnsiTheme="majorHAnsi" w:cstheme="majorBidi"/>
          <w:caps/>
          <w:sz w:val="38"/>
          <w:szCs w:val="26"/>
        </w:rPr>
      </w:pPr>
    </w:p>
    <w:p w14:paraId="4CAC7E3A" w14:textId="77777777" w:rsidR="00371536" w:rsidRDefault="00371536" w:rsidP="005B59E7">
      <w:pPr>
        <w:suppressAutoHyphens w:val="0"/>
        <w:spacing w:before="0" w:after="120" w:line="440" w:lineRule="atLeast"/>
        <w:rPr>
          <w:rFonts w:asciiTheme="majorHAnsi" w:eastAsiaTheme="majorEastAsia" w:hAnsiTheme="majorHAnsi" w:cstheme="majorBidi"/>
          <w:caps/>
          <w:sz w:val="38"/>
          <w:szCs w:val="26"/>
        </w:rPr>
      </w:pPr>
    </w:p>
    <w:p w14:paraId="10736764" w14:textId="77777777" w:rsidR="00371536" w:rsidRDefault="00371536" w:rsidP="005B59E7">
      <w:pPr>
        <w:suppressAutoHyphens w:val="0"/>
        <w:spacing w:before="0" w:after="120" w:line="440" w:lineRule="atLeast"/>
        <w:rPr>
          <w:rFonts w:asciiTheme="majorHAnsi" w:eastAsiaTheme="majorEastAsia" w:hAnsiTheme="majorHAnsi" w:cstheme="majorBidi"/>
          <w:caps/>
          <w:sz w:val="38"/>
          <w:szCs w:val="26"/>
        </w:rPr>
      </w:pPr>
    </w:p>
    <w:p w14:paraId="36522585" w14:textId="77777777" w:rsidR="00371536" w:rsidRDefault="00371536" w:rsidP="005B59E7">
      <w:pPr>
        <w:suppressAutoHyphens w:val="0"/>
        <w:spacing w:before="0" w:after="120" w:line="440" w:lineRule="atLeast"/>
        <w:rPr>
          <w:rFonts w:asciiTheme="majorHAnsi" w:eastAsiaTheme="majorEastAsia" w:hAnsiTheme="majorHAnsi" w:cstheme="majorBidi"/>
          <w:caps/>
          <w:sz w:val="38"/>
          <w:szCs w:val="26"/>
        </w:rPr>
      </w:pPr>
    </w:p>
    <w:p w14:paraId="08763005" w14:textId="77777777" w:rsidR="00371536" w:rsidRDefault="00371536" w:rsidP="005B59E7">
      <w:pPr>
        <w:suppressAutoHyphens w:val="0"/>
        <w:spacing w:before="0" w:after="120" w:line="440" w:lineRule="atLeast"/>
        <w:rPr>
          <w:rFonts w:asciiTheme="majorHAnsi" w:eastAsiaTheme="majorEastAsia" w:hAnsiTheme="majorHAnsi" w:cstheme="majorBidi"/>
          <w:caps/>
          <w:sz w:val="38"/>
          <w:szCs w:val="26"/>
        </w:rPr>
      </w:pPr>
    </w:p>
    <w:p w14:paraId="391CD4FB" w14:textId="77777777" w:rsidR="002A51CA" w:rsidRPr="002A51CA" w:rsidRDefault="002A51CA" w:rsidP="005B59E7">
      <w:pPr>
        <w:suppressAutoHyphens w:val="0"/>
        <w:spacing w:before="0" w:after="120" w:line="440" w:lineRule="atLeas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 xml:space="preserve">Progress towards </w:t>
      </w:r>
      <w:r w:rsidR="00B04920">
        <w:rPr>
          <w:rFonts w:asciiTheme="majorHAnsi" w:eastAsiaTheme="majorEastAsia" w:hAnsiTheme="majorHAnsi" w:cstheme="majorBidi"/>
          <w:caps/>
          <w:sz w:val="38"/>
          <w:szCs w:val="26"/>
        </w:rPr>
        <w:t xml:space="preserve">AID INVESTMENT PLAN </w:t>
      </w:r>
      <w:r w:rsidRPr="002A51CA">
        <w:rPr>
          <w:rFonts w:asciiTheme="majorHAnsi" w:eastAsiaTheme="majorEastAsia" w:hAnsiTheme="majorHAnsi" w:cstheme="majorBidi"/>
          <w:caps/>
          <w:sz w:val="38"/>
          <w:szCs w:val="26"/>
        </w:rPr>
        <w:t>Objectives</w:t>
      </w:r>
      <w:r w:rsidRPr="002A51CA">
        <w:rPr>
          <w:rFonts w:asciiTheme="majorHAnsi" w:eastAsiaTheme="majorEastAsia" w:hAnsiTheme="majorHAnsi" w:cstheme="majorBidi"/>
          <w:caps/>
          <w:sz w:val="38"/>
          <w:szCs w:val="26"/>
        </w:rPr>
        <w:tab/>
      </w:r>
    </w:p>
    <w:p w14:paraId="22237E9F" w14:textId="77777777" w:rsidR="004E5134" w:rsidRDefault="004E5134" w:rsidP="002A51CA">
      <w:r w:rsidRPr="00B00C04">
        <w:t xml:space="preserve">This APPR </w:t>
      </w:r>
      <w:r w:rsidR="00D70AA1" w:rsidRPr="00B00C04">
        <w:t>describes the</w:t>
      </w:r>
      <w:r w:rsidRPr="00B00C04">
        <w:t xml:space="preserve"> performance </w:t>
      </w:r>
      <w:r w:rsidR="00D55D19" w:rsidRPr="00B00C04">
        <w:t xml:space="preserve">of Australia’s aid program </w:t>
      </w:r>
      <w:r w:rsidRPr="00B00C04">
        <w:t xml:space="preserve">against </w:t>
      </w:r>
      <w:r w:rsidR="00D55D19" w:rsidRPr="00B00C04">
        <w:t xml:space="preserve">the strategic objectives set out in the </w:t>
      </w:r>
      <w:r w:rsidR="00D55D19" w:rsidRPr="00B00C04">
        <w:rPr>
          <w:i/>
        </w:rPr>
        <w:t>Aid Investment Plan Papua New Guinea 2015-16 to 201</w:t>
      </w:r>
      <w:r w:rsidR="00FF6BB5">
        <w:rPr>
          <w:i/>
        </w:rPr>
        <w:t>8-19</w:t>
      </w:r>
      <w:r w:rsidR="00D55D19" w:rsidRPr="00B00C04">
        <w:t>.</w:t>
      </w:r>
      <w:r w:rsidR="00FF4BD9">
        <w:t xml:space="preserve"> </w:t>
      </w:r>
      <w:r w:rsidR="00D55D19" w:rsidRPr="00B00C04">
        <w:t>This report</w:t>
      </w:r>
      <w:r w:rsidRPr="00B00C04">
        <w:t xml:space="preserve"> draws on </w:t>
      </w:r>
      <w:r w:rsidR="00D55D19" w:rsidRPr="00B00C04">
        <w:t xml:space="preserve">a range of internal and external reporting, including </w:t>
      </w:r>
      <w:r w:rsidRPr="00B00C04">
        <w:t>Aid Quality Check</w:t>
      </w:r>
      <w:r w:rsidR="00D55D19" w:rsidRPr="00B00C04">
        <w:t>s</w:t>
      </w:r>
      <w:r w:rsidR="00D51601" w:rsidRPr="00B00C04">
        <w:t xml:space="preserve"> and partner performance reports</w:t>
      </w:r>
      <w:r w:rsidRPr="00B00C04">
        <w:t>.</w:t>
      </w:r>
    </w:p>
    <w:p w14:paraId="46BD60A5" w14:textId="77777777" w:rsidR="00F46222" w:rsidRDefault="00F46222" w:rsidP="002A51CA"/>
    <w:p w14:paraId="3DCDCD12" w14:textId="77777777" w:rsidR="002A51CA" w:rsidRPr="00F73B60" w:rsidRDefault="002A51CA" w:rsidP="00C94D35">
      <w:pPr>
        <w:suppressAutoHyphens w:val="0"/>
        <w:spacing w:before="0" w:after="120" w:line="440" w:lineRule="atLeast"/>
      </w:pPr>
      <w:r w:rsidRPr="00F73B60">
        <w:rPr>
          <w:b/>
          <w:sz w:val="24"/>
        </w:rPr>
        <w:t xml:space="preserve">Table </w:t>
      </w:r>
      <w:r w:rsidR="003456D3" w:rsidRPr="00F73B60">
        <w:rPr>
          <w:b/>
          <w:sz w:val="24"/>
        </w:rPr>
        <w:t>2</w:t>
      </w:r>
      <w:r w:rsidRPr="00F73B60">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F73B60" w14:paraId="0E0DEDD6" w14:textId="7777777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14:paraId="1B40F366" w14:textId="77777777" w:rsidR="00DA040F" w:rsidRPr="00F73B60" w:rsidRDefault="00DA040F" w:rsidP="00BE6C6D">
            <w:pPr>
              <w:pStyle w:val="NormalIndented"/>
              <w:rPr>
                <w:sz w:val="18"/>
                <w:lang w:eastAsia="en-US"/>
              </w:rPr>
            </w:pPr>
            <w:r w:rsidRPr="00F73B60">
              <w:rPr>
                <w:noProof/>
                <w:sz w:val="18"/>
                <w:lang w:val="en-AU"/>
              </w:rPr>
              <w:drawing>
                <wp:anchor distT="0" distB="0" distL="114300" distR="114300" simplePos="0" relativeHeight="251685888" behindDoc="0" locked="0" layoutInCell="1" allowOverlap="1" wp14:anchorId="190CEE9A" wp14:editId="202A4EA8">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B60">
              <w:rPr>
                <w:sz w:val="18"/>
                <w:lang w:eastAsia="en-US"/>
              </w:rPr>
              <w:t>Objective</w:t>
            </w:r>
          </w:p>
        </w:tc>
        <w:tc>
          <w:tcPr>
            <w:tcW w:w="1293" w:type="dxa"/>
          </w:tcPr>
          <w:p w14:paraId="25C64AF3" w14:textId="77777777" w:rsidR="00DA040F" w:rsidRPr="00F73B60" w:rsidRDefault="00DA040F" w:rsidP="00883ADA">
            <w:pPr>
              <w:pStyle w:val="NormalIndented"/>
              <w:rPr>
                <w:sz w:val="18"/>
                <w:lang w:eastAsia="en-US"/>
              </w:rPr>
            </w:pPr>
            <w:r w:rsidRPr="00F73B60">
              <w:rPr>
                <w:sz w:val="18"/>
                <w:lang w:eastAsia="en-US"/>
              </w:rPr>
              <w:t>Previous Rating</w:t>
            </w:r>
          </w:p>
        </w:tc>
        <w:tc>
          <w:tcPr>
            <w:tcW w:w="1235" w:type="dxa"/>
          </w:tcPr>
          <w:p w14:paraId="43361D46" w14:textId="77777777" w:rsidR="00DA040F" w:rsidRPr="00F73B60" w:rsidRDefault="00DA040F" w:rsidP="00883ADA">
            <w:pPr>
              <w:pStyle w:val="NormalIndented"/>
              <w:rPr>
                <w:sz w:val="18"/>
                <w:lang w:eastAsia="en-US"/>
              </w:rPr>
            </w:pPr>
            <w:r w:rsidRPr="00F73B60">
              <w:rPr>
                <w:sz w:val="18"/>
                <w:lang w:eastAsia="en-US"/>
              </w:rPr>
              <w:t>Current Rating</w:t>
            </w:r>
          </w:p>
        </w:tc>
      </w:tr>
      <w:tr w:rsidR="005A1D1A" w:rsidRPr="00B00C04" w14:paraId="01BC6FD2" w14:textId="77777777" w:rsidTr="00C572EF">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9D155" w14:textId="77777777" w:rsidR="005A1D1A" w:rsidRPr="00F73B60" w:rsidRDefault="005A1D1A" w:rsidP="00BB65E2">
            <w:pPr>
              <w:pStyle w:val="NormalIndented"/>
              <w:numPr>
                <w:ilvl w:val="0"/>
                <w:numId w:val="47"/>
              </w:numPr>
              <w:spacing w:before="60"/>
              <w:rPr>
                <w:sz w:val="20"/>
                <w:szCs w:val="20"/>
              </w:rPr>
            </w:pPr>
            <w:r w:rsidRPr="00F73B60">
              <w:rPr>
                <w:sz w:val="20"/>
                <w:szCs w:val="20"/>
              </w:rPr>
              <w:t>Promoting Effective Governance</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81D"/>
            <w:noWrap/>
          </w:tcPr>
          <w:p w14:paraId="41907243" w14:textId="77777777" w:rsidR="005A1D1A" w:rsidRPr="00F73B60" w:rsidRDefault="005A1D1A" w:rsidP="00BB65E2">
            <w:pPr>
              <w:pStyle w:val="NormalIndented"/>
              <w:spacing w:before="60"/>
              <w:rPr>
                <w:color w:val="FFFFFF" w:themeColor="background1"/>
                <w:sz w:val="16"/>
                <w:lang w:eastAsia="en-US"/>
              </w:rPr>
            </w:pPr>
            <w:r w:rsidRPr="00F73B60">
              <w:rPr>
                <w:color w:val="FFFFFF" w:themeColor="background1"/>
                <w:sz w:val="16"/>
                <w:lang w:eastAsia="en-US"/>
              </w:rPr>
              <w:t>Amber</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81D"/>
            <w:noWrap/>
          </w:tcPr>
          <w:p w14:paraId="5D7C39A6" w14:textId="77777777" w:rsidR="005A1D1A" w:rsidRPr="00F73B60" w:rsidRDefault="004F6AF9" w:rsidP="00BB65E2">
            <w:pPr>
              <w:pStyle w:val="NormalIndented"/>
              <w:spacing w:before="60"/>
              <w:rPr>
                <w:color w:val="FFFFFF" w:themeColor="background1"/>
                <w:sz w:val="16"/>
                <w:lang w:eastAsia="en-US"/>
              </w:rPr>
            </w:pPr>
            <w:r w:rsidRPr="00F73B60">
              <w:rPr>
                <w:color w:val="FFFFFF" w:themeColor="background1"/>
                <w:sz w:val="16"/>
                <w:lang w:eastAsia="en-US"/>
              </w:rPr>
              <w:t>Amber</w:t>
            </w:r>
          </w:p>
        </w:tc>
      </w:tr>
      <w:tr w:rsidR="005A1D1A" w:rsidRPr="00B00C04" w14:paraId="0A1CF987" w14:textId="77777777" w:rsidTr="005A1D1A">
        <w:trPr>
          <w:cnfStyle w:val="000000010000" w:firstRow="0" w:lastRow="0" w:firstColumn="0" w:lastColumn="0" w:oddVBand="0" w:evenVBand="0" w:oddHBand="0" w:evenHBand="1" w:firstRowFirstColumn="0" w:firstRowLastColumn="0" w:lastRowFirstColumn="0" w:lastRowLastColumn="0"/>
        </w:trPr>
        <w:tc>
          <w:tcPr>
            <w:tcW w:w="6717" w:type="dxa"/>
          </w:tcPr>
          <w:p w14:paraId="351A8EF3" w14:textId="77777777" w:rsidR="005A1D1A" w:rsidRPr="00743754" w:rsidRDefault="005A1D1A" w:rsidP="00BB65E2">
            <w:pPr>
              <w:pStyle w:val="NormalIndented"/>
              <w:numPr>
                <w:ilvl w:val="0"/>
                <w:numId w:val="47"/>
              </w:numPr>
              <w:spacing w:before="60"/>
              <w:rPr>
                <w:sz w:val="16"/>
                <w:lang w:eastAsia="en-US"/>
              </w:rPr>
            </w:pPr>
            <w:r w:rsidRPr="00743754">
              <w:rPr>
                <w:sz w:val="20"/>
                <w:szCs w:val="20"/>
              </w:rPr>
              <w:t>Enabling Economic Growth</w:t>
            </w:r>
          </w:p>
        </w:tc>
        <w:tc>
          <w:tcPr>
            <w:tcW w:w="1293" w:type="dxa"/>
            <w:shd w:val="clear" w:color="auto" w:fill="7FB64D" w:themeFill="accent3" w:themeFillShade="BF"/>
            <w:noWrap/>
          </w:tcPr>
          <w:p w14:paraId="56EADAF1" w14:textId="77777777" w:rsidR="005A1D1A" w:rsidRPr="00743754" w:rsidRDefault="005A1D1A" w:rsidP="00BB65E2">
            <w:pPr>
              <w:pStyle w:val="NormalIndented"/>
              <w:spacing w:before="60"/>
              <w:rPr>
                <w:color w:val="FFFFFF" w:themeColor="background1"/>
                <w:sz w:val="16"/>
                <w:lang w:eastAsia="en-US"/>
              </w:rPr>
            </w:pPr>
            <w:r w:rsidRPr="00743754">
              <w:rPr>
                <w:color w:val="FFFFFF" w:themeColor="background1"/>
                <w:sz w:val="16"/>
                <w:lang w:eastAsia="en-US"/>
              </w:rPr>
              <w:t>Green</w:t>
            </w:r>
          </w:p>
        </w:tc>
        <w:tc>
          <w:tcPr>
            <w:tcW w:w="1235" w:type="dxa"/>
            <w:shd w:val="clear" w:color="auto" w:fill="72AF2F"/>
            <w:noWrap/>
          </w:tcPr>
          <w:p w14:paraId="0ADE3827" w14:textId="77777777" w:rsidR="005A1D1A" w:rsidRPr="00743754" w:rsidRDefault="003F31DD" w:rsidP="00BB65E2">
            <w:pPr>
              <w:pStyle w:val="NormalIndented"/>
              <w:spacing w:before="60"/>
              <w:rPr>
                <w:color w:val="FFFFFF" w:themeColor="background1"/>
                <w:sz w:val="16"/>
                <w:lang w:eastAsia="en-US"/>
              </w:rPr>
            </w:pPr>
            <w:r w:rsidRPr="00743754">
              <w:rPr>
                <w:color w:val="FFFFFF" w:themeColor="background1"/>
                <w:sz w:val="16"/>
                <w:lang w:eastAsia="en-US"/>
              </w:rPr>
              <w:t>Green</w:t>
            </w:r>
          </w:p>
        </w:tc>
      </w:tr>
      <w:tr w:rsidR="005A1D1A" w:rsidRPr="00C61187" w14:paraId="50173327" w14:textId="77777777" w:rsidTr="00C572EF">
        <w:trPr>
          <w:cnfStyle w:val="000000010000" w:firstRow="0" w:lastRow="0" w:firstColumn="0" w:lastColumn="0" w:oddVBand="0" w:evenVBand="0" w:oddHBand="0" w:evenHBand="1" w:firstRowFirstColumn="0" w:firstRowLastColumn="0" w:lastRowFirstColumn="0" w:lastRowLastColumn="0"/>
        </w:trPr>
        <w:tc>
          <w:tcPr>
            <w:tcW w:w="6717" w:type="dxa"/>
          </w:tcPr>
          <w:p w14:paraId="149D5CDA" w14:textId="77777777" w:rsidR="005A1D1A" w:rsidRPr="00F13D3D" w:rsidRDefault="005A1D1A" w:rsidP="00BB65E2">
            <w:pPr>
              <w:pStyle w:val="NormalIndented"/>
              <w:numPr>
                <w:ilvl w:val="0"/>
                <w:numId w:val="47"/>
              </w:numPr>
              <w:spacing w:before="60"/>
              <w:rPr>
                <w:sz w:val="16"/>
                <w:lang w:eastAsia="en-US"/>
              </w:rPr>
            </w:pPr>
            <w:r w:rsidRPr="00F13D3D">
              <w:rPr>
                <w:sz w:val="20"/>
                <w:szCs w:val="20"/>
              </w:rPr>
              <w:t>Enhancing Human Development</w:t>
            </w:r>
          </w:p>
        </w:tc>
        <w:tc>
          <w:tcPr>
            <w:tcW w:w="1293" w:type="dxa"/>
            <w:shd w:val="clear" w:color="auto" w:fill="E3681D"/>
            <w:noWrap/>
          </w:tcPr>
          <w:p w14:paraId="73FFE27F" w14:textId="77777777" w:rsidR="005A1D1A" w:rsidRPr="00F13D3D" w:rsidRDefault="005A1D1A" w:rsidP="00BB65E2">
            <w:pPr>
              <w:pStyle w:val="NormalIndented"/>
              <w:spacing w:before="60"/>
              <w:rPr>
                <w:color w:val="FFFFFF" w:themeColor="background1"/>
                <w:sz w:val="16"/>
                <w:lang w:eastAsia="en-US"/>
              </w:rPr>
            </w:pPr>
            <w:r w:rsidRPr="00F13D3D">
              <w:rPr>
                <w:color w:val="FFFFFF" w:themeColor="background1"/>
                <w:sz w:val="16"/>
                <w:lang w:eastAsia="en-US"/>
              </w:rPr>
              <w:t>Amber</w:t>
            </w:r>
          </w:p>
        </w:tc>
        <w:tc>
          <w:tcPr>
            <w:tcW w:w="1235" w:type="dxa"/>
            <w:shd w:val="clear" w:color="auto" w:fill="E3681D"/>
            <w:noWrap/>
          </w:tcPr>
          <w:p w14:paraId="3AA11108" w14:textId="77777777" w:rsidR="005A1D1A" w:rsidRPr="00F13D3D" w:rsidRDefault="004F6AF9" w:rsidP="00BB65E2">
            <w:pPr>
              <w:pStyle w:val="NormalIndented"/>
              <w:spacing w:before="60"/>
              <w:rPr>
                <w:color w:val="FFFFFF" w:themeColor="background1"/>
                <w:sz w:val="16"/>
                <w:lang w:eastAsia="en-US"/>
              </w:rPr>
            </w:pPr>
            <w:r w:rsidRPr="00F13D3D">
              <w:rPr>
                <w:color w:val="FFFFFF" w:themeColor="background1"/>
                <w:sz w:val="16"/>
                <w:lang w:eastAsia="en-US"/>
              </w:rPr>
              <w:t>Amber</w:t>
            </w:r>
          </w:p>
        </w:tc>
      </w:tr>
    </w:tbl>
    <w:p w14:paraId="25123171" w14:textId="77777777"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45FF8076" w14:textId="77777777"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75F0027C" w14:textId="77777777" w:rsidR="003D4D8F" w:rsidRDefault="002A51CA" w:rsidP="00F64FE2">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r w:rsidR="00F64FE2">
        <w:rPr>
          <w:sz w:val="16"/>
        </w:rPr>
        <w:br/>
      </w:r>
    </w:p>
    <w:p w14:paraId="139C442A" w14:textId="77777777" w:rsidR="00F604E7" w:rsidRPr="00F64FE2" w:rsidRDefault="00F604E7" w:rsidP="00C94D35">
      <w:pPr>
        <w:pStyle w:val="NormalIndented"/>
        <w:ind w:left="0"/>
        <w:rPr>
          <w:sz w:val="16"/>
        </w:rPr>
      </w:pPr>
    </w:p>
    <w:p w14:paraId="6CEFAF22" w14:textId="77777777" w:rsidR="00622ABC" w:rsidRDefault="00A01F85" w:rsidP="00D5160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 Promoting effective governance</w:t>
      </w:r>
    </w:p>
    <w:p w14:paraId="421EAE2D" w14:textId="77777777" w:rsidR="00622ABC" w:rsidRPr="003D1A10" w:rsidRDefault="0088735A" w:rsidP="003D1A10">
      <w:r w:rsidRPr="00622ABC">
        <w:rPr>
          <w:rFonts w:ascii="Calibri Light" w:hAnsi="Calibri Light"/>
          <w:caps/>
          <w:noProof/>
          <w:color w:val="44546A"/>
          <w:sz w:val="38"/>
          <w:szCs w:val="26"/>
          <w:lang w:val="en-AU" w:eastAsia="en-AU"/>
        </w:rPr>
        <w:drawing>
          <wp:anchor distT="0" distB="0" distL="114300" distR="114300" simplePos="0" relativeHeight="251687936" behindDoc="0" locked="0" layoutInCell="1" allowOverlap="1" wp14:anchorId="12184C2A" wp14:editId="492EA586">
            <wp:simplePos x="0" y="0"/>
            <wp:positionH relativeFrom="column">
              <wp:posOffset>1261110</wp:posOffset>
            </wp:positionH>
            <wp:positionV relativeFrom="paragraph">
              <wp:posOffset>13335</wp:posOffset>
            </wp:positionV>
            <wp:extent cx="609600" cy="609600"/>
            <wp:effectExtent l="0" t="0" r="0" b="0"/>
            <wp:wrapSquare wrapText="bothSides"/>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88960" behindDoc="0" locked="0" layoutInCell="1" allowOverlap="1" wp14:anchorId="1D90DD59" wp14:editId="598866BD">
            <wp:simplePos x="0" y="0"/>
            <wp:positionH relativeFrom="column">
              <wp:posOffset>1994535</wp:posOffset>
            </wp:positionH>
            <wp:positionV relativeFrom="paragraph">
              <wp:posOffset>13335</wp:posOffset>
            </wp:positionV>
            <wp:extent cx="609600" cy="609600"/>
            <wp:effectExtent l="0" t="0" r="0" b="0"/>
            <wp:wrapSquare wrapText="bothSides"/>
            <wp:docPr id="6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89984" behindDoc="0" locked="0" layoutInCell="1" allowOverlap="1" wp14:anchorId="60DA3E78" wp14:editId="2F9B6B52">
            <wp:simplePos x="0" y="0"/>
            <wp:positionH relativeFrom="column">
              <wp:posOffset>2708910</wp:posOffset>
            </wp:positionH>
            <wp:positionV relativeFrom="paragraph">
              <wp:posOffset>13335</wp:posOffset>
            </wp:positionV>
            <wp:extent cx="609600" cy="609600"/>
            <wp:effectExtent l="0" t="0" r="0" b="0"/>
            <wp:wrapSquare wrapText="bothSides"/>
            <wp:docPr id="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91008" behindDoc="0" locked="0" layoutInCell="1" allowOverlap="1" wp14:anchorId="7870E793" wp14:editId="1E70FAD9">
            <wp:simplePos x="0" y="0"/>
            <wp:positionH relativeFrom="column">
              <wp:posOffset>3404235</wp:posOffset>
            </wp:positionH>
            <wp:positionV relativeFrom="paragraph">
              <wp:posOffset>13335</wp:posOffset>
            </wp:positionV>
            <wp:extent cx="609600" cy="609600"/>
            <wp:effectExtent l="0" t="0" r="0" b="0"/>
            <wp:wrapSquare wrapText="bothSides"/>
            <wp:docPr id="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92032" behindDoc="0" locked="0" layoutInCell="1" allowOverlap="1" wp14:anchorId="6F5427D4" wp14:editId="0A88D76C">
            <wp:simplePos x="0" y="0"/>
            <wp:positionH relativeFrom="column">
              <wp:posOffset>4128135</wp:posOffset>
            </wp:positionH>
            <wp:positionV relativeFrom="paragraph">
              <wp:posOffset>13335</wp:posOffset>
            </wp:positionV>
            <wp:extent cx="609600" cy="609600"/>
            <wp:effectExtent l="0" t="0" r="0" b="0"/>
            <wp:wrapSquare wrapText="bothSides"/>
            <wp:docPr id="7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lang w:val="en-AU" w:eastAsia="en-AU"/>
        </w:rPr>
        <w:drawing>
          <wp:anchor distT="0" distB="0" distL="114300" distR="114300" simplePos="0" relativeHeight="251686912" behindDoc="0" locked="0" layoutInCell="1" allowOverlap="1" wp14:anchorId="3EBCF0D3" wp14:editId="716F9708">
            <wp:simplePos x="0" y="0"/>
            <wp:positionH relativeFrom="margin">
              <wp:align>left</wp:align>
            </wp:positionH>
            <wp:positionV relativeFrom="paragraph">
              <wp:posOffset>11430</wp:posOffset>
            </wp:positionV>
            <wp:extent cx="1133475" cy="723900"/>
            <wp:effectExtent l="0" t="0" r="9525"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anchor>
        </w:drawing>
      </w:r>
      <w:r>
        <w:rPr>
          <w:noProof/>
          <w:lang w:val="en-AU" w:eastAsia="en-AU"/>
        </w:rPr>
        <w:drawing>
          <wp:inline distT="0" distB="0" distL="0" distR="0" wp14:anchorId="6101F994" wp14:editId="23D07D5B">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2E0CD3E2" w14:textId="77777777" w:rsidR="0082291A" w:rsidRDefault="0082291A" w:rsidP="0082291A">
      <w:pPr>
        <w:rPr>
          <w:rFonts w:ascii="Times New Roman" w:hAnsi="Times New Roman" w:cs="Times New Roman"/>
          <w:sz w:val="24"/>
          <w:szCs w:val="24"/>
        </w:rPr>
      </w:pPr>
    </w:p>
    <w:p w14:paraId="3D294F48" w14:textId="1E80AB29" w:rsidR="00FD0883" w:rsidRPr="00FD0883" w:rsidRDefault="00FD0883" w:rsidP="00FD0883">
      <w:pPr>
        <w:spacing w:line="240" w:lineRule="auto"/>
        <w:rPr>
          <w:i/>
        </w:rPr>
      </w:pPr>
      <w:r w:rsidRPr="00FD0883">
        <w:rPr>
          <w:i/>
        </w:rPr>
        <w:t xml:space="preserve">This objective includes investments in </w:t>
      </w:r>
      <w:r w:rsidR="00D841FF">
        <w:rPr>
          <w:i/>
        </w:rPr>
        <w:t xml:space="preserve">decentralisation; </w:t>
      </w:r>
      <w:r w:rsidRPr="00FD0883">
        <w:rPr>
          <w:i/>
        </w:rPr>
        <w:t xml:space="preserve">public sector reform; </w:t>
      </w:r>
      <w:r w:rsidR="00371536">
        <w:rPr>
          <w:i/>
        </w:rPr>
        <w:t xml:space="preserve">electoral process; </w:t>
      </w:r>
      <w:r w:rsidR="00D841FF">
        <w:rPr>
          <w:i/>
        </w:rPr>
        <w:t>citizen participation;</w:t>
      </w:r>
      <w:r w:rsidRPr="00FD0883">
        <w:rPr>
          <w:i/>
        </w:rPr>
        <w:t xml:space="preserve"> and law and justice. This objective is rated amber for 2017-18 because progress against some outcomes </w:t>
      </w:r>
      <w:r w:rsidR="008F28D8">
        <w:rPr>
          <w:i/>
        </w:rPr>
        <w:t>was</w:t>
      </w:r>
      <w:r w:rsidR="008F28D8" w:rsidRPr="00FD0883">
        <w:rPr>
          <w:i/>
        </w:rPr>
        <w:t xml:space="preserve"> </w:t>
      </w:r>
      <w:r w:rsidRPr="00FD0883">
        <w:rPr>
          <w:i/>
        </w:rPr>
        <w:t>less than expected. While results from existing activities were largely on track against targets, progress on new programs to support the PNG Government’s decentralisation agenda did not progress as quickly as planned</w:t>
      </w:r>
      <w:r w:rsidRPr="00FD0883" w:rsidDel="00EB1BDC">
        <w:rPr>
          <w:i/>
        </w:rPr>
        <w:t xml:space="preserve"> </w:t>
      </w:r>
      <w:r w:rsidRPr="00FD0883">
        <w:rPr>
          <w:i/>
        </w:rPr>
        <w:t>due in part to delays caused by the 2017 National Election</w:t>
      </w:r>
      <w:r w:rsidR="008F28D8" w:rsidRPr="008F28D8">
        <w:rPr>
          <w:i/>
        </w:rPr>
        <w:t xml:space="preserve"> </w:t>
      </w:r>
      <w:r w:rsidR="008F28D8">
        <w:rPr>
          <w:i/>
        </w:rPr>
        <w:t xml:space="preserve">and the need for agreement on the strategy with the new </w:t>
      </w:r>
      <w:r w:rsidR="008F28D8" w:rsidRPr="00FD0883">
        <w:rPr>
          <w:i/>
        </w:rPr>
        <w:t>Govern</w:t>
      </w:r>
      <w:r w:rsidR="008F28D8">
        <w:rPr>
          <w:i/>
        </w:rPr>
        <w:t>ment</w:t>
      </w:r>
      <w:r w:rsidRPr="00FD0883">
        <w:rPr>
          <w:i/>
        </w:rPr>
        <w:t xml:space="preserve">. Mainstreaming gender equality was again slower than expected in some areas and more progress is needed to maximise the linkages and coordination between programs. </w:t>
      </w:r>
    </w:p>
    <w:p w14:paraId="74D35040" w14:textId="77777777" w:rsidR="00FD0883" w:rsidRDefault="00FD0883" w:rsidP="00FD0883">
      <w:pPr>
        <w:spacing w:line="240" w:lineRule="auto"/>
        <w:rPr>
          <w:i/>
        </w:rPr>
      </w:pPr>
      <w:r w:rsidRPr="00FD0883">
        <w:rPr>
          <w:i/>
        </w:rPr>
        <w:t>The Papua New Guinea and Australian Governments have agreed to work together in three priority areas under the Papua New Guinea-Australia Governance Partnership. The priority areas are Economic Governance and Inclusive Growth (reported under the economic development outcome); Public Sector Leadership and Reform (reported under the Human Development outcome); and Decentralisation and Citizen Participation. All align with Papua New Guinea’s Medium Term Development Plan, and the aspirations</w:t>
      </w:r>
      <w:r w:rsidR="00002F51">
        <w:rPr>
          <w:i/>
        </w:rPr>
        <w:t xml:space="preserve"> set out</w:t>
      </w:r>
      <w:r w:rsidRPr="00FD0883">
        <w:rPr>
          <w:i/>
        </w:rPr>
        <w:t xml:space="preserve"> in Papua New Guinea’s Vision 2050.</w:t>
      </w:r>
    </w:p>
    <w:p w14:paraId="69BA91F2" w14:textId="77777777" w:rsidR="00FD0883" w:rsidRPr="00F35E8F" w:rsidRDefault="00FD0883" w:rsidP="00FD0883">
      <w:pPr>
        <w:rPr>
          <w:rFonts w:cs="Calibri"/>
          <w:b/>
          <w:color w:val="auto"/>
        </w:rPr>
      </w:pPr>
      <w:r w:rsidRPr="00FD0883">
        <w:rPr>
          <w:i/>
          <w:lang w:val="en-US"/>
        </w:rPr>
        <w:t>Decentralisation and Citizen Participation</w:t>
      </w:r>
    </w:p>
    <w:p w14:paraId="357DE3EE" w14:textId="436798C0" w:rsidR="00FD0883" w:rsidRPr="00FD0883" w:rsidRDefault="00FD0883" w:rsidP="00FD0883">
      <w:r w:rsidRPr="00FD0883">
        <w:t>The Government of Papua New Guinea</w:t>
      </w:r>
      <w:r w:rsidR="001145CC">
        <w:t xml:space="preserve"> has prioritised </w:t>
      </w:r>
      <w:r w:rsidRPr="00FD0883">
        <w:t xml:space="preserve">decentralisation </w:t>
      </w:r>
      <w:r w:rsidR="00371536">
        <w:t xml:space="preserve">of </w:t>
      </w:r>
      <w:r w:rsidR="00C62F15">
        <w:t xml:space="preserve">responsibility, </w:t>
      </w:r>
      <w:r w:rsidRPr="00FD0883">
        <w:t>to provincial and district administrations</w:t>
      </w:r>
      <w:r w:rsidR="00C62F15">
        <w:t>,</w:t>
      </w:r>
      <w:r w:rsidRPr="00FD0883">
        <w:t xml:space="preserve"> to enhance services and economic opportunit</w:t>
      </w:r>
      <w:r w:rsidR="00171270">
        <w:t>ies for all citizens</w:t>
      </w:r>
      <w:r w:rsidRPr="00FD0883">
        <w:t xml:space="preserve">.  The signing of the Partnership Arrangement on Improved Decentralisation and Service Delivery by three Papua New Guinea </w:t>
      </w:r>
      <w:r w:rsidRPr="00FD0883">
        <w:lastRenderedPageBreak/>
        <w:t>Ministers and the Australian High Commissioner</w:t>
      </w:r>
      <w:r w:rsidR="004E746C">
        <w:t xml:space="preserve"> in September 2018</w:t>
      </w:r>
      <w:r w:rsidRPr="00FD0883">
        <w:t xml:space="preserve"> was a significant milestone and demonstrated strong alignment of priorities between both governments. Under the partnership, Australia support</w:t>
      </w:r>
      <w:r w:rsidR="001145CC">
        <w:t>s</w:t>
      </w:r>
      <w:r w:rsidRPr="00FD0883">
        <w:t xml:space="preserve"> three interconnected areas: national policy development and implementation; equipping subnational authorities to identify solutions to local development issues; and enhancing participation and contribution of people, </w:t>
      </w:r>
      <w:r w:rsidR="001145CC">
        <w:t>c</w:t>
      </w:r>
      <w:r w:rsidR="002B2DEF">
        <w:t xml:space="preserve">ivil </w:t>
      </w:r>
      <w:r w:rsidR="001145CC">
        <w:t>s</w:t>
      </w:r>
      <w:r w:rsidR="002B2DEF">
        <w:t xml:space="preserve">ociety </w:t>
      </w:r>
      <w:r w:rsidR="001145CC">
        <w:t>o</w:t>
      </w:r>
      <w:r w:rsidR="002B2DEF">
        <w:t>rganisation</w:t>
      </w:r>
      <w:r w:rsidRPr="00FD0883">
        <w:t xml:space="preserve">s and churches in local development. Key results include developing literacy and small business and vocational skills for over 13,000 Papua New Guineans; almost 30,000 </w:t>
      </w:r>
      <w:r w:rsidR="00044131">
        <w:t>people</w:t>
      </w:r>
      <w:r w:rsidRPr="00FD0883">
        <w:t xml:space="preserve"> made use of improved services provided by civil society, church, private sector and government partners; and over 3,000 had improved access to financial services.</w:t>
      </w:r>
    </w:p>
    <w:p w14:paraId="399DF455" w14:textId="5072264E" w:rsidR="000A68DC" w:rsidRPr="000A68DC" w:rsidRDefault="000A68DC" w:rsidP="000A68DC">
      <w:r w:rsidRPr="000A68DC">
        <w:t xml:space="preserve">Progress was made </w:t>
      </w:r>
      <w:r w:rsidR="00044131">
        <w:t>in developing</w:t>
      </w:r>
      <w:r w:rsidRPr="000A68DC">
        <w:t xml:space="preserve"> and implement</w:t>
      </w:r>
      <w:r w:rsidR="001145CC">
        <w:t>ing</w:t>
      </w:r>
      <w:r w:rsidRPr="000A68DC">
        <w:t xml:space="preserve"> national decentralisation policies.  An example is supporting a national forum involving provincial planners, district administrators and national agencies to draft provincial Service Delivery Partnerships Agreements.  The program also supported technical assistance for the review and implementation of the Department for Community Development and Religion’s integrated community development policy. A new Provincial and District Performance Information system was agreed with the Papua New Guinea Government to provide open source data to support policy monitoring and local development planning needs. </w:t>
      </w:r>
      <w:r w:rsidR="00044131">
        <w:t xml:space="preserve">All of which are assisting the </w:t>
      </w:r>
      <w:r w:rsidR="00044131" w:rsidRPr="00521227">
        <w:t>Government’s decentralisation agenda</w:t>
      </w:r>
      <w:r w:rsidR="00044131">
        <w:t>.</w:t>
      </w:r>
    </w:p>
    <w:p w14:paraId="7BB336AB" w14:textId="785BE692" w:rsidR="000A68DC" w:rsidRPr="000A68DC" w:rsidRDefault="000A68DC" w:rsidP="000A68DC">
      <w:r w:rsidRPr="000A68DC">
        <w:t>Partnerships with six priority districts have improved service delivery and economic opportunity at provincial and district levels. Examples include developing district-wide economic and business strategies to support private sector investment; and development of district development plans to improve resource allocation and administration</w:t>
      </w:r>
      <w:r w:rsidR="0013769F">
        <w:t xml:space="preserve"> in the districts</w:t>
      </w:r>
      <w:r w:rsidRPr="000A68DC">
        <w:t xml:space="preserve">. </w:t>
      </w:r>
      <w:r w:rsidR="0013769F">
        <w:t xml:space="preserve">While progress in the six districts varied </w:t>
      </w:r>
      <w:r w:rsidR="001F4C88">
        <w:t xml:space="preserve">due to lack of capacity of staff in some regions, it is seen to have considerable potential and </w:t>
      </w:r>
      <w:r w:rsidRPr="000A68DC">
        <w:t>Australia agreed with the Government of Papua New Guinea to expand this approach to new locations in 2018</w:t>
      </w:r>
      <w:r w:rsidR="001F4C88">
        <w:t>-19</w:t>
      </w:r>
      <w:r w:rsidRPr="000A68DC">
        <w:t xml:space="preserve">. </w:t>
      </w:r>
    </w:p>
    <w:p w14:paraId="25453D80" w14:textId="53F7FDAA" w:rsidR="000A68DC" w:rsidRDefault="000A68DC" w:rsidP="000A68DC">
      <w:pPr>
        <w:rPr>
          <w:rFonts w:cs="CIDFont+F1"/>
        </w:rPr>
      </w:pPr>
      <w:r w:rsidRPr="000A68DC">
        <w:t>There has been significant progress across all existing activities in the Church Partnership Program</w:t>
      </w:r>
      <w:r w:rsidR="00017DFC">
        <w:t xml:space="preserve"> (CPP)</w:t>
      </w:r>
      <w:r w:rsidRPr="000A68DC">
        <w:t xml:space="preserve">. The launch of the third phase of the program </w:t>
      </w:r>
      <w:r w:rsidR="001F4C88">
        <w:t xml:space="preserve">in July 2017 </w:t>
      </w:r>
      <w:r w:rsidRPr="000A68DC">
        <w:t>was a significant achievement, putting in place important reforms including: opportunities to strengthen the Papua New Guinea Council of Churches; options for enhanced cooperation between churches; and potential for churches to strengthen</w:t>
      </w:r>
      <w:r w:rsidRPr="000A68DC" w:rsidDel="00EE4215">
        <w:t xml:space="preserve"> </w:t>
      </w:r>
      <w:r w:rsidRPr="000A68DC">
        <w:t xml:space="preserve">their engagement with Government on key issues. </w:t>
      </w:r>
      <w:r w:rsidR="001F4C88">
        <w:t>The</w:t>
      </w:r>
      <w:r w:rsidRPr="000A68DC">
        <w:t xml:space="preserve"> </w:t>
      </w:r>
      <w:r w:rsidR="00017DFC">
        <w:t>CPP</w:t>
      </w:r>
      <w:r w:rsidRPr="000A68DC">
        <w:t xml:space="preserve"> partners were invited </w:t>
      </w:r>
      <w:r w:rsidR="001F4C88">
        <w:t xml:space="preserve">by the Government </w:t>
      </w:r>
      <w:r w:rsidRPr="000A68DC">
        <w:t xml:space="preserve">to join the National Disaster Management Committee, highlighting their critical role in response and recovery efforts. </w:t>
      </w:r>
      <w:r w:rsidR="0013769F" w:rsidRPr="00521227">
        <w:rPr>
          <w:rFonts w:cs="CIDFont+F1"/>
        </w:rPr>
        <w:t>The CPP used their networks to implement their response to the highlands earthquake, and incorporated the lessons learned during the 2015 El Nino drought work in the Highlands.</w:t>
      </w:r>
    </w:p>
    <w:p w14:paraId="6C55293F" w14:textId="77777777" w:rsidR="001F4C88" w:rsidRPr="000A68DC" w:rsidRDefault="001F4C88" w:rsidP="000A68DC">
      <w:r>
        <w:rPr>
          <w:lang w:val="en-AU"/>
        </w:rPr>
        <w:t xml:space="preserve">The review in May of the Australia–Papua New Guinea Governance Partnership by the </w:t>
      </w:r>
      <w:r w:rsidR="00C62F15">
        <w:rPr>
          <w:lang w:val="en-AU"/>
        </w:rPr>
        <w:t xml:space="preserve">independent </w:t>
      </w:r>
      <w:r>
        <w:rPr>
          <w:lang w:val="en-AU"/>
        </w:rPr>
        <w:t>Quality and</w:t>
      </w:r>
      <w:r w:rsidR="00D94F41">
        <w:rPr>
          <w:lang w:val="en-AU"/>
        </w:rPr>
        <w:t xml:space="preserve"> Technical Advisory Group</w:t>
      </w:r>
      <w:r>
        <w:rPr>
          <w:lang w:val="en-AU"/>
        </w:rPr>
        <w:t xml:space="preserve"> found that the overall performance of programs under the partnership were on track but there were areas requiring improvement. This will be addressed in the coming year.</w:t>
      </w:r>
    </w:p>
    <w:p w14:paraId="1A1C363F" w14:textId="77777777" w:rsidR="000A68DC" w:rsidRPr="000A68DC" w:rsidRDefault="000A68DC" w:rsidP="000A68DC">
      <w:pPr>
        <w:rPr>
          <w:i/>
          <w:lang w:val="en-US"/>
        </w:rPr>
      </w:pPr>
      <w:r w:rsidRPr="000A68DC">
        <w:rPr>
          <w:i/>
          <w:lang w:val="en-US"/>
        </w:rPr>
        <w:t>Public sector reform</w:t>
      </w:r>
    </w:p>
    <w:p w14:paraId="4759D924" w14:textId="4F137E28" w:rsidR="000A68DC" w:rsidRPr="00A873FA" w:rsidRDefault="000A68DC" w:rsidP="000A68DC">
      <w:pPr>
        <w:rPr>
          <w:rFonts w:cs="Calibri"/>
          <w:color w:val="auto"/>
        </w:rPr>
      </w:pPr>
      <w:r w:rsidRPr="000A68DC">
        <w:t xml:space="preserve">Through the Institutional Partnership Program (IPP), 13 Australian Government agencies and </w:t>
      </w:r>
      <w:r w:rsidR="00A7470D">
        <w:t>their Papua New Guinea</w:t>
      </w:r>
      <w:r w:rsidRPr="000A68DC">
        <w:t xml:space="preserve"> counterpart agencies </w:t>
      </w:r>
      <w:r w:rsidR="00E62D0F">
        <w:t>work in partnership</w:t>
      </w:r>
      <w:r w:rsidRPr="000A68DC">
        <w:t xml:space="preserve"> to pursue common objectives, build capacity and form long-term institutional linkages. In 2018, a long-term adviser </w:t>
      </w:r>
      <w:r w:rsidR="002562A4">
        <w:t>assisted</w:t>
      </w:r>
      <w:r w:rsidRPr="000A68DC">
        <w:t xml:space="preserve"> </w:t>
      </w:r>
      <w:r w:rsidR="002562A4">
        <w:t>the Papua New Guinea</w:t>
      </w:r>
      <w:r w:rsidR="002562A4" w:rsidRPr="000A68DC">
        <w:t xml:space="preserve"> </w:t>
      </w:r>
      <w:r w:rsidRPr="000A68DC">
        <w:t xml:space="preserve">Treasury to prepare for and convene an ambitious series of high level APEC meetings. IPP was assessed as an investment requiring improvement in the 2017-18 aid quality check.  In response, </w:t>
      </w:r>
      <w:r w:rsidR="00A7470D">
        <w:t xml:space="preserve">the </w:t>
      </w:r>
      <w:r w:rsidRPr="000A68DC">
        <w:t>IPP was redesigned with significant re</w:t>
      </w:r>
      <w:r w:rsidR="00E56904">
        <w:t xml:space="preserve">forms </w:t>
      </w:r>
      <w:r w:rsidR="00A37D0A">
        <w:t>scheduled</w:t>
      </w:r>
      <w:r w:rsidR="00E56904">
        <w:t xml:space="preserve"> in 2018</w:t>
      </w:r>
      <w:r w:rsidR="00E56904">
        <w:noBreakHyphen/>
      </w:r>
      <w:r w:rsidRPr="000A68DC">
        <w:t>19.</w:t>
      </w:r>
      <w:r w:rsidRPr="00513C53">
        <w:rPr>
          <w:rFonts w:cs="Calibri"/>
          <w:color w:val="auto"/>
        </w:rPr>
        <w:t xml:space="preserve">  </w:t>
      </w:r>
    </w:p>
    <w:p w14:paraId="5CEC1424" w14:textId="77777777" w:rsidR="000A68DC" w:rsidRPr="000A68DC" w:rsidRDefault="000A68DC" w:rsidP="000A68DC">
      <w:pPr>
        <w:rPr>
          <w:i/>
          <w:lang w:val="en-US"/>
        </w:rPr>
      </w:pPr>
      <w:r w:rsidRPr="000A68DC">
        <w:rPr>
          <w:i/>
          <w:lang w:val="en-US"/>
        </w:rPr>
        <w:t>Kokoda Track support</w:t>
      </w:r>
    </w:p>
    <w:p w14:paraId="67CD8FA7" w14:textId="77777777" w:rsidR="000A68DC" w:rsidRPr="000A68DC" w:rsidRDefault="000A68DC" w:rsidP="000A68DC">
      <w:r w:rsidRPr="000A68DC">
        <w:t xml:space="preserve">The progress of our support for Papua New Guinea to keep the Kokoda Track open, safe and well-managed was mixed. Internal monitoring indicated the quality of health, education and water and sanitation for Kokoda communities had improved with Australia’s support, which in 2017-18 included completing 16 health and education facilities and training almost 90 school staff and 58 village health volunteers. Advisory support helped Papua New Guinea to complete a draft Military Heritage Management Plan and the legislative framework for the Kokoda Interim Protected Zone. Progress in building the capacity of Papua New Guinea to manage the track and trekking industry was slower than expected. Australia supported a Papua New Guinea </w:t>
      </w:r>
      <w:r w:rsidRPr="000A68DC">
        <w:lastRenderedPageBreak/>
        <w:t xml:space="preserve">Government review into the Kokoda Track Authority in 2018 and will consider future support following the conclusion of that process. </w:t>
      </w:r>
    </w:p>
    <w:p w14:paraId="540CED0E" w14:textId="77777777" w:rsidR="000A68DC" w:rsidRPr="000A68DC" w:rsidRDefault="000A68DC" w:rsidP="000A68DC">
      <w:pPr>
        <w:rPr>
          <w:i/>
          <w:lang w:val="en-US"/>
        </w:rPr>
      </w:pPr>
      <w:r w:rsidRPr="000A68DC">
        <w:rPr>
          <w:i/>
          <w:lang w:val="en-US"/>
        </w:rPr>
        <w:t>Electoral support</w:t>
      </w:r>
    </w:p>
    <w:p w14:paraId="0EEF27CD" w14:textId="000D8E72" w:rsidR="000A68DC" w:rsidRPr="000A68DC" w:rsidRDefault="000A68DC" w:rsidP="000A68DC">
      <w:r w:rsidRPr="000A68DC">
        <w:t>The bulk o</w:t>
      </w:r>
      <w:r w:rsidR="00E56904">
        <w:t xml:space="preserve">f Australia’s assistance for </w:t>
      </w:r>
      <w:r w:rsidR="00E56904" w:rsidRPr="000A68DC">
        <w:t>Papua New Guinea</w:t>
      </w:r>
      <w:r w:rsidRPr="000A68DC">
        <w:t xml:space="preserve">’s 2017 national election was delivered in 2016-17 and concluded in August 2017 (see 2016-17 APPR for details of this assistance). An independent evaluation </w:t>
      </w:r>
      <w:r w:rsidR="00E56904">
        <w:t xml:space="preserve">of Australia’s assistance to </w:t>
      </w:r>
      <w:r w:rsidR="00E56904" w:rsidRPr="000A68DC">
        <w:t>Papua New Guinea</w:t>
      </w:r>
      <w:r w:rsidRPr="000A68DC">
        <w:t xml:space="preserve">’s 2017 national election was completed in June 2018. The evaluation and management response </w:t>
      </w:r>
      <w:r w:rsidR="00706B29">
        <w:t>were</w:t>
      </w:r>
      <w:r w:rsidRPr="000A68DC">
        <w:t xml:space="preserve"> published in </w:t>
      </w:r>
      <w:r w:rsidR="00706B29">
        <w:t xml:space="preserve">September 2018 and will </w:t>
      </w:r>
      <w:r w:rsidRPr="000A68DC">
        <w:t xml:space="preserve">inform the design of Australia’s future electoral assistance. </w:t>
      </w:r>
    </w:p>
    <w:p w14:paraId="07D6A4AA" w14:textId="77777777" w:rsidR="000A68DC" w:rsidRPr="000A68DC" w:rsidRDefault="000A68DC" w:rsidP="000A68DC">
      <w:pPr>
        <w:rPr>
          <w:i/>
          <w:lang w:val="en-US"/>
        </w:rPr>
      </w:pPr>
      <w:r w:rsidRPr="000A68DC">
        <w:rPr>
          <w:i/>
          <w:lang w:val="en-US"/>
        </w:rPr>
        <w:t>Crosscutting issues</w:t>
      </w:r>
    </w:p>
    <w:p w14:paraId="5077C248" w14:textId="5B17D00E" w:rsidR="000A68DC" w:rsidRDefault="000A68DC" w:rsidP="000A68DC">
      <w:r w:rsidRPr="000A68DC">
        <w:t xml:space="preserve">The </w:t>
      </w:r>
      <w:r w:rsidR="005D19C4" w:rsidRPr="000A68DC">
        <w:t>Church Partnership Program</w:t>
      </w:r>
      <w:r w:rsidR="005D19C4">
        <w:t xml:space="preserve"> </w:t>
      </w:r>
      <w:r w:rsidRPr="000A68DC">
        <w:t>has facilitated collective interventions by the churches for greater women's rights and advocacy on issues including sorcery accusation-related violence. The churches led the development and implementation of a program to enable women and men in the church</w:t>
      </w:r>
      <w:r w:rsidR="00123A67">
        <w:t>es</w:t>
      </w:r>
      <w:r w:rsidRPr="000A68DC">
        <w:t xml:space="preserve"> to promote gender equality and social inclusion messages to their communities. The Ginigoada Bisnis Foundation graduated 3,147 women from their short-term skills development training in Port Moresby and Lae. Targeted interventions to support local women’s leadership and improve gender equality continued to be delivered through the district partnerships. For example, Women’s Business Acumen training was provided through the District Council of Women in Nuku District West Sepik, helping families to plan and manage </w:t>
      </w:r>
      <w:r w:rsidR="00643B95">
        <w:t>income</w:t>
      </w:r>
      <w:r w:rsidRPr="000A68DC">
        <w:t xml:space="preserve"> generation activities (fresh produce, poultry, piggery, vanilla and cocoa). Through the train-the-trainer model, 12,600 people were trained, including 6,700 women. </w:t>
      </w:r>
    </w:p>
    <w:p w14:paraId="0CBEF8D1" w14:textId="18B89F0B" w:rsidR="004E4B14" w:rsidRPr="000A68DC" w:rsidRDefault="004E4B14" w:rsidP="000A68DC">
      <w:r w:rsidRPr="004E4B14">
        <w:t xml:space="preserve">The Decentralisation and Citizen Participation Partnership is supporting the Department for Community Development and Religion’s (DfCDR) emphasis on disability inclusion. A disability concept note has been developed to support and guide the partnership between DfCDR and </w:t>
      </w:r>
      <w:r w:rsidR="00152B44">
        <w:t>Papua New Guinea</w:t>
      </w:r>
      <w:r w:rsidRPr="004E4B14">
        <w:t xml:space="preserve"> Assembly of Disabled Persons, with focus on the priority activities they implement. The disability concept note aimed to support disability advocacy work at the subnational level. All newly developed, or revised monitoring frameworks, now include a focus on marginalised groups, including those </w:t>
      </w:r>
      <w:r>
        <w:t>people living with disabilities</w:t>
      </w:r>
    </w:p>
    <w:p w14:paraId="5681923E" w14:textId="77777777" w:rsidR="00417A72" w:rsidRPr="00A96DD7" w:rsidRDefault="00417A72" w:rsidP="00FD0883">
      <w:pPr>
        <w:pStyle w:val="Heading3Numbered"/>
        <w:numPr>
          <w:ilvl w:val="0"/>
          <w:numId w:val="0"/>
        </w:numPr>
      </w:pPr>
      <w:r w:rsidRPr="00A96DD7">
        <w:t>Law and Justice</w:t>
      </w:r>
    </w:p>
    <w:p w14:paraId="43D42944" w14:textId="4FFFCAAF" w:rsidR="00922241" w:rsidRPr="00A96DD7" w:rsidRDefault="00922241" w:rsidP="00922241">
      <w:pPr>
        <w:rPr>
          <w:i/>
          <w:lang w:val="en-US"/>
        </w:rPr>
      </w:pPr>
      <w:r w:rsidRPr="00A06909">
        <w:t>Australia’s support to Papua New Guinea’s law and justice sector</w:t>
      </w:r>
      <w:r>
        <w:t xml:space="preserve"> aims </w:t>
      </w:r>
      <w:r w:rsidRPr="00A06909">
        <w:t xml:space="preserve">to promote a "just, safe and secure society for all", </w:t>
      </w:r>
      <w:r>
        <w:t>in recognition it</w:t>
      </w:r>
      <w:r w:rsidRPr="00A06909">
        <w:t xml:space="preserve"> underpins improved human development goals, a strengthened private sector and inclusive economic growth. </w:t>
      </w:r>
      <w:r>
        <w:rPr>
          <w:lang w:val="en-US"/>
        </w:rPr>
        <w:t>Australia’s support through t</w:t>
      </w:r>
      <w:r w:rsidRPr="00B54C71">
        <w:rPr>
          <w:lang w:val="en-US"/>
        </w:rPr>
        <w:t>he Justice Services and Stability for Development Program</w:t>
      </w:r>
      <w:r>
        <w:rPr>
          <w:lang w:val="en-US"/>
        </w:rPr>
        <w:t xml:space="preserve"> (2016-19; $90 million)</w:t>
      </w:r>
      <w:r w:rsidRPr="00B54C71">
        <w:rPr>
          <w:lang w:val="en-US"/>
        </w:rPr>
        <w:t xml:space="preserve"> </w:t>
      </w:r>
      <w:r w:rsidRPr="000C2EFE">
        <w:t>has</w:t>
      </w:r>
      <w:r w:rsidRPr="00A06909">
        <w:t xml:space="preserve"> four key outcome areas: improving community safety; addressing family and sexual violence; strengthening legal services; and confronting corruption.  Special consideration is also given to the Autonomous Region of Bougainville. </w:t>
      </w:r>
      <w:r w:rsidR="0082557B">
        <w:t>Australian support</w:t>
      </w:r>
      <w:r>
        <w:t xml:space="preserve"> aligns with Government of Papua New Guinea priorities and complementary support through </w:t>
      </w:r>
      <w:r w:rsidRPr="00A06909">
        <w:t>programs managed by the Attorney General’s Department</w:t>
      </w:r>
      <w:r>
        <w:t xml:space="preserve"> (AGD)</w:t>
      </w:r>
      <w:r w:rsidRPr="00A06909">
        <w:t>, the Commonwealth Ombudsman, the Australian Federal Police</w:t>
      </w:r>
      <w:r>
        <w:t xml:space="preserve"> (AFP)</w:t>
      </w:r>
      <w:r w:rsidRPr="00A06909">
        <w:t xml:space="preserve"> and UNICEF</w:t>
      </w:r>
      <w:r>
        <w:t>, which also contribute to these goals.</w:t>
      </w:r>
    </w:p>
    <w:p w14:paraId="3D400040" w14:textId="77777777" w:rsidR="00922241" w:rsidRPr="00A96DD7" w:rsidRDefault="00922241" w:rsidP="00922241">
      <w:pPr>
        <w:rPr>
          <w:i/>
          <w:lang w:val="en-US"/>
        </w:rPr>
      </w:pPr>
      <w:r w:rsidRPr="00A96DD7">
        <w:rPr>
          <w:i/>
          <w:lang w:val="en-US"/>
        </w:rPr>
        <w:t>Improving community safety</w:t>
      </w:r>
    </w:p>
    <w:p w14:paraId="5B567C54" w14:textId="1A5E8CF9" w:rsidR="00922241" w:rsidRDefault="0082557B" w:rsidP="00922241">
      <w:r>
        <w:t>Australia</w:t>
      </w:r>
      <w:r w:rsidR="00922241">
        <w:t xml:space="preserve"> worked towards safer </w:t>
      </w:r>
      <w:r w:rsidR="00922241" w:rsidRPr="00A06909">
        <w:t>and</w:t>
      </w:r>
      <w:r w:rsidR="00922241">
        <w:t xml:space="preserve"> more</w:t>
      </w:r>
      <w:r w:rsidR="00922241" w:rsidRPr="00A06909">
        <w:t xml:space="preserve"> secure communities </w:t>
      </w:r>
      <w:r w:rsidR="0013769F">
        <w:t xml:space="preserve">by </w:t>
      </w:r>
      <w:r w:rsidR="00922241">
        <w:t xml:space="preserve">enabling more effective, locally legitimate and available dispute resolution and conflict mediation mechanisms. </w:t>
      </w:r>
      <w:r w:rsidR="00922241" w:rsidRPr="00A06909">
        <w:t>Over 1,200 Village Courts and Land Mediators completed training in delivering equitable</w:t>
      </w:r>
      <w:r w:rsidR="00922241">
        <w:t xml:space="preserve"> and</w:t>
      </w:r>
      <w:r w:rsidR="00922241" w:rsidRPr="00A06909">
        <w:t xml:space="preserve"> effective services</w:t>
      </w:r>
      <w:r w:rsidR="0013769F">
        <w:t xml:space="preserve"> and provided services to approximately</w:t>
      </w:r>
      <w:r w:rsidR="00922241" w:rsidRPr="00A06909">
        <w:t xml:space="preserve"> 43,000 Papua New Guineans. </w:t>
      </w:r>
      <w:r w:rsidR="00922241">
        <w:t>Our work through UNICEF was integral in providing the first ever training on child rights and child protection to Village Court Officials.</w:t>
      </w:r>
      <w:r w:rsidR="0013769F">
        <w:t xml:space="preserve"> A</w:t>
      </w:r>
      <w:r w:rsidR="00922241" w:rsidRPr="00A06909">
        <w:t>wareness raising campaigns</w:t>
      </w:r>
      <w:r w:rsidR="0013769F">
        <w:t xml:space="preserve"> on legal rights and responsibilities were presented to an estimated 65,000 people</w:t>
      </w:r>
      <w:r w:rsidR="00922241" w:rsidRPr="00A06909">
        <w:t xml:space="preserve"> in the reporting period. </w:t>
      </w:r>
    </w:p>
    <w:p w14:paraId="1FEC7DA1" w14:textId="454397F4" w:rsidR="00922241" w:rsidRDefault="00922241" w:rsidP="00922241">
      <w:r w:rsidRPr="00A06909">
        <w:t>Acknowledging the challenges of gathering data (just three per cent of Village Courts report their data each year), 75 Village Court inspections</w:t>
      </w:r>
      <w:r>
        <w:t xml:space="preserve"> were conducted</w:t>
      </w:r>
      <w:r w:rsidRPr="00A06909">
        <w:t xml:space="preserve"> </w:t>
      </w:r>
      <w:r>
        <w:t>which</w:t>
      </w:r>
      <w:r w:rsidRPr="00A06909">
        <w:t xml:space="preserve"> identified ways to improve performance, including in stronger data management processes. </w:t>
      </w:r>
      <w:r w:rsidR="0082557B">
        <w:t>With Australian support</w:t>
      </w:r>
      <w:r w:rsidRPr="00A06909">
        <w:t xml:space="preserve">, key coordination mechanisms in the law </w:t>
      </w:r>
      <w:r w:rsidRPr="00A06909">
        <w:lastRenderedPageBreak/>
        <w:t xml:space="preserve">and justice sector </w:t>
      </w:r>
      <w:r>
        <w:t>were</w:t>
      </w:r>
      <w:r w:rsidRPr="00A06909">
        <w:t xml:space="preserve"> strengthened and all provincial working groups </w:t>
      </w:r>
      <w:r>
        <w:t>were</w:t>
      </w:r>
      <w:r w:rsidRPr="00A06909">
        <w:t xml:space="preserve"> assisted in implementing</w:t>
      </w:r>
      <w:r>
        <w:t xml:space="preserve"> their</w:t>
      </w:r>
      <w:r w:rsidRPr="00A06909">
        <w:t xml:space="preserve"> strategic plans.</w:t>
      </w:r>
    </w:p>
    <w:p w14:paraId="5FE36776" w14:textId="77777777" w:rsidR="00922241" w:rsidRPr="00A96DD7" w:rsidRDefault="00922241" w:rsidP="008123B0">
      <w:pPr>
        <w:spacing w:before="100" w:after="40"/>
        <w:rPr>
          <w:i/>
          <w:lang w:val="en-US"/>
        </w:rPr>
      </w:pPr>
      <w:r w:rsidRPr="00A96DD7">
        <w:rPr>
          <w:i/>
          <w:lang w:val="en-US"/>
        </w:rPr>
        <w:t>Addressing family and sexual violence</w:t>
      </w:r>
    </w:p>
    <w:p w14:paraId="320514D3" w14:textId="7BE44362" w:rsidR="00922241" w:rsidRDefault="00922241" w:rsidP="00922241">
      <w:r>
        <w:rPr>
          <w:lang w:val="en-US"/>
        </w:rPr>
        <w:t xml:space="preserve">Coordinated efforts between </w:t>
      </w:r>
      <w:r w:rsidR="00E62D0F">
        <w:rPr>
          <w:lang w:val="en-US"/>
        </w:rPr>
        <w:t>Australia’s aid program</w:t>
      </w:r>
      <w:r>
        <w:rPr>
          <w:lang w:val="en-US"/>
        </w:rPr>
        <w:t>, AGD, AFP and UNICEF contributed to strong progress towards the i</w:t>
      </w:r>
      <w:r w:rsidRPr="00A06909">
        <w:rPr>
          <w:lang w:val="en-US"/>
        </w:rPr>
        <w:t>ntermediate outcomes for addressing family and sexual violence (FSV). We improved survivor access to FSV support services by improving referral pathways and increasing public awareness on recently enacted laws such as the Family Protection Act (FPA). The quality of police services and their responses to FSV survivors has improved through training and upgraded infrastructure (including the completion of Papua New Guinea’s 25th FSV Unit)</w:t>
      </w:r>
      <w:r>
        <w:rPr>
          <w:lang w:val="en-US"/>
        </w:rPr>
        <w:t xml:space="preserve"> and</w:t>
      </w:r>
      <w:r w:rsidRPr="00A06909">
        <w:rPr>
          <w:lang w:val="en-US"/>
        </w:rPr>
        <w:t xml:space="preserve"> </w:t>
      </w:r>
      <w:r w:rsidRPr="00A06909">
        <w:t>AGD support to the Office of the Public Prosecutor (OPP</w:t>
      </w:r>
      <w:r>
        <w:t>)</w:t>
      </w:r>
      <w:r w:rsidRPr="00A06909" w:rsidDel="00455B22">
        <w:t xml:space="preserve"> </w:t>
      </w:r>
      <w:r w:rsidRPr="00A06909">
        <w:t xml:space="preserve">focussed on </w:t>
      </w:r>
      <w:r>
        <w:t xml:space="preserve">prosecutions for </w:t>
      </w:r>
      <w:r w:rsidRPr="00A06909">
        <w:t>family and sexual offences</w:t>
      </w:r>
      <w:r>
        <w:t>.</w:t>
      </w:r>
      <w:r w:rsidRPr="00A06909">
        <w:t xml:space="preserve"> </w:t>
      </w:r>
      <w:r w:rsidR="00DE3EAA">
        <w:t xml:space="preserve">Further results addressing FSV are in the </w:t>
      </w:r>
      <w:r w:rsidR="00DE3EAA" w:rsidRPr="00CF22B1">
        <w:t>Gender equality and women’s empowerment</w:t>
      </w:r>
      <w:r w:rsidR="00DE3EAA">
        <w:t xml:space="preserve"> section, pages 18-19. </w:t>
      </w:r>
    </w:p>
    <w:p w14:paraId="07FCBF44" w14:textId="539EB182" w:rsidR="00922241" w:rsidRDefault="0082557B" w:rsidP="00922241">
      <w:pPr>
        <w:rPr>
          <w:lang w:val="en-US"/>
        </w:rPr>
      </w:pPr>
      <w:r>
        <w:rPr>
          <w:lang w:val="en-US"/>
        </w:rPr>
        <w:t>Australia</w:t>
      </w:r>
      <w:r w:rsidR="00922241" w:rsidRPr="00A06909">
        <w:rPr>
          <w:lang w:val="en-US"/>
        </w:rPr>
        <w:t xml:space="preserve"> supported the development of Court Rules for Magisterial Services to implement the FPA, training of service providers and community awareness.  </w:t>
      </w:r>
      <w:r>
        <w:rPr>
          <w:lang w:val="en-US"/>
        </w:rPr>
        <w:t>We</w:t>
      </w:r>
      <w:r w:rsidR="00922241" w:rsidRPr="00A06909">
        <w:rPr>
          <w:lang w:val="en-US"/>
        </w:rPr>
        <w:t xml:space="preserve"> assisted the Department of Justice and Attorney General (DJAG) and the Constitutional Law Reform Commission to implement the Sorcery National Action Plan</w:t>
      </w:r>
      <w:r w:rsidR="005F7439">
        <w:rPr>
          <w:lang w:val="en-US"/>
        </w:rPr>
        <w:t>,</w:t>
      </w:r>
      <w:r w:rsidR="00A877E8" w:rsidRPr="00A877E8">
        <w:rPr>
          <w:lang w:val="en-US"/>
        </w:rPr>
        <w:t xml:space="preserve"> </w:t>
      </w:r>
      <w:r w:rsidR="00A877E8">
        <w:rPr>
          <w:lang w:val="en-US"/>
        </w:rPr>
        <w:t>which included working with churches and developing a training package for police</w:t>
      </w:r>
      <w:r w:rsidR="00922241" w:rsidRPr="00A06909">
        <w:rPr>
          <w:lang w:val="en-US"/>
        </w:rPr>
        <w:t xml:space="preserve">. </w:t>
      </w:r>
    </w:p>
    <w:p w14:paraId="06425AAA" w14:textId="77777777" w:rsidR="00922241" w:rsidRPr="00A96DD7" w:rsidRDefault="00922241" w:rsidP="00922241">
      <w:pPr>
        <w:rPr>
          <w:i/>
          <w:lang w:val="en-US"/>
        </w:rPr>
      </w:pPr>
      <w:r w:rsidRPr="00A96DD7">
        <w:rPr>
          <w:i/>
          <w:lang w:val="en-US"/>
        </w:rPr>
        <w:t>Strengthening legal services</w:t>
      </w:r>
    </w:p>
    <w:p w14:paraId="3A9CDFC2" w14:textId="4ACB6286" w:rsidR="00922241" w:rsidRDefault="00922241" w:rsidP="00922241">
      <w:r>
        <w:rPr>
          <w:lang w:val="en-US"/>
        </w:rPr>
        <w:t xml:space="preserve">Law and justice agencies were supported to deliver more accountable, responsive and accessible, services </w:t>
      </w:r>
      <w:r>
        <w:t>to</w:t>
      </w:r>
      <w:r w:rsidRPr="00A06909">
        <w:t xml:space="preserve"> promote a culture of legal compliance and enforcement</w:t>
      </w:r>
      <w:r>
        <w:rPr>
          <w:lang w:val="en-US"/>
        </w:rPr>
        <w:t xml:space="preserve">. </w:t>
      </w:r>
      <w:r w:rsidRPr="00A06909">
        <w:t xml:space="preserve">The Secretaries of </w:t>
      </w:r>
      <w:r w:rsidR="0082557B">
        <w:t xml:space="preserve">Australia’s </w:t>
      </w:r>
      <w:r w:rsidR="0082557B" w:rsidRPr="00A06909">
        <w:t>Attorney General’s Department</w:t>
      </w:r>
      <w:r w:rsidR="0082557B">
        <w:t xml:space="preserve"> </w:t>
      </w:r>
      <w:r w:rsidRPr="00A06909">
        <w:t>and</w:t>
      </w:r>
      <w:r w:rsidR="0082557B">
        <w:t xml:space="preserve"> Papua New Guinea’s</w:t>
      </w:r>
      <w:r w:rsidRPr="00A06909">
        <w:t xml:space="preserve"> DJAG signed an MOU in November 2017 to formalise their partnership</w:t>
      </w:r>
      <w:r>
        <w:t>, which included the development of a</w:t>
      </w:r>
      <w:r w:rsidRPr="00A06909">
        <w:t xml:space="preserve"> capacity needs analysis</w:t>
      </w:r>
      <w:r w:rsidR="00A877E8">
        <w:t xml:space="preserve"> which will </w:t>
      </w:r>
      <w:r w:rsidRPr="00A06909">
        <w:t>inform future cooperation and a new White Paper on law and justice.</w:t>
      </w:r>
    </w:p>
    <w:p w14:paraId="2F40F191" w14:textId="42CF515E" w:rsidR="00922241" w:rsidRDefault="0082557B" w:rsidP="00922241">
      <w:r>
        <w:rPr>
          <w:lang w:val="en-US"/>
        </w:rPr>
        <w:t>Australia</w:t>
      </w:r>
      <w:r w:rsidR="00922241" w:rsidRPr="00A06909">
        <w:rPr>
          <w:lang w:val="en-US"/>
        </w:rPr>
        <w:t xml:space="preserve"> completed the redevelopment of the Manus Provincial Police Headquarters in November 2017 and it now services a population of </w:t>
      </w:r>
      <w:r w:rsidR="005F7439">
        <w:rPr>
          <w:lang w:val="en-US"/>
        </w:rPr>
        <w:t>over 70,000</w:t>
      </w:r>
      <w:r w:rsidR="00922241" w:rsidRPr="00A06909">
        <w:rPr>
          <w:lang w:val="en-US"/>
        </w:rPr>
        <w:t xml:space="preserve">, including survivors of FSV. We delivered 30 training programs to 760 officials (284 female) from across the sector to strengthen leadership, management and professional skills. </w:t>
      </w:r>
      <w:r w:rsidR="00922241">
        <w:rPr>
          <w:lang w:val="en-US"/>
        </w:rPr>
        <w:t>O</w:t>
      </w:r>
      <w:r w:rsidR="00922241" w:rsidRPr="00A06909">
        <w:rPr>
          <w:lang w:val="en-US"/>
        </w:rPr>
        <w:t xml:space="preserve">rganisational reform programs </w:t>
      </w:r>
      <w:r w:rsidR="00922241">
        <w:rPr>
          <w:lang w:val="en-US"/>
        </w:rPr>
        <w:t>continued</w:t>
      </w:r>
      <w:r w:rsidR="00922241" w:rsidRPr="00A06909">
        <w:rPr>
          <w:lang w:val="en-US"/>
        </w:rPr>
        <w:t xml:space="preserve"> for the Public Solicitor’s Office and Magisterial Services to assist with long term </w:t>
      </w:r>
      <w:r w:rsidR="00922241">
        <w:rPr>
          <w:lang w:val="en-US"/>
        </w:rPr>
        <w:t>institutional</w:t>
      </w:r>
      <w:r w:rsidR="00922241" w:rsidRPr="00A06909">
        <w:rPr>
          <w:lang w:val="en-US"/>
        </w:rPr>
        <w:t xml:space="preserve"> change. </w:t>
      </w:r>
    </w:p>
    <w:p w14:paraId="69800437" w14:textId="6F872865" w:rsidR="00922241" w:rsidRDefault="00922241" w:rsidP="00922241">
      <w:r w:rsidRPr="009055E4">
        <w:t xml:space="preserve">The Papua New Guinea-Australia Policing Partnership is currently focused on assisting the Royal Papua New Guinea Constabulary (RPNGC) to deliver security arrangements for APEC. The AFP also maintained a public safety policing advisory element to strengthen the professionalism and accountability of the RPNGC. </w:t>
      </w:r>
      <w:r w:rsidR="00A877E8">
        <w:t>Advisors focussed on</w:t>
      </w:r>
      <w:r w:rsidRPr="009055E4">
        <w:t xml:space="preserve"> core policing activities at the Bomana Police Training College and in a number of Provincial centres</w:t>
      </w:r>
      <w:r w:rsidR="00A877E8">
        <w:t xml:space="preserve"> and on </w:t>
      </w:r>
      <w:r w:rsidRPr="009055E4">
        <w:t>develop</w:t>
      </w:r>
      <w:r w:rsidR="00A877E8">
        <w:t>ing</w:t>
      </w:r>
      <w:r w:rsidRPr="009055E4">
        <w:t xml:space="preserve"> the RPNGC Transnational Crime Units</w:t>
      </w:r>
    </w:p>
    <w:p w14:paraId="6F2EA930" w14:textId="27F4D8C2" w:rsidR="00922241" w:rsidRDefault="00922241" w:rsidP="00922241">
      <w:pPr>
        <w:rPr>
          <w:lang w:val="en-US"/>
        </w:rPr>
      </w:pPr>
      <w:r>
        <w:t xml:space="preserve">This year, UNICEF worked with the AFP and RPNGC to develop Police Policy and Protocols on Juvenile Justice. </w:t>
      </w:r>
    </w:p>
    <w:p w14:paraId="6C1D9643" w14:textId="77777777" w:rsidR="00922241" w:rsidRPr="00A96DD7" w:rsidRDefault="00922241" w:rsidP="00922241">
      <w:pPr>
        <w:rPr>
          <w:i/>
          <w:lang w:val="en-US"/>
        </w:rPr>
      </w:pPr>
      <w:r w:rsidRPr="00A96DD7">
        <w:rPr>
          <w:i/>
          <w:lang w:val="en-US"/>
        </w:rPr>
        <w:t>Confronting corruption</w:t>
      </w:r>
    </w:p>
    <w:p w14:paraId="461A840C" w14:textId="161ABE77" w:rsidR="00922241" w:rsidRDefault="00922241" w:rsidP="00922241">
      <w:r w:rsidRPr="00A06909">
        <w:t xml:space="preserve">With support from </w:t>
      </w:r>
      <w:r w:rsidR="008E4247">
        <w:t xml:space="preserve">Australia’s </w:t>
      </w:r>
      <w:r w:rsidRPr="00A06909">
        <w:t>AGD, the Bank of Papua New Guinea led the development of a five year National Strategic Plan to guide the ongoing implementation of Papua New Guinea’s international anti-money laundering and counter-terrorism financing obligations</w:t>
      </w:r>
      <w:r>
        <w:t>. AGD advisors also mentored colleagues on</w:t>
      </w:r>
      <w:r w:rsidRPr="00A06909">
        <w:t xml:space="preserve"> fraud and corruption </w:t>
      </w:r>
      <w:r>
        <w:t>cases in the OPP, and s</w:t>
      </w:r>
      <w:r w:rsidRPr="00A06909">
        <w:t>upport</w:t>
      </w:r>
      <w:r>
        <w:t>ed</w:t>
      </w:r>
      <w:r w:rsidRPr="00A06909">
        <w:t xml:space="preserve"> Papua New Guinea to obtain a money laundering conviction in 2017.</w:t>
      </w:r>
    </w:p>
    <w:p w14:paraId="1D5E8A97" w14:textId="01327078" w:rsidR="004E746C" w:rsidRDefault="0082557B" w:rsidP="00922241">
      <w:r>
        <w:t>Australia’s</w:t>
      </w:r>
      <w:r w:rsidR="00922241" w:rsidRPr="009055E4">
        <w:t xml:space="preserve"> Office of t</w:t>
      </w:r>
      <w:r w:rsidR="00922241">
        <w:t xml:space="preserve">he Commonwealth Ombudsman </w:t>
      </w:r>
      <w:r w:rsidR="00922241" w:rsidRPr="009055E4">
        <w:t>support</w:t>
      </w:r>
      <w:r w:rsidR="00922241">
        <w:t>ed</w:t>
      </w:r>
      <w:r w:rsidR="00922241" w:rsidRPr="009055E4">
        <w:t xml:space="preserve"> the Ombudsman Commission of Papua New Guinea to develop and approve</w:t>
      </w:r>
      <w:r w:rsidR="00922241">
        <w:t xml:space="preserve"> internal</w:t>
      </w:r>
      <w:r w:rsidR="00922241" w:rsidRPr="009055E4">
        <w:t xml:space="preserve"> complaints handling mechanisms for government agencies. </w:t>
      </w:r>
    </w:p>
    <w:p w14:paraId="5D67A23E" w14:textId="38F4AB5B" w:rsidR="00922241" w:rsidRPr="00A96DD7" w:rsidRDefault="00922241" w:rsidP="00922241">
      <w:pPr>
        <w:rPr>
          <w:i/>
          <w:lang w:val="en-US"/>
        </w:rPr>
      </w:pPr>
      <w:r w:rsidRPr="00A96DD7">
        <w:rPr>
          <w:i/>
          <w:lang w:val="en-US"/>
        </w:rPr>
        <w:t>The Autonomous Region of Bougainville</w:t>
      </w:r>
    </w:p>
    <w:p w14:paraId="6BC812F7" w14:textId="538DCDDF" w:rsidR="00922241" w:rsidRDefault="0082557B" w:rsidP="00922241">
      <w:r>
        <w:t>Australia</w:t>
      </w:r>
      <w:r w:rsidR="00922241" w:rsidRPr="00A06909">
        <w:t xml:space="preserve"> provided ongoing support to the Bougainville Police Service, including </w:t>
      </w:r>
      <w:r w:rsidR="00922241">
        <w:t>providing</w:t>
      </w:r>
      <w:r w:rsidR="00922241" w:rsidRPr="00A06909">
        <w:t xml:space="preserve"> dedicated police housing. </w:t>
      </w:r>
      <w:r>
        <w:t>We</w:t>
      </w:r>
      <w:r w:rsidR="00922241" w:rsidRPr="00A06909">
        <w:t xml:space="preserve"> supported the training of Bougainville’s probation officers which now provides magistrates with the option to use pro</w:t>
      </w:r>
      <w:r w:rsidR="00922241">
        <w:t xml:space="preserve">bation as a sentencing option. </w:t>
      </w:r>
      <w:r w:rsidR="00922241" w:rsidRPr="00A06909">
        <w:t>We supported the rehabilitation, reintegration, and training of young offenders through the Mabiri Juvenile Rehabilitation Centre</w:t>
      </w:r>
      <w:r w:rsidR="00922241">
        <w:t xml:space="preserve"> – a model highly regarded by the Government of Papua New Guinea.</w:t>
      </w:r>
    </w:p>
    <w:p w14:paraId="3D71E320" w14:textId="62BDD4ED" w:rsidR="00FE669C" w:rsidRPr="00B63338" w:rsidRDefault="00417A72" w:rsidP="00F45304">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B63338">
        <w:rPr>
          <w:rFonts w:asciiTheme="majorHAnsi" w:eastAsiaTheme="majorEastAsia" w:hAnsiTheme="majorHAnsi" w:cstheme="majorBidi"/>
          <w:caps/>
          <w:color w:val="495965" w:themeColor="text2"/>
          <w:sz w:val="38"/>
          <w:szCs w:val="26"/>
          <w:lang w:val="en-GB" w:eastAsia="en-US"/>
        </w:rPr>
        <w:lastRenderedPageBreak/>
        <w:t>Objective 2: enabling economic growth</w:t>
      </w:r>
    </w:p>
    <w:p w14:paraId="552307DC" w14:textId="77777777" w:rsidR="00F45304" w:rsidRPr="00B63338" w:rsidRDefault="00F45304" w:rsidP="00F45304">
      <w:pPr>
        <w:rPr>
          <w:b/>
          <w:u w:val="single"/>
          <w:lang w:val="en-US"/>
        </w:rPr>
      </w:pPr>
      <w:r w:rsidRPr="00B63338">
        <w:rPr>
          <w:noProof/>
          <w:lang w:val="en-AU" w:eastAsia="en-AU"/>
        </w:rPr>
        <w:drawing>
          <wp:anchor distT="0" distB="0" distL="114300" distR="114300" simplePos="0" relativeHeight="251705344" behindDoc="0" locked="0" layoutInCell="1" allowOverlap="1" wp14:anchorId="1065D6B1" wp14:editId="2DE9F47B">
            <wp:simplePos x="0" y="0"/>
            <wp:positionH relativeFrom="column">
              <wp:posOffset>3733800</wp:posOffset>
            </wp:positionH>
            <wp:positionV relativeFrom="paragraph">
              <wp:posOffset>104775</wp:posOffset>
            </wp:positionV>
            <wp:extent cx="609600" cy="6096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B63338">
        <w:rPr>
          <w:noProof/>
          <w:lang w:val="en-AU" w:eastAsia="en-AU"/>
        </w:rPr>
        <w:drawing>
          <wp:anchor distT="0" distB="0" distL="114300" distR="114300" simplePos="0" relativeHeight="251707392" behindDoc="0" locked="0" layoutInCell="1" allowOverlap="1" wp14:anchorId="0354E4A9" wp14:editId="6AD4CFEE">
            <wp:simplePos x="0" y="0"/>
            <wp:positionH relativeFrom="column">
              <wp:posOffset>4333875</wp:posOffset>
            </wp:positionH>
            <wp:positionV relativeFrom="paragraph">
              <wp:posOffset>104775</wp:posOffset>
            </wp:positionV>
            <wp:extent cx="609600" cy="6096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B63338">
        <w:rPr>
          <w:rFonts w:eastAsiaTheme="majorEastAsia" w:cstheme="majorBidi"/>
          <w:caps/>
          <w:noProof/>
          <w:lang w:val="en-AU" w:eastAsia="en-AU"/>
        </w:rPr>
        <w:drawing>
          <wp:inline distT="0" distB="0" distL="0" distR="0" wp14:anchorId="0139C192" wp14:editId="1FC3BC02">
            <wp:extent cx="1133475" cy="723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r w:rsidRPr="00B63338">
        <w:rPr>
          <w:rFonts w:eastAsiaTheme="majorEastAsia" w:cstheme="majorBidi"/>
          <w:caps/>
          <w:noProof/>
          <w:lang w:val="en-AU" w:eastAsia="en-AU"/>
        </w:rPr>
        <w:drawing>
          <wp:inline distT="0" distB="0" distL="0" distR="0" wp14:anchorId="33105486" wp14:editId="148755B6">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63338">
        <w:rPr>
          <w:noProof/>
          <w:lang w:val="en-AU" w:eastAsia="en-AU"/>
        </w:rPr>
        <w:drawing>
          <wp:inline distT="0" distB="0" distL="0" distR="0" wp14:anchorId="26EFEBB7" wp14:editId="5D329D57">
            <wp:extent cx="6096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63338">
        <w:rPr>
          <w:noProof/>
          <w:lang w:val="en-AU" w:eastAsia="en-AU"/>
        </w:rPr>
        <w:drawing>
          <wp:inline distT="0" distB="0" distL="0" distR="0" wp14:anchorId="79CAEA3B" wp14:editId="7888D6DC">
            <wp:extent cx="609600" cy="609600"/>
            <wp:effectExtent l="0" t="0" r="0" b="0"/>
            <wp:docPr id="58" name="Picture 58"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63338">
        <w:rPr>
          <w:noProof/>
          <w:lang w:val="en-AU" w:eastAsia="en-AU"/>
        </w:rPr>
        <w:drawing>
          <wp:inline distT="0" distB="0" distL="0" distR="0" wp14:anchorId="34A7B8D3" wp14:editId="216A36B8">
            <wp:extent cx="60960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88735A" w:rsidRPr="00B63338">
        <w:rPr>
          <w:noProof/>
          <w:lang w:val="en-AU" w:eastAsia="en-AU"/>
        </w:rPr>
        <w:drawing>
          <wp:inline distT="0" distB="0" distL="0" distR="0" wp14:anchorId="02C1EFF0" wp14:editId="651E7B6A">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3BF15678" w14:textId="482413DD" w:rsidR="00B55ECD" w:rsidRDefault="002A0978" w:rsidP="00B55ECD">
      <w:pPr>
        <w:spacing w:after="0" w:line="240" w:lineRule="auto"/>
        <w:rPr>
          <w:i/>
        </w:rPr>
      </w:pPr>
      <w:r>
        <w:rPr>
          <w:i/>
        </w:rPr>
        <w:t>Australia’s</w:t>
      </w:r>
      <w:r w:rsidR="009C5644" w:rsidRPr="00971DB4">
        <w:rPr>
          <w:i/>
        </w:rPr>
        <w:t xml:space="preserve"> Enabling Economic Growth program</w:t>
      </w:r>
      <w:r w:rsidR="00B55ECD">
        <w:rPr>
          <w:i/>
        </w:rPr>
        <w:t xml:space="preserve"> </w:t>
      </w:r>
      <w:r w:rsidR="009C5644" w:rsidRPr="00971DB4">
        <w:rPr>
          <w:i/>
        </w:rPr>
        <w:t>support</w:t>
      </w:r>
      <w:r w:rsidR="0066506E">
        <w:rPr>
          <w:i/>
        </w:rPr>
        <w:t>s</w:t>
      </w:r>
      <w:r w:rsidR="009C5644" w:rsidRPr="00971DB4">
        <w:rPr>
          <w:i/>
        </w:rPr>
        <w:t xml:space="preserve"> our objective for a stable and prosperous Papua New Guinea</w:t>
      </w:r>
      <w:r w:rsidR="0066506E">
        <w:rPr>
          <w:i/>
        </w:rPr>
        <w:t xml:space="preserve"> as we rebalance</w:t>
      </w:r>
      <w:r w:rsidR="00B55ECD">
        <w:rPr>
          <w:i/>
        </w:rPr>
        <w:t xml:space="preserve"> </w:t>
      </w:r>
      <w:r w:rsidR="009C5644" w:rsidRPr="00971DB4">
        <w:rPr>
          <w:i/>
        </w:rPr>
        <w:t xml:space="preserve">our bilateral relationship towards a more strategic economic partnership. </w:t>
      </w:r>
      <w:r w:rsidR="00B55ECD" w:rsidRPr="00971DB4">
        <w:rPr>
          <w:i/>
        </w:rPr>
        <w:t xml:space="preserve">Consistent with the Aid Investment Plan strategy, these programs are targeting private sector development and economic governance and </w:t>
      </w:r>
      <w:r w:rsidR="00B55ECD">
        <w:rPr>
          <w:i/>
        </w:rPr>
        <w:t xml:space="preserve">we are </w:t>
      </w:r>
      <w:r w:rsidR="00B55ECD" w:rsidRPr="00971DB4">
        <w:rPr>
          <w:i/>
        </w:rPr>
        <w:t>supporting Papua New Guinea’s preparations to host APEC</w:t>
      </w:r>
      <w:r w:rsidR="00B55ECD">
        <w:rPr>
          <w:i/>
        </w:rPr>
        <w:t xml:space="preserve"> </w:t>
      </w:r>
      <w:r w:rsidR="00B55ECD" w:rsidRPr="00971DB4">
        <w:rPr>
          <w:i/>
        </w:rPr>
        <w:t>in 2018.</w:t>
      </w:r>
      <w:r w:rsidR="00B55ECD" w:rsidRPr="0089161C">
        <w:rPr>
          <w:i/>
        </w:rPr>
        <w:t xml:space="preserve"> </w:t>
      </w:r>
    </w:p>
    <w:p w14:paraId="348F0160" w14:textId="6B54ADCF" w:rsidR="009C5644" w:rsidRPr="0089161C" w:rsidRDefault="009C5644" w:rsidP="00B55ECD">
      <w:pPr>
        <w:spacing w:after="0" w:line="240" w:lineRule="auto"/>
        <w:rPr>
          <w:i/>
        </w:rPr>
      </w:pPr>
      <w:r w:rsidRPr="00971DB4">
        <w:rPr>
          <w:i/>
        </w:rPr>
        <w:t>Our investments in this objective reflects Australia’s values and commitment to reducing poverty</w:t>
      </w:r>
      <w:r w:rsidR="008F65EA">
        <w:rPr>
          <w:i/>
        </w:rPr>
        <w:t>, financial inclusion</w:t>
      </w:r>
      <w:r w:rsidRPr="00971DB4">
        <w:rPr>
          <w:i/>
        </w:rPr>
        <w:t xml:space="preserve"> and lifting living standards through sustainable economic growth</w:t>
      </w:r>
      <w:r w:rsidR="008E4247">
        <w:rPr>
          <w:i/>
        </w:rPr>
        <w:t>,</w:t>
      </w:r>
      <w:r w:rsidRPr="00971DB4">
        <w:rPr>
          <w:i/>
        </w:rPr>
        <w:t xml:space="preserve"> as articulated in the 2017 Foreign Policy White Paper. This includes investments in private sector development, </w:t>
      </w:r>
      <w:r w:rsidR="00713060">
        <w:rPr>
          <w:i/>
        </w:rPr>
        <w:t xml:space="preserve">the </w:t>
      </w:r>
      <w:r w:rsidRPr="00971DB4">
        <w:rPr>
          <w:i/>
        </w:rPr>
        <w:t xml:space="preserve">economic governance sector and the transport sector. This objective is rated green for 2017-18 because </w:t>
      </w:r>
      <w:r w:rsidR="00B33630">
        <w:rPr>
          <w:i/>
        </w:rPr>
        <w:t xml:space="preserve">investments in the Economic Governance and Inclusive Growth Partnership, </w:t>
      </w:r>
      <w:r w:rsidR="00B33630" w:rsidRPr="00B33630">
        <w:rPr>
          <w:i/>
        </w:rPr>
        <w:t xml:space="preserve">Transport Sector Support Program </w:t>
      </w:r>
      <w:r w:rsidR="00B33630">
        <w:rPr>
          <w:i/>
        </w:rPr>
        <w:t xml:space="preserve">and the </w:t>
      </w:r>
      <w:r w:rsidR="00B33630" w:rsidRPr="00B33630">
        <w:rPr>
          <w:i/>
        </w:rPr>
        <w:t xml:space="preserve">Incentive Fund </w:t>
      </w:r>
      <w:r w:rsidR="00B33630">
        <w:rPr>
          <w:i/>
        </w:rPr>
        <w:t xml:space="preserve">have </w:t>
      </w:r>
      <w:r w:rsidR="005F7439">
        <w:rPr>
          <w:i/>
        </w:rPr>
        <w:t xml:space="preserve">met or </w:t>
      </w:r>
      <w:r w:rsidR="00B33630">
        <w:rPr>
          <w:i/>
        </w:rPr>
        <w:t xml:space="preserve">exceeded </w:t>
      </w:r>
      <w:r w:rsidR="0066506E">
        <w:rPr>
          <w:i/>
        </w:rPr>
        <w:t>expectations</w:t>
      </w:r>
      <w:r w:rsidRPr="00971DB4">
        <w:rPr>
          <w:i/>
        </w:rPr>
        <w:t xml:space="preserve">. </w:t>
      </w:r>
      <w:r w:rsidR="00B55ECD">
        <w:rPr>
          <w:i/>
        </w:rPr>
        <w:t>Our investments across our aid program to Papua New Guinea work together to enable economic growth, as improved governance and increased human development also support inclusive economic growth in Papua New Guinea.</w:t>
      </w:r>
    </w:p>
    <w:p w14:paraId="6D349A29" w14:textId="77777777" w:rsidR="00762FAB" w:rsidRPr="00B63338" w:rsidRDefault="00762FAB" w:rsidP="00762FAB">
      <w:pPr>
        <w:pStyle w:val="Heading3Numbered"/>
        <w:numPr>
          <w:ilvl w:val="0"/>
          <w:numId w:val="0"/>
        </w:numPr>
        <w:ind w:left="851" w:hanging="851"/>
      </w:pPr>
      <w:r w:rsidRPr="00B63338">
        <w:t>Private Sector Development and Economic Governance</w:t>
      </w:r>
    </w:p>
    <w:p w14:paraId="160B1261" w14:textId="77777777" w:rsidR="009C5644" w:rsidRPr="000D324E" w:rsidRDefault="009C5644" w:rsidP="009C5644">
      <w:pPr>
        <w:spacing w:after="0" w:line="240" w:lineRule="auto"/>
      </w:pPr>
      <w:r>
        <w:t>Australia’s investment in private sector development and economic governance in Papua New Guinea is delivered through a range of programs provided by the Department of Foreign Affairs and Trade</w:t>
      </w:r>
      <w:r w:rsidR="001250AA">
        <w:t xml:space="preserve"> </w:t>
      </w:r>
      <w:r w:rsidR="00123A67">
        <w:t>(DFAT)</w:t>
      </w:r>
      <w:r>
        <w:t xml:space="preserve"> and the Australian Centre for International Agricultural Research (ACIAR).</w:t>
      </w:r>
    </w:p>
    <w:p w14:paraId="41CCD3E7" w14:textId="77777777" w:rsidR="000D324E" w:rsidRDefault="000D324E" w:rsidP="000D324E">
      <w:pPr>
        <w:spacing w:after="0" w:line="240" w:lineRule="auto"/>
        <w:rPr>
          <w:i/>
        </w:rPr>
      </w:pPr>
      <w:r>
        <w:rPr>
          <w:i/>
        </w:rPr>
        <w:t>Economic Governance and Inclusive Growth</w:t>
      </w:r>
    </w:p>
    <w:p w14:paraId="69EA1564" w14:textId="0B59470F" w:rsidR="009C5644" w:rsidRDefault="009C5644" w:rsidP="009C5644">
      <w:pPr>
        <w:spacing w:after="0" w:line="240" w:lineRule="auto"/>
      </w:pPr>
      <w:r>
        <w:t xml:space="preserve">The Economic Governance and Inclusive Growth Partnership (EGIG) with the Government of Papua New Guinea seeks to build macro-economic stability, improve fiscal management and inclusive economic growth. The Papua New Guinea Internal Revenue Commission (IRC) is a key EGIG program partner. Under this partnership, </w:t>
      </w:r>
      <w:r w:rsidR="00602ABF" w:rsidRPr="00602ABF">
        <w:t xml:space="preserve">progress </w:t>
      </w:r>
      <w:r w:rsidR="00602ABF">
        <w:t>exceeded 2017-</w:t>
      </w:r>
      <w:r w:rsidR="00602ABF" w:rsidRPr="00602ABF">
        <w:t xml:space="preserve">18 expectations </w:t>
      </w:r>
      <w:r w:rsidR="00602ABF">
        <w:t xml:space="preserve">as we </w:t>
      </w:r>
      <w:r w:rsidR="001250AA">
        <w:t xml:space="preserve">helped increase the Government </w:t>
      </w:r>
      <w:r w:rsidR="005F7439">
        <w:t xml:space="preserve">of </w:t>
      </w:r>
      <w:r w:rsidR="001250AA">
        <w:t xml:space="preserve">Papua New Guinea’s tax revenue by 315 million kina through clearing </w:t>
      </w:r>
      <w:r w:rsidR="008E4247">
        <w:t xml:space="preserve">over </w:t>
      </w:r>
      <w:r w:rsidR="001250AA">
        <w:t>608,</w:t>
      </w:r>
      <w:r w:rsidR="008E4247">
        <w:t>000</w:t>
      </w:r>
      <w:r w:rsidR="001250AA">
        <w:t xml:space="preserve"> unlodged returns and increased monthly lodgement rate</w:t>
      </w:r>
      <w:r w:rsidR="005F7439">
        <w:t>s</w:t>
      </w:r>
      <w:r w:rsidR="001250AA">
        <w:t xml:space="preserve"> by 44 per cent. </w:t>
      </w:r>
      <w:r w:rsidR="005F5C2C">
        <w:t xml:space="preserve">This significant outcome was achieved through </w:t>
      </w:r>
      <w:r>
        <w:t>Australia</w:t>
      </w:r>
      <w:r w:rsidR="005F5C2C">
        <w:t xml:space="preserve">’s funding of </w:t>
      </w:r>
      <w:r>
        <w:t xml:space="preserve">60 short-term staff in the IRC’s Lodgement Enforcement Division. </w:t>
      </w:r>
      <w:r w:rsidR="00F72B26">
        <w:t>Our partnership with the Department of Finance has implemented new legislation and financial management systems that increased revenues in late 2017, improved transparency and reduced opportunity for corruption.</w:t>
      </w:r>
    </w:p>
    <w:p w14:paraId="54437A50" w14:textId="546FAA7E" w:rsidR="009C5644" w:rsidRDefault="009C5644" w:rsidP="009C5644">
      <w:pPr>
        <w:spacing w:after="0" w:line="240" w:lineRule="auto"/>
      </w:pPr>
      <w:r>
        <w:t>In May 2017, t</w:t>
      </w:r>
      <w:r w:rsidRPr="00A908AB">
        <w:t xml:space="preserve">he EGIG Partnership </w:t>
      </w:r>
      <w:r w:rsidR="005F5C2C">
        <w:t xml:space="preserve">supported the Asian Development Bank to fund a package of USD195 million to support the delivery of accessible, affordable and high-quality healthcare services in Papua New Guinea. This support package was made possible by Australia funding a </w:t>
      </w:r>
      <w:r w:rsidRPr="00A908AB">
        <w:t>Public Finance Economist to work with the Asian Development Bank</w:t>
      </w:r>
      <w:r w:rsidR="005F5C2C">
        <w:t xml:space="preserve">. </w:t>
      </w:r>
    </w:p>
    <w:p w14:paraId="3BB838DD" w14:textId="77777777" w:rsidR="000D324E" w:rsidRDefault="000D324E" w:rsidP="000D324E">
      <w:pPr>
        <w:spacing w:after="0" w:line="240" w:lineRule="auto"/>
      </w:pPr>
      <w:r w:rsidRPr="00FA0120">
        <w:rPr>
          <w:i/>
        </w:rPr>
        <w:t>Private Sector Development Framework</w:t>
      </w:r>
      <w:r>
        <w:rPr>
          <w:i/>
        </w:rPr>
        <w:t xml:space="preserve"> </w:t>
      </w:r>
      <w:r>
        <w:t>(up to $68 million, 2014-19)</w:t>
      </w:r>
    </w:p>
    <w:p w14:paraId="256A3C0C" w14:textId="778C3F75" w:rsidR="009C5644" w:rsidRDefault="009C5644" w:rsidP="009C5644">
      <w:pPr>
        <w:spacing w:after="0" w:line="240" w:lineRule="auto"/>
      </w:pPr>
      <w:r>
        <w:t xml:space="preserve">Structured under four pillars, the Private Sector Development Framework seeks to reduce costs, reduce risk and increase the productivity of the Papua New Guinea economy. Under the </w:t>
      </w:r>
      <w:r>
        <w:rPr>
          <w:b/>
        </w:rPr>
        <w:t>Business-E</w:t>
      </w:r>
      <w:r w:rsidRPr="00676619">
        <w:rPr>
          <w:b/>
        </w:rPr>
        <w:t xml:space="preserve">nabling </w:t>
      </w:r>
      <w:r>
        <w:rPr>
          <w:b/>
        </w:rPr>
        <w:t xml:space="preserve">Environment </w:t>
      </w:r>
      <w:r w:rsidRPr="00676619">
        <w:rPr>
          <w:b/>
        </w:rPr>
        <w:t>pillar</w:t>
      </w:r>
      <w:r>
        <w:t xml:space="preserve">, the International Financial Corporation (IFC) improved energy services and access to financial services for SMEs. </w:t>
      </w:r>
      <w:r w:rsidR="008E4247">
        <w:t>As a result of Australia’s</w:t>
      </w:r>
      <w:r w:rsidR="00136324">
        <w:t xml:space="preserve"> support, </w:t>
      </w:r>
      <w:r>
        <w:t>over 1.2 million people in Papua New Guinea benefitted from high-quality solar recharging and lighting products</w:t>
      </w:r>
      <w:r w:rsidR="00136324">
        <w:t xml:space="preserve"> under the IFC’s </w:t>
      </w:r>
      <w:r w:rsidR="00136324" w:rsidRPr="004E746C">
        <w:rPr>
          <w:i/>
        </w:rPr>
        <w:t>Lighting Papua New Guinea</w:t>
      </w:r>
      <w:r w:rsidR="00136324">
        <w:t xml:space="preserve"> project</w:t>
      </w:r>
      <w:r w:rsidR="006B4812">
        <w:t>, which met 2017-18 expectations</w:t>
      </w:r>
      <w:r>
        <w:t>.</w:t>
      </w:r>
      <w:r w:rsidRPr="00676619">
        <w:t xml:space="preserve"> </w:t>
      </w:r>
      <w:r w:rsidR="007D1069">
        <w:t xml:space="preserve">Our support enabled </w:t>
      </w:r>
      <w:r>
        <w:t>Papua New Guinea to develop a personal property securities act and collateral registry to facilitate better access to credit</w:t>
      </w:r>
      <w:r w:rsidR="00F72B26">
        <w:t xml:space="preserve">, and </w:t>
      </w:r>
      <w:r w:rsidR="009505A9">
        <w:t xml:space="preserve">contributed to the </w:t>
      </w:r>
      <w:r w:rsidR="00F72B26">
        <w:t>improve</w:t>
      </w:r>
      <w:r w:rsidR="009505A9">
        <w:t>ment in</w:t>
      </w:r>
      <w:r w:rsidR="00F72B26">
        <w:t xml:space="preserve"> PNG’s position in the Ease of Doing Business index by 26 places between 2016 and 2017</w:t>
      </w:r>
      <w:r>
        <w:t>.</w:t>
      </w:r>
    </w:p>
    <w:p w14:paraId="778E4FF4" w14:textId="647FD702" w:rsidR="009C5644" w:rsidRPr="00327BDA" w:rsidRDefault="009C5644" w:rsidP="009C5644">
      <w:pPr>
        <w:spacing w:after="0" w:line="240" w:lineRule="auto"/>
      </w:pPr>
      <w:r>
        <w:lastRenderedPageBreak/>
        <w:t xml:space="preserve">Under the </w:t>
      </w:r>
      <w:r>
        <w:rPr>
          <w:b/>
        </w:rPr>
        <w:t>A</w:t>
      </w:r>
      <w:r w:rsidRPr="00D747F3">
        <w:rPr>
          <w:b/>
        </w:rPr>
        <w:t>griculture pillar</w:t>
      </w:r>
      <w:r w:rsidR="00634712">
        <w:t xml:space="preserve"> we are </w:t>
      </w:r>
      <w:r>
        <w:t xml:space="preserve">working with Papua New Guinea to support rural development, </w:t>
      </w:r>
      <w:r w:rsidR="004B6E4F">
        <w:rPr>
          <w:lang w:val="en-US"/>
        </w:rPr>
        <w:t xml:space="preserve">rural livelihoods, </w:t>
      </w:r>
      <w:r>
        <w:t xml:space="preserve">markets and trade through the Market Development Facility (MDF), ACIAR, the Pacific Horticultural and Agricultural Market Access (PHAMA) and the International Financial Corporation (IFC) programs. </w:t>
      </w:r>
      <w:r w:rsidR="00E55766">
        <w:t xml:space="preserve">Our investment in </w:t>
      </w:r>
      <w:r>
        <w:t xml:space="preserve">MDF </w:t>
      </w:r>
      <w:r w:rsidR="00E55766">
        <w:t xml:space="preserve">is stimulating </w:t>
      </w:r>
      <w:r>
        <w:t>investment, business innovation and regulatory reform to create jobs and increase income for poor women and men in rural and urban areas, particularly in the agriculture sector</w:t>
      </w:r>
      <w:r w:rsidR="008E4247">
        <w:t>. P</w:t>
      </w:r>
      <w:r w:rsidR="00634712" w:rsidRPr="00634712">
        <w:t>rogress is as expected at this stage of implementation</w:t>
      </w:r>
      <w:r w:rsidRPr="00634712">
        <w:t>.</w:t>
      </w:r>
      <w:r>
        <w:t xml:space="preserve"> </w:t>
      </w:r>
      <w:r w:rsidR="00E55766">
        <w:t>Through our support to</w:t>
      </w:r>
      <w:r w:rsidR="00592B98">
        <w:t xml:space="preserve"> small farmers in remote areas, </w:t>
      </w:r>
      <w:r w:rsidR="00E55766">
        <w:t xml:space="preserve">we are </w:t>
      </w:r>
      <w:r>
        <w:t>partnering with several rural Papua New Guinean businesses</w:t>
      </w:r>
      <w:r w:rsidR="00592B98">
        <w:t xml:space="preserve"> to </w:t>
      </w:r>
      <w:r w:rsidR="00101C1C">
        <w:t>increase agricultural production</w:t>
      </w:r>
      <w:r>
        <w:t xml:space="preserve">. </w:t>
      </w:r>
      <w:r w:rsidR="0029346D">
        <w:t xml:space="preserve">For example, our </w:t>
      </w:r>
      <w:r w:rsidR="00E55766">
        <w:t xml:space="preserve">investment resulted in </w:t>
      </w:r>
      <w:r w:rsidR="0029346D">
        <w:t>a</w:t>
      </w:r>
      <w:r w:rsidR="00E55766">
        <w:t xml:space="preserve"> company tripling its honey production as well as training women in beekeeping through its</w:t>
      </w:r>
      <w:r>
        <w:t xml:space="preserve"> partnership with New Guinea Fruits, </w:t>
      </w:r>
      <w:r w:rsidRPr="007645FA">
        <w:t xml:space="preserve">a honey </w:t>
      </w:r>
      <w:r>
        <w:t>producer</w:t>
      </w:r>
      <w:r w:rsidRPr="007645FA">
        <w:t xml:space="preserve"> in Eastern High</w:t>
      </w:r>
      <w:r>
        <w:t xml:space="preserve">lands province. </w:t>
      </w:r>
    </w:p>
    <w:p w14:paraId="299E3B4E" w14:textId="23FBC903" w:rsidR="009C5644" w:rsidRPr="00105A91" w:rsidRDefault="009C5644" w:rsidP="009C5644">
      <w:pPr>
        <w:spacing w:after="0" w:line="240" w:lineRule="auto"/>
        <w:rPr>
          <w:b/>
        </w:rPr>
      </w:pPr>
      <w:r>
        <w:t>Through ACIAR’s canarium nut project, a range of new products were developed in East New Britain including natural, roasted and peeled products</w:t>
      </w:r>
      <w:r w:rsidR="00C92284">
        <w:t>, and p</w:t>
      </w:r>
      <w:r w:rsidR="00C92284" w:rsidRPr="00634712">
        <w:t>rogress is as expected at this stage of implementation.</w:t>
      </w:r>
      <w:r>
        <w:t xml:space="preserve"> Two private sector players, the Canarium Nut Co and CPL, have partnered with the project team for market testing trials. The project scaled </w:t>
      </w:r>
      <w:r w:rsidR="005F7439">
        <w:t xml:space="preserve">up </w:t>
      </w:r>
      <w:r>
        <w:t>between 2017 and 2018</w:t>
      </w:r>
      <w:r w:rsidR="004159D3">
        <w:t>,</w:t>
      </w:r>
      <w:r>
        <w:t xml:space="preserve"> with a fourfold increase in canarium nut processing capacity</w:t>
      </w:r>
      <w:r w:rsidR="008E0B96" w:rsidRPr="00634712">
        <w:t>.</w:t>
      </w:r>
      <w:r>
        <w:t xml:space="preserve"> </w:t>
      </w:r>
    </w:p>
    <w:p w14:paraId="3655D5F6" w14:textId="17C707B8" w:rsidR="009C5644" w:rsidRDefault="009C5644" w:rsidP="009C5644">
      <w:pPr>
        <w:spacing w:after="0" w:line="240" w:lineRule="auto"/>
      </w:pPr>
      <w:r>
        <w:t>The IFC Partnership</w:t>
      </w:r>
      <w:r w:rsidRPr="0063417D">
        <w:t>, co-funded by New Zealand, combines advisory services with investments to generate private sector activity and economic growth in Pacific Island countries.</w:t>
      </w:r>
      <w:r>
        <w:t xml:space="preserve">  In Papua New Guinea, </w:t>
      </w:r>
      <w:r w:rsidR="00E55766">
        <w:t xml:space="preserve">our investment </w:t>
      </w:r>
      <w:r>
        <w:t xml:space="preserve">helped </w:t>
      </w:r>
      <w:r w:rsidR="004A1135">
        <w:t xml:space="preserve">increase </w:t>
      </w:r>
      <w:r w:rsidR="004B6E4F">
        <w:rPr>
          <w:lang w:val="en-US"/>
        </w:rPr>
        <w:t xml:space="preserve">rural livelihoods </w:t>
      </w:r>
      <w:r w:rsidR="004A1135">
        <w:t xml:space="preserve">by supporting better logistics to enable </w:t>
      </w:r>
      <w:r>
        <w:t>Mt Hagen agribusiness</w:t>
      </w:r>
      <w:r w:rsidR="004A1135">
        <w:t xml:space="preserve">es </w:t>
      </w:r>
      <w:r w:rsidR="0029346D">
        <w:t xml:space="preserve">to </w:t>
      </w:r>
      <w:r w:rsidR="004B6E4F">
        <w:t>increase</w:t>
      </w:r>
      <w:r w:rsidR="00E55766">
        <w:t xml:space="preserve"> </w:t>
      </w:r>
      <w:r>
        <w:t xml:space="preserve">fresh produce </w:t>
      </w:r>
      <w:r w:rsidR="0029346D">
        <w:t xml:space="preserve">transport </w:t>
      </w:r>
      <w:r>
        <w:t>to Port Moresby</w:t>
      </w:r>
      <w:r w:rsidR="004B6E4F">
        <w:t xml:space="preserve"> </w:t>
      </w:r>
      <w:r w:rsidR="004B6E4F" w:rsidRPr="00A010FA">
        <w:t xml:space="preserve">from </w:t>
      </w:r>
      <w:r w:rsidR="004B6E4F">
        <w:t>20 tonnes</w:t>
      </w:r>
      <w:r w:rsidR="004B6E4F" w:rsidRPr="00A010FA">
        <w:t xml:space="preserve"> per month to </w:t>
      </w:r>
      <w:r w:rsidR="004B6E4F">
        <w:t>140 tonnes</w:t>
      </w:r>
      <w:r w:rsidR="004B6E4F" w:rsidRPr="00A010FA">
        <w:t xml:space="preserve"> in March 2018</w:t>
      </w:r>
      <w:r>
        <w:t>.  The program trained 800</w:t>
      </w:r>
      <w:r w:rsidRPr="0018012E">
        <w:t xml:space="preserve"> </w:t>
      </w:r>
      <w:r>
        <w:t xml:space="preserve">farmers </w:t>
      </w:r>
      <w:r w:rsidRPr="0018012E">
        <w:t>in agricultural techn</w:t>
      </w:r>
      <w:r>
        <w:t>iques,</w:t>
      </w:r>
      <w:r w:rsidR="0072689A">
        <w:t xml:space="preserve"> </w:t>
      </w:r>
      <w:r>
        <w:t xml:space="preserve">financial and business literacy, and pest and </w:t>
      </w:r>
      <w:r w:rsidRPr="0018012E">
        <w:t>disease management</w:t>
      </w:r>
      <w:r w:rsidR="007821BE">
        <w:t>, and p</w:t>
      </w:r>
      <w:r w:rsidR="007821BE" w:rsidRPr="00634712">
        <w:t>rogress is as expected at this stage of implementation.</w:t>
      </w:r>
    </w:p>
    <w:p w14:paraId="15FE01CE" w14:textId="3A818CB6" w:rsidR="009C5644" w:rsidRDefault="00E55766" w:rsidP="009C5644">
      <w:pPr>
        <w:spacing w:after="0" w:line="240" w:lineRule="auto"/>
      </w:pPr>
      <w:r>
        <w:t xml:space="preserve">Through our investment in </w:t>
      </w:r>
      <w:r w:rsidR="009C5644">
        <w:t>Kumul Game Changers (KGC)</w:t>
      </w:r>
      <w:r>
        <w:t>, we</w:t>
      </w:r>
      <w:r w:rsidR="009C5644">
        <w:t xml:space="preserve"> assisted young entrepreneurs to develop their ideas, under the </w:t>
      </w:r>
      <w:r w:rsidR="009C5644">
        <w:rPr>
          <w:b/>
        </w:rPr>
        <w:t>Innovation and P</w:t>
      </w:r>
      <w:r w:rsidR="009C5644" w:rsidRPr="00676619">
        <w:rPr>
          <w:b/>
        </w:rPr>
        <w:t>artnerships</w:t>
      </w:r>
      <w:r w:rsidR="009C5644" w:rsidRPr="00676619">
        <w:t xml:space="preserve"> </w:t>
      </w:r>
      <w:r w:rsidR="009C5644" w:rsidRPr="003B4A56">
        <w:rPr>
          <w:b/>
        </w:rPr>
        <w:t>pillar</w:t>
      </w:r>
      <w:r w:rsidR="009C5644">
        <w:t xml:space="preserve">. KGC attracted over 600 submissions and 40 </w:t>
      </w:r>
      <w:r>
        <w:t xml:space="preserve">selected </w:t>
      </w:r>
      <w:r w:rsidR="009C5644">
        <w:t xml:space="preserve">entrepreneurs </w:t>
      </w:r>
      <w:r>
        <w:t>undertook</w:t>
      </w:r>
      <w:r w:rsidR="009C5644">
        <w:t xml:space="preserve"> a Bootcamp in Port Moresby in 2017. In August 2017, EGIG worked with the Bank of Papua New Guinea to facilitate the first Papua New Guinea Blockchain seminar attended by over 200 people from the banking, telecoms, logistics and energy </w:t>
      </w:r>
      <w:r w:rsidR="0072689A">
        <w:t>sectors</w:t>
      </w:r>
      <w:r w:rsidR="009C5644">
        <w:t xml:space="preserve">. The momentum generated through the seminar led to the establishment of a Papua New Guinea Digital Commerce Association. </w:t>
      </w:r>
    </w:p>
    <w:p w14:paraId="4C980198" w14:textId="211ABF62" w:rsidR="00D14150" w:rsidRDefault="009C5644" w:rsidP="004B6E4F">
      <w:pPr>
        <w:spacing w:after="0" w:line="240" w:lineRule="auto"/>
      </w:pPr>
      <w:r>
        <w:t xml:space="preserve">The </w:t>
      </w:r>
      <w:r>
        <w:rPr>
          <w:b/>
        </w:rPr>
        <w:t>Financial I</w:t>
      </w:r>
      <w:r w:rsidRPr="00676619">
        <w:rPr>
          <w:b/>
        </w:rPr>
        <w:t>nclusion pillar</w:t>
      </w:r>
      <w:r>
        <w:t xml:space="preserve"> </w:t>
      </w:r>
      <w:r w:rsidR="004B6E4F">
        <w:t xml:space="preserve">focuses on supporting </w:t>
      </w:r>
      <w:r w:rsidR="0029346D">
        <w:t xml:space="preserve">economically marginalised </w:t>
      </w:r>
      <w:r w:rsidR="004B6E4F">
        <w:t xml:space="preserve">(particularly women) </w:t>
      </w:r>
      <w:r>
        <w:t xml:space="preserve">through the Microfinance Expansion Program </w:t>
      </w:r>
      <w:r w:rsidR="0072689A">
        <w:t>(MEP). An evaluation of the MEP</w:t>
      </w:r>
      <w:r>
        <w:t xml:space="preserve"> undertaken this year showed</w:t>
      </w:r>
      <w:r w:rsidR="0072689A">
        <w:t xml:space="preserve"> that</w:t>
      </w:r>
      <w:r>
        <w:t xml:space="preserve"> </w:t>
      </w:r>
      <w:r w:rsidR="00F309FD">
        <w:t>work is needed to increase</w:t>
      </w:r>
      <w:r w:rsidR="00AD41F5">
        <w:t xml:space="preserve"> </w:t>
      </w:r>
      <w:r w:rsidRPr="00C77431">
        <w:t>the uptake</w:t>
      </w:r>
      <w:r w:rsidR="00F309FD">
        <w:t>, usage and</w:t>
      </w:r>
      <w:r w:rsidR="00AD41F5">
        <w:t xml:space="preserve"> </w:t>
      </w:r>
      <w:r w:rsidRPr="00C77431">
        <w:t>access to services</w:t>
      </w:r>
      <w:r>
        <w:t>. The absence of an overarching financial markets framework and system to support innovation in financial inclusion makes it challenging for programs such as the MEP to deliver tangible outcomes</w:t>
      </w:r>
      <w:r w:rsidR="007821BE">
        <w:t xml:space="preserve"> and p</w:t>
      </w:r>
      <w:r w:rsidR="007821BE" w:rsidRPr="007821BE">
        <w:t>rogress is somewhat less than expected</w:t>
      </w:r>
      <w:r w:rsidR="007821BE" w:rsidRPr="00634712">
        <w:t>.</w:t>
      </w:r>
    </w:p>
    <w:p w14:paraId="7E82022D" w14:textId="77777777" w:rsidR="00C809FB" w:rsidRDefault="00C809FB" w:rsidP="00C809FB">
      <w:pPr>
        <w:spacing w:after="0" w:line="240" w:lineRule="auto"/>
      </w:pPr>
      <w:r>
        <w:rPr>
          <w:i/>
        </w:rPr>
        <w:t xml:space="preserve">Incentive Fund </w:t>
      </w:r>
      <w:r>
        <w:t>(up to $100 million, 2015-19)</w:t>
      </w:r>
    </w:p>
    <w:p w14:paraId="5C9A7002" w14:textId="62B3E889" w:rsidR="009C5644" w:rsidRPr="0007138A" w:rsidRDefault="004C0F42" w:rsidP="009C5644">
      <w:pPr>
        <w:spacing w:after="0" w:line="240" w:lineRule="auto"/>
      </w:pPr>
      <w:r>
        <w:t>Australia’s</w:t>
      </w:r>
      <w:r w:rsidR="009C5644">
        <w:t xml:space="preserve"> Incentive Fund provides grants to high-performing Papua New Guinean organisations</w:t>
      </w:r>
      <w:r w:rsidR="00243AAE">
        <w:t>, and this investment</w:t>
      </w:r>
      <w:r w:rsidR="00243AAE" w:rsidRPr="00634712">
        <w:t xml:space="preserve"> is </w:t>
      </w:r>
      <w:r w:rsidR="00243AAE">
        <w:t xml:space="preserve">progressing </w:t>
      </w:r>
      <w:r w:rsidR="00243AAE" w:rsidRPr="00634712">
        <w:t>as expected</w:t>
      </w:r>
      <w:r w:rsidR="009C5644">
        <w:t xml:space="preserve">. Phase 4 of the Fund (August 2015 - June 2021) encourages proposals from organisations and projects that partner with private sector and civil society organisations, involve agriculture and rural development, benefit provincial regions, feature innovative ideas and represent development effectiveness and value-for-money. The Incentive Fund is currently funding 13 projects at various stages of implementation and remains on track to achieve or exceed all three key end-of-program outcomes. As of May 2018, 91 percent of projects support the empowerment of women and girls, </w:t>
      </w:r>
      <w:r w:rsidR="004159D3">
        <w:t>with 82 </w:t>
      </w:r>
      <w:r w:rsidR="009C5644">
        <w:t xml:space="preserve">percent of projects allocated to infrastructure. During 2017-18, the Incentive Fund completed its first public-private sector partnership project: an infrastructure project at Pata-Painave Primary School in East New Britain </w:t>
      </w:r>
      <w:r w:rsidR="0029346D">
        <w:t xml:space="preserve">that </w:t>
      </w:r>
      <w:r w:rsidR="004159D3">
        <w:t>established</w:t>
      </w:r>
      <w:r w:rsidR="004159D3" w:rsidDel="004159D3">
        <w:t xml:space="preserve"> </w:t>
      </w:r>
      <w:r w:rsidR="009C5644">
        <w:t xml:space="preserve">a successful private sector partnership with Hargy Oil Palm Ltd. As a result, Pata-Painave Primary School has doubled its enrolment capacity. </w:t>
      </w:r>
    </w:p>
    <w:p w14:paraId="2BC7D9B7" w14:textId="1B762BDE" w:rsidR="00762FAB" w:rsidRPr="00B63338" w:rsidRDefault="00762FAB" w:rsidP="00762FAB">
      <w:pPr>
        <w:rPr>
          <w:i/>
        </w:rPr>
      </w:pPr>
      <w:r w:rsidRPr="00B63338">
        <w:rPr>
          <w:i/>
        </w:rPr>
        <w:t>Support for APEC 2018</w:t>
      </w:r>
    </w:p>
    <w:p w14:paraId="2CF804EB" w14:textId="470F9718" w:rsidR="0072689A" w:rsidRDefault="0072689A" w:rsidP="0072689A">
      <w:pPr>
        <w:spacing w:after="0" w:line="240" w:lineRule="auto"/>
      </w:pPr>
      <w:r w:rsidRPr="00F35727">
        <w:t xml:space="preserve">The EGIG Partnership is working with </w:t>
      </w:r>
      <w:r>
        <w:t xml:space="preserve">Papua New Guinea’s </w:t>
      </w:r>
      <w:r w:rsidRPr="00F35727">
        <w:t>N</w:t>
      </w:r>
      <w:r>
        <w:t xml:space="preserve">ational </w:t>
      </w:r>
      <w:r w:rsidRPr="00F35727">
        <w:t>R</w:t>
      </w:r>
      <w:r>
        <w:t xml:space="preserve">esearch </w:t>
      </w:r>
      <w:r w:rsidRPr="00F35727">
        <w:t>I</w:t>
      </w:r>
      <w:r>
        <w:t>nstitute</w:t>
      </w:r>
      <w:r w:rsidRPr="00F35727">
        <w:t xml:space="preserve"> to establish the </w:t>
      </w:r>
      <w:r>
        <w:t>Papua New Guinea</w:t>
      </w:r>
      <w:r w:rsidRPr="00F35727">
        <w:t xml:space="preserve"> APEC Study Centre (ASC). The purpose of the ASC is to foster research and academic discussions </w:t>
      </w:r>
      <w:r>
        <w:t>to</w:t>
      </w:r>
      <w:r w:rsidRPr="00F35727">
        <w:t xml:space="preserve"> support the APEC mission of regional economic integration. </w:t>
      </w:r>
      <w:r>
        <w:t xml:space="preserve">The ASC, </w:t>
      </w:r>
      <w:r w:rsidRPr="00F35727">
        <w:t>in collaboration</w:t>
      </w:r>
      <w:r>
        <w:t xml:space="preserve"> </w:t>
      </w:r>
      <w:r w:rsidRPr="00F35727">
        <w:t xml:space="preserve">with the </w:t>
      </w:r>
      <w:r>
        <w:t xml:space="preserve">Papua New </w:t>
      </w:r>
      <w:r>
        <w:lastRenderedPageBreak/>
        <w:t>Guinea</w:t>
      </w:r>
      <w:r w:rsidRPr="00F35727">
        <w:t xml:space="preserve"> APEC Secretariat and the </w:t>
      </w:r>
      <w:r>
        <w:t>Papua New Guinea</w:t>
      </w:r>
      <w:r w:rsidRPr="00F35727">
        <w:t xml:space="preserve"> APEC Coordination Authority</w:t>
      </w:r>
      <w:r>
        <w:t xml:space="preserve">, hosted </w:t>
      </w:r>
      <w:r w:rsidRPr="00F35727">
        <w:t xml:space="preserve">the </w:t>
      </w:r>
      <w:r>
        <w:t xml:space="preserve">successful </w:t>
      </w:r>
      <w:r w:rsidRPr="00F35727">
        <w:t>ASC Consortium Conference</w:t>
      </w:r>
      <w:r>
        <w:t xml:space="preserve">, which </w:t>
      </w:r>
      <w:r w:rsidRPr="00F35727">
        <w:t>brought together over 100 researchers from 15-member economies</w:t>
      </w:r>
      <w:r>
        <w:t xml:space="preserve">. The EGIG also funded a SME Business Adviser to work with 45 businesses, employing </w:t>
      </w:r>
      <w:r w:rsidR="005F7439">
        <w:t xml:space="preserve">almost 900 </w:t>
      </w:r>
      <w:r>
        <w:t>people across several sectors. The adviser provided guidance to business on harnessing the opportunities arising from hosting APEC. EGIG’s work will increasingly align with the Papua New Guinea APEC Business Advisory Council’s priorities, which includes a strong focus on digitisation and innovation.</w:t>
      </w:r>
    </w:p>
    <w:p w14:paraId="00BDDCF4" w14:textId="77777777" w:rsidR="00762FAB" w:rsidRPr="00B63338" w:rsidRDefault="00762FAB" w:rsidP="00762FAB">
      <w:pPr>
        <w:rPr>
          <w:i/>
        </w:rPr>
      </w:pPr>
      <w:r w:rsidRPr="00B63338">
        <w:rPr>
          <w:i/>
        </w:rPr>
        <w:t>Crosscutting issues</w:t>
      </w:r>
    </w:p>
    <w:p w14:paraId="0ED22794" w14:textId="77777777" w:rsidR="0072689A" w:rsidRPr="00F35727" w:rsidRDefault="0072689A" w:rsidP="0072689A">
      <w:pPr>
        <w:spacing w:after="0" w:line="240" w:lineRule="auto"/>
      </w:pPr>
      <w:r w:rsidRPr="006D1AD6">
        <w:t>Private sector engagement and innovation</w:t>
      </w:r>
      <w:r>
        <w:t xml:space="preserve"> are essential components of EGIG, to support the Government of Papua New Guinea’s ambition to grow SMEs and provide opportunities for entrepreneurism. EGIG</w:t>
      </w:r>
      <w:r w:rsidRPr="00F35727">
        <w:t xml:space="preserve"> has brokere</w:t>
      </w:r>
      <w:r>
        <w:t>d</w:t>
      </w:r>
      <w:r w:rsidRPr="00F35727">
        <w:t xml:space="preserve"> three new initiatives with Generative Solutions, The Difference Incubator and Benefit Capital that link </w:t>
      </w:r>
      <w:r>
        <w:t>Papua New Guinean</w:t>
      </w:r>
      <w:r w:rsidRPr="00F35727">
        <w:t xml:space="preserve"> entrepreneurs with </w:t>
      </w:r>
      <w:r>
        <w:t xml:space="preserve">Australian </w:t>
      </w:r>
      <w:r w:rsidRPr="00F35727">
        <w:t>experts to support taking ideas to scale.</w:t>
      </w:r>
      <w:r>
        <w:t xml:space="preserve"> </w:t>
      </w:r>
    </w:p>
    <w:p w14:paraId="2F450F51" w14:textId="77777777" w:rsidR="0072689A" w:rsidRDefault="0072689A" w:rsidP="0072689A">
      <w:r w:rsidRPr="007730CE">
        <w:t xml:space="preserve">Women’s economic empowerment cuts across all four pillars of the Private Sector Development Framework. </w:t>
      </w:r>
      <w:r w:rsidRPr="0030612C">
        <w:t>EGIG has incorporated gender equality and empowering women and girls into a number of elements of the inclusive economic growth activities</w:t>
      </w:r>
      <w:r>
        <w:t xml:space="preserve">. </w:t>
      </w:r>
    </w:p>
    <w:p w14:paraId="59A23F57" w14:textId="77777777" w:rsidR="001A6290" w:rsidRPr="00B61EA3" w:rsidRDefault="001A6290" w:rsidP="00A31BEF">
      <w:pPr>
        <w:pStyle w:val="Heading3Numbered"/>
        <w:numPr>
          <w:ilvl w:val="0"/>
          <w:numId w:val="0"/>
        </w:numPr>
        <w:ind w:left="851" w:hanging="851"/>
        <w:rPr>
          <w:lang w:val="en-US"/>
        </w:rPr>
      </w:pPr>
      <w:r w:rsidRPr="00B61EA3">
        <w:rPr>
          <w:lang w:val="en-US"/>
        </w:rPr>
        <w:t>Transport</w:t>
      </w:r>
    </w:p>
    <w:p w14:paraId="4064D4AE" w14:textId="77777777" w:rsidR="003830B1" w:rsidRPr="002065C0" w:rsidRDefault="003830B1" w:rsidP="003830B1">
      <w:pPr>
        <w:rPr>
          <w:lang w:val="en-US"/>
        </w:rPr>
      </w:pPr>
      <w:r>
        <w:rPr>
          <w:lang w:val="en-US"/>
        </w:rPr>
        <w:t>Papua New Guinea’s</w:t>
      </w:r>
      <w:r w:rsidRPr="002065C0">
        <w:rPr>
          <w:lang w:val="en-US"/>
        </w:rPr>
        <w:t xml:space="preserve"> geography and climate provide </w:t>
      </w:r>
      <w:r>
        <w:rPr>
          <w:lang w:val="en-US"/>
        </w:rPr>
        <w:t xml:space="preserve">substantial challenges for </w:t>
      </w:r>
      <w:r w:rsidRPr="002065C0">
        <w:rPr>
          <w:lang w:val="en-US"/>
        </w:rPr>
        <w:t xml:space="preserve">transport. </w:t>
      </w:r>
      <w:r>
        <w:rPr>
          <w:lang w:val="en-US"/>
        </w:rPr>
        <w:t xml:space="preserve">Inadequate attention to maintenance </w:t>
      </w:r>
      <w:r w:rsidRPr="002065C0">
        <w:rPr>
          <w:lang w:val="en-US"/>
        </w:rPr>
        <w:t>mean</w:t>
      </w:r>
      <w:r>
        <w:rPr>
          <w:lang w:val="en-US"/>
        </w:rPr>
        <w:t>s</w:t>
      </w:r>
      <w:r w:rsidRPr="002065C0">
        <w:rPr>
          <w:lang w:val="en-US"/>
        </w:rPr>
        <w:t xml:space="preserve"> that much of the</w:t>
      </w:r>
      <w:r>
        <w:rPr>
          <w:lang w:val="en-US"/>
        </w:rPr>
        <w:t xml:space="preserve"> country’s 30,000 kilometres of roads are</w:t>
      </w:r>
      <w:r w:rsidRPr="002065C0">
        <w:rPr>
          <w:lang w:val="en-US"/>
        </w:rPr>
        <w:t xml:space="preserve"> in poor or very poor condition</w:t>
      </w:r>
      <w:r w:rsidR="009B40C4">
        <w:rPr>
          <w:lang w:val="en-US"/>
        </w:rPr>
        <w:t>. This reduces</w:t>
      </w:r>
      <w:r>
        <w:rPr>
          <w:lang w:val="en-US"/>
        </w:rPr>
        <w:t xml:space="preserve"> </w:t>
      </w:r>
      <w:r w:rsidR="00D85582">
        <w:rPr>
          <w:lang w:val="en-US"/>
        </w:rPr>
        <w:t>access and increases</w:t>
      </w:r>
      <w:r w:rsidRPr="002065C0">
        <w:rPr>
          <w:lang w:val="en-US"/>
        </w:rPr>
        <w:t xml:space="preserve"> transport costs – a particular problem for the majority rural population. Air trans</w:t>
      </w:r>
      <w:r>
        <w:rPr>
          <w:lang w:val="en-US"/>
        </w:rPr>
        <w:t xml:space="preserve">port is an important </w:t>
      </w:r>
      <w:r w:rsidRPr="002065C0">
        <w:rPr>
          <w:lang w:val="en-US"/>
        </w:rPr>
        <w:t xml:space="preserve">alternative, </w:t>
      </w:r>
      <w:r>
        <w:rPr>
          <w:lang w:val="en-US"/>
        </w:rPr>
        <w:t xml:space="preserve">and </w:t>
      </w:r>
      <w:r w:rsidRPr="002065C0">
        <w:rPr>
          <w:lang w:val="en-US"/>
        </w:rPr>
        <w:t xml:space="preserve">maritime </w:t>
      </w:r>
      <w:r>
        <w:rPr>
          <w:lang w:val="en-US"/>
        </w:rPr>
        <w:t xml:space="preserve">travel is </w:t>
      </w:r>
      <w:r w:rsidRPr="002065C0">
        <w:rPr>
          <w:lang w:val="en-US"/>
        </w:rPr>
        <w:t>essential for the many island and coastal communities</w:t>
      </w:r>
      <w:r>
        <w:rPr>
          <w:lang w:val="en-US"/>
        </w:rPr>
        <w:t xml:space="preserve">. Improving all modes of transport would facilitate access to essential services and boost economic growth. </w:t>
      </w:r>
    </w:p>
    <w:p w14:paraId="773FFC83" w14:textId="64AB613F" w:rsidR="003830B1" w:rsidRDefault="003830B1" w:rsidP="003830B1">
      <w:r w:rsidRPr="002065C0">
        <w:rPr>
          <w:lang w:val="en-US"/>
        </w:rPr>
        <w:t xml:space="preserve">Australia has undertaken a long term and multi-pronged strategy to strengthen </w:t>
      </w:r>
      <w:r>
        <w:rPr>
          <w:lang w:val="en-US"/>
        </w:rPr>
        <w:t>Papua New Guinea’s</w:t>
      </w:r>
      <w:r w:rsidRPr="002065C0">
        <w:rPr>
          <w:lang w:val="en-US"/>
        </w:rPr>
        <w:t xml:space="preserve"> transport systems. The latest phase of the Transport Sector Support </w:t>
      </w:r>
      <w:r w:rsidRPr="00056C79">
        <w:rPr>
          <w:lang w:val="en-US"/>
        </w:rPr>
        <w:t>Program (TSSP, $370 million</w:t>
      </w:r>
      <w:r w:rsidR="009B40C4">
        <w:rPr>
          <w:lang w:val="en-US"/>
        </w:rPr>
        <w:t>,</w:t>
      </w:r>
      <w:r w:rsidRPr="002065C0">
        <w:rPr>
          <w:lang w:val="en-US"/>
        </w:rPr>
        <w:t xml:space="preserve"> </w:t>
      </w:r>
      <w:r w:rsidR="009B40C4" w:rsidRPr="002065C0">
        <w:rPr>
          <w:lang w:val="en-US"/>
        </w:rPr>
        <w:t>201</w:t>
      </w:r>
      <w:r w:rsidR="009B40C4">
        <w:rPr>
          <w:lang w:val="en-US"/>
        </w:rPr>
        <w:t>4 </w:t>
      </w:r>
      <w:r>
        <w:rPr>
          <w:lang w:val="en-US"/>
        </w:rPr>
        <w:t>– 2020</w:t>
      </w:r>
      <w:r w:rsidRPr="002065C0">
        <w:rPr>
          <w:lang w:val="en-US"/>
        </w:rPr>
        <w:t>)</w:t>
      </w:r>
      <w:r w:rsidRPr="002065C0">
        <w:t xml:space="preserve"> focuses on</w:t>
      </w:r>
      <w:r>
        <w:t>:</w:t>
      </w:r>
      <w:r w:rsidRPr="002065C0">
        <w:t xml:space="preserve"> maintenance of </w:t>
      </w:r>
      <w:r>
        <w:t>Papua New Guinea’s</w:t>
      </w:r>
      <w:r w:rsidRPr="002065C0">
        <w:t xml:space="preserve"> national priority land transport assets; improving aviation and maritime safety and security; and strengthening transport agencies</w:t>
      </w:r>
      <w:r>
        <w:t>. Australia</w:t>
      </w:r>
      <w:r w:rsidR="000051BF">
        <w:t>n transport agencies</w:t>
      </w:r>
      <w:r>
        <w:t xml:space="preserve"> partner with Papua New Guinea</w:t>
      </w:r>
      <w:r w:rsidR="000051BF">
        <w:t xml:space="preserve"> counterparts </w:t>
      </w:r>
      <w:r>
        <w:t xml:space="preserve">under TSSP through six Agency Support Arrangements. </w:t>
      </w:r>
    </w:p>
    <w:p w14:paraId="6CC71D9B" w14:textId="77777777" w:rsidR="003830B1" w:rsidRDefault="003830B1" w:rsidP="003830B1">
      <w:r w:rsidRPr="009D1BFE">
        <w:t>DFAT’s Office of Developmen</w:t>
      </w:r>
      <w:r>
        <w:t xml:space="preserve">t Effectiveness’ (ODE) evaluation of </w:t>
      </w:r>
      <w:r w:rsidRPr="009D1BFE">
        <w:t>TSSP</w:t>
      </w:r>
      <w:r>
        <w:t xml:space="preserve"> was </w:t>
      </w:r>
      <w:r w:rsidRPr="009D1BFE">
        <w:t xml:space="preserve">released </w:t>
      </w:r>
      <w:r>
        <w:t xml:space="preserve">in </w:t>
      </w:r>
      <w:r w:rsidRPr="009D1BFE">
        <w:t xml:space="preserve">February 2018. The overall conclusion was that </w:t>
      </w:r>
      <w:r w:rsidR="009B40C4">
        <w:t>‘</w:t>
      </w:r>
      <w:r w:rsidRPr="009D1BFE">
        <w:t xml:space="preserve">the work TSSP does to maintain </w:t>
      </w:r>
      <w:r>
        <w:t>Papua New Guinea’s</w:t>
      </w:r>
      <w:r w:rsidRPr="009D1BFE">
        <w:t xml:space="preserve"> roads has a major impact in improving the lives of ordinary Papua New Guineans. While this impact is impossible to quantify prec</w:t>
      </w:r>
      <w:r>
        <w:t>isely, it is undoubtedly large</w:t>
      </w:r>
      <w:r w:rsidR="009B40C4">
        <w:t>’</w:t>
      </w:r>
      <w:r>
        <w:t xml:space="preserve">. ODE also found there was a need to sharpen </w:t>
      </w:r>
      <w:r w:rsidRPr="009D1BFE">
        <w:t>focus</w:t>
      </w:r>
      <w:r>
        <w:t xml:space="preserve"> in a number of areas. </w:t>
      </w:r>
      <w:r w:rsidRPr="009D1BFE">
        <w:t xml:space="preserve">DFAT </w:t>
      </w:r>
      <w:r>
        <w:t xml:space="preserve">has </w:t>
      </w:r>
      <w:r w:rsidRPr="009D1BFE">
        <w:t>agreed (some with qualifi</w:t>
      </w:r>
      <w:r>
        <w:t>cations) to all recommendations, and their implementation is underway</w:t>
      </w:r>
      <w:r w:rsidR="009B40C4">
        <w:t>.</w:t>
      </w:r>
    </w:p>
    <w:p w14:paraId="6114E7D2" w14:textId="77777777" w:rsidR="00A31BEF" w:rsidRPr="00B61EA3" w:rsidRDefault="00A31BEF" w:rsidP="00883ADA">
      <w:pPr>
        <w:rPr>
          <w:i/>
        </w:rPr>
      </w:pPr>
      <w:r w:rsidRPr="00B61EA3">
        <w:rPr>
          <w:i/>
        </w:rPr>
        <w:t>Maintenance of national priority land transport assets</w:t>
      </w:r>
    </w:p>
    <w:p w14:paraId="7A0E5687" w14:textId="77777777" w:rsidR="00116D98" w:rsidRDefault="00116D98" w:rsidP="00116D98">
      <w:pPr>
        <w:rPr>
          <w:lang w:val="en-US"/>
        </w:rPr>
      </w:pPr>
      <w:r>
        <w:rPr>
          <w:lang w:val="en-US"/>
        </w:rPr>
        <w:t>I</w:t>
      </w:r>
      <w:r w:rsidRPr="002065C0">
        <w:rPr>
          <w:lang w:val="en-US"/>
        </w:rPr>
        <w:t>nvest</w:t>
      </w:r>
      <w:r>
        <w:rPr>
          <w:lang w:val="en-US"/>
        </w:rPr>
        <w:t>ing</w:t>
      </w:r>
      <w:r w:rsidRPr="002065C0">
        <w:rPr>
          <w:lang w:val="en-US"/>
        </w:rPr>
        <w:t xml:space="preserve"> in road maintenance is one of the most cost-effective uses of land transport funds. Support for maintenance </w:t>
      </w:r>
      <w:r>
        <w:rPr>
          <w:lang w:val="en-US"/>
        </w:rPr>
        <w:t xml:space="preserve">(both maintenance contracts and advisory support and studies) </w:t>
      </w:r>
      <w:r w:rsidRPr="002065C0">
        <w:rPr>
          <w:lang w:val="en-US"/>
        </w:rPr>
        <w:t xml:space="preserve">therefore constitutes the bulk of Australia’s support for transport, </w:t>
      </w:r>
      <w:r>
        <w:rPr>
          <w:lang w:val="en-US"/>
        </w:rPr>
        <w:t>with</w:t>
      </w:r>
      <w:r w:rsidRPr="002065C0">
        <w:rPr>
          <w:lang w:val="en-US"/>
        </w:rPr>
        <w:t xml:space="preserve"> much of our effort </w:t>
      </w:r>
      <w:r>
        <w:rPr>
          <w:lang w:val="en-US"/>
        </w:rPr>
        <w:t xml:space="preserve">devoted </w:t>
      </w:r>
      <w:r w:rsidRPr="002065C0">
        <w:rPr>
          <w:lang w:val="en-US"/>
        </w:rPr>
        <w:t xml:space="preserve">to helping the </w:t>
      </w:r>
      <w:r>
        <w:rPr>
          <w:lang w:val="en-US"/>
        </w:rPr>
        <w:t xml:space="preserve">Government of Papua New Guinea </w:t>
      </w:r>
      <w:r w:rsidRPr="002065C0">
        <w:rPr>
          <w:lang w:val="en-US"/>
        </w:rPr>
        <w:t xml:space="preserve">to </w:t>
      </w:r>
      <w:r>
        <w:rPr>
          <w:lang w:val="en-US"/>
        </w:rPr>
        <w:t xml:space="preserve">prioritise, </w:t>
      </w:r>
      <w:r w:rsidRPr="002065C0">
        <w:rPr>
          <w:lang w:val="en-US"/>
        </w:rPr>
        <w:t>budget for and manage its own contributions to maintenance.</w:t>
      </w:r>
    </w:p>
    <w:p w14:paraId="131A60D2" w14:textId="2C89F193" w:rsidR="00116D98" w:rsidRPr="008E6726" w:rsidRDefault="00116D98" w:rsidP="00116D98">
      <w:pPr>
        <w:rPr>
          <w:lang w:val="en-US"/>
        </w:rPr>
      </w:pPr>
      <w:r w:rsidRPr="008E6726">
        <w:rPr>
          <w:lang w:val="en-US"/>
        </w:rPr>
        <w:t xml:space="preserve">In 2017, Australia supported the maintenance and reconstruction of 1,981 kilometres of roads across 10 of </w:t>
      </w:r>
      <w:r>
        <w:rPr>
          <w:lang w:val="en-US"/>
        </w:rPr>
        <w:t>Papua New Guinea’s</w:t>
      </w:r>
      <w:r w:rsidRPr="008E6726">
        <w:rPr>
          <w:lang w:val="en-US"/>
        </w:rPr>
        <w:t xml:space="preserve"> 22 provinces and the Autonomous Region of Bougainville, almost doubling the target of 1,000 kilometres. The majority of work undertaken were concentrated in five provinces, resulting in efficiencies in the program. A design report was provided to </w:t>
      </w:r>
      <w:r w:rsidR="00D84C3E">
        <w:rPr>
          <w:lang w:val="en-US"/>
        </w:rPr>
        <w:t xml:space="preserve">the Government </w:t>
      </w:r>
      <w:r w:rsidRPr="008E6726">
        <w:rPr>
          <w:lang w:val="en-US"/>
        </w:rPr>
        <w:t>for the upgrade of the Ramu Highway</w:t>
      </w:r>
      <w:r w:rsidR="00B36B71">
        <w:rPr>
          <w:lang w:val="en-US"/>
        </w:rPr>
        <w:t xml:space="preserve"> </w:t>
      </w:r>
      <w:r w:rsidR="00914B85">
        <w:rPr>
          <w:lang w:val="en-US"/>
        </w:rPr>
        <w:t xml:space="preserve">and </w:t>
      </w:r>
      <w:r w:rsidR="00BB65E2">
        <w:t>stronger</w:t>
      </w:r>
      <w:r w:rsidRPr="00425A73">
        <w:t xml:space="preserve"> partnership</w:t>
      </w:r>
      <w:r>
        <w:t>s</w:t>
      </w:r>
      <w:r w:rsidRPr="00425A73">
        <w:t xml:space="preserve"> with multilateral</w:t>
      </w:r>
      <w:r>
        <w:t xml:space="preserve"> agencies </w:t>
      </w:r>
      <w:r w:rsidRPr="00425A73">
        <w:t>enabled</w:t>
      </w:r>
      <w:r>
        <w:t xml:space="preserve"> Australia</w:t>
      </w:r>
      <w:r w:rsidRPr="00425A73">
        <w:t xml:space="preserve"> to help </w:t>
      </w:r>
      <w:r>
        <w:t xml:space="preserve">Papua New Guinea access </w:t>
      </w:r>
      <w:r w:rsidRPr="00425A73">
        <w:t xml:space="preserve">additional concessional finance for </w:t>
      </w:r>
      <w:r>
        <w:t>the Ramu Highway</w:t>
      </w:r>
      <w:r w:rsidR="000051BF">
        <w:t>, part of our work to broaden infrastructure financing sources</w:t>
      </w:r>
      <w:r>
        <w:t>.</w:t>
      </w:r>
    </w:p>
    <w:p w14:paraId="760121CA" w14:textId="77777777" w:rsidR="00116D98" w:rsidRDefault="00116D98" w:rsidP="00116D98">
      <w:pPr>
        <w:rPr>
          <w:lang w:val="en-US"/>
        </w:rPr>
      </w:pPr>
      <w:r w:rsidRPr="008E6726">
        <w:rPr>
          <w:lang w:val="en-US"/>
        </w:rPr>
        <w:lastRenderedPageBreak/>
        <w:t xml:space="preserve">Six Fixed Term Maintenance Contracts on three priority highways </w:t>
      </w:r>
      <w:r>
        <w:rPr>
          <w:lang w:val="en-US"/>
        </w:rPr>
        <w:t>were</w:t>
      </w:r>
      <w:r w:rsidRPr="008E6726">
        <w:rPr>
          <w:lang w:val="en-US"/>
        </w:rPr>
        <w:t xml:space="preserve"> awarded by mid-2018, with contractors expected to mobilise in August 2018. These larger longer term contracts on key corridors are intended to be a more efficient use of resources</w:t>
      </w:r>
      <w:r>
        <w:rPr>
          <w:lang w:val="en-US"/>
        </w:rPr>
        <w:t>,</w:t>
      </w:r>
      <w:r w:rsidRPr="008E6726">
        <w:rPr>
          <w:lang w:val="en-US"/>
        </w:rPr>
        <w:t xml:space="preserve"> consistent with the ODE evaluation. TSSP also commenced funding for reconstruction and sealing of 32 kilometres of the Boluminski Highway in New Ireland</w:t>
      </w:r>
      <w:r>
        <w:rPr>
          <w:lang w:val="en-US"/>
        </w:rPr>
        <w:t xml:space="preserve">, which </w:t>
      </w:r>
      <w:r w:rsidRPr="008E6726">
        <w:rPr>
          <w:lang w:val="en-US"/>
        </w:rPr>
        <w:t xml:space="preserve">will mean the highway is completely sealed from the Provincial Capital Kavieng to Namatanai (around 265km). </w:t>
      </w:r>
    </w:p>
    <w:p w14:paraId="247A49DB" w14:textId="77777777" w:rsidR="00A31BEF" w:rsidRPr="00B61EA3" w:rsidRDefault="00A31BEF" w:rsidP="00116D98">
      <w:pPr>
        <w:rPr>
          <w:i/>
        </w:rPr>
      </w:pPr>
      <w:r w:rsidRPr="00B61EA3">
        <w:rPr>
          <w:i/>
        </w:rPr>
        <w:t>Improving aviation and maritime safety and security systems</w:t>
      </w:r>
    </w:p>
    <w:p w14:paraId="027019A0" w14:textId="7C1652AE" w:rsidR="00350A3F" w:rsidRDefault="00350A3F" w:rsidP="00350A3F">
      <w:r>
        <w:t xml:space="preserve">With </w:t>
      </w:r>
      <w:r w:rsidRPr="00C50CFD">
        <w:t xml:space="preserve">significant Australian transport </w:t>
      </w:r>
      <w:r>
        <w:t xml:space="preserve">through and </w:t>
      </w:r>
      <w:r w:rsidRPr="00C50CFD">
        <w:t xml:space="preserve">into </w:t>
      </w:r>
      <w:r>
        <w:t>Papua New Guinea’s</w:t>
      </w:r>
      <w:r w:rsidRPr="00C50CFD">
        <w:t xml:space="preserve"> airspace and waters, TSSP investments enhanc</w:t>
      </w:r>
      <w:r>
        <w:t>ing</w:t>
      </w:r>
      <w:r w:rsidRPr="00C50CFD">
        <w:t xml:space="preserve"> transport safety and s</w:t>
      </w:r>
      <w:r>
        <w:t xml:space="preserve">ecurity directly support Papua New Guinea’s priorities and </w:t>
      </w:r>
      <w:r w:rsidRPr="00C50CFD">
        <w:t>Australia</w:t>
      </w:r>
      <w:r>
        <w:t xml:space="preserve">’s national interest. </w:t>
      </w:r>
      <w:r w:rsidR="00353EC1">
        <w:t>These activities</w:t>
      </w:r>
      <w:r>
        <w:t xml:space="preserve"> are also supporting Papua New Guinea’s </w:t>
      </w:r>
      <w:r w:rsidRPr="00C50CFD">
        <w:t xml:space="preserve">hosting </w:t>
      </w:r>
      <w:r>
        <w:t xml:space="preserve">of </w:t>
      </w:r>
      <w:r w:rsidRPr="00C50CFD">
        <w:t>APEC in 2018.</w:t>
      </w:r>
      <w:r w:rsidR="00FF4BD9">
        <w:t xml:space="preserve"> </w:t>
      </w:r>
    </w:p>
    <w:p w14:paraId="2193B20B" w14:textId="04C009B4" w:rsidR="00350A3F" w:rsidRDefault="00350A3F" w:rsidP="00350A3F">
      <w:r>
        <w:t xml:space="preserve">Australia continues to </w:t>
      </w:r>
      <w:r w:rsidR="00622C50">
        <w:t>work</w:t>
      </w:r>
      <w:r>
        <w:t xml:space="preserve"> with Papua New Guinea to upgrade aviation and maritime infrastructure and systems, especially with the Niusky Air Traffic Management System, the Global Navigational Satellite Systems project and the Small Craft Act. Through Australia’s Bureau of Meteorology, TSSP also supports the Papua New Guinea National Weather Service, in recognition of the link between weather and safe and effective transport systems.</w:t>
      </w:r>
      <w:r w:rsidR="00FF4BD9">
        <w:t xml:space="preserve"> </w:t>
      </w:r>
    </w:p>
    <w:p w14:paraId="3A221C34" w14:textId="77777777" w:rsidR="00A31BEF" w:rsidRPr="00B61EA3" w:rsidRDefault="00A31BEF" w:rsidP="002672CD">
      <w:pPr>
        <w:rPr>
          <w:i/>
        </w:rPr>
      </w:pPr>
      <w:r w:rsidRPr="00B61EA3">
        <w:rPr>
          <w:i/>
        </w:rPr>
        <w:t>Strengthening agencies</w:t>
      </w:r>
    </w:p>
    <w:p w14:paraId="49A0B6F4" w14:textId="66EB929D" w:rsidR="00350A3F" w:rsidRDefault="00350A3F" w:rsidP="00350A3F">
      <w:r>
        <w:t xml:space="preserve">With the help of TSSP, Papua New Guinea Aviation and Maritime Working Groups </w:t>
      </w:r>
      <w:r w:rsidR="00B36B71">
        <w:t xml:space="preserve">are </w:t>
      </w:r>
      <w:r>
        <w:t xml:space="preserve">close to finalising submissions to Papua New Guinea’s National Executive Council on strategic sector reforms. TSSP-initiated policy workshops culminated in a policy paper on transport trends to assist the update of the Medium Term Transport Plan in 2018, which TSSP is also supporting. </w:t>
      </w:r>
    </w:p>
    <w:p w14:paraId="35979418" w14:textId="5CB17253" w:rsidR="00350A3F" w:rsidRDefault="00350A3F" w:rsidP="00350A3F">
      <w:r>
        <w:t xml:space="preserve">TSSP supported two key land transport studies in 2017-18. The new National Road Network Strategy (NRNS) seeks to </w:t>
      </w:r>
      <w:r w:rsidRPr="00580110">
        <w:t>optimise resource allocations</w:t>
      </w:r>
      <w:r>
        <w:t xml:space="preserve"> by </w:t>
      </w:r>
      <w:r w:rsidRPr="00580110">
        <w:t xml:space="preserve">more effectively </w:t>
      </w:r>
      <w:r>
        <w:t xml:space="preserve">aligning </w:t>
      </w:r>
      <w:r w:rsidRPr="00580110">
        <w:t>service levels with demand</w:t>
      </w:r>
      <w:r w:rsidR="00B36B71">
        <w:t>.</w:t>
      </w:r>
      <w:r>
        <w:t xml:space="preserve"> </w:t>
      </w:r>
      <w:r w:rsidR="00B36B71">
        <w:t xml:space="preserve"> T</w:t>
      </w:r>
      <w:r>
        <w:t xml:space="preserve">he Government has committed aligning funding to the NRNS. </w:t>
      </w:r>
      <w:r w:rsidRPr="00580110">
        <w:t xml:space="preserve">TSSP also funded </w:t>
      </w:r>
      <w:r>
        <w:t>a</w:t>
      </w:r>
      <w:r w:rsidRPr="00580110">
        <w:t xml:space="preserve"> Review of Institutional Arrangements for the Management of the Road Network. </w:t>
      </w:r>
      <w:r>
        <w:t>If fully implemented this will reframe how Papua New Guinea manages its road network</w:t>
      </w:r>
      <w:r w:rsidRPr="005B7464">
        <w:t>.</w:t>
      </w:r>
      <w:r w:rsidR="00FF4BD9">
        <w:t xml:space="preserve"> </w:t>
      </w:r>
      <w:r>
        <w:t xml:space="preserve">In 2017-18 </w:t>
      </w:r>
      <w:r w:rsidR="00502CAF">
        <w:t xml:space="preserve">an Australian Civil Aviation Safety Authority </w:t>
      </w:r>
      <w:r>
        <w:t>revenue management study was also completed for the aviation sector.</w:t>
      </w:r>
      <w:r w:rsidR="00FF4BD9">
        <w:t xml:space="preserve"> </w:t>
      </w:r>
    </w:p>
    <w:p w14:paraId="48F8A180" w14:textId="77777777" w:rsidR="00532B7E" w:rsidRPr="00B61EA3" w:rsidRDefault="00A31BEF" w:rsidP="00532B7E">
      <w:pPr>
        <w:rPr>
          <w:i/>
        </w:rPr>
      </w:pPr>
      <w:r w:rsidRPr="00B61EA3">
        <w:rPr>
          <w:i/>
        </w:rPr>
        <w:t>Cross</w:t>
      </w:r>
      <w:r w:rsidR="00532B7E" w:rsidRPr="00B61EA3">
        <w:rPr>
          <w:i/>
        </w:rPr>
        <w:t>cutting issues</w:t>
      </w:r>
    </w:p>
    <w:p w14:paraId="05588D6F" w14:textId="3EBC5BED" w:rsidR="00350A3F" w:rsidRDefault="00350A3F" w:rsidP="00350A3F">
      <w:pPr>
        <w:autoSpaceDE w:val="0"/>
        <w:autoSpaceDN w:val="0"/>
        <w:adjustRightInd w:val="0"/>
        <w:spacing w:after="0" w:line="240" w:lineRule="auto"/>
      </w:pPr>
      <w:r>
        <w:t>TSSP was recognised by the ODE review for its</w:t>
      </w:r>
      <w:r w:rsidRPr="00674F73">
        <w:t xml:space="preserve"> concerted efforts to enhance women's voice</w:t>
      </w:r>
      <w:r w:rsidR="00DA387E">
        <w:t>s</w:t>
      </w:r>
      <w:r w:rsidRPr="00674F73">
        <w:t xml:space="preserve"> in decision-making, leadership and peace-building, especially through the accelerated executive mentoring program for women. In 2017, 42</w:t>
      </w:r>
      <w:r>
        <w:t xml:space="preserve"> per cent</w:t>
      </w:r>
      <w:r w:rsidRPr="00674F73">
        <w:t xml:space="preserve"> of </w:t>
      </w:r>
      <w:r w:rsidR="004159D3">
        <w:t>the 36,841 people</w:t>
      </w:r>
      <w:r w:rsidR="004159D3" w:rsidRPr="00674F73">
        <w:t xml:space="preserve"> </w:t>
      </w:r>
      <w:r w:rsidRPr="00674F73">
        <w:t>working on C</w:t>
      </w:r>
      <w:r>
        <w:t xml:space="preserve">ommunity Works Agreements for road maintenance in Bougainville </w:t>
      </w:r>
      <w:r w:rsidRPr="00674F73">
        <w:t>were women</w:t>
      </w:r>
      <w:r>
        <w:t>. C</w:t>
      </w:r>
      <w:r w:rsidRPr="00674F73">
        <w:t xml:space="preserve">limate change is </w:t>
      </w:r>
      <w:r>
        <w:t xml:space="preserve">also </w:t>
      </w:r>
      <w:r w:rsidRPr="00674F73">
        <w:t>an emerging prior</w:t>
      </w:r>
      <w:r>
        <w:t xml:space="preserve">ity for Papua New Guinea’s transport sector. </w:t>
      </w:r>
      <w:r w:rsidRPr="00674F73">
        <w:t xml:space="preserve">TSSP efforts to date have focused on climate-sensitive designs </w:t>
      </w:r>
      <w:r>
        <w:t xml:space="preserve">to </w:t>
      </w:r>
      <w:r w:rsidR="00B13240">
        <w:t xml:space="preserve">ensure delivery of </w:t>
      </w:r>
      <w:r w:rsidRPr="00674F73">
        <w:t xml:space="preserve">climate-resilient </w:t>
      </w:r>
      <w:r w:rsidR="00B13240">
        <w:t>infrastructure</w:t>
      </w:r>
      <w:r w:rsidRPr="00674F73">
        <w:t>. In 2017 this included special drainage measures for the Buin Town Roads project in southern Bougainville, to accommodate the</w:t>
      </w:r>
      <w:r>
        <w:t xml:space="preserve"> region’s significant rainfall.</w:t>
      </w:r>
    </w:p>
    <w:p w14:paraId="0E8544C4" w14:textId="77777777" w:rsidR="009A7F0F" w:rsidRDefault="009A7F0F" w:rsidP="008B1CED">
      <w:pPr>
        <w:suppressAutoHyphens w:val="0"/>
        <w:spacing w:before="0" w:after="0" w:line="320" w:lineRule="atLeast"/>
        <w:rPr>
          <w:rFonts w:asciiTheme="majorHAnsi" w:eastAsiaTheme="majorEastAsia" w:hAnsiTheme="majorHAnsi" w:cstheme="majorBidi"/>
          <w:caps/>
          <w:sz w:val="38"/>
          <w:szCs w:val="26"/>
        </w:rPr>
      </w:pPr>
    </w:p>
    <w:p w14:paraId="5A63D2F7" w14:textId="77777777" w:rsidR="00C05197" w:rsidRDefault="00C05197">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77FAA432" w14:textId="193D293D" w:rsidR="00417A72" w:rsidRPr="0053721F" w:rsidRDefault="00417A72" w:rsidP="00184C6A">
      <w:pPr>
        <w:suppressAutoHyphens w:val="0"/>
        <w:spacing w:before="0" w:after="120" w:line="440" w:lineRule="atLeast"/>
        <w:rPr>
          <w:rFonts w:asciiTheme="majorHAnsi" w:eastAsiaTheme="majorEastAsia" w:hAnsiTheme="majorHAnsi" w:cstheme="majorBidi"/>
          <w:caps/>
          <w:sz w:val="38"/>
          <w:szCs w:val="26"/>
        </w:rPr>
      </w:pPr>
      <w:r w:rsidRPr="0053721F">
        <w:rPr>
          <w:rFonts w:asciiTheme="majorHAnsi" w:eastAsiaTheme="majorEastAsia" w:hAnsiTheme="majorHAnsi" w:cstheme="majorBidi"/>
          <w:caps/>
          <w:sz w:val="38"/>
          <w:szCs w:val="26"/>
        </w:rPr>
        <w:lastRenderedPageBreak/>
        <w:t>Objective 3: enhancing human development</w:t>
      </w:r>
    </w:p>
    <w:p w14:paraId="657A0793" w14:textId="77777777" w:rsidR="00417A72" w:rsidRPr="0053721F" w:rsidRDefault="00FE669C" w:rsidP="00FE669C">
      <w:pPr>
        <w:jc w:val="both"/>
        <w:rPr>
          <w:rFonts w:eastAsiaTheme="majorEastAsia" w:cstheme="majorBidi"/>
          <w:caps/>
          <w:noProof/>
          <w:lang w:val="en-AU" w:eastAsia="en-AU"/>
        </w:rPr>
      </w:pPr>
      <w:r w:rsidRPr="0053721F">
        <w:rPr>
          <w:rFonts w:eastAsiaTheme="majorEastAsia" w:cstheme="majorBidi"/>
          <w:caps/>
          <w:noProof/>
          <w:lang w:val="en-AU" w:eastAsia="en-AU"/>
        </w:rPr>
        <w:drawing>
          <wp:inline distT="0" distB="0" distL="0" distR="0" wp14:anchorId="5D71784F" wp14:editId="652167A2">
            <wp:extent cx="1134000" cy="723600"/>
            <wp:effectExtent l="0" t="0" r="952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000" cy="723600"/>
                    </a:xfrm>
                    <a:prstGeom prst="rect">
                      <a:avLst/>
                    </a:prstGeom>
                    <a:noFill/>
                    <a:ln>
                      <a:noFill/>
                    </a:ln>
                  </pic:spPr>
                </pic:pic>
              </a:graphicData>
            </a:graphic>
          </wp:inline>
        </w:drawing>
      </w:r>
      <w:r w:rsidRPr="0053721F">
        <w:rPr>
          <w:rFonts w:eastAsiaTheme="majorEastAsia" w:cstheme="majorBidi"/>
          <w:caps/>
          <w:noProof/>
          <w:lang w:val="en-AU" w:eastAsia="en-AU"/>
        </w:rPr>
        <w:drawing>
          <wp:inline distT="0" distB="0" distL="0" distR="0" wp14:anchorId="4D919222" wp14:editId="64A00BD9">
            <wp:extent cx="608400" cy="60840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53721F">
        <w:rPr>
          <w:rFonts w:eastAsiaTheme="majorEastAsia" w:cstheme="majorBidi"/>
          <w:caps/>
          <w:noProof/>
          <w:lang w:val="en-AU" w:eastAsia="en-AU"/>
        </w:rPr>
        <w:drawing>
          <wp:inline distT="0" distB="0" distL="0" distR="0" wp14:anchorId="6AF37A71" wp14:editId="19AD2F7F">
            <wp:extent cx="608400" cy="608400"/>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53721F">
        <w:rPr>
          <w:rFonts w:eastAsiaTheme="majorEastAsia" w:cstheme="majorBidi"/>
          <w:caps/>
          <w:noProof/>
          <w:lang w:val="en-AU" w:eastAsia="en-AU"/>
        </w:rPr>
        <w:drawing>
          <wp:inline distT="0" distB="0" distL="0" distR="0" wp14:anchorId="2403EB16" wp14:editId="455E7D90">
            <wp:extent cx="608400" cy="608400"/>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53721F">
        <w:rPr>
          <w:rFonts w:eastAsiaTheme="majorEastAsia" w:cstheme="majorBidi"/>
          <w:caps/>
          <w:noProof/>
          <w:lang w:val="en-AU" w:eastAsia="en-AU"/>
        </w:rPr>
        <w:drawing>
          <wp:inline distT="0" distB="0" distL="0" distR="0" wp14:anchorId="5503DD98" wp14:editId="1058F9B9">
            <wp:extent cx="608400" cy="60840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00622ABC" w:rsidRPr="0053721F">
        <w:rPr>
          <w:rFonts w:eastAsiaTheme="majorEastAsia" w:cstheme="majorBidi"/>
          <w:caps/>
          <w:noProof/>
          <w:lang w:val="en-AU" w:eastAsia="en-AU"/>
        </w:rPr>
        <w:drawing>
          <wp:inline distT="0" distB="0" distL="0" distR="0" wp14:anchorId="4070D818" wp14:editId="441ED8CD">
            <wp:extent cx="608400" cy="608400"/>
            <wp:effectExtent l="0" t="0" r="127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00001B61" w:rsidRPr="0053721F">
        <w:rPr>
          <w:noProof/>
          <w:lang w:val="en-AU" w:eastAsia="en-AU"/>
        </w:rPr>
        <w:drawing>
          <wp:inline distT="0" distB="0" distL="0" distR="0" wp14:anchorId="6E700045" wp14:editId="59C74210">
            <wp:extent cx="609600" cy="609600"/>
            <wp:effectExtent l="0" t="0" r="0" b="0"/>
            <wp:docPr id="50" name="Picture 50"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622ABC" w:rsidRPr="0053721F">
        <w:rPr>
          <w:rFonts w:eastAsiaTheme="majorEastAsia" w:cstheme="majorBidi"/>
          <w:caps/>
          <w:noProof/>
          <w:lang w:val="en-AU" w:eastAsia="en-AU"/>
        </w:rPr>
        <w:drawing>
          <wp:inline distT="0" distB="0" distL="0" distR="0" wp14:anchorId="4C3E4856" wp14:editId="0C69F3FF">
            <wp:extent cx="608400" cy="608400"/>
            <wp:effectExtent l="0" t="0" r="127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0088735A" w:rsidRPr="0053721F">
        <w:rPr>
          <w:noProof/>
          <w:lang w:val="en-AU" w:eastAsia="en-AU"/>
        </w:rPr>
        <w:drawing>
          <wp:inline distT="0" distB="0" distL="0" distR="0" wp14:anchorId="57C22E90" wp14:editId="4F813B9A">
            <wp:extent cx="612000" cy="61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15818485" w14:textId="1D401198" w:rsidR="00F13B89" w:rsidRPr="00E76172" w:rsidRDefault="00F13B89" w:rsidP="00F13B89">
      <w:pPr>
        <w:rPr>
          <w:i/>
        </w:rPr>
      </w:pPr>
      <w:r w:rsidRPr="00E76172">
        <w:rPr>
          <w:i/>
        </w:rPr>
        <w:t xml:space="preserve">Australia’s assistance to the health and education sectors and our work to support effective leadership has been rated amber for 2017-18. While there are many examples of </w:t>
      </w:r>
      <w:r w:rsidR="00CE2E82">
        <w:rPr>
          <w:i/>
        </w:rPr>
        <w:t xml:space="preserve">the effectiveness of our work </w:t>
      </w:r>
      <w:r w:rsidRPr="00E76172">
        <w:rPr>
          <w:i/>
        </w:rPr>
        <w:t xml:space="preserve">in these areas, </w:t>
      </w:r>
      <w:r w:rsidR="00CE2E82">
        <w:rPr>
          <w:i/>
        </w:rPr>
        <w:t>achievements</w:t>
      </w:r>
      <w:r w:rsidR="00CE2E82" w:rsidRPr="00E76172">
        <w:rPr>
          <w:i/>
        </w:rPr>
        <w:t xml:space="preserve"> </w:t>
      </w:r>
      <w:r w:rsidRPr="00E76172">
        <w:rPr>
          <w:i/>
        </w:rPr>
        <w:t xml:space="preserve">did not always </w:t>
      </w:r>
      <w:r w:rsidR="00CE2E82">
        <w:rPr>
          <w:i/>
        </w:rPr>
        <w:t>match</w:t>
      </w:r>
      <w:r w:rsidR="00CE2E82" w:rsidRPr="00E76172">
        <w:rPr>
          <w:i/>
        </w:rPr>
        <w:t xml:space="preserve"> </w:t>
      </w:r>
      <w:r w:rsidRPr="00E76172">
        <w:rPr>
          <w:i/>
        </w:rPr>
        <w:t xml:space="preserve">expectations, and the development of new programs is behind schedule in both sectors. Planned improvements </w:t>
      </w:r>
      <w:r w:rsidR="00CE2E82">
        <w:rPr>
          <w:i/>
        </w:rPr>
        <w:t>to</w:t>
      </w:r>
      <w:r w:rsidR="00CE2E82" w:rsidRPr="00E76172">
        <w:rPr>
          <w:i/>
        </w:rPr>
        <w:t xml:space="preserve"> </w:t>
      </w:r>
      <w:r w:rsidRPr="00E76172">
        <w:rPr>
          <w:i/>
        </w:rPr>
        <w:t xml:space="preserve">monitoring and evaluation </w:t>
      </w:r>
      <w:r w:rsidR="00CE2E82">
        <w:rPr>
          <w:i/>
        </w:rPr>
        <w:t xml:space="preserve">systems in </w:t>
      </w:r>
      <w:r w:rsidRPr="00E76172">
        <w:rPr>
          <w:i/>
        </w:rPr>
        <w:t xml:space="preserve">the education program have not yet been completed, limiting our ability to report on achievements in detail. </w:t>
      </w:r>
    </w:p>
    <w:p w14:paraId="24C5AE4C" w14:textId="515C53F9" w:rsidR="00F13B89" w:rsidRDefault="00F13B89" w:rsidP="00F13B89">
      <w:r>
        <w:t>Papua New Guinea’s economic and social development is heavily dependent on the health, education and skills of its population. The Enhancing Human Development program builds capacity in these fields as it supports the bilateral relationship to transition from an aid-oriented approach to one based on broader economic</w:t>
      </w:r>
      <w:r w:rsidR="008936CE">
        <w:t>, development</w:t>
      </w:r>
      <w:r>
        <w:t xml:space="preserve"> and strategic objectives. Our partnerships in human development are promoting a more prosperous, secure and stable nation, which is in both Papua New Guinea’s and Australia’s broader national interests.</w:t>
      </w:r>
    </w:p>
    <w:p w14:paraId="4EBC5421" w14:textId="77777777" w:rsidR="001809CD" w:rsidRPr="0020654B" w:rsidRDefault="001809CD" w:rsidP="00343ABE">
      <w:pPr>
        <w:pStyle w:val="Heading3Numbered"/>
        <w:numPr>
          <w:ilvl w:val="0"/>
          <w:numId w:val="0"/>
        </w:numPr>
        <w:ind w:left="851" w:hanging="851"/>
      </w:pPr>
      <w:r w:rsidRPr="0020654B">
        <w:t>Health</w:t>
      </w:r>
    </w:p>
    <w:p w14:paraId="29F44A82" w14:textId="63A48DCF" w:rsidR="00E23082" w:rsidRPr="0020654B" w:rsidRDefault="00E23082" w:rsidP="00D84C3E">
      <w:r w:rsidRPr="0020654B">
        <w:t>Papua New Guinea’s health system struggle</w:t>
      </w:r>
      <w:r>
        <w:t>s</w:t>
      </w:r>
      <w:r w:rsidRPr="0020654B">
        <w:t xml:space="preserve"> to meet the needs of it growing population, and most health indicators have shown only small improvements in the last decade. Maternal and neonatal mortality rates remain unacceptably high and skilled birth attendance, modern contraception and immunisation rates are low. Many health facilities lack staff, medical equipment and supplies, and </w:t>
      </w:r>
      <w:r w:rsidR="00D85582">
        <w:t xml:space="preserve">do not have </w:t>
      </w:r>
      <w:r w:rsidRPr="0020654B">
        <w:t>sufficient funding to provide basic services. The Government</w:t>
      </w:r>
      <w:r>
        <w:t xml:space="preserve">’s </w:t>
      </w:r>
      <w:r w:rsidRPr="0020654B">
        <w:t xml:space="preserve">National Health Plan 2010-20 provides a clear framework for improving health services. However, major cuts </w:t>
      </w:r>
      <w:r w:rsidR="0062229A">
        <w:t xml:space="preserve">to health funding </w:t>
      </w:r>
      <w:r w:rsidRPr="0020654B">
        <w:t xml:space="preserve">associated with declining Government revenue </w:t>
      </w:r>
      <w:r w:rsidR="0062229A">
        <w:t xml:space="preserve">have </w:t>
      </w:r>
      <w:r w:rsidRPr="0020654B">
        <w:t>hindered implementation of the plan.</w:t>
      </w:r>
    </w:p>
    <w:p w14:paraId="309CF720" w14:textId="77777777" w:rsidR="008936CE" w:rsidRDefault="00E23082" w:rsidP="00D84C3E">
      <w:pPr>
        <w:spacing w:line="240" w:lineRule="auto"/>
      </w:pPr>
      <w:r w:rsidRPr="0020654B">
        <w:t>Australia is the major donor to the sector, providing around $100 million in 2017-18</w:t>
      </w:r>
      <w:r>
        <w:t>,</w:t>
      </w:r>
      <w:r w:rsidRPr="0020654B">
        <w:t xml:space="preserve"> </w:t>
      </w:r>
      <w:r w:rsidR="0062229A">
        <w:t xml:space="preserve">which is equivalent to </w:t>
      </w:r>
      <w:r w:rsidRPr="0020654B">
        <w:t xml:space="preserve">about 20 per cent of the Government of Papua New Guinea’s </w:t>
      </w:r>
      <w:r>
        <w:t xml:space="preserve">health </w:t>
      </w:r>
      <w:r w:rsidRPr="0020654B">
        <w:t xml:space="preserve">expenditure. Our </w:t>
      </w:r>
      <w:r>
        <w:t xml:space="preserve">health strategy is intended to </w:t>
      </w:r>
      <w:r w:rsidRPr="0020654B">
        <w:t xml:space="preserve">strengthen Papua New Guinea’s </w:t>
      </w:r>
      <w:r>
        <w:t xml:space="preserve">own </w:t>
      </w:r>
      <w:r w:rsidRPr="0020654B">
        <w:t xml:space="preserve">health </w:t>
      </w:r>
      <w:r>
        <w:t xml:space="preserve">services and </w:t>
      </w:r>
      <w:r w:rsidRPr="0020654B">
        <w:t>systems</w:t>
      </w:r>
      <w:r>
        <w:t xml:space="preserve">, including </w:t>
      </w:r>
      <w:r w:rsidR="0062229A">
        <w:t xml:space="preserve">policy engagement with Government, </w:t>
      </w:r>
      <w:r w:rsidRPr="0020654B">
        <w:t>advoca</w:t>
      </w:r>
      <w:r>
        <w:t xml:space="preserve">cy </w:t>
      </w:r>
      <w:r w:rsidRPr="0020654B">
        <w:t>for adequate sectoral funding and encourag</w:t>
      </w:r>
      <w:r>
        <w:t xml:space="preserve">ing </w:t>
      </w:r>
      <w:r w:rsidRPr="0020654B">
        <w:t>other donors to contribute to health improvements.</w:t>
      </w:r>
      <w:r w:rsidR="00FF4BD9">
        <w:t xml:space="preserve"> </w:t>
      </w:r>
    </w:p>
    <w:p w14:paraId="57E22C58" w14:textId="7319674D" w:rsidR="000600CE" w:rsidRDefault="0020654B" w:rsidP="00D84C3E">
      <w:pPr>
        <w:spacing w:line="240" w:lineRule="auto"/>
        <w:rPr>
          <w:i/>
        </w:rPr>
      </w:pPr>
      <w:r w:rsidRPr="0020654B">
        <w:rPr>
          <w:i/>
        </w:rPr>
        <w:t>Strengthening health services and systems</w:t>
      </w:r>
    </w:p>
    <w:p w14:paraId="1ACC0B94" w14:textId="43FCF964" w:rsidR="00E23082" w:rsidRPr="0020654B" w:rsidRDefault="00E23082" w:rsidP="00D84C3E">
      <w:pPr>
        <w:pStyle w:val="Default"/>
        <w:spacing w:after="120"/>
        <w:rPr>
          <w:rFonts w:asciiTheme="minorHAnsi" w:hAnsiTheme="minorHAnsi" w:cstheme="minorBidi"/>
          <w:color w:val="495965" w:themeColor="text2"/>
          <w:sz w:val="22"/>
          <w:szCs w:val="22"/>
          <w:lang w:val="en-GB"/>
        </w:rPr>
      </w:pPr>
      <w:r>
        <w:rPr>
          <w:rFonts w:asciiTheme="minorHAnsi" w:hAnsiTheme="minorHAnsi" w:cstheme="minorBidi"/>
          <w:color w:val="495965" w:themeColor="text2"/>
          <w:sz w:val="22"/>
          <w:szCs w:val="22"/>
          <w:lang w:val="en-GB"/>
        </w:rPr>
        <w:t>In 2017-18</w:t>
      </w:r>
      <w:r w:rsidRPr="0020654B">
        <w:rPr>
          <w:rFonts w:asciiTheme="minorHAnsi" w:hAnsiTheme="minorHAnsi" w:cstheme="minorBidi"/>
          <w:color w:val="495965" w:themeColor="text2"/>
          <w:sz w:val="22"/>
          <w:szCs w:val="22"/>
          <w:lang w:val="en-GB"/>
        </w:rPr>
        <w:t xml:space="preserve"> Australia and the </w:t>
      </w:r>
      <w:r>
        <w:rPr>
          <w:rFonts w:asciiTheme="minorHAnsi" w:hAnsiTheme="minorHAnsi" w:cstheme="minorBidi"/>
          <w:color w:val="495965" w:themeColor="text2"/>
          <w:sz w:val="22"/>
          <w:szCs w:val="22"/>
          <w:lang w:val="en-GB"/>
        </w:rPr>
        <w:t xml:space="preserve">ADB </w:t>
      </w:r>
      <w:r w:rsidRPr="0020654B">
        <w:rPr>
          <w:rFonts w:asciiTheme="minorHAnsi" w:hAnsiTheme="minorHAnsi" w:cstheme="minorBidi"/>
          <w:color w:val="495965" w:themeColor="text2"/>
          <w:sz w:val="22"/>
          <w:szCs w:val="22"/>
          <w:lang w:val="en-GB"/>
        </w:rPr>
        <w:t xml:space="preserve">began to </w:t>
      </w:r>
      <w:r w:rsidR="00894B75">
        <w:rPr>
          <w:rFonts w:asciiTheme="minorHAnsi" w:hAnsiTheme="minorHAnsi" w:cstheme="minorBidi"/>
          <w:color w:val="495965" w:themeColor="text2"/>
          <w:sz w:val="22"/>
          <w:szCs w:val="22"/>
          <w:lang w:val="en-GB"/>
        </w:rPr>
        <w:t>complete</w:t>
      </w:r>
      <w:r w:rsidR="00894B75" w:rsidRPr="0020654B" w:rsidDel="00894B75">
        <w:rPr>
          <w:rFonts w:asciiTheme="minorHAnsi" w:hAnsiTheme="minorHAnsi" w:cstheme="minorBidi"/>
          <w:color w:val="495965" w:themeColor="text2"/>
          <w:sz w:val="22"/>
          <w:szCs w:val="22"/>
          <w:lang w:val="en-GB"/>
        </w:rPr>
        <w:t xml:space="preserve"> </w:t>
      </w:r>
      <w:r w:rsidRPr="0020654B">
        <w:rPr>
          <w:rFonts w:asciiTheme="minorHAnsi" w:hAnsiTheme="minorHAnsi" w:cstheme="minorBidi"/>
          <w:color w:val="495965" w:themeColor="text2"/>
          <w:sz w:val="22"/>
          <w:szCs w:val="22"/>
          <w:lang w:val="en-GB"/>
        </w:rPr>
        <w:t>the Rural Primary Health Services Delivery Project (</w:t>
      </w:r>
      <w:r w:rsidR="00D84C3E">
        <w:rPr>
          <w:rFonts w:asciiTheme="minorHAnsi" w:hAnsiTheme="minorHAnsi" w:cstheme="minorBidi"/>
          <w:color w:val="495965" w:themeColor="text2"/>
          <w:sz w:val="22"/>
          <w:szCs w:val="22"/>
          <w:lang w:val="en-GB"/>
        </w:rPr>
        <w:t>$40 </w:t>
      </w:r>
      <w:r>
        <w:rPr>
          <w:rFonts w:asciiTheme="minorHAnsi" w:hAnsiTheme="minorHAnsi" w:cstheme="minorBidi"/>
          <w:color w:val="495965" w:themeColor="text2"/>
          <w:sz w:val="22"/>
          <w:szCs w:val="22"/>
          <w:lang w:val="en-GB"/>
        </w:rPr>
        <w:t>million</w:t>
      </w:r>
      <w:r w:rsidRPr="0020654B">
        <w:rPr>
          <w:rFonts w:asciiTheme="minorHAnsi" w:hAnsiTheme="minorHAnsi" w:cstheme="minorBidi"/>
          <w:color w:val="495965" w:themeColor="text2"/>
          <w:sz w:val="22"/>
          <w:szCs w:val="22"/>
          <w:lang w:val="en-GB"/>
        </w:rPr>
        <w:t>, 2011-19)</w:t>
      </w:r>
      <w:r>
        <w:rPr>
          <w:rFonts w:asciiTheme="minorHAnsi" w:hAnsiTheme="minorHAnsi" w:cstheme="minorBidi"/>
          <w:color w:val="495965" w:themeColor="text2"/>
          <w:sz w:val="22"/>
          <w:szCs w:val="22"/>
          <w:lang w:val="en-GB"/>
        </w:rPr>
        <w:t>.</w:t>
      </w:r>
      <w:r w:rsidRPr="004E1BD0">
        <w:rPr>
          <w:rFonts w:asciiTheme="minorHAnsi" w:hAnsiTheme="minorHAnsi" w:cstheme="minorBidi"/>
          <w:color w:val="495965" w:themeColor="text2"/>
          <w:sz w:val="22"/>
          <w:szCs w:val="22"/>
          <w:lang w:val="en-GB"/>
        </w:rPr>
        <w:t xml:space="preserve"> </w:t>
      </w:r>
      <w:r w:rsidRPr="0020654B">
        <w:rPr>
          <w:rFonts w:asciiTheme="minorHAnsi" w:hAnsiTheme="minorHAnsi" w:cstheme="minorBidi"/>
          <w:color w:val="495965" w:themeColor="text2"/>
          <w:sz w:val="22"/>
          <w:szCs w:val="22"/>
          <w:lang w:val="en-GB"/>
        </w:rPr>
        <w:t>This year</w:t>
      </w:r>
      <w:r>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six Community Health Posts </w:t>
      </w:r>
      <w:r w:rsidR="00C7273F">
        <w:rPr>
          <w:rFonts w:asciiTheme="minorHAnsi" w:hAnsiTheme="minorHAnsi" w:cstheme="minorBidi"/>
          <w:color w:val="495965" w:themeColor="text2"/>
          <w:sz w:val="22"/>
          <w:szCs w:val="22"/>
          <w:lang w:val="en-GB"/>
        </w:rPr>
        <w:t>were</w:t>
      </w:r>
      <w:r w:rsidR="00486833">
        <w:rPr>
          <w:rFonts w:asciiTheme="minorHAnsi" w:hAnsiTheme="minorHAnsi" w:cstheme="minorBidi"/>
          <w:color w:val="495965" w:themeColor="text2"/>
          <w:sz w:val="22"/>
          <w:szCs w:val="22"/>
          <w:lang w:val="en-GB"/>
        </w:rPr>
        <w:t xml:space="preserve"> </w:t>
      </w:r>
      <w:r w:rsidRPr="0020654B">
        <w:rPr>
          <w:rFonts w:asciiTheme="minorHAnsi" w:hAnsiTheme="minorHAnsi" w:cstheme="minorBidi"/>
          <w:color w:val="495965" w:themeColor="text2"/>
          <w:sz w:val="22"/>
          <w:szCs w:val="22"/>
          <w:lang w:val="en-GB"/>
        </w:rPr>
        <w:t>open</w:t>
      </w:r>
      <w:r>
        <w:rPr>
          <w:rFonts w:asciiTheme="minorHAnsi" w:hAnsiTheme="minorHAnsi" w:cstheme="minorBidi"/>
          <w:color w:val="495965" w:themeColor="text2"/>
          <w:sz w:val="22"/>
          <w:szCs w:val="22"/>
          <w:lang w:val="en-GB"/>
        </w:rPr>
        <w:t>ed</w:t>
      </w:r>
      <w:r w:rsidRPr="0020654B">
        <w:rPr>
          <w:rFonts w:asciiTheme="minorHAnsi" w:hAnsiTheme="minorHAnsi" w:cstheme="minorBidi"/>
          <w:color w:val="495965" w:themeColor="text2"/>
          <w:sz w:val="22"/>
          <w:szCs w:val="22"/>
          <w:lang w:val="en-GB"/>
        </w:rPr>
        <w:t xml:space="preserve"> in three provinces, </w:t>
      </w:r>
      <w:r w:rsidR="0062229A">
        <w:rPr>
          <w:rFonts w:asciiTheme="minorHAnsi" w:hAnsiTheme="minorHAnsi" w:cstheme="minorBidi"/>
          <w:color w:val="495965" w:themeColor="text2"/>
          <w:sz w:val="22"/>
          <w:szCs w:val="22"/>
          <w:lang w:val="en-GB"/>
        </w:rPr>
        <w:t>providing</w:t>
      </w:r>
      <w:r w:rsidR="0062229A" w:rsidRPr="0020654B">
        <w:rPr>
          <w:rFonts w:asciiTheme="minorHAnsi" w:hAnsiTheme="minorHAnsi" w:cstheme="minorBidi"/>
          <w:color w:val="495965" w:themeColor="text2"/>
          <w:sz w:val="22"/>
          <w:szCs w:val="22"/>
          <w:lang w:val="en-GB"/>
        </w:rPr>
        <w:t xml:space="preserve"> </w:t>
      </w:r>
      <w:r w:rsidRPr="0020654B">
        <w:rPr>
          <w:rFonts w:asciiTheme="minorHAnsi" w:hAnsiTheme="minorHAnsi" w:cstheme="minorBidi"/>
          <w:color w:val="495965" w:themeColor="text2"/>
          <w:sz w:val="22"/>
          <w:szCs w:val="22"/>
          <w:lang w:val="en-GB"/>
        </w:rPr>
        <w:t>facilities for childbirth and other services. By the end of 2018</w:t>
      </w:r>
      <w:r w:rsidR="00960093">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all 32 planned new Community Health Posts will be completed, extending the coverage and quality of primary health care across eight provinces. </w:t>
      </w:r>
    </w:p>
    <w:p w14:paraId="20E4FDEA" w14:textId="6F014E3D" w:rsidR="00E23082" w:rsidRPr="0020654B" w:rsidRDefault="00E23082" w:rsidP="00D84C3E">
      <w:pPr>
        <w:pStyle w:val="Default"/>
        <w:spacing w:after="120"/>
        <w:rPr>
          <w:rFonts w:asciiTheme="minorHAnsi" w:hAnsiTheme="minorHAnsi" w:cstheme="minorBidi"/>
          <w:color w:val="495965" w:themeColor="text2"/>
          <w:sz w:val="22"/>
          <w:szCs w:val="22"/>
          <w:lang w:val="en-GB"/>
        </w:rPr>
      </w:pPr>
      <w:r w:rsidRPr="0020654B">
        <w:rPr>
          <w:rFonts w:asciiTheme="minorHAnsi" w:hAnsiTheme="minorHAnsi" w:cstheme="minorBidi"/>
          <w:color w:val="495965" w:themeColor="text2"/>
          <w:sz w:val="22"/>
          <w:szCs w:val="22"/>
          <w:lang w:val="en-GB"/>
        </w:rPr>
        <w:t xml:space="preserve">Major progress has been made in upgrading health facilities in Morobe under the </w:t>
      </w:r>
      <w:r w:rsidR="00960093" w:rsidRPr="00960093">
        <w:rPr>
          <w:rFonts w:asciiTheme="minorHAnsi" w:hAnsiTheme="minorHAnsi" w:cstheme="minorBidi"/>
          <w:i/>
          <w:color w:val="495965" w:themeColor="text2"/>
          <w:sz w:val="22"/>
          <w:szCs w:val="22"/>
          <w:lang w:val="en-GB"/>
        </w:rPr>
        <w:t>Joint Understanding between Australia and Papua New Guinea on Further Bilateral Cooperation on Health, Education and Law and Order</w:t>
      </w:r>
      <w:r w:rsidRPr="00960093">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Following completion of upgrades to the Lae School of Nursing and a number of primary health facilities in Morobe province, redevelopment of Lae’s ANGAU Memorial Hospital is now well underway.</w:t>
      </w:r>
      <w:r w:rsidR="00FF4BD9">
        <w:rPr>
          <w:rFonts w:asciiTheme="minorHAnsi" w:hAnsiTheme="minorHAnsi" w:cstheme="minorBidi"/>
          <w:color w:val="495965" w:themeColor="text2"/>
          <w:sz w:val="22"/>
          <w:szCs w:val="22"/>
          <w:lang w:val="en-GB"/>
        </w:rPr>
        <w:t xml:space="preserve"> </w:t>
      </w:r>
    </w:p>
    <w:p w14:paraId="0BEDC8FC" w14:textId="179989D4" w:rsidR="00E23082" w:rsidRPr="0020654B" w:rsidRDefault="00E23082" w:rsidP="00D84C3E">
      <w:pPr>
        <w:pStyle w:val="Default"/>
        <w:spacing w:after="120"/>
        <w:rPr>
          <w:rFonts w:asciiTheme="minorHAnsi" w:hAnsiTheme="minorHAnsi" w:cstheme="minorBidi"/>
          <w:color w:val="495965" w:themeColor="text2"/>
          <w:sz w:val="22"/>
          <w:szCs w:val="22"/>
          <w:lang w:val="en-GB"/>
        </w:rPr>
      </w:pPr>
      <w:r w:rsidRPr="0020654B">
        <w:rPr>
          <w:rFonts w:asciiTheme="minorHAnsi" w:hAnsiTheme="minorHAnsi" w:cstheme="minorBidi"/>
          <w:color w:val="495965" w:themeColor="text2"/>
          <w:sz w:val="22"/>
          <w:szCs w:val="22"/>
          <w:lang w:val="en-GB"/>
        </w:rPr>
        <w:t xml:space="preserve">The extensive redevelopment of Arawa Hospital on Bougainville </w:t>
      </w:r>
      <w:r w:rsidR="005F7439">
        <w:rPr>
          <w:rFonts w:asciiTheme="minorHAnsi" w:hAnsiTheme="minorHAnsi" w:cstheme="minorBidi"/>
          <w:color w:val="495965" w:themeColor="text2"/>
          <w:sz w:val="22"/>
          <w:szCs w:val="22"/>
          <w:lang w:val="en-GB"/>
        </w:rPr>
        <w:t>was</w:t>
      </w:r>
      <w:r w:rsidRPr="0020654B">
        <w:rPr>
          <w:rFonts w:asciiTheme="minorHAnsi" w:hAnsiTheme="minorHAnsi" w:cstheme="minorBidi"/>
          <w:color w:val="495965" w:themeColor="text2"/>
          <w:sz w:val="22"/>
          <w:szCs w:val="22"/>
          <w:lang w:val="en-GB"/>
        </w:rPr>
        <w:t xml:space="preserve"> completed</w:t>
      </w:r>
      <w:r w:rsidR="00C7273F">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including a new</w:t>
      </w:r>
      <w:r>
        <w:rPr>
          <w:rFonts w:asciiTheme="minorHAnsi" w:hAnsiTheme="minorHAnsi" w:cstheme="minorBidi"/>
          <w:color w:val="495965" w:themeColor="text2"/>
          <w:sz w:val="22"/>
          <w:szCs w:val="22"/>
          <w:lang w:val="en-GB"/>
        </w:rPr>
        <w:t xml:space="preserve"> </w:t>
      </w:r>
      <w:r w:rsidRPr="0020654B">
        <w:rPr>
          <w:rFonts w:asciiTheme="minorHAnsi" w:hAnsiTheme="minorHAnsi" w:cstheme="minorBidi"/>
          <w:color w:val="495965" w:themeColor="text2"/>
          <w:sz w:val="22"/>
          <w:szCs w:val="22"/>
          <w:lang w:val="en-GB"/>
        </w:rPr>
        <w:t>Family Support Centre, providing quality medical services and support to survivors of sexual and gender based violence</w:t>
      </w:r>
      <w:r w:rsidR="00C7273F">
        <w:rPr>
          <w:rFonts w:asciiTheme="minorHAnsi" w:hAnsiTheme="minorHAnsi" w:cstheme="minorBidi"/>
          <w:color w:val="495965" w:themeColor="text2"/>
          <w:sz w:val="22"/>
          <w:szCs w:val="22"/>
          <w:lang w:val="en-GB"/>
        </w:rPr>
        <w:t>. In addition</w:t>
      </w:r>
      <w:r w:rsidR="0062229A">
        <w:rPr>
          <w:rFonts w:asciiTheme="minorHAnsi" w:hAnsiTheme="minorHAnsi" w:cstheme="minorBidi"/>
          <w:color w:val="495965" w:themeColor="text2"/>
          <w:sz w:val="22"/>
          <w:szCs w:val="22"/>
          <w:lang w:val="en-GB"/>
        </w:rPr>
        <w:t xml:space="preserve"> f</w:t>
      </w:r>
      <w:r w:rsidRPr="0020654B">
        <w:rPr>
          <w:rFonts w:asciiTheme="minorHAnsi" w:hAnsiTheme="minorHAnsi" w:cstheme="minorBidi"/>
          <w:color w:val="495965" w:themeColor="text2"/>
          <w:sz w:val="22"/>
          <w:szCs w:val="22"/>
          <w:lang w:val="en-GB"/>
        </w:rPr>
        <w:t xml:space="preserve">our community health posts are currently under construction </w:t>
      </w:r>
    </w:p>
    <w:p w14:paraId="3C443042" w14:textId="714AD8F8" w:rsidR="00E23082" w:rsidRPr="0020654B" w:rsidRDefault="00E23082" w:rsidP="00D84C3E">
      <w:pPr>
        <w:pStyle w:val="Default"/>
        <w:spacing w:after="120"/>
        <w:rPr>
          <w:rFonts w:asciiTheme="minorHAnsi" w:hAnsiTheme="minorHAnsi" w:cstheme="minorBidi"/>
          <w:color w:val="495965" w:themeColor="text2"/>
          <w:sz w:val="22"/>
          <w:szCs w:val="22"/>
          <w:lang w:val="en-GB"/>
        </w:rPr>
      </w:pPr>
      <w:r w:rsidRPr="0020654B">
        <w:rPr>
          <w:rFonts w:asciiTheme="minorHAnsi" w:hAnsiTheme="minorHAnsi" w:cstheme="minorBidi"/>
          <w:color w:val="495965" w:themeColor="text2"/>
          <w:sz w:val="22"/>
          <w:szCs w:val="22"/>
          <w:lang w:val="en-GB"/>
        </w:rPr>
        <w:t>Australia</w:t>
      </w:r>
      <w:r>
        <w:rPr>
          <w:rFonts w:asciiTheme="minorHAnsi" w:hAnsiTheme="minorHAnsi" w:cstheme="minorBidi"/>
          <w:color w:val="495965" w:themeColor="text2"/>
          <w:sz w:val="22"/>
          <w:szCs w:val="22"/>
          <w:lang w:val="en-GB"/>
        </w:rPr>
        <w:t>n</w:t>
      </w:r>
      <w:r w:rsidRPr="0020654B">
        <w:rPr>
          <w:rFonts w:asciiTheme="minorHAnsi" w:hAnsiTheme="minorHAnsi" w:cstheme="minorBidi"/>
          <w:color w:val="495965" w:themeColor="text2"/>
          <w:sz w:val="22"/>
          <w:szCs w:val="22"/>
          <w:lang w:val="en-GB"/>
        </w:rPr>
        <w:t xml:space="preserve"> support</w:t>
      </w:r>
      <w:r>
        <w:rPr>
          <w:rFonts w:asciiTheme="minorHAnsi" w:hAnsiTheme="minorHAnsi" w:cstheme="minorBidi"/>
          <w:color w:val="495965" w:themeColor="text2"/>
          <w:sz w:val="22"/>
          <w:szCs w:val="22"/>
          <w:lang w:val="en-GB"/>
        </w:rPr>
        <w:t xml:space="preserve"> for</w:t>
      </w:r>
      <w:r w:rsidRPr="0020654B">
        <w:rPr>
          <w:rFonts w:asciiTheme="minorHAnsi" w:hAnsiTheme="minorHAnsi" w:cstheme="minorBidi"/>
          <w:color w:val="495965" w:themeColor="text2"/>
          <w:sz w:val="22"/>
          <w:szCs w:val="22"/>
          <w:lang w:val="en-GB"/>
        </w:rPr>
        <w:t xml:space="preserve"> a skilled health workforce </w:t>
      </w:r>
      <w:r w:rsidR="0062229A">
        <w:rPr>
          <w:rFonts w:asciiTheme="minorHAnsi" w:hAnsiTheme="minorHAnsi" w:cstheme="minorBidi"/>
          <w:color w:val="495965" w:themeColor="text2"/>
          <w:sz w:val="22"/>
          <w:szCs w:val="22"/>
          <w:lang w:val="en-GB"/>
        </w:rPr>
        <w:t xml:space="preserve">in 2017 included </w:t>
      </w:r>
      <w:r w:rsidRPr="0020654B">
        <w:rPr>
          <w:rFonts w:asciiTheme="minorHAnsi" w:hAnsiTheme="minorHAnsi" w:cstheme="minorBidi"/>
          <w:color w:val="495965" w:themeColor="text2"/>
          <w:sz w:val="22"/>
          <w:szCs w:val="22"/>
          <w:lang w:val="en-GB"/>
        </w:rPr>
        <w:t xml:space="preserve">scholarships </w:t>
      </w:r>
      <w:r>
        <w:rPr>
          <w:rFonts w:asciiTheme="minorHAnsi" w:hAnsiTheme="minorHAnsi" w:cstheme="minorBidi"/>
          <w:color w:val="495965" w:themeColor="text2"/>
          <w:sz w:val="22"/>
          <w:szCs w:val="22"/>
          <w:lang w:val="en-GB"/>
        </w:rPr>
        <w:t>for</w:t>
      </w:r>
      <w:r w:rsidRPr="0020654B">
        <w:rPr>
          <w:rFonts w:asciiTheme="minorHAnsi" w:hAnsiTheme="minorHAnsi" w:cstheme="minorBidi"/>
          <w:color w:val="495965" w:themeColor="text2"/>
          <w:sz w:val="22"/>
          <w:szCs w:val="22"/>
          <w:lang w:val="en-GB"/>
        </w:rPr>
        <w:t xml:space="preserve"> t</w:t>
      </w:r>
      <w:r w:rsidR="00D84C3E">
        <w:rPr>
          <w:rFonts w:asciiTheme="minorHAnsi" w:hAnsiTheme="minorHAnsi" w:cstheme="minorBidi"/>
          <w:color w:val="495965" w:themeColor="text2"/>
          <w:sz w:val="22"/>
          <w:szCs w:val="22"/>
          <w:lang w:val="en-GB"/>
        </w:rPr>
        <w:t>he training of 25 nurses and 51 </w:t>
      </w:r>
      <w:r w:rsidRPr="0020654B">
        <w:rPr>
          <w:rFonts w:asciiTheme="minorHAnsi" w:hAnsiTheme="minorHAnsi" w:cstheme="minorBidi"/>
          <w:color w:val="495965" w:themeColor="text2"/>
          <w:sz w:val="22"/>
          <w:szCs w:val="22"/>
          <w:lang w:val="en-GB"/>
        </w:rPr>
        <w:t xml:space="preserve">midwives </w:t>
      </w:r>
      <w:r>
        <w:rPr>
          <w:rFonts w:asciiTheme="minorHAnsi" w:hAnsiTheme="minorHAnsi" w:cstheme="minorBidi"/>
          <w:color w:val="495965" w:themeColor="text2"/>
          <w:sz w:val="22"/>
          <w:szCs w:val="22"/>
          <w:lang w:val="en-GB"/>
        </w:rPr>
        <w:t>in</w:t>
      </w:r>
      <w:r w:rsidRPr="0020654B">
        <w:rPr>
          <w:rFonts w:asciiTheme="minorHAnsi" w:hAnsiTheme="minorHAnsi" w:cstheme="minorBidi"/>
          <w:color w:val="495965" w:themeColor="text2"/>
          <w:sz w:val="22"/>
          <w:szCs w:val="22"/>
          <w:lang w:val="en-GB"/>
        </w:rPr>
        <w:t xml:space="preserve"> Papua New Guinea, and 20 Australia Awards scholarships for advanced health training in Australia</w:t>
      </w:r>
      <w:r w:rsidR="0062229A">
        <w:rPr>
          <w:rFonts w:asciiTheme="minorHAnsi" w:hAnsiTheme="minorHAnsi" w:cstheme="minorBidi"/>
          <w:color w:val="495965" w:themeColor="text2"/>
          <w:sz w:val="22"/>
          <w:szCs w:val="22"/>
          <w:lang w:val="en-GB"/>
        </w:rPr>
        <w:t xml:space="preserve"> – but many more skilled nurses and midwives are needed, and this will remain an important area for future work</w:t>
      </w:r>
      <w:r>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In 2017-18, a new Clinical Support Program was introduced to increase the capacity of </w:t>
      </w:r>
      <w:r w:rsidRPr="0020654B">
        <w:rPr>
          <w:rFonts w:asciiTheme="minorHAnsi" w:hAnsiTheme="minorHAnsi" w:cstheme="minorBidi"/>
          <w:color w:val="495965" w:themeColor="text2"/>
          <w:sz w:val="22"/>
          <w:szCs w:val="22"/>
          <w:lang w:val="en-GB"/>
        </w:rPr>
        <w:lastRenderedPageBreak/>
        <w:t xml:space="preserve">ANGAU Memorial Hospital, Port Moresby General Hospital and the University of Papua New Guinea’s School of Medicine and Health Sciences. </w:t>
      </w:r>
    </w:p>
    <w:p w14:paraId="1EFC1D1C" w14:textId="17B4691D" w:rsidR="00A73D98" w:rsidRDefault="0062229A" w:rsidP="00D84C3E">
      <w:pPr>
        <w:spacing w:line="240" w:lineRule="auto"/>
      </w:pPr>
      <w:r>
        <w:t xml:space="preserve">Australian officials and advisors also provided input to the Government’s health policy discussions on a range of matters </w:t>
      </w:r>
      <w:r w:rsidR="00E23082" w:rsidRPr="005C549C">
        <w:t xml:space="preserve">to support </w:t>
      </w:r>
      <w:r w:rsidR="00E23082" w:rsidRPr="0020654B">
        <w:t>Papua Ne</w:t>
      </w:r>
      <w:r w:rsidR="00E23082">
        <w:t xml:space="preserve">w Guinea’s </w:t>
      </w:r>
      <w:r w:rsidR="00E23082" w:rsidRPr="005C549C">
        <w:t xml:space="preserve">access </w:t>
      </w:r>
      <w:r w:rsidR="00E23082">
        <w:t xml:space="preserve">to </w:t>
      </w:r>
      <w:r w:rsidR="00E23082" w:rsidRPr="005C549C">
        <w:t xml:space="preserve">a new USD300 million loan from the ADB, plus a health project loan valued at USD95 million. </w:t>
      </w:r>
    </w:p>
    <w:p w14:paraId="48F57970" w14:textId="0AD36EEC" w:rsidR="000600CE" w:rsidRDefault="0020654B" w:rsidP="00A73D98">
      <w:pPr>
        <w:rPr>
          <w:i/>
        </w:rPr>
      </w:pPr>
      <w:r w:rsidRPr="0020654B">
        <w:rPr>
          <w:i/>
        </w:rPr>
        <w:t>Supporting sexual, reproductive and child health</w:t>
      </w:r>
    </w:p>
    <w:p w14:paraId="0C40955B" w14:textId="0594C572" w:rsidR="00A73D98" w:rsidRPr="006B3485" w:rsidRDefault="00A73D98" w:rsidP="00D84C3E">
      <w:pPr>
        <w:pStyle w:val="Default"/>
        <w:spacing w:after="120"/>
        <w:rPr>
          <w:rFonts w:asciiTheme="minorHAnsi" w:hAnsiTheme="minorHAnsi" w:cstheme="minorBidi"/>
          <w:i/>
          <w:color w:val="495965" w:themeColor="text2"/>
          <w:sz w:val="22"/>
          <w:szCs w:val="22"/>
          <w:lang w:val="en-GB"/>
        </w:rPr>
      </w:pPr>
      <w:r w:rsidRPr="0020654B">
        <w:rPr>
          <w:rFonts w:asciiTheme="minorHAnsi" w:hAnsiTheme="minorHAnsi" w:cstheme="minorBidi"/>
          <w:color w:val="495965" w:themeColor="text2"/>
          <w:sz w:val="22"/>
          <w:szCs w:val="22"/>
          <w:lang w:val="en-GB"/>
        </w:rPr>
        <w:t>In 2017- 18</w:t>
      </w:r>
      <w:r>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w:t>
      </w:r>
      <w:r>
        <w:rPr>
          <w:rFonts w:asciiTheme="minorHAnsi" w:hAnsiTheme="minorHAnsi" w:cstheme="minorBidi"/>
          <w:color w:val="495965" w:themeColor="text2"/>
          <w:sz w:val="22"/>
          <w:szCs w:val="22"/>
          <w:lang w:val="en-GB"/>
        </w:rPr>
        <w:t xml:space="preserve">new </w:t>
      </w:r>
      <w:r w:rsidRPr="0020654B">
        <w:rPr>
          <w:rFonts w:asciiTheme="minorHAnsi" w:hAnsiTheme="minorHAnsi" w:cstheme="minorBidi"/>
          <w:color w:val="495965" w:themeColor="text2"/>
          <w:sz w:val="22"/>
          <w:szCs w:val="22"/>
          <w:lang w:val="en-GB"/>
        </w:rPr>
        <w:t>Australia</w:t>
      </w:r>
      <w:r>
        <w:rPr>
          <w:rFonts w:asciiTheme="minorHAnsi" w:hAnsiTheme="minorHAnsi" w:cstheme="minorBidi"/>
          <w:color w:val="495965" w:themeColor="text2"/>
          <w:sz w:val="22"/>
          <w:szCs w:val="22"/>
          <w:lang w:val="en-GB"/>
        </w:rPr>
        <w:t>n</w:t>
      </w:r>
      <w:r w:rsidRPr="0020654B">
        <w:rPr>
          <w:rFonts w:asciiTheme="minorHAnsi" w:hAnsiTheme="minorHAnsi" w:cstheme="minorBidi"/>
          <w:color w:val="495965" w:themeColor="text2"/>
          <w:sz w:val="22"/>
          <w:szCs w:val="22"/>
          <w:lang w:val="en-GB"/>
        </w:rPr>
        <w:t xml:space="preserve"> health grant</w:t>
      </w:r>
      <w:r>
        <w:rPr>
          <w:rFonts w:asciiTheme="minorHAnsi" w:hAnsiTheme="minorHAnsi" w:cstheme="minorBidi"/>
          <w:color w:val="495965" w:themeColor="text2"/>
          <w:sz w:val="22"/>
          <w:szCs w:val="22"/>
          <w:lang w:val="en-GB"/>
        </w:rPr>
        <w:t xml:space="preserve">s commenced </w:t>
      </w:r>
      <w:r w:rsidRPr="0020654B">
        <w:rPr>
          <w:rFonts w:asciiTheme="minorHAnsi" w:hAnsiTheme="minorHAnsi" w:cstheme="minorBidi"/>
          <w:color w:val="495965" w:themeColor="text2"/>
          <w:sz w:val="22"/>
          <w:szCs w:val="22"/>
          <w:lang w:val="en-GB"/>
        </w:rPr>
        <w:t>under the PNG Partnerships Fund (PPF)</w:t>
      </w:r>
      <w:r>
        <w:rPr>
          <w:rStyle w:val="FootnoteReference"/>
          <w:rFonts w:asciiTheme="minorHAnsi" w:hAnsiTheme="minorHAnsi" w:cstheme="minorBidi"/>
          <w:color w:val="495965" w:themeColor="text2"/>
          <w:sz w:val="22"/>
          <w:szCs w:val="22"/>
          <w:lang w:val="en-GB"/>
        </w:rPr>
        <w:footnoteReference w:id="2"/>
      </w:r>
      <w:r>
        <w:rPr>
          <w:rFonts w:asciiTheme="minorHAnsi" w:hAnsiTheme="minorHAnsi" w:cstheme="minorBidi"/>
          <w:color w:val="495965" w:themeColor="text2"/>
          <w:sz w:val="22"/>
          <w:szCs w:val="22"/>
          <w:lang w:val="en-GB"/>
        </w:rPr>
        <w:t>.</w:t>
      </w:r>
      <w:r w:rsidR="00FF4BD9">
        <w:rPr>
          <w:rStyle w:val="CommentReference"/>
          <w:rFonts w:asciiTheme="minorHAnsi" w:hAnsiTheme="minorHAnsi" w:cstheme="minorBidi"/>
          <w:color w:val="auto"/>
        </w:rPr>
        <w:t xml:space="preserve"> </w:t>
      </w:r>
      <w:r>
        <w:rPr>
          <w:rFonts w:asciiTheme="minorHAnsi" w:hAnsiTheme="minorHAnsi" w:cstheme="minorBidi"/>
          <w:color w:val="495965" w:themeColor="text2"/>
          <w:sz w:val="22"/>
          <w:szCs w:val="22"/>
          <w:lang w:val="en-GB"/>
        </w:rPr>
        <w:t>A</w:t>
      </w:r>
      <w:r w:rsidRPr="0020654B">
        <w:rPr>
          <w:rFonts w:asciiTheme="minorHAnsi" w:hAnsiTheme="minorHAnsi" w:cstheme="minorBidi"/>
          <w:color w:val="495965" w:themeColor="text2"/>
          <w:sz w:val="22"/>
          <w:szCs w:val="22"/>
          <w:lang w:val="en-GB"/>
        </w:rPr>
        <w:t xml:space="preserve"> consortium led by the Papua Ne</w:t>
      </w:r>
      <w:r>
        <w:rPr>
          <w:rFonts w:asciiTheme="minorHAnsi" w:hAnsiTheme="minorHAnsi" w:cstheme="minorBidi"/>
          <w:color w:val="495965" w:themeColor="text2"/>
          <w:sz w:val="22"/>
          <w:szCs w:val="22"/>
          <w:lang w:val="en-GB"/>
        </w:rPr>
        <w:t xml:space="preserve">w Guinea </w:t>
      </w:r>
      <w:r w:rsidRPr="0020654B">
        <w:rPr>
          <w:rFonts w:asciiTheme="minorHAnsi" w:hAnsiTheme="minorHAnsi" w:cstheme="minorBidi"/>
          <w:color w:val="495965" w:themeColor="text2"/>
          <w:sz w:val="22"/>
          <w:szCs w:val="22"/>
          <w:lang w:val="en-GB"/>
        </w:rPr>
        <w:t>Catholic Church Health Services</w:t>
      </w:r>
      <w:r>
        <w:rPr>
          <w:rStyle w:val="FootnoteReference"/>
          <w:rFonts w:asciiTheme="minorHAnsi" w:hAnsiTheme="minorHAnsi" w:cstheme="minorBidi"/>
          <w:color w:val="495965" w:themeColor="text2"/>
          <w:sz w:val="22"/>
          <w:szCs w:val="22"/>
          <w:lang w:val="en-GB"/>
        </w:rPr>
        <w:footnoteReference w:id="3"/>
      </w:r>
      <w:r w:rsidRPr="0020654B">
        <w:rPr>
          <w:rFonts w:asciiTheme="minorHAnsi" w:hAnsiTheme="minorHAnsi" w:cstheme="minorBidi"/>
          <w:color w:val="495965" w:themeColor="text2"/>
          <w:sz w:val="22"/>
          <w:szCs w:val="22"/>
          <w:lang w:val="en-GB"/>
        </w:rPr>
        <w:t xml:space="preserve"> ($12.6 million</w:t>
      </w:r>
      <w:r>
        <w:rPr>
          <w:rFonts w:asciiTheme="minorHAnsi" w:hAnsiTheme="minorHAnsi" w:cstheme="minorBidi"/>
          <w:color w:val="495965" w:themeColor="text2"/>
          <w:sz w:val="22"/>
          <w:szCs w:val="22"/>
          <w:lang w:val="en-GB"/>
        </w:rPr>
        <w:t>, 2017-20</w:t>
      </w:r>
      <w:r w:rsidRPr="0020654B">
        <w:rPr>
          <w:rFonts w:asciiTheme="minorHAnsi" w:hAnsiTheme="minorHAnsi" w:cstheme="minorBidi"/>
          <w:color w:val="495965" w:themeColor="text2"/>
          <w:sz w:val="22"/>
          <w:szCs w:val="22"/>
          <w:lang w:val="en-GB"/>
        </w:rPr>
        <w:t>) is working with Government and church providers across 19 provinces to provide sexual and reproductive health services.</w:t>
      </w:r>
      <w:r>
        <w:rPr>
          <w:rFonts w:asciiTheme="minorHAnsi" w:hAnsiTheme="minorHAnsi" w:cstheme="minorBidi"/>
          <w:color w:val="495965" w:themeColor="text2"/>
          <w:sz w:val="22"/>
          <w:szCs w:val="22"/>
          <w:lang w:val="en-GB"/>
        </w:rPr>
        <w:t xml:space="preserve"> The consortium </w:t>
      </w:r>
      <w:r w:rsidRPr="0020654B">
        <w:rPr>
          <w:rFonts w:asciiTheme="minorHAnsi" w:hAnsiTheme="minorHAnsi" w:cstheme="minorBidi"/>
          <w:color w:val="495965" w:themeColor="text2"/>
          <w:sz w:val="22"/>
          <w:szCs w:val="22"/>
          <w:lang w:val="en-GB"/>
        </w:rPr>
        <w:t>placed 1</w:t>
      </w:r>
      <w:r w:rsidR="00C7273F">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102 additional people on anti-retroviral medication and treated </w:t>
      </w:r>
      <w:r w:rsidR="005F7439">
        <w:rPr>
          <w:rFonts w:asciiTheme="minorHAnsi" w:hAnsiTheme="minorHAnsi" w:cstheme="minorBidi"/>
          <w:color w:val="495965" w:themeColor="text2"/>
          <w:sz w:val="22"/>
          <w:szCs w:val="22"/>
          <w:lang w:val="en-GB"/>
        </w:rPr>
        <w:t>over 2,700</w:t>
      </w:r>
      <w:r w:rsidRPr="0020654B">
        <w:rPr>
          <w:rFonts w:asciiTheme="minorHAnsi" w:hAnsiTheme="minorHAnsi" w:cstheme="minorBidi"/>
          <w:color w:val="495965" w:themeColor="text2"/>
          <w:sz w:val="22"/>
          <w:szCs w:val="22"/>
          <w:lang w:val="en-GB"/>
        </w:rPr>
        <w:t xml:space="preserve"> people for sexually transmitted infections. </w:t>
      </w:r>
      <w:r>
        <w:rPr>
          <w:rFonts w:asciiTheme="minorHAnsi" w:hAnsiTheme="minorHAnsi" w:cstheme="minorBidi"/>
          <w:color w:val="495965" w:themeColor="text2"/>
          <w:sz w:val="22"/>
          <w:szCs w:val="22"/>
          <w:lang w:val="en-GB"/>
        </w:rPr>
        <w:t xml:space="preserve">A consortium led by </w:t>
      </w:r>
      <w:r w:rsidRPr="0020654B">
        <w:rPr>
          <w:rFonts w:asciiTheme="minorHAnsi" w:hAnsiTheme="minorHAnsi" w:cstheme="minorBidi"/>
          <w:color w:val="495965" w:themeColor="text2"/>
          <w:sz w:val="22"/>
          <w:szCs w:val="22"/>
          <w:lang w:val="en-GB"/>
        </w:rPr>
        <w:t>Marie Stopes</w:t>
      </w:r>
      <w:r>
        <w:rPr>
          <w:rFonts w:asciiTheme="minorHAnsi" w:hAnsiTheme="minorHAnsi" w:cstheme="minorBidi"/>
          <w:color w:val="495965" w:themeColor="text2"/>
          <w:sz w:val="22"/>
          <w:szCs w:val="22"/>
          <w:lang w:val="en-GB"/>
        </w:rPr>
        <w:t xml:space="preserve"> </w:t>
      </w:r>
      <w:r w:rsidRPr="0020654B">
        <w:rPr>
          <w:rFonts w:asciiTheme="minorHAnsi" w:hAnsiTheme="minorHAnsi" w:cstheme="minorBidi"/>
          <w:color w:val="495965" w:themeColor="text2"/>
          <w:sz w:val="22"/>
          <w:szCs w:val="22"/>
          <w:lang w:val="en-GB"/>
        </w:rPr>
        <w:t>($23 million</w:t>
      </w:r>
      <w:r>
        <w:rPr>
          <w:rFonts w:asciiTheme="minorHAnsi" w:hAnsiTheme="minorHAnsi" w:cstheme="minorBidi"/>
          <w:color w:val="495965" w:themeColor="text2"/>
          <w:sz w:val="22"/>
          <w:szCs w:val="22"/>
          <w:lang w:val="en-GB"/>
        </w:rPr>
        <w:t>, 2017-20</w:t>
      </w:r>
      <w:r w:rsidRPr="0020654B">
        <w:rPr>
          <w:rFonts w:asciiTheme="minorHAnsi" w:hAnsiTheme="minorHAnsi" w:cstheme="minorBidi"/>
          <w:color w:val="495965" w:themeColor="text2"/>
          <w:sz w:val="22"/>
          <w:szCs w:val="22"/>
          <w:lang w:val="en-GB"/>
        </w:rPr>
        <w:t>) is working to increase the coverage of high quality reproductive services such as family planning, ante and post-natal care, supervised deliveries, and infant and child nutrition and immunisation</w:t>
      </w:r>
      <w:r>
        <w:rPr>
          <w:rFonts w:asciiTheme="minorHAnsi" w:hAnsiTheme="minorHAnsi" w:cstheme="minorBidi"/>
          <w:color w:val="495965" w:themeColor="text2"/>
          <w:sz w:val="22"/>
          <w:szCs w:val="22"/>
          <w:lang w:val="en-GB"/>
        </w:rPr>
        <w:t xml:space="preserve"> </w:t>
      </w:r>
      <w:r w:rsidR="00D84C3E">
        <w:rPr>
          <w:rFonts w:asciiTheme="minorHAnsi" w:hAnsiTheme="minorHAnsi" w:cstheme="minorBidi"/>
          <w:color w:val="495965" w:themeColor="text2"/>
          <w:sz w:val="22"/>
          <w:szCs w:val="22"/>
          <w:lang w:val="en-GB"/>
        </w:rPr>
        <w:t>across 14 </w:t>
      </w:r>
      <w:r w:rsidRPr="0020654B">
        <w:rPr>
          <w:rFonts w:asciiTheme="minorHAnsi" w:hAnsiTheme="minorHAnsi" w:cstheme="minorBidi"/>
          <w:color w:val="495965" w:themeColor="text2"/>
          <w:sz w:val="22"/>
          <w:szCs w:val="22"/>
          <w:lang w:val="en-GB"/>
        </w:rPr>
        <w:t>provinces.</w:t>
      </w:r>
      <w:r>
        <w:rPr>
          <w:rFonts w:asciiTheme="minorHAnsi" w:hAnsiTheme="minorHAnsi" w:cstheme="minorBidi"/>
          <w:color w:val="495965" w:themeColor="text2"/>
          <w:sz w:val="22"/>
          <w:szCs w:val="22"/>
          <w:lang w:val="en-GB"/>
        </w:rPr>
        <w:t xml:space="preserve"> </w:t>
      </w:r>
      <w:r w:rsidR="00C7273F">
        <w:rPr>
          <w:rFonts w:asciiTheme="minorHAnsi" w:hAnsiTheme="minorHAnsi" w:cstheme="minorBidi"/>
          <w:color w:val="495965" w:themeColor="text2"/>
          <w:sz w:val="22"/>
          <w:szCs w:val="22"/>
          <w:lang w:val="en-GB"/>
        </w:rPr>
        <w:t xml:space="preserve">Since 2015, </w:t>
      </w:r>
      <w:r w:rsidRPr="0020654B">
        <w:rPr>
          <w:rFonts w:asciiTheme="minorHAnsi" w:hAnsiTheme="minorHAnsi" w:cstheme="minorBidi"/>
          <w:color w:val="495965" w:themeColor="text2"/>
          <w:sz w:val="22"/>
          <w:szCs w:val="22"/>
          <w:lang w:val="en-GB"/>
        </w:rPr>
        <w:t>Australia</w:t>
      </w:r>
      <w:r>
        <w:rPr>
          <w:rFonts w:asciiTheme="minorHAnsi" w:hAnsiTheme="minorHAnsi" w:cstheme="minorBidi"/>
          <w:color w:val="495965" w:themeColor="text2"/>
          <w:sz w:val="22"/>
          <w:szCs w:val="22"/>
          <w:lang w:val="en-GB"/>
        </w:rPr>
        <w:t>n</w:t>
      </w:r>
      <w:r w:rsidRPr="0020654B">
        <w:rPr>
          <w:rFonts w:asciiTheme="minorHAnsi" w:hAnsiTheme="minorHAnsi" w:cstheme="minorBidi"/>
          <w:color w:val="495965" w:themeColor="text2"/>
          <w:sz w:val="22"/>
          <w:szCs w:val="22"/>
          <w:lang w:val="en-GB"/>
        </w:rPr>
        <w:t xml:space="preserve"> support</w:t>
      </w:r>
      <w:r>
        <w:rPr>
          <w:rFonts w:asciiTheme="minorHAnsi" w:hAnsiTheme="minorHAnsi" w:cstheme="minorBidi"/>
          <w:color w:val="495965" w:themeColor="text2"/>
          <w:sz w:val="22"/>
          <w:szCs w:val="22"/>
          <w:lang w:val="en-GB"/>
        </w:rPr>
        <w:t xml:space="preserve"> for</w:t>
      </w:r>
      <w:r w:rsidRPr="0020654B">
        <w:rPr>
          <w:rFonts w:asciiTheme="minorHAnsi" w:hAnsiTheme="minorHAnsi" w:cstheme="minorBidi"/>
          <w:color w:val="495965" w:themeColor="text2"/>
          <w:sz w:val="22"/>
          <w:szCs w:val="22"/>
          <w:lang w:val="en-GB"/>
        </w:rPr>
        <w:t xml:space="preserve"> UNICEF’s </w:t>
      </w:r>
      <w:r>
        <w:rPr>
          <w:rFonts w:asciiTheme="minorHAnsi" w:hAnsiTheme="minorHAnsi" w:cstheme="minorBidi"/>
          <w:color w:val="495965" w:themeColor="text2"/>
          <w:sz w:val="22"/>
          <w:szCs w:val="22"/>
          <w:lang w:val="en-GB"/>
        </w:rPr>
        <w:t>E</w:t>
      </w:r>
      <w:r w:rsidRPr="0020654B">
        <w:rPr>
          <w:rFonts w:asciiTheme="minorHAnsi" w:hAnsiTheme="minorHAnsi" w:cstheme="minorBidi"/>
          <w:color w:val="495965" w:themeColor="text2"/>
          <w:sz w:val="22"/>
          <w:szCs w:val="22"/>
          <w:lang w:val="en-GB"/>
        </w:rPr>
        <w:t xml:space="preserve">arly </w:t>
      </w:r>
      <w:r>
        <w:rPr>
          <w:rFonts w:asciiTheme="minorHAnsi" w:hAnsiTheme="minorHAnsi" w:cstheme="minorBidi"/>
          <w:color w:val="495965" w:themeColor="text2"/>
          <w:sz w:val="22"/>
          <w:szCs w:val="22"/>
          <w:lang w:val="en-GB"/>
        </w:rPr>
        <w:t>E</w:t>
      </w:r>
      <w:r w:rsidRPr="0020654B">
        <w:rPr>
          <w:rFonts w:asciiTheme="minorHAnsi" w:hAnsiTheme="minorHAnsi" w:cstheme="minorBidi"/>
          <w:color w:val="495965" w:themeColor="text2"/>
          <w:sz w:val="22"/>
          <w:szCs w:val="22"/>
          <w:lang w:val="en-GB"/>
        </w:rPr>
        <w:t>ssential New-born Care</w:t>
      </w:r>
      <w:r>
        <w:rPr>
          <w:rFonts w:asciiTheme="minorHAnsi" w:hAnsiTheme="minorHAnsi" w:cstheme="minorBidi"/>
          <w:color w:val="495965" w:themeColor="text2"/>
          <w:sz w:val="22"/>
          <w:szCs w:val="22"/>
          <w:lang w:val="en-GB"/>
        </w:rPr>
        <w:t xml:space="preserve"> program, benefited </w:t>
      </w:r>
      <w:r w:rsidRPr="0020654B">
        <w:rPr>
          <w:rFonts w:asciiTheme="minorHAnsi" w:hAnsiTheme="minorHAnsi" w:cstheme="minorBidi"/>
          <w:color w:val="495965" w:themeColor="text2"/>
          <w:sz w:val="22"/>
          <w:szCs w:val="22"/>
          <w:lang w:val="en-GB"/>
        </w:rPr>
        <w:t>an estimated 104,000 new-borns</w:t>
      </w:r>
      <w:r>
        <w:rPr>
          <w:rFonts w:asciiTheme="minorHAnsi" w:hAnsiTheme="minorHAnsi" w:cstheme="minorBidi"/>
          <w:color w:val="495965" w:themeColor="text2"/>
          <w:sz w:val="22"/>
          <w:szCs w:val="22"/>
          <w:lang w:val="en-GB"/>
        </w:rPr>
        <w:t xml:space="preserve"> through training </w:t>
      </w:r>
      <w:r w:rsidRPr="0020654B">
        <w:rPr>
          <w:rFonts w:asciiTheme="minorHAnsi" w:hAnsiTheme="minorHAnsi" w:cstheme="minorBidi"/>
          <w:color w:val="495965" w:themeColor="text2"/>
          <w:sz w:val="22"/>
          <w:szCs w:val="22"/>
          <w:lang w:val="en-GB"/>
        </w:rPr>
        <w:t xml:space="preserve">nurses, midwives, community health workers in 195 health facilities across 11 provinces. </w:t>
      </w:r>
      <w:r w:rsidR="006B3485" w:rsidRPr="00F218D7">
        <w:rPr>
          <w:rFonts w:asciiTheme="minorHAnsi" w:hAnsiTheme="minorHAnsi" w:cstheme="minorBidi"/>
          <w:color w:val="495965" w:themeColor="text2"/>
          <w:sz w:val="22"/>
          <w:szCs w:val="22"/>
          <w:lang w:val="en-GB"/>
        </w:rPr>
        <w:t>Australia also supports sexual and reproductive health programming through</w:t>
      </w:r>
      <w:r w:rsidR="00F218D7">
        <w:rPr>
          <w:rFonts w:asciiTheme="minorHAnsi" w:hAnsiTheme="minorHAnsi" w:cstheme="minorBidi"/>
          <w:color w:val="495965" w:themeColor="text2"/>
          <w:sz w:val="22"/>
          <w:szCs w:val="22"/>
          <w:lang w:val="en-GB"/>
        </w:rPr>
        <w:t xml:space="preserve"> many</w:t>
      </w:r>
      <w:r w:rsidR="006B3485" w:rsidRPr="00F218D7">
        <w:rPr>
          <w:rFonts w:asciiTheme="minorHAnsi" w:hAnsiTheme="minorHAnsi" w:cstheme="minorBidi"/>
          <w:color w:val="495965" w:themeColor="text2"/>
          <w:sz w:val="22"/>
          <w:szCs w:val="22"/>
          <w:lang w:val="en-GB"/>
        </w:rPr>
        <w:t xml:space="preserve"> </w:t>
      </w:r>
      <w:r w:rsidR="006B3485" w:rsidRPr="00F218D7">
        <w:rPr>
          <w:rFonts w:asciiTheme="minorHAnsi" w:hAnsiTheme="minorHAnsi" w:cstheme="minorBidi"/>
          <w:i/>
          <w:color w:val="495965" w:themeColor="text2"/>
          <w:sz w:val="22"/>
          <w:szCs w:val="22"/>
          <w:lang w:val="en-GB"/>
        </w:rPr>
        <w:t>Pacific Women</w:t>
      </w:r>
      <w:r w:rsidR="00F218D7">
        <w:rPr>
          <w:rFonts w:asciiTheme="minorHAnsi" w:hAnsiTheme="minorHAnsi" w:cstheme="minorBidi"/>
          <w:i/>
          <w:color w:val="495965" w:themeColor="text2"/>
          <w:sz w:val="22"/>
          <w:szCs w:val="22"/>
          <w:lang w:val="en-GB"/>
        </w:rPr>
        <w:t xml:space="preserve"> </w:t>
      </w:r>
      <w:r w:rsidR="00F218D7" w:rsidRPr="00F218D7">
        <w:rPr>
          <w:rFonts w:asciiTheme="minorHAnsi" w:hAnsiTheme="minorHAnsi" w:cstheme="minorBidi"/>
          <w:color w:val="495965" w:themeColor="text2"/>
          <w:sz w:val="22"/>
          <w:szCs w:val="22"/>
          <w:lang w:val="en-GB"/>
        </w:rPr>
        <w:t>projects</w:t>
      </w:r>
      <w:r w:rsidR="007253AF">
        <w:rPr>
          <w:rFonts w:asciiTheme="minorHAnsi" w:hAnsiTheme="minorHAnsi" w:cstheme="minorBidi"/>
          <w:color w:val="495965" w:themeColor="text2"/>
          <w:sz w:val="22"/>
          <w:szCs w:val="22"/>
          <w:lang w:val="en-GB"/>
        </w:rPr>
        <w:t xml:space="preserve"> throughout Papua New Guinea</w:t>
      </w:r>
      <w:r w:rsidR="00F218D7" w:rsidRPr="00F218D7">
        <w:rPr>
          <w:rFonts w:asciiTheme="minorHAnsi" w:hAnsiTheme="minorHAnsi" w:cstheme="minorBidi"/>
          <w:color w:val="495965" w:themeColor="text2"/>
          <w:sz w:val="22"/>
          <w:szCs w:val="22"/>
          <w:lang w:val="en-GB"/>
        </w:rPr>
        <w:t>.</w:t>
      </w:r>
      <w:r w:rsidR="00F218D7">
        <w:rPr>
          <w:rFonts w:asciiTheme="minorHAnsi" w:hAnsiTheme="minorHAnsi" w:cstheme="minorBidi"/>
          <w:i/>
          <w:color w:val="495965" w:themeColor="text2"/>
          <w:sz w:val="22"/>
          <w:szCs w:val="22"/>
          <w:lang w:val="en-GB"/>
        </w:rPr>
        <w:t xml:space="preserve"> </w:t>
      </w:r>
    </w:p>
    <w:p w14:paraId="24AE8B78" w14:textId="77777777" w:rsidR="0020654B" w:rsidRDefault="0020654B" w:rsidP="00C95BFC">
      <w:pPr>
        <w:rPr>
          <w:i/>
          <w:highlight w:val="cyan"/>
        </w:rPr>
      </w:pPr>
      <w:r w:rsidRPr="0020654B">
        <w:rPr>
          <w:i/>
        </w:rPr>
        <w:t>Health security and communicable diseases</w:t>
      </w:r>
      <w:r w:rsidRPr="0020654B">
        <w:rPr>
          <w:i/>
          <w:highlight w:val="cyan"/>
        </w:rPr>
        <w:t xml:space="preserve"> </w:t>
      </w:r>
    </w:p>
    <w:p w14:paraId="5729320A" w14:textId="74634FA4" w:rsidR="00035DFD" w:rsidRPr="0020654B" w:rsidRDefault="00035DFD" w:rsidP="00D84C3E">
      <w:pPr>
        <w:pStyle w:val="Default"/>
        <w:spacing w:after="120"/>
        <w:rPr>
          <w:rFonts w:asciiTheme="minorHAnsi" w:hAnsiTheme="minorHAnsi" w:cstheme="minorBidi"/>
          <w:color w:val="495965" w:themeColor="text2"/>
          <w:sz w:val="22"/>
          <w:szCs w:val="22"/>
          <w:lang w:val="en-GB"/>
        </w:rPr>
      </w:pPr>
      <w:r w:rsidRPr="0020654B">
        <w:rPr>
          <w:rFonts w:asciiTheme="minorHAnsi" w:hAnsiTheme="minorHAnsi" w:cstheme="minorBidi"/>
          <w:color w:val="495965" w:themeColor="text2"/>
          <w:sz w:val="22"/>
          <w:szCs w:val="22"/>
          <w:lang w:val="en-GB"/>
        </w:rPr>
        <w:t xml:space="preserve">Communicable diseases </w:t>
      </w:r>
      <w:r>
        <w:rPr>
          <w:rFonts w:asciiTheme="minorHAnsi" w:hAnsiTheme="minorHAnsi" w:cstheme="minorBidi"/>
          <w:color w:val="495965" w:themeColor="text2"/>
          <w:sz w:val="22"/>
          <w:szCs w:val="22"/>
          <w:lang w:val="en-GB"/>
        </w:rPr>
        <w:t>are</w:t>
      </w:r>
      <w:r w:rsidRPr="0020654B">
        <w:rPr>
          <w:rFonts w:asciiTheme="minorHAnsi" w:hAnsiTheme="minorHAnsi" w:cstheme="minorBidi"/>
          <w:color w:val="495965" w:themeColor="text2"/>
          <w:sz w:val="22"/>
          <w:szCs w:val="22"/>
          <w:lang w:val="en-GB"/>
        </w:rPr>
        <w:t xml:space="preserve"> a major burden for Papua New Guinea, </w:t>
      </w:r>
      <w:r>
        <w:rPr>
          <w:rFonts w:asciiTheme="minorHAnsi" w:hAnsiTheme="minorHAnsi" w:cstheme="minorBidi"/>
          <w:color w:val="495965" w:themeColor="text2"/>
          <w:sz w:val="22"/>
          <w:szCs w:val="22"/>
          <w:lang w:val="en-GB"/>
        </w:rPr>
        <w:t>which</w:t>
      </w:r>
      <w:r w:rsidRPr="0020654B">
        <w:rPr>
          <w:rFonts w:asciiTheme="minorHAnsi" w:hAnsiTheme="minorHAnsi" w:cstheme="minorBidi"/>
          <w:color w:val="495965" w:themeColor="text2"/>
          <w:sz w:val="22"/>
          <w:szCs w:val="22"/>
          <w:lang w:val="en-GB"/>
        </w:rPr>
        <w:t xml:space="preserve"> is vulnerable to the entry of new diseases and resistant forms of existing ones. </w:t>
      </w:r>
      <w:r w:rsidR="00960093">
        <w:rPr>
          <w:rFonts w:asciiTheme="minorHAnsi" w:hAnsiTheme="minorHAnsi" w:cstheme="minorBidi"/>
          <w:color w:val="495965" w:themeColor="text2"/>
          <w:sz w:val="22"/>
          <w:szCs w:val="22"/>
          <w:lang w:val="en-GB"/>
        </w:rPr>
        <w:t xml:space="preserve">Australia </w:t>
      </w:r>
      <w:r w:rsidR="00F009E1">
        <w:rPr>
          <w:rFonts w:asciiTheme="minorHAnsi" w:hAnsiTheme="minorHAnsi" w:cstheme="minorBidi"/>
          <w:color w:val="495965" w:themeColor="text2"/>
          <w:sz w:val="22"/>
          <w:szCs w:val="22"/>
          <w:lang w:val="en-GB"/>
        </w:rPr>
        <w:t>provides support to</w:t>
      </w:r>
      <w:r w:rsidRPr="0020654B">
        <w:rPr>
          <w:rFonts w:asciiTheme="minorHAnsi" w:hAnsiTheme="minorHAnsi" w:cstheme="minorBidi"/>
          <w:color w:val="495965" w:themeColor="text2"/>
          <w:sz w:val="22"/>
          <w:szCs w:val="22"/>
          <w:lang w:val="en-GB"/>
        </w:rPr>
        <w:t xml:space="preserve"> immunisation through our</w:t>
      </w:r>
      <w:r w:rsidR="00960093">
        <w:rPr>
          <w:rFonts w:asciiTheme="minorHAnsi" w:hAnsiTheme="minorHAnsi" w:cstheme="minorBidi"/>
          <w:color w:val="495965" w:themeColor="text2"/>
          <w:sz w:val="22"/>
          <w:szCs w:val="22"/>
          <w:lang w:val="en-GB"/>
        </w:rPr>
        <w:t xml:space="preserve"> targeted</w:t>
      </w:r>
      <w:r w:rsidRPr="0020654B">
        <w:rPr>
          <w:rFonts w:asciiTheme="minorHAnsi" w:hAnsiTheme="minorHAnsi" w:cstheme="minorBidi"/>
          <w:color w:val="495965" w:themeColor="text2"/>
          <w:sz w:val="22"/>
          <w:szCs w:val="22"/>
          <w:lang w:val="en-GB"/>
        </w:rPr>
        <w:t xml:space="preserve"> financial support for, and advocacy to, multilateral organisations like GAVI and UNICEF. </w:t>
      </w:r>
    </w:p>
    <w:p w14:paraId="6271935B" w14:textId="77777777" w:rsidR="00035DFD" w:rsidRPr="0020654B" w:rsidRDefault="00035DFD" w:rsidP="00D84C3E">
      <w:pPr>
        <w:pStyle w:val="Default"/>
        <w:spacing w:after="120"/>
        <w:rPr>
          <w:rFonts w:asciiTheme="minorHAnsi" w:hAnsiTheme="minorHAnsi" w:cstheme="minorBidi"/>
          <w:color w:val="495965" w:themeColor="text2"/>
          <w:sz w:val="22"/>
          <w:szCs w:val="22"/>
          <w:lang w:val="en-GB"/>
        </w:rPr>
      </w:pPr>
      <w:r w:rsidRPr="0020654B">
        <w:rPr>
          <w:rFonts w:asciiTheme="minorHAnsi" w:hAnsiTheme="minorHAnsi" w:cstheme="minorBidi"/>
          <w:color w:val="495965" w:themeColor="text2"/>
          <w:sz w:val="22"/>
          <w:szCs w:val="22"/>
          <w:lang w:val="en-GB"/>
        </w:rPr>
        <w:t>Our TB activities have focused on the high prevalence area of Daru in Western Province. In 2017-18, around 99 per cent of TB patients completed treatment (up from 65 per cent in 2014)</w:t>
      </w:r>
      <w:r w:rsidRPr="00BC1345">
        <w:rPr>
          <w:rFonts w:asciiTheme="minorHAnsi" w:hAnsiTheme="minorHAnsi" w:cstheme="minorBidi"/>
          <w:color w:val="495965" w:themeColor="text2"/>
          <w:vertAlign w:val="superscript"/>
          <w:lang w:val="en-GB"/>
        </w:rPr>
        <w:footnoteReference w:id="4"/>
      </w:r>
      <w:r w:rsidR="00BC1345">
        <w:rPr>
          <w:rFonts w:asciiTheme="minorHAnsi" w:hAnsiTheme="minorHAnsi" w:cstheme="minorBidi"/>
          <w:color w:val="495965" w:themeColor="text2"/>
          <w:sz w:val="22"/>
          <w:szCs w:val="22"/>
          <w:lang w:val="en-GB"/>
        </w:rPr>
        <w:t>.</w:t>
      </w:r>
      <w:r w:rsidRPr="0020654B">
        <w:rPr>
          <w:rFonts w:asciiTheme="minorHAnsi" w:hAnsiTheme="minorHAnsi" w:cstheme="minorBidi"/>
          <w:color w:val="495965" w:themeColor="text2"/>
          <w:sz w:val="22"/>
          <w:szCs w:val="22"/>
          <w:lang w:val="en-GB"/>
        </w:rPr>
        <w:t xml:space="preserve"> </w:t>
      </w:r>
      <w:r>
        <w:rPr>
          <w:rFonts w:asciiTheme="minorHAnsi" w:hAnsiTheme="minorHAnsi" w:cstheme="minorBidi"/>
          <w:color w:val="495965" w:themeColor="text2"/>
          <w:sz w:val="22"/>
          <w:szCs w:val="22"/>
          <w:lang w:val="en-GB"/>
        </w:rPr>
        <w:t>C</w:t>
      </w:r>
      <w:r w:rsidRPr="0020654B">
        <w:rPr>
          <w:rFonts w:asciiTheme="minorHAnsi" w:hAnsiTheme="minorHAnsi" w:cstheme="minorBidi"/>
          <w:color w:val="495965" w:themeColor="text2"/>
          <w:sz w:val="22"/>
          <w:szCs w:val="22"/>
          <w:lang w:val="en-GB"/>
        </w:rPr>
        <w:t>lose collaboration between Australia, the Government of Papua Ne</w:t>
      </w:r>
      <w:r w:rsidR="00D85582">
        <w:rPr>
          <w:rFonts w:asciiTheme="minorHAnsi" w:hAnsiTheme="minorHAnsi" w:cstheme="minorBidi"/>
          <w:color w:val="495965" w:themeColor="text2"/>
          <w:sz w:val="22"/>
          <w:szCs w:val="22"/>
          <w:lang w:val="en-GB"/>
        </w:rPr>
        <w:t xml:space="preserve">w Guinea and the World Bank </w:t>
      </w:r>
      <w:r>
        <w:rPr>
          <w:rFonts w:asciiTheme="minorHAnsi" w:hAnsiTheme="minorHAnsi" w:cstheme="minorBidi"/>
          <w:color w:val="495965" w:themeColor="text2"/>
          <w:sz w:val="22"/>
          <w:szCs w:val="22"/>
          <w:lang w:val="en-GB"/>
        </w:rPr>
        <w:t>has led to</w:t>
      </w:r>
      <w:r w:rsidRPr="0020654B">
        <w:rPr>
          <w:rFonts w:asciiTheme="minorHAnsi" w:hAnsiTheme="minorHAnsi" w:cstheme="minorBidi"/>
          <w:color w:val="495965" w:themeColor="text2"/>
          <w:sz w:val="22"/>
          <w:szCs w:val="22"/>
          <w:lang w:val="en-GB"/>
        </w:rPr>
        <w:t xml:space="preserve"> a new TB program </w:t>
      </w:r>
      <w:r>
        <w:rPr>
          <w:rFonts w:asciiTheme="minorHAnsi" w:hAnsiTheme="minorHAnsi" w:cstheme="minorBidi"/>
          <w:color w:val="495965" w:themeColor="text2"/>
          <w:sz w:val="22"/>
          <w:szCs w:val="22"/>
          <w:lang w:val="en-GB"/>
        </w:rPr>
        <w:t>now</w:t>
      </w:r>
      <w:r w:rsidRPr="0020654B">
        <w:rPr>
          <w:rFonts w:asciiTheme="minorHAnsi" w:hAnsiTheme="minorHAnsi" w:cstheme="minorBidi"/>
          <w:color w:val="495965" w:themeColor="text2"/>
          <w:sz w:val="22"/>
          <w:szCs w:val="22"/>
          <w:lang w:val="en-GB"/>
        </w:rPr>
        <w:t xml:space="preserve"> being rolled out in Port Moresby (another high prevalence area)</w:t>
      </w:r>
      <w:r w:rsidRPr="00BC1345">
        <w:rPr>
          <w:rFonts w:asciiTheme="minorHAnsi" w:hAnsiTheme="minorHAnsi" w:cstheme="minorBidi"/>
          <w:color w:val="495965" w:themeColor="text2"/>
          <w:vertAlign w:val="superscript"/>
          <w:lang w:val="en-GB"/>
        </w:rPr>
        <w:footnoteReference w:id="5"/>
      </w:r>
      <w:r w:rsidRPr="0020654B">
        <w:rPr>
          <w:rFonts w:asciiTheme="minorHAnsi" w:hAnsiTheme="minorHAnsi" w:cstheme="minorBidi"/>
          <w:color w:val="495965" w:themeColor="text2"/>
          <w:sz w:val="22"/>
          <w:szCs w:val="22"/>
          <w:lang w:val="en-GB"/>
        </w:rPr>
        <w:t xml:space="preserve">. </w:t>
      </w:r>
    </w:p>
    <w:p w14:paraId="3A2EEF36" w14:textId="232A6735" w:rsidR="00035DFD" w:rsidRPr="0020654B" w:rsidRDefault="00035DFD" w:rsidP="00D84C3E">
      <w:pPr>
        <w:pStyle w:val="Default"/>
        <w:spacing w:after="120"/>
        <w:rPr>
          <w:rFonts w:asciiTheme="minorHAnsi" w:hAnsiTheme="minorHAnsi" w:cstheme="minorBidi"/>
          <w:color w:val="495965" w:themeColor="text2"/>
          <w:sz w:val="22"/>
          <w:szCs w:val="22"/>
          <w:lang w:val="en-GB"/>
        </w:rPr>
      </w:pPr>
      <w:r w:rsidRPr="0020654B">
        <w:rPr>
          <w:rFonts w:asciiTheme="minorHAnsi" w:hAnsiTheme="minorHAnsi" w:cstheme="minorBidi"/>
          <w:color w:val="495965" w:themeColor="text2"/>
          <w:sz w:val="22"/>
          <w:szCs w:val="22"/>
          <w:lang w:val="en-GB"/>
        </w:rPr>
        <w:t>Malaria remains endemic in Papua New Guinea, with an estimated 900,000 cases each year. The Australia-China-PNG Trilateral Malaria Project, which commenced in 2016, has enabled advanced training for more than 200 health staff across 18 provinces. The mid-term evaluation of the project found good progress against its objectives of increasing the quality of malaria</w:t>
      </w:r>
      <w:r>
        <w:rPr>
          <w:rFonts w:asciiTheme="minorHAnsi" w:hAnsiTheme="minorHAnsi" w:cstheme="minorBidi"/>
          <w:color w:val="495965" w:themeColor="text2"/>
          <w:sz w:val="22"/>
          <w:szCs w:val="22"/>
          <w:lang w:val="en-GB"/>
        </w:rPr>
        <w:t xml:space="preserve"> </w:t>
      </w:r>
      <w:r w:rsidR="00E12BA3">
        <w:rPr>
          <w:rFonts w:asciiTheme="minorHAnsi" w:hAnsiTheme="minorHAnsi" w:cstheme="minorBidi"/>
          <w:color w:val="495965" w:themeColor="text2"/>
          <w:sz w:val="22"/>
          <w:szCs w:val="22"/>
          <w:lang w:val="en-GB"/>
        </w:rPr>
        <w:t>diagnosis</w:t>
      </w:r>
      <w:r w:rsidRPr="0020654B">
        <w:rPr>
          <w:rFonts w:asciiTheme="minorHAnsi" w:hAnsiTheme="minorHAnsi" w:cstheme="minorBidi"/>
          <w:color w:val="495965" w:themeColor="text2"/>
          <w:sz w:val="22"/>
          <w:szCs w:val="22"/>
          <w:lang w:val="en-GB"/>
        </w:rPr>
        <w:t>. The project</w:t>
      </w:r>
      <w:r w:rsidR="00532313">
        <w:rPr>
          <w:rFonts w:asciiTheme="minorHAnsi" w:hAnsiTheme="minorHAnsi" w:cstheme="minorBidi"/>
          <w:color w:val="495965" w:themeColor="text2"/>
          <w:sz w:val="22"/>
          <w:szCs w:val="22"/>
          <w:lang w:val="en-GB"/>
        </w:rPr>
        <w:t>, which is an important example of Australia-China collaboration,</w:t>
      </w:r>
      <w:r w:rsidRPr="0020654B">
        <w:rPr>
          <w:rFonts w:asciiTheme="minorHAnsi" w:hAnsiTheme="minorHAnsi" w:cstheme="minorBidi"/>
          <w:color w:val="495965" w:themeColor="text2"/>
          <w:sz w:val="22"/>
          <w:szCs w:val="22"/>
          <w:lang w:val="en-GB"/>
        </w:rPr>
        <w:t xml:space="preserve"> will be extended for a further year (to </w:t>
      </w:r>
      <w:r w:rsidR="005F7439">
        <w:rPr>
          <w:rFonts w:asciiTheme="minorHAnsi" w:hAnsiTheme="minorHAnsi" w:cstheme="minorBidi"/>
          <w:color w:val="495965" w:themeColor="text2"/>
          <w:sz w:val="22"/>
          <w:szCs w:val="22"/>
          <w:lang w:val="en-GB"/>
        </w:rPr>
        <w:t xml:space="preserve">the </w:t>
      </w:r>
      <w:r w:rsidRPr="0020654B">
        <w:rPr>
          <w:rFonts w:asciiTheme="minorHAnsi" w:hAnsiTheme="minorHAnsi" w:cstheme="minorBidi"/>
          <w:color w:val="495965" w:themeColor="text2"/>
          <w:sz w:val="22"/>
          <w:szCs w:val="22"/>
          <w:lang w:val="en-GB"/>
        </w:rPr>
        <w:t>end</w:t>
      </w:r>
      <w:r w:rsidR="005F7439">
        <w:rPr>
          <w:rFonts w:asciiTheme="minorHAnsi" w:hAnsiTheme="minorHAnsi" w:cstheme="minorBidi"/>
          <w:color w:val="495965" w:themeColor="text2"/>
          <w:sz w:val="22"/>
          <w:szCs w:val="22"/>
          <w:lang w:val="en-GB"/>
        </w:rPr>
        <w:t xml:space="preserve"> of</w:t>
      </w:r>
      <w:r w:rsidRPr="0020654B">
        <w:rPr>
          <w:rFonts w:asciiTheme="minorHAnsi" w:hAnsiTheme="minorHAnsi" w:cstheme="minorBidi"/>
          <w:color w:val="495965" w:themeColor="text2"/>
          <w:sz w:val="22"/>
          <w:szCs w:val="22"/>
          <w:lang w:val="en-GB"/>
        </w:rPr>
        <w:t xml:space="preserve"> 2019) and future cooperation is being considered. </w:t>
      </w:r>
    </w:p>
    <w:p w14:paraId="359BCCB3" w14:textId="77777777" w:rsidR="0020654B" w:rsidRPr="0020654B" w:rsidRDefault="0020654B" w:rsidP="0020654B">
      <w:pPr>
        <w:spacing w:after="0"/>
        <w:rPr>
          <w:i/>
        </w:rPr>
      </w:pPr>
      <w:r w:rsidRPr="0020654B">
        <w:rPr>
          <w:i/>
        </w:rPr>
        <w:t>Crosscutting issues</w:t>
      </w:r>
    </w:p>
    <w:p w14:paraId="3508BFF3" w14:textId="5C48CA72" w:rsidR="00155A83" w:rsidRPr="0020654B" w:rsidRDefault="00E12BA3" w:rsidP="00D84C3E">
      <w:pPr>
        <w:pStyle w:val="Default"/>
        <w:spacing w:after="120"/>
        <w:rPr>
          <w:rFonts w:asciiTheme="minorHAnsi" w:hAnsiTheme="minorHAnsi" w:cstheme="minorBidi"/>
          <w:color w:val="495965" w:themeColor="text2"/>
          <w:sz w:val="22"/>
          <w:szCs w:val="22"/>
          <w:lang w:val="en-GB"/>
        </w:rPr>
      </w:pPr>
      <w:r>
        <w:rPr>
          <w:rFonts w:asciiTheme="minorHAnsi" w:hAnsiTheme="minorHAnsi" w:cstheme="minorBidi"/>
          <w:color w:val="495965" w:themeColor="text2"/>
          <w:sz w:val="22"/>
          <w:szCs w:val="22"/>
          <w:lang w:val="en-GB"/>
        </w:rPr>
        <w:t xml:space="preserve">Gender is a major influence on health, and our work across the sector attempts to take account of the importance of social roles, status and exposure to violence. </w:t>
      </w:r>
      <w:r w:rsidR="00155A83">
        <w:rPr>
          <w:rFonts w:asciiTheme="minorHAnsi" w:hAnsiTheme="minorHAnsi" w:cstheme="minorBidi"/>
          <w:color w:val="495965" w:themeColor="text2"/>
          <w:sz w:val="22"/>
          <w:szCs w:val="22"/>
          <w:lang w:val="en-GB"/>
        </w:rPr>
        <w:t xml:space="preserve">Australia </w:t>
      </w:r>
      <w:r w:rsidR="00155A83" w:rsidRPr="0020654B">
        <w:rPr>
          <w:rFonts w:asciiTheme="minorHAnsi" w:hAnsiTheme="minorHAnsi" w:cstheme="minorBidi"/>
          <w:color w:val="495965" w:themeColor="text2"/>
          <w:sz w:val="22"/>
          <w:szCs w:val="22"/>
          <w:lang w:val="en-GB"/>
        </w:rPr>
        <w:t xml:space="preserve">funded the construction of two new Family Support Centres (in Daru, Western Province and Buka, Bougainville) and training of </w:t>
      </w:r>
      <w:r w:rsidRPr="0020654B">
        <w:rPr>
          <w:rFonts w:asciiTheme="minorHAnsi" w:hAnsiTheme="minorHAnsi" w:cstheme="minorBidi"/>
          <w:color w:val="495965" w:themeColor="text2"/>
          <w:sz w:val="22"/>
          <w:szCs w:val="22"/>
          <w:lang w:val="en-GB"/>
        </w:rPr>
        <w:t xml:space="preserve">health workers </w:t>
      </w:r>
      <w:r>
        <w:rPr>
          <w:rFonts w:asciiTheme="minorHAnsi" w:hAnsiTheme="minorHAnsi" w:cstheme="minorBidi"/>
          <w:color w:val="495965" w:themeColor="text2"/>
          <w:sz w:val="22"/>
          <w:szCs w:val="22"/>
          <w:lang w:val="en-GB"/>
        </w:rPr>
        <w:t>(</w:t>
      </w:r>
      <w:r w:rsidR="00155A83" w:rsidRPr="0020654B">
        <w:rPr>
          <w:rFonts w:asciiTheme="minorHAnsi" w:hAnsiTheme="minorHAnsi" w:cstheme="minorBidi"/>
          <w:color w:val="495965" w:themeColor="text2"/>
          <w:sz w:val="22"/>
          <w:szCs w:val="22"/>
          <w:lang w:val="en-GB"/>
        </w:rPr>
        <w:t>15 female and 15 male</w:t>
      </w:r>
      <w:r>
        <w:rPr>
          <w:rFonts w:asciiTheme="minorHAnsi" w:hAnsiTheme="minorHAnsi" w:cstheme="minorBidi"/>
          <w:color w:val="495965" w:themeColor="text2"/>
          <w:sz w:val="22"/>
          <w:szCs w:val="22"/>
          <w:lang w:val="en-GB"/>
        </w:rPr>
        <w:t>)</w:t>
      </w:r>
      <w:r w:rsidR="00155A83" w:rsidRPr="0020654B">
        <w:rPr>
          <w:rFonts w:asciiTheme="minorHAnsi" w:hAnsiTheme="minorHAnsi" w:cstheme="minorBidi"/>
          <w:color w:val="495965" w:themeColor="text2"/>
          <w:sz w:val="22"/>
          <w:szCs w:val="22"/>
          <w:lang w:val="en-GB"/>
        </w:rPr>
        <w:t xml:space="preserve"> to provide safety and support services for survivors of sexual and gender-based violence. </w:t>
      </w:r>
    </w:p>
    <w:p w14:paraId="2BB8ADB6" w14:textId="77777777" w:rsidR="00155A83" w:rsidRDefault="00E12BA3" w:rsidP="00E12BA3">
      <w:pPr>
        <w:spacing w:line="240" w:lineRule="auto"/>
      </w:pPr>
      <w:r>
        <w:t xml:space="preserve">Like many developing countries, Papua New Guinea has high levels of disability. </w:t>
      </w:r>
      <w:r w:rsidR="00155A83" w:rsidRPr="0020654B">
        <w:t xml:space="preserve">Disability inclusive development in health is a major focus for </w:t>
      </w:r>
      <w:r w:rsidR="00155A83">
        <w:t xml:space="preserve">Australia, and our </w:t>
      </w:r>
      <w:r w:rsidR="00155A83" w:rsidRPr="0020654B">
        <w:t xml:space="preserve">health infrastructure projects </w:t>
      </w:r>
      <w:r w:rsidR="00155A83">
        <w:t>are</w:t>
      </w:r>
      <w:r w:rsidR="00155A83" w:rsidRPr="0020654B">
        <w:t xml:space="preserve"> </w:t>
      </w:r>
      <w:r>
        <w:t xml:space="preserve">designed to ensure that they are </w:t>
      </w:r>
      <w:r w:rsidR="00155A83" w:rsidRPr="0020654B">
        <w:t xml:space="preserve">disability-inclusive to minimise physical barriers to access. </w:t>
      </w:r>
      <w:r>
        <w:t>New programs being designed will be expected to explicitly consider what more can be done to promote social inclusion.</w:t>
      </w:r>
    </w:p>
    <w:p w14:paraId="2AF28033" w14:textId="77777777" w:rsidR="001F5E67" w:rsidRDefault="001F5E67">
      <w:pPr>
        <w:suppressAutoHyphens w:val="0"/>
        <w:spacing w:before="0" w:after="120" w:line="440" w:lineRule="atLeast"/>
        <w:rPr>
          <w:rFonts w:asciiTheme="majorHAnsi" w:eastAsiaTheme="majorEastAsia" w:hAnsiTheme="majorHAnsi" w:cstheme="majorBidi"/>
          <w:bCs/>
          <w:sz w:val="30"/>
        </w:rPr>
      </w:pPr>
      <w:r>
        <w:rPr>
          <w:rFonts w:asciiTheme="majorHAnsi" w:eastAsiaTheme="majorEastAsia" w:hAnsiTheme="majorHAnsi" w:cstheme="majorBidi"/>
          <w:bCs/>
          <w:sz w:val="30"/>
        </w:rPr>
        <w:br w:type="page"/>
      </w:r>
    </w:p>
    <w:p w14:paraId="558A2C80" w14:textId="29F15910" w:rsidR="000924D0" w:rsidRDefault="000924D0" w:rsidP="00BC7026">
      <w:pPr>
        <w:rPr>
          <w:rFonts w:asciiTheme="majorHAnsi" w:eastAsiaTheme="majorEastAsia" w:hAnsiTheme="majorHAnsi" w:cstheme="majorBidi"/>
          <w:bCs/>
          <w:sz w:val="30"/>
        </w:rPr>
      </w:pPr>
      <w:r w:rsidRPr="000924D0">
        <w:rPr>
          <w:rFonts w:asciiTheme="majorHAnsi" w:eastAsiaTheme="majorEastAsia" w:hAnsiTheme="majorHAnsi" w:cstheme="majorBidi"/>
          <w:bCs/>
          <w:sz w:val="30"/>
        </w:rPr>
        <w:lastRenderedPageBreak/>
        <w:t>Education and Leadership</w:t>
      </w:r>
    </w:p>
    <w:p w14:paraId="30DA1F2A" w14:textId="77777777" w:rsidR="00A47D25" w:rsidRPr="00953ACD" w:rsidRDefault="00A47D25" w:rsidP="009F55B0">
      <w:pPr>
        <w:spacing w:before="100"/>
        <w:rPr>
          <w:color w:val="1F497D"/>
          <w:lang w:val="en-AU"/>
        </w:rPr>
      </w:pPr>
      <w:r w:rsidRPr="00953ACD">
        <w:t xml:space="preserve">Education plays an important role in developing the leaders </w:t>
      </w:r>
      <w:r w:rsidRPr="00B034E3">
        <w:t xml:space="preserve">who </w:t>
      </w:r>
      <w:r w:rsidRPr="00953ACD">
        <w:t>are critical to Papua New Guinea’s</w:t>
      </w:r>
      <w:r w:rsidRPr="00B034E3">
        <w:t xml:space="preserve"> growth and</w:t>
      </w:r>
      <w:r w:rsidRPr="00953ACD">
        <w:t xml:space="preserve"> stability, but </w:t>
      </w:r>
      <w:r w:rsidRPr="00B034E3">
        <w:t xml:space="preserve">the country’s </w:t>
      </w:r>
      <w:r w:rsidRPr="00953ACD">
        <w:t>education system</w:t>
      </w:r>
      <w:r w:rsidRPr="00B034E3">
        <w:t xml:space="preserve"> lacks sufficient funding, well trained teachers and administrators, and</w:t>
      </w:r>
      <w:r>
        <w:t xml:space="preserve"> the</w:t>
      </w:r>
      <w:r w:rsidRPr="00953ACD">
        <w:t xml:space="preserve"> planning and management </w:t>
      </w:r>
      <w:r>
        <w:t xml:space="preserve">necessary to effectively utilise </w:t>
      </w:r>
      <w:r w:rsidRPr="00953ACD">
        <w:t xml:space="preserve">its limited resources. </w:t>
      </w:r>
    </w:p>
    <w:p w14:paraId="3AEA60FB" w14:textId="69FB6EE3" w:rsidR="00C42704" w:rsidRPr="000C5302" w:rsidRDefault="00C42704" w:rsidP="009F55B0">
      <w:pPr>
        <w:pStyle w:val="Default"/>
        <w:spacing w:after="100"/>
        <w:rPr>
          <w:rFonts w:asciiTheme="minorHAnsi" w:hAnsiTheme="minorHAnsi" w:cstheme="minorBidi"/>
          <w:color w:val="495965" w:themeColor="text2"/>
          <w:sz w:val="22"/>
          <w:szCs w:val="22"/>
          <w:lang w:val="en-GB"/>
        </w:rPr>
      </w:pPr>
      <w:r>
        <w:rPr>
          <w:rFonts w:asciiTheme="minorHAnsi" w:hAnsiTheme="minorHAnsi" w:cstheme="minorBidi"/>
          <w:color w:val="495965" w:themeColor="text2"/>
          <w:sz w:val="22"/>
          <w:szCs w:val="22"/>
          <w:lang w:val="en-GB"/>
        </w:rPr>
        <w:t>Australia</w:t>
      </w:r>
      <w:r w:rsidRPr="000C5302">
        <w:rPr>
          <w:rFonts w:asciiTheme="minorHAnsi" w:hAnsiTheme="minorHAnsi" w:cstheme="minorBidi"/>
          <w:color w:val="495965" w:themeColor="text2"/>
          <w:sz w:val="22"/>
          <w:szCs w:val="22"/>
          <w:lang w:val="en-GB"/>
        </w:rPr>
        <w:t xml:space="preserve">’s education and leadership portfolio in Papua New Guinea builds on commitments in Australia’s Foreign Policy White Paper to work with partner governments to strengthen </w:t>
      </w:r>
      <w:r>
        <w:rPr>
          <w:rFonts w:asciiTheme="minorHAnsi" w:hAnsiTheme="minorHAnsi" w:cstheme="minorBidi"/>
          <w:color w:val="495965" w:themeColor="text2"/>
          <w:sz w:val="22"/>
          <w:szCs w:val="22"/>
          <w:lang w:val="en-GB"/>
        </w:rPr>
        <w:t xml:space="preserve">skills, </w:t>
      </w:r>
      <w:r w:rsidRPr="000C5302">
        <w:rPr>
          <w:rFonts w:asciiTheme="minorHAnsi" w:hAnsiTheme="minorHAnsi" w:cstheme="minorBidi"/>
          <w:color w:val="495965" w:themeColor="text2"/>
          <w:sz w:val="22"/>
          <w:szCs w:val="22"/>
          <w:lang w:val="en-GB"/>
        </w:rPr>
        <w:t xml:space="preserve">people to people links and leadership. The portfolio recognises the significance of the growing youth bulge on access to education services, </w:t>
      </w:r>
      <w:r w:rsidR="00C7273F">
        <w:rPr>
          <w:rFonts w:asciiTheme="minorHAnsi" w:hAnsiTheme="minorHAnsi" w:cstheme="minorBidi"/>
          <w:color w:val="495965" w:themeColor="text2"/>
          <w:sz w:val="22"/>
          <w:szCs w:val="22"/>
          <w:lang w:val="en-GB"/>
        </w:rPr>
        <w:t xml:space="preserve">the </w:t>
      </w:r>
      <w:r w:rsidRPr="000C5302">
        <w:rPr>
          <w:rFonts w:asciiTheme="minorHAnsi" w:hAnsiTheme="minorHAnsi" w:cstheme="minorBidi"/>
          <w:color w:val="495965" w:themeColor="text2"/>
          <w:sz w:val="22"/>
          <w:szCs w:val="22"/>
          <w:lang w:val="en-GB"/>
        </w:rPr>
        <w:t xml:space="preserve">ability to secure employment, and the challenges that face </w:t>
      </w:r>
      <w:r>
        <w:rPr>
          <w:rFonts w:asciiTheme="minorHAnsi" w:hAnsiTheme="minorHAnsi" w:cstheme="minorBidi"/>
          <w:color w:val="495965" w:themeColor="text2"/>
          <w:sz w:val="22"/>
          <w:szCs w:val="22"/>
          <w:lang w:val="en-GB"/>
        </w:rPr>
        <w:t>Papua New Guinea’s</w:t>
      </w:r>
      <w:r w:rsidRPr="000C5302">
        <w:rPr>
          <w:rFonts w:asciiTheme="minorHAnsi" w:hAnsiTheme="minorHAnsi" w:cstheme="minorBidi"/>
          <w:color w:val="495965" w:themeColor="text2"/>
          <w:sz w:val="22"/>
          <w:szCs w:val="22"/>
          <w:lang w:val="en-GB"/>
        </w:rPr>
        <w:t xml:space="preserve"> current and emerging leaders.</w:t>
      </w:r>
      <w:r w:rsidR="00FF4BD9">
        <w:rPr>
          <w:rFonts w:asciiTheme="minorHAnsi" w:hAnsiTheme="minorHAnsi" w:cstheme="minorBidi"/>
          <w:color w:val="495965" w:themeColor="text2"/>
          <w:sz w:val="22"/>
          <w:szCs w:val="22"/>
          <w:lang w:val="en-GB"/>
        </w:rPr>
        <w:t xml:space="preserve"> </w:t>
      </w:r>
      <w:r w:rsidR="00A47D25" w:rsidRPr="00A47D25">
        <w:rPr>
          <w:rFonts w:asciiTheme="minorHAnsi" w:hAnsiTheme="minorHAnsi" w:cstheme="minorBidi"/>
          <w:color w:val="495965" w:themeColor="text2"/>
          <w:sz w:val="22"/>
          <w:szCs w:val="22"/>
          <w:lang w:val="en-GB"/>
        </w:rPr>
        <w:t xml:space="preserve">Australian assistance cannot address all the country’s educational challenges, so focusses on key areas, and on demonstrating good practices that can have broader influence. </w:t>
      </w:r>
    </w:p>
    <w:p w14:paraId="4C97450A" w14:textId="77777777" w:rsidR="00C42704" w:rsidRDefault="00C42704" w:rsidP="009F55B0">
      <w:pPr>
        <w:pStyle w:val="Default"/>
        <w:spacing w:before="120" w:after="80"/>
        <w:rPr>
          <w:rFonts w:asciiTheme="minorHAnsi" w:hAnsiTheme="minorHAnsi" w:cstheme="minorBidi"/>
          <w:color w:val="495965" w:themeColor="text2"/>
          <w:sz w:val="22"/>
          <w:szCs w:val="22"/>
          <w:lang w:val="en-GB"/>
        </w:rPr>
      </w:pPr>
      <w:r w:rsidRPr="000C5302">
        <w:rPr>
          <w:rFonts w:asciiTheme="minorHAnsi" w:hAnsiTheme="minorHAnsi" w:cstheme="minorBidi"/>
          <w:color w:val="495965" w:themeColor="text2"/>
          <w:sz w:val="22"/>
          <w:szCs w:val="22"/>
          <w:lang w:val="en-GB"/>
        </w:rPr>
        <w:t xml:space="preserve">The </w:t>
      </w:r>
      <w:r w:rsidRPr="000C5302">
        <w:rPr>
          <w:rFonts w:asciiTheme="minorHAnsi" w:hAnsiTheme="minorHAnsi" w:cstheme="minorBidi"/>
          <w:i/>
          <w:color w:val="495965" w:themeColor="text2"/>
          <w:sz w:val="22"/>
          <w:szCs w:val="22"/>
          <w:lang w:val="en-GB"/>
        </w:rPr>
        <w:t>Australia Partnering with Papua New Guinea: Education and Leadership Portfolio Plan 2018-2022</w:t>
      </w:r>
      <w:r w:rsidRPr="000C5302">
        <w:rPr>
          <w:rFonts w:asciiTheme="minorHAnsi" w:hAnsiTheme="minorHAnsi" w:cstheme="minorBidi"/>
          <w:color w:val="495965" w:themeColor="text2"/>
          <w:sz w:val="22"/>
          <w:szCs w:val="22"/>
          <w:lang w:val="en-GB"/>
        </w:rPr>
        <w:t xml:space="preserve"> was completed in early 2018. The Plan articulates Australia’s objective to support </w:t>
      </w:r>
      <w:r>
        <w:rPr>
          <w:rFonts w:asciiTheme="minorHAnsi" w:hAnsiTheme="minorHAnsi" w:cstheme="minorBidi"/>
          <w:color w:val="495965" w:themeColor="text2"/>
          <w:sz w:val="22"/>
          <w:szCs w:val="22"/>
          <w:lang w:val="en-GB"/>
        </w:rPr>
        <w:t xml:space="preserve">Papua New Guinean </w:t>
      </w:r>
      <w:r w:rsidRPr="000C5302">
        <w:rPr>
          <w:rFonts w:asciiTheme="minorHAnsi" w:hAnsiTheme="minorHAnsi" w:cstheme="minorBidi"/>
          <w:color w:val="495965" w:themeColor="text2"/>
          <w:sz w:val="22"/>
          <w:szCs w:val="22"/>
          <w:lang w:val="en-GB"/>
        </w:rPr>
        <w:t>citizens gain the skills and knowledge to take advantage of employment and leadership opportunities, and has three priority areas: foundations, skills and productivity, and leadership.</w:t>
      </w:r>
      <w:r w:rsidR="00A47D25">
        <w:rPr>
          <w:rFonts w:asciiTheme="minorHAnsi" w:hAnsiTheme="minorHAnsi" w:cstheme="minorBidi"/>
          <w:color w:val="495965" w:themeColor="text2"/>
          <w:sz w:val="22"/>
          <w:szCs w:val="22"/>
          <w:lang w:val="en-GB"/>
        </w:rPr>
        <w:t xml:space="preserve"> </w:t>
      </w:r>
      <w:r w:rsidR="00A47D25" w:rsidRPr="000C5302">
        <w:rPr>
          <w:rFonts w:asciiTheme="minorHAnsi" w:hAnsiTheme="minorHAnsi" w:cstheme="minorBidi"/>
          <w:color w:val="495965" w:themeColor="text2"/>
          <w:sz w:val="22"/>
          <w:szCs w:val="22"/>
          <w:lang w:val="en-GB"/>
        </w:rPr>
        <w:t>The portfolio supports the Government of Papua New Guinea deliver against its Vision 2050 statement and</w:t>
      </w:r>
      <w:r w:rsidR="00A47D25">
        <w:rPr>
          <w:rFonts w:asciiTheme="minorHAnsi" w:hAnsiTheme="minorHAnsi" w:cstheme="minorBidi"/>
          <w:color w:val="495965" w:themeColor="text2"/>
          <w:sz w:val="22"/>
          <w:szCs w:val="22"/>
          <w:lang w:val="en-GB"/>
        </w:rPr>
        <w:t xml:space="preserve"> the</w:t>
      </w:r>
      <w:r w:rsidR="00A47D25" w:rsidRPr="000C5302">
        <w:rPr>
          <w:rFonts w:asciiTheme="minorHAnsi" w:hAnsiTheme="minorHAnsi" w:cstheme="minorBidi"/>
          <w:color w:val="495965" w:themeColor="text2"/>
          <w:sz w:val="22"/>
          <w:szCs w:val="22"/>
          <w:lang w:val="en-GB"/>
        </w:rPr>
        <w:t xml:space="preserve"> Alotau Accord II.</w:t>
      </w:r>
    </w:p>
    <w:p w14:paraId="624071E3" w14:textId="77777777" w:rsidR="00097E44" w:rsidRPr="0021460A" w:rsidRDefault="000C5302" w:rsidP="0021582D">
      <w:pPr>
        <w:pStyle w:val="Default"/>
        <w:spacing w:before="100" w:after="40" w:line="264" w:lineRule="auto"/>
        <w:rPr>
          <w:rFonts w:asciiTheme="minorHAnsi" w:hAnsiTheme="minorHAnsi" w:cstheme="minorBidi"/>
          <w:i/>
          <w:color w:val="495965" w:themeColor="text2"/>
          <w:sz w:val="22"/>
          <w:szCs w:val="22"/>
          <w:lang w:val="en-GB"/>
        </w:rPr>
      </w:pPr>
      <w:r>
        <w:rPr>
          <w:rFonts w:asciiTheme="minorHAnsi" w:hAnsiTheme="minorHAnsi" w:cstheme="minorBidi"/>
          <w:i/>
          <w:color w:val="495965" w:themeColor="text2"/>
          <w:sz w:val="22"/>
          <w:szCs w:val="22"/>
          <w:lang w:val="en-GB"/>
        </w:rPr>
        <w:t>Foundations</w:t>
      </w:r>
    </w:p>
    <w:p w14:paraId="5D5E08D3" w14:textId="481BF806" w:rsidR="00A47D25" w:rsidRDefault="00A47D25" w:rsidP="009F55B0">
      <w:pPr>
        <w:spacing w:before="100"/>
      </w:pPr>
      <w:r w:rsidRPr="00A47D25">
        <w:t xml:space="preserve">Foundational literacy and numeracy are the building blocks of education. Papua New Guinea’s net enrolment rate of 63 per cent is the lowest in the Asia and Pacific region. Its Tuition Free Fee policy has increased access to basic education, but schools have struggled to cope with the increased enrolments, excessive class sizes, and insufficient funds for supplies, and so have often failed to maintain educational quality. As Government revenues have declined, shrinking educational budgets have exacerbated these problems and hampered the Department of Education’s ability to influence the system. </w:t>
      </w:r>
    </w:p>
    <w:p w14:paraId="7B856E0D" w14:textId="63B3282D" w:rsidR="00A47D25" w:rsidRDefault="00A47D25" w:rsidP="00C42704">
      <w:r w:rsidRPr="00A47D25">
        <w:t xml:space="preserve">Improving foundational skills is the first of Australia’s three strategies to boost PNG’s educational system and strengthen the country’s leadership. We train and support teachers and provide them with </w:t>
      </w:r>
      <w:r>
        <w:t xml:space="preserve">accommodation in remote areas; </w:t>
      </w:r>
      <w:r w:rsidRPr="00A47D25">
        <w:t>build and equip school facilities; and help educational institutions and leaders to oversee and strengthen their systems. In 2017-18, we improved literacy and numeracy outcomes in the first three years of school by training 1,348 elementary teachers and 214 Community Literacy Volunteers, launching pilot electronic reading applications in</w:t>
      </w:r>
      <w:r w:rsidR="005F7439">
        <w:t xml:space="preserve"> 36 schools; and training 12,000</w:t>
      </w:r>
      <w:r w:rsidRPr="00A47D25">
        <w:t xml:space="preserve"> school administrators to efficiently manage and account for Government funds. We also supported new infrastructure, including libraries for five schools in the Autonomous Region of Bougainville and (through </w:t>
      </w:r>
      <w:r w:rsidR="00945F3F">
        <w:t>our</w:t>
      </w:r>
      <w:r w:rsidRPr="00A47D25">
        <w:t xml:space="preserve"> Incentive Fund) new buildings for a school in East New Britain.   </w:t>
      </w:r>
    </w:p>
    <w:p w14:paraId="35953417" w14:textId="77777777" w:rsidR="00A47D25" w:rsidRDefault="00A47D25" w:rsidP="009F55B0">
      <w:pPr>
        <w:spacing w:before="80"/>
      </w:pPr>
      <w:r>
        <w:t xml:space="preserve">Australian advisors also assisted in the administration of the national school census and improved finance capabilities within the National Department of Education. </w:t>
      </w:r>
    </w:p>
    <w:p w14:paraId="71F06FEB" w14:textId="77777777" w:rsidR="000C5302" w:rsidRDefault="000C5302" w:rsidP="0021582D">
      <w:pPr>
        <w:spacing w:before="100" w:after="40" w:line="264" w:lineRule="auto"/>
        <w:rPr>
          <w:i/>
        </w:rPr>
      </w:pPr>
      <w:r>
        <w:rPr>
          <w:i/>
        </w:rPr>
        <w:t>Skills and Productivity</w:t>
      </w:r>
    </w:p>
    <w:p w14:paraId="300287E1" w14:textId="77777777" w:rsidR="00A47D25" w:rsidRDefault="00A47D25" w:rsidP="009F55B0">
      <w:pPr>
        <w:spacing w:before="60"/>
      </w:pPr>
      <w:r>
        <w:t>Papua New Guinea’s technical and vocational education and training (TVET) system is not yet able to adequately meet the needs of industry and employers. Over 50,000 young people enter the labour market each year, while only a few thousand formal jobs are created, and there are five times the number of Grade 12 g</w:t>
      </w:r>
      <w:r w:rsidR="009A4D1A">
        <w:t>raduates than university places</w:t>
      </w:r>
      <w:r>
        <w:t xml:space="preserve">. Women remain significantly under-represented in the labour force. </w:t>
      </w:r>
    </w:p>
    <w:p w14:paraId="6C237FCD" w14:textId="0F57103D" w:rsidR="00A47D25" w:rsidRDefault="00D12445" w:rsidP="00A47D25">
      <w:r>
        <w:t>Australia’s</w:t>
      </w:r>
      <w:r w:rsidR="00A47D25">
        <w:t xml:space="preserve"> support has improved skills and productivity through policy advice to improve the management of TVET institutions, provided scholarships and other training, and fostered partnerships between Australian and Papua New Guinea universities to promote quality teaching.</w:t>
      </w:r>
    </w:p>
    <w:p w14:paraId="28EADD1A" w14:textId="57829052" w:rsidR="00C42704" w:rsidRDefault="00C42704" w:rsidP="00A47D25">
      <w:r>
        <w:t xml:space="preserve">In line with </w:t>
      </w:r>
      <w:r w:rsidR="00D12445">
        <w:t>Papua New Guinea’s</w:t>
      </w:r>
      <w:r>
        <w:t xml:space="preserve"> Department of Higher Education, Science, Research and Technology</w:t>
      </w:r>
      <w:r w:rsidR="00A47D25">
        <w:t>’s plans</w:t>
      </w:r>
      <w:r>
        <w:t>, Australia is support</w:t>
      </w:r>
      <w:r w:rsidR="00A47D25">
        <w:t>ing reform in the TVET system</w:t>
      </w:r>
      <w:r>
        <w:t xml:space="preserve"> and maintaining assistance in planning, data collection, monitoring and financial management. We helped to develop the legislation for a National Skills Development Authority; </w:t>
      </w:r>
      <w:r w:rsidR="00A47D25">
        <w:t xml:space="preserve">supported </w:t>
      </w:r>
      <w:r>
        <w:t>amend</w:t>
      </w:r>
      <w:r w:rsidR="00A47D25">
        <w:t xml:space="preserve">ments to </w:t>
      </w:r>
      <w:r>
        <w:t xml:space="preserve">assist skilled professionals become </w:t>
      </w:r>
      <w:r w:rsidR="00A47D25">
        <w:t xml:space="preserve">TVET </w:t>
      </w:r>
      <w:r>
        <w:t xml:space="preserve">teachers; and </w:t>
      </w:r>
      <w:r w:rsidR="00A47D25">
        <w:t xml:space="preserve">helped prepare </w:t>
      </w:r>
      <w:r>
        <w:t xml:space="preserve">the National Training Policy 2017 for endorsement. Australian technical advice was drawn </w:t>
      </w:r>
      <w:r w:rsidR="00A47D25">
        <w:lastRenderedPageBreak/>
        <w:t>up</w:t>
      </w:r>
      <w:r>
        <w:t xml:space="preserve">on to prioritise, procure and install ICT equipment in six technical colleges to deliver courses to industry standard. </w:t>
      </w:r>
    </w:p>
    <w:p w14:paraId="5530EB36" w14:textId="77777777" w:rsidR="009A4D1A" w:rsidRDefault="009A4D1A" w:rsidP="009A4D1A">
      <w:r>
        <w:t xml:space="preserve">In preparation for APEC 2018, we supported key Papua New Guinean APEC officials to enhance their policy development, negotiation and coordination skills. This included providing Australia Awards training to 189 people, 53 of whom were senior public servants from Papua New Guinea’s APEC Secretariat and other relevant government departments. </w:t>
      </w:r>
    </w:p>
    <w:p w14:paraId="50BC5C5E" w14:textId="77777777" w:rsidR="009A4D1A" w:rsidRDefault="009A4D1A" w:rsidP="009A4D1A">
      <w:r>
        <w:t xml:space="preserve">Australia Awards also supported training of 309 students (including 205 women) at Papua New Guinea institutions to help address health and education skill shortages. These scholarships were complemented with teacher professional development and Gender Equality, Disability and Social Inclusion (GEDSI) training, ICT equipment and security enhancements to 24 Papua New Guinea institutions. </w:t>
      </w:r>
    </w:p>
    <w:p w14:paraId="2D76D4E4" w14:textId="77557D75" w:rsidR="00C42704" w:rsidRDefault="009A4D1A" w:rsidP="00C42704">
      <w:r>
        <w:t xml:space="preserve">We also supported quality improvements to Papua New Guinea’s higher education sector. Our </w:t>
      </w:r>
      <w:r w:rsidR="00C42704">
        <w:t xml:space="preserve">Kina-for-Kina (K4K) program </w:t>
      </w:r>
      <w:r>
        <w:t>introduced</w:t>
      </w:r>
      <w:r w:rsidR="00C42704">
        <w:t xml:space="preserve"> Teaching Quality Assurance Systems, enhanc</w:t>
      </w:r>
      <w:r>
        <w:t>ed</w:t>
      </w:r>
      <w:r w:rsidR="00C42704">
        <w:t xml:space="preserve"> faculty-to-faculty collaboration by providing skills in academic leadership, change management and strengthening the twinning relationship across Australian partner institutions. Discussions have begun about a possible transition from the K4K</w:t>
      </w:r>
      <w:r w:rsidR="00C42704" w:rsidDel="0054158E">
        <w:t xml:space="preserve"> </w:t>
      </w:r>
      <w:r w:rsidR="00C42704">
        <w:t xml:space="preserve">approach towards long-term partnerships. </w:t>
      </w:r>
    </w:p>
    <w:p w14:paraId="0A424C3C" w14:textId="77777777" w:rsidR="000C5302" w:rsidRDefault="000C5302" w:rsidP="0021582D">
      <w:pPr>
        <w:spacing w:before="100" w:after="40" w:line="240" w:lineRule="auto"/>
        <w:rPr>
          <w:i/>
        </w:rPr>
      </w:pPr>
      <w:r w:rsidRPr="000C5302">
        <w:rPr>
          <w:i/>
        </w:rPr>
        <w:t>Leadership</w:t>
      </w:r>
    </w:p>
    <w:p w14:paraId="2C7348C7" w14:textId="425713F6" w:rsidR="000C727E" w:rsidRDefault="000C727E" w:rsidP="000C727E">
      <w:r>
        <w:t>Effective education not only builds skills, but can also open minds to new ideas and nurture leadership that promotes equitable national development. During 2017-18</w:t>
      </w:r>
      <w:r w:rsidR="00D12445">
        <w:t>,</w:t>
      </w:r>
      <w:r>
        <w:t xml:space="preserve"> management of the Pacific Leadership and Governance Precinct (Precinct) was brought into the education portfolio to recognise and utilise the synergies between these areas. The Precinct supports the next generation of public service leaders, equipping </w:t>
      </w:r>
      <w:r w:rsidR="00C7273F">
        <w:t xml:space="preserve">them </w:t>
      </w:r>
      <w:r>
        <w:t xml:space="preserve">with core public policy and economic skills, and instilling leadership values and ethical principles. This year three new buildings at the Precinct’s core institutions were opened by </w:t>
      </w:r>
      <w:r w:rsidR="00D60F0E">
        <w:t xml:space="preserve">the then </w:t>
      </w:r>
      <w:r>
        <w:t xml:space="preserve">Hon. Julie Bishop MP, Minister for Foreign Affairs and Papua New Guinea’s Prime Minister, Hon. Peter O’Neill MP. </w:t>
      </w:r>
    </w:p>
    <w:p w14:paraId="5DBBCFDC" w14:textId="1133692B" w:rsidR="000C727E" w:rsidRDefault="000C727E" w:rsidP="000C727E">
      <w:r>
        <w:t xml:space="preserve">In 2017-18, 1,653 Papua New Guineans directly benefited from the Precinct; including 763 people </w:t>
      </w:r>
      <w:r w:rsidR="008B5737">
        <w:t xml:space="preserve">(exceeding our target of 500) </w:t>
      </w:r>
      <w:r>
        <w:t xml:space="preserve">completing undergraduate courses, diplomas or short courses, and 930 who attended Precinct-supported public policy discussions. Three cohorts, totalling 68 public servants in early leadership roles (54 percent female), completed the Precinct’s Future Leaders Program. Additionally, 248 provincial and district public servants (27 percent female) undertook tailored training in support of basic skills development and the Government of Papua New Guinea’s decentralisation agenda. The sub-national training is developed and delivered through a partnership with the Australian Public Service Commission. </w:t>
      </w:r>
    </w:p>
    <w:p w14:paraId="09221566" w14:textId="77777777" w:rsidR="000C727E" w:rsidRDefault="000C727E" w:rsidP="008E1EA4">
      <w:r>
        <w:t xml:space="preserve">In May 2018, the APEC Discussion Series at the Precinct was launched. Jointly hosted by the Precinct and the Papua New Guinea APEC Secretariat, it provided the public with unprecedented access to visiting international experts. High-profile international speakers included the Director-General of the World Trade Organization, who provided the key note address at the inaugural event. </w:t>
      </w:r>
    </w:p>
    <w:p w14:paraId="509DE1C8" w14:textId="77777777" w:rsidR="008E1EA4" w:rsidRPr="0021460A" w:rsidRDefault="008E1EA4" w:rsidP="0021582D">
      <w:pPr>
        <w:spacing w:before="100" w:after="40" w:line="240" w:lineRule="auto"/>
        <w:rPr>
          <w:i/>
        </w:rPr>
      </w:pPr>
      <w:r w:rsidRPr="0021460A">
        <w:rPr>
          <w:i/>
        </w:rPr>
        <w:t xml:space="preserve">Crosscutting issues </w:t>
      </w:r>
    </w:p>
    <w:p w14:paraId="53EB8AB3" w14:textId="6F0E3840" w:rsidR="00150CD3" w:rsidRPr="0021460A" w:rsidRDefault="00150CD3" w:rsidP="009F55B0">
      <w:pPr>
        <w:spacing w:before="60"/>
      </w:pPr>
      <w:r>
        <w:t xml:space="preserve">The TVET program completed important research on the widespread barriers that women in Papua New Guinea face in the tertiary sector. Despite growth in post-secondary education enrolment in the last five years, no significant increase has occurred for women - indicating that much more can be done. Retention rates of women enrolees are lower than those </w:t>
      </w:r>
      <w:r w:rsidR="00D60F0E">
        <w:t xml:space="preserve">of </w:t>
      </w:r>
      <w:r>
        <w:t xml:space="preserve">men, suggesting women face further impediments after they enrol, and we are commissioning further studies into this area. </w:t>
      </w:r>
      <w:r w:rsidRPr="0021460A">
        <w:t xml:space="preserve">The Australia Awards program met its target of </w:t>
      </w:r>
      <w:r>
        <w:t>50</w:t>
      </w:r>
      <w:r w:rsidRPr="0021460A">
        <w:t xml:space="preserve"> per cent </w:t>
      </w:r>
      <w:r>
        <w:t xml:space="preserve">women among </w:t>
      </w:r>
      <w:r w:rsidRPr="0021460A">
        <w:t>2017 long-term awardees. Measures to attract and retain women scholars included gender targets</w:t>
      </w:r>
      <w:r>
        <w:t xml:space="preserve">, </w:t>
      </w:r>
      <w:r w:rsidRPr="0021460A">
        <w:t>pre-departure training on domestic violence</w:t>
      </w:r>
      <w:r>
        <w:t>,</w:t>
      </w:r>
      <w:r w:rsidRPr="0021460A">
        <w:t xml:space="preserve"> and case management support. While girls’ enrolment in primary school</w:t>
      </w:r>
      <w:r>
        <w:t>s</w:t>
      </w:r>
      <w:r w:rsidRPr="0021460A">
        <w:t xml:space="preserve"> improv</w:t>
      </w:r>
      <w:r>
        <w:t>ed</w:t>
      </w:r>
      <w:r w:rsidRPr="0021460A">
        <w:t xml:space="preserve">, their completion rates </w:t>
      </w:r>
      <w:r>
        <w:t>were</w:t>
      </w:r>
      <w:r w:rsidRPr="0021460A">
        <w:t xml:space="preserve"> still well behind boys.</w:t>
      </w:r>
      <w:r>
        <w:t xml:space="preserve"> Disability inclusion is a key policy priority for the Australian Government. In 2017-18, an additional 1,522 children with disabilities were registered with an Inclusive Education Resource Centre, 44 teachers were supported to complete an Applied Diploma in Special Education and 174 children were given assistive devices (including hearing aids and glasses) to assist their studies. The progr</w:t>
      </w:r>
      <w:r w:rsidR="00D12445">
        <w:t>am benefited from funding of $1</w:t>
      </w:r>
      <w:r w:rsidR="00C7273F">
        <w:t> </w:t>
      </w:r>
      <w:r>
        <w:t xml:space="preserve">million from </w:t>
      </w:r>
      <w:r w:rsidR="00D12445">
        <w:t>DFAT’s</w:t>
      </w:r>
      <w:r>
        <w:t xml:space="preserve"> Disability Inclusive Development Fund.</w:t>
      </w:r>
    </w:p>
    <w:p w14:paraId="1F18AF43" w14:textId="19E063EC" w:rsidR="00417A72" w:rsidRPr="0021460A" w:rsidRDefault="00417A72" w:rsidP="00417A72">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1460A">
        <w:rPr>
          <w:rFonts w:asciiTheme="majorHAnsi" w:eastAsiaTheme="majorEastAsia" w:hAnsiTheme="majorHAnsi" w:cstheme="majorBidi"/>
          <w:caps/>
          <w:color w:val="495965" w:themeColor="text2"/>
          <w:sz w:val="38"/>
          <w:szCs w:val="26"/>
          <w:lang w:val="en-GB" w:eastAsia="en-US"/>
        </w:rPr>
        <w:lastRenderedPageBreak/>
        <w:t>crosscutting objectives</w:t>
      </w:r>
    </w:p>
    <w:p w14:paraId="11087289" w14:textId="77777777" w:rsidR="00DE042A" w:rsidRPr="00383D4A" w:rsidRDefault="00622ABC" w:rsidP="00097E44">
      <w:pPr>
        <w:rPr>
          <w:color w:val="auto"/>
          <w:highlight w:val="cyan"/>
          <w:lang w:val="en-AU"/>
        </w:rPr>
      </w:pPr>
      <w:r w:rsidRPr="0021460A">
        <w:rPr>
          <w:rFonts w:asciiTheme="majorHAnsi" w:eastAsiaTheme="majorEastAsia" w:hAnsiTheme="majorHAnsi" w:cstheme="majorBidi"/>
          <w:caps/>
          <w:noProof/>
          <w:sz w:val="38"/>
          <w:szCs w:val="26"/>
          <w:lang w:val="en-AU" w:eastAsia="en-AU"/>
        </w:rPr>
        <w:drawing>
          <wp:inline distT="0" distB="0" distL="0" distR="0" wp14:anchorId="2BD8755D" wp14:editId="2A1B3246">
            <wp:extent cx="1134000" cy="723600"/>
            <wp:effectExtent l="0" t="0" r="9525"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000" cy="723600"/>
                    </a:xfrm>
                    <a:prstGeom prst="rect">
                      <a:avLst/>
                    </a:prstGeom>
                    <a:noFill/>
                    <a:ln>
                      <a:noFill/>
                    </a:ln>
                  </pic:spPr>
                </pic:pic>
              </a:graphicData>
            </a:graphic>
          </wp:inline>
        </w:drawing>
      </w:r>
      <w:r w:rsidRPr="0021460A">
        <w:rPr>
          <w:noProof/>
          <w:lang w:val="en-AU" w:eastAsia="en-AU"/>
        </w:rPr>
        <w:drawing>
          <wp:inline distT="0" distB="0" distL="0" distR="0" wp14:anchorId="706477D3" wp14:editId="5955D608">
            <wp:extent cx="608400" cy="608400"/>
            <wp:effectExtent l="0" t="0" r="1270" b="1270"/>
            <wp:docPr id="94" name="Picture 9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21460A">
        <w:rPr>
          <w:noProof/>
          <w:lang w:val="en-AU" w:eastAsia="en-AU"/>
        </w:rPr>
        <w:drawing>
          <wp:inline distT="0" distB="0" distL="0" distR="0" wp14:anchorId="4D00DED3" wp14:editId="35713066">
            <wp:extent cx="609600" cy="609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rPr>
          <w:noProof/>
          <w:lang w:val="en-AU" w:eastAsia="en-AU"/>
        </w:rPr>
        <w:drawing>
          <wp:inline distT="0" distB="0" distL="0" distR="0" wp14:anchorId="525A9A89" wp14:editId="78E75FAB">
            <wp:extent cx="609600" cy="609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rPr>
          <w:noProof/>
          <w:lang w:val="en-AU" w:eastAsia="en-AU"/>
        </w:rPr>
        <w:drawing>
          <wp:inline distT="0" distB="0" distL="0" distR="0" wp14:anchorId="5F4E2485" wp14:editId="53DBF6D4">
            <wp:extent cx="609600" cy="609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rPr>
          <w:noProof/>
          <w:lang w:val="en-AU" w:eastAsia="en-AU"/>
        </w:rPr>
        <w:drawing>
          <wp:inline distT="0" distB="0" distL="0" distR="0" wp14:anchorId="38990E2A" wp14:editId="62C1315B">
            <wp:extent cx="609600" cy="609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rPr>
          <w:noProof/>
          <w:lang w:val="en-AU" w:eastAsia="en-AU"/>
        </w:rPr>
        <w:drawing>
          <wp:inline distT="0" distB="0" distL="0" distR="0" wp14:anchorId="288F5091" wp14:editId="1D12A2B8">
            <wp:extent cx="609600" cy="609600"/>
            <wp:effectExtent l="0" t="0" r="0" b="0"/>
            <wp:docPr id="92" name="Picture 92"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DG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rPr>
          <w:noProof/>
          <w:lang w:val="en-AU" w:eastAsia="en-AU"/>
        </w:rPr>
        <w:drawing>
          <wp:inline distT="0" distB="0" distL="0" distR="0" wp14:anchorId="6EF930BA" wp14:editId="68CF3F23">
            <wp:extent cx="609600" cy="609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rPr>
          <w:noProof/>
          <w:lang w:val="en-AU" w:eastAsia="en-AU"/>
        </w:rPr>
        <w:drawing>
          <wp:inline distT="0" distB="0" distL="0" distR="0" wp14:anchorId="71B60D62" wp14:editId="702C697A">
            <wp:extent cx="609600" cy="609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1460A">
        <w:t xml:space="preserve"> </w:t>
      </w:r>
      <w:r w:rsidRPr="00383D4A">
        <w:rPr>
          <w:noProof/>
          <w:highlight w:val="cyan"/>
          <w:lang w:val="en-AU" w:eastAsia="en-AU"/>
        </w:rPr>
        <w:drawing>
          <wp:inline distT="0" distB="0" distL="0" distR="0" wp14:anchorId="72D75757" wp14:editId="4A3EA5B5">
            <wp:extent cx="609600" cy="609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88735A" w:rsidRPr="00383D4A">
        <w:rPr>
          <w:noProof/>
          <w:highlight w:val="cyan"/>
          <w:lang w:val="en-AU" w:eastAsia="en-AU"/>
        </w:rPr>
        <w:drawing>
          <wp:inline distT="0" distB="0" distL="0" distR="0" wp14:anchorId="6067E964" wp14:editId="0D719CF7">
            <wp:extent cx="612000" cy="612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CC63C8" w:rsidRPr="00383D4A">
        <w:rPr>
          <w:noProof/>
          <w:highlight w:val="cyan"/>
          <w:lang w:val="en-AU" w:eastAsia="en-AU"/>
        </w:rPr>
        <w:drawing>
          <wp:inline distT="0" distB="0" distL="0" distR="0" wp14:anchorId="5A9F57F7" wp14:editId="2DFE8D53">
            <wp:extent cx="608400" cy="608400"/>
            <wp:effectExtent l="0" t="0" r="127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p>
    <w:p w14:paraId="0C1EB968" w14:textId="77777777" w:rsidR="0097016B" w:rsidRPr="006143ED" w:rsidRDefault="0097016B" w:rsidP="001E21BB">
      <w:pPr>
        <w:pStyle w:val="Heading3Numbered"/>
        <w:numPr>
          <w:ilvl w:val="0"/>
          <w:numId w:val="0"/>
        </w:numPr>
        <w:ind w:left="851" w:hanging="851"/>
      </w:pPr>
      <w:r w:rsidRPr="006143ED">
        <w:t>Highlands Earthquake Recovery</w:t>
      </w:r>
    </w:p>
    <w:p w14:paraId="11BB70C6" w14:textId="77777777" w:rsidR="0097016B" w:rsidRPr="006143ED" w:rsidRDefault="0097016B" w:rsidP="00753DC6">
      <w:r w:rsidRPr="006143ED">
        <w:t xml:space="preserve">A 7.5 magnitude earthquake struck the highlands of </w:t>
      </w:r>
      <w:r w:rsidR="00555EBF">
        <w:t>Papua New Guinea</w:t>
      </w:r>
      <w:r w:rsidRPr="006143ED">
        <w:t xml:space="preserve"> on 26 February 2018 with severe and widespread impacts</w:t>
      </w:r>
      <w:r w:rsidR="009D4AFA">
        <w:t>,</w:t>
      </w:r>
      <w:r w:rsidRPr="006143ED">
        <w:t xml:space="preserve"> particularly in Hela and Southern Highlands provinces. </w:t>
      </w:r>
      <w:r w:rsidR="0061437E">
        <w:t xml:space="preserve">The </w:t>
      </w:r>
      <w:r w:rsidR="00555EBF">
        <w:t>Papua New Guinea</w:t>
      </w:r>
      <w:r w:rsidR="00555EBF" w:rsidRPr="006143ED">
        <w:t xml:space="preserve"> </w:t>
      </w:r>
      <w:r w:rsidRPr="006143ED">
        <w:t xml:space="preserve">police reported that the death toll reached 125, and the UN estimated 270,000 people required humanitarian assistance. </w:t>
      </w:r>
    </w:p>
    <w:p w14:paraId="5EE212ED" w14:textId="77777777" w:rsidR="0097016B" w:rsidRPr="006143ED" w:rsidRDefault="0097016B" w:rsidP="00753DC6">
      <w:r w:rsidRPr="006143ED">
        <w:t xml:space="preserve">Following a request from </w:t>
      </w:r>
      <w:r w:rsidR="00555EBF">
        <w:t xml:space="preserve">Papua New Guinea’s </w:t>
      </w:r>
      <w:r w:rsidRPr="006143ED">
        <w:t>Prime Minister</w:t>
      </w:r>
      <w:r w:rsidR="001942F7">
        <w:t>,</w:t>
      </w:r>
      <w:r w:rsidRPr="006143ED">
        <w:t xml:space="preserve"> </w:t>
      </w:r>
      <w:r w:rsidR="0061437E">
        <w:t xml:space="preserve">Peter </w:t>
      </w:r>
      <w:r w:rsidRPr="006143ED">
        <w:t xml:space="preserve">O’Neill, Australia provided a $5 million assistance package to support the </w:t>
      </w:r>
      <w:r w:rsidR="001942F7" w:rsidRPr="00C54D90">
        <w:t>Government</w:t>
      </w:r>
      <w:r w:rsidR="001942F7">
        <w:t xml:space="preserve"> of Papua New Guinea</w:t>
      </w:r>
      <w:r w:rsidRPr="006143ED">
        <w:t>’s humanitarian efforts. This consisted of:</w:t>
      </w:r>
    </w:p>
    <w:p w14:paraId="21FCF460" w14:textId="77777777" w:rsidR="00753DC6" w:rsidRPr="00753DC6" w:rsidRDefault="00753DC6" w:rsidP="00753DC6">
      <w:pPr>
        <w:pStyle w:val="ListParagraph"/>
        <w:numPr>
          <w:ilvl w:val="0"/>
          <w:numId w:val="53"/>
        </w:numPr>
        <w:rPr>
          <w:rFonts w:asciiTheme="minorHAnsi" w:eastAsiaTheme="minorHAnsi" w:hAnsiTheme="minorHAnsi" w:cstheme="minorBidi"/>
          <w:color w:val="495965" w:themeColor="text2"/>
          <w:sz w:val="22"/>
          <w:szCs w:val="22"/>
          <w:lang w:val="en-GB"/>
        </w:rPr>
      </w:pPr>
      <w:r w:rsidRPr="00753DC6">
        <w:rPr>
          <w:rFonts w:asciiTheme="minorHAnsi" w:eastAsiaTheme="minorHAnsi" w:hAnsiTheme="minorHAnsi" w:cstheme="minorBidi"/>
          <w:color w:val="495965" w:themeColor="text2"/>
          <w:sz w:val="22"/>
          <w:szCs w:val="22"/>
          <w:lang w:val="en-GB"/>
        </w:rPr>
        <w:t>$3 million to Australian NGOs active in the highlands region to support the immediate relief and recovery needs of over 70,000 people: Caritas Australia assisted 37,500 people with lifesaving water, sanitation, hygiene and shelter solutions targeting those most vulnerable; CARE Australia supported the immediate relief and early recovery needs of 33,300 people by providing water, sanitation, hygiene, livelihoods and gender/protection assistance.</w:t>
      </w:r>
    </w:p>
    <w:p w14:paraId="0037DE65" w14:textId="2A78863D" w:rsidR="00753DC6" w:rsidRDefault="0097016B" w:rsidP="00753DC6">
      <w:pPr>
        <w:pStyle w:val="ListParagraph"/>
        <w:numPr>
          <w:ilvl w:val="0"/>
          <w:numId w:val="53"/>
        </w:numPr>
        <w:rPr>
          <w:rFonts w:asciiTheme="minorHAnsi" w:eastAsiaTheme="minorHAnsi" w:hAnsiTheme="minorHAnsi" w:cstheme="minorBidi"/>
          <w:color w:val="495965" w:themeColor="text2"/>
          <w:sz w:val="22"/>
          <w:szCs w:val="22"/>
          <w:lang w:val="en-GB"/>
        </w:rPr>
      </w:pPr>
      <w:r w:rsidRPr="00753DC6">
        <w:rPr>
          <w:rFonts w:asciiTheme="minorHAnsi" w:eastAsiaTheme="minorHAnsi" w:hAnsiTheme="minorHAnsi" w:cstheme="minorBidi"/>
          <w:color w:val="495965" w:themeColor="text2"/>
          <w:sz w:val="22"/>
          <w:szCs w:val="22"/>
          <w:lang w:val="en-GB"/>
        </w:rPr>
        <w:t xml:space="preserve">$1 million to support women and children in the earthquake-affected areas, in partnership with UN </w:t>
      </w:r>
      <w:r w:rsidR="00302230">
        <w:rPr>
          <w:rFonts w:asciiTheme="minorHAnsi" w:eastAsiaTheme="minorHAnsi" w:hAnsiTheme="minorHAnsi" w:cstheme="minorBidi"/>
          <w:color w:val="495965" w:themeColor="text2"/>
          <w:sz w:val="22"/>
          <w:szCs w:val="22"/>
          <w:lang w:val="en-GB"/>
        </w:rPr>
        <w:t>agencies and</w:t>
      </w:r>
      <w:r w:rsidRPr="00753DC6">
        <w:rPr>
          <w:rFonts w:asciiTheme="minorHAnsi" w:eastAsiaTheme="minorHAnsi" w:hAnsiTheme="minorHAnsi" w:cstheme="minorBidi"/>
          <w:color w:val="495965" w:themeColor="text2"/>
          <w:sz w:val="22"/>
          <w:szCs w:val="22"/>
          <w:lang w:val="en-GB"/>
        </w:rPr>
        <w:t xml:space="preserve"> International Planned Parenthood Federation. These agencies assist</w:t>
      </w:r>
      <w:r w:rsidR="00302230">
        <w:rPr>
          <w:rFonts w:asciiTheme="minorHAnsi" w:eastAsiaTheme="minorHAnsi" w:hAnsiTheme="minorHAnsi" w:cstheme="minorBidi"/>
          <w:color w:val="495965" w:themeColor="text2"/>
          <w:sz w:val="22"/>
          <w:szCs w:val="22"/>
          <w:lang w:val="en-GB"/>
        </w:rPr>
        <w:t>ed</w:t>
      </w:r>
      <w:r w:rsidRPr="00753DC6">
        <w:rPr>
          <w:rFonts w:asciiTheme="minorHAnsi" w:eastAsiaTheme="minorHAnsi" w:hAnsiTheme="minorHAnsi" w:cstheme="minorBidi"/>
          <w:color w:val="495965" w:themeColor="text2"/>
          <w:sz w:val="22"/>
          <w:szCs w:val="22"/>
          <w:lang w:val="en-GB"/>
        </w:rPr>
        <w:t xml:space="preserve"> with menstrual hygiene, birthing, sexually transmitted infections and sexual violence</w:t>
      </w:r>
      <w:r w:rsidR="0060611B" w:rsidRPr="00753DC6">
        <w:rPr>
          <w:rFonts w:asciiTheme="minorHAnsi" w:eastAsiaTheme="minorHAnsi" w:hAnsiTheme="minorHAnsi" w:cstheme="minorBidi"/>
          <w:color w:val="495965" w:themeColor="text2"/>
          <w:sz w:val="22"/>
          <w:szCs w:val="22"/>
          <w:lang w:val="en-GB"/>
        </w:rPr>
        <w:t xml:space="preserve"> </w:t>
      </w:r>
      <w:r w:rsidR="0060611B">
        <w:rPr>
          <w:rFonts w:asciiTheme="minorHAnsi" w:eastAsiaTheme="minorHAnsi" w:hAnsiTheme="minorHAnsi" w:cstheme="minorBidi"/>
          <w:color w:val="495965" w:themeColor="text2"/>
          <w:sz w:val="22"/>
          <w:szCs w:val="22"/>
          <w:lang w:val="en-GB"/>
        </w:rPr>
        <w:t>through</w:t>
      </w:r>
      <w:r w:rsidR="00302230">
        <w:rPr>
          <w:rFonts w:asciiTheme="minorHAnsi" w:eastAsiaTheme="minorHAnsi" w:hAnsiTheme="minorHAnsi" w:cstheme="minorBidi"/>
          <w:color w:val="495965" w:themeColor="text2"/>
          <w:sz w:val="22"/>
          <w:szCs w:val="22"/>
          <w:lang w:val="en-GB"/>
        </w:rPr>
        <w:t xml:space="preserve"> </w:t>
      </w:r>
      <w:r w:rsidRPr="00753DC6">
        <w:rPr>
          <w:rFonts w:asciiTheme="minorHAnsi" w:eastAsiaTheme="minorHAnsi" w:hAnsiTheme="minorHAnsi" w:cstheme="minorBidi"/>
          <w:color w:val="495965" w:themeColor="text2"/>
          <w:sz w:val="22"/>
          <w:szCs w:val="22"/>
          <w:lang w:val="en-GB"/>
        </w:rPr>
        <w:t>10 centres</w:t>
      </w:r>
      <w:r w:rsidR="00521EB9">
        <w:rPr>
          <w:rFonts w:asciiTheme="minorHAnsi" w:eastAsiaTheme="minorHAnsi" w:hAnsiTheme="minorHAnsi" w:cstheme="minorBidi"/>
          <w:color w:val="495965" w:themeColor="text2"/>
          <w:sz w:val="22"/>
          <w:szCs w:val="22"/>
          <w:lang w:val="en-GB"/>
        </w:rPr>
        <w:t>,</w:t>
      </w:r>
      <w:r w:rsidRPr="00753DC6">
        <w:rPr>
          <w:rFonts w:asciiTheme="minorHAnsi" w:eastAsiaTheme="minorHAnsi" w:hAnsiTheme="minorHAnsi" w:cstheme="minorBidi"/>
          <w:color w:val="495965" w:themeColor="text2"/>
          <w:sz w:val="22"/>
          <w:szCs w:val="22"/>
          <w:lang w:val="en-GB"/>
        </w:rPr>
        <w:t xml:space="preserve"> </w:t>
      </w:r>
      <w:r w:rsidR="00302230">
        <w:rPr>
          <w:rFonts w:asciiTheme="minorHAnsi" w:eastAsiaTheme="minorHAnsi" w:hAnsiTheme="minorHAnsi" w:cstheme="minorBidi"/>
          <w:color w:val="495965" w:themeColor="text2"/>
          <w:sz w:val="22"/>
          <w:szCs w:val="22"/>
          <w:lang w:val="en-GB"/>
        </w:rPr>
        <w:t>support</w:t>
      </w:r>
      <w:r w:rsidR="0060611B">
        <w:rPr>
          <w:rFonts w:asciiTheme="minorHAnsi" w:eastAsiaTheme="minorHAnsi" w:hAnsiTheme="minorHAnsi" w:cstheme="minorBidi"/>
          <w:color w:val="495965" w:themeColor="text2"/>
          <w:sz w:val="22"/>
          <w:szCs w:val="22"/>
          <w:lang w:val="en-GB"/>
        </w:rPr>
        <w:t>ing</w:t>
      </w:r>
      <w:r w:rsidR="00302230">
        <w:rPr>
          <w:rFonts w:asciiTheme="minorHAnsi" w:eastAsiaTheme="minorHAnsi" w:hAnsiTheme="minorHAnsi" w:cstheme="minorBidi"/>
          <w:color w:val="495965" w:themeColor="text2"/>
          <w:sz w:val="22"/>
          <w:szCs w:val="22"/>
          <w:lang w:val="en-GB"/>
        </w:rPr>
        <w:t xml:space="preserve"> around</w:t>
      </w:r>
      <w:r w:rsidRPr="00753DC6">
        <w:rPr>
          <w:rFonts w:asciiTheme="minorHAnsi" w:eastAsiaTheme="minorHAnsi" w:hAnsiTheme="minorHAnsi" w:cstheme="minorBidi"/>
          <w:color w:val="495965" w:themeColor="text2"/>
          <w:sz w:val="22"/>
          <w:szCs w:val="22"/>
          <w:lang w:val="en-GB"/>
        </w:rPr>
        <w:t xml:space="preserve"> 70,000 women and girls. </w:t>
      </w:r>
    </w:p>
    <w:p w14:paraId="7A5B8228" w14:textId="7B7991EE" w:rsidR="0097016B" w:rsidRPr="00753DC6" w:rsidRDefault="0097016B" w:rsidP="00753DC6">
      <w:pPr>
        <w:pStyle w:val="ListParagraph"/>
        <w:numPr>
          <w:ilvl w:val="0"/>
          <w:numId w:val="53"/>
        </w:numPr>
        <w:rPr>
          <w:rFonts w:asciiTheme="minorHAnsi" w:eastAsiaTheme="minorHAnsi" w:hAnsiTheme="minorHAnsi" w:cstheme="minorBidi"/>
          <w:color w:val="495965" w:themeColor="text2"/>
          <w:sz w:val="22"/>
          <w:szCs w:val="22"/>
          <w:lang w:val="en-GB"/>
        </w:rPr>
      </w:pPr>
      <w:r w:rsidRPr="00753DC6">
        <w:rPr>
          <w:rFonts w:asciiTheme="minorHAnsi" w:eastAsiaTheme="minorHAnsi" w:hAnsiTheme="minorHAnsi" w:cstheme="minorBidi"/>
          <w:color w:val="495965" w:themeColor="text2"/>
          <w:sz w:val="22"/>
          <w:szCs w:val="22"/>
          <w:lang w:val="en-GB"/>
        </w:rPr>
        <w:t>$400,000 worth of electrical transformers to enable power supplies to be re-established in Hela and Southern Highlands provinces.</w:t>
      </w:r>
    </w:p>
    <w:p w14:paraId="239D44F3" w14:textId="77777777" w:rsidR="0097016B" w:rsidRPr="006143ED" w:rsidRDefault="0097016B" w:rsidP="00753DC6">
      <w:pPr>
        <w:pStyle w:val="ListParagraph"/>
        <w:numPr>
          <w:ilvl w:val="0"/>
          <w:numId w:val="53"/>
        </w:numPr>
        <w:rPr>
          <w:rFonts w:asciiTheme="minorHAnsi" w:eastAsiaTheme="minorHAnsi" w:hAnsiTheme="minorHAnsi" w:cstheme="minorBidi"/>
          <w:color w:val="495965" w:themeColor="text2"/>
          <w:sz w:val="22"/>
          <w:szCs w:val="22"/>
          <w:lang w:val="en-GB"/>
        </w:rPr>
      </w:pPr>
      <w:r w:rsidRPr="006143ED">
        <w:rPr>
          <w:rFonts w:asciiTheme="minorHAnsi" w:eastAsiaTheme="minorHAnsi" w:hAnsiTheme="minorHAnsi" w:cstheme="minorBidi"/>
          <w:color w:val="495965" w:themeColor="text2"/>
          <w:sz w:val="22"/>
          <w:szCs w:val="22"/>
          <w:lang w:val="en-GB"/>
        </w:rPr>
        <w:t xml:space="preserve">$200,000 for humanitarian supplies, including tarpaulins, bed mats and water containers, and logistics support. </w:t>
      </w:r>
    </w:p>
    <w:p w14:paraId="636AEF46" w14:textId="35866589" w:rsidR="0097016B" w:rsidRPr="006143ED" w:rsidRDefault="0097016B" w:rsidP="00753DC6">
      <w:pPr>
        <w:pStyle w:val="ListParagraph"/>
        <w:numPr>
          <w:ilvl w:val="0"/>
          <w:numId w:val="53"/>
        </w:numPr>
        <w:rPr>
          <w:rFonts w:asciiTheme="minorHAnsi" w:eastAsiaTheme="minorHAnsi" w:hAnsiTheme="minorHAnsi" w:cstheme="minorBidi"/>
          <w:color w:val="495965" w:themeColor="text2"/>
          <w:sz w:val="22"/>
          <w:szCs w:val="22"/>
          <w:lang w:val="en-GB"/>
        </w:rPr>
      </w:pPr>
      <w:r w:rsidRPr="006143ED">
        <w:rPr>
          <w:rFonts w:asciiTheme="minorHAnsi" w:eastAsiaTheme="minorHAnsi" w:hAnsiTheme="minorHAnsi" w:cstheme="minorBidi"/>
          <w:color w:val="495965" w:themeColor="text2"/>
          <w:sz w:val="22"/>
          <w:szCs w:val="22"/>
          <w:lang w:val="en-GB"/>
        </w:rPr>
        <w:t xml:space="preserve">A 15 person Australian Medical Assistance Team (AUSMAT) deployed to </w:t>
      </w:r>
      <w:r w:rsidR="00302230">
        <w:rPr>
          <w:rFonts w:asciiTheme="minorHAnsi" w:eastAsiaTheme="minorHAnsi" w:hAnsiTheme="minorHAnsi" w:cstheme="minorBidi"/>
          <w:color w:val="495965" w:themeColor="text2"/>
          <w:sz w:val="22"/>
          <w:szCs w:val="22"/>
          <w:lang w:val="en-GB"/>
        </w:rPr>
        <w:t>the Southern Highlands, assisting</w:t>
      </w:r>
      <w:r w:rsidRPr="006143ED">
        <w:rPr>
          <w:rFonts w:asciiTheme="minorHAnsi" w:eastAsiaTheme="minorHAnsi" w:hAnsiTheme="minorHAnsi" w:cstheme="minorBidi"/>
          <w:color w:val="495965" w:themeColor="text2"/>
          <w:sz w:val="22"/>
          <w:szCs w:val="22"/>
          <w:lang w:val="en-GB"/>
        </w:rPr>
        <w:t xml:space="preserve"> with emergency operations and </w:t>
      </w:r>
      <w:r w:rsidR="00302230">
        <w:rPr>
          <w:rFonts w:asciiTheme="minorHAnsi" w:eastAsiaTheme="minorHAnsi" w:hAnsiTheme="minorHAnsi" w:cstheme="minorBidi"/>
          <w:color w:val="495965" w:themeColor="text2"/>
          <w:sz w:val="22"/>
          <w:szCs w:val="22"/>
          <w:lang w:val="en-GB"/>
        </w:rPr>
        <w:t>treating</w:t>
      </w:r>
      <w:r w:rsidRPr="006143ED">
        <w:rPr>
          <w:rFonts w:asciiTheme="minorHAnsi" w:eastAsiaTheme="minorHAnsi" w:hAnsiTheme="minorHAnsi" w:cstheme="minorBidi"/>
          <w:color w:val="495965" w:themeColor="text2"/>
          <w:sz w:val="22"/>
          <w:szCs w:val="22"/>
          <w:lang w:val="en-GB"/>
        </w:rPr>
        <w:t xml:space="preserve"> 1</w:t>
      </w:r>
      <w:r w:rsidR="00521EB9">
        <w:rPr>
          <w:rFonts w:asciiTheme="minorHAnsi" w:eastAsiaTheme="minorHAnsi" w:hAnsiTheme="minorHAnsi" w:cstheme="minorBidi"/>
          <w:color w:val="495965" w:themeColor="text2"/>
          <w:sz w:val="22"/>
          <w:szCs w:val="22"/>
          <w:lang w:val="en-GB"/>
        </w:rPr>
        <w:t>,</w:t>
      </w:r>
      <w:r w:rsidRPr="006143ED">
        <w:rPr>
          <w:rFonts w:asciiTheme="minorHAnsi" w:eastAsiaTheme="minorHAnsi" w:hAnsiTheme="minorHAnsi" w:cstheme="minorBidi"/>
          <w:color w:val="495965" w:themeColor="text2"/>
          <w:sz w:val="22"/>
          <w:szCs w:val="22"/>
          <w:lang w:val="en-GB"/>
        </w:rPr>
        <w:t>025 patients.</w:t>
      </w:r>
    </w:p>
    <w:p w14:paraId="186A37D5" w14:textId="1AD97EA0" w:rsidR="00FA3682" w:rsidRPr="00FA3682" w:rsidRDefault="00FA3682" w:rsidP="00A323C2">
      <w:r w:rsidRPr="00FA3682">
        <w:t xml:space="preserve">The ADF launched Operation </w:t>
      </w:r>
      <w:r w:rsidRPr="009A7F0F">
        <w:rPr>
          <w:i/>
        </w:rPr>
        <w:t>PNG Assist 2018</w:t>
      </w:r>
      <w:r w:rsidRPr="00FA3682">
        <w:t xml:space="preserve"> to support the relief operation, deploying 110 personnel. A RAAF C-130J aircraft made 60 flights, transporting over 510 tonnes of medical and humanitarian supplies to affected areas in Southern and Western Highlands. This included the distribution of food provided by the World Food Program and other partners. Three CH47F Chinook helicopters distributed supplies to the affected region to many of the communities</w:t>
      </w:r>
      <w:r w:rsidR="00521EB9">
        <w:t>,</w:t>
      </w:r>
      <w:r w:rsidRPr="00FA3682">
        <w:t xml:space="preserve"> initially only accessible by helicopter. </w:t>
      </w:r>
    </w:p>
    <w:p w14:paraId="3CA88C43" w14:textId="55E074CD" w:rsidR="0097016B" w:rsidRPr="006143ED" w:rsidRDefault="00FA3682" w:rsidP="0097016B">
      <w:r w:rsidRPr="00FA3682">
        <w:t xml:space="preserve">Alongside the initial humanitarian relief effort, DFAT and Papua New Guinea Department for Works (DoW) undertook an assessment of the earthquake’s impacts. This showed that extensive damage to critical infrastructure across affected areas was severely curtailing basic service delivery. The DoW estimated the cost of damage to be over PGK500 million, but the eventual figure may be even higher. In response to a Government </w:t>
      </w:r>
      <w:r w:rsidR="005F7439">
        <w:t xml:space="preserve">of Papua New Guinea </w:t>
      </w:r>
      <w:r w:rsidRPr="00FA3682">
        <w:t>request, DFAT developed a long term plan for reconstruction, with a focus on repairing and rebuilding roads, health and education facilities,</w:t>
      </w:r>
      <w:r w:rsidR="00521EB9">
        <w:t xml:space="preserve"> and</w:t>
      </w:r>
      <w:r w:rsidRPr="00FA3682">
        <w:t xml:space="preserve"> restoring electricity, water and sanitation services. However, the scale of the damage, financial constraints and limited access due to geography and security concerns means that full restoration may take considerable time.</w:t>
      </w:r>
    </w:p>
    <w:p w14:paraId="2919ABA6" w14:textId="77777777" w:rsidR="00DE042A" w:rsidRPr="00CF22B1" w:rsidRDefault="00DE042A" w:rsidP="001E21BB">
      <w:pPr>
        <w:pStyle w:val="Heading3Numbered"/>
        <w:numPr>
          <w:ilvl w:val="0"/>
          <w:numId w:val="0"/>
        </w:numPr>
        <w:ind w:left="851" w:hanging="851"/>
      </w:pPr>
      <w:r w:rsidRPr="00CF22B1">
        <w:lastRenderedPageBreak/>
        <w:t>Gender equality and women’s empowerment</w:t>
      </w:r>
    </w:p>
    <w:p w14:paraId="58DAD9D1" w14:textId="193D138A" w:rsidR="00E876EC" w:rsidRPr="0027368F" w:rsidRDefault="00E876EC" w:rsidP="00E876EC">
      <w:r w:rsidRPr="0027368F">
        <w:t xml:space="preserve">Gender inequality is entrenched across Papua New Guinea, which is ranked </w:t>
      </w:r>
      <w:r w:rsidR="00521EB9">
        <w:t>153</w:t>
      </w:r>
      <w:r w:rsidR="00521EB9" w:rsidRPr="0027368F">
        <w:t xml:space="preserve"> </w:t>
      </w:r>
      <w:r w:rsidRPr="0027368F">
        <w:t xml:space="preserve">out of </w:t>
      </w:r>
      <w:r w:rsidR="00521EB9">
        <w:t>189</w:t>
      </w:r>
      <w:r w:rsidR="00B55E36">
        <w:t xml:space="preserve"> </w:t>
      </w:r>
      <w:r w:rsidRPr="0027368F">
        <w:t>countries in the UN</w:t>
      </w:r>
      <w:r w:rsidR="00521EB9">
        <w:t>DP</w:t>
      </w:r>
      <w:r w:rsidRPr="0027368F">
        <w:t xml:space="preserve">’s </w:t>
      </w:r>
      <w:r w:rsidR="00521EB9">
        <w:t>2017</w:t>
      </w:r>
      <w:r w:rsidR="00B55E36">
        <w:t xml:space="preserve"> </w:t>
      </w:r>
      <w:r w:rsidRPr="0027368F">
        <w:t xml:space="preserve">Gender Inequality Index.  Papua New Guinea is now ranked equal last of 191 countries for women’s participation in national parliament, with the number of female Members of Parliament falling from three to zero in the 2017 general election; in Local Level Governments, less than two per cent of seats are held by women. Prime Minister O’Neill said publicly he was disappointed with the lack of women’s representation and committed to discussing with coalition partners the revival of a motion to have 22 reserved seats for women in the Parliament. </w:t>
      </w:r>
    </w:p>
    <w:p w14:paraId="5EE310F3" w14:textId="3BE6DB75" w:rsidR="00E876EC" w:rsidRPr="0027368F" w:rsidRDefault="00E876EC" w:rsidP="00E876EC">
      <w:r w:rsidRPr="0027368F">
        <w:t xml:space="preserve">Australia recognises that gender equality and women’s empowerment are essential to Papua New Guinea’s economic and human development and are critical cross-cutting issues for Australia’s engagement in </w:t>
      </w:r>
      <w:r>
        <w:t>the country</w:t>
      </w:r>
      <w:r w:rsidRPr="0027368F">
        <w:t xml:space="preserve">. Gender equality issues are considered in every Australian development investment and diplomatic </w:t>
      </w:r>
      <w:r>
        <w:t xml:space="preserve">or </w:t>
      </w:r>
      <w:r w:rsidRPr="0027368F">
        <w:t>economic engagement</w:t>
      </w:r>
      <w:r>
        <w:t xml:space="preserve">, as well as through </w:t>
      </w:r>
      <w:r w:rsidRPr="0027368F">
        <w:t>specific</w:t>
      </w:r>
      <w:r>
        <w:t xml:space="preserve"> gender</w:t>
      </w:r>
      <w:r w:rsidRPr="0027368F">
        <w:t xml:space="preserve"> </w:t>
      </w:r>
      <w:r>
        <w:t>activities</w:t>
      </w:r>
      <w:r w:rsidRPr="0027368F">
        <w:t xml:space="preserve">. </w:t>
      </w:r>
      <w:r>
        <w:t xml:space="preserve">This work is </w:t>
      </w:r>
      <w:r w:rsidRPr="0027368F">
        <w:t xml:space="preserve">guided by the Australian High Commission </w:t>
      </w:r>
      <w:r>
        <w:t xml:space="preserve">in </w:t>
      </w:r>
      <w:r w:rsidRPr="0027368F">
        <w:t xml:space="preserve">Port Moresby’s </w:t>
      </w:r>
      <w:r w:rsidRPr="0027368F">
        <w:rPr>
          <w:i/>
        </w:rPr>
        <w:t>Gender Action Plan 2015</w:t>
      </w:r>
      <w:r w:rsidRPr="0027368F">
        <w:rPr>
          <w:i/>
        </w:rPr>
        <w:noBreakHyphen/>
        <w:t>20</w:t>
      </w:r>
      <w:r>
        <w:rPr>
          <w:i/>
        </w:rPr>
        <w:t>,</w:t>
      </w:r>
      <w:r>
        <w:t xml:space="preserve"> which </w:t>
      </w:r>
      <w:r w:rsidRPr="0027368F">
        <w:t>identifies three main strategic objectives</w:t>
      </w:r>
      <w:r>
        <w:t xml:space="preserve"> </w:t>
      </w:r>
      <w:r w:rsidRPr="005945BF">
        <w:t>for aid investments</w:t>
      </w:r>
      <w:r w:rsidRPr="0027368F">
        <w:t xml:space="preserve">: enhancing women’s voice in decision-making, leadership and peacebuilding; promoting women’s economic empowerment; and ending violence against women and girls and increasing access to support services. </w:t>
      </w:r>
      <w:r>
        <w:t>In line with this, Australia utilises opportunities presented through its engagement with Government to advocate on gender matters.</w:t>
      </w:r>
    </w:p>
    <w:p w14:paraId="480E14F1" w14:textId="7CCD4AC7" w:rsidR="00E876EC" w:rsidRPr="0027368F" w:rsidRDefault="00E876EC" w:rsidP="00E876EC">
      <w:r w:rsidRPr="0027368F">
        <w:t>The Government of Papua New Guinea</w:t>
      </w:r>
      <w:r>
        <w:t>’s progress</w:t>
      </w:r>
      <w:r w:rsidRPr="0027368F">
        <w:t xml:space="preserve"> to address inequality includ</w:t>
      </w:r>
      <w:r>
        <w:t>ed in the 2018 budget the first allocation</w:t>
      </w:r>
      <w:r w:rsidRPr="0027368F">
        <w:t xml:space="preserve"> </w:t>
      </w:r>
      <w:r>
        <w:t xml:space="preserve">of funding to </w:t>
      </w:r>
      <w:r w:rsidRPr="0027368F">
        <w:t xml:space="preserve">the Department for Community Development and Religion </w:t>
      </w:r>
      <w:r>
        <w:t xml:space="preserve">for the </w:t>
      </w:r>
      <w:r w:rsidRPr="0027368F">
        <w:t>implement</w:t>
      </w:r>
      <w:r>
        <w:t>ation of</w:t>
      </w:r>
      <w:r w:rsidRPr="0027368F">
        <w:t xml:space="preserve"> </w:t>
      </w:r>
      <w:r>
        <w:t xml:space="preserve">two key pieces of legislation: </w:t>
      </w:r>
      <w:r w:rsidRPr="0027368F">
        <w:t xml:space="preserve">the </w:t>
      </w:r>
      <w:r w:rsidRPr="0027368F">
        <w:rPr>
          <w:i/>
        </w:rPr>
        <w:t>Papua New Guinea National Strategy to Prevent and Respond to Gender-Based Violence 2016–25</w:t>
      </w:r>
      <w:r w:rsidRPr="0027368F">
        <w:t xml:space="preserve"> and the </w:t>
      </w:r>
      <w:r w:rsidRPr="0027368F">
        <w:rPr>
          <w:i/>
        </w:rPr>
        <w:t>Sorcery and Witchcraft Accusation Related Violence National Action Plan 2015</w:t>
      </w:r>
      <w:r w:rsidRPr="0027368F">
        <w:t xml:space="preserve">.  Australia supported the development of the strategy and the plan. Government agencies are increasing efforts to implement the </w:t>
      </w:r>
      <w:r w:rsidRPr="007F2F4F">
        <w:rPr>
          <w:i/>
        </w:rPr>
        <w:t>Family Protection Act 2013</w:t>
      </w:r>
      <w:r w:rsidRPr="0027368F">
        <w:t xml:space="preserve">, which criminalises domestic violence and introduces a system of Family and Interim Protection Orders. </w:t>
      </w:r>
    </w:p>
    <w:p w14:paraId="5F463325" w14:textId="2D32959B" w:rsidR="00E876EC" w:rsidRPr="0027368F" w:rsidRDefault="00E876EC" w:rsidP="00E876EC">
      <w:r w:rsidRPr="0027368F">
        <w:t xml:space="preserve">Australia’s principal gender development investment in Papua New Guinea, </w:t>
      </w:r>
      <w:r w:rsidRPr="0027368F">
        <w:rPr>
          <w:i/>
        </w:rPr>
        <w:t>Pacific Women Shaping Pacific Development (Pacific Women</w:t>
      </w:r>
      <w:r w:rsidRPr="0027368F">
        <w:t xml:space="preserve">) ($88 million from 2012-22) has four intended outcomes: increasing women’s leadership and influence; increasing economic opportunities for women; strengthening the response to violence against women and expanding support services; and enhancing knowledge and evidence to inform policy and practice. A mid-term review of the </w:t>
      </w:r>
      <w:r w:rsidRPr="0027368F">
        <w:rPr>
          <w:i/>
        </w:rPr>
        <w:t>Pacific Women</w:t>
      </w:r>
      <w:r w:rsidRPr="0027368F">
        <w:t xml:space="preserve"> second Papua New Guinea country plan, delivered in August 2017, found it was on track</w:t>
      </w:r>
      <w:r>
        <w:t xml:space="preserve"> to</w:t>
      </w:r>
      <w:r w:rsidRPr="0027368F">
        <w:t xml:space="preserve"> achieving objectives and outcomes. Through sharing lessons and strengthening linkages between activities and partners it ha</w:t>
      </w:r>
      <w:r>
        <w:t>s</w:t>
      </w:r>
      <w:r w:rsidRPr="0027368F">
        <w:t xml:space="preserve"> facilitated a coordinated program of work that was greater than its component parts. More than half of the projects addressed more than one intended outcome and there was substantial evidence of partners acting together for change. </w:t>
      </w:r>
    </w:p>
    <w:p w14:paraId="23250B3A" w14:textId="5EFEFC36" w:rsidR="007F2F4F" w:rsidRDefault="00E876EC" w:rsidP="00BC34B9">
      <w:r>
        <w:t>In 2017-18, 80</w:t>
      </w:r>
      <w:r w:rsidRPr="0027368F">
        <w:t xml:space="preserve"> percent of Australia’s development assistance to Papua New Guinea effectively addressed gender issues, measured through Aid Quality Check ratings</w:t>
      </w:r>
      <w:r>
        <w:t xml:space="preserve">, meeting </w:t>
      </w:r>
      <w:r w:rsidRPr="0027368F">
        <w:t xml:space="preserve">the DFAT strategic target of 80 per cent. </w:t>
      </w:r>
      <w:r w:rsidR="00580AFA">
        <w:t>2.3 per cent</w:t>
      </w:r>
      <w:r w:rsidRPr="005945BF">
        <w:t xml:space="preserve"> </w:t>
      </w:r>
      <w:r w:rsidRPr="0027368F">
        <w:t xml:space="preserve">of Australia’s total development assistance to Papua New Guinea promoted gender equality as a principal objective. The proportion of Australian investments that also included significant spending on gender equality (not just those with gender equality as a main objective) was </w:t>
      </w:r>
      <w:r w:rsidR="00580AFA">
        <w:t>44.5</w:t>
      </w:r>
      <w:r w:rsidRPr="0027368F">
        <w:t xml:space="preserve"> per cent. This </w:t>
      </w:r>
      <w:r w:rsidRPr="005945BF">
        <w:t>result reflects a more rigorous approach to the allocation of DAC cat</w:t>
      </w:r>
      <w:r>
        <w:t xml:space="preserve">egories and provides post with </w:t>
      </w:r>
      <w:r w:rsidRPr="005945BF">
        <w:t>a usef</w:t>
      </w:r>
      <w:r>
        <w:t xml:space="preserve">ul baseline for the future. It </w:t>
      </w:r>
      <w:r w:rsidRPr="005945BF">
        <w:t>highlights th</w:t>
      </w:r>
      <w:r>
        <w:t>e need to make commitments to g</w:t>
      </w:r>
      <w:r w:rsidRPr="005945BF">
        <w:t>ender eq</w:t>
      </w:r>
      <w:r w:rsidR="007F2F4F">
        <w:t>uality more explicit in designs</w:t>
      </w:r>
      <w:r w:rsidRPr="0027368F">
        <w:t>. The</w:t>
      </w:r>
      <w:r w:rsidR="00915EF5">
        <w:t xml:space="preserve"> Gender Action Plan is currently being revised and in its new form will drive a more strategic and coherent approach to the pursuit </w:t>
      </w:r>
      <w:r w:rsidR="0060611B">
        <w:t xml:space="preserve">of </w:t>
      </w:r>
      <w:r w:rsidR="00915EF5">
        <w:t xml:space="preserve">equality across the program. </w:t>
      </w:r>
    </w:p>
    <w:p w14:paraId="5F2C826A" w14:textId="4096896B" w:rsidR="00E33044" w:rsidRPr="00CF22B1" w:rsidRDefault="00E33044" w:rsidP="00DE042A">
      <w:pPr>
        <w:rPr>
          <w:i/>
        </w:rPr>
      </w:pPr>
      <w:r w:rsidRPr="00CF22B1">
        <w:rPr>
          <w:i/>
        </w:rPr>
        <w:t>Enhancing women’s voice in decision-making, leadership and peacebuilding</w:t>
      </w:r>
    </w:p>
    <w:p w14:paraId="49940E40" w14:textId="77777777" w:rsidR="00E876EC" w:rsidRDefault="00E876EC" w:rsidP="00E876EC">
      <w:pPr>
        <w:spacing w:before="0"/>
      </w:pPr>
      <w:r w:rsidRPr="005945BF">
        <w:t xml:space="preserve">All investments included some element of support to women in leadership. Major contributions to this outcome are found under the </w:t>
      </w:r>
      <w:r w:rsidRPr="00B849C8">
        <w:rPr>
          <w:i/>
        </w:rPr>
        <w:t>Pacific Women</w:t>
      </w:r>
      <w:r w:rsidRPr="005945BF">
        <w:t xml:space="preserve"> program, the Law and Justice program</w:t>
      </w:r>
      <w:r>
        <w:t xml:space="preserve">, </w:t>
      </w:r>
      <w:r w:rsidR="00C47039">
        <w:t>t</w:t>
      </w:r>
      <w:r>
        <w:t xml:space="preserve">he Pacific Leadership and Governance Precinct (Precinct) </w:t>
      </w:r>
      <w:r w:rsidRPr="005945BF">
        <w:t>and Bo</w:t>
      </w:r>
      <w:r>
        <w:t xml:space="preserve">ugainville partnership. </w:t>
      </w:r>
    </w:p>
    <w:p w14:paraId="4FF37CC0" w14:textId="77777777" w:rsidR="00E876EC" w:rsidRDefault="00E876EC" w:rsidP="00E876EC">
      <w:r w:rsidRPr="00182656">
        <w:t xml:space="preserve">Internal and </w:t>
      </w:r>
      <w:r w:rsidRPr="00182656">
        <w:rPr>
          <w:i/>
        </w:rPr>
        <w:t>Pacific Women</w:t>
      </w:r>
      <w:r w:rsidRPr="00182656">
        <w:t xml:space="preserve"> reporting indicated some progress towards this objective.  The training </w:t>
      </w:r>
      <w:r>
        <w:t>and/</w:t>
      </w:r>
      <w:r w:rsidRPr="00182656">
        <w:t>or mentoring of women (</w:t>
      </w:r>
      <w:r>
        <w:t>1,027</w:t>
      </w:r>
      <w:r w:rsidRPr="00182656">
        <w:t xml:space="preserve"> across Australia’s investments in 2017-18) is a Performance Assessment </w:t>
      </w:r>
      <w:r w:rsidRPr="00182656">
        <w:lastRenderedPageBreak/>
        <w:t xml:space="preserve">Framework indicator of progress towards enhancing women’s voice.  In Bougainville, the mid-term evaluation found </w:t>
      </w:r>
      <w:r w:rsidRPr="00B849C8">
        <w:rPr>
          <w:i/>
        </w:rPr>
        <w:t>Pacific Women</w:t>
      </w:r>
      <w:r w:rsidRPr="00182656">
        <w:t xml:space="preserve"> projects have influenced government policies and programs promoting women's leadership, contributed to increasing the number of women contesting community government elections, and built women's skills to fulfil leadership roles. </w:t>
      </w:r>
    </w:p>
    <w:p w14:paraId="4B05A0E0" w14:textId="5A2F23BA" w:rsidR="00E876EC" w:rsidRPr="00182656" w:rsidRDefault="00E33044" w:rsidP="00E876EC">
      <w:r w:rsidRPr="00CF22B1">
        <w:rPr>
          <w:i/>
        </w:rPr>
        <w:t>Promoting women’s economic empowerment</w:t>
      </w:r>
      <w:r w:rsidR="00BD74D0">
        <w:rPr>
          <w:i/>
        </w:rPr>
        <w:br/>
      </w:r>
      <w:r w:rsidR="00E876EC" w:rsidRPr="00182656">
        <w:rPr>
          <w:i/>
        </w:rPr>
        <w:t>Pacific Women</w:t>
      </w:r>
      <w:r w:rsidR="00E876EC" w:rsidRPr="00182656">
        <w:t xml:space="preserve"> reporting indicated some progress towards this objective. </w:t>
      </w:r>
      <w:r w:rsidR="00E876EC" w:rsidRPr="00182656">
        <w:rPr>
          <w:i/>
        </w:rPr>
        <w:t>Pacific Women</w:t>
      </w:r>
      <w:r w:rsidR="00E876EC" w:rsidRPr="00182656">
        <w:t xml:space="preserve"> projects assisted more than 8,000 women to access financial information and services in 2017-18. A mid-term review of the Coffee Industry Support Project, a significant </w:t>
      </w:r>
      <w:r w:rsidR="00E876EC" w:rsidRPr="00F946A9">
        <w:rPr>
          <w:i/>
        </w:rPr>
        <w:t>Pacific Women</w:t>
      </w:r>
      <w:r w:rsidR="00E876EC" w:rsidRPr="00182656">
        <w:t xml:space="preserve"> project for promoting empowerment, found it was on-track to achieve outcomes including enabling women’s meaningful participation in the coffee industry; increased access to and control over income from coffee farming; and improved learning about women’s empowerment in the industry. Over 35 per cent of women farmers accessed coffee farming support services in 2017 compared to less than 5 per cent when the project </w:t>
      </w:r>
      <w:r w:rsidR="00521EB9">
        <w:t>commenced</w:t>
      </w:r>
      <w:r w:rsidR="00521EB9" w:rsidRPr="00182656">
        <w:t xml:space="preserve"> </w:t>
      </w:r>
      <w:r w:rsidR="00E876EC" w:rsidRPr="00182656">
        <w:t xml:space="preserve">in 2013. </w:t>
      </w:r>
    </w:p>
    <w:p w14:paraId="31F98406" w14:textId="77777777" w:rsidR="00E876EC" w:rsidRDefault="00E876EC" w:rsidP="00E876EC">
      <w:pPr>
        <w:keepNext/>
        <w:keepLines/>
      </w:pPr>
      <w:r w:rsidRPr="00182656">
        <w:t>Australia</w:t>
      </w:r>
      <w:r>
        <w:t>’s</w:t>
      </w:r>
      <w:r w:rsidRPr="00182656">
        <w:t xml:space="preserve"> invest</w:t>
      </w:r>
      <w:r>
        <w:t>ment</w:t>
      </w:r>
      <w:r w:rsidRPr="00182656">
        <w:t xml:space="preserve"> in improving women employees’ self-confidence </w:t>
      </w:r>
      <w:r>
        <w:t>and</w:t>
      </w:r>
      <w:r w:rsidRPr="00182656">
        <w:t xml:space="preserve"> technical skills through the Certificate IV Leadership and Management </w:t>
      </w:r>
      <w:r>
        <w:t>(</w:t>
      </w:r>
      <w:r w:rsidRPr="00182656">
        <w:t>which was offered to a number of Business Coalition for Women member organisations and some public sector agencies</w:t>
      </w:r>
      <w:r>
        <w:t>) resulted in</w:t>
      </w:r>
      <w:r w:rsidRPr="00182656">
        <w:t xml:space="preserve"> around 80 per</w:t>
      </w:r>
      <w:r w:rsidR="00977220">
        <w:t xml:space="preserve"> </w:t>
      </w:r>
      <w:r w:rsidRPr="00182656">
        <w:t xml:space="preserve">cent of the participants being promoted and/or taking on more responsibility. </w:t>
      </w:r>
    </w:p>
    <w:p w14:paraId="652BC08D" w14:textId="77777777" w:rsidR="00E33044" w:rsidRPr="00CF22B1" w:rsidRDefault="00E33044" w:rsidP="00E876EC">
      <w:pPr>
        <w:rPr>
          <w:i/>
        </w:rPr>
      </w:pPr>
      <w:r w:rsidRPr="00CF22B1">
        <w:rPr>
          <w:i/>
        </w:rPr>
        <w:t>Ending violence against women and girls and increasing access to support services</w:t>
      </w:r>
    </w:p>
    <w:p w14:paraId="5A86D835" w14:textId="77777777" w:rsidR="00E876EC" w:rsidRPr="00A061D7" w:rsidRDefault="00E876EC" w:rsidP="00E876EC">
      <w:r w:rsidRPr="00A061D7">
        <w:t xml:space="preserve">The mid-term review of </w:t>
      </w:r>
      <w:r w:rsidRPr="00A061D7">
        <w:rPr>
          <w:i/>
        </w:rPr>
        <w:t xml:space="preserve">Pacific Women </w:t>
      </w:r>
      <w:r w:rsidRPr="00A061D7">
        <w:t xml:space="preserve">indicated strong progress towards </w:t>
      </w:r>
      <w:r>
        <w:t xml:space="preserve">this </w:t>
      </w:r>
      <w:r w:rsidRPr="00A061D7">
        <w:t xml:space="preserve">objective, including evidence that projects developed advocacy coalitions, trialled prevention programs, and developed service delivery models and referral pathways for survivors. Internal reporting found projects have increased the availability and quality of medical, legal, accommodation, case management and justice services for survivors in priority provinces. In 2017-18, </w:t>
      </w:r>
      <w:r w:rsidRPr="00A061D7">
        <w:rPr>
          <w:i/>
        </w:rPr>
        <w:t>Pacific Women</w:t>
      </w:r>
      <w:r w:rsidRPr="00A061D7">
        <w:t xml:space="preserve"> projects enabled more than 900 women and girls to access support services (a key Performance Assessment Framework indicator)</w:t>
      </w:r>
      <w:r>
        <w:t xml:space="preserve">.  </w:t>
      </w:r>
      <w:r w:rsidRPr="00A061D7">
        <w:t xml:space="preserve">Community awareness and outreach campaigns that challenge social gender norms and violence against children reached more than 134,000 women, men, girls and boys. Understanding of gender-based and sorcery accusation related violence was improved through research, released in November 2017, that analysed data from over 6,000 violence cases, and led to the development of communication strategies and tools for community advocacy and awareness. </w:t>
      </w:r>
    </w:p>
    <w:p w14:paraId="0221542E" w14:textId="268B4CA4" w:rsidR="00352477" w:rsidRPr="00A061D7" w:rsidRDefault="00E876EC" w:rsidP="00E876EC">
      <w:r w:rsidRPr="00352477">
        <w:t xml:space="preserve">The Justice Services and Stability for Development program </w:t>
      </w:r>
      <w:r w:rsidR="005F7439">
        <w:t xml:space="preserve">supported </w:t>
      </w:r>
      <w:r>
        <w:t>the establishment of a further two</w:t>
      </w:r>
      <w:r w:rsidRPr="00352477">
        <w:t xml:space="preserve"> FSV</w:t>
      </w:r>
      <w:r w:rsidR="005F7439">
        <w:t xml:space="preserve"> unit</w:t>
      </w:r>
      <w:r w:rsidRPr="00352477">
        <w:t>s in 2018, bringi</w:t>
      </w:r>
      <w:r>
        <w:t>ng the total number of FSVUs to </w:t>
      </w:r>
      <w:r w:rsidRPr="00352477">
        <w:t>25.</w:t>
      </w:r>
    </w:p>
    <w:p w14:paraId="39FDD04E" w14:textId="77777777" w:rsidR="00417A72" w:rsidRPr="004F268B" w:rsidRDefault="00417A72" w:rsidP="001E21BB">
      <w:pPr>
        <w:pStyle w:val="Heading3Numbered"/>
        <w:numPr>
          <w:ilvl w:val="0"/>
          <w:numId w:val="0"/>
        </w:numPr>
        <w:ind w:left="851" w:hanging="851"/>
        <w:rPr>
          <w:color w:val="auto"/>
          <w:lang w:val="en-AU"/>
        </w:rPr>
      </w:pPr>
      <w:r w:rsidRPr="004F268B">
        <w:t>Autonomous Region of Bougainville</w:t>
      </w:r>
    </w:p>
    <w:p w14:paraId="592D05B8" w14:textId="5EB3D0F7" w:rsidR="004B24D7" w:rsidRDefault="004B24D7" w:rsidP="004B24D7">
      <w:r>
        <w:t>Australia's development assistance in Papua New Guinea’s Autonomous Region of Bougainville supports the foundations for peace and stability, including through improved governance and increased economic growth. We support the Papua New Guinea and Autonomous Bougainville governments to implement the autonomy arrangements under the Bougainville Peace Agreement. We assist the Autonomous Bougainville Government (ABG) to increase their capacity to deliver services to all Bougainvilleans and to invest in Bougainville’s private sector to benefit the economy. Supporting women and youth to actively engage in the community and the econ</w:t>
      </w:r>
      <w:r w:rsidR="00606A20">
        <w:t>omy is a cross</w:t>
      </w:r>
      <w:r>
        <w:t xml:space="preserve">cutting priority. </w:t>
      </w:r>
      <w:r w:rsidR="00F604E7">
        <w:t xml:space="preserve">We will work with the Papua New Guinea and Autonomous Bougainville governments and community groups </w:t>
      </w:r>
      <w:r w:rsidR="00F604E7">
        <w:rPr>
          <w:lang w:val="en-US"/>
        </w:rPr>
        <w:t>in 2018-19</w:t>
      </w:r>
      <w:r w:rsidR="00F604E7" w:rsidRPr="0092172B">
        <w:t xml:space="preserve"> </w:t>
      </w:r>
      <w:r w:rsidR="00F604E7">
        <w:t>to provide consistent and impartial support in the lead up to the referendum.</w:t>
      </w:r>
    </w:p>
    <w:p w14:paraId="2F414554" w14:textId="77777777" w:rsidR="004F268B" w:rsidRDefault="004B24D7" w:rsidP="004B24D7">
      <w:r>
        <w:t>Australia delivered $48.3 million of assistance to Bougainville in 2017-18 through dedicated Bougainville programs supporting improved governance, economic development, and peace building, and through Australia’s Papua New Guinea-wide programs.</w:t>
      </w:r>
    </w:p>
    <w:p w14:paraId="760D670D" w14:textId="77777777" w:rsidR="00303C17" w:rsidRPr="004F268B" w:rsidRDefault="00303C17" w:rsidP="004F268B">
      <w:pPr>
        <w:rPr>
          <w:i/>
        </w:rPr>
      </w:pPr>
      <w:r w:rsidRPr="004F268B">
        <w:rPr>
          <w:i/>
        </w:rPr>
        <w:t>Governance</w:t>
      </w:r>
    </w:p>
    <w:p w14:paraId="7B375F1F" w14:textId="77777777" w:rsidR="004B24D7" w:rsidRDefault="004B24D7" w:rsidP="004B24D7">
      <w:r>
        <w:t xml:space="preserve">Our assistance in the governance sector provides comprehensive advisory support to the ABG to implement core government functions. This includes strategic planning, project management, human resource </w:t>
      </w:r>
      <w:r>
        <w:lastRenderedPageBreak/>
        <w:t xml:space="preserve">management, policy formulation, legislative drafting, public financial management, electoral processes, taxation and revenue, urban planning and land use. </w:t>
      </w:r>
    </w:p>
    <w:p w14:paraId="16491CC7" w14:textId="393F73CC" w:rsidR="004B24D7" w:rsidRDefault="004B24D7" w:rsidP="004B24D7">
      <w:r>
        <w:t>The program supported the development of the first ever Bougainville Strategic Development Plan (2017-2022). It provides a political and development roadmap which is critical to support continued stability in Bougainville.</w:t>
      </w:r>
    </w:p>
    <w:p w14:paraId="0DE1C328" w14:textId="3D49BDC6" w:rsidR="00303C17" w:rsidRPr="004F268B" w:rsidRDefault="004B24D7" w:rsidP="004B24D7">
      <w:r>
        <w:t>Our support is delivered in a flexible way to maximise quick wins to bolster the ABG’s accountability and integrity. For example, we supported an audit of the ABG payroll which found that 600 ‘ghost’ workers were collecting salaries for work not performed. In real terms, this represented a cost to the n</w:t>
      </w:r>
      <w:r w:rsidR="00606A20">
        <w:t>ational government of around $</w:t>
      </w:r>
      <w:r>
        <w:t>5 million annually. As a result, the ABG payroll has been adjusted to ensure that only ABG officials who are currently employed can draw a salary</w:t>
      </w:r>
      <w:r w:rsidR="004F268B">
        <w:t>.</w:t>
      </w:r>
    </w:p>
    <w:p w14:paraId="2908863D" w14:textId="77777777" w:rsidR="00303C17" w:rsidRPr="004F268B" w:rsidRDefault="00303C17" w:rsidP="00A77B39">
      <w:pPr>
        <w:rPr>
          <w:i/>
        </w:rPr>
      </w:pPr>
      <w:r w:rsidRPr="004F268B">
        <w:rPr>
          <w:i/>
        </w:rPr>
        <w:t>Economic development</w:t>
      </w:r>
    </w:p>
    <w:p w14:paraId="4712882F" w14:textId="77777777" w:rsidR="004B24D7" w:rsidRDefault="004B24D7" w:rsidP="004B24D7">
      <w:r>
        <w:t xml:space="preserve">The cornerstone of our economic assistance is the Commodity Support Facility (CSF) to support Bougainville’s agricultural sector. The CSF provides grants to small businesses, community groups and cooperatives to catalyse increased production and quality of raw products, marketing, research, and training activities in the cocoa, poultry, coconut, copra and fresh produce industries. In 2017-18, 10 new grants were awarded to cocoa farmer groups across Bougainville.  </w:t>
      </w:r>
    </w:p>
    <w:p w14:paraId="2CFF4B7E" w14:textId="4470895F" w:rsidR="004B24D7" w:rsidRDefault="004B24D7" w:rsidP="004B24D7">
      <w:r>
        <w:t xml:space="preserve">With Australia’s support, Bougainville’s cocoa industry has now returned to pre-crisis levels and is </w:t>
      </w:r>
      <w:r w:rsidR="00A0129A" w:rsidRPr="00A0129A">
        <w:t xml:space="preserve">significantly </w:t>
      </w:r>
      <w:r>
        <w:t xml:space="preserve">contributing to broad based economic growth. Our support includes the Australian Centre for International Agricultural Research cocoa project ($1.1 million annually) to improve farming techniques and increase the production and quality of cocoa. This includes supporting the 2017 Bougainville Chocolate Festival which attracted over 5,000 local and international visitors, including farmers, chocolatiers, industry representatives and government officials to share information, network and create new market linkages. As a result, three international chocolate companies, two from Australia and one from New Zealand, are now buying cocoa direct from Bougainville farmers. </w:t>
      </w:r>
    </w:p>
    <w:p w14:paraId="58FFE123" w14:textId="77777777" w:rsidR="004F268B" w:rsidRDefault="004B24D7" w:rsidP="004B24D7">
      <w:r>
        <w:t>Our economic assistance also seeks to build Bougainville’s investment climate, tax and revenue capabilities and business environment. We supported the inaugural Bougainville Tax and Revenue Summit in September 2017, which increased the focus on revenue generation by the ABG and provided a set of practical recommendations that could improve the region’s fiscal outlook</w:t>
      </w:r>
      <w:r w:rsidR="004F268B">
        <w:t>.</w:t>
      </w:r>
    </w:p>
    <w:p w14:paraId="6B6CD6AD" w14:textId="77777777" w:rsidR="00303C17" w:rsidRPr="004F268B" w:rsidRDefault="00303C17" w:rsidP="004F268B">
      <w:pPr>
        <w:rPr>
          <w:i/>
        </w:rPr>
      </w:pPr>
      <w:r w:rsidRPr="004F268B">
        <w:rPr>
          <w:i/>
        </w:rPr>
        <w:t>Peacebuilding</w:t>
      </w:r>
    </w:p>
    <w:p w14:paraId="49749851" w14:textId="77777777" w:rsidR="004B24D7" w:rsidRPr="004F268B" w:rsidRDefault="004B24D7" w:rsidP="004B24D7">
      <w:r w:rsidRPr="00F46189">
        <w:t>The Bougainville Peace Building Program (BPBP) continued to strengthen the foundations of peace and stability in Bougainville. Working closely with the ABG, the BPBP helped mediate crisis-era disputes, facilitate reconciliations and bring together government and community leaders to s</w:t>
      </w:r>
      <w:r>
        <w:t>upport peacebuilding priorities</w:t>
      </w:r>
      <w:r w:rsidRPr="00F46189">
        <w:t xml:space="preserve">. </w:t>
      </w:r>
      <w:r>
        <w:t>We</w:t>
      </w:r>
      <w:r w:rsidRPr="00F46189">
        <w:t xml:space="preserve"> provided training for Bougainville’s 13 District Peace and Security Committees (DPSCs) in conflict analysis and reconciliation techniques. One DPSC has since completed two mass reconciliations (over 1</w:t>
      </w:r>
      <w:r w:rsidR="00606A20">
        <w:t>,</w:t>
      </w:r>
      <w:r w:rsidRPr="00F46189">
        <w:t>000 people attended), addressing 216 cases involving killing, violence and damage to property. BPBP also facilitated high-profile reconciliations involving ex-combatants and separatist groups.</w:t>
      </w:r>
    </w:p>
    <w:p w14:paraId="190443CE" w14:textId="77777777" w:rsidR="00303C17" w:rsidRPr="004F268B" w:rsidRDefault="00303C17" w:rsidP="00A77B39">
      <w:pPr>
        <w:rPr>
          <w:i/>
        </w:rPr>
      </w:pPr>
      <w:r w:rsidRPr="004F268B">
        <w:rPr>
          <w:i/>
        </w:rPr>
        <w:t>Empowering women and youth</w:t>
      </w:r>
    </w:p>
    <w:p w14:paraId="53A9EA49" w14:textId="33C83B49" w:rsidR="004B24D7" w:rsidRPr="004F268B" w:rsidRDefault="004B24D7" w:rsidP="004B24D7">
      <w:r>
        <w:t>Th</w:t>
      </w:r>
      <w:r w:rsidRPr="00182656">
        <w:t xml:space="preserve">e mid-term evaluation </w:t>
      </w:r>
      <w:r>
        <w:t xml:space="preserve">of Bougainville </w:t>
      </w:r>
      <w:r w:rsidRPr="00182656">
        <w:t xml:space="preserve">Pacific Women projects </w:t>
      </w:r>
      <w:r>
        <w:t xml:space="preserve">found they </w:t>
      </w:r>
      <w:r w:rsidRPr="00182656">
        <w:t xml:space="preserve">have </w:t>
      </w:r>
      <w:r>
        <w:t xml:space="preserve">positively </w:t>
      </w:r>
      <w:r w:rsidRPr="00182656">
        <w:t xml:space="preserve">influenced government policies and programs </w:t>
      </w:r>
      <w:r>
        <w:t>(see Gender Equality section for more details)</w:t>
      </w:r>
      <w:r w:rsidRPr="00182656">
        <w:t xml:space="preserve">. In 2017, 69 women who participated in Pacific Women projects were elected as ward councillors in Bougainville and attributed their confidence and the community's perception of them as leaders to their involvement in the projects. </w:t>
      </w:r>
      <w:r>
        <w:t>S</w:t>
      </w:r>
      <w:r w:rsidRPr="00F87E7A">
        <w:t>upport for the Bougainville Women’s Federation</w:t>
      </w:r>
      <w:r>
        <w:t xml:space="preserve"> included</w:t>
      </w:r>
      <w:r w:rsidRPr="00F87E7A">
        <w:t xml:space="preserve"> programs to reduce violence against women, and economic empowerment including through training in financial skills and micro-finance services.</w:t>
      </w:r>
      <w:r>
        <w:t xml:space="preserve"> To ensure Bougainville youth are engaged in the economy and the community, we supported</w:t>
      </w:r>
      <w:r w:rsidR="00977220">
        <w:t xml:space="preserve"> </w:t>
      </w:r>
      <w:r>
        <w:t xml:space="preserve">15 youth associations to strengthen their delivery of training, career-readiness and sporting programs. The Bougainville Youth Initiative, delivered through five international NGO’s, trained </w:t>
      </w:r>
      <w:r w:rsidR="006502D8">
        <w:t xml:space="preserve">over </w:t>
      </w:r>
      <w:r>
        <w:t>8,8</w:t>
      </w:r>
      <w:r w:rsidR="006502D8">
        <w:t>00</w:t>
      </w:r>
      <w:r>
        <w:t xml:space="preserve"> people and contributed to 777 youth finding new or additional paid work and 44 youth obtaining positions in local government.</w:t>
      </w:r>
    </w:p>
    <w:p w14:paraId="388DD20E" w14:textId="77777777" w:rsidR="00303C17" w:rsidRPr="004F268B" w:rsidRDefault="00303C17" w:rsidP="00A77B39">
      <w:pPr>
        <w:rPr>
          <w:i/>
        </w:rPr>
      </w:pPr>
      <w:r w:rsidRPr="004F268B">
        <w:rPr>
          <w:i/>
        </w:rPr>
        <w:lastRenderedPageBreak/>
        <w:t xml:space="preserve">Health, education, </w:t>
      </w:r>
      <w:r w:rsidR="00BC7026" w:rsidRPr="004F268B">
        <w:rPr>
          <w:i/>
        </w:rPr>
        <w:t xml:space="preserve">law and justice, and </w:t>
      </w:r>
      <w:r w:rsidRPr="004F268B">
        <w:rPr>
          <w:i/>
        </w:rPr>
        <w:t>transport infrastructure</w:t>
      </w:r>
    </w:p>
    <w:p w14:paraId="33C02D44" w14:textId="032B70C3" w:rsidR="00E833D6" w:rsidRDefault="00E833D6" w:rsidP="00E833D6">
      <w:r>
        <w:t>Our Papua New G</w:t>
      </w:r>
      <w:r w:rsidR="00977220">
        <w:t>uinea-wide programs registered k</w:t>
      </w:r>
      <w:r>
        <w:t>ey achievements in Bougainville. The official opening of the Arawa Hospital in June 2018 was a significant miles</w:t>
      </w:r>
      <w:r w:rsidR="00977220">
        <w:t>tone. Since its opening, the h</w:t>
      </w:r>
      <w:r>
        <w:t>ospital has doubled its daily operational attendance, admissions, antenatal care and deliveries. Women from remote communities around Arawa</w:t>
      </w:r>
      <w:r w:rsidR="006502D8">
        <w:t>,</w:t>
      </w:r>
      <w:r>
        <w:t xml:space="preserve"> who previously have not had access to maternal care</w:t>
      </w:r>
      <w:r w:rsidR="006502D8">
        <w:t>,</w:t>
      </w:r>
      <w:r>
        <w:t xml:space="preserve"> </w:t>
      </w:r>
      <w:r w:rsidR="006502D8">
        <w:t>can now</w:t>
      </w:r>
      <w:r>
        <w:t xml:space="preserve"> come to the facility to deliver their babies safely.  </w:t>
      </w:r>
    </w:p>
    <w:p w14:paraId="6E955CCC" w14:textId="77777777" w:rsidR="00E833D6" w:rsidRDefault="00E833D6" w:rsidP="00E833D6">
      <w:r>
        <w:t>As part of the Papua New Guinea – Australia Transport Sector Support Program, we maintain 318 kilometres of Bougainville’s 600 kilometre main road network. Works include repairing and resealing an additional 11.6 kilometres of roads in key town centres and economic corridors. The projects employed over 17,000 local residents during construction.</w:t>
      </w:r>
    </w:p>
    <w:p w14:paraId="5AC9B91F" w14:textId="34AC25AB" w:rsidR="00BB65E2" w:rsidRPr="003464EF" w:rsidRDefault="00E833D6" w:rsidP="00582288">
      <w:pPr>
        <w:pStyle w:val="Heading3Numbered"/>
        <w:numPr>
          <w:ilvl w:val="0"/>
          <w:numId w:val="0"/>
        </w:numPr>
        <w:spacing w:before="120" w:line="230" w:lineRule="atLeast"/>
        <w:rPr>
          <w:rFonts w:asciiTheme="minorHAnsi" w:eastAsiaTheme="minorHAnsi" w:hAnsiTheme="minorHAnsi" w:cstheme="minorBidi"/>
          <w:bCs w:val="0"/>
          <w:sz w:val="22"/>
        </w:rPr>
      </w:pPr>
      <w:r w:rsidRPr="003464EF">
        <w:rPr>
          <w:rFonts w:asciiTheme="minorHAnsi" w:eastAsiaTheme="minorHAnsi" w:hAnsiTheme="minorHAnsi" w:cstheme="minorBidi"/>
          <w:bCs w:val="0"/>
          <w:sz w:val="22"/>
        </w:rPr>
        <w:t>We also completed the major construction package of 18 new double primary schools across Bougainville and five school library buildings. This supports the Government of Papua New Guinea’s education priority to improve literacy and numeracy outcomes of early learners</w:t>
      </w:r>
      <w:r w:rsidR="00BB65E2" w:rsidRPr="003464EF">
        <w:rPr>
          <w:rFonts w:asciiTheme="minorHAnsi" w:eastAsiaTheme="minorHAnsi" w:hAnsiTheme="minorHAnsi" w:cstheme="minorBidi"/>
          <w:bCs w:val="0"/>
          <w:sz w:val="22"/>
        </w:rPr>
        <w:t>.</w:t>
      </w:r>
    </w:p>
    <w:p w14:paraId="4B2DD3A8" w14:textId="77777777" w:rsidR="00BB65E2" w:rsidRPr="00582288" w:rsidRDefault="00BB65E2" w:rsidP="00582288">
      <w:pPr>
        <w:spacing w:before="0" w:after="0" w:line="240" w:lineRule="auto"/>
        <w:rPr>
          <w:sz w:val="16"/>
          <w:szCs w:val="16"/>
        </w:rPr>
      </w:pPr>
    </w:p>
    <w:p w14:paraId="12827333" w14:textId="77777777" w:rsidR="001E21BB" w:rsidRPr="00BB65E2" w:rsidRDefault="001E21BB" w:rsidP="00582288">
      <w:pPr>
        <w:pStyle w:val="Heading3Numbered"/>
        <w:numPr>
          <w:ilvl w:val="0"/>
          <w:numId w:val="0"/>
        </w:numPr>
        <w:spacing w:before="120" w:line="220" w:lineRule="atLeast"/>
        <w:ind w:left="851" w:hanging="851"/>
        <w:rPr>
          <w:szCs w:val="30"/>
        </w:rPr>
      </w:pPr>
      <w:r w:rsidRPr="00BB65E2">
        <w:rPr>
          <w:szCs w:val="30"/>
        </w:rPr>
        <w:t>Climate change</w:t>
      </w:r>
    </w:p>
    <w:p w14:paraId="318A28F8" w14:textId="7E5409BC" w:rsidR="00B34D93" w:rsidRDefault="00B34D93" w:rsidP="00B34D93">
      <w:r>
        <w:t xml:space="preserve">Papua New Guinea is highly vulnerable to the impacts of climate change, which threatens to slow or reverse many development gains. Around 80 per cent of Papua New Guinea’s population live in rural and remote coastal communities, relying on weather-dependent livelihoods. These communities are exposed to climate-related hazards. Despite their high degree of resilience, many communities have limited mechanisms for coping with more frequent and extreme weather events. Much key national infrastructure is also at risk. </w:t>
      </w:r>
    </w:p>
    <w:p w14:paraId="1C5289D6" w14:textId="77777777" w:rsidR="00B34D93" w:rsidRDefault="00B34D93" w:rsidP="00B34D93">
      <w:r>
        <w:t>Environmental sustainability and climate change are central issues in Papua New Guinea’s national planning documents – Vision 2050 and the Development Strategic Plan 2010</w:t>
      </w:r>
      <w:r w:rsidR="00977220">
        <w:t>-</w:t>
      </w:r>
      <w:r>
        <w:t>2030 – with both mitigation and adaptation as areas of focus. Australia’s action on climate change in Papua New Guinea aligns with this, and with our broader strategy and commitments to mitigation and adaptation in our development programs.</w:t>
      </w:r>
    </w:p>
    <w:p w14:paraId="257EA51E" w14:textId="3F8E0565" w:rsidR="00B34D93" w:rsidRDefault="00B34D93" w:rsidP="00B34D93">
      <w:r>
        <w:t>Australia provided an estimated $36.8 million in climate change support to Papua New Guinea in 2017</w:t>
      </w:r>
      <w:r w:rsidR="00977220">
        <w:t>-</w:t>
      </w:r>
      <w:r>
        <w:t xml:space="preserve">18. Most of this support was integrated into our broader aid investments, particularly in transport, health and education infrastructure. For example, the Transport Sector Support Program (TSSP Phase 2, $400 million 2014-20) is supporting the Government of Papua New Guinea to apply climate and disaster risk reduction in engineering, construction and maintenance of climate resilient roads, bridges and wharves. TSSP also enables ongoing upgrades to safety standards and satellite navigation capability across Papua New Guinea, which is critically important given the increased severity of weather events anticipated as a result of climate change. </w:t>
      </w:r>
    </w:p>
    <w:p w14:paraId="0EC0E998" w14:textId="1AC5522F" w:rsidR="00D91BE5" w:rsidRDefault="00B34D93" w:rsidP="005A2D6E">
      <w:pPr>
        <w:rPr>
          <w:i/>
        </w:rPr>
      </w:pPr>
      <w:r>
        <w:t>In May 2018, Papua New Guinea and Australia agreed to the inaugural Climate Change Action Plan, which sets the foundation for practical and long-term collaboration.</w:t>
      </w:r>
      <w:r w:rsidR="00FF4BD9">
        <w:t xml:space="preserve"> </w:t>
      </w:r>
      <w:r>
        <w:t>Under the Plan, Australia will place a Senior Advisor from the Australian Department of the Environment and Energy (DoEE) within Papua New Guinea’s Climate Change and Development Authority (CCDA) from late 2018 to build climate change mitigation, adaptation and resilience capacity. Australia will also support Papua New Guinea to access international and private climate finance opportunities; and improve the capacity of all levels of government to address the impacts of climate change and develop clean energy and climate-proof infrastructure.</w:t>
      </w:r>
    </w:p>
    <w:p w14:paraId="327ADE43" w14:textId="77777777" w:rsidR="00D27F1C" w:rsidRDefault="00D27F1C" w:rsidP="0073299D">
      <w:pPr>
        <w:pStyle w:val="Heading3Numbered"/>
        <w:numPr>
          <w:ilvl w:val="0"/>
          <w:numId w:val="0"/>
        </w:numPr>
      </w:pPr>
      <w:r>
        <w:t>D</w:t>
      </w:r>
      <w:r w:rsidRPr="00D27F1C">
        <w:t>isaster preparedness and response</w:t>
      </w:r>
    </w:p>
    <w:p w14:paraId="2EAD7F2A" w14:textId="77777777" w:rsidR="00B34D93" w:rsidRDefault="00B34D93" w:rsidP="00B34D93">
      <w:r>
        <w:t>Minor and major natural disasters such as droughts, volcanos and earthquakes continue to challenge Papua New Guinea’s limited resources and capability to adequately respond to such events while maintaining its development priorities. The country experienced two sudden disasters in 2017-18 – the Kadovar Island volcano in January 2018, and the highlands earthquake in February 2018. On both occasions, Australia responded quickly to the Papua New Guinea</w:t>
      </w:r>
      <w:r w:rsidRPr="005A1D1A">
        <w:t xml:space="preserve"> </w:t>
      </w:r>
      <w:r>
        <w:t>Government’s request for assistance.</w:t>
      </w:r>
    </w:p>
    <w:p w14:paraId="50F44B65" w14:textId="68075A8B" w:rsidR="00B34D93" w:rsidRDefault="00B34D93" w:rsidP="00B34D93">
      <w:r>
        <w:lastRenderedPageBreak/>
        <w:t>In the case of Kadovar Island, where the entire population of the island (591 people) were evacuated to a neighbouring island, Australia provided 462 shelter tarpaulins and 800 ten litre water containers to assist the displaced. GeoScience Australia supported the Papua New Guinea</w:t>
      </w:r>
      <w:r w:rsidRPr="005A1D1A">
        <w:t xml:space="preserve"> </w:t>
      </w:r>
      <w:r>
        <w:t xml:space="preserve">Government by monitoring the volcano. Details of our response to the highlands earthquake are provided on page </w:t>
      </w:r>
      <w:r w:rsidR="006A6CC1">
        <w:t>1</w:t>
      </w:r>
      <w:r w:rsidR="00A0129A">
        <w:t>7</w:t>
      </w:r>
      <w:r>
        <w:t>.</w:t>
      </w:r>
      <w:r w:rsidR="00FF4BD9">
        <w:t xml:space="preserve">  </w:t>
      </w:r>
    </w:p>
    <w:p w14:paraId="46FD3310" w14:textId="77777777" w:rsidR="00B34D93" w:rsidRDefault="00B34D93" w:rsidP="00B34D93">
      <w:r>
        <w:t xml:space="preserve">Papua New Guinea’s National Disaster Centre (NDC) is responsible for the development and maintenance of measures to reduce risk to communities and manage the consequences of disasters. Australia continues to support NDC to build its capacity to prepare and respond to these events. </w:t>
      </w:r>
    </w:p>
    <w:p w14:paraId="7A9CD0B0" w14:textId="00205D7C" w:rsidR="00B34D93" w:rsidRDefault="00B34D93" w:rsidP="00B34D93">
      <w:r>
        <w:t xml:space="preserve">DFAT commissioned an evaluation of responses to the El Nino-induced drought </w:t>
      </w:r>
      <w:r w:rsidR="006502D8">
        <w:t xml:space="preserve">that </w:t>
      </w:r>
      <w:r>
        <w:t>commenc</w:t>
      </w:r>
      <w:r w:rsidR="006502D8">
        <w:t>ed</w:t>
      </w:r>
      <w:r>
        <w:t xml:space="preserve"> in 2015, and DFAT’s humanitarian team in Port Moresby worked with the UNDP to </w:t>
      </w:r>
      <w:r w:rsidR="00106685">
        <w:t>form</w:t>
      </w:r>
      <w:r>
        <w:t xml:space="preserve"> a Joint Inter-Agency Needs Assessment Team (NAST) standby arrangement and redeveloped NDC’s standard interagency Rapid Needs Assessment Tool. </w:t>
      </w:r>
    </w:p>
    <w:p w14:paraId="42B1F0F7" w14:textId="77777777" w:rsidR="002A51CA" w:rsidRDefault="002A51CA" w:rsidP="00722BBE">
      <w:pPr>
        <w:pStyle w:val="Heading2"/>
      </w:pPr>
      <w:r>
        <w:t>Mutual obligations</w:t>
      </w:r>
    </w:p>
    <w:p w14:paraId="3F76111C" w14:textId="77777777" w:rsidR="005A1D1A" w:rsidRPr="005A1D1A" w:rsidRDefault="005A1D1A" w:rsidP="005A1D1A">
      <w:pPr>
        <w:pStyle w:val="Default"/>
        <w:rPr>
          <w:rFonts w:asciiTheme="minorHAnsi" w:hAnsiTheme="minorHAnsi" w:cstheme="minorBidi"/>
          <w:color w:val="495965" w:themeColor="text2"/>
          <w:sz w:val="22"/>
          <w:szCs w:val="22"/>
          <w:lang w:val="en-GB"/>
        </w:rPr>
      </w:pPr>
      <w:r w:rsidRPr="005A1D1A">
        <w:rPr>
          <w:rFonts w:asciiTheme="minorHAnsi" w:hAnsiTheme="minorHAnsi" w:cstheme="minorBidi"/>
          <w:color w:val="495965" w:themeColor="text2"/>
          <w:sz w:val="22"/>
          <w:szCs w:val="22"/>
          <w:lang w:val="en-GB"/>
        </w:rPr>
        <w:t xml:space="preserve">Mutual commitments between the Australian and </w:t>
      </w:r>
      <w:r w:rsidR="00FE3CEC">
        <w:rPr>
          <w:rFonts w:asciiTheme="minorHAnsi" w:hAnsiTheme="minorHAnsi" w:cstheme="minorBidi"/>
          <w:color w:val="495965" w:themeColor="text2"/>
          <w:sz w:val="22"/>
          <w:szCs w:val="22"/>
          <w:lang w:val="en-GB"/>
        </w:rPr>
        <w:t>Papua New Guinea</w:t>
      </w:r>
      <w:r w:rsidRPr="005A1D1A">
        <w:rPr>
          <w:rFonts w:asciiTheme="minorHAnsi" w:hAnsiTheme="minorHAnsi" w:cstheme="minorBidi"/>
          <w:color w:val="495965" w:themeColor="text2"/>
          <w:sz w:val="22"/>
          <w:szCs w:val="22"/>
          <w:lang w:val="en-GB"/>
        </w:rPr>
        <w:t xml:space="preserve"> governments were negotiated as part of the Aid Partnership, which was signed on 3 March 2016</w:t>
      </w:r>
      <w:r w:rsidR="00A34E67" w:rsidRPr="00A34E67">
        <w:rPr>
          <w:rFonts w:asciiTheme="minorHAnsi" w:hAnsiTheme="minorHAnsi" w:cstheme="minorBidi"/>
          <w:color w:val="495965" w:themeColor="text2"/>
          <w:sz w:val="22"/>
          <w:szCs w:val="22"/>
          <w:lang w:val="en-GB"/>
        </w:rPr>
        <w:t xml:space="preserve">, and </w:t>
      </w:r>
      <w:r w:rsidR="00977220">
        <w:rPr>
          <w:rFonts w:asciiTheme="minorHAnsi" w:hAnsiTheme="minorHAnsi" w:cstheme="minorBidi"/>
          <w:color w:val="495965" w:themeColor="text2"/>
          <w:sz w:val="22"/>
          <w:szCs w:val="22"/>
          <w:lang w:val="en-GB"/>
        </w:rPr>
        <w:t>was</w:t>
      </w:r>
      <w:r w:rsidR="00A34E67" w:rsidRPr="00A34E67">
        <w:rPr>
          <w:rFonts w:asciiTheme="minorHAnsi" w:hAnsiTheme="minorHAnsi" w:cstheme="minorBidi"/>
          <w:color w:val="495965" w:themeColor="text2"/>
          <w:sz w:val="22"/>
          <w:szCs w:val="22"/>
          <w:lang w:val="en-GB"/>
        </w:rPr>
        <w:t xml:space="preserve"> reaffirmed in</w:t>
      </w:r>
      <w:r w:rsidR="003B443E">
        <w:rPr>
          <w:rFonts w:asciiTheme="minorHAnsi" w:hAnsiTheme="minorHAnsi" w:cstheme="minorBidi"/>
          <w:color w:val="495965" w:themeColor="text2"/>
          <w:sz w:val="22"/>
          <w:szCs w:val="22"/>
          <w:lang w:val="en-GB"/>
        </w:rPr>
        <w:t xml:space="preserve"> 2017 and</w:t>
      </w:r>
      <w:r w:rsidR="00A34E67" w:rsidRPr="00A34E67">
        <w:rPr>
          <w:rFonts w:asciiTheme="minorHAnsi" w:hAnsiTheme="minorHAnsi" w:cstheme="minorBidi"/>
          <w:color w:val="495965" w:themeColor="text2"/>
          <w:sz w:val="22"/>
          <w:szCs w:val="22"/>
          <w:lang w:val="en-GB"/>
        </w:rPr>
        <w:t xml:space="preserve"> 2018 at the annual Aid Partnership Dialogue</w:t>
      </w:r>
      <w:r w:rsidRPr="005A1D1A">
        <w:rPr>
          <w:rFonts w:asciiTheme="minorHAnsi" w:hAnsiTheme="minorHAnsi" w:cstheme="minorBidi"/>
          <w:color w:val="495965" w:themeColor="text2"/>
          <w:sz w:val="22"/>
          <w:szCs w:val="22"/>
          <w:lang w:val="en-GB"/>
        </w:rPr>
        <w:t>. The Aid Partnership period</w:t>
      </w:r>
      <w:r w:rsidR="00945B8B">
        <w:rPr>
          <w:rFonts w:asciiTheme="minorHAnsi" w:hAnsiTheme="minorHAnsi" w:cstheme="minorBidi"/>
          <w:color w:val="495965" w:themeColor="text2"/>
          <w:sz w:val="22"/>
          <w:szCs w:val="22"/>
          <w:lang w:val="en-GB"/>
        </w:rPr>
        <w:t xml:space="preserve"> </w:t>
      </w:r>
      <w:r w:rsidR="00A34E67" w:rsidRPr="00A34E67">
        <w:rPr>
          <w:rFonts w:asciiTheme="minorHAnsi" w:hAnsiTheme="minorHAnsi" w:cstheme="minorBidi"/>
          <w:color w:val="495965" w:themeColor="text2"/>
          <w:sz w:val="22"/>
          <w:szCs w:val="22"/>
          <w:lang w:val="en-GB"/>
        </w:rPr>
        <w:t>was extended</w:t>
      </w:r>
      <w:r w:rsidR="005A2D55">
        <w:rPr>
          <w:rFonts w:asciiTheme="minorHAnsi" w:hAnsiTheme="minorHAnsi" w:cstheme="minorBidi"/>
          <w:color w:val="495965" w:themeColor="text2"/>
          <w:sz w:val="22"/>
          <w:szCs w:val="22"/>
          <w:lang w:val="en-GB"/>
        </w:rPr>
        <w:t xml:space="preserve"> </w:t>
      </w:r>
      <w:r w:rsidR="005A2D55" w:rsidRPr="005A2D55">
        <w:rPr>
          <w:rFonts w:asciiTheme="minorHAnsi" w:hAnsiTheme="minorHAnsi" w:cstheme="minorBidi"/>
          <w:color w:val="495965" w:themeColor="text2"/>
          <w:sz w:val="22"/>
          <w:szCs w:val="22"/>
          <w:lang w:val="en-GB"/>
        </w:rPr>
        <w:t>to</w:t>
      </w:r>
      <w:r w:rsidR="005A2D55" w:rsidRPr="00397595">
        <w:rPr>
          <w:rFonts w:asciiTheme="minorHAnsi" w:hAnsiTheme="minorHAnsi" w:cstheme="minorBidi"/>
          <w:color w:val="495965" w:themeColor="text2"/>
          <w:sz w:val="22"/>
          <w:szCs w:val="22"/>
          <w:lang w:val="en-GB"/>
        </w:rPr>
        <w:t xml:space="preserve"> allow time for a new partnership to be agreed </w:t>
      </w:r>
      <w:r w:rsidR="00915A56" w:rsidRPr="00397595">
        <w:rPr>
          <w:rFonts w:asciiTheme="minorHAnsi" w:hAnsiTheme="minorHAnsi" w:cstheme="minorBidi"/>
          <w:color w:val="495965" w:themeColor="text2"/>
          <w:sz w:val="22"/>
          <w:szCs w:val="22"/>
          <w:lang w:val="en-GB"/>
        </w:rPr>
        <w:t>that would</w:t>
      </w:r>
      <w:r w:rsidR="005A2D55" w:rsidRPr="00397595">
        <w:rPr>
          <w:rFonts w:asciiTheme="minorHAnsi" w:hAnsiTheme="minorHAnsi" w:cstheme="minorBidi"/>
          <w:color w:val="495965" w:themeColor="text2"/>
          <w:sz w:val="22"/>
          <w:szCs w:val="22"/>
          <w:lang w:val="en-GB"/>
        </w:rPr>
        <w:t xml:space="preserve"> take into account the forthcoming Medium Term Development Plan III.</w:t>
      </w:r>
      <w:r w:rsidR="00FF4BD9">
        <w:rPr>
          <w:rFonts w:asciiTheme="minorHAnsi" w:hAnsiTheme="minorHAnsi" w:cstheme="minorBidi"/>
          <w:color w:val="495965" w:themeColor="text2"/>
          <w:sz w:val="22"/>
          <w:szCs w:val="22"/>
          <w:lang w:val="en-GB"/>
        </w:rPr>
        <w:t xml:space="preserve"> </w:t>
      </w:r>
    </w:p>
    <w:p w14:paraId="2F7B3D95" w14:textId="77777777" w:rsidR="005A1D1A" w:rsidRDefault="005A1D1A" w:rsidP="005A1D1A">
      <w:r>
        <w:t>The mutual commitments include: maintain a zero tolerance to fraud; work together to promote gender equality and women’s empowerment</w:t>
      </w:r>
      <w:r w:rsidR="00197CD6">
        <w:t xml:space="preserve">; </w:t>
      </w:r>
      <w:r>
        <w:t>address family and sexual violence; increase efforts to address tuberculosis; strengthen public service capabilities through the Pacific Leadership and Governance Precinct; and continue to implement the Joint Un</w:t>
      </w:r>
      <w:r w:rsidR="00197CD6">
        <w:t xml:space="preserve">derstanding. Australia’s </w:t>
      </w:r>
      <w:r>
        <w:t xml:space="preserve">development assistance is consistent with </w:t>
      </w:r>
      <w:r w:rsidR="00FE3CEC">
        <w:t>Papua New Guinea</w:t>
      </w:r>
      <w:r w:rsidR="00197CD6">
        <w:t>’s</w:t>
      </w:r>
      <w:r>
        <w:t xml:space="preserve"> Constitution </w:t>
      </w:r>
      <w:r w:rsidR="00197CD6">
        <w:t xml:space="preserve">and </w:t>
      </w:r>
      <w:r>
        <w:t xml:space="preserve">National Goals and Directive Principles. Australia’s progress against these commitments, where it relates to program outcomes, is reported above. In accordance with </w:t>
      </w:r>
      <w:r w:rsidR="009E60EF">
        <w:t xml:space="preserve">the </w:t>
      </w:r>
      <w:r w:rsidR="00762E8D">
        <w:t>DFAT</w:t>
      </w:r>
      <w:r>
        <w:t xml:space="preserve"> </w:t>
      </w:r>
      <w:r>
        <w:rPr>
          <w:i/>
          <w:iCs/>
        </w:rPr>
        <w:t xml:space="preserve">Making Performance Count </w:t>
      </w:r>
      <w:r>
        <w:t xml:space="preserve">framework, Australia’s aid program in </w:t>
      </w:r>
      <w:r w:rsidR="00255AD4">
        <w:t>Papua New Guinea</w:t>
      </w:r>
      <w:r>
        <w:t xml:space="preserve"> has developed and implemented fraud control and anti-corruption strategies to safeguard Australian </w:t>
      </w:r>
      <w:r w:rsidR="00197CD6">
        <w:t>development assistance,</w:t>
      </w:r>
      <w:r>
        <w:t xml:space="preserve"> and help address fraud and corruption risks.</w:t>
      </w:r>
    </w:p>
    <w:p w14:paraId="25F651E0" w14:textId="77777777" w:rsidR="00FE742C" w:rsidRPr="005A1D1A" w:rsidRDefault="00FE742C" w:rsidP="00FE742C">
      <w:pPr>
        <w:rPr>
          <w:lang w:val="en-AU"/>
        </w:rPr>
      </w:pPr>
      <w:r>
        <w:rPr>
          <w:lang w:val="en-AU"/>
        </w:rPr>
        <w:t xml:space="preserve">By the time of the 2019 Ministerial Forum, </w:t>
      </w:r>
      <w:r>
        <w:t xml:space="preserve">the Governments of </w:t>
      </w:r>
      <w:r w:rsidRPr="005A1D1A">
        <w:rPr>
          <w:lang w:val="en-AU"/>
        </w:rPr>
        <w:t xml:space="preserve">Australia and </w:t>
      </w:r>
      <w:r>
        <w:rPr>
          <w:lang w:val="en-AU"/>
        </w:rPr>
        <w:t>Papua New Guinea</w:t>
      </w:r>
      <w:r w:rsidRPr="005A1D1A">
        <w:rPr>
          <w:lang w:val="en-AU"/>
        </w:rPr>
        <w:t xml:space="preserve"> will </w:t>
      </w:r>
      <w:r>
        <w:rPr>
          <w:lang w:val="en-AU"/>
        </w:rPr>
        <w:t>develop new development priorities which will contribute to broader economic and strategic partnership objectives.</w:t>
      </w:r>
      <w:r w:rsidRPr="005A1D1A">
        <w:rPr>
          <w:lang w:val="en-AU"/>
        </w:rPr>
        <w:t xml:space="preserve"> </w:t>
      </w:r>
    </w:p>
    <w:p w14:paraId="75AFC28F" w14:textId="508D8BBF" w:rsidR="002A51CA" w:rsidRPr="002A51CA" w:rsidRDefault="002A51CA" w:rsidP="00354A00">
      <w:pPr>
        <w:pStyle w:val="Heading2"/>
      </w:pPr>
      <w:r w:rsidRPr="002A51CA">
        <w:t>Program Quality and Partner Performance</w:t>
      </w:r>
    </w:p>
    <w:p w14:paraId="72C7CD06" w14:textId="564B4758" w:rsidR="00A96728" w:rsidRDefault="00281E02" w:rsidP="00281E02">
      <w:pPr>
        <w:rPr>
          <w:lang w:val="en-AU"/>
        </w:rPr>
      </w:pPr>
      <w:r w:rsidRPr="00281E02">
        <w:rPr>
          <w:lang w:val="en-AU"/>
        </w:rPr>
        <w:t xml:space="preserve">In </w:t>
      </w:r>
      <w:r w:rsidR="0005232B">
        <w:rPr>
          <w:lang w:val="en-AU"/>
        </w:rPr>
        <w:t>2017-18</w:t>
      </w:r>
      <w:r w:rsidRPr="00281E02">
        <w:rPr>
          <w:lang w:val="en-AU"/>
        </w:rPr>
        <w:t xml:space="preserve">, </w:t>
      </w:r>
      <w:r w:rsidR="001A3102">
        <w:rPr>
          <w:lang w:val="en-AU"/>
        </w:rPr>
        <w:t>Australia e</w:t>
      </w:r>
      <w:r w:rsidR="005A2D55">
        <w:rPr>
          <w:lang w:val="en-AU"/>
        </w:rPr>
        <w:t>ngaged Oxford Policy Management to run the Quality and Technical Advisory Group (QTAG)</w:t>
      </w:r>
      <w:r w:rsidR="007227A1">
        <w:rPr>
          <w:lang w:val="en-AU"/>
        </w:rPr>
        <w:t>. The QTAG</w:t>
      </w:r>
      <w:r w:rsidR="005A2D55">
        <w:rPr>
          <w:lang w:val="en-AU"/>
        </w:rPr>
        <w:t xml:space="preserve"> </w:t>
      </w:r>
      <w:r w:rsidR="001A3102">
        <w:rPr>
          <w:lang w:val="en-AU"/>
        </w:rPr>
        <w:t>provides advice</w:t>
      </w:r>
      <w:r w:rsidR="000251AE">
        <w:rPr>
          <w:lang w:val="en-AU"/>
        </w:rPr>
        <w:t xml:space="preserve"> on the performance of </w:t>
      </w:r>
      <w:r w:rsidR="001A3102">
        <w:rPr>
          <w:lang w:val="en-AU"/>
        </w:rPr>
        <w:t xml:space="preserve">programs under the Australia-Papua New Guinea Governance </w:t>
      </w:r>
      <w:r w:rsidR="007227A1">
        <w:rPr>
          <w:lang w:val="en-AU"/>
        </w:rPr>
        <w:t>Partnership</w:t>
      </w:r>
      <w:r w:rsidR="000251AE">
        <w:rPr>
          <w:lang w:val="en-AU"/>
        </w:rPr>
        <w:t xml:space="preserve"> and the </w:t>
      </w:r>
      <w:r w:rsidR="00EB311C">
        <w:rPr>
          <w:lang w:val="en-AU"/>
        </w:rPr>
        <w:t>L</w:t>
      </w:r>
      <w:r w:rsidR="000251AE">
        <w:rPr>
          <w:lang w:val="en-AU"/>
        </w:rPr>
        <w:t xml:space="preserve">aw and </w:t>
      </w:r>
      <w:r w:rsidR="00EB311C">
        <w:rPr>
          <w:lang w:val="en-AU"/>
        </w:rPr>
        <w:t>J</w:t>
      </w:r>
      <w:r w:rsidR="000251AE">
        <w:rPr>
          <w:lang w:val="en-AU"/>
        </w:rPr>
        <w:t>ustice sector</w:t>
      </w:r>
      <w:r w:rsidR="007227A1">
        <w:rPr>
          <w:lang w:val="en-AU"/>
        </w:rPr>
        <w:t xml:space="preserve">, conducts evaluations and quality assures the work of the programs. </w:t>
      </w:r>
      <w:r w:rsidR="00A96728">
        <w:rPr>
          <w:lang w:val="en-AU"/>
        </w:rPr>
        <w:t xml:space="preserve">The engagement of the QTAG is a significant step in Australia’s efforts to improve the quality of governance programs in Papua New Guinea. </w:t>
      </w:r>
      <w:r w:rsidR="007227A1">
        <w:rPr>
          <w:lang w:val="en-AU"/>
        </w:rPr>
        <w:t>In May 2018, the QTAG undertook its first annual review of the Australia–Papua New Guinea Governance Partnership. The findings of the review were that overall the performance of programs under the partnership were on track but there were area</w:t>
      </w:r>
      <w:r w:rsidR="00A96728">
        <w:rPr>
          <w:lang w:val="en-AU"/>
        </w:rPr>
        <w:t>s</w:t>
      </w:r>
      <w:r w:rsidR="007227A1">
        <w:rPr>
          <w:lang w:val="en-AU"/>
        </w:rPr>
        <w:t xml:space="preserve"> requiring improvement. Australia and the Government of Papua New Guinea are working through th</w:t>
      </w:r>
      <w:r w:rsidR="000251AE">
        <w:rPr>
          <w:lang w:val="en-AU"/>
        </w:rPr>
        <w:t>e recommendations of the review.</w:t>
      </w:r>
      <w:r w:rsidR="00A96728">
        <w:rPr>
          <w:lang w:val="en-AU"/>
        </w:rPr>
        <w:t xml:space="preserve"> The QTAG has also undertaken qual</w:t>
      </w:r>
      <w:r w:rsidR="000251AE">
        <w:rPr>
          <w:lang w:val="en-AU"/>
        </w:rPr>
        <w:t>ity assurance tasks on the Inst</w:t>
      </w:r>
      <w:r w:rsidR="00A96728">
        <w:rPr>
          <w:lang w:val="en-AU"/>
        </w:rPr>
        <w:t xml:space="preserve">itutional Partnerships Program re-design and the </w:t>
      </w:r>
      <w:r w:rsidR="000251AE">
        <w:rPr>
          <w:lang w:val="en-AU"/>
        </w:rPr>
        <w:t>PNG Partnership Fund. It has</w:t>
      </w:r>
      <w:r w:rsidR="00A96728">
        <w:rPr>
          <w:lang w:val="en-AU"/>
        </w:rPr>
        <w:t xml:space="preserve"> commenced independent evaluations of the Public Sector Leadership Program (the Precinct) and the Law and Justice Program. </w:t>
      </w:r>
    </w:p>
    <w:p w14:paraId="761160BA" w14:textId="77777777" w:rsidR="00A96728" w:rsidRPr="00281E02" w:rsidRDefault="00A96728" w:rsidP="00A96728">
      <w:pPr>
        <w:rPr>
          <w:lang w:val="en-AU"/>
        </w:rPr>
      </w:pPr>
      <w:r w:rsidRPr="00281E02">
        <w:rPr>
          <w:lang w:val="en-AU"/>
        </w:rPr>
        <w:t xml:space="preserve">The </w:t>
      </w:r>
      <w:r w:rsidR="00977220">
        <w:rPr>
          <w:lang w:val="en-AU"/>
        </w:rPr>
        <w:t xml:space="preserve">Papua New Guinea </w:t>
      </w:r>
      <w:r w:rsidR="000251AE">
        <w:rPr>
          <w:lang w:val="en-AU"/>
        </w:rPr>
        <w:t xml:space="preserve">development </w:t>
      </w:r>
      <w:r w:rsidRPr="00281E02">
        <w:rPr>
          <w:lang w:val="en-AU"/>
        </w:rPr>
        <w:t>p</w:t>
      </w:r>
      <w:r>
        <w:rPr>
          <w:lang w:val="en-AU"/>
        </w:rPr>
        <w:t>rogram undertook seven independent evaluations during 2017-18 (it is required to undertake a minimum of five according to the DFAT Evaluation Policy</w:t>
      </w:r>
      <w:r w:rsidR="000251AE">
        <w:rPr>
          <w:lang w:val="en-AU"/>
        </w:rPr>
        <w:t>)</w:t>
      </w:r>
      <w:r>
        <w:rPr>
          <w:lang w:val="en-AU"/>
        </w:rPr>
        <w:t>.</w:t>
      </w:r>
      <w:r w:rsidR="00FF4BD9">
        <w:rPr>
          <w:lang w:val="en-AU"/>
        </w:rPr>
        <w:t xml:space="preserve"> </w:t>
      </w:r>
      <w:r w:rsidR="002E1E69">
        <w:rPr>
          <w:lang w:val="en-AU"/>
        </w:rPr>
        <w:t xml:space="preserve">Completed and ongoing </w:t>
      </w:r>
      <w:r w:rsidR="002E1E69" w:rsidRPr="00281E02">
        <w:rPr>
          <w:lang w:val="en-AU"/>
        </w:rPr>
        <w:t>evaluations</w:t>
      </w:r>
      <w:r w:rsidR="002E1E69">
        <w:rPr>
          <w:lang w:val="en-AU"/>
        </w:rPr>
        <w:t xml:space="preserve"> are at </w:t>
      </w:r>
      <w:r w:rsidR="00E74EBB">
        <w:rPr>
          <w:lang w:val="en-AU"/>
        </w:rPr>
        <w:t xml:space="preserve">listed at </w:t>
      </w:r>
      <w:r w:rsidR="002E1E69">
        <w:rPr>
          <w:lang w:val="en-AU"/>
        </w:rPr>
        <w:t>Annex C. Each evaluation was chosen to inform decisions about upcoming investments and to improve the way we work in Papua New Guinea. For example</w:t>
      </w:r>
      <w:r w:rsidR="00DA387E">
        <w:rPr>
          <w:lang w:val="en-AU"/>
        </w:rPr>
        <w:t>,</w:t>
      </w:r>
      <w:r w:rsidR="002E1E69">
        <w:rPr>
          <w:lang w:val="en-AU"/>
        </w:rPr>
        <w:t xml:space="preserve"> the recommendations for the El-Nino drought response were used to improve planning and decision-making during the Highlands Earthquake re</w:t>
      </w:r>
      <w:r w:rsidR="00915A56">
        <w:rPr>
          <w:lang w:val="en-AU"/>
        </w:rPr>
        <w:t>s</w:t>
      </w:r>
      <w:r w:rsidR="00282307">
        <w:rPr>
          <w:lang w:val="en-AU"/>
        </w:rPr>
        <w:t>ponse in February 2018.</w:t>
      </w:r>
      <w:r w:rsidR="00FF4BD9">
        <w:rPr>
          <w:lang w:val="en-AU"/>
        </w:rPr>
        <w:t xml:space="preserve"> </w:t>
      </w:r>
    </w:p>
    <w:p w14:paraId="6A748F35" w14:textId="77777777" w:rsidR="00BA6039" w:rsidRDefault="0074465E" w:rsidP="00281E02">
      <w:r>
        <w:rPr>
          <w:lang w:val="en-AU"/>
        </w:rPr>
        <w:lastRenderedPageBreak/>
        <w:t>T</w:t>
      </w:r>
      <w:r w:rsidR="00281E02" w:rsidRPr="00281E02">
        <w:rPr>
          <w:lang w:val="en-AU"/>
        </w:rPr>
        <w:t>he Performance Assessment Framework (PAF) for the program</w:t>
      </w:r>
      <w:r>
        <w:rPr>
          <w:lang w:val="en-AU"/>
        </w:rPr>
        <w:t xml:space="preserve"> continues to be </w:t>
      </w:r>
      <w:r w:rsidR="00BF200A">
        <w:rPr>
          <w:lang w:val="en-AU"/>
        </w:rPr>
        <w:t>a work in progress. This year, the program focused on reporting against targets in the current reporting period and setting targets for next year</w:t>
      </w:r>
      <w:r w:rsidR="00397595">
        <w:rPr>
          <w:lang w:val="en-AU"/>
        </w:rPr>
        <w:t xml:space="preserve"> </w:t>
      </w:r>
      <w:r w:rsidR="00281E02" w:rsidRPr="00281E02">
        <w:rPr>
          <w:lang w:val="en-AU"/>
        </w:rPr>
        <w:t>(Annex E). The</w:t>
      </w:r>
      <w:r w:rsidR="00FF4BD9">
        <w:rPr>
          <w:lang w:val="en-AU"/>
        </w:rPr>
        <w:t xml:space="preserve"> </w:t>
      </w:r>
      <w:r w:rsidR="00281E02" w:rsidRPr="00281E02">
        <w:rPr>
          <w:lang w:val="en-AU"/>
        </w:rPr>
        <w:t>PAF</w:t>
      </w:r>
      <w:r w:rsidR="00BF200A">
        <w:rPr>
          <w:lang w:val="en-AU"/>
        </w:rPr>
        <w:t xml:space="preserve"> reflects </w:t>
      </w:r>
      <w:r w:rsidR="00281E02" w:rsidRPr="00281E02">
        <w:rPr>
          <w:lang w:val="en-AU"/>
        </w:rPr>
        <w:t xml:space="preserve"> the strategic direction for development cooperation set out in the DFAT </w:t>
      </w:r>
      <w:r w:rsidR="00281E02" w:rsidRPr="00354A00">
        <w:rPr>
          <w:i/>
          <w:lang w:val="en-AU"/>
        </w:rPr>
        <w:t xml:space="preserve">Aid Investment Plan </w:t>
      </w:r>
      <w:r w:rsidR="002828E8" w:rsidRPr="00354A00">
        <w:rPr>
          <w:i/>
          <w:lang w:val="en-AU"/>
        </w:rPr>
        <w:t>Papua New Guinea 2015-16 to 201</w:t>
      </w:r>
      <w:r w:rsidR="00BF5743">
        <w:rPr>
          <w:i/>
          <w:lang w:val="en-AU"/>
        </w:rPr>
        <w:t>8-19</w:t>
      </w:r>
      <w:r w:rsidR="00281E02" w:rsidRPr="00281E02">
        <w:rPr>
          <w:lang w:val="en-AU"/>
        </w:rPr>
        <w:t xml:space="preserve">; agreements between Australia and </w:t>
      </w:r>
      <w:r w:rsidR="00972E6F">
        <w:t>Papua New Guinea</w:t>
      </w:r>
      <w:r w:rsidR="00281E02" w:rsidRPr="00281E02">
        <w:rPr>
          <w:lang w:val="en-AU"/>
        </w:rPr>
        <w:t xml:space="preserve"> in the </w:t>
      </w:r>
      <w:r w:rsidR="00281E02" w:rsidRPr="00354A00">
        <w:rPr>
          <w:i/>
          <w:lang w:val="en-AU"/>
        </w:rPr>
        <w:t>Aid Partnership Arrangements</w:t>
      </w:r>
      <w:r w:rsidR="00281E02" w:rsidRPr="00281E02">
        <w:rPr>
          <w:lang w:val="en-AU"/>
        </w:rPr>
        <w:t xml:space="preserve">; and the </w:t>
      </w:r>
      <w:r w:rsidR="00281E02" w:rsidRPr="00354A00">
        <w:rPr>
          <w:i/>
          <w:lang w:val="en-AU"/>
        </w:rPr>
        <w:t>Joint Understanding on Further Bilateral Cooperation on Health, Education and Law and Order</w:t>
      </w:r>
      <w:r w:rsidR="00281E02" w:rsidRPr="00281E02">
        <w:rPr>
          <w:lang w:val="en-AU"/>
        </w:rPr>
        <w:t xml:space="preserve">. </w:t>
      </w:r>
      <w:r w:rsidR="00E56068">
        <w:t>T</w:t>
      </w:r>
      <w:r w:rsidR="009C3176">
        <w:t>he PAF</w:t>
      </w:r>
      <w:r w:rsidR="003C4CB3" w:rsidRPr="00F62888">
        <w:t xml:space="preserve"> sets indicators of progress across the three outcome areas: promoting effective governance, enabling economic growth and enhancing human development</w:t>
      </w:r>
      <w:r w:rsidR="003C4CB3" w:rsidRPr="005A2D55">
        <w:rPr>
          <w:i/>
        </w:rPr>
        <w:t>.</w:t>
      </w:r>
      <w:r w:rsidR="009505A9">
        <w:t xml:space="preserve"> </w:t>
      </w:r>
    </w:p>
    <w:p w14:paraId="13B8C206" w14:textId="265A1F6E" w:rsidR="00281E02" w:rsidRPr="00281E02" w:rsidRDefault="009505A9" w:rsidP="00281E02">
      <w:pPr>
        <w:rPr>
          <w:lang w:val="en-AU"/>
        </w:rPr>
      </w:pPr>
      <w:r>
        <w:t xml:space="preserve">In 2018-19 the PAF will be further refined to reflect the </w:t>
      </w:r>
      <w:r w:rsidRPr="00FD7ACE">
        <w:t>recent and substantive change in t</w:t>
      </w:r>
      <w:r>
        <w:t xml:space="preserve">he PNG portfolio of investments. A new PAF will be developed in conjunction with the new Aid Investment Plan. </w:t>
      </w:r>
      <w:r w:rsidR="00281E02" w:rsidRPr="00281E02">
        <w:rPr>
          <w:lang w:val="en-AU"/>
        </w:rPr>
        <w:t xml:space="preserve">The PAF is one part of a broader performance assessment system that includes aggregate development results, investment quality reports, </w:t>
      </w:r>
      <w:r w:rsidR="00AC25AA">
        <w:rPr>
          <w:lang w:val="en-AU"/>
        </w:rPr>
        <w:t xml:space="preserve">independent evaluations, </w:t>
      </w:r>
      <w:r w:rsidR="00281E02" w:rsidRPr="00281E02">
        <w:rPr>
          <w:lang w:val="en-AU"/>
        </w:rPr>
        <w:t xml:space="preserve">this </w:t>
      </w:r>
      <w:r w:rsidR="005A3435">
        <w:rPr>
          <w:lang w:val="en-AU"/>
        </w:rPr>
        <w:t>APPR</w:t>
      </w:r>
      <w:r w:rsidR="00762E8D">
        <w:rPr>
          <w:lang w:val="en-AU"/>
        </w:rPr>
        <w:t>, diplomatic</w:t>
      </w:r>
      <w:r w:rsidR="00281E02" w:rsidRPr="00281E02">
        <w:rPr>
          <w:lang w:val="en-AU"/>
        </w:rPr>
        <w:t xml:space="preserve"> reporting, and systematic monitoring and evaluation of each investment. Investment Quality Reporting</w:t>
      </w:r>
      <w:r w:rsidR="00281E02" w:rsidRPr="001B38F5">
        <w:rPr>
          <w:lang w:val="en-AU"/>
        </w:rPr>
        <w:t xml:space="preserve"> is undertaken annually to review the performance of contractors, investments, sectors and the overarching program. </w:t>
      </w:r>
      <w:r w:rsidR="00AC25AA">
        <w:rPr>
          <w:lang w:val="en-AU"/>
        </w:rPr>
        <w:t>I</w:t>
      </w:r>
      <w:r w:rsidR="00281E02" w:rsidRPr="001B38F5">
        <w:rPr>
          <w:lang w:val="en-AU"/>
        </w:rPr>
        <w:t>n 201</w:t>
      </w:r>
      <w:r w:rsidR="0014109A">
        <w:rPr>
          <w:lang w:val="en-AU"/>
        </w:rPr>
        <w:t>7-18</w:t>
      </w:r>
      <w:r w:rsidR="00AC25AA">
        <w:rPr>
          <w:lang w:val="en-AU"/>
        </w:rPr>
        <w:t>,</w:t>
      </w:r>
      <w:r w:rsidR="00281E02" w:rsidRPr="001B38F5">
        <w:rPr>
          <w:lang w:val="en-AU"/>
        </w:rPr>
        <w:t xml:space="preserve"> the </w:t>
      </w:r>
      <w:r w:rsidR="00972E6F">
        <w:t>Papua New Guinea</w:t>
      </w:r>
      <w:r w:rsidR="00281E02" w:rsidRPr="001B38F5">
        <w:rPr>
          <w:lang w:val="en-AU"/>
        </w:rPr>
        <w:t xml:space="preserve"> program achieved 100 per cent compliance on all quality processes. </w:t>
      </w:r>
    </w:p>
    <w:p w14:paraId="31F81CCC" w14:textId="77777777" w:rsidR="00600479" w:rsidRPr="00E33044" w:rsidRDefault="00600479" w:rsidP="00BE6C6D">
      <w:pPr>
        <w:rPr>
          <w:i/>
          <w:lang w:eastAsia="zh-CN"/>
        </w:rPr>
      </w:pPr>
      <w:r w:rsidRPr="00E33044">
        <w:rPr>
          <w:i/>
          <w:lang w:eastAsia="zh-CN"/>
        </w:rPr>
        <w:t>Aid Quality Checks</w:t>
      </w:r>
    </w:p>
    <w:p w14:paraId="167595EE" w14:textId="790F5F6D" w:rsidR="001D25E3" w:rsidRPr="00F45304" w:rsidRDefault="001D25E3" w:rsidP="00E00941">
      <w:r w:rsidRPr="00F45304">
        <w:t xml:space="preserve">A total of </w:t>
      </w:r>
      <w:r w:rsidR="00574827">
        <w:t>1</w:t>
      </w:r>
      <w:r w:rsidR="00F86393">
        <w:t>6</w:t>
      </w:r>
      <w:r w:rsidR="00574827" w:rsidRPr="00F45304">
        <w:t xml:space="preserve"> </w:t>
      </w:r>
      <w:r w:rsidRPr="00F45304">
        <w:t>AQC</w:t>
      </w:r>
      <w:r w:rsidR="005A3435">
        <w:t>s</w:t>
      </w:r>
      <w:r w:rsidRPr="00F45304">
        <w:t xml:space="preserve"> were completed in early 201</w:t>
      </w:r>
      <w:r w:rsidR="00574827">
        <w:t>8</w:t>
      </w:r>
      <w:r w:rsidRPr="00F45304">
        <w:t>, as part of the annual aid program performance cycle</w:t>
      </w:r>
      <w:r w:rsidR="00F86393">
        <w:t xml:space="preserve"> (see Annex D)</w:t>
      </w:r>
      <w:r w:rsidRPr="00F45304">
        <w:t xml:space="preserve">. </w:t>
      </w:r>
      <w:r w:rsidR="00BC472A">
        <w:t xml:space="preserve">The </w:t>
      </w:r>
      <w:r w:rsidR="00574827">
        <w:t>AQCs</w:t>
      </w:r>
      <w:r w:rsidR="00F86393">
        <w:t xml:space="preserve"> </w:t>
      </w:r>
      <w:r w:rsidR="00BC472A">
        <w:t xml:space="preserve">of investments </w:t>
      </w:r>
      <w:r w:rsidR="00F86393">
        <w:t>valued at over $3 million</w:t>
      </w:r>
      <w:r w:rsidR="00574827">
        <w:t xml:space="preserve"> </w:t>
      </w:r>
      <w:r w:rsidRPr="00F45304">
        <w:t xml:space="preserve">were independently moderated by </w:t>
      </w:r>
      <w:r w:rsidR="009C3176">
        <w:t xml:space="preserve">the </w:t>
      </w:r>
      <w:r w:rsidR="00574827" w:rsidRPr="00574827">
        <w:t>Aid Management and Performance Branch</w:t>
      </w:r>
      <w:r w:rsidR="00574827">
        <w:t xml:space="preserve">’s Assistant Secretary, and the AQC of </w:t>
      </w:r>
      <w:r w:rsidR="00BA6039">
        <w:t>DFAT’s</w:t>
      </w:r>
      <w:r w:rsidR="00574827">
        <w:t xml:space="preserve"> </w:t>
      </w:r>
      <w:r w:rsidR="003C4CB3">
        <w:t>Australia-Papua New Guinea Governance Partnership</w:t>
      </w:r>
      <w:r w:rsidR="003C4CB3" w:rsidDel="003C4CB3">
        <w:t xml:space="preserve"> </w:t>
      </w:r>
      <w:r w:rsidR="00574827">
        <w:t xml:space="preserve">was </w:t>
      </w:r>
      <w:r w:rsidR="00DA387E">
        <w:t>c</w:t>
      </w:r>
      <w:r w:rsidR="00574827">
        <w:t xml:space="preserve">haired by </w:t>
      </w:r>
      <w:r w:rsidR="00BC472A">
        <w:t xml:space="preserve">DFAT’s </w:t>
      </w:r>
      <w:r w:rsidR="00574827">
        <w:t xml:space="preserve">First Assistant Secretary of the </w:t>
      </w:r>
      <w:r w:rsidR="00574827" w:rsidRPr="00574827">
        <w:t>Contracting and Aid Management Division</w:t>
      </w:r>
      <w:r w:rsidR="00574827">
        <w:t xml:space="preserve">. Involving senior DFAT management in the AQC process </w:t>
      </w:r>
      <w:r w:rsidRPr="00F45304">
        <w:t>ensure</w:t>
      </w:r>
      <w:r w:rsidR="00574827">
        <w:t>d the</w:t>
      </w:r>
      <w:r w:rsidRPr="00F45304">
        <w:t xml:space="preserve"> robustness of scores and narratives. </w:t>
      </w:r>
    </w:p>
    <w:p w14:paraId="38057A71" w14:textId="77777777" w:rsidR="008A1907" w:rsidRPr="001B38F5" w:rsidRDefault="008A1907" w:rsidP="008A1907">
      <w:pPr>
        <w:rPr>
          <w:bCs/>
          <w:i/>
          <w:color w:val="auto"/>
          <w:lang w:val="en-AU" w:eastAsia="zh-CN"/>
        </w:rPr>
      </w:pPr>
      <w:r w:rsidRPr="001B38F5">
        <w:rPr>
          <w:bCs/>
          <w:i/>
          <w:lang w:eastAsia="zh-CN"/>
        </w:rPr>
        <w:t>Performance of key delivery partners</w:t>
      </w:r>
    </w:p>
    <w:p w14:paraId="4537169E" w14:textId="77777777" w:rsidR="00F43512" w:rsidRDefault="00F43512" w:rsidP="00936B60">
      <w:r>
        <w:t xml:space="preserve">Delivery partners </w:t>
      </w:r>
      <w:r w:rsidR="00595B40">
        <w:t xml:space="preserve">largely </w:t>
      </w:r>
      <w:r>
        <w:t>continue to perform effectively</w:t>
      </w:r>
      <w:r w:rsidR="00EE23A8">
        <w:t xml:space="preserve"> in the </w:t>
      </w:r>
      <w:r w:rsidR="00945B8B">
        <w:t>challenging</w:t>
      </w:r>
      <w:r w:rsidR="00EE23A8">
        <w:t xml:space="preserve"> operating environment of Papua New Guinea</w:t>
      </w:r>
      <w:r>
        <w:t xml:space="preserve">. The majority of Australia’s ODA continues to be delivered by commercial contractors, followed by multilateral banks and international organisations. We completed </w:t>
      </w:r>
      <w:r w:rsidR="008A05B2">
        <w:t>18</w:t>
      </w:r>
      <w:r>
        <w:t xml:space="preserve"> performance assessments of partners with agreements worth more than </w:t>
      </w:r>
      <w:r w:rsidR="00B24529">
        <w:t>$</w:t>
      </w:r>
      <w:r>
        <w:t xml:space="preserve">3 million, including </w:t>
      </w:r>
      <w:r w:rsidR="008C7C6D">
        <w:t>14</w:t>
      </w:r>
      <w:r>
        <w:t xml:space="preserve"> with commercial </w:t>
      </w:r>
      <w:r w:rsidR="00081330">
        <w:t>managing contractors</w:t>
      </w:r>
      <w:r>
        <w:t xml:space="preserve">, </w:t>
      </w:r>
      <w:r w:rsidR="00081330" w:rsidRPr="006522CD">
        <w:t>three</w:t>
      </w:r>
      <w:r>
        <w:t xml:space="preserve"> with multilateral </w:t>
      </w:r>
      <w:r w:rsidR="00081330">
        <w:t>organisations</w:t>
      </w:r>
      <w:r w:rsidR="008C7C6D">
        <w:t xml:space="preserve"> and one</w:t>
      </w:r>
      <w:r>
        <w:t xml:space="preserve"> no</w:t>
      </w:r>
      <w:r w:rsidR="008C7C6D">
        <w:t>n-governmental organisation</w:t>
      </w:r>
      <w:r>
        <w:t xml:space="preserve">. Areas for improvement </w:t>
      </w:r>
      <w:r w:rsidR="00EE23A8">
        <w:t>include ensuring programs are delivered in a timely manner, vigilance during implementation phases, and improved recruitment and retention</w:t>
      </w:r>
      <w:r>
        <w:t xml:space="preserve"> of personnel. </w:t>
      </w:r>
    </w:p>
    <w:p w14:paraId="6D6B95DE" w14:textId="4692AD52" w:rsidR="008A1907" w:rsidRPr="008A1907" w:rsidRDefault="00081330" w:rsidP="008A1907">
      <w:r>
        <w:t xml:space="preserve">Commercial managing contractors performed effectively, </w:t>
      </w:r>
      <w:r w:rsidR="00A62E21">
        <w:t xml:space="preserve">and we </w:t>
      </w:r>
      <w:r w:rsidR="00A62E21" w:rsidRPr="008A1907">
        <w:t xml:space="preserve">will continue to use </w:t>
      </w:r>
      <w:r w:rsidR="00BC472A">
        <w:t>them</w:t>
      </w:r>
      <w:r w:rsidR="00A62E21" w:rsidRPr="008A1907">
        <w:t xml:space="preserve"> where they represent the most effective delivery model and represent the best value for money for Australian taxpayers</w:t>
      </w:r>
      <w:r w:rsidR="00A62E21">
        <w:t xml:space="preserve">. </w:t>
      </w:r>
      <w:r w:rsidR="00A62E21" w:rsidRPr="008A1907">
        <w:t>In the health, education and transport sectors, Australia has engaged managing contractors to manage service delivery and infrastructure projects</w:t>
      </w:r>
      <w:r w:rsidR="00A62E21">
        <w:t>,</w:t>
      </w:r>
      <w:r w:rsidR="00A62E21" w:rsidRPr="008A1907">
        <w:t xml:space="preserve"> including design and implementation services for the aid program</w:t>
      </w:r>
      <w:r w:rsidR="00FF4BD9">
        <w:t xml:space="preserve"> </w:t>
      </w:r>
      <w:r w:rsidR="008A1907">
        <w:t xml:space="preserve"> </w:t>
      </w:r>
    </w:p>
    <w:p w14:paraId="53616A1F" w14:textId="77777777" w:rsidR="00EF0006" w:rsidRPr="00BF586F" w:rsidRDefault="003D0B7E" w:rsidP="00BF586F">
      <w:r>
        <w:t xml:space="preserve">The </w:t>
      </w:r>
      <w:r w:rsidR="00A62E21">
        <w:t xml:space="preserve">World Bank, </w:t>
      </w:r>
      <w:r>
        <w:t>Asian Development Bank</w:t>
      </w:r>
      <w:r w:rsidR="002533B3">
        <w:t>, UNDP, UNICEF</w:t>
      </w:r>
      <w:r>
        <w:t xml:space="preserve"> </w:t>
      </w:r>
      <w:r w:rsidR="00A62E21">
        <w:t xml:space="preserve">and </w:t>
      </w:r>
      <w:r w:rsidR="002533B3">
        <w:t xml:space="preserve">the </w:t>
      </w:r>
      <w:r w:rsidR="00A62E21">
        <w:t xml:space="preserve">World Health Organization </w:t>
      </w:r>
      <w:r>
        <w:t xml:space="preserve">remain important partners. </w:t>
      </w:r>
      <w:r w:rsidR="00744D40">
        <w:t>A</w:t>
      </w:r>
      <w:r w:rsidR="00744D40" w:rsidRPr="001B38F5">
        <w:t xml:space="preserve"> significant </w:t>
      </w:r>
      <w:r w:rsidR="00964CD4">
        <w:t>number</w:t>
      </w:r>
      <w:r w:rsidR="00744D40" w:rsidRPr="001B38F5">
        <w:t xml:space="preserve"> </w:t>
      </w:r>
      <w:r w:rsidR="00744D40">
        <w:t xml:space="preserve">of Australia’s development investments in Papua New Guinea </w:t>
      </w:r>
      <w:r w:rsidR="00F43512">
        <w:t>continue to be</w:t>
      </w:r>
      <w:r w:rsidR="00744D40" w:rsidRPr="001B38F5">
        <w:t xml:space="preserve"> delivered </w:t>
      </w:r>
      <w:r w:rsidR="00964CD4">
        <w:t>by</w:t>
      </w:r>
      <w:r w:rsidR="00744D40" w:rsidRPr="001B38F5">
        <w:t xml:space="preserve"> Australian and local NGOs</w:t>
      </w:r>
      <w:r w:rsidR="00A27F92">
        <w:t xml:space="preserve">, </w:t>
      </w:r>
      <w:r w:rsidR="00964CD4">
        <w:t>with</w:t>
      </w:r>
      <w:r w:rsidR="00A27F92">
        <w:t xml:space="preserve"> the Aust</w:t>
      </w:r>
      <w:r w:rsidR="0033311C">
        <w:t>ralian High Commission sponsoring</w:t>
      </w:r>
      <w:r w:rsidR="00A27F92">
        <w:t xml:space="preserve"> a successful NGO Conference in Port Moresby in October 2017</w:t>
      </w:r>
      <w:r w:rsidR="00744D40">
        <w:t xml:space="preserve">. </w:t>
      </w:r>
      <w:r w:rsidR="00964CD4">
        <w:t>Australia</w:t>
      </w:r>
      <w:r w:rsidR="00A27F92">
        <w:t xml:space="preserve"> continues to fund </w:t>
      </w:r>
      <w:r w:rsidR="00964CD4">
        <w:t>Australian</w:t>
      </w:r>
      <w:r w:rsidR="00A27F92">
        <w:t xml:space="preserve"> and local NGOs directly and indirectly through </w:t>
      </w:r>
      <w:r w:rsidR="00963CCE">
        <w:t>managing contractors</w:t>
      </w:r>
      <w:r w:rsidR="00A27F92">
        <w:t>.</w:t>
      </w:r>
      <w:r w:rsidR="00BF586F">
        <w:t xml:space="preserve"> </w:t>
      </w:r>
    </w:p>
    <w:p w14:paraId="6B6CB46C" w14:textId="77777777" w:rsidR="00962FF0" w:rsidRDefault="00962FF0">
      <w:pPr>
        <w:suppressAutoHyphens w:val="0"/>
        <w:spacing w:before="0" w:after="120" w:line="440" w:lineRule="atLeast"/>
        <w:rPr>
          <w:rFonts w:asciiTheme="majorHAnsi" w:eastAsiaTheme="majorEastAsia" w:hAnsiTheme="majorHAnsi" w:cstheme="majorBidi"/>
          <w:caps/>
          <w:sz w:val="38"/>
          <w:szCs w:val="26"/>
        </w:rPr>
      </w:pPr>
      <w:r>
        <w:br w:type="page"/>
      </w:r>
    </w:p>
    <w:p w14:paraId="5B31067F" w14:textId="220D185F" w:rsidR="004F7081" w:rsidRPr="009A683F" w:rsidRDefault="004F7081" w:rsidP="004F7081">
      <w:pPr>
        <w:pStyle w:val="Heading2"/>
      </w:pPr>
      <w:r>
        <w:lastRenderedPageBreak/>
        <w:t xml:space="preserve">KEY </w:t>
      </w:r>
      <w:r w:rsidRPr="002A51CA">
        <w:t xml:space="preserve">Management </w:t>
      </w:r>
      <w:r>
        <w:t>actions</w:t>
      </w:r>
    </w:p>
    <w:p w14:paraId="02D30ACF" w14:textId="77777777" w:rsidR="004F7081" w:rsidRPr="00682003" w:rsidRDefault="004F7081" w:rsidP="004F7081">
      <w:pPr>
        <w:rPr>
          <w:b/>
          <w:bCs/>
          <w:lang w:val="en-AU"/>
        </w:rPr>
      </w:pPr>
      <w:r w:rsidRPr="00682003">
        <w:rPr>
          <w:b/>
          <w:bCs/>
          <w:lang w:val="en-AU"/>
        </w:rPr>
        <w:t>Strategic</w:t>
      </w:r>
    </w:p>
    <w:p w14:paraId="7552646A" w14:textId="17689B26" w:rsidR="00B67DD3" w:rsidRPr="002D4E28" w:rsidRDefault="00B67DD3" w:rsidP="00B67DD3">
      <w:pPr>
        <w:numPr>
          <w:ilvl w:val="0"/>
          <w:numId w:val="48"/>
        </w:numPr>
        <w:rPr>
          <w:lang w:val="en-AU"/>
        </w:rPr>
      </w:pPr>
      <w:r>
        <w:rPr>
          <w:lang w:val="en-AU"/>
        </w:rPr>
        <w:t xml:space="preserve">Continue to provide high levels of support </w:t>
      </w:r>
      <w:r w:rsidR="00EB311C">
        <w:rPr>
          <w:lang w:val="en-AU"/>
        </w:rPr>
        <w:t xml:space="preserve">for </w:t>
      </w:r>
      <w:r>
        <w:rPr>
          <w:lang w:val="en-AU"/>
        </w:rPr>
        <w:t xml:space="preserve">Papua New Guinea’s hosting of APEC </w:t>
      </w:r>
      <w:r w:rsidR="00EB311C">
        <w:rPr>
          <w:lang w:val="en-AU"/>
        </w:rPr>
        <w:t xml:space="preserve">in </w:t>
      </w:r>
      <w:r>
        <w:rPr>
          <w:lang w:val="en-AU"/>
        </w:rPr>
        <w:t xml:space="preserve">2018. </w:t>
      </w:r>
    </w:p>
    <w:p w14:paraId="74E31FB5" w14:textId="77777777" w:rsidR="00B67DD3" w:rsidRPr="00AB2418" w:rsidRDefault="00B67DD3" w:rsidP="00B67DD3">
      <w:pPr>
        <w:numPr>
          <w:ilvl w:val="0"/>
          <w:numId w:val="48"/>
        </w:numPr>
        <w:rPr>
          <w:lang w:val="en-AU"/>
        </w:rPr>
      </w:pPr>
      <w:r>
        <w:rPr>
          <w:lang w:val="en-US"/>
        </w:rPr>
        <w:t>Continue to w</w:t>
      </w:r>
      <w:r w:rsidRPr="00682003">
        <w:rPr>
          <w:lang w:val="en-US"/>
        </w:rPr>
        <w:t>ork</w:t>
      </w:r>
      <w:r w:rsidR="003D709F">
        <w:rPr>
          <w:lang w:val="en-US"/>
        </w:rPr>
        <w:t xml:space="preserve"> </w:t>
      </w:r>
      <w:r w:rsidR="00C04E61">
        <w:rPr>
          <w:lang w:val="en-US"/>
        </w:rPr>
        <w:t>throughout</w:t>
      </w:r>
      <w:r w:rsidR="003D709F">
        <w:rPr>
          <w:lang w:val="en-US"/>
        </w:rPr>
        <w:t xml:space="preserve"> 2018-19</w:t>
      </w:r>
      <w:r w:rsidRPr="00682003">
        <w:rPr>
          <w:lang w:val="en-US"/>
        </w:rPr>
        <w:t xml:space="preserve"> with the Papua New Guinea Government to leverage greater </w:t>
      </w:r>
      <w:r>
        <w:rPr>
          <w:lang w:val="en-US"/>
        </w:rPr>
        <w:t xml:space="preserve">international </w:t>
      </w:r>
      <w:r w:rsidRPr="00682003">
        <w:rPr>
          <w:lang w:val="en-US"/>
        </w:rPr>
        <w:t>financing to deliver on its economic, security, infrastructure and social priorities.</w:t>
      </w:r>
    </w:p>
    <w:p w14:paraId="48445492" w14:textId="77777777" w:rsidR="00FE742C" w:rsidRPr="00282307" w:rsidRDefault="00FE742C" w:rsidP="00282307">
      <w:pPr>
        <w:numPr>
          <w:ilvl w:val="0"/>
          <w:numId w:val="48"/>
        </w:numPr>
        <w:rPr>
          <w:lang w:val="en-AU"/>
        </w:rPr>
      </w:pPr>
      <w:r w:rsidRPr="006522CD">
        <w:t xml:space="preserve">Negotiate a new </w:t>
      </w:r>
      <w:r>
        <w:t xml:space="preserve">set of development priorities </w:t>
      </w:r>
      <w:r w:rsidR="003D709F">
        <w:t xml:space="preserve">in 2018-19 </w:t>
      </w:r>
      <w:r w:rsidRPr="006522CD">
        <w:t xml:space="preserve">with the Papua New Guinea Government </w:t>
      </w:r>
      <w:r>
        <w:t xml:space="preserve">which will contribute to broader bilateral </w:t>
      </w:r>
      <w:r w:rsidRPr="006522CD">
        <w:t>economic</w:t>
      </w:r>
      <w:r>
        <w:t>/</w:t>
      </w:r>
      <w:r w:rsidRPr="006522CD">
        <w:t xml:space="preserve">strategic </w:t>
      </w:r>
      <w:r>
        <w:t xml:space="preserve">partnership </w:t>
      </w:r>
      <w:r w:rsidRPr="006522CD">
        <w:t xml:space="preserve">objectives. </w:t>
      </w:r>
    </w:p>
    <w:p w14:paraId="006D3B96" w14:textId="77777777" w:rsidR="00FE742C" w:rsidRDefault="00FE742C" w:rsidP="00FE742C">
      <w:pPr>
        <w:numPr>
          <w:ilvl w:val="0"/>
          <w:numId w:val="48"/>
        </w:numPr>
        <w:rPr>
          <w:lang w:val="en-AU"/>
        </w:rPr>
      </w:pPr>
      <w:r>
        <w:t>Produce a new Aid Investment Plan</w:t>
      </w:r>
      <w:r w:rsidR="003D709F">
        <w:t xml:space="preserve"> in 2018-19</w:t>
      </w:r>
      <w:r>
        <w:t xml:space="preserve"> and accompanying Performance Assessment Framework </w:t>
      </w:r>
      <w:r w:rsidRPr="006522CD">
        <w:t>t</w:t>
      </w:r>
      <w:r>
        <w:t xml:space="preserve">hat will drive </w:t>
      </w:r>
      <w:r w:rsidRPr="006522CD">
        <w:t>program</w:t>
      </w:r>
      <w:r>
        <w:t xml:space="preserve"> alignment </w:t>
      </w:r>
      <w:r w:rsidRPr="006522CD">
        <w:t>with</w:t>
      </w:r>
      <w:r>
        <w:t xml:space="preserve"> new partnership priorities.</w:t>
      </w:r>
    </w:p>
    <w:p w14:paraId="79939519" w14:textId="4CE19682" w:rsidR="00FE742C" w:rsidRDefault="00FE742C" w:rsidP="00FE742C">
      <w:pPr>
        <w:numPr>
          <w:ilvl w:val="0"/>
          <w:numId w:val="48"/>
        </w:numPr>
        <w:rPr>
          <w:lang w:val="en-AU"/>
        </w:rPr>
      </w:pPr>
      <w:r>
        <w:rPr>
          <w:lang w:val="en-AU"/>
        </w:rPr>
        <w:t>Agree a more strategic and coherent approach</w:t>
      </w:r>
      <w:r w:rsidR="003D709F">
        <w:rPr>
          <w:lang w:val="en-AU"/>
        </w:rPr>
        <w:t xml:space="preserve"> </w:t>
      </w:r>
      <w:r w:rsidR="003D709F">
        <w:rPr>
          <w:lang w:val="en-US"/>
        </w:rPr>
        <w:t>in 2018-19</w:t>
      </w:r>
      <w:r>
        <w:rPr>
          <w:lang w:val="en-AU"/>
        </w:rPr>
        <w:t xml:space="preserve"> to engaging sub-nationally </w:t>
      </w:r>
      <w:r w:rsidR="00590FE6">
        <w:rPr>
          <w:lang w:val="en-AU"/>
        </w:rPr>
        <w:t xml:space="preserve">across Australia’s portfolio of investments in </w:t>
      </w:r>
      <w:r w:rsidR="003D709F">
        <w:rPr>
          <w:lang w:val="en-AU"/>
        </w:rPr>
        <w:t>Papua New Guinea</w:t>
      </w:r>
      <w:r>
        <w:rPr>
          <w:lang w:val="en-AU"/>
        </w:rPr>
        <w:t>.</w:t>
      </w:r>
      <w:r w:rsidR="00FF4BD9">
        <w:rPr>
          <w:lang w:val="en-AU"/>
        </w:rPr>
        <w:t xml:space="preserve"> </w:t>
      </w:r>
    </w:p>
    <w:p w14:paraId="2DCBD559" w14:textId="27F5F6F1" w:rsidR="0023601D" w:rsidRPr="00C446D4" w:rsidRDefault="0072779B" w:rsidP="0023601D">
      <w:pPr>
        <w:numPr>
          <w:ilvl w:val="0"/>
          <w:numId w:val="48"/>
        </w:numPr>
        <w:rPr>
          <w:lang w:val="en-AU"/>
        </w:rPr>
      </w:pPr>
      <w:r>
        <w:t xml:space="preserve">Revise the </w:t>
      </w:r>
      <w:r w:rsidR="00B67DD3">
        <w:t xml:space="preserve">Papua New Guinea </w:t>
      </w:r>
      <w:r>
        <w:t xml:space="preserve">Gender Action Plan </w:t>
      </w:r>
      <w:r w:rsidR="003D709F" w:rsidRPr="0055480F">
        <w:t>in 2018-19</w:t>
      </w:r>
      <w:r w:rsidR="00C04E61" w:rsidRPr="0055480F">
        <w:t xml:space="preserve"> </w:t>
      </w:r>
      <w:r w:rsidR="00915EF5" w:rsidRPr="0055480F">
        <w:t>to ensure it can be used as a strategic tool for driving improvements in gender equality across the program</w:t>
      </w:r>
      <w:r>
        <w:t>.</w:t>
      </w:r>
      <w:r w:rsidR="00FF4BD9">
        <w:t xml:space="preserve"> </w:t>
      </w:r>
    </w:p>
    <w:p w14:paraId="7FC480AF" w14:textId="4FB1CA64" w:rsidR="00FF1DEE" w:rsidRPr="005B59E7" w:rsidRDefault="0072779B" w:rsidP="0092172B">
      <w:pPr>
        <w:numPr>
          <w:ilvl w:val="0"/>
          <w:numId w:val="48"/>
        </w:numPr>
        <w:rPr>
          <w:lang w:val="en-AU"/>
        </w:rPr>
      </w:pPr>
      <w:r>
        <w:t xml:space="preserve">Work with the </w:t>
      </w:r>
      <w:r w:rsidR="00C04E61">
        <w:t xml:space="preserve">Papua New Guinea and Autonomous Bougainville governments and community groups </w:t>
      </w:r>
      <w:r w:rsidR="003D709F">
        <w:rPr>
          <w:lang w:val="en-US"/>
        </w:rPr>
        <w:t>in 2018-19</w:t>
      </w:r>
      <w:r w:rsidR="0092172B" w:rsidRPr="0092172B">
        <w:t xml:space="preserve"> </w:t>
      </w:r>
      <w:r>
        <w:t>to provide consistent and impartial support in the lead up to the referendum.</w:t>
      </w:r>
    </w:p>
    <w:p w14:paraId="3089B31C" w14:textId="77777777" w:rsidR="00FE742C" w:rsidRPr="0055480F" w:rsidRDefault="00FE742C" w:rsidP="00FE742C">
      <w:pPr>
        <w:numPr>
          <w:ilvl w:val="0"/>
          <w:numId w:val="48"/>
        </w:numPr>
        <w:rPr>
          <w:lang w:val="en-AU"/>
        </w:rPr>
      </w:pPr>
      <w:r>
        <w:t>Work with the Australian Federal Police to shape a post-APEC Australia-PNG policing partnership</w:t>
      </w:r>
      <w:r w:rsidR="003D709F">
        <w:t xml:space="preserve"> </w:t>
      </w:r>
      <w:r w:rsidR="003D709F">
        <w:rPr>
          <w:lang w:val="en-US"/>
        </w:rPr>
        <w:t>in 2018-19</w:t>
      </w:r>
      <w:r>
        <w:t>, including achieving greater integration of policing support with assistance to the broader law and justice sector.</w:t>
      </w:r>
    </w:p>
    <w:p w14:paraId="2DA904A0" w14:textId="77777777" w:rsidR="00C04E61" w:rsidRPr="00C04E61" w:rsidRDefault="00C04E61" w:rsidP="00C04E61">
      <w:pPr>
        <w:numPr>
          <w:ilvl w:val="0"/>
          <w:numId w:val="48"/>
        </w:numPr>
        <w:rPr>
          <w:lang w:val="en-AU"/>
        </w:rPr>
      </w:pPr>
      <w:r w:rsidRPr="00C04E61">
        <w:rPr>
          <w:lang w:val="en-AU"/>
        </w:rPr>
        <w:t xml:space="preserve">Implement the new Health Portfolio Plan in 2018-19. </w:t>
      </w:r>
    </w:p>
    <w:p w14:paraId="48234498" w14:textId="77777777" w:rsidR="00C04E61" w:rsidRPr="00C04E61" w:rsidRDefault="00C04E61" w:rsidP="00C04E61">
      <w:pPr>
        <w:numPr>
          <w:ilvl w:val="0"/>
          <w:numId w:val="48"/>
        </w:numPr>
        <w:rPr>
          <w:lang w:val="en-AU"/>
        </w:rPr>
      </w:pPr>
      <w:r w:rsidRPr="00C04E61">
        <w:rPr>
          <w:lang w:val="en-AU"/>
        </w:rPr>
        <w:t xml:space="preserve">Design a new mechanism to support DFAT’s delivery of the Education and Leadership portfolio and additional investment in monitoring and evaluation in 2018-19. </w:t>
      </w:r>
    </w:p>
    <w:p w14:paraId="0C0B463A" w14:textId="77777777" w:rsidR="00C04E61" w:rsidRPr="00BE63C4" w:rsidRDefault="00C04E61" w:rsidP="00BE63C4">
      <w:pPr>
        <w:numPr>
          <w:ilvl w:val="0"/>
          <w:numId w:val="48"/>
        </w:numPr>
        <w:rPr>
          <w:lang w:val="en-AU"/>
        </w:rPr>
      </w:pPr>
      <w:r w:rsidRPr="00C04E61">
        <w:rPr>
          <w:lang w:val="en-AU"/>
        </w:rPr>
        <w:t xml:space="preserve">Outline DFAT’s future priorities for work on climate change in Papua New Guinea in a Climate Change Portfolio Plan to be completed in early 2018-19. </w:t>
      </w:r>
    </w:p>
    <w:p w14:paraId="2791CBBB" w14:textId="77777777" w:rsidR="004F7081" w:rsidRPr="00C446D4" w:rsidRDefault="004F7081" w:rsidP="004F7081">
      <w:pPr>
        <w:rPr>
          <w:b/>
          <w:bCs/>
          <w:lang w:val="en-AU"/>
        </w:rPr>
      </w:pPr>
      <w:r w:rsidRPr="00C446D4">
        <w:rPr>
          <w:b/>
          <w:bCs/>
          <w:lang w:val="en-AU"/>
        </w:rPr>
        <w:t>Operational</w:t>
      </w:r>
    </w:p>
    <w:p w14:paraId="1F41824D" w14:textId="77777777" w:rsidR="0072779B" w:rsidRPr="000D0142" w:rsidRDefault="0072779B" w:rsidP="0072779B">
      <w:pPr>
        <w:numPr>
          <w:ilvl w:val="0"/>
          <w:numId w:val="48"/>
        </w:numPr>
        <w:rPr>
          <w:lang w:val="en-AU"/>
        </w:rPr>
      </w:pPr>
      <w:r>
        <w:t>Transition ongoing programs under the new health and education portfolio structures and tender and implement new programs in 2018-19.</w:t>
      </w:r>
    </w:p>
    <w:p w14:paraId="2F3094BF" w14:textId="77777777" w:rsidR="0072779B" w:rsidRDefault="0072779B">
      <w:pPr>
        <w:numPr>
          <w:ilvl w:val="0"/>
          <w:numId w:val="48"/>
        </w:numPr>
        <w:rPr>
          <w:lang w:val="en-AU"/>
        </w:rPr>
      </w:pPr>
      <w:r>
        <w:t xml:space="preserve">Transition </w:t>
      </w:r>
      <w:r>
        <w:rPr>
          <w:lang w:val="en-AU"/>
        </w:rPr>
        <w:t xml:space="preserve">the new TSSP managing contractor to ensure the continuing effectiveness of </w:t>
      </w:r>
      <w:r w:rsidRPr="002D4E28">
        <w:rPr>
          <w:lang w:val="en-AU"/>
        </w:rPr>
        <w:t>TSSP</w:t>
      </w:r>
      <w:r w:rsidR="003D709F">
        <w:rPr>
          <w:lang w:val="en-AU"/>
        </w:rPr>
        <w:t xml:space="preserve"> </w:t>
      </w:r>
      <w:r w:rsidR="003D709F">
        <w:rPr>
          <w:lang w:val="en-US"/>
        </w:rPr>
        <w:t>in 2018-19</w:t>
      </w:r>
      <w:r w:rsidRPr="002D4E28">
        <w:rPr>
          <w:lang w:val="en-AU"/>
        </w:rPr>
        <w:t xml:space="preserve">. </w:t>
      </w:r>
    </w:p>
    <w:p w14:paraId="75C735E1" w14:textId="77777777" w:rsidR="0072779B" w:rsidRDefault="0072779B">
      <w:pPr>
        <w:numPr>
          <w:ilvl w:val="0"/>
          <w:numId w:val="48"/>
        </w:numPr>
        <w:rPr>
          <w:lang w:val="en-AU"/>
        </w:rPr>
      </w:pPr>
      <w:r>
        <w:rPr>
          <w:lang w:val="en-AU"/>
        </w:rPr>
        <w:t xml:space="preserve">Implement actions to address identified performance issues in the Institutional Partnership Program and the </w:t>
      </w:r>
      <w:r w:rsidR="00C14EC2">
        <w:rPr>
          <w:lang w:val="en-AU"/>
        </w:rPr>
        <w:t>PNG Education Program</w:t>
      </w:r>
      <w:r w:rsidR="003D709F" w:rsidRPr="003D709F">
        <w:rPr>
          <w:lang w:val="en-US"/>
        </w:rPr>
        <w:t xml:space="preserve"> </w:t>
      </w:r>
      <w:r w:rsidR="003D709F">
        <w:rPr>
          <w:lang w:val="en-US"/>
        </w:rPr>
        <w:t>in 2018-19</w:t>
      </w:r>
      <w:r w:rsidR="00C14EC2">
        <w:rPr>
          <w:lang w:val="en-AU"/>
        </w:rPr>
        <w:t>.</w:t>
      </w:r>
    </w:p>
    <w:p w14:paraId="00C8E822" w14:textId="1EEEA5ED" w:rsidR="00FE742C" w:rsidRDefault="00FE742C" w:rsidP="00FE742C">
      <w:pPr>
        <w:numPr>
          <w:ilvl w:val="0"/>
          <w:numId w:val="48"/>
        </w:numPr>
        <w:rPr>
          <w:lang w:val="en-AU"/>
        </w:rPr>
      </w:pPr>
      <w:r>
        <w:rPr>
          <w:lang w:val="en-AU"/>
        </w:rPr>
        <w:t>Implement agreed recommendations from the QTAG’s reviews of the PNG-Australia Governance Partnership, the Pacific Leadership and Governance Precinct and the law and justice program</w:t>
      </w:r>
      <w:r w:rsidR="003D709F">
        <w:rPr>
          <w:lang w:val="en-AU"/>
        </w:rPr>
        <w:t xml:space="preserve"> </w:t>
      </w:r>
      <w:r w:rsidR="003D709F">
        <w:rPr>
          <w:lang w:val="en-US"/>
        </w:rPr>
        <w:t>in 2018-19</w:t>
      </w:r>
      <w:r>
        <w:rPr>
          <w:lang w:val="en-AU"/>
        </w:rPr>
        <w:t>.</w:t>
      </w:r>
      <w:r w:rsidR="00FF4BD9">
        <w:rPr>
          <w:lang w:val="en-AU"/>
        </w:rPr>
        <w:t xml:space="preserve"> </w:t>
      </w:r>
    </w:p>
    <w:p w14:paraId="367E09F0" w14:textId="77777777" w:rsidR="00230660" w:rsidRDefault="00230660" w:rsidP="0055480F">
      <w:pPr>
        <w:rPr>
          <w:lang w:val="en-AU"/>
        </w:rPr>
      </w:pPr>
    </w:p>
    <w:p w14:paraId="1C500EC3" w14:textId="77777777" w:rsidR="00230660" w:rsidRPr="0055480F" w:rsidRDefault="00230660" w:rsidP="0055480F">
      <w:pPr>
        <w:rPr>
          <w:i/>
        </w:rPr>
      </w:pPr>
      <w:r w:rsidRPr="0055480F">
        <w:rPr>
          <w:i/>
        </w:rPr>
        <w:t>A summary of progress on management responses from 2016-17 is in the table in Annex A.</w:t>
      </w:r>
    </w:p>
    <w:p w14:paraId="46531439" w14:textId="77777777" w:rsidR="0072779B" w:rsidRPr="0072779B" w:rsidRDefault="0072779B" w:rsidP="00C14EC2">
      <w:pPr>
        <w:ind w:left="720"/>
        <w:rPr>
          <w:lang w:val="en-AU"/>
        </w:rPr>
      </w:pPr>
    </w:p>
    <w:p w14:paraId="7C3BB02F" w14:textId="77777777" w:rsidR="004F7081" w:rsidRDefault="004F7081">
      <w:pPr>
        <w:suppressAutoHyphens w:val="0"/>
        <w:spacing w:before="0" w:after="120" w:line="440" w:lineRule="atLeast"/>
        <w:rPr>
          <w:rFonts w:asciiTheme="majorHAnsi" w:eastAsiaTheme="majorEastAsia" w:hAnsiTheme="majorHAnsi" w:cstheme="majorBidi"/>
          <w:caps/>
          <w:sz w:val="38"/>
          <w:szCs w:val="26"/>
        </w:rPr>
      </w:pPr>
    </w:p>
    <w:p w14:paraId="18E30758" w14:textId="77777777" w:rsidR="004F7081" w:rsidRDefault="004F7081" w:rsidP="00C977DB">
      <w:pPr>
        <w:pStyle w:val="Heading2"/>
        <w:sectPr w:rsidR="004F7081" w:rsidSect="00354A00">
          <w:pgSz w:w="11906" w:h="16838" w:code="9"/>
          <w:pgMar w:top="1525" w:right="1134" w:bottom="1276" w:left="1134" w:header="1418" w:footer="567" w:gutter="0"/>
          <w:cols w:space="397"/>
          <w:docGrid w:linePitch="360"/>
        </w:sectPr>
      </w:pPr>
    </w:p>
    <w:p w14:paraId="589D6FA4" w14:textId="77777777" w:rsidR="002A51CA" w:rsidRPr="006522CD" w:rsidRDefault="002A51CA" w:rsidP="006522CD">
      <w:pPr>
        <w:pStyle w:val="Heading2"/>
      </w:pPr>
      <w:r w:rsidRPr="00682003">
        <w:lastRenderedPageBreak/>
        <w:t>Risks</w:t>
      </w:r>
      <w:r w:rsidR="00CA5838" w:rsidRPr="00C62661">
        <w:rPr>
          <w:caps w:val="0"/>
        </w:rPr>
        <w:br/>
      </w:r>
      <w:r w:rsidR="00CA5838" w:rsidRPr="006522CD">
        <w:rPr>
          <w:b/>
          <w:caps w:val="0"/>
          <w:sz w:val="24"/>
        </w:rPr>
        <w:t>Program's Progress towards Australia’s Aid Objectives</w:t>
      </w:r>
    </w:p>
    <w:tbl>
      <w:tblPr>
        <w:tblStyle w:val="APPR"/>
        <w:tblW w:w="5201" w:type="pct"/>
        <w:tblBorders>
          <w:top w:val="none" w:sz="0" w:space="0" w:color="auto"/>
          <w:bottom w:val="none" w:sz="0" w:space="0" w:color="auto"/>
        </w:tblBorders>
        <w:tblLook w:val="0600" w:firstRow="0" w:lastRow="0" w:firstColumn="0" w:lastColumn="0" w:noHBand="1" w:noVBand="1"/>
      </w:tblPr>
      <w:tblGrid>
        <w:gridCol w:w="3006"/>
        <w:gridCol w:w="144"/>
        <w:gridCol w:w="3864"/>
        <w:gridCol w:w="4151"/>
        <w:gridCol w:w="144"/>
        <w:gridCol w:w="1717"/>
        <w:gridCol w:w="1148"/>
        <w:gridCol w:w="569"/>
      </w:tblGrid>
      <w:tr w:rsidR="004F7081" w:rsidRPr="00CA5838" w14:paraId="27757400" w14:textId="77777777" w:rsidTr="006522CD">
        <w:tc>
          <w:tcPr>
            <w:tcW w:w="2964" w:type="dxa"/>
            <w:hideMark/>
          </w:tcPr>
          <w:p w14:paraId="2AD0DB05" w14:textId="77777777" w:rsidR="002A6AC8" w:rsidRPr="00682003" w:rsidRDefault="002A6AC8" w:rsidP="00C977DB">
            <w:pPr>
              <w:keepNext/>
              <w:keepLines/>
              <w:rPr>
                <w:rFonts w:asciiTheme="minorHAnsi" w:hAnsiTheme="minorHAnsi"/>
                <w:b/>
              </w:rPr>
            </w:pPr>
            <w:r w:rsidRPr="00682003">
              <w:rPr>
                <w:b/>
              </w:rPr>
              <w:t>Key risks</w:t>
            </w:r>
          </w:p>
        </w:tc>
        <w:tc>
          <w:tcPr>
            <w:tcW w:w="3980" w:type="dxa"/>
            <w:gridSpan w:val="2"/>
          </w:tcPr>
          <w:p w14:paraId="296F0CA2" w14:textId="77777777" w:rsidR="002A6AC8" w:rsidRPr="00CA5838" w:rsidRDefault="002A6AC8" w:rsidP="00C977DB">
            <w:pPr>
              <w:keepNext/>
              <w:keepLines/>
              <w:rPr>
                <w:rFonts w:asciiTheme="minorHAnsi" w:hAnsiTheme="minorHAnsi"/>
                <w:b/>
              </w:rPr>
            </w:pPr>
            <w:r w:rsidRPr="00CA5838">
              <w:rPr>
                <w:b/>
              </w:rPr>
              <w:t>What actions were taken to manage the risks over the past year?</w:t>
            </w:r>
          </w:p>
        </w:tc>
        <w:tc>
          <w:tcPr>
            <w:tcW w:w="4267" w:type="dxa"/>
            <w:gridSpan w:val="2"/>
          </w:tcPr>
          <w:p w14:paraId="24447713" w14:textId="77777777" w:rsidR="002A6AC8" w:rsidRPr="00CA5838" w:rsidRDefault="002A6AC8" w:rsidP="00C977DB">
            <w:pPr>
              <w:keepNext/>
              <w:keepLines/>
              <w:rPr>
                <w:rFonts w:asciiTheme="minorHAnsi" w:hAnsiTheme="minorHAnsi"/>
                <w:b/>
              </w:rPr>
            </w:pPr>
            <w:r w:rsidRPr="00CA5838">
              <w:rPr>
                <w:b/>
              </w:rPr>
              <w:t>What further actions will be taken to manage the risks in the coming year?</w:t>
            </w:r>
          </w:p>
        </w:tc>
        <w:tc>
          <w:tcPr>
            <w:tcW w:w="1689" w:type="dxa"/>
          </w:tcPr>
          <w:p w14:paraId="7198CDAB" w14:textId="77777777" w:rsidR="002A6AC8" w:rsidRPr="00CA5838" w:rsidRDefault="002A6AC8" w:rsidP="00C977DB">
            <w:pPr>
              <w:keepNext/>
              <w:keepLines/>
              <w:rPr>
                <w:rFonts w:asciiTheme="minorHAnsi" w:hAnsiTheme="minorHAnsi"/>
                <w:b/>
              </w:rPr>
            </w:pPr>
            <w:r w:rsidRPr="00CA5838">
              <w:rPr>
                <w:b/>
              </w:rPr>
              <w:t>Risk Rating (low, medium, high, very high)</w:t>
            </w:r>
          </w:p>
        </w:tc>
        <w:tc>
          <w:tcPr>
            <w:tcW w:w="1675" w:type="dxa"/>
            <w:gridSpan w:val="2"/>
          </w:tcPr>
          <w:p w14:paraId="0E171B0D" w14:textId="77777777" w:rsidR="002A6AC8" w:rsidRPr="00CA5838" w:rsidRDefault="0043564E" w:rsidP="00C977DB">
            <w:pPr>
              <w:keepNext/>
              <w:keepLines/>
              <w:rPr>
                <w:b/>
              </w:rPr>
            </w:pPr>
            <w:r w:rsidRPr="00CA5838">
              <w:rPr>
                <w:b/>
              </w:rPr>
              <w:t xml:space="preserve">Are </w:t>
            </w:r>
            <w:r w:rsidR="002A6AC8" w:rsidRPr="00CA5838">
              <w:rPr>
                <w:b/>
              </w:rPr>
              <w:t xml:space="preserve">these same risks </w:t>
            </w:r>
            <w:r w:rsidRPr="00CA5838">
              <w:rPr>
                <w:b/>
              </w:rPr>
              <w:t xml:space="preserve">in in </w:t>
            </w:r>
            <w:r w:rsidR="00264D7E" w:rsidRPr="00CA5838">
              <w:rPr>
                <w:b/>
              </w:rPr>
              <w:t>Post’s Risk Register?</w:t>
            </w:r>
          </w:p>
        </w:tc>
      </w:tr>
      <w:tr w:rsidR="004F7081" w:rsidRPr="00CA5838" w14:paraId="4BB7E7C1" w14:textId="77777777" w:rsidTr="006522CD">
        <w:tc>
          <w:tcPr>
            <w:tcW w:w="2964" w:type="dxa"/>
            <w:hideMark/>
          </w:tcPr>
          <w:p w14:paraId="5FEFF944" w14:textId="77777777" w:rsidR="00B544D2" w:rsidRPr="00CA5838" w:rsidRDefault="00B544D2" w:rsidP="003B6C4C">
            <w:pPr>
              <w:keepNext/>
              <w:keepLines/>
              <w:rPr>
                <w:rFonts w:asciiTheme="minorHAnsi" w:hAnsiTheme="minorHAnsi"/>
              </w:rPr>
            </w:pPr>
            <w:r w:rsidRPr="00CA5838">
              <w:t>The bilateral relationship deteriorates, impacting our ability to deliver</w:t>
            </w:r>
            <w:r w:rsidR="003B6C4C" w:rsidRPr="00CA5838">
              <w:t xml:space="preserve"> the aid program</w:t>
            </w:r>
            <w:r w:rsidRPr="00CA5838">
              <w:t xml:space="preserve">. </w:t>
            </w:r>
          </w:p>
        </w:tc>
        <w:tc>
          <w:tcPr>
            <w:tcW w:w="3980" w:type="dxa"/>
            <w:gridSpan w:val="2"/>
          </w:tcPr>
          <w:p w14:paraId="143A9AAB" w14:textId="77777777" w:rsidR="00B544D2" w:rsidRPr="00CA5838" w:rsidRDefault="005036F2" w:rsidP="003B6C4C">
            <w:pPr>
              <w:keepNext/>
              <w:keepLines/>
              <w:rPr>
                <w:rFonts w:asciiTheme="minorHAnsi" w:hAnsiTheme="minorHAnsi"/>
              </w:rPr>
            </w:pPr>
            <w:r w:rsidRPr="00CA5838">
              <w:t xml:space="preserve">We have </w:t>
            </w:r>
            <w:r w:rsidR="003B6C4C" w:rsidRPr="00CA5838">
              <w:t>invested in consistent</w:t>
            </w:r>
            <w:r w:rsidRPr="00CA5838">
              <w:t>, strong communication</w:t>
            </w:r>
            <w:r w:rsidR="003B6C4C" w:rsidRPr="00CA5838">
              <w:t xml:space="preserve"> with the PNG Government</w:t>
            </w:r>
            <w:r w:rsidR="00B544D2" w:rsidRPr="00CA5838">
              <w:t xml:space="preserve">. </w:t>
            </w:r>
          </w:p>
        </w:tc>
        <w:tc>
          <w:tcPr>
            <w:tcW w:w="4267" w:type="dxa"/>
            <w:gridSpan w:val="2"/>
          </w:tcPr>
          <w:p w14:paraId="274C5A5B" w14:textId="77777777" w:rsidR="00B544D2" w:rsidRPr="00CA5838" w:rsidRDefault="00B544D2" w:rsidP="00C977DB">
            <w:pPr>
              <w:keepNext/>
              <w:keepLines/>
              <w:rPr>
                <w:rFonts w:asciiTheme="minorHAnsi" w:hAnsiTheme="minorHAnsi"/>
              </w:rPr>
            </w:pPr>
            <w:r w:rsidRPr="00CA5838">
              <w:t xml:space="preserve">We will continue to build strong relationships with key </w:t>
            </w:r>
            <w:r w:rsidR="00FE3CEC" w:rsidRPr="00CA5838">
              <w:t>Papua New Guinea</w:t>
            </w:r>
            <w:r w:rsidRPr="00CA5838">
              <w:t xml:space="preserve"> Government counterparts</w:t>
            </w:r>
            <w:r w:rsidR="00275662">
              <w:t>,</w:t>
            </w:r>
            <w:r w:rsidRPr="00CA5838">
              <w:t xml:space="preserve"> </w:t>
            </w:r>
            <w:r w:rsidR="005036F2" w:rsidRPr="00CA5838">
              <w:t xml:space="preserve">including new Ministers elected at the 2017 elections, </w:t>
            </w:r>
            <w:r w:rsidRPr="00CA5838">
              <w:t xml:space="preserve">to deliver an effective, efficient and resilient aid program. </w:t>
            </w:r>
          </w:p>
        </w:tc>
        <w:tc>
          <w:tcPr>
            <w:tcW w:w="1689" w:type="dxa"/>
          </w:tcPr>
          <w:p w14:paraId="37330C6E" w14:textId="77777777" w:rsidR="00B544D2" w:rsidRPr="00CA5838" w:rsidRDefault="00B544D2" w:rsidP="00C977DB">
            <w:pPr>
              <w:keepNext/>
              <w:keepLines/>
              <w:rPr>
                <w:rFonts w:asciiTheme="minorHAnsi" w:hAnsiTheme="minorHAnsi"/>
              </w:rPr>
            </w:pPr>
            <w:r w:rsidRPr="00CA5838">
              <w:t xml:space="preserve">Medium </w:t>
            </w:r>
          </w:p>
        </w:tc>
        <w:tc>
          <w:tcPr>
            <w:tcW w:w="1675" w:type="dxa"/>
            <w:gridSpan w:val="2"/>
          </w:tcPr>
          <w:p w14:paraId="3C70BAB8" w14:textId="77777777" w:rsidR="00B544D2" w:rsidRPr="00CA5838" w:rsidRDefault="004F1D4C" w:rsidP="00C977DB">
            <w:pPr>
              <w:keepNext/>
              <w:keepLines/>
              <w:rPr>
                <w:rFonts w:asciiTheme="minorHAnsi" w:hAnsiTheme="minorHAnsi"/>
              </w:rPr>
            </w:pPr>
            <w:r w:rsidRPr="00CA5838">
              <w:t>Yes</w:t>
            </w:r>
          </w:p>
        </w:tc>
      </w:tr>
      <w:tr w:rsidR="004F7081" w:rsidRPr="00CA5838" w14:paraId="35D66813" w14:textId="77777777" w:rsidTr="006522CD">
        <w:tc>
          <w:tcPr>
            <w:tcW w:w="2964" w:type="dxa"/>
            <w:hideMark/>
          </w:tcPr>
          <w:p w14:paraId="6942B8D1" w14:textId="77777777" w:rsidR="00B544D2" w:rsidRPr="00CA5838" w:rsidRDefault="00B544D2" w:rsidP="00B544D2">
            <w:pPr>
              <w:rPr>
                <w:rFonts w:asciiTheme="minorHAnsi" w:hAnsiTheme="minorHAnsi"/>
              </w:rPr>
            </w:pPr>
            <w:r w:rsidRPr="00CA5838">
              <w:t xml:space="preserve">Fraud, corruption and other non-compliance with DFAT policies so that program outcomes are put at risk. </w:t>
            </w:r>
          </w:p>
        </w:tc>
        <w:tc>
          <w:tcPr>
            <w:tcW w:w="3980" w:type="dxa"/>
            <w:gridSpan w:val="2"/>
          </w:tcPr>
          <w:p w14:paraId="3FB924BC" w14:textId="77777777" w:rsidR="00B544D2" w:rsidRPr="00CA5838" w:rsidRDefault="00B544D2" w:rsidP="00B544D2">
            <w:pPr>
              <w:rPr>
                <w:rFonts w:asciiTheme="minorHAnsi" w:hAnsiTheme="minorHAnsi"/>
              </w:rPr>
            </w:pPr>
            <w:r w:rsidRPr="00CA5838">
              <w:t xml:space="preserve">Ongoing monitoring of due diligence (fraud, child protection), gender, disability and other policies. </w:t>
            </w:r>
          </w:p>
        </w:tc>
        <w:tc>
          <w:tcPr>
            <w:tcW w:w="4267" w:type="dxa"/>
            <w:gridSpan w:val="2"/>
          </w:tcPr>
          <w:p w14:paraId="3CC30EF9" w14:textId="77777777" w:rsidR="00B544D2" w:rsidRPr="00CA5838" w:rsidRDefault="00B544D2" w:rsidP="00B544D2">
            <w:pPr>
              <w:rPr>
                <w:rFonts w:asciiTheme="minorHAnsi" w:hAnsiTheme="minorHAnsi"/>
              </w:rPr>
            </w:pPr>
            <w:r w:rsidRPr="00CA5838">
              <w:t xml:space="preserve">We will improve oversight of compliance through more structured monitoring visits and reporting. We will track risk registers, and have instituted an internal audit panel. </w:t>
            </w:r>
          </w:p>
        </w:tc>
        <w:tc>
          <w:tcPr>
            <w:tcW w:w="1689" w:type="dxa"/>
          </w:tcPr>
          <w:p w14:paraId="222235A9" w14:textId="77777777" w:rsidR="00B544D2" w:rsidRPr="00CA5838" w:rsidRDefault="00B544D2" w:rsidP="00B544D2">
            <w:pPr>
              <w:rPr>
                <w:rFonts w:asciiTheme="minorHAnsi" w:hAnsiTheme="minorHAnsi"/>
              </w:rPr>
            </w:pPr>
            <w:r w:rsidRPr="00CA5838">
              <w:t xml:space="preserve">Medium </w:t>
            </w:r>
          </w:p>
        </w:tc>
        <w:tc>
          <w:tcPr>
            <w:tcW w:w="1675" w:type="dxa"/>
            <w:gridSpan w:val="2"/>
          </w:tcPr>
          <w:p w14:paraId="157147A6" w14:textId="77777777" w:rsidR="00B544D2" w:rsidRPr="00CA5838" w:rsidRDefault="004F1D4C" w:rsidP="00B544D2">
            <w:pPr>
              <w:keepLines/>
              <w:spacing w:before="40" w:after="40" w:line="200" w:lineRule="atLeast"/>
              <w:rPr>
                <w:rFonts w:asciiTheme="minorHAnsi" w:eastAsia="Times New Roman" w:hAnsiTheme="minorHAnsi"/>
                <w:iCs/>
                <w:szCs w:val="17"/>
              </w:rPr>
            </w:pPr>
            <w:r w:rsidRPr="00CA5838">
              <w:rPr>
                <w:rFonts w:eastAsia="Times New Roman"/>
                <w:iCs/>
                <w:szCs w:val="17"/>
              </w:rPr>
              <w:t>Yes</w:t>
            </w:r>
          </w:p>
        </w:tc>
      </w:tr>
      <w:tr w:rsidR="004F7081" w:rsidRPr="00CA5838" w14:paraId="5A062D22" w14:textId="77777777" w:rsidTr="006522CD">
        <w:trPr>
          <w:trHeight w:val="56"/>
        </w:trPr>
        <w:tc>
          <w:tcPr>
            <w:tcW w:w="2964" w:type="dxa"/>
          </w:tcPr>
          <w:p w14:paraId="7D63604A" w14:textId="77777777" w:rsidR="00B544D2" w:rsidRPr="00CA5838" w:rsidRDefault="00B544D2" w:rsidP="00B544D2">
            <w:pPr>
              <w:rPr>
                <w:rFonts w:asciiTheme="minorHAnsi" w:hAnsiTheme="minorHAnsi"/>
              </w:rPr>
            </w:pPr>
            <w:r w:rsidRPr="00CA5838">
              <w:t xml:space="preserve">Staff capacity and expertise decreases, jeopardising the effective delivery of the program. </w:t>
            </w:r>
          </w:p>
        </w:tc>
        <w:tc>
          <w:tcPr>
            <w:tcW w:w="3980" w:type="dxa"/>
            <w:gridSpan w:val="2"/>
          </w:tcPr>
          <w:p w14:paraId="6871EA58" w14:textId="77777777" w:rsidR="00B544D2" w:rsidRPr="00CA5838" w:rsidRDefault="00B544D2" w:rsidP="005036F2">
            <w:pPr>
              <w:rPr>
                <w:rFonts w:asciiTheme="minorHAnsi" w:hAnsiTheme="minorHAnsi"/>
              </w:rPr>
            </w:pPr>
            <w:r w:rsidRPr="00CA5838">
              <w:t>We invested in recruitment</w:t>
            </w:r>
            <w:r w:rsidR="005036F2" w:rsidRPr="00CA5838">
              <w:t>, short term missions</w:t>
            </w:r>
            <w:r w:rsidRPr="00CA5838">
              <w:t xml:space="preserve">, training, communication, coordination, and teamwork, including more effective desk-post </w:t>
            </w:r>
            <w:r w:rsidR="005036F2" w:rsidRPr="00CA5838">
              <w:t>engagement</w:t>
            </w:r>
            <w:r w:rsidRPr="00CA5838">
              <w:t xml:space="preserve">. </w:t>
            </w:r>
          </w:p>
        </w:tc>
        <w:tc>
          <w:tcPr>
            <w:tcW w:w="4267" w:type="dxa"/>
            <w:gridSpan w:val="2"/>
          </w:tcPr>
          <w:p w14:paraId="75382EB9" w14:textId="77777777" w:rsidR="00B544D2" w:rsidRPr="00CA5838" w:rsidRDefault="005036F2" w:rsidP="005036F2">
            <w:pPr>
              <w:rPr>
                <w:rFonts w:asciiTheme="minorHAnsi" w:hAnsiTheme="minorHAnsi"/>
              </w:rPr>
            </w:pPr>
            <w:r w:rsidRPr="00CA5838">
              <w:t>We will continue to work together with Canberra and review training requirements</w:t>
            </w:r>
            <w:r w:rsidR="00B544D2" w:rsidRPr="00CA5838">
              <w:t xml:space="preserve">. </w:t>
            </w:r>
          </w:p>
        </w:tc>
        <w:tc>
          <w:tcPr>
            <w:tcW w:w="1689" w:type="dxa"/>
          </w:tcPr>
          <w:p w14:paraId="0765599C" w14:textId="77777777" w:rsidR="00B544D2" w:rsidRPr="00CA5838" w:rsidRDefault="00B544D2" w:rsidP="00B544D2">
            <w:pPr>
              <w:rPr>
                <w:rFonts w:asciiTheme="minorHAnsi" w:hAnsiTheme="minorHAnsi"/>
              </w:rPr>
            </w:pPr>
            <w:r w:rsidRPr="00CA5838">
              <w:t>Medium</w:t>
            </w:r>
          </w:p>
        </w:tc>
        <w:tc>
          <w:tcPr>
            <w:tcW w:w="1675" w:type="dxa"/>
            <w:gridSpan w:val="2"/>
          </w:tcPr>
          <w:p w14:paraId="562B6673" w14:textId="77777777" w:rsidR="00B544D2" w:rsidRPr="00CA5838" w:rsidRDefault="004F1D4C" w:rsidP="00B544D2">
            <w:pPr>
              <w:keepLines/>
              <w:spacing w:before="40" w:after="40" w:line="200" w:lineRule="atLeast"/>
              <w:rPr>
                <w:rFonts w:asciiTheme="minorHAnsi" w:eastAsia="Times New Roman" w:hAnsiTheme="minorHAnsi"/>
                <w:iCs/>
                <w:szCs w:val="17"/>
              </w:rPr>
            </w:pPr>
            <w:r w:rsidRPr="00CA5838">
              <w:rPr>
                <w:rFonts w:eastAsia="Times New Roman"/>
                <w:iCs/>
                <w:szCs w:val="17"/>
              </w:rPr>
              <w:t>Yes</w:t>
            </w:r>
          </w:p>
        </w:tc>
      </w:tr>
      <w:tr w:rsidR="00B544D2" w:rsidRPr="00CA5838" w14:paraId="6BBE365D" w14:textId="77777777" w:rsidTr="006522CD">
        <w:trPr>
          <w:trHeight w:val="56"/>
        </w:trPr>
        <w:tc>
          <w:tcPr>
            <w:tcW w:w="2964" w:type="dxa"/>
          </w:tcPr>
          <w:p w14:paraId="39FE45A6" w14:textId="77777777" w:rsidR="00B544D2" w:rsidRPr="00CA5838" w:rsidRDefault="00B544D2" w:rsidP="00B544D2">
            <w:pPr>
              <w:rPr>
                <w:rFonts w:asciiTheme="minorHAnsi" w:hAnsiTheme="minorHAnsi"/>
              </w:rPr>
            </w:pPr>
            <w:r w:rsidRPr="00CA5838">
              <w:t xml:space="preserve">A natural disaster impacts on our ability to deliver on our investments. </w:t>
            </w:r>
          </w:p>
        </w:tc>
        <w:tc>
          <w:tcPr>
            <w:tcW w:w="3980" w:type="dxa"/>
            <w:gridSpan w:val="2"/>
          </w:tcPr>
          <w:p w14:paraId="6AC2B20A" w14:textId="77777777" w:rsidR="00B544D2" w:rsidRPr="00CA5838" w:rsidRDefault="00A56D82" w:rsidP="007E0950">
            <w:pPr>
              <w:rPr>
                <w:rFonts w:asciiTheme="minorHAnsi" w:hAnsiTheme="minorHAnsi"/>
              </w:rPr>
            </w:pPr>
            <w:r w:rsidRPr="00CA5838">
              <w:t xml:space="preserve">Our investments take into account and actively manage for </w:t>
            </w:r>
            <w:r w:rsidR="007E0950" w:rsidRPr="00CA5838">
              <w:t>Papua New Guinea’s</w:t>
            </w:r>
            <w:r w:rsidRPr="00CA5838">
              <w:t xml:space="preserve"> vulnerability to natural disasters.</w:t>
            </w:r>
          </w:p>
        </w:tc>
        <w:tc>
          <w:tcPr>
            <w:tcW w:w="4267" w:type="dxa"/>
            <w:gridSpan w:val="2"/>
          </w:tcPr>
          <w:p w14:paraId="4A352770" w14:textId="77777777" w:rsidR="00B544D2" w:rsidRPr="00CA5838" w:rsidRDefault="005036F2" w:rsidP="00B544D2">
            <w:pPr>
              <w:rPr>
                <w:rFonts w:asciiTheme="minorHAnsi" w:hAnsiTheme="minorHAnsi"/>
              </w:rPr>
            </w:pPr>
            <w:r w:rsidRPr="00CA5838">
              <w:t>I</w:t>
            </w:r>
            <w:r w:rsidR="00B544D2" w:rsidRPr="00CA5838">
              <w:t xml:space="preserve">ndividual plans will continue to be </w:t>
            </w:r>
            <w:r w:rsidRPr="00CA5838">
              <w:t xml:space="preserve">reviewed, including externally, and </w:t>
            </w:r>
            <w:r w:rsidR="00B544D2" w:rsidRPr="00CA5838">
              <w:t xml:space="preserve">updated as appropriate. </w:t>
            </w:r>
          </w:p>
        </w:tc>
        <w:tc>
          <w:tcPr>
            <w:tcW w:w="1689" w:type="dxa"/>
          </w:tcPr>
          <w:p w14:paraId="7436CC8D" w14:textId="77777777" w:rsidR="00B544D2" w:rsidRPr="00CA5838" w:rsidRDefault="00B544D2" w:rsidP="00B544D2">
            <w:pPr>
              <w:rPr>
                <w:rFonts w:asciiTheme="minorHAnsi" w:hAnsiTheme="minorHAnsi"/>
              </w:rPr>
            </w:pPr>
            <w:r w:rsidRPr="00CA5838">
              <w:t xml:space="preserve">Medium </w:t>
            </w:r>
          </w:p>
        </w:tc>
        <w:tc>
          <w:tcPr>
            <w:tcW w:w="1675" w:type="dxa"/>
            <w:gridSpan w:val="2"/>
          </w:tcPr>
          <w:p w14:paraId="75522765" w14:textId="77777777" w:rsidR="00B544D2" w:rsidRPr="00CA5838" w:rsidRDefault="004F1D4C" w:rsidP="00B544D2">
            <w:pPr>
              <w:keepLines/>
              <w:spacing w:before="40" w:after="40" w:line="200" w:lineRule="atLeast"/>
              <w:rPr>
                <w:rFonts w:asciiTheme="minorHAnsi" w:eastAsia="Times New Roman" w:hAnsiTheme="minorHAnsi"/>
                <w:iCs/>
                <w:szCs w:val="17"/>
              </w:rPr>
            </w:pPr>
            <w:r w:rsidRPr="00CA5838">
              <w:rPr>
                <w:rFonts w:eastAsia="Times New Roman"/>
                <w:iCs/>
                <w:szCs w:val="17"/>
              </w:rPr>
              <w:t>Yes</w:t>
            </w:r>
          </w:p>
        </w:tc>
      </w:tr>
      <w:tr w:rsidR="00D323F2" w:rsidRPr="00C61187" w14:paraId="1F8B6D97" w14:textId="77777777" w:rsidTr="006522CD">
        <w:trPr>
          <w:gridAfter w:val="1"/>
          <w:wAfter w:w="527" w:type="dxa"/>
          <w:trHeight w:val="56"/>
        </w:trPr>
        <w:tc>
          <w:tcPr>
            <w:tcW w:w="3108" w:type="dxa"/>
            <w:gridSpan w:val="2"/>
          </w:tcPr>
          <w:p w14:paraId="7B38848B" w14:textId="77777777" w:rsidR="00D323F2" w:rsidRPr="00682003" w:rsidRDefault="00D323F2" w:rsidP="00B544D2">
            <w:pPr>
              <w:rPr>
                <w:rFonts w:asciiTheme="minorHAnsi" w:hAnsiTheme="minorHAnsi"/>
              </w:rPr>
            </w:pPr>
            <w:r w:rsidRPr="00CA5838">
              <w:t>Failure or perceived failure to deliver on our aid investments, undermining program delivery and leading to a loss of Austra</w:t>
            </w:r>
            <w:r w:rsidRPr="00682003">
              <w:t>lia’s reputation</w:t>
            </w:r>
          </w:p>
        </w:tc>
        <w:tc>
          <w:tcPr>
            <w:tcW w:w="3836" w:type="dxa"/>
          </w:tcPr>
          <w:p w14:paraId="4241C4F4" w14:textId="77777777" w:rsidR="00D323F2" w:rsidRPr="00CA5838" w:rsidRDefault="00D323F2" w:rsidP="00B544D2">
            <w:pPr>
              <w:rPr>
                <w:rFonts w:asciiTheme="minorHAnsi" w:hAnsiTheme="minorHAnsi"/>
              </w:rPr>
            </w:pPr>
            <w:r w:rsidRPr="00CA5838">
              <w:t>We developed sector investment plans and delivery strategies to guide our investments and increased the number of internal evaluations and audits.</w:t>
            </w:r>
          </w:p>
        </w:tc>
        <w:tc>
          <w:tcPr>
            <w:tcW w:w="4123" w:type="dxa"/>
          </w:tcPr>
          <w:p w14:paraId="702D933D" w14:textId="77777777" w:rsidR="00D323F2" w:rsidRPr="00CA5838" w:rsidRDefault="00D323F2" w:rsidP="00B544D2">
            <w:pPr>
              <w:rPr>
                <w:rFonts w:asciiTheme="minorHAnsi" w:hAnsiTheme="minorHAnsi"/>
              </w:rPr>
            </w:pPr>
            <w:r w:rsidRPr="00CA5838">
              <w:t>We will continue to establish Performance Assessment Frameworks, improve monitoring, conduct regular evaluations and risk discussions, and pay particular attention to higher risk investments.</w:t>
            </w:r>
          </w:p>
        </w:tc>
        <w:tc>
          <w:tcPr>
            <w:tcW w:w="1833" w:type="dxa"/>
            <w:gridSpan w:val="2"/>
          </w:tcPr>
          <w:p w14:paraId="1F7679C2" w14:textId="77777777" w:rsidR="00D323F2" w:rsidRPr="00CA5838" w:rsidRDefault="00AF1DBD" w:rsidP="00B544D2">
            <w:pPr>
              <w:rPr>
                <w:rFonts w:asciiTheme="minorHAnsi" w:hAnsiTheme="minorHAnsi"/>
              </w:rPr>
            </w:pPr>
            <w:r>
              <w:t xml:space="preserve">    </w:t>
            </w:r>
            <w:r w:rsidR="00D323F2" w:rsidRPr="00CA5838">
              <w:t>High</w:t>
            </w:r>
          </w:p>
        </w:tc>
        <w:tc>
          <w:tcPr>
            <w:tcW w:w="1120" w:type="dxa"/>
          </w:tcPr>
          <w:p w14:paraId="1F29BEDA" w14:textId="77777777" w:rsidR="00D323F2" w:rsidRPr="00BB3EFA" w:rsidRDefault="00D323F2" w:rsidP="00B544D2">
            <w:pPr>
              <w:keepLines/>
              <w:spacing w:before="40" w:after="40" w:line="200" w:lineRule="atLeast"/>
              <w:rPr>
                <w:rFonts w:asciiTheme="minorHAnsi" w:eastAsia="Times New Roman" w:hAnsiTheme="minorHAnsi"/>
                <w:iCs/>
                <w:szCs w:val="17"/>
              </w:rPr>
            </w:pPr>
            <w:r w:rsidRPr="00CA5838">
              <w:rPr>
                <w:rFonts w:eastAsia="Times New Roman"/>
                <w:iCs/>
                <w:szCs w:val="17"/>
              </w:rPr>
              <w:t>Yes</w:t>
            </w:r>
          </w:p>
        </w:tc>
      </w:tr>
      <w:tr w:rsidR="006A45A8" w:rsidRPr="00C61187" w14:paraId="1642AF2B" w14:textId="77777777" w:rsidTr="006522CD">
        <w:trPr>
          <w:gridAfter w:val="1"/>
          <w:wAfter w:w="527" w:type="dxa"/>
          <w:trHeight w:val="56"/>
        </w:trPr>
        <w:tc>
          <w:tcPr>
            <w:tcW w:w="3108" w:type="dxa"/>
            <w:gridSpan w:val="2"/>
          </w:tcPr>
          <w:p w14:paraId="42F7FCC4" w14:textId="77777777" w:rsidR="006A45A8" w:rsidRPr="00CA5838" w:rsidRDefault="006A45A8" w:rsidP="00B544D2">
            <w:r w:rsidRPr="006A45A8">
              <w:t>Agreed policy and budget commitments by PNG Government are not met</w:t>
            </w:r>
          </w:p>
        </w:tc>
        <w:tc>
          <w:tcPr>
            <w:tcW w:w="3836" w:type="dxa"/>
          </w:tcPr>
          <w:p w14:paraId="3EA8CCE9" w14:textId="77777777" w:rsidR="006A45A8" w:rsidRPr="00CA5838" w:rsidRDefault="009512D2" w:rsidP="008A43B5">
            <w:r w:rsidRPr="009512D2">
              <w:t>The Aid Partnership Arrangement and Aid Investment Plan outline mutual obligation</w:t>
            </w:r>
            <w:r w:rsidR="00D3605D">
              <w:t>s</w:t>
            </w:r>
            <w:r w:rsidRPr="009512D2">
              <w:t xml:space="preserve"> and </w:t>
            </w:r>
            <w:r w:rsidR="008A43B5">
              <w:t>is reviewed annually</w:t>
            </w:r>
            <w:r w:rsidRPr="009512D2">
              <w:t xml:space="preserve"> with the PNG</w:t>
            </w:r>
            <w:r w:rsidR="008A43B5">
              <w:t xml:space="preserve"> Government (most recently reviewed in March 2018)</w:t>
            </w:r>
          </w:p>
        </w:tc>
        <w:tc>
          <w:tcPr>
            <w:tcW w:w="4123" w:type="dxa"/>
          </w:tcPr>
          <w:p w14:paraId="6CC9DB16" w14:textId="77777777" w:rsidR="006A45A8" w:rsidRPr="00CA5838" w:rsidRDefault="009512D2" w:rsidP="00B544D2">
            <w:r w:rsidRPr="009512D2">
              <w:t>We will continue to build strong relationships with key PNG Government counterparts to deliver an effective, efficient and resilient aid program.</w:t>
            </w:r>
          </w:p>
        </w:tc>
        <w:tc>
          <w:tcPr>
            <w:tcW w:w="1833" w:type="dxa"/>
            <w:gridSpan w:val="2"/>
          </w:tcPr>
          <w:p w14:paraId="16E6D008" w14:textId="77777777" w:rsidR="006A45A8" w:rsidRPr="00CA5838" w:rsidRDefault="00AF1DBD" w:rsidP="00B544D2">
            <w:r>
              <w:t xml:space="preserve">    </w:t>
            </w:r>
            <w:r w:rsidR="00C474A8" w:rsidRPr="00CA5838">
              <w:t>High</w:t>
            </w:r>
          </w:p>
        </w:tc>
        <w:tc>
          <w:tcPr>
            <w:tcW w:w="1120" w:type="dxa"/>
          </w:tcPr>
          <w:p w14:paraId="2FC79242" w14:textId="77777777" w:rsidR="006A45A8" w:rsidRPr="00CA5838" w:rsidRDefault="008A43B5" w:rsidP="00B544D2">
            <w:pPr>
              <w:keepLines/>
              <w:spacing w:before="40" w:after="40" w:line="200" w:lineRule="atLeast"/>
              <w:rPr>
                <w:rFonts w:eastAsia="Times New Roman"/>
                <w:iCs/>
                <w:szCs w:val="17"/>
              </w:rPr>
            </w:pPr>
            <w:r>
              <w:rPr>
                <w:rFonts w:eastAsia="Times New Roman"/>
                <w:iCs/>
                <w:szCs w:val="17"/>
              </w:rPr>
              <w:t>No</w:t>
            </w:r>
          </w:p>
        </w:tc>
      </w:tr>
      <w:tr w:rsidR="00682003" w:rsidRPr="00C61187" w14:paraId="2129BEEE" w14:textId="77777777" w:rsidTr="00682003">
        <w:trPr>
          <w:gridAfter w:val="1"/>
          <w:wAfter w:w="527" w:type="dxa"/>
          <w:trHeight w:val="56"/>
        </w:trPr>
        <w:tc>
          <w:tcPr>
            <w:tcW w:w="11123" w:type="dxa"/>
            <w:gridSpan w:val="4"/>
          </w:tcPr>
          <w:p w14:paraId="1746B926" w14:textId="77777777" w:rsidR="00682003" w:rsidRPr="006522CD" w:rsidRDefault="00FF4BD9" w:rsidP="00B544D2">
            <w:pPr>
              <w:rPr>
                <w:i/>
              </w:rPr>
            </w:pPr>
            <w:r>
              <w:rPr>
                <w:i/>
              </w:rPr>
              <w:t xml:space="preserve">   </w:t>
            </w:r>
            <w:r w:rsidR="00682003">
              <w:rPr>
                <w:i/>
              </w:rPr>
              <w:t xml:space="preserve">       </w:t>
            </w:r>
            <w:r w:rsidR="00682003" w:rsidRPr="006522CD">
              <w:rPr>
                <w:i/>
              </w:rPr>
              <w:t>The overall risk profile for the program has not changed considerably over the last twelve months</w:t>
            </w:r>
          </w:p>
        </w:tc>
        <w:tc>
          <w:tcPr>
            <w:tcW w:w="1833" w:type="dxa"/>
            <w:gridSpan w:val="2"/>
          </w:tcPr>
          <w:p w14:paraId="0F39A6F2" w14:textId="77777777" w:rsidR="00682003" w:rsidRPr="00CA5838" w:rsidRDefault="00682003" w:rsidP="00B544D2"/>
        </w:tc>
        <w:tc>
          <w:tcPr>
            <w:tcW w:w="1120" w:type="dxa"/>
          </w:tcPr>
          <w:p w14:paraId="31C657F9" w14:textId="77777777" w:rsidR="00682003" w:rsidRPr="00CA5838" w:rsidRDefault="00682003" w:rsidP="00B544D2">
            <w:pPr>
              <w:keepLines/>
              <w:spacing w:before="40" w:after="40" w:line="200" w:lineRule="atLeast"/>
              <w:rPr>
                <w:rFonts w:eastAsia="Times New Roman"/>
                <w:iCs/>
                <w:szCs w:val="17"/>
              </w:rPr>
            </w:pPr>
          </w:p>
        </w:tc>
      </w:tr>
    </w:tbl>
    <w:p w14:paraId="598E7146" w14:textId="77777777" w:rsidR="00B44388" w:rsidRDefault="00400B0F" w:rsidP="00FE01CF">
      <w:pPr>
        <w:pStyle w:val="Subtitle"/>
        <w:numPr>
          <w:ilvl w:val="0"/>
          <w:numId w:val="0"/>
        </w:numPr>
        <w:spacing w:before="0"/>
      </w:pPr>
      <w:r w:rsidRPr="00400B0F">
        <w:lastRenderedPageBreak/>
        <w:t xml:space="preserve">Annex A - Progress in Addressing Management </w:t>
      </w:r>
      <w:r w:rsidR="00AC302F">
        <w:t>actions</w:t>
      </w:r>
    </w:p>
    <w:p w14:paraId="489C68D7" w14:textId="77777777" w:rsidR="00B44388" w:rsidRPr="00FE01CF" w:rsidRDefault="00B44388" w:rsidP="00FE01CF">
      <w:pPr>
        <w:pStyle w:val="Subtitle"/>
        <w:numPr>
          <w:ilvl w:val="0"/>
          <w:numId w:val="0"/>
        </w:numPr>
        <w:spacing w:before="0"/>
      </w:pPr>
    </w:p>
    <w:tbl>
      <w:tblPr>
        <w:tblStyle w:val="APPR"/>
        <w:tblpPr w:leftFromText="181" w:rightFromText="181" w:vertAnchor="text" w:tblpY="1"/>
        <w:tblW w:w="5000" w:type="pct"/>
        <w:tblLayout w:type="fixed"/>
        <w:tblLook w:val="0000" w:firstRow="0" w:lastRow="0" w:firstColumn="0" w:lastColumn="0" w:noHBand="0" w:noVBand="0"/>
      </w:tblPr>
      <w:tblGrid>
        <w:gridCol w:w="6391"/>
        <w:gridCol w:w="977"/>
        <w:gridCol w:w="6805"/>
      </w:tblGrid>
      <w:tr w:rsidR="00B44388" w:rsidRPr="00C61187" w14:paraId="0BCD3F8B"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336ED4DA" w14:textId="77777777" w:rsidR="00B44388" w:rsidRPr="00880004" w:rsidRDefault="00B44388" w:rsidP="00597B04">
            <w:pPr>
              <w:keepNext/>
              <w:keepLines/>
              <w:spacing w:before="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Pr>
                <w:rFonts w:asciiTheme="minorHAnsi" w:eastAsia="Times New Roman" w:hAnsiTheme="minorHAnsi"/>
                <w:b/>
                <w:iCs/>
                <w:szCs w:val="17"/>
                <w:lang w:eastAsia="en-US"/>
              </w:rPr>
              <w:t>6-17</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49" w:type="dxa"/>
          </w:tcPr>
          <w:p w14:paraId="3DE87361" w14:textId="77777777" w:rsidR="00B44388" w:rsidRPr="00880004" w:rsidRDefault="00B44388" w:rsidP="00597B04">
            <w:pPr>
              <w:keepNext/>
              <w:keepLines/>
              <w:spacing w:before="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63" w:type="dxa"/>
          </w:tcPr>
          <w:p w14:paraId="199F3552" w14:textId="77777777" w:rsidR="00B44388" w:rsidRPr="00880004" w:rsidRDefault="00B44388" w:rsidP="00597B04">
            <w:pPr>
              <w:keepNext/>
              <w:keepLines/>
              <w:spacing w:before="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Progress made in </w:t>
            </w:r>
            <w:r>
              <w:rPr>
                <w:rFonts w:asciiTheme="minorHAnsi" w:eastAsia="Times New Roman" w:hAnsiTheme="minorHAnsi"/>
                <w:b/>
                <w:iCs/>
                <w:szCs w:val="17"/>
                <w:lang w:eastAsia="en-US"/>
              </w:rPr>
              <w:t>2017-18</w:t>
            </w:r>
          </w:p>
        </w:tc>
      </w:tr>
      <w:tr w:rsidR="00B44388" w:rsidRPr="00C61187" w14:paraId="121FCD7D"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5C0B662D" w14:textId="77777777" w:rsidR="00B44388" w:rsidRPr="00D60018" w:rsidRDefault="00B44388" w:rsidP="0055480F">
            <w:pPr>
              <w:keepNext/>
              <w:keepLines/>
              <w:spacing w:before="60" w:line="200" w:lineRule="atLeast"/>
              <w:rPr>
                <w:rFonts w:eastAsia="Times New Roman"/>
                <w:iCs/>
                <w:szCs w:val="17"/>
              </w:rPr>
            </w:pPr>
            <w:r w:rsidRPr="008F05D6">
              <w:rPr>
                <w:rFonts w:eastAsia="Times New Roman"/>
                <w:iCs/>
                <w:szCs w:val="17"/>
              </w:rPr>
              <w:t>Finalise Sector Investment Plans for health and education to guide investments and measure results against both development outcomes and broader relationship objectives.</w:t>
            </w:r>
          </w:p>
        </w:tc>
        <w:tc>
          <w:tcPr>
            <w:tcW w:w="949" w:type="dxa"/>
            <w:shd w:val="clear" w:color="auto" w:fill="92D050"/>
          </w:tcPr>
          <w:p w14:paraId="3C5BAC68" w14:textId="77777777" w:rsidR="00B44388" w:rsidRPr="00092B52" w:rsidRDefault="00B44388" w:rsidP="0055480F">
            <w:pPr>
              <w:keepNext/>
              <w:keepLines/>
              <w:spacing w:before="60" w:line="200" w:lineRule="atLeast"/>
              <w:jc w:val="center"/>
              <w:rPr>
                <w:rFonts w:asciiTheme="minorHAnsi" w:eastAsia="Times New Roman" w:hAnsiTheme="minorHAnsi"/>
                <w:iCs/>
                <w:color w:val="FFFFFF" w:themeColor="background1"/>
                <w:szCs w:val="17"/>
                <w:highlight w:val="cyan"/>
                <w:lang w:eastAsia="en-US"/>
              </w:rPr>
            </w:pPr>
            <w:r w:rsidRPr="00404CD6">
              <w:rPr>
                <w:rFonts w:eastAsia="Times New Roman"/>
                <w:iCs/>
                <w:color w:val="FFFFFF" w:themeColor="background1"/>
                <w:szCs w:val="17"/>
              </w:rPr>
              <w:t>Achieved</w:t>
            </w:r>
            <w:r w:rsidRPr="00092B52">
              <w:rPr>
                <w:rFonts w:eastAsia="Times New Roman"/>
                <w:iCs/>
                <w:color w:val="FFFFFF" w:themeColor="background1"/>
                <w:szCs w:val="17"/>
                <w:highlight w:val="cyan"/>
              </w:rPr>
              <w:fldChar w:fldCharType="begin"/>
            </w:r>
            <w:r w:rsidRPr="00092B52">
              <w:rPr>
                <w:rFonts w:asciiTheme="minorHAnsi" w:eastAsia="Times New Roman" w:hAnsiTheme="minorHAnsi"/>
                <w:iCs/>
                <w:color w:val="FFFFFF" w:themeColor="background1"/>
                <w:szCs w:val="17"/>
                <w:highlight w:val="cyan"/>
                <w:lang w:eastAsia="en-US"/>
              </w:rPr>
              <w:instrText xml:space="preserve"> AUTOTEXTLIST  \s "Rating bullet"\t "Right click to choose a rating" \* MERGEFORMAT </w:instrText>
            </w:r>
            <w:r w:rsidRPr="00092B52">
              <w:rPr>
                <w:rFonts w:eastAsia="Times New Roman"/>
                <w:iCs/>
                <w:color w:val="FFFFFF" w:themeColor="background1"/>
                <w:szCs w:val="17"/>
                <w:highlight w:val="cyan"/>
              </w:rPr>
              <w:fldChar w:fldCharType="end"/>
            </w:r>
          </w:p>
        </w:tc>
        <w:tc>
          <w:tcPr>
            <w:tcW w:w="6763" w:type="dxa"/>
          </w:tcPr>
          <w:p w14:paraId="23F1E661" w14:textId="77777777" w:rsidR="00B44388" w:rsidRPr="00404CD6" w:rsidRDefault="00B44388" w:rsidP="0055480F">
            <w:pPr>
              <w:keepNext/>
              <w:keepLines/>
              <w:spacing w:before="60" w:line="200" w:lineRule="atLeast"/>
              <w:rPr>
                <w:rFonts w:eastAsia="Times New Roman"/>
                <w:iCs/>
                <w:szCs w:val="17"/>
              </w:rPr>
            </w:pPr>
            <w:r w:rsidRPr="008F05D6">
              <w:rPr>
                <w:rFonts w:eastAsia="Times New Roman"/>
                <w:iCs/>
                <w:szCs w:val="17"/>
              </w:rPr>
              <w:t>Sector Investment Plans for health and education</w:t>
            </w:r>
            <w:r>
              <w:rPr>
                <w:rFonts w:eastAsia="Times New Roman"/>
                <w:iCs/>
                <w:szCs w:val="17"/>
              </w:rPr>
              <w:t xml:space="preserve"> were completed. They will </w:t>
            </w:r>
            <w:r w:rsidRPr="008F05D6">
              <w:rPr>
                <w:rFonts w:eastAsia="Times New Roman"/>
                <w:iCs/>
                <w:szCs w:val="17"/>
              </w:rPr>
              <w:t>guide investments and measure development outcomes and broader relationship objectives.</w:t>
            </w:r>
          </w:p>
        </w:tc>
      </w:tr>
      <w:tr w:rsidR="00B44388" w:rsidRPr="00C61187" w14:paraId="06778FC2" w14:textId="77777777" w:rsidTr="00597B04">
        <w:trPr>
          <w:cnfStyle w:val="000000010000" w:firstRow="0" w:lastRow="0" w:firstColumn="0" w:lastColumn="0" w:oddVBand="0" w:evenVBand="0" w:oddHBand="0" w:evenHBand="1" w:firstRowFirstColumn="0" w:firstRowLastColumn="0" w:lastRowFirstColumn="0" w:lastRowLastColumn="0"/>
        </w:trPr>
        <w:tc>
          <w:tcPr>
            <w:tcW w:w="6473" w:type="dxa"/>
          </w:tcPr>
          <w:p w14:paraId="691AFB5D" w14:textId="48951C14" w:rsidR="00B44388" w:rsidRPr="00D60018" w:rsidRDefault="00B44388" w:rsidP="0055480F">
            <w:pPr>
              <w:keepNext/>
              <w:keepLines/>
              <w:spacing w:before="60" w:line="200" w:lineRule="atLeast"/>
              <w:rPr>
                <w:rFonts w:eastAsia="Times New Roman"/>
                <w:iCs/>
                <w:szCs w:val="17"/>
              </w:rPr>
            </w:pPr>
            <w:r w:rsidRPr="004151F4">
              <w:rPr>
                <w:rFonts w:eastAsia="Times New Roman"/>
                <w:iCs/>
                <w:szCs w:val="17"/>
              </w:rPr>
              <w:t>Review the program-wide Performance Assessment Framework after its first year of operation to assess its effectiveness in measuring development outcomes and broader objectives and to set new multi-year benchmarks.</w:t>
            </w:r>
          </w:p>
        </w:tc>
        <w:tc>
          <w:tcPr>
            <w:tcW w:w="964" w:type="dxa"/>
            <w:shd w:val="clear" w:color="auto" w:fill="92D050"/>
          </w:tcPr>
          <w:p w14:paraId="4B2A1F83" w14:textId="77777777" w:rsidR="00B44388" w:rsidRPr="00404CD6" w:rsidRDefault="00B44388" w:rsidP="0055480F">
            <w:pPr>
              <w:keepNext/>
              <w:keepLines/>
              <w:spacing w:before="60" w:line="200" w:lineRule="atLeast"/>
              <w:jc w:val="center"/>
              <w:rPr>
                <w:rFonts w:asciiTheme="minorHAnsi" w:eastAsia="Times New Roman" w:hAnsiTheme="minorHAnsi"/>
                <w:iCs/>
                <w:color w:val="FFFFFF" w:themeColor="background1"/>
                <w:szCs w:val="17"/>
                <w:lang w:eastAsia="en-US"/>
              </w:rPr>
            </w:pPr>
            <w:r w:rsidRPr="00404CD6">
              <w:rPr>
                <w:rFonts w:eastAsia="Times New Roman"/>
                <w:iCs/>
                <w:color w:val="FFFFFF" w:themeColor="background1"/>
                <w:szCs w:val="17"/>
              </w:rPr>
              <w:t>Achieved</w:t>
            </w:r>
            <w:r w:rsidRPr="00404CD6">
              <w:rPr>
                <w:rFonts w:eastAsia="Times New Roman"/>
                <w:iCs/>
                <w:color w:val="FFFFFF" w:themeColor="background1"/>
                <w:szCs w:val="17"/>
              </w:rPr>
              <w:fldChar w:fldCharType="begin"/>
            </w:r>
            <w:r w:rsidRPr="00404CD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404CD6">
              <w:rPr>
                <w:rFonts w:eastAsia="Times New Roman"/>
                <w:iCs/>
                <w:color w:val="FFFFFF" w:themeColor="background1"/>
                <w:szCs w:val="17"/>
              </w:rPr>
              <w:fldChar w:fldCharType="end"/>
            </w:r>
          </w:p>
        </w:tc>
        <w:tc>
          <w:tcPr>
            <w:tcW w:w="6896" w:type="dxa"/>
          </w:tcPr>
          <w:p w14:paraId="2A07C0AE" w14:textId="77777777" w:rsidR="00B44388" w:rsidRPr="00404CD6" w:rsidRDefault="00B44388" w:rsidP="0055480F">
            <w:pPr>
              <w:keepNext/>
              <w:keepLines/>
              <w:spacing w:before="60" w:line="200" w:lineRule="atLeast"/>
              <w:rPr>
                <w:rFonts w:eastAsia="Times New Roman"/>
                <w:iCs/>
                <w:szCs w:val="17"/>
              </w:rPr>
            </w:pPr>
            <w:r w:rsidRPr="00404CD6">
              <w:rPr>
                <w:rFonts w:eastAsia="Times New Roman"/>
                <w:iCs/>
                <w:szCs w:val="17"/>
              </w:rPr>
              <w:t xml:space="preserve">Australia reviewed the PAF in 2018 and made substantial changes to improve the way the performance of the aid program is reported. </w:t>
            </w:r>
          </w:p>
        </w:tc>
      </w:tr>
      <w:tr w:rsidR="00B44388" w:rsidRPr="00C61187" w14:paraId="4F1FE008" w14:textId="77777777" w:rsidTr="00597B04">
        <w:trPr>
          <w:cnfStyle w:val="000000010000" w:firstRow="0" w:lastRow="0" w:firstColumn="0" w:lastColumn="0" w:oddVBand="0" w:evenVBand="0" w:oddHBand="0" w:evenHBand="1" w:firstRowFirstColumn="0" w:firstRowLastColumn="0" w:lastRowFirstColumn="0" w:lastRowLastColumn="0"/>
        </w:trPr>
        <w:tc>
          <w:tcPr>
            <w:tcW w:w="6473" w:type="dxa"/>
          </w:tcPr>
          <w:p w14:paraId="33D2AFF6" w14:textId="77777777" w:rsidR="00B44388" w:rsidRPr="00CE392A" w:rsidRDefault="00B44388" w:rsidP="0055480F">
            <w:pPr>
              <w:keepNext/>
              <w:keepLines/>
              <w:spacing w:before="60" w:line="200" w:lineRule="atLeast"/>
              <w:rPr>
                <w:rFonts w:eastAsia="Times New Roman"/>
                <w:iCs/>
                <w:szCs w:val="17"/>
              </w:rPr>
            </w:pPr>
            <w:r w:rsidRPr="00A237DC">
              <w:rPr>
                <w:rFonts w:eastAsia="Times New Roman"/>
                <w:iCs/>
                <w:szCs w:val="17"/>
              </w:rPr>
              <w:t>Ensure independent and internal evaluations and audits are conducted and published to enable better judgements of the effectiveness and value for money of activities and partners</w:t>
            </w:r>
            <w:r w:rsidRPr="00CE392A">
              <w:rPr>
                <w:rFonts w:eastAsia="Times New Roman"/>
                <w:iCs/>
                <w:szCs w:val="17"/>
              </w:rPr>
              <w:t>.</w:t>
            </w:r>
          </w:p>
        </w:tc>
        <w:tc>
          <w:tcPr>
            <w:tcW w:w="964" w:type="dxa"/>
            <w:shd w:val="clear" w:color="auto" w:fill="92D050"/>
          </w:tcPr>
          <w:p w14:paraId="34B549D5" w14:textId="77777777" w:rsidR="00B44388" w:rsidRPr="00404CD6" w:rsidRDefault="00B44388" w:rsidP="0055480F">
            <w:pPr>
              <w:keepNext/>
              <w:keepLines/>
              <w:spacing w:before="60" w:line="200" w:lineRule="atLeast"/>
              <w:jc w:val="center"/>
              <w:rPr>
                <w:rFonts w:eastAsia="Times New Roman"/>
                <w:iCs/>
                <w:color w:val="FFFFFF" w:themeColor="background1"/>
                <w:szCs w:val="17"/>
              </w:rPr>
            </w:pPr>
            <w:r w:rsidRPr="00404CD6">
              <w:rPr>
                <w:rFonts w:eastAsia="Times New Roman"/>
                <w:iCs/>
                <w:color w:val="FFFFFF" w:themeColor="background1"/>
                <w:szCs w:val="17"/>
              </w:rPr>
              <w:t>Achieved</w:t>
            </w:r>
          </w:p>
        </w:tc>
        <w:tc>
          <w:tcPr>
            <w:tcW w:w="6896" w:type="dxa"/>
            <w:shd w:val="clear" w:color="auto" w:fill="auto"/>
          </w:tcPr>
          <w:p w14:paraId="29DE4593" w14:textId="77777777" w:rsidR="00B44388" w:rsidRPr="00404CD6" w:rsidRDefault="0088155F" w:rsidP="0055480F">
            <w:pPr>
              <w:keepNext/>
              <w:keepLines/>
              <w:spacing w:before="60" w:line="200" w:lineRule="atLeast"/>
              <w:rPr>
                <w:rFonts w:eastAsia="Times New Roman"/>
                <w:iCs/>
                <w:szCs w:val="17"/>
              </w:rPr>
            </w:pPr>
            <w:r>
              <w:t>5</w:t>
            </w:r>
            <w:r w:rsidRPr="00404CD6">
              <w:t xml:space="preserve"> </w:t>
            </w:r>
            <w:r w:rsidR="00B44388" w:rsidRPr="00404CD6">
              <w:t xml:space="preserve">independent and </w:t>
            </w:r>
            <w:r>
              <w:t>7</w:t>
            </w:r>
            <w:r w:rsidRPr="00404CD6">
              <w:t xml:space="preserve"> </w:t>
            </w:r>
            <w:r w:rsidR="00B44388" w:rsidRPr="00404CD6">
              <w:t xml:space="preserve">internal evaluations and audits were completed in 2017-18. The </w:t>
            </w:r>
            <w:r>
              <w:t>5</w:t>
            </w:r>
            <w:r w:rsidRPr="00404CD6">
              <w:t xml:space="preserve"> </w:t>
            </w:r>
            <w:r w:rsidR="00B44388" w:rsidRPr="00404CD6">
              <w:t xml:space="preserve">independent evaluations were published on the DFAT website. </w:t>
            </w:r>
          </w:p>
        </w:tc>
      </w:tr>
      <w:tr w:rsidR="00B44388" w:rsidRPr="00C61187" w14:paraId="7FF396A5"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14E285A0" w14:textId="77777777" w:rsidR="00B44388" w:rsidRPr="00CE392A" w:rsidRDefault="00B44388" w:rsidP="0055480F">
            <w:pPr>
              <w:keepNext/>
              <w:spacing w:before="60" w:line="200" w:lineRule="atLeast"/>
              <w:rPr>
                <w:rFonts w:eastAsia="Times New Roman"/>
                <w:iCs/>
                <w:szCs w:val="17"/>
              </w:rPr>
            </w:pPr>
            <w:r w:rsidRPr="00A26B43">
              <w:t>Negotiate a new partnership with the Papua New Guinea Government to better align programs with economic and strategic objectives</w:t>
            </w:r>
            <w:r w:rsidRPr="00A26B43">
              <w:rPr>
                <w:rFonts w:eastAsia="Times New Roman"/>
                <w:iCs/>
                <w:szCs w:val="17"/>
              </w:rPr>
              <w:t>.</w:t>
            </w:r>
          </w:p>
        </w:tc>
        <w:tc>
          <w:tcPr>
            <w:tcW w:w="949" w:type="dxa"/>
            <w:shd w:val="clear" w:color="auto" w:fill="FFC000"/>
          </w:tcPr>
          <w:p w14:paraId="512D021F" w14:textId="77777777" w:rsidR="00B44388" w:rsidRPr="00404CD6" w:rsidRDefault="00B44388" w:rsidP="0055480F">
            <w:pPr>
              <w:keepNext/>
              <w:spacing w:before="60" w:line="200" w:lineRule="atLeast"/>
              <w:jc w:val="center"/>
              <w:rPr>
                <w:rFonts w:eastAsia="Times New Roman"/>
                <w:iCs/>
                <w:color w:val="FFFFFF" w:themeColor="background1"/>
                <w:szCs w:val="17"/>
              </w:rPr>
            </w:pPr>
            <w:r>
              <w:rPr>
                <w:rFonts w:eastAsia="Times New Roman"/>
                <w:iCs/>
                <w:color w:val="FFFFFF" w:themeColor="background1"/>
                <w:szCs w:val="17"/>
              </w:rPr>
              <w:t xml:space="preserve">Partly </w:t>
            </w:r>
            <w:r w:rsidRPr="00404CD6">
              <w:rPr>
                <w:rFonts w:eastAsia="Times New Roman"/>
                <w:iCs/>
                <w:color w:val="FFFFFF" w:themeColor="background1"/>
                <w:szCs w:val="17"/>
              </w:rPr>
              <w:t>Achieved</w:t>
            </w:r>
          </w:p>
        </w:tc>
        <w:tc>
          <w:tcPr>
            <w:tcW w:w="6763" w:type="dxa"/>
          </w:tcPr>
          <w:p w14:paraId="46B7458A" w14:textId="77777777" w:rsidR="00B44388" w:rsidRPr="00404CD6" w:rsidRDefault="00B44388" w:rsidP="0055480F">
            <w:pPr>
              <w:keepNext/>
              <w:spacing w:before="60" w:line="200" w:lineRule="atLeast"/>
              <w:rPr>
                <w:rFonts w:eastAsia="Times New Roman"/>
                <w:iCs/>
                <w:szCs w:val="17"/>
              </w:rPr>
            </w:pPr>
            <w:r w:rsidRPr="00404CD6">
              <w:rPr>
                <w:rFonts w:eastAsia="Times New Roman"/>
                <w:iCs/>
                <w:szCs w:val="17"/>
              </w:rPr>
              <w:t xml:space="preserve">The existing partnership was extended by one year as both Governments felt they did not have capacity to develop a new partnership in APEC year. A new partnership will be negotiated in 2018-19. </w:t>
            </w:r>
          </w:p>
        </w:tc>
      </w:tr>
      <w:tr w:rsidR="00B44388" w:rsidRPr="00C61187" w14:paraId="2D2CB670"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3EE73E23" w14:textId="77777777" w:rsidR="00B44388" w:rsidRPr="001B2739" w:rsidRDefault="00B44388" w:rsidP="0055480F">
            <w:pPr>
              <w:keepNext/>
              <w:spacing w:before="60" w:line="200" w:lineRule="atLeast"/>
              <w:rPr>
                <w:rFonts w:eastAsia="Times New Roman"/>
                <w:iCs/>
                <w:szCs w:val="17"/>
              </w:rPr>
            </w:pPr>
            <w:r w:rsidRPr="001B2739">
              <w:rPr>
                <w:lang w:val="en-US"/>
              </w:rPr>
              <w:t>Work with the Papua New Guinea Government to leverage greater financing to deliver on its economic, security, infrastructure and social priorities, and to continue to explore opportunities to work in cooperation with other partners to achieve these objectives.</w:t>
            </w:r>
          </w:p>
        </w:tc>
        <w:tc>
          <w:tcPr>
            <w:tcW w:w="949" w:type="dxa"/>
            <w:shd w:val="clear" w:color="auto" w:fill="FFC000"/>
          </w:tcPr>
          <w:p w14:paraId="4847AAD8" w14:textId="77777777" w:rsidR="00B44388" w:rsidRPr="00092B52" w:rsidRDefault="00B44388" w:rsidP="0055480F">
            <w:pPr>
              <w:keepNext/>
              <w:spacing w:before="60" w:line="200" w:lineRule="atLeast"/>
              <w:jc w:val="center"/>
              <w:rPr>
                <w:rFonts w:eastAsia="Times New Roman"/>
                <w:iCs/>
                <w:color w:val="FFFFFF" w:themeColor="background1"/>
                <w:szCs w:val="17"/>
                <w:highlight w:val="cyan"/>
              </w:rPr>
            </w:pPr>
            <w:r>
              <w:rPr>
                <w:rFonts w:eastAsia="Times New Roman"/>
                <w:iCs/>
                <w:color w:val="FFFFFF" w:themeColor="background1"/>
                <w:szCs w:val="17"/>
              </w:rPr>
              <w:t xml:space="preserve">Partly </w:t>
            </w:r>
            <w:r w:rsidRPr="00404CD6">
              <w:rPr>
                <w:rFonts w:eastAsia="Times New Roman"/>
                <w:iCs/>
                <w:color w:val="FFFFFF" w:themeColor="background1"/>
                <w:szCs w:val="17"/>
              </w:rPr>
              <w:t>Achieved</w:t>
            </w:r>
          </w:p>
        </w:tc>
        <w:tc>
          <w:tcPr>
            <w:tcW w:w="6763" w:type="dxa"/>
          </w:tcPr>
          <w:p w14:paraId="0071EA0D" w14:textId="77777777" w:rsidR="00B44388" w:rsidRPr="00404CD6" w:rsidRDefault="00B44388" w:rsidP="0055480F">
            <w:pPr>
              <w:keepNext/>
              <w:spacing w:before="60" w:line="200" w:lineRule="atLeast"/>
              <w:rPr>
                <w:rFonts w:eastAsia="Times New Roman"/>
                <w:iCs/>
                <w:szCs w:val="17"/>
              </w:rPr>
            </w:pPr>
            <w:r>
              <w:rPr>
                <w:rFonts w:eastAsia="Times New Roman"/>
                <w:iCs/>
                <w:szCs w:val="17"/>
              </w:rPr>
              <w:t>We are continuing to work with the Government of Papua New Guinea to leverage financing.</w:t>
            </w:r>
            <w:r w:rsidR="00B3610E">
              <w:rPr>
                <w:rFonts w:eastAsia="Times New Roman"/>
                <w:iCs/>
                <w:szCs w:val="17"/>
              </w:rPr>
              <w:t xml:space="preserve"> </w:t>
            </w:r>
            <w:r>
              <w:rPr>
                <w:rFonts w:eastAsia="Times New Roman"/>
                <w:iCs/>
                <w:szCs w:val="17"/>
              </w:rPr>
              <w:t xml:space="preserve">We hope to have solid results in the next financial year. </w:t>
            </w:r>
          </w:p>
        </w:tc>
      </w:tr>
      <w:tr w:rsidR="00B44388" w:rsidRPr="00C61187" w14:paraId="6BEE7BA8"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275FA5A1" w14:textId="77777777" w:rsidR="00B44388" w:rsidRPr="001B2739" w:rsidRDefault="00B44388" w:rsidP="0055480F">
            <w:pPr>
              <w:keepNext/>
              <w:spacing w:before="60" w:line="200" w:lineRule="atLeast"/>
              <w:rPr>
                <w:rFonts w:eastAsia="Times New Roman"/>
                <w:iCs/>
                <w:szCs w:val="17"/>
              </w:rPr>
            </w:pPr>
            <w:r w:rsidRPr="001B2739">
              <w:t>Australia will formalise its engagement with Papua New Guinea on climate change by incorporating it into the development of the new partnership and planning documents. DFAT will also be guided by the results of the climate stocktake and associated integration plan that enables program managers to identify, track and report on climate change outcomes and activities in their sectors.</w:t>
            </w:r>
          </w:p>
        </w:tc>
        <w:tc>
          <w:tcPr>
            <w:tcW w:w="949" w:type="dxa"/>
            <w:shd w:val="clear" w:color="auto" w:fill="92D050"/>
          </w:tcPr>
          <w:p w14:paraId="1B61E6A6" w14:textId="77777777" w:rsidR="00B44388" w:rsidRPr="00092B52" w:rsidRDefault="00B44388" w:rsidP="0055480F">
            <w:pPr>
              <w:keepNext/>
              <w:spacing w:before="60" w:line="200" w:lineRule="atLeast"/>
              <w:jc w:val="center"/>
              <w:rPr>
                <w:rFonts w:eastAsia="Times New Roman"/>
                <w:iCs/>
                <w:color w:val="FFFFFF" w:themeColor="background1"/>
                <w:szCs w:val="17"/>
                <w:highlight w:val="cyan"/>
              </w:rPr>
            </w:pPr>
            <w:r w:rsidRPr="00404CD6">
              <w:rPr>
                <w:rFonts w:eastAsia="Times New Roman"/>
                <w:iCs/>
                <w:color w:val="FFFFFF" w:themeColor="background1"/>
                <w:szCs w:val="17"/>
              </w:rPr>
              <w:t>Achieved</w:t>
            </w:r>
          </w:p>
        </w:tc>
        <w:tc>
          <w:tcPr>
            <w:tcW w:w="6763" w:type="dxa"/>
          </w:tcPr>
          <w:p w14:paraId="15DA1F46" w14:textId="77777777" w:rsidR="00B44388" w:rsidRPr="00404CD6" w:rsidRDefault="00E83323" w:rsidP="0055480F">
            <w:pPr>
              <w:keepNext/>
              <w:spacing w:before="60" w:line="200" w:lineRule="atLeast"/>
              <w:rPr>
                <w:rFonts w:eastAsia="Times New Roman"/>
                <w:iCs/>
                <w:szCs w:val="17"/>
              </w:rPr>
            </w:pPr>
            <w:r w:rsidRPr="00E83323">
              <w:rPr>
                <w:rFonts w:eastAsia="Times New Roman"/>
                <w:iCs/>
                <w:szCs w:val="17"/>
              </w:rPr>
              <w:t>The Australia-PNG Climate Change Action Plan was signed by relevant Ministers from both Australian and PNG Governments in May 2018, and implementation of the Plan has commenced</w:t>
            </w:r>
            <w:r w:rsidR="00B44388" w:rsidRPr="0096743A">
              <w:rPr>
                <w:rFonts w:eastAsia="Times New Roman"/>
                <w:iCs/>
                <w:szCs w:val="17"/>
              </w:rPr>
              <w:t>.</w:t>
            </w:r>
          </w:p>
        </w:tc>
      </w:tr>
      <w:tr w:rsidR="00B44388" w:rsidRPr="00C61187" w14:paraId="44CD8EBE"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370ADF92" w14:textId="77777777" w:rsidR="00B44388" w:rsidRPr="001B2739" w:rsidRDefault="00B44388" w:rsidP="0055480F">
            <w:pPr>
              <w:keepNext/>
              <w:spacing w:before="60" w:line="200" w:lineRule="atLeast"/>
              <w:rPr>
                <w:rFonts w:eastAsia="Times New Roman"/>
                <w:iCs/>
                <w:szCs w:val="17"/>
              </w:rPr>
            </w:pPr>
            <w:r w:rsidRPr="001B2739">
              <w:rPr>
                <w:lang w:val="en-AU"/>
              </w:rPr>
              <w:t>Australia and the PGF managing contractor will focus on improving governance program delivery, developing and implementing new governance programs and integration of gender in all governance program activities. A Quality Technical Advisory Group (QTAG) to provide independent performance and quality review of the PGF’s programs will be established and begin operations in early 2018.</w:t>
            </w:r>
          </w:p>
        </w:tc>
        <w:tc>
          <w:tcPr>
            <w:tcW w:w="949" w:type="dxa"/>
            <w:shd w:val="clear" w:color="auto" w:fill="92D050"/>
          </w:tcPr>
          <w:p w14:paraId="372FA5C1" w14:textId="77777777" w:rsidR="00B44388" w:rsidRPr="00404CD6" w:rsidRDefault="00B44388" w:rsidP="0055480F">
            <w:pPr>
              <w:keepNext/>
              <w:spacing w:before="60" w:line="200" w:lineRule="atLeast"/>
              <w:jc w:val="center"/>
              <w:rPr>
                <w:rFonts w:eastAsia="Times New Roman"/>
                <w:iCs/>
                <w:color w:val="FFFFFF" w:themeColor="background1"/>
                <w:szCs w:val="17"/>
              </w:rPr>
            </w:pPr>
            <w:r w:rsidRPr="00404CD6">
              <w:rPr>
                <w:color w:val="FFFFFF" w:themeColor="background1"/>
              </w:rPr>
              <w:t>Achieved</w:t>
            </w:r>
          </w:p>
        </w:tc>
        <w:tc>
          <w:tcPr>
            <w:tcW w:w="6763" w:type="dxa"/>
          </w:tcPr>
          <w:p w14:paraId="39F69C0E" w14:textId="60B8D0C0" w:rsidR="00B44388" w:rsidRPr="00404CD6" w:rsidRDefault="00B44388" w:rsidP="0055480F">
            <w:pPr>
              <w:keepNext/>
              <w:spacing w:before="60" w:line="200" w:lineRule="atLeast"/>
              <w:rPr>
                <w:rFonts w:eastAsia="Times New Roman"/>
                <w:iCs/>
                <w:szCs w:val="17"/>
              </w:rPr>
            </w:pPr>
            <w:r>
              <w:rPr>
                <w:rFonts w:eastAsia="Times New Roman"/>
                <w:iCs/>
                <w:szCs w:val="17"/>
              </w:rPr>
              <w:t xml:space="preserve"> The QTAG was established in </w:t>
            </w:r>
            <w:r w:rsidR="00CB7E6C">
              <w:rPr>
                <w:rFonts w:eastAsia="Times New Roman"/>
                <w:iCs/>
                <w:szCs w:val="17"/>
              </w:rPr>
              <w:t>early</w:t>
            </w:r>
            <w:r>
              <w:rPr>
                <w:rFonts w:eastAsia="Times New Roman"/>
                <w:iCs/>
                <w:szCs w:val="17"/>
              </w:rPr>
              <w:t xml:space="preserve"> 2018. Major improvements in governance program deliver</w:t>
            </w:r>
            <w:r w:rsidR="00BC472A">
              <w:rPr>
                <w:rFonts w:eastAsia="Times New Roman"/>
                <w:iCs/>
                <w:szCs w:val="17"/>
              </w:rPr>
              <w:t>y</w:t>
            </w:r>
            <w:r>
              <w:rPr>
                <w:rFonts w:eastAsia="Times New Roman"/>
                <w:iCs/>
                <w:szCs w:val="17"/>
              </w:rPr>
              <w:t xml:space="preserve"> have been achieved this financial year. </w:t>
            </w:r>
          </w:p>
        </w:tc>
      </w:tr>
      <w:tr w:rsidR="00B44388" w:rsidRPr="00C61187" w14:paraId="7B8EB17B"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1CE9D7B5" w14:textId="77777777" w:rsidR="00B44388" w:rsidRPr="00CE392A" w:rsidRDefault="00B44388" w:rsidP="0055480F">
            <w:pPr>
              <w:keepNext/>
              <w:spacing w:before="60" w:line="200" w:lineRule="atLeast"/>
              <w:rPr>
                <w:rFonts w:eastAsia="Times New Roman"/>
                <w:iCs/>
                <w:szCs w:val="17"/>
              </w:rPr>
            </w:pPr>
            <w:r w:rsidRPr="00BD0E5B">
              <w:rPr>
                <w:rFonts w:eastAsia="Times New Roman"/>
                <w:iCs/>
                <w:szCs w:val="17"/>
              </w:rPr>
              <w:t>The gender program will review the effectiveness of the Gender Action Plan</w:t>
            </w:r>
            <w:r>
              <w:rPr>
                <w:rFonts w:eastAsia="Times New Roman"/>
                <w:iCs/>
                <w:szCs w:val="17"/>
              </w:rPr>
              <w:t xml:space="preserve"> (GAP) </w:t>
            </w:r>
            <w:r w:rsidRPr="00BD0E5B">
              <w:rPr>
                <w:rFonts w:eastAsia="Times New Roman"/>
                <w:iCs/>
                <w:szCs w:val="17"/>
              </w:rPr>
              <w:t>and associated guidance to staff, to ensure they are fit for purpose to guide aid investment planning. In light of the reduction in gender team staffing, the program will take steps to ensure sufficient resources are allocated to implement and monitor the Gender Action Plan and achieve Australia’s gender objectives, including by recruiting a Gender Adviser and ensuring that the Multi-Agency Working Group on Gender led by the Minister Counsellors continues to provide senior leadership of this agenda.</w:t>
            </w:r>
          </w:p>
        </w:tc>
        <w:tc>
          <w:tcPr>
            <w:tcW w:w="949" w:type="dxa"/>
            <w:shd w:val="clear" w:color="auto" w:fill="92D050"/>
          </w:tcPr>
          <w:p w14:paraId="5204F592" w14:textId="77777777" w:rsidR="00B44388" w:rsidRPr="00092B52" w:rsidRDefault="00B44388" w:rsidP="0055480F">
            <w:pPr>
              <w:keepNext/>
              <w:spacing w:before="60" w:line="200" w:lineRule="atLeast"/>
              <w:jc w:val="center"/>
              <w:rPr>
                <w:rFonts w:eastAsia="Times New Roman"/>
                <w:iCs/>
                <w:color w:val="FFFFFF" w:themeColor="background1"/>
                <w:szCs w:val="17"/>
                <w:highlight w:val="cyan"/>
              </w:rPr>
            </w:pPr>
            <w:r w:rsidRPr="00404CD6">
              <w:rPr>
                <w:rFonts w:eastAsia="Times New Roman"/>
                <w:iCs/>
                <w:color w:val="FFFFFF" w:themeColor="background1"/>
                <w:szCs w:val="17"/>
              </w:rPr>
              <w:t xml:space="preserve">Achieved </w:t>
            </w:r>
          </w:p>
        </w:tc>
        <w:tc>
          <w:tcPr>
            <w:tcW w:w="6763" w:type="dxa"/>
          </w:tcPr>
          <w:p w14:paraId="234DD26F" w14:textId="77777777" w:rsidR="00B44388" w:rsidRPr="00404CD6" w:rsidRDefault="00B44388" w:rsidP="0055480F">
            <w:pPr>
              <w:keepNext/>
              <w:spacing w:before="60" w:line="200" w:lineRule="atLeast"/>
              <w:rPr>
                <w:rFonts w:eastAsia="Times New Roman"/>
                <w:iCs/>
                <w:szCs w:val="17"/>
              </w:rPr>
            </w:pPr>
            <w:r>
              <w:rPr>
                <w:rFonts w:eastAsia="Times New Roman"/>
                <w:iCs/>
                <w:szCs w:val="17"/>
              </w:rPr>
              <w:t xml:space="preserve">In </w:t>
            </w:r>
            <w:r w:rsidRPr="009870BC">
              <w:rPr>
                <w:rFonts w:eastAsia="Times New Roman"/>
                <w:iCs/>
                <w:szCs w:val="17"/>
              </w:rPr>
              <w:t>February 2018 we recruited a Gender Adviser to assist with the gender policy and program work, including</w:t>
            </w:r>
            <w:r>
              <w:rPr>
                <w:rFonts w:eastAsia="Times New Roman"/>
                <w:iCs/>
                <w:szCs w:val="17"/>
              </w:rPr>
              <w:t xml:space="preserve"> the GAP</w:t>
            </w:r>
            <w:r w:rsidRPr="009870BC">
              <w:rPr>
                <w:rFonts w:eastAsia="Times New Roman"/>
                <w:iCs/>
                <w:szCs w:val="17"/>
              </w:rPr>
              <w:t>. Our recent review of the GAP found it needed to be streamlined to make it more useful to sector programs</w:t>
            </w:r>
            <w:r>
              <w:rPr>
                <w:rFonts w:eastAsia="Times New Roman"/>
                <w:iCs/>
                <w:szCs w:val="17"/>
              </w:rPr>
              <w:t>, which has been actioned by the Gender Adviser</w:t>
            </w:r>
            <w:r w:rsidRPr="009870BC">
              <w:rPr>
                <w:rFonts w:eastAsia="Times New Roman"/>
                <w:iCs/>
                <w:szCs w:val="17"/>
              </w:rPr>
              <w:t xml:space="preserve">. The Gender Adviser has met with all members of the Multi-Agency Working Group on Gender and Minister Counsellors to ensure </w:t>
            </w:r>
            <w:r>
              <w:rPr>
                <w:rFonts w:eastAsia="Times New Roman"/>
                <w:iCs/>
                <w:szCs w:val="17"/>
              </w:rPr>
              <w:t xml:space="preserve">stakeholder and </w:t>
            </w:r>
            <w:r w:rsidRPr="009870BC">
              <w:rPr>
                <w:rFonts w:eastAsia="Times New Roman"/>
                <w:iCs/>
                <w:szCs w:val="17"/>
              </w:rPr>
              <w:t>senior leadership support the gender program.</w:t>
            </w:r>
          </w:p>
        </w:tc>
      </w:tr>
    </w:tbl>
    <w:p w14:paraId="2C3BAEA0" w14:textId="77777777" w:rsidR="00FE01CF" w:rsidRPr="00FE01CF" w:rsidRDefault="00FE01CF" w:rsidP="0055480F">
      <w:pPr>
        <w:pStyle w:val="Subtitle"/>
        <w:numPr>
          <w:ilvl w:val="0"/>
          <w:numId w:val="0"/>
        </w:numPr>
        <w:spacing w:after="60"/>
      </w:pPr>
    </w:p>
    <w:p w14:paraId="08A6FC2E" w14:textId="77777777" w:rsidR="003D3B7A" w:rsidRDefault="003D3B7A" w:rsidP="0055480F">
      <w:pPr>
        <w:spacing w:before="60"/>
      </w:pPr>
    </w:p>
    <w:tbl>
      <w:tblPr>
        <w:tblStyle w:val="APPR"/>
        <w:tblpPr w:leftFromText="181" w:rightFromText="181" w:vertAnchor="text" w:tblpY="1"/>
        <w:tblW w:w="5000" w:type="pct"/>
        <w:tblLayout w:type="fixed"/>
        <w:tblLook w:val="0000" w:firstRow="0" w:lastRow="0" w:firstColumn="0" w:lastColumn="0" w:noHBand="0" w:noVBand="0"/>
      </w:tblPr>
      <w:tblGrid>
        <w:gridCol w:w="6391"/>
        <w:gridCol w:w="977"/>
        <w:gridCol w:w="6805"/>
      </w:tblGrid>
      <w:tr w:rsidR="00B44388" w:rsidRPr="00C61187" w14:paraId="047B0675"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09253234" w14:textId="77777777" w:rsidR="00B44388" w:rsidRPr="00CE392A" w:rsidRDefault="00B44388" w:rsidP="0055480F">
            <w:pPr>
              <w:keepNext/>
              <w:spacing w:before="60" w:line="200" w:lineRule="atLeast"/>
              <w:rPr>
                <w:rFonts w:eastAsia="Times New Roman"/>
                <w:iCs/>
                <w:szCs w:val="17"/>
              </w:rPr>
            </w:pPr>
            <w:r w:rsidRPr="00842F83">
              <w:rPr>
                <w:rFonts w:eastAsia="Times New Roman"/>
                <w:iCs/>
                <w:szCs w:val="17"/>
              </w:rPr>
              <w:t>The education program will develop a new Australia Awards Papua New Guinea monitoring and evaluation framework to address issues including how the program will deal with gender barriers and align with the global Australia Awards monitoring and evaluation framework</w:t>
            </w:r>
            <w:r>
              <w:rPr>
                <w:rFonts w:eastAsia="Times New Roman"/>
                <w:iCs/>
                <w:szCs w:val="17"/>
              </w:rPr>
              <w:t>.</w:t>
            </w:r>
          </w:p>
        </w:tc>
        <w:tc>
          <w:tcPr>
            <w:tcW w:w="949" w:type="dxa"/>
            <w:shd w:val="clear" w:color="auto" w:fill="92D050"/>
          </w:tcPr>
          <w:p w14:paraId="73039EEC" w14:textId="77777777" w:rsidR="00B44388" w:rsidRPr="00092B52" w:rsidRDefault="00B44388" w:rsidP="0055480F">
            <w:pPr>
              <w:keepNext/>
              <w:spacing w:before="60" w:line="200" w:lineRule="atLeast"/>
              <w:jc w:val="center"/>
              <w:rPr>
                <w:rFonts w:eastAsia="Times New Roman"/>
                <w:iCs/>
                <w:color w:val="FFFFFF" w:themeColor="background1"/>
                <w:szCs w:val="17"/>
                <w:highlight w:val="cyan"/>
              </w:rPr>
            </w:pPr>
            <w:r w:rsidRPr="00014F31">
              <w:rPr>
                <w:rFonts w:eastAsia="Times New Roman"/>
                <w:iCs/>
                <w:color w:val="FFFFFF" w:themeColor="background1"/>
                <w:szCs w:val="17"/>
              </w:rPr>
              <w:t xml:space="preserve">Achieved </w:t>
            </w:r>
          </w:p>
        </w:tc>
        <w:tc>
          <w:tcPr>
            <w:tcW w:w="6763" w:type="dxa"/>
          </w:tcPr>
          <w:p w14:paraId="6CF4C01D" w14:textId="77777777" w:rsidR="00B44388" w:rsidRPr="000529DA" w:rsidRDefault="00B44388" w:rsidP="0055480F">
            <w:pPr>
              <w:keepNext/>
              <w:spacing w:before="60" w:line="200" w:lineRule="atLeast"/>
              <w:rPr>
                <w:rFonts w:eastAsia="Times New Roman"/>
                <w:iCs/>
                <w:szCs w:val="17"/>
              </w:rPr>
            </w:pPr>
            <w:r>
              <w:rPr>
                <w:rFonts w:eastAsia="Times New Roman"/>
                <w:iCs/>
                <w:szCs w:val="17"/>
              </w:rPr>
              <w:t xml:space="preserve">The education program updated the Australia Awards Papua New Guinea monitoring and evaluation framework (including new criteria to address gender). It now aligns with the global Australia Awards monitoring and evaluation framework.  </w:t>
            </w:r>
          </w:p>
        </w:tc>
      </w:tr>
      <w:tr w:rsidR="00E83323" w:rsidRPr="00C61187" w14:paraId="2FEC55E9"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7EB37BF5" w14:textId="77777777" w:rsidR="00E83323" w:rsidRPr="00CB0CB4" w:rsidRDefault="00E83323" w:rsidP="0055480F">
            <w:pPr>
              <w:keepNext/>
              <w:spacing w:before="60" w:line="200" w:lineRule="atLeast"/>
              <w:rPr>
                <w:rFonts w:eastAsia="Times New Roman"/>
                <w:iCs/>
                <w:szCs w:val="17"/>
              </w:rPr>
            </w:pPr>
            <w:r w:rsidRPr="00E83323">
              <w:rPr>
                <w:rFonts w:eastAsia="Times New Roman"/>
                <w:iCs/>
                <w:szCs w:val="17"/>
              </w:rPr>
              <w:t>On disaster preparedness and response, Australia will continue to maintain contingency funding in its bilateral and humanitarian budgets for possible disasters and will continue to assist Papua New Guinea to monitor disaster risks</w:t>
            </w:r>
          </w:p>
        </w:tc>
        <w:tc>
          <w:tcPr>
            <w:tcW w:w="949" w:type="dxa"/>
            <w:shd w:val="clear" w:color="auto" w:fill="92D050"/>
          </w:tcPr>
          <w:p w14:paraId="46A774D1" w14:textId="77777777" w:rsidR="00E83323" w:rsidRPr="00014F31" w:rsidRDefault="00E83323" w:rsidP="0055480F">
            <w:pPr>
              <w:keepNext/>
              <w:spacing w:before="60" w:line="200" w:lineRule="atLeast"/>
              <w:jc w:val="center"/>
              <w:rPr>
                <w:rFonts w:eastAsia="Times New Roman"/>
                <w:iCs/>
                <w:color w:val="FFFFFF" w:themeColor="background1"/>
                <w:szCs w:val="17"/>
              </w:rPr>
            </w:pPr>
            <w:r w:rsidRPr="00014F31">
              <w:rPr>
                <w:rFonts w:eastAsia="Times New Roman"/>
                <w:iCs/>
                <w:color w:val="FFFFFF" w:themeColor="background1"/>
                <w:szCs w:val="17"/>
              </w:rPr>
              <w:t>Achieved</w:t>
            </w:r>
          </w:p>
        </w:tc>
        <w:tc>
          <w:tcPr>
            <w:tcW w:w="6763" w:type="dxa"/>
          </w:tcPr>
          <w:p w14:paraId="213957DC" w14:textId="77777777" w:rsidR="00E83323" w:rsidRPr="00CB0CB4" w:rsidRDefault="00E83323" w:rsidP="0055480F">
            <w:pPr>
              <w:keepNext/>
              <w:spacing w:before="60" w:line="200" w:lineRule="atLeast"/>
              <w:rPr>
                <w:rFonts w:eastAsia="Times New Roman"/>
                <w:iCs/>
                <w:szCs w:val="17"/>
              </w:rPr>
            </w:pPr>
            <w:r w:rsidRPr="00E83323">
              <w:rPr>
                <w:rFonts w:eastAsia="Times New Roman"/>
                <w:iCs/>
                <w:szCs w:val="17"/>
              </w:rPr>
              <w:t>The contingency reserve funding has been maintained, and the High Commission drew on these funds to enable a rapid and substantial humanitarian response to both the Kadovar volcanic eruption and the Highlands earthquake in early 2018</w:t>
            </w:r>
            <w:r>
              <w:rPr>
                <w:rFonts w:eastAsia="Times New Roman"/>
                <w:iCs/>
                <w:szCs w:val="17"/>
              </w:rPr>
              <w:t>.</w:t>
            </w:r>
          </w:p>
        </w:tc>
      </w:tr>
      <w:tr w:rsidR="00B44388" w:rsidRPr="00C61187" w14:paraId="3C5AF75B" w14:textId="77777777" w:rsidTr="00597B04">
        <w:trPr>
          <w:cnfStyle w:val="000000010000" w:firstRow="0" w:lastRow="0" w:firstColumn="0" w:lastColumn="0" w:oddVBand="0" w:evenVBand="0" w:oddHBand="0" w:evenHBand="1" w:firstRowFirstColumn="0" w:firstRowLastColumn="0" w:lastRowFirstColumn="0" w:lastRowLastColumn="0"/>
        </w:trPr>
        <w:tc>
          <w:tcPr>
            <w:tcW w:w="6349" w:type="dxa"/>
          </w:tcPr>
          <w:p w14:paraId="18A88DF5" w14:textId="77777777" w:rsidR="00B44388" w:rsidRPr="00CE392A" w:rsidRDefault="00B44388" w:rsidP="0055480F">
            <w:pPr>
              <w:keepNext/>
              <w:spacing w:before="60" w:line="200" w:lineRule="atLeast"/>
              <w:rPr>
                <w:rFonts w:eastAsia="Times New Roman"/>
                <w:iCs/>
                <w:szCs w:val="17"/>
              </w:rPr>
            </w:pPr>
            <w:r w:rsidRPr="00CB0CB4">
              <w:rPr>
                <w:rFonts w:eastAsia="Times New Roman"/>
                <w:iCs/>
                <w:szCs w:val="17"/>
              </w:rPr>
              <w:t>The transport program will negotiate with the Papua New Guinea Government the recommendations of an evaluation of the TSSP by the Office of Development Effectiveness</w:t>
            </w:r>
            <w:r>
              <w:rPr>
                <w:rFonts w:eastAsia="Times New Roman"/>
                <w:iCs/>
                <w:szCs w:val="17"/>
              </w:rPr>
              <w:t xml:space="preserve"> (ODE)</w:t>
            </w:r>
            <w:r w:rsidRPr="00CB0CB4">
              <w:rPr>
                <w:rFonts w:eastAsia="Times New Roman"/>
                <w:iCs/>
                <w:szCs w:val="17"/>
              </w:rPr>
              <w:t xml:space="preserve">, and publish a management response to the recommendations. </w:t>
            </w:r>
          </w:p>
        </w:tc>
        <w:tc>
          <w:tcPr>
            <w:tcW w:w="949" w:type="dxa"/>
            <w:shd w:val="clear" w:color="auto" w:fill="92D050"/>
          </w:tcPr>
          <w:p w14:paraId="155AC054" w14:textId="77777777" w:rsidR="00B44388" w:rsidRPr="00092B52" w:rsidRDefault="00B44388" w:rsidP="0055480F">
            <w:pPr>
              <w:keepNext/>
              <w:spacing w:before="60" w:line="200" w:lineRule="atLeast"/>
              <w:jc w:val="center"/>
              <w:rPr>
                <w:rFonts w:eastAsia="Times New Roman"/>
                <w:iCs/>
                <w:color w:val="FFFFFF" w:themeColor="background1"/>
                <w:szCs w:val="17"/>
                <w:highlight w:val="cyan"/>
              </w:rPr>
            </w:pPr>
            <w:r w:rsidRPr="00014F31">
              <w:rPr>
                <w:rFonts w:eastAsia="Times New Roman"/>
                <w:iCs/>
                <w:color w:val="FFFFFF" w:themeColor="background1"/>
                <w:szCs w:val="17"/>
              </w:rPr>
              <w:t>Achieved</w:t>
            </w:r>
          </w:p>
        </w:tc>
        <w:tc>
          <w:tcPr>
            <w:tcW w:w="6763" w:type="dxa"/>
          </w:tcPr>
          <w:p w14:paraId="55912590" w14:textId="77777777" w:rsidR="00B44388" w:rsidRPr="000529DA" w:rsidRDefault="00B44388" w:rsidP="0055480F">
            <w:pPr>
              <w:keepNext/>
              <w:spacing w:before="60" w:line="200" w:lineRule="atLeast"/>
              <w:rPr>
                <w:rFonts w:eastAsia="Times New Roman"/>
                <w:iCs/>
                <w:szCs w:val="17"/>
              </w:rPr>
            </w:pPr>
            <w:r w:rsidRPr="00CB0CB4">
              <w:rPr>
                <w:rFonts w:eastAsia="Times New Roman"/>
                <w:iCs/>
                <w:szCs w:val="17"/>
              </w:rPr>
              <w:t>The transport program negotiate</w:t>
            </w:r>
            <w:r>
              <w:rPr>
                <w:rFonts w:eastAsia="Times New Roman"/>
                <w:iCs/>
                <w:szCs w:val="17"/>
              </w:rPr>
              <w:t>d</w:t>
            </w:r>
            <w:r w:rsidRPr="00CB0CB4">
              <w:rPr>
                <w:rFonts w:eastAsia="Times New Roman"/>
                <w:iCs/>
                <w:szCs w:val="17"/>
              </w:rPr>
              <w:t xml:space="preserve"> with the Papua New Guinea Government </w:t>
            </w:r>
            <w:r>
              <w:rPr>
                <w:rFonts w:eastAsia="Times New Roman"/>
                <w:iCs/>
                <w:szCs w:val="17"/>
              </w:rPr>
              <w:t xml:space="preserve">to respond to </w:t>
            </w:r>
            <w:r w:rsidRPr="00CB0CB4">
              <w:rPr>
                <w:rFonts w:eastAsia="Times New Roman"/>
                <w:iCs/>
                <w:szCs w:val="17"/>
              </w:rPr>
              <w:t>the recommendations of the TSSP</w:t>
            </w:r>
            <w:r>
              <w:rPr>
                <w:rFonts w:eastAsia="Times New Roman"/>
                <w:iCs/>
                <w:szCs w:val="17"/>
              </w:rPr>
              <w:t xml:space="preserve"> evaluation</w:t>
            </w:r>
            <w:r w:rsidRPr="00CB0CB4">
              <w:rPr>
                <w:rFonts w:eastAsia="Times New Roman"/>
                <w:iCs/>
                <w:szCs w:val="17"/>
              </w:rPr>
              <w:t xml:space="preserve"> by </w:t>
            </w:r>
            <w:r>
              <w:rPr>
                <w:rFonts w:eastAsia="Times New Roman"/>
                <w:iCs/>
                <w:szCs w:val="17"/>
              </w:rPr>
              <w:t>ODE</w:t>
            </w:r>
            <w:r w:rsidRPr="00CB0CB4">
              <w:rPr>
                <w:rFonts w:eastAsia="Times New Roman"/>
                <w:iCs/>
                <w:szCs w:val="17"/>
              </w:rPr>
              <w:t>, and publish</w:t>
            </w:r>
            <w:r>
              <w:rPr>
                <w:rFonts w:eastAsia="Times New Roman"/>
                <w:iCs/>
                <w:szCs w:val="17"/>
              </w:rPr>
              <w:t>ed</w:t>
            </w:r>
            <w:r w:rsidRPr="00CB0CB4">
              <w:rPr>
                <w:rFonts w:eastAsia="Times New Roman"/>
                <w:iCs/>
                <w:szCs w:val="17"/>
              </w:rPr>
              <w:t xml:space="preserve"> a management response.</w:t>
            </w:r>
          </w:p>
        </w:tc>
      </w:tr>
    </w:tbl>
    <w:p w14:paraId="08D02312" w14:textId="77777777" w:rsidR="00400B0F" w:rsidRPr="00880004" w:rsidRDefault="00400B0F" w:rsidP="00C977DB">
      <w:pPr>
        <w:keepNext/>
        <w:spacing w:before="0" w:after="20" w:line="180" w:lineRule="atLeast"/>
        <w:jc w:val="both"/>
        <w:rPr>
          <w:rFonts w:eastAsia="Times New Roman"/>
          <w:b/>
          <w:sz w:val="16"/>
          <w:szCs w:val="14"/>
        </w:rPr>
      </w:pPr>
      <w:r w:rsidRPr="00880004">
        <w:rPr>
          <w:rFonts w:eastAsia="Times New Roman"/>
          <w:b/>
          <w:sz w:val="16"/>
          <w:szCs w:val="14"/>
        </w:rPr>
        <w:t xml:space="preserve">Note: </w:t>
      </w:r>
    </w:p>
    <w:p w14:paraId="33DE282E" w14:textId="77777777" w:rsidR="00400B0F" w:rsidRPr="00880004" w:rsidRDefault="00400B0F" w:rsidP="00C977DB">
      <w:pPr>
        <w:keepNext/>
        <w:spacing w:before="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14:paraId="6CB840DA" w14:textId="77777777" w:rsidR="00400B0F" w:rsidRPr="00880004" w:rsidRDefault="00400B0F" w:rsidP="00C977DB">
      <w:pPr>
        <w:spacing w:before="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14:paraId="739CEAB8" w14:textId="77777777" w:rsidR="00400B0F" w:rsidRPr="00880004" w:rsidRDefault="00400B0F" w:rsidP="00C977DB">
      <w:pPr>
        <w:spacing w:before="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65E59B0A" w14:textId="77777777" w:rsidR="00400B0F" w:rsidRPr="00C61187" w:rsidRDefault="00400B0F" w:rsidP="00400B0F">
      <w:pPr>
        <w:spacing w:after="160" w:line="280" w:lineRule="exact"/>
        <w:rPr>
          <w:rFonts w:ascii="Franklin Gothic Book" w:eastAsia="Times New Roman" w:hAnsi="Franklin Gothic Book"/>
          <w:sz w:val="21"/>
        </w:rPr>
      </w:pPr>
    </w:p>
    <w:p w14:paraId="3479B4C3" w14:textId="77777777" w:rsidR="00400B0F" w:rsidRPr="00C61187" w:rsidRDefault="00400B0F" w:rsidP="00400B0F">
      <w:pPr>
        <w:spacing w:after="200" w:line="276" w:lineRule="auto"/>
        <w:rPr>
          <w:rFonts w:ascii="Franklin Gothic Book" w:hAnsi="Franklin Gothic Book"/>
          <w:sz w:val="21"/>
        </w:rPr>
      </w:pPr>
    </w:p>
    <w:p w14:paraId="3C18666C" w14:textId="77777777" w:rsidR="0091072F" w:rsidRDefault="0091072F">
      <w:pPr>
        <w:suppressAutoHyphens w:val="0"/>
        <w:spacing w:before="0" w:after="120" w:line="440" w:lineRule="atLeast"/>
        <w:rPr>
          <w:rFonts w:ascii="Franklin Gothic Book" w:eastAsia="Times New Roman" w:hAnsi="Franklin Gothic Book" w:cstheme="majorBidi"/>
          <w:bCs/>
          <w:iCs/>
          <w:caps/>
          <w:spacing w:val="-10"/>
          <w:kern w:val="28"/>
          <w:sz w:val="21"/>
          <w:szCs w:val="24"/>
        </w:rPr>
      </w:pPr>
      <w:r>
        <w:rPr>
          <w:rFonts w:ascii="Franklin Gothic Book" w:eastAsia="Times New Roman" w:hAnsi="Franklin Gothic Book"/>
          <w:sz w:val="21"/>
        </w:rPr>
        <w:br w:type="page"/>
      </w:r>
    </w:p>
    <w:p w14:paraId="0F1DFEF3" w14:textId="77777777" w:rsidR="00033AB7" w:rsidRDefault="002A51CA" w:rsidP="00C977DB">
      <w:pPr>
        <w:pStyle w:val="Subtitle"/>
        <w:numPr>
          <w:ilvl w:val="0"/>
          <w:numId w:val="0"/>
        </w:numPr>
      </w:pPr>
      <w:r w:rsidRPr="00C61187">
        <w:rPr>
          <w:rFonts w:ascii="Franklin Gothic Book" w:eastAsia="Times New Roman" w:hAnsi="Franklin Gothic Book"/>
          <w:sz w:val="21"/>
        </w:rPr>
        <w:lastRenderedPageBreak/>
        <w:t xml:space="preserve"> </w:t>
      </w:r>
      <w:r w:rsidR="00400B0F" w:rsidRPr="00400B0F">
        <w:t xml:space="preserve">Annex B </w:t>
      </w:r>
      <w:r w:rsidR="00033AB7">
        <w:t>–</w:t>
      </w:r>
      <w:r w:rsidR="00400B0F" w:rsidRPr="00400B0F">
        <w:t xml:space="preserve"> </w:t>
      </w:r>
      <w:r w:rsidR="00033AB7">
        <w:t>PERFORMANCE BENCHMARKS</w:t>
      </w:r>
    </w:p>
    <w:p w14:paraId="0CCA6F38" w14:textId="77777777" w:rsidR="00BD086D" w:rsidRPr="00EA16E7" w:rsidRDefault="00320251" w:rsidP="00004D56">
      <w:pPr>
        <w:spacing w:before="40" w:after="40" w:line="200" w:lineRule="atLeast"/>
        <w:rPr>
          <w:sz w:val="17"/>
          <w:szCs w:val="17"/>
        </w:rPr>
      </w:pPr>
      <w:r w:rsidRPr="00EA16E7">
        <w:rPr>
          <w:rFonts w:ascii="Franklin Gothic Book" w:eastAsia="Times New Roman" w:hAnsi="Franklin Gothic Book"/>
          <w:b/>
          <w:sz w:val="24"/>
          <w:szCs w:val="24"/>
        </w:rPr>
        <w:t>Progress towards Pe</w:t>
      </w:r>
      <w:r w:rsidR="00BD086D" w:rsidRPr="00EA16E7">
        <w:rPr>
          <w:rFonts w:ascii="Franklin Gothic Book" w:eastAsia="Times New Roman" w:hAnsi="Franklin Gothic Book"/>
          <w:b/>
          <w:sz w:val="24"/>
          <w:szCs w:val="24"/>
        </w:rPr>
        <w:t xml:space="preserve">rformance Benchmarks in </w:t>
      </w:r>
      <w:r w:rsidR="00E224C2" w:rsidRPr="00EA16E7">
        <w:rPr>
          <w:rFonts w:ascii="Franklin Gothic Book" w:eastAsia="Times New Roman" w:hAnsi="Franklin Gothic Book"/>
          <w:b/>
          <w:sz w:val="24"/>
          <w:szCs w:val="24"/>
        </w:rPr>
        <w:t>2017-18</w:t>
      </w:r>
      <w:r w:rsidR="00004D56" w:rsidRPr="00EA16E7">
        <w:rPr>
          <w:rFonts w:ascii="Franklin Gothic Book" w:eastAsia="Times New Roman" w:hAnsi="Franklin Gothic Book"/>
          <w:b/>
          <w:sz w:val="24"/>
          <w:szCs w:val="24"/>
        </w:rPr>
        <w:t xml:space="preserve"> </w:t>
      </w:r>
    </w:p>
    <w:tbl>
      <w:tblPr>
        <w:tblW w:w="5000" w:type="pct"/>
        <w:tblCellMar>
          <w:left w:w="0" w:type="dxa"/>
          <w:right w:w="0" w:type="dxa"/>
        </w:tblCellMar>
        <w:tblLook w:val="04A0" w:firstRow="1" w:lastRow="0" w:firstColumn="1" w:lastColumn="0" w:noHBand="0" w:noVBand="1"/>
      </w:tblPr>
      <w:tblGrid>
        <w:gridCol w:w="1802"/>
        <w:gridCol w:w="3603"/>
        <w:gridCol w:w="2404"/>
        <w:gridCol w:w="2044"/>
        <w:gridCol w:w="2160"/>
        <w:gridCol w:w="2160"/>
      </w:tblGrid>
      <w:tr w:rsidR="003B7583" w:rsidRPr="006457D2" w14:paraId="0131447A" w14:textId="77777777" w:rsidTr="005B59E7">
        <w:trPr>
          <w:tblHeader/>
        </w:trPr>
        <w:tc>
          <w:tcPr>
            <w:tcW w:w="636" w:type="pct"/>
            <w:tcBorders>
              <w:top w:val="single" w:sz="12" w:space="0" w:color="auto"/>
              <w:left w:val="nil"/>
              <w:bottom w:val="nil"/>
              <w:right w:val="nil"/>
            </w:tcBorders>
            <w:tcMar>
              <w:top w:w="57" w:type="dxa"/>
              <w:left w:w="108" w:type="dxa"/>
              <w:bottom w:w="57" w:type="dxa"/>
              <w:right w:w="108" w:type="dxa"/>
            </w:tcMar>
            <w:hideMark/>
          </w:tcPr>
          <w:p w14:paraId="4D1980FF" w14:textId="77777777" w:rsidR="003B7583" w:rsidRPr="006457D2" w:rsidRDefault="003B7583" w:rsidP="00C977DB">
            <w:pPr>
              <w:spacing w:before="80" w:after="80" w:line="200" w:lineRule="atLeast"/>
              <w:rPr>
                <w:b/>
                <w:bCs/>
                <w:color w:val="auto"/>
                <w:sz w:val="17"/>
                <w:szCs w:val="17"/>
              </w:rPr>
            </w:pPr>
            <w:r w:rsidRPr="006457D2">
              <w:rPr>
                <w:b/>
                <w:bCs/>
                <w:sz w:val="17"/>
                <w:szCs w:val="17"/>
              </w:rPr>
              <w:t>Aid objective</w:t>
            </w:r>
          </w:p>
        </w:tc>
        <w:tc>
          <w:tcPr>
            <w:tcW w:w="1271" w:type="pct"/>
            <w:tcBorders>
              <w:top w:val="single" w:sz="12" w:space="0" w:color="auto"/>
              <w:left w:val="nil"/>
              <w:bottom w:val="nil"/>
              <w:right w:val="nil"/>
            </w:tcBorders>
            <w:tcMar>
              <w:top w:w="0" w:type="dxa"/>
              <w:left w:w="108" w:type="dxa"/>
              <w:bottom w:w="0" w:type="dxa"/>
              <w:right w:w="108" w:type="dxa"/>
            </w:tcMar>
            <w:hideMark/>
          </w:tcPr>
          <w:p w14:paraId="6676A5AE" w14:textId="77777777" w:rsidR="003B7583" w:rsidRPr="006457D2" w:rsidRDefault="003B7583" w:rsidP="00C977DB">
            <w:pPr>
              <w:spacing w:before="80" w:after="80" w:line="200" w:lineRule="atLeast"/>
              <w:rPr>
                <w:b/>
                <w:bCs/>
                <w:sz w:val="17"/>
                <w:szCs w:val="17"/>
              </w:rPr>
            </w:pPr>
            <w:r w:rsidRPr="006457D2">
              <w:rPr>
                <w:b/>
                <w:bCs/>
                <w:sz w:val="17"/>
                <w:szCs w:val="17"/>
              </w:rPr>
              <w:t xml:space="preserve">Performance Benchmark </w:t>
            </w:r>
          </w:p>
        </w:tc>
        <w:tc>
          <w:tcPr>
            <w:tcW w:w="848" w:type="pct"/>
            <w:tcBorders>
              <w:top w:val="single" w:sz="12" w:space="0" w:color="auto"/>
              <w:left w:val="nil"/>
              <w:bottom w:val="nil"/>
              <w:right w:val="nil"/>
            </w:tcBorders>
            <w:tcMar>
              <w:top w:w="0" w:type="dxa"/>
              <w:left w:w="108" w:type="dxa"/>
              <w:bottom w:w="0" w:type="dxa"/>
              <w:right w:w="108" w:type="dxa"/>
            </w:tcMar>
            <w:hideMark/>
          </w:tcPr>
          <w:p w14:paraId="70BEE564" w14:textId="77777777" w:rsidR="003B7583" w:rsidRPr="006457D2" w:rsidRDefault="003B7583" w:rsidP="00C977DB">
            <w:pPr>
              <w:spacing w:before="80" w:after="80" w:line="200" w:lineRule="atLeast"/>
              <w:jc w:val="center"/>
              <w:rPr>
                <w:rFonts w:ascii="Helvetica" w:hAnsi="Helvetica" w:cs="Helvetica"/>
                <w:b/>
                <w:bCs/>
                <w:sz w:val="17"/>
                <w:szCs w:val="17"/>
                <w:lang w:eastAsia="en-AU"/>
              </w:rPr>
            </w:pPr>
            <w:r w:rsidRPr="006457D2">
              <w:rPr>
                <w:rFonts w:ascii="Helvetica" w:hAnsi="Helvetica" w:cs="Helvetica"/>
                <w:b/>
                <w:bCs/>
                <w:sz w:val="17"/>
                <w:szCs w:val="17"/>
                <w:lang w:eastAsia="en-AU"/>
              </w:rPr>
              <w:t>Target</w:t>
            </w:r>
          </w:p>
        </w:tc>
        <w:tc>
          <w:tcPr>
            <w:tcW w:w="721" w:type="pct"/>
            <w:tcBorders>
              <w:top w:val="single" w:sz="12" w:space="0" w:color="auto"/>
              <w:left w:val="nil"/>
              <w:bottom w:val="nil"/>
              <w:right w:val="nil"/>
            </w:tcBorders>
            <w:tcMar>
              <w:top w:w="0" w:type="dxa"/>
              <w:left w:w="108" w:type="dxa"/>
              <w:bottom w:w="0" w:type="dxa"/>
              <w:right w:w="108" w:type="dxa"/>
            </w:tcMar>
            <w:hideMark/>
          </w:tcPr>
          <w:p w14:paraId="66731DB8" w14:textId="77777777" w:rsidR="003B7583" w:rsidRPr="006457D2" w:rsidRDefault="003B7583" w:rsidP="00C977DB">
            <w:pPr>
              <w:spacing w:before="80" w:after="80" w:line="200" w:lineRule="atLeast"/>
              <w:jc w:val="center"/>
              <w:rPr>
                <w:rFonts w:ascii="Calibri" w:hAnsi="Calibri" w:cs="Times New Roman"/>
                <w:b/>
                <w:bCs/>
                <w:sz w:val="17"/>
                <w:szCs w:val="17"/>
              </w:rPr>
            </w:pPr>
            <w:r w:rsidRPr="006457D2">
              <w:rPr>
                <w:b/>
                <w:bCs/>
                <w:sz w:val="17"/>
                <w:szCs w:val="17"/>
              </w:rPr>
              <w:t>Rating</w:t>
            </w:r>
          </w:p>
        </w:tc>
        <w:tc>
          <w:tcPr>
            <w:tcW w:w="762" w:type="pct"/>
            <w:tcBorders>
              <w:top w:val="single" w:sz="12" w:space="0" w:color="auto"/>
              <w:left w:val="nil"/>
              <w:bottom w:val="nil"/>
              <w:right w:val="nil"/>
            </w:tcBorders>
            <w:tcMar>
              <w:top w:w="0" w:type="dxa"/>
              <w:left w:w="108" w:type="dxa"/>
              <w:bottom w:w="0" w:type="dxa"/>
              <w:right w:w="108" w:type="dxa"/>
            </w:tcMar>
            <w:hideMark/>
          </w:tcPr>
          <w:p w14:paraId="6948075D" w14:textId="77777777" w:rsidR="003B7583" w:rsidRPr="006457D2" w:rsidRDefault="003B7583" w:rsidP="00C977DB">
            <w:pPr>
              <w:spacing w:before="80" w:after="80" w:line="200" w:lineRule="atLeast"/>
              <w:jc w:val="center"/>
              <w:rPr>
                <w:b/>
                <w:bCs/>
                <w:sz w:val="17"/>
                <w:szCs w:val="17"/>
              </w:rPr>
            </w:pPr>
            <w:r w:rsidRPr="006457D2">
              <w:rPr>
                <w:b/>
                <w:bCs/>
                <w:sz w:val="17"/>
                <w:szCs w:val="17"/>
              </w:rPr>
              <w:t xml:space="preserve">Progress in </w:t>
            </w:r>
            <w:r>
              <w:rPr>
                <w:b/>
                <w:bCs/>
                <w:sz w:val="17"/>
                <w:szCs w:val="17"/>
              </w:rPr>
              <w:t>2017-18</w:t>
            </w:r>
          </w:p>
        </w:tc>
        <w:tc>
          <w:tcPr>
            <w:tcW w:w="762" w:type="pct"/>
            <w:tcBorders>
              <w:top w:val="single" w:sz="12" w:space="0" w:color="auto"/>
              <w:left w:val="nil"/>
              <w:bottom w:val="nil"/>
              <w:right w:val="nil"/>
            </w:tcBorders>
          </w:tcPr>
          <w:p w14:paraId="0B4F6DBB" w14:textId="77777777" w:rsidR="003B7583" w:rsidRPr="006457D2" w:rsidRDefault="003B7583" w:rsidP="00C977DB">
            <w:pPr>
              <w:spacing w:before="80" w:after="80" w:line="200" w:lineRule="atLeast"/>
              <w:jc w:val="center"/>
              <w:rPr>
                <w:b/>
                <w:bCs/>
                <w:sz w:val="17"/>
                <w:szCs w:val="17"/>
              </w:rPr>
            </w:pPr>
            <w:r>
              <w:rPr>
                <w:b/>
                <w:bCs/>
                <w:sz w:val="17"/>
                <w:szCs w:val="17"/>
              </w:rPr>
              <w:t xml:space="preserve">Target for </w:t>
            </w:r>
            <w:r w:rsidRPr="003B7583">
              <w:rPr>
                <w:b/>
                <w:bCs/>
                <w:sz w:val="17"/>
                <w:szCs w:val="17"/>
              </w:rPr>
              <w:t>2018-19</w:t>
            </w:r>
          </w:p>
        </w:tc>
      </w:tr>
      <w:tr w:rsidR="003B7583" w:rsidRPr="006457D2" w14:paraId="64AEB6DE" w14:textId="77777777" w:rsidTr="005B59E7">
        <w:tc>
          <w:tcPr>
            <w:tcW w:w="1907" w:type="pct"/>
            <w:gridSpan w:val="2"/>
            <w:tcMar>
              <w:top w:w="57" w:type="dxa"/>
              <w:left w:w="108" w:type="dxa"/>
              <w:bottom w:w="57" w:type="dxa"/>
              <w:right w:w="108" w:type="dxa"/>
            </w:tcMar>
            <w:hideMark/>
          </w:tcPr>
          <w:p w14:paraId="5A1CAFDF" w14:textId="77777777" w:rsidR="003B7583" w:rsidRPr="00E22D36" w:rsidRDefault="003B7583" w:rsidP="00C977DB">
            <w:pPr>
              <w:spacing w:before="40" w:after="40" w:line="200" w:lineRule="atLeast"/>
              <w:rPr>
                <w:sz w:val="17"/>
                <w:szCs w:val="17"/>
                <w:highlight w:val="cyan"/>
              </w:rPr>
            </w:pPr>
            <w:r w:rsidRPr="00992E78">
              <w:rPr>
                <w:b/>
                <w:bCs/>
                <w:sz w:val="17"/>
                <w:szCs w:val="17"/>
                <w:lang w:eastAsia="en-AU"/>
              </w:rPr>
              <w:t>Promoting Effective Governance</w:t>
            </w:r>
          </w:p>
        </w:tc>
        <w:tc>
          <w:tcPr>
            <w:tcW w:w="848" w:type="pct"/>
            <w:tcMar>
              <w:top w:w="0" w:type="dxa"/>
              <w:left w:w="108" w:type="dxa"/>
              <w:bottom w:w="0" w:type="dxa"/>
              <w:right w:w="108" w:type="dxa"/>
            </w:tcMar>
          </w:tcPr>
          <w:p w14:paraId="1993D6A8" w14:textId="77777777" w:rsidR="003B7583" w:rsidRPr="00E22D36" w:rsidRDefault="003B7583" w:rsidP="00C977DB">
            <w:pPr>
              <w:spacing w:before="40" w:after="40" w:line="200" w:lineRule="atLeast"/>
              <w:jc w:val="center"/>
              <w:rPr>
                <w:rFonts w:ascii="Helvetica" w:hAnsi="Helvetica" w:cs="Helvetica"/>
                <w:sz w:val="17"/>
                <w:szCs w:val="17"/>
                <w:highlight w:val="cyan"/>
                <w:lang w:eastAsia="en-AU"/>
              </w:rPr>
            </w:pPr>
          </w:p>
        </w:tc>
        <w:tc>
          <w:tcPr>
            <w:tcW w:w="721" w:type="pct"/>
            <w:tcMar>
              <w:top w:w="0" w:type="dxa"/>
              <w:left w:w="108" w:type="dxa"/>
              <w:bottom w:w="0" w:type="dxa"/>
              <w:right w:w="108" w:type="dxa"/>
            </w:tcMar>
          </w:tcPr>
          <w:p w14:paraId="579EA566" w14:textId="77777777" w:rsidR="003B7583" w:rsidRPr="00E22D36" w:rsidRDefault="003B7583" w:rsidP="00C977DB">
            <w:pPr>
              <w:spacing w:before="40" w:after="40" w:line="200" w:lineRule="atLeast"/>
              <w:rPr>
                <w:rFonts w:ascii="Calibri" w:hAnsi="Calibri" w:cs="Times New Roman"/>
                <w:color w:val="FFFFFF"/>
                <w:sz w:val="17"/>
                <w:szCs w:val="17"/>
                <w:highlight w:val="cyan"/>
              </w:rPr>
            </w:pPr>
          </w:p>
        </w:tc>
        <w:tc>
          <w:tcPr>
            <w:tcW w:w="762" w:type="pct"/>
            <w:tcMar>
              <w:top w:w="0" w:type="dxa"/>
              <w:left w:w="108" w:type="dxa"/>
              <w:bottom w:w="0" w:type="dxa"/>
              <w:right w:w="108" w:type="dxa"/>
            </w:tcMar>
          </w:tcPr>
          <w:p w14:paraId="7C3C26FF" w14:textId="77777777" w:rsidR="003B7583" w:rsidRPr="00E22D36" w:rsidRDefault="003B7583" w:rsidP="00C977DB">
            <w:pPr>
              <w:spacing w:before="40" w:after="40" w:line="200" w:lineRule="atLeast"/>
              <w:rPr>
                <w:color w:val="44546A"/>
                <w:sz w:val="17"/>
                <w:szCs w:val="17"/>
                <w:highlight w:val="cyan"/>
              </w:rPr>
            </w:pPr>
          </w:p>
        </w:tc>
        <w:tc>
          <w:tcPr>
            <w:tcW w:w="762" w:type="pct"/>
          </w:tcPr>
          <w:p w14:paraId="2AB108E3" w14:textId="77777777" w:rsidR="003B7583" w:rsidRPr="00E22D36" w:rsidRDefault="003B7583" w:rsidP="00C977DB">
            <w:pPr>
              <w:spacing w:before="40" w:after="40" w:line="200" w:lineRule="atLeast"/>
              <w:rPr>
                <w:color w:val="44546A"/>
                <w:sz w:val="17"/>
                <w:szCs w:val="17"/>
                <w:highlight w:val="cyan"/>
              </w:rPr>
            </w:pPr>
          </w:p>
        </w:tc>
      </w:tr>
      <w:tr w:rsidR="003B7583" w:rsidRPr="006457D2" w14:paraId="49DB5DA5" w14:textId="77777777" w:rsidTr="005B59E7">
        <w:tc>
          <w:tcPr>
            <w:tcW w:w="636" w:type="pct"/>
            <w:tcMar>
              <w:top w:w="57" w:type="dxa"/>
              <w:left w:w="108" w:type="dxa"/>
              <w:bottom w:w="57" w:type="dxa"/>
              <w:right w:w="108" w:type="dxa"/>
            </w:tcMar>
            <w:hideMark/>
          </w:tcPr>
          <w:p w14:paraId="1DAA4AA7" w14:textId="77777777" w:rsidR="003B7583" w:rsidRPr="007359A0" w:rsidRDefault="003B7583" w:rsidP="00C977DB">
            <w:pPr>
              <w:spacing w:before="40" w:after="40" w:line="200" w:lineRule="atLeast"/>
              <w:rPr>
                <w:color w:val="auto"/>
                <w:sz w:val="17"/>
                <w:szCs w:val="17"/>
              </w:rPr>
            </w:pPr>
            <w:r w:rsidRPr="007359A0">
              <w:rPr>
                <w:color w:val="44546A"/>
                <w:sz w:val="17"/>
                <w:szCs w:val="17"/>
              </w:rPr>
              <w:t>1.1: Improved services delivered by the public sector</w:t>
            </w:r>
          </w:p>
        </w:tc>
        <w:tc>
          <w:tcPr>
            <w:tcW w:w="1271" w:type="pct"/>
            <w:tcMar>
              <w:top w:w="0" w:type="dxa"/>
              <w:left w:w="108" w:type="dxa"/>
              <w:bottom w:w="0" w:type="dxa"/>
              <w:right w:w="108" w:type="dxa"/>
            </w:tcMar>
            <w:hideMark/>
          </w:tcPr>
          <w:p w14:paraId="28FEA0A4" w14:textId="77777777" w:rsidR="003B7583" w:rsidRPr="007359A0" w:rsidRDefault="003B7583" w:rsidP="00C977DB">
            <w:pPr>
              <w:spacing w:before="40" w:after="40" w:line="200" w:lineRule="atLeast"/>
              <w:rPr>
                <w:sz w:val="17"/>
                <w:szCs w:val="17"/>
              </w:rPr>
            </w:pPr>
            <w:r w:rsidRPr="007359A0">
              <w:rPr>
                <w:iCs/>
                <w:color w:val="44546A"/>
                <w:sz w:val="17"/>
                <w:szCs w:val="17"/>
              </w:rPr>
              <w:t>Number of women and men in the public service trained in core skills*</w:t>
            </w:r>
            <w:r w:rsidRPr="007359A0">
              <w:rPr>
                <w:sz w:val="17"/>
                <w:szCs w:val="17"/>
              </w:rPr>
              <w:t> </w:t>
            </w:r>
            <w:r w:rsidRPr="007359A0">
              <w:rPr>
                <w:sz w:val="17"/>
                <w:szCs w:val="17"/>
              </w:rPr>
              <w:br/>
              <w:t>(PAF Indicator 1)</w:t>
            </w:r>
          </w:p>
        </w:tc>
        <w:tc>
          <w:tcPr>
            <w:tcW w:w="848" w:type="pct"/>
            <w:tcMar>
              <w:top w:w="0" w:type="dxa"/>
              <w:left w:w="108" w:type="dxa"/>
              <w:bottom w:w="0" w:type="dxa"/>
              <w:right w:w="108" w:type="dxa"/>
            </w:tcMar>
            <w:hideMark/>
          </w:tcPr>
          <w:p w14:paraId="4B65815A" w14:textId="77777777" w:rsidR="003B7583" w:rsidRPr="007359A0" w:rsidRDefault="003B7583" w:rsidP="00C977DB">
            <w:pPr>
              <w:pStyle w:val="Default"/>
              <w:rPr>
                <w:rFonts w:asciiTheme="minorHAnsi" w:hAnsiTheme="minorHAnsi" w:cstheme="minorBidi"/>
                <w:iCs/>
                <w:color w:val="44546A"/>
                <w:sz w:val="17"/>
                <w:szCs w:val="17"/>
                <w:lang w:val="en-GB"/>
              </w:rPr>
            </w:pPr>
            <w:r w:rsidRPr="008B7FE3">
              <w:rPr>
                <w:rFonts w:asciiTheme="minorHAnsi" w:hAnsiTheme="minorHAnsi" w:cstheme="minorBidi"/>
                <w:iCs/>
                <w:color w:val="44546A"/>
                <w:sz w:val="17"/>
                <w:szCs w:val="17"/>
                <w:lang w:val="en-GB"/>
              </w:rPr>
              <w:t>11,212</w:t>
            </w:r>
          </w:p>
        </w:tc>
        <w:tc>
          <w:tcPr>
            <w:tcW w:w="721" w:type="pct"/>
            <w:shd w:val="clear" w:color="auto" w:fill="92D050"/>
            <w:tcMar>
              <w:top w:w="0" w:type="dxa"/>
              <w:left w:w="108" w:type="dxa"/>
              <w:bottom w:w="0" w:type="dxa"/>
              <w:right w:w="108" w:type="dxa"/>
            </w:tcMar>
            <w:hideMark/>
          </w:tcPr>
          <w:p w14:paraId="1020485E" w14:textId="77777777" w:rsidR="003B7583" w:rsidRPr="00004D56" w:rsidRDefault="003B7583" w:rsidP="00C977DB">
            <w:pPr>
              <w:spacing w:before="40" w:after="40" w:line="200" w:lineRule="atLeast"/>
              <w:jc w:val="center"/>
              <w:rPr>
                <w:rFonts w:ascii="Calibri" w:hAnsi="Calibri" w:cs="Times New Roman"/>
                <w:b/>
                <w:color w:val="auto"/>
                <w:sz w:val="17"/>
                <w:szCs w:val="17"/>
                <w:highlight w:val="yellow"/>
                <w:lang w:val="en-AU"/>
              </w:rPr>
            </w:pPr>
            <w:r>
              <w:rPr>
                <w:b/>
                <w:color w:val="FFFFFF"/>
                <w:sz w:val="17"/>
                <w:szCs w:val="17"/>
              </w:rPr>
              <w:t>A</w:t>
            </w:r>
            <w:r w:rsidRPr="008B7FE3">
              <w:rPr>
                <w:b/>
                <w:color w:val="FFFFFF"/>
                <w:sz w:val="17"/>
                <w:szCs w:val="17"/>
              </w:rPr>
              <w:t>chieved</w:t>
            </w:r>
          </w:p>
        </w:tc>
        <w:tc>
          <w:tcPr>
            <w:tcW w:w="762" w:type="pct"/>
            <w:tcMar>
              <w:top w:w="0" w:type="dxa"/>
              <w:left w:w="108" w:type="dxa"/>
              <w:bottom w:w="0" w:type="dxa"/>
              <w:right w:w="108" w:type="dxa"/>
            </w:tcMar>
            <w:hideMark/>
          </w:tcPr>
          <w:p w14:paraId="4184FC7D" w14:textId="77777777" w:rsidR="003B7583" w:rsidRPr="00004D56" w:rsidRDefault="003B7583" w:rsidP="00921176">
            <w:pPr>
              <w:spacing w:before="40" w:after="40" w:line="200" w:lineRule="atLeast"/>
              <w:rPr>
                <w:sz w:val="17"/>
                <w:szCs w:val="17"/>
                <w:highlight w:val="yellow"/>
              </w:rPr>
            </w:pPr>
            <w:r>
              <w:rPr>
                <w:sz w:val="17"/>
                <w:szCs w:val="17"/>
              </w:rPr>
              <w:t xml:space="preserve">14,122 </w:t>
            </w:r>
            <w:r w:rsidRPr="008B7FE3">
              <w:rPr>
                <w:sz w:val="17"/>
                <w:szCs w:val="17"/>
              </w:rPr>
              <w:t>(women 6,283,</w:t>
            </w:r>
            <w:r w:rsidR="00FF4BD9">
              <w:rPr>
                <w:sz w:val="17"/>
                <w:szCs w:val="17"/>
              </w:rPr>
              <w:t xml:space="preserve"> </w:t>
            </w:r>
            <w:r w:rsidRPr="008B7FE3">
              <w:rPr>
                <w:sz w:val="17"/>
                <w:szCs w:val="17"/>
              </w:rPr>
              <w:t>men 7,839)</w:t>
            </w:r>
          </w:p>
        </w:tc>
        <w:tc>
          <w:tcPr>
            <w:tcW w:w="762" w:type="pct"/>
          </w:tcPr>
          <w:p w14:paraId="25D7260C" w14:textId="77777777" w:rsidR="003B7583" w:rsidRDefault="003B7583" w:rsidP="005B59E7">
            <w:pPr>
              <w:spacing w:before="40" w:after="40" w:line="200" w:lineRule="atLeast"/>
              <w:jc w:val="center"/>
              <w:rPr>
                <w:sz w:val="17"/>
                <w:szCs w:val="17"/>
              </w:rPr>
            </w:pPr>
            <w:r w:rsidRPr="003B7583">
              <w:rPr>
                <w:sz w:val="17"/>
                <w:szCs w:val="17"/>
              </w:rPr>
              <w:t>13,979</w:t>
            </w:r>
          </w:p>
        </w:tc>
      </w:tr>
      <w:tr w:rsidR="003B7583" w:rsidRPr="006457D2" w14:paraId="41211FF2" w14:textId="77777777" w:rsidTr="005B59E7">
        <w:tc>
          <w:tcPr>
            <w:tcW w:w="636" w:type="pct"/>
            <w:shd w:val="clear" w:color="auto" w:fill="auto"/>
            <w:tcMar>
              <w:top w:w="57" w:type="dxa"/>
              <w:left w:w="108" w:type="dxa"/>
              <w:bottom w:w="57" w:type="dxa"/>
              <w:right w:w="108" w:type="dxa"/>
            </w:tcMar>
            <w:hideMark/>
          </w:tcPr>
          <w:p w14:paraId="7FA4611F" w14:textId="77777777" w:rsidR="003B7583" w:rsidRPr="007359A0" w:rsidRDefault="003B7583" w:rsidP="00C977DB">
            <w:pPr>
              <w:spacing w:before="40" w:after="40" w:line="200" w:lineRule="atLeast"/>
              <w:rPr>
                <w:color w:val="44546A"/>
                <w:sz w:val="17"/>
                <w:szCs w:val="17"/>
              </w:rPr>
            </w:pPr>
            <w:r w:rsidRPr="007359A0">
              <w:rPr>
                <w:color w:val="44546A"/>
                <w:sz w:val="17"/>
                <w:szCs w:val="17"/>
              </w:rPr>
              <w:t>1.2: Improved law and justice services</w:t>
            </w:r>
          </w:p>
        </w:tc>
        <w:tc>
          <w:tcPr>
            <w:tcW w:w="1271" w:type="pct"/>
            <w:shd w:val="clear" w:color="auto" w:fill="auto"/>
            <w:tcMar>
              <w:top w:w="0" w:type="dxa"/>
              <w:left w:w="108" w:type="dxa"/>
              <w:bottom w:w="0" w:type="dxa"/>
              <w:right w:w="108" w:type="dxa"/>
            </w:tcMar>
            <w:hideMark/>
          </w:tcPr>
          <w:p w14:paraId="602EEED3" w14:textId="77777777" w:rsidR="003B7583" w:rsidRPr="007359A0" w:rsidRDefault="003B7583" w:rsidP="00C977DB">
            <w:pPr>
              <w:spacing w:before="40" w:after="40" w:line="200" w:lineRule="atLeast"/>
              <w:rPr>
                <w:iCs/>
                <w:color w:val="44546A"/>
                <w:sz w:val="17"/>
                <w:szCs w:val="17"/>
              </w:rPr>
            </w:pPr>
            <w:r w:rsidRPr="007359A0">
              <w:rPr>
                <w:iCs/>
                <w:color w:val="44546A"/>
                <w:sz w:val="17"/>
                <w:szCs w:val="17"/>
              </w:rPr>
              <w:t>Number of survivors of violence receiving services, such as counselling** (PAF Indicator 15)</w:t>
            </w:r>
          </w:p>
        </w:tc>
        <w:tc>
          <w:tcPr>
            <w:tcW w:w="848" w:type="pct"/>
            <w:tcMar>
              <w:top w:w="0" w:type="dxa"/>
              <w:left w:w="108" w:type="dxa"/>
              <w:bottom w:w="0" w:type="dxa"/>
              <w:right w:w="108" w:type="dxa"/>
            </w:tcMar>
            <w:hideMark/>
          </w:tcPr>
          <w:p w14:paraId="038D0B91" w14:textId="77777777" w:rsidR="003B7583" w:rsidRPr="007359A0" w:rsidRDefault="003B7583" w:rsidP="00C977DB">
            <w:pPr>
              <w:pStyle w:val="Default"/>
              <w:rPr>
                <w:rFonts w:asciiTheme="minorHAnsi" w:hAnsiTheme="minorHAnsi" w:cstheme="minorBidi"/>
                <w:iCs/>
                <w:color w:val="44546A"/>
                <w:sz w:val="17"/>
                <w:szCs w:val="17"/>
                <w:lang w:val="en-GB"/>
              </w:rPr>
            </w:pPr>
            <w:r w:rsidRPr="007359A0">
              <w:rPr>
                <w:rFonts w:asciiTheme="minorHAnsi" w:hAnsiTheme="minorHAnsi" w:cstheme="minorBidi"/>
                <w:iCs/>
                <w:color w:val="44546A"/>
                <w:sz w:val="17"/>
                <w:szCs w:val="17"/>
                <w:lang w:val="en-GB"/>
              </w:rPr>
              <w:t xml:space="preserve">Women: 16,000 </w:t>
            </w:r>
          </w:p>
          <w:p w14:paraId="55017744" w14:textId="77777777" w:rsidR="003B7583" w:rsidRPr="007359A0" w:rsidRDefault="003B7583" w:rsidP="00C977DB">
            <w:pPr>
              <w:pStyle w:val="Default"/>
              <w:rPr>
                <w:rFonts w:asciiTheme="minorHAnsi" w:hAnsiTheme="minorHAnsi" w:cstheme="minorBidi"/>
                <w:iCs/>
                <w:color w:val="44546A"/>
                <w:sz w:val="17"/>
                <w:szCs w:val="17"/>
                <w:lang w:val="en-GB"/>
              </w:rPr>
            </w:pPr>
            <w:r w:rsidRPr="007359A0">
              <w:rPr>
                <w:rFonts w:asciiTheme="minorHAnsi" w:hAnsiTheme="minorHAnsi" w:cstheme="minorBidi"/>
                <w:iCs/>
                <w:color w:val="44546A"/>
                <w:sz w:val="17"/>
                <w:szCs w:val="17"/>
                <w:lang w:val="en-GB"/>
              </w:rPr>
              <w:t xml:space="preserve">Males: 500 </w:t>
            </w:r>
          </w:p>
          <w:p w14:paraId="34495162" w14:textId="77777777" w:rsidR="003B7583" w:rsidRPr="00011487" w:rsidRDefault="003B7583" w:rsidP="007359A0">
            <w:pPr>
              <w:spacing w:before="40" w:after="40" w:line="200" w:lineRule="atLeast"/>
              <w:rPr>
                <w:iCs/>
                <w:color w:val="44546A"/>
                <w:sz w:val="17"/>
                <w:szCs w:val="17"/>
                <w:highlight w:val="yellow"/>
              </w:rPr>
            </w:pPr>
            <w:r w:rsidRPr="007359A0">
              <w:rPr>
                <w:iCs/>
                <w:color w:val="44546A"/>
                <w:sz w:val="17"/>
                <w:szCs w:val="17"/>
              </w:rPr>
              <w:t xml:space="preserve">Total: 16,500 </w:t>
            </w:r>
          </w:p>
        </w:tc>
        <w:tc>
          <w:tcPr>
            <w:tcW w:w="721" w:type="pct"/>
            <w:shd w:val="clear" w:color="auto" w:fill="92D050"/>
            <w:tcMar>
              <w:top w:w="0" w:type="dxa"/>
              <w:left w:w="108" w:type="dxa"/>
              <w:bottom w:w="0" w:type="dxa"/>
              <w:right w:w="108" w:type="dxa"/>
            </w:tcMar>
            <w:hideMark/>
          </w:tcPr>
          <w:p w14:paraId="7BC3E2BB" w14:textId="77777777" w:rsidR="003B7583" w:rsidRPr="00004D56" w:rsidRDefault="003B7583" w:rsidP="00035311">
            <w:pPr>
              <w:spacing w:before="40" w:after="40" w:line="200" w:lineRule="atLeast"/>
              <w:jc w:val="center"/>
              <w:rPr>
                <w:rFonts w:ascii="Calibri" w:hAnsi="Calibri" w:cs="Times New Roman"/>
                <w:color w:val="auto"/>
                <w:sz w:val="17"/>
                <w:szCs w:val="17"/>
                <w:highlight w:val="yellow"/>
              </w:rPr>
            </w:pPr>
            <w:r>
              <w:rPr>
                <w:b/>
                <w:color w:val="FFFFFF"/>
                <w:sz w:val="17"/>
                <w:szCs w:val="17"/>
              </w:rPr>
              <w:t>A</w:t>
            </w:r>
            <w:r w:rsidRPr="008B7FE3">
              <w:rPr>
                <w:b/>
                <w:color w:val="FFFFFF"/>
                <w:sz w:val="17"/>
                <w:szCs w:val="17"/>
              </w:rPr>
              <w:t>chieved</w:t>
            </w:r>
          </w:p>
        </w:tc>
        <w:tc>
          <w:tcPr>
            <w:tcW w:w="762" w:type="pct"/>
            <w:tcMar>
              <w:top w:w="0" w:type="dxa"/>
              <w:left w:w="108" w:type="dxa"/>
              <w:bottom w:w="0" w:type="dxa"/>
              <w:right w:w="108" w:type="dxa"/>
            </w:tcMar>
          </w:tcPr>
          <w:p w14:paraId="24DE20BD" w14:textId="77777777" w:rsidR="003B7583" w:rsidRPr="00004D56" w:rsidRDefault="003B7583" w:rsidP="00C977DB">
            <w:pPr>
              <w:pStyle w:val="TableTextEntries"/>
              <w:keepNext/>
              <w:rPr>
                <w:rFonts w:asciiTheme="minorHAnsi" w:eastAsiaTheme="minorHAnsi" w:hAnsiTheme="minorHAnsi" w:cstheme="minorBidi"/>
                <w:color w:val="44546A"/>
                <w:highlight w:val="yellow"/>
                <w:lang w:val="en-GB"/>
              </w:rPr>
            </w:pPr>
            <w:r w:rsidRPr="001D2C2A">
              <w:rPr>
                <w:rFonts w:asciiTheme="minorHAnsi" w:eastAsiaTheme="minorHAnsi" w:hAnsiTheme="minorHAnsi" w:cstheme="minorBidi"/>
                <w:color w:val="44546A"/>
                <w:lang w:val="en-GB"/>
              </w:rPr>
              <w:t xml:space="preserve">19,387 </w:t>
            </w:r>
          </w:p>
          <w:p w14:paraId="789AAF6D" w14:textId="77777777" w:rsidR="003B7583" w:rsidRPr="00004D56" w:rsidRDefault="003B7583" w:rsidP="00C977DB">
            <w:pPr>
              <w:spacing w:before="40" w:after="40" w:line="200" w:lineRule="atLeast"/>
              <w:rPr>
                <w:rFonts w:ascii="Calibri" w:hAnsi="Calibri"/>
                <w:color w:val="44546A"/>
                <w:sz w:val="17"/>
                <w:szCs w:val="17"/>
                <w:highlight w:val="yellow"/>
              </w:rPr>
            </w:pPr>
          </w:p>
        </w:tc>
        <w:tc>
          <w:tcPr>
            <w:tcW w:w="762" w:type="pct"/>
          </w:tcPr>
          <w:p w14:paraId="6148CE59" w14:textId="77777777" w:rsidR="003B7583" w:rsidRPr="001D2C2A" w:rsidRDefault="003B7583" w:rsidP="005B59E7">
            <w:pPr>
              <w:pStyle w:val="TableTextEntries"/>
              <w:keepNext/>
              <w:jc w:val="center"/>
              <w:rPr>
                <w:rFonts w:asciiTheme="minorHAnsi" w:eastAsiaTheme="minorHAnsi" w:hAnsiTheme="minorHAnsi" w:cstheme="minorBidi"/>
                <w:color w:val="44546A"/>
                <w:lang w:val="en-GB"/>
              </w:rPr>
            </w:pPr>
            <w:r w:rsidRPr="003B7583">
              <w:rPr>
                <w:rFonts w:asciiTheme="minorHAnsi" w:eastAsiaTheme="minorHAnsi" w:hAnsiTheme="minorHAnsi" w:cstheme="minorBidi"/>
                <w:color w:val="44546A"/>
                <w:lang w:val="en-GB"/>
              </w:rPr>
              <w:t>Unavailable at time of reporting</w:t>
            </w:r>
          </w:p>
        </w:tc>
      </w:tr>
      <w:tr w:rsidR="003B7583" w:rsidRPr="006457D2" w14:paraId="2C2183EA" w14:textId="77777777" w:rsidTr="005B59E7">
        <w:tc>
          <w:tcPr>
            <w:tcW w:w="636" w:type="pct"/>
            <w:tcMar>
              <w:top w:w="57" w:type="dxa"/>
              <w:left w:w="108" w:type="dxa"/>
              <w:bottom w:w="57" w:type="dxa"/>
              <w:right w:w="108" w:type="dxa"/>
            </w:tcMar>
          </w:tcPr>
          <w:p w14:paraId="2ED36B2B" w14:textId="77777777" w:rsidR="003B7583" w:rsidRPr="00E22D36" w:rsidRDefault="003B7583" w:rsidP="00C977DB">
            <w:pPr>
              <w:spacing w:before="40" w:after="40" w:line="200" w:lineRule="atLeast"/>
              <w:rPr>
                <w:color w:val="44546A"/>
                <w:sz w:val="17"/>
                <w:szCs w:val="17"/>
                <w:highlight w:val="cyan"/>
                <w:lang w:val="en-AU" w:eastAsia="en-AU"/>
              </w:rPr>
            </w:pPr>
          </w:p>
        </w:tc>
        <w:tc>
          <w:tcPr>
            <w:tcW w:w="1271" w:type="pct"/>
            <w:tcMar>
              <w:top w:w="0" w:type="dxa"/>
              <w:left w:w="108" w:type="dxa"/>
              <w:bottom w:w="0" w:type="dxa"/>
              <w:right w:w="108" w:type="dxa"/>
            </w:tcMar>
            <w:hideMark/>
          </w:tcPr>
          <w:p w14:paraId="7FC32BCE" w14:textId="77777777" w:rsidR="003B7583" w:rsidRPr="00992E78" w:rsidRDefault="003B7583" w:rsidP="00C977DB">
            <w:pPr>
              <w:spacing w:before="40" w:after="40" w:line="200" w:lineRule="atLeast"/>
              <w:rPr>
                <w:rFonts w:ascii="Calibri" w:hAnsi="Calibri" w:cs="Times New Roman"/>
                <w:iCs/>
                <w:color w:val="44546A"/>
                <w:sz w:val="17"/>
                <w:szCs w:val="17"/>
              </w:rPr>
            </w:pPr>
            <w:r w:rsidRPr="00992E78">
              <w:rPr>
                <w:iCs/>
                <w:color w:val="44546A"/>
                <w:sz w:val="17"/>
                <w:szCs w:val="17"/>
              </w:rPr>
              <w:t xml:space="preserve">Number of police and law and justice officials trained </w:t>
            </w:r>
            <w:r w:rsidRPr="00992E78">
              <w:rPr>
                <w:sz w:val="17"/>
                <w:szCs w:val="17"/>
              </w:rPr>
              <w:t>(PAF Indicator 1)</w:t>
            </w:r>
          </w:p>
        </w:tc>
        <w:tc>
          <w:tcPr>
            <w:tcW w:w="848" w:type="pct"/>
            <w:tcMar>
              <w:top w:w="0" w:type="dxa"/>
              <w:left w:w="108" w:type="dxa"/>
              <w:bottom w:w="0" w:type="dxa"/>
              <w:right w:w="108" w:type="dxa"/>
            </w:tcMar>
            <w:hideMark/>
          </w:tcPr>
          <w:p w14:paraId="7D748035" w14:textId="77777777" w:rsidR="003B7583" w:rsidRPr="00992E78" w:rsidRDefault="003B7583" w:rsidP="00992E78">
            <w:pPr>
              <w:pStyle w:val="Default"/>
              <w:rPr>
                <w:rFonts w:asciiTheme="minorHAnsi" w:hAnsiTheme="minorHAnsi" w:cstheme="minorBidi"/>
                <w:iCs/>
                <w:color w:val="44546A"/>
                <w:sz w:val="17"/>
                <w:szCs w:val="17"/>
                <w:lang w:val="en-GB"/>
              </w:rPr>
            </w:pPr>
            <w:r w:rsidRPr="00992E78">
              <w:rPr>
                <w:rFonts w:asciiTheme="minorHAnsi" w:hAnsiTheme="minorHAnsi" w:cstheme="minorBidi"/>
                <w:iCs/>
                <w:color w:val="44546A"/>
                <w:sz w:val="17"/>
                <w:szCs w:val="17"/>
                <w:lang w:val="en-GB"/>
              </w:rPr>
              <w:t>Women: 1,135</w:t>
            </w:r>
          </w:p>
          <w:p w14:paraId="7967738D" w14:textId="77777777" w:rsidR="003B7583" w:rsidRPr="00992E78" w:rsidRDefault="003B7583" w:rsidP="00992E78">
            <w:pPr>
              <w:pStyle w:val="Default"/>
              <w:rPr>
                <w:rFonts w:asciiTheme="minorHAnsi" w:hAnsiTheme="minorHAnsi" w:cstheme="minorBidi"/>
                <w:iCs/>
                <w:color w:val="44546A"/>
                <w:sz w:val="17"/>
                <w:szCs w:val="17"/>
                <w:lang w:val="en-GB"/>
              </w:rPr>
            </w:pPr>
            <w:r w:rsidRPr="00992E78">
              <w:rPr>
                <w:rFonts w:asciiTheme="minorHAnsi" w:hAnsiTheme="minorHAnsi" w:cstheme="minorBidi"/>
                <w:iCs/>
                <w:color w:val="44546A"/>
                <w:sz w:val="17"/>
                <w:szCs w:val="17"/>
                <w:lang w:val="en-GB"/>
              </w:rPr>
              <w:t>Men: 3,040</w:t>
            </w:r>
          </w:p>
          <w:p w14:paraId="10C8E3A2" w14:textId="77777777" w:rsidR="003B7583" w:rsidRPr="00992E78" w:rsidRDefault="003B7583" w:rsidP="00992E78">
            <w:pPr>
              <w:pStyle w:val="Default"/>
              <w:rPr>
                <w:rFonts w:asciiTheme="minorHAnsi" w:hAnsiTheme="minorHAnsi" w:cstheme="minorBidi"/>
                <w:iCs/>
                <w:color w:val="44546A"/>
                <w:sz w:val="17"/>
                <w:szCs w:val="17"/>
                <w:lang w:val="en-GB"/>
              </w:rPr>
            </w:pPr>
            <w:r w:rsidRPr="00992E78">
              <w:rPr>
                <w:rFonts w:asciiTheme="minorHAnsi" w:hAnsiTheme="minorHAnsi" w:cstheme="minorBidi"/>
                <w:iCs/>
                <w:color w:val="44546A"/>
                <w:sz w:val="17"/>
                <w:szCs w:val="17"/>
                <w:lang w:val="en-GB"/>
              </w:rPr>
              <w:t>Total: 4,175</w:t>
            </w:r>
          </w:p>
        </w:tc>
        <w:tc>
          <w:tcPr>
            <w:tcW w:w="721" w:type="pct"/>
            <w:shd w:val="clear" w:color="auto" w:fill="FFC000"/>
            <w:tcMar>
              <w:top w:w="0" w:type="dxa"/>
              <w:left w:w="108" w:type="dxa"/>
              <w:bottom w:w="0" w:type="dxa"/>
              <w:right w:w="108" w:type="dxa"/>
            </w:tcMar>
            <w:hideMark/>
          </w:tcPr>
          <w:p w14:paraId="05D177A0" w14:textId="77777777" w:rsidR="003B7583" w:rsidRPr="005B4038" w:rsidRDefault="003B7583" w:rsidP="00C977DB">
            <w:pPr>
              <w:spacing w:before="40" w:after="40" w:line="200" w:lineRule="atLeast"/>
              <w:jc w:val="center"/>
              <w:rPr>
                <w:rFonts w:ascii="Helvetica" w:hAnsi="Helvetica" w:cs="Helvetica"/>
                <w:color w:val="FFFFFF"/>
                <w:sz w:val="17"/>
                <w:szCs w:val="17"/>
                <w:lang w:eastAsia="en-AU"/>
              </w:rPr>
            </w:pPr>
            <w:r w:rsidRPr="005B4038">
              <w:rPr>
                <w:rFonts w:ascii="Helvetica" w:hAnsi="Helvetica" w:cs="Helvetica"/>
                <w:color w:val="FFFFFF"/>
                <w:sz w:val="17"/>
                <w:szCs w:val="17"/>
                <w:lang w:eastAsia="en-AU"/>
              </w:rPr>
              <w:t>Partially achieved</w:t>
            </w:r>
          </w:p>
        </w:tc>
        <w:tc>
          <w:tcPr>
            <w:tcW w:w="762" w:type="pct"/>
            <w:tcMar>
              <w:top w:w="0" w:type="dxa"/>
              <w:left w:w="108" w:type="dxa"/>
              <w:bottom w:w="0" w:type="dxa"/>
              <w:right w:w="108" w:type="dxa"/>
            </w:tcMar>
            <w:hideMark/>
          </w:tcPr>
          <w:p w14:paraId="4FE6EA53" w14:textId="77777777" w:rsidR="003B7583" w:rsidRPr="005B4038" w:rsidRDefault="003B7583" w:rsidP="00A63B45">
            <w:pPr>
              <w:pStyle w:val="TableTextEntries"/>
              <w:keepNext/>
              <w:rPr>
                <w:rFonts w:asciiTheme="minorHAnsi" w:eastAsiaTheme="minorHAnsi" w:hAnsiTheme="minorHAnsi" w:cstheme="minorBidi"/>
                <w:color w:val="44546A"/>
                <w:lang w:val="en-GB"/>
              </w:rPr>
            </w:pPr>
            <w:r w:rsidRPr="005B4038">
              <w:rPr>
                <w:rFonts w:asciiTheme="minorHAnsi" w:eastAsiaTheme="minorHAnsi" w:hAnsiTheme="minorHAnsi" w:cstheme="minorBidi"/>
                <w:color w:val="44546A"/>
                <w:lang w:val="en-GB"/>
              </w:rPr>
              <w:t>Women: 936</w:t>
            </w:r>
          </w:p>
          <w:p w14:paraId="68B84AA4" w14:textId="77777777" w:rsidR="003B7583" w:rsidRPr="005B4038" w:rsidRDefault="003B7583" w:rsidP="00A63B45">
            <w:pPr>
              <w:pStyle w:val="TableTextEntries"/>
              <w:keepNext/>
              <w:rPr>
                <w:rFonts w:asciiTheme="minorHAnsi" w:eastAsiaTheme="minorHAnsi" w:hAnsiTheme="minorHAnsi" w:cstheme="minorBidi"/>
                <w:color w:val="44546A"/>
                <w:lang w:val="en-GB"/>
              </w:rPr>
            </w:pPr>
            <w:r w:rsidRPr="005B4038">
              <w:rPr>
                <w:rFonts w:asciiTheme="minorHAnsi" w:eastAsiaTheme="minorHAnsi" w:hAnsiTheme="minorHAnsi" w:cstheme="minorBidi"/>
                <w:color w:val="44546A"/>
                <w:lang w:val="en-GB"/>
              </w:rPr>
              <w:t>Men: 1,813</w:t>
            </w:r>
          </w:p>
          <w:p w14:paraId="01146347" w14:textId="77777777" w:rsidR="003B7583" w:rsidRPr="00004D56" w:rsidRDefault="003B7583" w:rsidP="00A63B45">
            <w:pPr>
              <w:pStyle w:val="TableTextEntries"/>
              <w:keepNext/>
              <w:rPr>
                <w:rFonts w:ascii="Calibri" w:hAnsi="Calibri"/>
                <w:color w:val="44546A"/>
                <w:highlight w:val="yellow"/>
                <w:lang w:val="en-GB" w:eastAsia="en-AU"/>
              </w:rPr>
            </w:pPr>
            <w:r w:rsidRPr="005B4038">
              <w:rPr>
                <w:rFonts w:asciiTheme="minorHAnsi" w:eastAsiaTheme="minorHAnsi" w:hAnsiTheme="minorHAnsi" w:cstheme="minorBidi"/>
                <w:color w:val="44546A"/>
                <w:lang w:val="en-GB"/>
              </w:rPr>
              <w:t>Total: 2,749</w:t>
            </w:r>
          </w:p>
        </w:tc>
        <w:tc>
          <w:tcPr>
            <w:tcW w:w="762" w:type="pct"/>
          </w:tcPr>
          <w:p w14:paraId="06314B47" w14:textId="77777777" w:rsidR="003B7583" w:rsidRPr="005B4038" w:rsidRDefault="003B7583" w:rsidP="005B59E7">
            <w:pPr>
              <w:pStyle w:val="TableTextEntries"/>
              <w:keepNext/>
              <w:jc w:val="center"/>
              <w:rPr>
                <w:rFonts w:asciiTheme="minorHAnsi" w:eastAsiaTheme="minorHAnsi" w:hAnsiTheme="minorHAnsi" w:cstheme="minorBidi"/>
                <w:color w:val="44546A"/>
                <w:lang w:val="en-GB"/>
              </w:rPr>
            </w:pPr>
            <w:r w:rsidRPr="003B7583">
              <w:rPr>
                <w:rFonts w:asciiTheme="minorHAnsi" w:eastAsiaTheme="minorHAnsi" w:hAnsiTheme="minorHAnsi" w:cstheme="minorBidi"/>
                <w:color w:val="44546A"/>
                <w:lang w:val="en-GB"/>
              </w:rPr>
              <w:t>5,200</w:t>
            </w:r>
          </w:p>
        </w:tc>
      </w:tr>
      <w:tr w:rsidR="003B7583" w:rsidRPr="006457D2" w14:paraId="42DFA5BD" w14:textId="77777777" w:rsidTr="005B59E7">
        <w:tc>
          <w:tcPr>
            <w:tcW w:w="1907" w:type="pct"/>
            <w:gridSpan w:val="2"/>
            <w:tcMar>
              <w:top w:w="57" w:type="dxa"/>
              <w:left w:w="108" w:type="dxa"/>
              <w:bottom w:w="57" w:type="dxa"/>
              <w:right w:w="108" w:type="dxa"/>
            </w:tcMar>
            <w:hideMark/>
          </w:tcPr>
          <w:p w14:paraId="1CCE71EC" w14:textId="77777777" w:rsidR="003B7583" w:rsidRPr="00E22D36" w:rsidRDefault="003B7583" w:rsidP="00877168">
            <w:pPr>
              <w:spacing w:before="40" w:after="40" w:line="200" w:lineRule="atLeast"/>
              <w:rPr>
                <w:rFonts w:ascii="Helvetica" w:hAnsi="Helvetica" w:cs="Helvetica"/>
                <w:iCs/>
                <w:color w:val="44546A"/>
                <w:sz w:val="17"/>
                <w:szCs w:val="17"/>
                <w:highlight w:val="cyan"/>
                <w:lang w:eastAsia="en-AU"/>
              </w:rPr>
            </w:pPr>
            <w:r w:rsidRPr="008A1004">
              <w:rPr>
                <w:rFonts w:ascii="Calibri" w:hAnsi="Calibri"/>
                <w:b/>
                <w:bCs/>
                <w:color w:val="44546A"/>
                <w:sz w:val="17"/>
                <w:szCs w:val="17"/>
              </w:rPr>
              <w:t>Enabling economic growth</w:t>
            </w:r>
          </w:p>
        </w:tc>
        <w:tc>
          <w:tcPr>
            <w:tcW w:w="848" w:type="pct"/>
            <w:tcMar>
              <w:top w:w="0" w:type="dxa"/>
              <w:left w:w="108" w:type="dxa"/>
              <w:bottom w:w="0" w:type="dxa"/>
              <w:right w:w="108" w:type="dxa"/>
            </w:tcMar>
          </w:tcPr>
          <w:p w14:paraId="36F530FB" w14:textId="77777777" w:rsidR="003B7583" w:rsidRPr="00E22D36" w:rsidRDefault="003B7583" w:rsidP="00877168">
            <w:pPr>
              <w:spacing w:before="40" w:after="40" w:line="200" w:lineRule="atLeast"/>
              <w:rPr>
                <w:rFonts w:ascii="Helvetica" w:hAnsi="Helvetica" w:cs="Helvetica"/>
                <w:color w:val="auto"/>
                <w:sz w:val="17"/>
                <w:szCs w:val="17"/>
                <w:highlight w:val="cyan"/>
                <w:lang w:eastAsia="en-AU"/>
              </w:rPr>
            </w:pPr>
          </w:p>
        </w:tc>
        <w:tc>
          <w:tcPr>
            <w:tcW w:w="721" w:type="pct"/>
            <w:tcMar>
              <w:top w:w="0" w:type="dxa"/>
              <w:left w:w="108" w:type="dxa"/>
              <w:bottom w:w="0" w:type="dxa"/>
              <w:right w:w="108" w:type="dxa"/>
            </w:tcMar>
          </w:tcPr>
          <w:p w14:paraId="7764DEE4" w14:textId="77777777" w:rsidR="003B7583" w:rsidRPr="00004D56" w:rsidRDefault="003B7583" w:rsidP="00877168">
            <w:pPr>
              <w:spacing w:before="40" w:after="40" w:line="200" w:lineRule="atLeast"/>
              <w:rPr>
                <w:rFonts w:ascii="Helvetica" w:hAnsi="Helvetica" w:cs="Helvetica"/>
                <w:color w:val="FFFFFF"/>
                <w:sz w:val="17"/>
                <w:szCs w:val="17"/>
                <w:highlight w:val="yellow"/>
                <w:lang w:val="en-AU" w:eastAsia="en-AU"/>
              </w:rPr>
            </w:pPr>
          </w:p>
        </w:tc>
        <w:tc>
          <w:tcPr>
            <w:tcW w:w="762" w:type="pct"/>
            <w:tcMar>
              <w:top w:w="0" w:type="dxa"/>
              <w:left w:w="108" w:type="dxa"/>
              <w:bottom w:w="0" w:type="dxa"/>
              <w:right w:w="108" w:type="dxa"/>
            </w:tcMar>
          </w:tcPr>
          <w:p w14:paraId="73C7C0EB" w14:textId="77777777" w:rsidR="003B7583" w:rsidRPr="00004D56" w:rsidRDefault="003B7583" w:rsidP="00877168">
            <w:pPr>
              <w:pStyle w:val="TableTextEntries"/>
              <w:keepNext/>
              <w:rPr>
                <w:rFonts w:ascii="Calibri" w:hAnsi="Calibri"/>
                <w:color w:val="44546A"/>
                <w:highlight w:val="yellow"/>
                <w:lang w:val="en-GB" w:eastAsia="en-AU"/>
              </w:rPr>
            </w:pPr>
          </w:p>
        </w:tc>
        <w:tc>
          <w:tcPr>
            <w:tcW w:w="762" w:type="pct"/>
          </w:tcPr>
          <w:p w14:paraId="5140ED62" w14:textId="77777777" w:rsidR="003B7583" w:rsidRPr="00004D56" w:rsidRDefault="003B7583" w:rsidP="00877168">
            <w:pPr>
              <w:pStyle w:val="TableTextEntries"/>
              <w:keepNext/>
              <w:rPr>
                <w:rFonts w:ascii="Calibri" w:hAnsi="Calibri"/>
                <w:color w:val="44546A"/>
                <w:highlight w:val="yellow"/>
                <w:lang w:val="en-GB" w:eastAsia="en-AU"/>
              </w:rPr>
            </w:pPr>
          </w:p>
        </w:tc>
      </w:tr>
      <w:tr w:rsidR="003B7583" w:rsidRPr="006457D2" w14:paraId="628C9886" w14:textId="77777777" w:rsidTr="005B59E7">
        <w:tc>
          <w:tcPr>
            <w:tcW w:w="636" w:type="pct"/>
            <w:tcMar>
              <w:top w:w="57" w:type="dxa"/>
              <w:left w:w="108" w:type="dxa"/>
              <w:bottom w:w="57" w:type="dxa"/>
              <w:right w:w="108" w:type="dxa"/>
            </w:tcMar>
            <w:hideMark/>
          </w:tcPr>
          <w:p w14:paraId="18E61509" w14:textId="77777777" w:rsidR="003B7583" w:rsidRPr="000267EC" w:rsidRDefault="003B7583" w:rsidP="00877168">
            <w:pPr>
              <w:pStyle w:val="BodyText"/>
              <w:rPr>
                <w:rFonts w:ascii="Calibri" w:hAnsi="Calibri"/>
                <w:b/>
                <w:bCs/>
                <w:color w:val="44546A"/>
                <w:sz w:val="17"/>
                <w:szCs w:val="17"/>
                <w:lang w:eastAsia="en-US"/>
              </w:rPr>
            </w:pPr>
            <w:r w:rsidRPr="000267EC">
              <w:rPr>
                <w:rFonts w:ascii="Calibri" w:hAnsi="Calibri"/>
                <w:color w:val="44546A"/>
                <w:sz w:val="17"/>
                <w:szCs w:val="17"/>
                <w:lang w:eastAsia="en-US"/>
              </w:rPr>
              <w:t>2.1: Private sector plays a greater role in economic development</w:t>
            </w:r>
          </w:p>
        </w:tc>
        <w:tc>
          <w:tcPr>
            <w:tcW w:w="1271" w:type="pct"/>
            <w:tcMar>
              <w:top w:w="0" w:type="dxa"/>
              <w:left w:w="108" w:type="dxa"/>
              <w:bottom w:w="0" w:type="dxa"/>
              <w:right w:w="108" w:type="dxa"/>
            </w:tcMar>
            <w:hideMark/>
          </w:tcPr>
          <w:p w14:paraId="4DC1B7C9" w14:textId="77777777" w:rsidR="003B7583" w:rsidRPr="000267EC" w:rsidRDefault="003B7583" w:rsidP="00877168">
            <w:pPr>
              <w:spacing w:before="40" w:after="40" w:line="200" w:lineRule="atLeast"/>
              <w:rPr>
                <w:rFonts w:ascii="Helvetica" w:hAnsi="Helvetica" w:cs="Helvetica"/>
                <w:iCs/>
                <w:color w:val="44546A"/>
                <w:sz w:val="17"/>
                <w:szCs w:val="17"/>
                <w:lang w:eastAsia="en-AU"/>
              </w:rPr>
            </w:pPr>
            <w:r w:rsidRPr="000267EC">
              <w:rPr>
                <w:iCs/>
                <w:color w:val="44546A"/>
                <w:sz w:val="17"/>
                <w:szCs w:val="17"/>
              </w:rPr>
              <w:t>Increase to 30% of the aid program focused on private sector led growth and aid for trade***</w:t>
            </w:r>
          </w:p>
        </w:tc>
        <w:tc>
          <w:tcPr>
            <w:tcW w:w="848" w:type="pct"/>
            <w:tcMar>
              <w:top w:w="0" w:type="dxa"/>
              <w:left w:w="108" w:type="dxa"/>
              <w:bottom w:w="0" w:type="dxa"/>
              <w:right w:w="108" w:type="dxa"/>
            </w:tcMar>
          </w:tcPr>
          <w:p w14:paraId="1BB478BB" w14:textId="77777777" w:rsidR="003B7583" w:rsidRPr="000267EC" w:rsidRDefault="003B7583" w:rsidP="00877168">
            <w:pPr>
              <w:pStyle w:val="Default"/>
              <w:rPr>
                <w:rFonts w:asciiTheme="minorHAnsi" w:hAnsiTheme="minorHAnsi" w:cstheme="minorBidi"/>
                <w:iCs/>
                <w:color w:val="44546A"/>
                <w:sz w:val="17"/>
                <w:szCs w:val="17"/>
                <w:lang w:val="en-GB"/>
              </w:rPr>
            </w:pPr>
            <w:r w:rsidRPr="000267EC">
              <w:rPr>
                <w:rFonts w:asciiTheme="minorHAnsi" w:hAnsiTheme="minorHAnsi" w:cstheme="minorBidi"/>
                <w:iCs/>
                <w:color w:val="44546A"/>
                <w:sz w:val="17"/>
                <w:szCs w:val="17"/>
                <w:lang w:val="en-GB"/>
              </w:rPr>
              <w:t>30%</w:t>
            </w:r>
          </w:p>
          <w:p w14:paraId="7588682F" w14:textId="77777777" w:rsidR="003B7583" w:rsidRPr="000267EC" w:rsidRDefault="003B7583" w:rsidP="00877168">
            <w:pPr>
              <w:spacing w:before="40" w:after="40" w:line="200" w:lineRule="atLeast"/>
              <w:rPr>
                <w:iCs/>
                <w:color w:val="44546A"/>
                <w:sz w:val="17"/>
                <w:szCs w:val="17"/>
              </w:rPr>
            </w:pPr>
          </w:p>
        </w:tc>
        <w:tc>
          <w:tcPr>
            <w:tcW w:w="721" w:type="pct"/>
            <w:shd w:val="clear" w:color="auto" w:fill="92D050"/>
            <w:tcMar>
              <w:top w:w="0" w:type="dxa"/>
              <w:left w:w="108" w:type="dxa"/>
              <w:bottom w:w="0" w:type="dxa"/>
              <w:right w:w="108" w:type="dxa"/>
            </w:tcMar>
            <w:hideMark/>
          </w:tcPr>
          <w:p w14:paraId="0D11D381" w14:textId="77777777" w:rsidR="003B7583" w:rsidRPr="00483A28" w:rsidRDefault="003B7583" w:rsidP="0049200D">
            <w:pPr>
              <w:spacing w:before="40" w:after="40" w:line="200" w:lineRule="atLeast"/>
              <w:jc w:val="center"/>
              <w:rPr>
                <w:rFonts w:ascii="Helvetica" w:hAnsi="Helvetica" w:cs="Helvetica"/>
                <w:color w:val="FFFFFF"/>
                <w:sz w:val="17"/>
                <w:szCs w:val="17"/>
                <w:lang w:val="en-AU" w:eastAsia="en-AU"/>
              </w:rPr>
            </w:pPr>
            <w:r w:rsidRPr="00483A28">
              <w:rPr>
                <w:rFonts w:ascii="Helvetica" w:hAnsi="Helvetica" w:cs="Helvetica"/>
                <w:color w:val="FFFFFF"/>
                <w:sz w:val="17"/>
                <w:szCs w:val="17"/>
                <w:lang w:eastAsia="en-AU"/>
              </w:rPr>
              <w:t>Achieved</w:t>
            </w:r>
          </w:p>
        </w:tc>
        <w:tc>
          <w:tcPr>
            <w:tcW w:w="762" w:type="pct"/>
            <w:tcMar>
              <w:top w:w="0" w:type="dxa"/>
              <w:left w:w="108" w:type="dxa"/>
              <w:bottom w:w="0" w:type="dxa"/>
              <w:right w:w="108" w:type="dxa"/>
            </w:tcMar>
          </w:tcPr>
          <w:p w14:paraId="7FEBBC39" w14:textId="77777777" w:rsidR="003B7583" w:rsidRPr="00483A28" w:rsidRDefault="003B7583" w:rsidP="00407A76">
            <w:pPr>
              <w:pStyle w:val="TableTextEntries"/>
              <w:keepNext/>
              <w:rPr>
                <w:rFonts w:ascii="Calibri" w:hAnsi="Calibri"/>
                <w:color w:val="44546A"/>
                <w:lang w:val="en-GB" w:eastAsia="en-AU"/>
              </w:rPr>
            </w:pPr>
            <w:r w:rsidRPr="00483A28">
              <w:rPr>
                <w:rFonts w:asciiTheme="minorHAnsi" w:eastAsiaTheme="minorHAnsi" w:hAnsiTheme="minorHAnsi" w:cstheme="minorBidi"/>
                <w:color w:val="44546A"/>
                <w:lang w:val="en-GB"/>
              </w:rPr>
              <w:t>33%</w:t>
            </w:r>
          </w:p>
        </w:tc>
        <w:tc>
          <w:tcPr>
            <w:tcW w:w="762" w:type="pct"/>
          </w:tcPr>
          <w:p w14:paraId="11A0D809" w14:textId="77777777" w:rsidR="003B7583" w:rsidRPr="00483A28" w:rsidRDefault="003B7583" w:rsidP="005B59E7">
            <w:pPr>
              <w:pStyle w:val="TableTextEntries"/>
              <w:keepNext/>
              <w:jc w:val="center"/>
              <w:rPr>
                <w:rFonts w:asciiTheme="minorHAnsi" w:eastAsiaTheme="minorHAnsi" w:hAnsiTheme="minorHAnsi" w:cstheme="minorBidi"/>
                <w:color w:val="44546A"/>
                <w:lang w:val="en-GB"/>
              </w:rPr>
            </w:pPr>
            <w:r w:rsidRPr="003B7583">
              <w:rPr>
                <w:rFonts w:asciiTheme="minorHAnsi" w:eastAsiaTheme="minorHAnsi" w:hAnsiTheme="minorHAnsi" w:cstheme="minorBidi"/>
                <w:color w:val="44546A"/>
                <w:lang w:val="en-GB"/>
              </w:rPr>
              <w:t>30% TBC</w:t>
            </w:r>
          </w:p>
        </w:tc>
      </w:tr>
      <w:tr w:rsidR="003B7583" w:rsidRPr="006457D2" w14:paraId="00AC6B73" w14:textId="77777777" w:rsidTr="005B59E7">
        <w:tc>
          <w:tcPr>
            <w:tcW w:w="636" w:type="pct"/>
            <w:tcMar>
              <w:top w:w="57" w:type="dxa"/>
              <w:left w:w="108" w:type="dxa"/>
              <w:bottom w:w="57" w:type="dxa"/>
              <w:right w:w="108" w:type="dxa"/>
            </w:tcMar>
          </w:tcPr>
          <w:p w14:paraId="46C442EB" w14:textId="77777777" w:rsidR="003B7583" w:rsidRPr="00E22D36" w:rsidRDefault="003B7583" w:rsidP="00877168">
            <w:pPr>
              <w:pStyle w:val="BodyText"/>
              <w:rPr>
                <w:rFonts w:ascii="Calibri" w:hAnsi="Calibri"/>
                <w:color w:val="44546A"/>
                <w:sz w:val="17"/>
                <w:szCs w:val="17"/>
                <w:highlight w:val="cyan"/>
                <w:lang w:eastAsia="en-US"/>
              </w:rPr>
            </w:pPr>
          </w:p>
        </w:tc>
        <w:tc>
          <w:tcPr>
            <w:tcW w:w="1271" w:type="pct"/>
            <w:tcMar>
              <w:top w:w="0" w:type="dxa"/>
              <w:left w:w="108" w:type="dxa"/>
              <w:bottom w:w="0" w:type="dxa"/>
              <w:right w:w="108" w:type="dxa"/>
            </w:tcMar>
            <w:hideMark/>
          </w:tcPr>
          <w:p w14:paraId="7247FCF9" w14:textId="77777777" w:rsidR="003B7583" w:rsidRPr="00011487" w:rsidRDefault="003B7583" w:rsidP="00877168">
            <w:pPr>
              <w:spacing w:before="40" w:after="40" w:line="200" w:lineRule="atLeast"/>
              <w:rPr>
                <w:rFonts w:ascii="Calibri" w:hAnsi="Calibri"/>
                <w:iCs/>
                <w:color w:val="44546A"/>
                <w:sz w:val="17"/>
                <w:szCs w:val="17"/>
                <w:highlight w:val="yellow"/>
                <w:lang w:eastAsia="en-AU"/>
              </w:rPr>
            </w:pPr>
            <w:r w:rsidRPr="000267EC">
              <w:rPr>
                <w:iCs/>
                <w:color w:val="44546A"/>
                <w:sz w:val="17"/>
                <w:szCs w:val="17"/>
              </w:rPr>
              <w:t>Number of poor women and men who increase their access to financial services</w:t>
            </w:r>
            <w:r w:rsidR="00FF4BD9">
              <w:rPr>
                <w:iCs/>
                <w:color w:val="44546A"/>
                <w:sz w:val="17"/>
                <w:szCs w:val="17"/>
              </w:rPr>
              <w:t xml:space="preserve"> </w:t>
            </w:r>
            <w:r w:rsidRPr="000267EC">
              <w:rPr>
                <w:iCs/>
                <w:color w:val="44546A"/>
                <w:sz w:val="17"/>
                <w:szCs w:val="17"/>
              </w:rPr>
              <w:t xml:space="preserve"> </w:t>
            </w:r>
            <w:r w:rsidRPr="000267EC">
              <w:rPr>
                <w:sz w:val="17"/>
                <w:szCs w:val="17"/>
              </w:rPr>
              <w:t>(PAF Indicator 9)</w:t>
            </w:r>
          </w:p>
        </w:tc>
        <w:tc>
          <w:tcPr>
            <w:tcW w:w="848" w:type="pct"/>
            <w:tcMar>
              <w:top w:w="0" w:type="dxa"/>
              <w:left w:w="108" w:type="dxa"/>
              <w:bottom w:w="0" w:type="dxa"/>
              <w:right w:w="108" w:type="dxa"/>
            </w:tcMar>
            <w:hideMark/>
          </w:tcPr>
          <w:p w14:paraId="4EC0C0DC" w14:textId="77777777" w:rsidR="003B7583" w:rsidRPr="000267EC" w:rsidRDefault="003B7583" w:rsidP="000267EC">
            <w:pPr>
              <w:pStyle w:val="Default"/>
              <w:rPr>
                <w:rFonts w:asciiTheme="minorHAnsi" w:hAnsiTheme="minorHAnsi" w:cstheme="minorBidi"/>
                <w:iCs/>
                <w:color w:val="44546A"/>
                <w:sz w:val="17"/>
                <w:szCs w:val="17"/>
                <w:lang w:val="en-GB"/>
              </w:rPr>
            </w:pPr>
            <w:r w:rsidRPr="000267EC">
              <w:rPr>
                <w:rFonts w:asciiTheme="minorHAnsi" w:hAnsiTheme="minorHAnsi" w:cstheme="minorBidi"/>
                <w:iCs/>
                <w:color w:val="44546A"/>
                <w:sz w:val="17"/>
                <w:szCs w:val="17"/>
                <w:lang w:val="en-GB"/>
              </w:rPr>
              <w:t xml:space="preserve">Women: 16,000 </w:t>
            </w:r>
          </w:p>
          <w:p w14:paraId="53B3A10C" w14:textId="77777777" w:rsidR="003B7583" w:rsidRPr="000267EC" w:rsidRDefault="003B7583" w:rsidP="000267EC">
            <w:pPr>
              <w:pStyle w:val="Default"/>
              <w:rPr>
                <w:rFonts w:asciiTheme="minorHAnsi" w:hAnsiTheme="minorHAnsi" w:cstheme="minorBidi"/>
                <w:iCs/>
                <w:color w:val="44546A"/>
                <w:sz w:val="17"/>
                <w:szCs w:val="17"/>
                <w:lang w:val="en-GB"/>
              </w:rPr>
            </w:pPr>
            <w:r w:rsidRPr="000267EC">
              <w:rPr>
                <w:rFonts w:asciiTheme="minorHAnsi" w:hAnsiTheme="minorHAnsi" w:cstheme="minorBidi"/>
                <w:iCs/>
                <w:color w:val="44546A"/>
                <w:sz w:val="17"/>
                <w:szCs w:val="17"/>
                <w:lang w:val="en-GB"/>
              </w:rPr>
              <w:t xml:space="preserve">Men: 24,000 </w:t>
            </w:r>
          </w:p>
          <w:p w14:paraId="2D361D21" w14:textId="77777777" w:rsidR="003B7583" w:rsidRPr="00011487" w:rsidRDefault="003B7583" w:rsidP="000267EC">
            <w:pPr>
              <w:spacing w:before="40" w:after="40" w:line="200" w:lineRule="atLeast"/>
              <w:rPr>
                <w:iCs/>
                <w:color w:val="44546A"/>
                <w:sz w:val="17"/>
                <w:szCs w:val="17"/>
                <w:highlight w:val="yellow"/>
              </w:rPr>
            </w:pPr>
            <w:r w:rsidRPr="000267EC">
              <w:rPr>
                <w:iCs/>
                <w:color w:val="44546A"/>
                <w:sz w:val="17"/>
                <w:szCs w:val="17"/>
              </w:rPr>
              <w:t>Total: 40,000</w:t>
            </w:r>
          </w:p>
        </w:tc>
        <w:tc>
          <w:tcPr>
            <w:tcW w:w="721" w:type="pct"/>
            <w:shd w:val="clear" w:color="auto" w:fill="92D050"/>
            <w:tcMar>
              <w:top w:w="0" w:type="dxa"/>
              <w:left w:w="108" w:type="dxa"/>
              <w:bottom w:w="0" w:type="dxa"/>
              <w:right w:w="108" w:type="dxa"/>
            </w:tcMar>
            <w:hideMark/>
          </w:tcPr>
          <w:p w14:paraId="100857AE" w14:textId="77777777" w:rsidR="003B7583" w:rsidRPr="00004D56" w:rsidRDefault="003B7583" w:rsidP="00877168">
            <w:pPr>
              <w:spacing w:before="40" w:after="40" w:line="200" w:lineRule="atLeast"/>
              <w:jc w:val="center"/>
              <w:rPr>
                <w:rFonts w:ascii="Helvetica" w:hAnsi="Helvetica" w:cs="Helvetica"/>
                <w:color w:val="FFFFFF"/>
                <w:sz w:val="17"/>
                <w:szCs w:val="17"/>
                <w:highlight w:val="yellow"/>
                <w:lang w:val="en-AU" w:eastAsia="en-AU"/>
              </w:rPr>
            </w:pPr>
            <w:r w:rsidRPr="00933FED">
              <w:rPr>
                <w:rFonts w:ascii="Helvetica" w:hAnsi="Helvetica" w:cs="Helvetica"/>
                <w:color w:val="FFFFFF"/>
                <w:sz w:val="17"/>
                <w:szCs w:val="17"/>
                <w:lang w:eastAsia="en-AU"/>
              </w:rPr>
              <w:t>Achieved</w:t>
            </w:r>
          </w:p>
        </w:tc>
        <w:tc>
          <w:tcPr>
            <w:tcW w:w="762" w:type="pct"/>
            <w:tcMar>
              <w:top w:w="0" w:type="dxa"/>
              <w:left w:w="108" w:type="dxa"/>
              <w:bottom w:w="0" w:type="dxa"/>
              <w:right w:w="108" w:type="dxa"/>
            </w:tcMar>
            <w:hideMark/>
          </w:tcPr>
          <w:p w14:paraId="2B1855C6" w14:textId="77777777" w:rsidR="003B7583" w:rsidRPr="00E04B83" w:rsidRDefault="003B7583" w:rsidP="00933FED">
            <w:pPr>
              <w:pStyle w:val="TableTextEntries"/>
              <w:keepNext/>
              <w:rPr>
                <w:rFonts w:asciiTheme="minorHAnsi" w:eastAsiaTheme="minorHAnsi" w:hAnsiTheme="minorHAnsi" w:cstheme="minorBidi"/>
                <w:color w:val="44546A"/>
                <w:lang w:val="en-GB"/>
              </w:rPr>
            </w:pPr>
            <w:r>
              <w:rPr>
                <w:rFonts w:asciiTheme="minorHAnsi" w:eastAsiaTheme="minorHAnsi" w:hAnsiTheme="minorHAnsi" w:cstheme="minorBidi"/>
                <w:color w:val="44546A"/>
                <w:lang w:val="en-GB"/>
              </w:rPr>
              <w:t xml:space="preserve">59,217 </w:t>
            </w:r>
            <w:r w:rsidRPr="00933FED">
              <w:rPr>
                <w:rFonts w:asciiTheme="minorHAnsi" w:eastAsiaTheme="minorHAnsi" w:hAnsiTheme="minorHAnsi" w:cstheme="minorBidi"/>
                <w:color w:val="44546A"/>
                <w:lang w:val="en-GB"/>
              </w:rPr>
              <w:t>(women 30,912, men 28,305)</w:t>
            </w:r>
          </w:p>
        </w:tc>
        <w:tc>
          <w:tcPr>
            <w:tcW w:w="762" w:type="pct"/>
          </w:tcPr>
          <w:p w14:paraId="5F9F632C" w14:textId="77777777" w:rsidR="003B7583" w:rsidRDefault="003B7583" w:rsidP="005B59E7">
            <w:pPr>
              <w:pStyle w:val="TableTextEntries"/>
              <w:keepNext/>
              <w:jc w:val="center"/>
              <w:rPr>
                <w:rFonts w:asciiTheme="minorHAnsi" w:eastAsiaTheme="minorHAnsi" w:hAnsiTheme="minorHAnsi" w:cstheme="minorBidi"/>
                <w:color w:val="44546A"/>
                <w:lang w:val="en-GB"/>
              </w:rPr>
            </w:pPr>
            <w:r w:rsidRPr="003B7583">
              <w:rPr>
                <w:rFonts w:asciiTheme="minorHAnsi" w:eastAsiaTheme="minorHAnsi" w:hAnsiTheme="minorHAnsi" w:cstheme="minorBidi"/>
                <w:color w:val="44546A"/>
                <w:lang w:val="en-GB"/>
              </w:rPr>
              <w:t>34,536</w:t>
            </w:r>
          </w:p>
        </w:tc>
      </w:tr>
      <w:tr w:rsidR="003B7583" w:rsidRPr="006457D2" w14:paraId="10D416DA" w14:textId="77777777" w:rsidTr="005B59E7">
        <w:tc>
          <w:tcPr>
            <w:tcW w:w="636" w:type="pct"/>
            <w:tcMar>
              <w:top w:w="57" w:type="dxa"/>
              <w:left w:w="108" w:type="dxa"/>
              <w:bottom w:w="57" w:type="dxa"/>
              <w:right w:w="108" w:type="dxa"/>
            </w:tcMar>
            <w:hideMark/>
          </w:tcPr>
          <w:p w14:paraId="71A2D3CC" w14:textId="77777777" w:rsidR="003B7583" w:rsidRPr="00E04F93" w:rsidRDefault="003B7583" w:rsidP="00877168">
            <w:pPr>
              <w:pStyle w:val="BodyText"/>
              <w:rPr>
                <w:rFonts w:ascii="Calibri" w:hAnsi="Calibri"/>
                <w:color w:val="44546A"/>
                <w:sz w:val="17"/>
                <w:szCs w:val="17"/>
                <w:lang w:eastAsia="en-US"/>
              </w:rPr>
            </w:pPr>
            <w:r w:rsidRPr="00E04F93">
              <w:rPr>
                <w:rFonts w:ascii="Calibri" w:hAnsi="Calibri"/>
                <w:color w:val="44546A"/>
                <w:sz w:val="17"/>
                <w:szCs w:val="17"/>
                <w:lang w:eastAsia="en-US"/>
              </w:rPr>
              <w:t>2.2: Improved road infrastructure increasingly connects producers with consumers</w:t>
            </w:r>
          </w:p>
        </w:tc>
        <w:tc>
          <w:tcPr>
            <w:tcW w:w="1271" w:type="pct"/>
            <w:tcMar>
              <w:top w:w="0" w:type="dxa"/>
              <w:left w:w="108" w:type="dxa"/>
              <w:bottom w:w="0" w:type="dxa"/>
              <w:right w:w="108" w:type="dxa"/>
            </w:tcMar>
            <w:hideMark/>
          </w:tcPr>
          <w:p w14:paraId="0EA41BB8" w14:textId="77777777" w:rsidR="003B7583" w:rsidRPr="00E04F93" w:rsidRDefault="003B7583" w:rsidP="00877168">
            <w:pPr>
              <w:spacing w:before="40" w:after="40" w:line="200" w:lineRule="atLeast"/>
              <w:rPr>
                <w:rFonts w:ascii="Calibri" w:hAnsi="Calibri"/>
                <w:iCs/>
                <w:color w:val="44546A"/>
                <w:sz w:val="17"/>
                <w:szCs w:val="17"/>
                <w:lang w:eastAsia="en-AU"/>
              </w:rPr>
            </w:pPr>
            <w:r w:rsidRPr="00E04F93">
              <w:rPr>
                <w:iCs/>
                <w:color w:val="44546A"/>
                <w:sz w:val="17"/>
                <w:szCs w:val="17"/>
              </w:rPr>
              <w:t xml:space="preserve">Targeted investments contribute to sustained improvements in the national road network. (Assessed by kilometres of roads that are subject to design/routine maintenance / periodic maintenance and rehabilitation) </w:t>
            </w:r>
            <w:r w:rsidRPr="00E04F93">
              <w:rPr>
                <w:sz w:val="17"/>
                <w:szCs w:val="17"/>
              </w:rPr>
              <w:t>(PAF Indicator 6)</w:t>
            </w:r>
          </w:p>
        </w:tc>
        <w:tc>
          <w:tcPr>
            <w:tcW w:w="848" w:type="pct"/>
            <w:tcMar>
              <w:top w:w="0" w:type="dxa"/>
              <w:left w:w="108" w:type="dxa"/>
              <w:bottom w:w="0" w:type="dxa"/>
              <w:right w:w="108" w:type="dxa"/>
            </w:tcMar>
            <w:hideMark/>
          </w:tcPr>
          <w:p w14:paraId="48C8225B" w14:textId="77777777" w:rsidR="003B7583" w:rsidRPr="00011487" w:rsidRDefault="003B7583" w:rsidP="00877168">
            <w:pPr>
              <w:pStyle w:val="Default"/>
              <w:rPr>
                <w:rFonts w:asciiTheme="minorHAnsi" w:hAnsiTheme="minorHAnsi" w:cstheme="minorBidi"/>
                <w:iCs/>
                <w:color w:val="44546A"/>
                <w:sz w:val="17"/>
                <w:szCs w:val="17"/>
                <w:highlight w:val="yellow"/>
                <w:lang w:val="en-GB"/>
              </w:rPr>
            </w:pPr>
            <w:r w:rsidRPr="0010326C">
              <w:rPr>
                <w:rFonts w:asciiTheme="minorHAnsi" w:hAnsiTheme="minorHAnsi" w:cstheme="minorBidi"/>
                <w:iCs/>
                <w:color w:val="44546A"/>
                <w:sz w:val="17"/>
                <w:szCs w:val="17"/>
                <w:lang w:val="en-GB"/>
              </w:rPr>
              <w:t>Distance (km) of roads that are subject to routine maintenance / periodic m</w:t>
            </w:r>
            <w:r>
              <w:rPr>
                <w:rFonts w:asciiTheme="minorHAnsi" w:hAnsiTheme="minorHAnsi" w:cstheme="minorBidi"/>
                <w:iCs/>
                <w:color w:val="44546A"/>
                <w:sz w:val="17"/>
                <w:szCs w:val="17"/>
                <w:lang w:val="en-GB"/>
              </w:rPr>
              <w:t>aintenance and rehabilitation: 1</w:t>
            </w:r>
            <w:r w:rsidRPr="0010326C">
              <w:rPr>
                <w:rFonts w:asciiTheme="minorHAnsi" w:hAnsiTheme="minorHAnsi" w:cstheme="minorBidi"/>
                <w:iCs/>
                <w:color w:val="44546A"/>
                <w:sz w:val="17"/>
                <w:szCs w:val="17"/>
                <w:lang w:val="en-GB"/>
              </w:rPr>
              <w:t>000km</w:t>
            </w:r>
          </w:p>
        </w:tc>
        <w:tc>
          <w:tcPr>
            <w:tcW w:w="721" w:type="pct"/>
            <w:shd w:val="clear" w:color="auto" w:fill="92D050"/>
            <w:tcMar>
              <w:top w:w="0" w:type="dxa"/>
              <w:left w:w="108" w:type="dxa"/>
              <w:bottom w:w="0" w:type="dxa"/>
              <w:right w:w="108" w:type="dxa"/>
            </w:tcMar>
            <w:hideMark/>
          </w:tcPr>
          <w:p w14:paraId="40DAE5F5" w14:textId="77777777" w:rsidR="003B7583" w:rsidRPr="00004D56" w:rsidRDefault="003B7583" w:rsidP="00407A76">
            <w:pPr>
              <w:spacing w:before="40" w:after="40" w:line="200" w:lineRule="atLeast"/>
              <w:jc w:val="center"/>
              <w:rPr>
                <w:rFonts w:ascii="Helvetica" w:hAnsi="Helvetica" w:cs="Helvetica"/>
                <w:color w:val="FFFFFF"/>
                <w:sz w:val="17"/>
                <w:szCs w:val="17"/>
                <w:highlight w:val="yellow"/>
                <w:lang w:val="en-AU" w:eastAsia="en-AU"/>
              </w:rPr>
            </w:pPr>
            <w:r w:rsidRPr="00FA699A">
              <w:rPr>
                <w:rFonts w:ascii="Helvetica" w:hAnsi="Helvetica" w:cs="Helvetica"/>
                <w:color w:val="FFFFFF"/>
                <w:sz w:val="17"/>
                <w:szCs w:val="17"/>
                <w:lang w:eastAsia="en-AU"/>
              </w:rPr>
              <w:t>Achieved</w:t>
            </w:r>
          </w:p>
        </w:tc>
        <w:tc>
          <w:tcPr>
            <w:tcW w:w="762" w:type="pct"/>
            <w:tcMar>
              <w:top w:w="0" w:type="dxa"/>
              <w:left w:w="108" w:type="dxa"/>
              <w:bottom w:w="0" w:type="dxa"/>
              <w:right w:w="108" w:type="dxa"/>
            </w:tcMar>
            <w:hideMark/>
          </w:tcPr>
          <w:p w14:paraId="28B4CD3C" w14:textId="77777777" w:rsidR="003B7583" w:rsidRPr="00004D56" w:rsidRDefault="003B7583" w:rsidP="00877168">
            <w:pPr>
              <w:pStyle w:val="TableTextEntries"/>
              <w:keepNext/>
              <w:rPr>
                <w:rFonts w:asciiTheme="minorHAnsi" w:hAnsiTheme="minorHAnsi" w:cstheme="minorBidi"/>
                <w:color w:val="495965" w:themeColor="text2"/>
                <w:highlight w:val="yellow"/>
                <w:lang w:val="en-GB"/>
              </w:rPr>
            </w:pPr>
            <w:r w:rsidRPr="00FA699A">
              <w:rPr>
                <w:rFonts w:asciiTheme="minorHAnsi" w:hAnsiTheme="minorHAnsi" w:cstheme="minorBidi"/>
                <w:color w:val="495965" w:themeColor="text2"/>
                <w:lang w:val="en-GB"/>
              </w:rPr>
              <w:t>1,981 km</w:t>
            </w:r>
            <w:r w:rsidRPr="00FA699A">
              <w:rPr>
                <w:rFonts w:asciiTheme="minorHAnsi" w:hAnsiTheme="minorHAnsi" w:cstheme="minorBidi"/>
                <w:color w:val="495965" w:themeColor="text2"/>
                <w:highlight w:val="yellow"/>
                <w:lang w:val="en-GB"/>
              </w:rPr>
              <w:t xml:space="preserve"> </w:t>
            </w:r>
          </w:p>
        </w:tc>
        <w:tc>
          <w:tcPr>
            <w:tcW w:w="762" w:type="pct"/>
          </w:tcPr>
          <w:p w14:paraId="3B32397C" w14:textId="77777777" w:rsidR="003B7583" w:rsidRPr="00FA699A" w:rsidRDefault="003B7583" w:rsidP="005B59E7">
            <w:pPr>
              <w:pStyle w:val="TableTextEntries"/>
              <w:keepNext/>
              <w:jc w:val="center"/>
              <w:rPr>
                <w:rFonts w:asciiTheme="minorHAnsi" w:hAnsiTheme="minorHAnsi" w:cstheme="minorBidi"/>
                <w:color w:val="495965" w:themeColor="text2"/>
                <w:lang w:val="en-GB"/>
              </w:rPr>
            </w:pPr>
            <w:r w:rsidRPr="003B7583">
              <w:rPr>
                <w:rFonts w:asciiTheme="minorHAnsi" w:hAnsiTheme="minorHAnsi" w:cstheme="minorBidi"/>
                <w:color w:val="495965" w:themeColor="text2"/>
                <w:lang w:val="en-GB"/>
              </w:rPr>
              <w:t>2000</w:t>
            </w:r>
            <w:r w:rsidR="003D72BD">
              <w:rPr>
                <w:rFonts w:asciiTheme="minorHAnsi" w:hAnsiTheme="minorHAnsi" w:cstheme="minorBidi"/>
                <w:color w:val="495965" w:themeColor="text2"/>
                <w:lang w:val="en-GB"/>
              </w:rPr>
              <w:t xml:space="preserve"> </w:t>
            </w:r>
            <w:r w:rsidRPr="003B7583">
              <w:rPr>
                <w:rFonts w:asciiTheme="minorHAnsi" w:hAnsiTheme="minorHAnsi" w:cstheme="minorBidi"/>
                <w:color w:val="495965" w:themeColor="text2"/>
                <w:lang w:val="en-GB"/>
              </w:rPr>
              <w:t>km</w:t>
            </w:r>
          </w:p>
        </w:tc>
      </w:tr>
    </w:tbl>
    <w:p w14:paraId="337D63A4" w14:textId="77777777" w:rsidR="00EA16E7" w:rsidRDefault="00EA16E7">
      <w:r>
        <w:br w:type="page"/>
      </w:r>
    </w:p>
    <w:tbl>
      <w:tblPr>
        <w:tblW w:w="5000" w:type="pct"/>
        <w:tblCellMar>
          <w:left w:w="0" w:type="dxa"/>
          <w:right w:w="0" w:type="dxa"/>
        </w:tblCellMar>
        <w:tblLook w:val="04A0" w:firstRow="1" w:lastRow="0" w:firstColumn="1" w:lastColumn="0" w:noHBand="0" w:noVBand="1"/>
      </w:tblPr>
      <w:tblGrid>
        <w:gridCol w:w="1921"/>
        <w:gridCol w:w="3484"/>
        <w:gridCol w:w="2404"/>
        <w:gridCol w:w="2044"/>
        <w:gridCol w:w="2160"/>
        <w:gridCol w:w="2160"/>
      </w:tblGrid>
      <w:tr w:rsidR="00552C02" w:rsidRPr="006457D2" w14:paraId="00E1038F" w14:textId="77777777" w:rsidTr="005B59E7">
        <w:tc>
          <w:tcPr>
            <w:tcW w:w="1907" w:type="pct"/>
            <w:gridSpan w:val="2"/>
            <w:tcMar>
              <w:top w:w="57" w:type="dxa"/>
              <w:left w:w="108" w:type="dxa"/>
              <w:bottom w:w="57" w:type="dxa"/>
              <w:right w:w="108" w:type="dxa"/>
            </w:tcMar>
            <w:hideMark/>
          </w:tcPr>
          <w:p w14:paraId="6C645820" w14:textId="77777777" w:rsidR="00552C02" w:rsidRPr="0097474B" w:rsidRDefault="00552C02" w:rsidP="00877168">
            <w:pPr>
              <w:spacing w:before="40" w:after="40" w:line="200" w:lineRule="atLeast"/>
              <w:rPr>
                <w:rFonts w:ascii="Calibri" w:hAnsi="Calibri"/>
                <w:iCs/>
                <w:color w:val="44546A"/>
                <w:sz w:val="17"/>
                <w:szCs w:val="17"/>
                <w:lang w:eastAsia="en-AU"/>
              </w:rPr>
            </w:pPr>
            <w:r w:rsidRPr="0097474B">
              <w:rPr>
                <w:rFonts w:ascii="Calibri" w:hAnsi="Calibri"/>
                <w:b/>
                <w:bCs/>
                <w:color w:val="44546A"/>
                <w:sz w:val="17"/>
                <w:szCs w:val="17"/>
              </w:rPr>
              <w:lastRenderedPageBreak/>
              <w:t>Enhancing human development</w:t>
            </w:r>
          </w:p>
        </w:tc>
        <w:tc>
          <w:tcPr>
            <w:tcW w:w="848" w:type="pct"/>
            <w:tcMar>
              <w:top w:w="0" w:type="dxa"/>
              <w:left w:w="108" w:type="dxa"/>
              <w:bottom w:w="0" w:type="dxa"/>
              <w:right w:w="108" w:type="dxa"/>
            </w:tcMar>
          </w:tcPr>
          <w:p w14:paraId="6095C3C0" w14:textId="77777777" w:rsidR="00552C02" w:rsidRPr="00E22D36" w:rsidRDefault="00552C02" w:rsidP="00877168">
            <w:pPr>
              <w:spacing w:before="40" w:after="40" w:line="200" w:lineRule="atLeast"/>
              <w:rPr>
                <w:rFonts w:ascii="Helvetica" w:hAnsi="Helvetica" w:cs="Helvetica"/>
                <w:color w:val="44546A"/>
                <w:sz w:val="17"/>
                <w:szCs w:val="17"/>
                <w:highlight w:val="cyan"/>
                <w:lang w:eastAsia="en-AU"/>
              </w:rPr>
            </w:pPr>
          </w:p>
        </w:tc>
        <w:tc>
          <w:tcPr>
            <w:tcW w:w="721" w:type="pct"/>
            <w:tcMar>
              <w:top w:w="0" w:type="dxa"/>
              <w:left w:w="108" w:type="dxa"/>
              <w:bottom w:w="0" w:type="dxa"/>
              <w:right w:w="108" w:type="dxa"/>
            </w:tcMar>
          </w:tcPr>
          <w:p w14:paraId="6C838DF7" w14:textId="77777777" w:rsidR="00552C02" w:rsidRPr="00004D56" w:rsidRDefault="00552C02" w:rsidP="00877168">
            <w:pPr>
              <w:spacing w:before="40" w:after="40" w:line="200" w:lineRule="atLeast"/>
              <w:rPr>
                <w:rFonts w:ascii="Helvetica" w:hAnsi="Helvetica" w:cs="Helvetica"/>
                <w:color w:val="FFFFFF"/>
                <w:sz w:val="17"/>
                <w:szCs w:val="17"/>
                <w:highlight w:val="yellow"/>
                <w:lang w:eastAsia="en-AU"/>
              </w:rPr>
            </w:pPr>
          </w:p>
        </w:tc>
        <w:tc>
          <w:tcPr>
            <w:tcW w:w="762" w:type="pct"/>
            <w:tcMar>
              <w:top w:w="0" w:type="dxa"/>
              <w:left w:w="108" w:type="dxa"/>
              <w:bottom w:w="0" w:type="dxa"/>
              <w:right w:w="108" w:type="dxa"/>
            </w:tcMar>
          </w:tcPr>
          <w:p w14:paraId="0DEA282E" w14:textId="77777777" w:rsidR="00552C02" w:rsidRPr="00004D56" w:rsidRDefault="00552C02" w:rsidP="00877168">
            <w:pPr>
              <w:pStyle w:val="TableTextEntries"/>
              <w:keepNext/>
              <w:rPr>
                <w:rFonts w:ascii="Calibri" w:hAnsi="Calibri"/>
                <w:color w:val="44546A"/>
                <w:highlight w:val="yellow"/>
                <w:lang w:val="en-GB" w:eastAsia="en-AU"/>
              </w:rPr>
            </w:pPr>
          </w:p>
        </w:tc>
        <w:tc>
          <w:tcPr>
            <w:tcW w:w="762" w:type="pct"/>
          </w:tcPr>
          <w:p w14:paraId="6B143278" w14:textId="77777777" w:rsidR="00552C02" w:rsidRPr="00004D56" w:rsidRDefault="00552C02" w:rsidP="00877168">
            <w:pPr>
              <w:pStyle w:val="TableTextEntries"/>
              <w:keepNext/>
              <w:rPr>
                <w:rFonts w:ascii="Calibri" w:hAnsi="Calibri"/>
                <w:color w:val="44546A"/>
                <w:highlight w:val="yellow"/>
                <w:lang w:val="en-GB" w:eastAsia="en-AU"/>
              </w:rPr>
            </w:pPr>
          </w:p>
        </w:tc>
      </w:tr>
      <w:tr w:rsidR="00552C02" w:rsidRPr="006457D2" w14:paraId="2C2716D9" w14:textId="77777777" w:rsidTr="005B59E7">
        <w:tc>
          <w:tcPr>
            <w:tcW w:w="678" w:type="pct"/>
            <w:tcMar>
              <w:top w:w="57" w:type="dxa"/>
              <w:left w:w="108" w:type="dxa"/>
              <w:bottom w:w="57" w:type="dxa"/>
              <w:right w:w="108" w:type="dxa"/>
            </w:tcMar>
            <w:hideMark/>
          </w:tcPr>
          <w:p w14:paraId="53523008" w14:textId="77777777" w:rsidR="00552C02" w:rsidRPr="0061204C" w:rsidRDefault="00552C02" w:rsidP="00877168">
            <w:pPr>
              <w:pStyle w:val="BodyText"/>
              <w:rPr>
                <w:rFonts w:ascii="Calibri" w:hAnsi="Calibri"/>
                <w:color w:val="44546A"/>
                <w:sz w:val="17"/>
                <w:szCs w:val="17"/>
                <w:lang w:eastAsia="en-US"/>
              </w:rPr>
            </w:pPr>
            <w:r w:rsidRPr="0061204C">
              <w:rPr>
                <w:rFonts w:ascii="Calibri" w:hAnsi="Calibri"/>
                <w:color w:val="44546A"/>
                <w:sz w:val="17"/>
                <w:szCs w:val="17"/>
                <w:lang w:eastAsia="en-US"/>
              </w:rPr>
              <w:t>3.1: Improved infrastructure provides access to education</w:t>
            </w:r>
            <w:r w:rsidR="00FF4BD9">
              <w:rPr>
                <w:rFonts w:ascii="Calibri" w:hAnsi="Calibri"/>
                <w:color w:val="44546A"/>
                <w:sz w:val="17"/>
                <w:szCs w:val="17"/>
                <w:lang w:eastAsia="en-US"/>
              </w:rPr>
              <w:t xml:space="preserve"> </w:t>
            </w:r>
          </w:p>
        </w:tc>
        <w:tc>
          <w:tcPr>
            <w:tcW w:w="1229" w:type="pct"/>
            <w:tcMar>
              <w:top w:w="0" w:type="dxa"/>
              <w:left w:w="108" w:type="dxa"/>
              <w:bottom w:w="0" w:type="dxa"/>
              <w:right w:w="108" w:type="dxa"/>
            </w:tcMar>
            <w:hideMark/>
          </w:tcPr>
          <w:p w14:paraId="13098DC2" w14:textId="77777777" w:rsidR="00552C02" w:rsidRPr="0061204C" w:rsidRDefault="00552C02" w:rsidP="00877168">
            <w:pPr>
              <w:spacing w:before="40" w:after="40" w:line="200" w:lineRule="atLeast"/>
              <w:rPr>
                <w:rFonts w:ascii="Calibri" w:hAnsi="Calibri"/>
                <w:iCs/>
                <w:color w:val="44546A"/>
                <w:sz w:val="17"/>
                <w:szCs w:val="17"/>
                <w:lang w:eastAsia="en-AU"/>
              </w:rPr>
            </w:pPr>
            <w:r w:rsidRPr="0061204C">
              <w:rPr>
                <w:iCs/>
                <w:color w:val="44546A"/>
                <w:sz w:val="17"/>
                <w:szCs w:val="17"/>
                <w:lang w:eastAsia="en-AU"/>
              </w:rPr>
              <w:t xml:space="preserve">Number of school buildings constructed, maintained, refurbished or rehabilitated </w:t>
            </w:r>
            <w:r w:rsidRPr="0061204C">
              <w:rPr>
                <w:sz w:val="17"/>
                <w:szCs w:val="17"/>
              </w:rPr>
              <w:t>(PAF Indicator 11)</w:t>
            </w:r>
          </w:p>
        </w:tc>
        <w:tc>
          <w:tcPr>
            <w:tcW w:w="848" w:type="pct"/>
            <w:tcMar>
              <w:top w:w="0" w:type="dxa"/>
              <w:left w:w="108" w:type="dxa"/>
              <w:bottom w:w="0" w:type="dxa"/>
              <w:right w:w="108" w:type="dxa"/>
            </w:tcMar>
          </w:tcPr>
          <w:p w14:paraId="70900B2A" w14:textId="77777777" w:rsidR="00552C02" w:rsidRPr="0061204C" w:rsidRDefault="00552C02" w:rsidP="00877168">
            <w:pPr>
              <w:pStyle w:val="Default"/>
              <w:rPr>
                <w:iCs/>
                <w:color w:val="44546A"/>
                <w:sz w:val="17"/>
                <w:szCs w:val="17"/>
                <w:lang w:val="en-GB"/>
              </w:rPr>
            </w:pPr>
            <w:r>
              <w:rPr>
                <w:iCs/>
                <w:color w:val="44546A"/>
                <w:sz w:val="17"/>
                <w:szCs w:val="17"/>
                <w:lang w:val="en-GB"/>
              </w:rPr>
              <w:t>7</w:t>
            </w:r>
            <w:r w:rsidRPr="0061204C">
              <w:rPr>
                <w:iCs/>
                <w:color w:val="44546A"/>
                <w:sz w:val="17"/>
                <w:szCs w:val="17"/>
                <w:lang w:val="en-GB"/>
              </w:rPr>
              <w:t>8</w:t>
            </w:r>
          </w:p>
          <w:p w14:paraId="6109333B" w14:textId="77777777" w:rsidR="00552C02" w:rsidRPr="0061204C" w:rsidRDefault="00552C02" w:rsidP="00877168">
            <w:pPr>
              <w:spacing w:before="40" w:after="40" w:line="200" w:lineRule="atLeast"/>
              <w:rPr>
                <w:rFonts w:ascii="Helvetica" w:hAnsi="Helvetica" w:cs="Helvetica"/>
                <w:sz w:val="17"/>
                <w:szCs w:val="17"/>
                <w:lang w:eastAsia="en-AU"/>
              </w:rPr>
            </w:pPr>
          </w:p>
        </w:tc>
        <w:tc>
          <w:tcPr>
            <w:tcW w:w="721" w:type="pct"/>
            <w:shd w:val="clear" w:color="auto" w:fill="FFC000"/>
            <w:tcMar>
              <w:top w:w="0" w:type="dxa"/>
              <w:left w:w="108" w:type="dxa"/>
              <w:bottom w:w="0" w:type="dxa"/>
              <w:right w:w="108" w:type="dxa"/>
            </w:tcMar>
            <w:hideMark/>
          </w:tcPr>
          <w:p w14:paraId="38FF4AB5" w14:textId="77777777" w:rsidR="00552C02" w:rsidRPr="00415F72" w:rsidRDefault="00552C02" w:rsidP="00877168">
            <w:pPr>
              <w:spacing w:before="40" w:after="40" w:line="200" w:lineRule="atLeast"/>
              <w:jc w:val="center"/>
              <w:rPr>
                <w:rFonts w:ascii="Helvetica" w:hAnsi="Helvetica" w:cs="Helvetica"/>
                <w:color w:val="FFFFFF"/>
                <w:sz w:val="17"/>
                <w:szCs w:val="17"/>
                <w:lang w:eastAsia="en-AU"/>
              </w:rPr>
            </w:pPr>
            <w:r w:rsidRPr="00415F72">
              <w:rPr>
                <w:rFonts w:ascii="Helvetica" w:hAnsi="Helvetica" w:cs="Helvetica"/>
                <w:color w:val="FFFFFF"/>
                <w:sz w:val="17"/>
                <w:szCs w:val="17"/>
                <w:lang w:eastAsia="en-AU"/>
              </w:rPr>
              <w:t>Partly Achieved</w:t>
            </w:r>
          </w:p>
        </w:tc>
        <w:tc>
          <w:tcPr>
            <w:tcW w:w="762" w:type="pct"/>
            <w:tcMar>
              <w:top w:w="0" w:type="dxa"/>
              <w:left w:w="108" w:type="dxa"/>
              <w:bottom w:w="0" w:type="dxa"/>
              <w:right w:w="108" w:type="dxa"/>
            </w:tcMar>
            <w:hideMark/>
          </w:tcPr>
          <w:p w14:paraId="34E1C74A" w14:textId="77777777" w:rsidR="00552C02" w:rsidRPr="00415F72" w:rsidRDefault="00552C02" w:rsidP="00877168">
            <w:pPr>
              <w:pStyle w:val="TableTextEntries"/>
              <w:keepNext/>
              <w:rPr>
                <w:rFonts w:ascii="Calibri" w:hAnsi="Calibri"/>
                <w:color w:val="44546A"/>
                <w:lang w:val="en-GB" w:eastAsia="en-AU"/>
              </w:rPr>
            </w:pPr>
            <w:r w:rsidRPr="00415F72">
              <w:rPr>
                <w:rFonts w:ascii="Calibri" w:hAnsi="Calibri"/>
                <w:color w:val="44546A"/>
                <w:lang w:val="en-GB" w:eastAsia="en-AU"/>
              </w:rPr>
              <w:t>66</w:t>
            </w:r>
          </w:p>
        </w:tc>
        <w:tc>
          <w:tcPr>
            <w:tcW w:w="762" w:type="pct"/>
          </w:tcPr>
          <w:p w14:paraId="54A72AF0" w14:textId="77777777" w:rsidR="00552C02" w:rsidRPr="00415F72" w:rsidRDefault="00552C02" w:rsidP="005B59E7">
            <w:pPr>
              <w:pStyle w:val="TableTextEntries"/>
              <w:keepNext/>
              <w:jc w:val="center"/>
              <w:rPr>
                <w:rFonts w:ascii="Calibri" w:hAnsi="Calibri"/>
                <w:color w:val="44546A"/>
                <w:lang w:val="en-GB" w:eastAsia="en-AU"/>
              </w:rPr>
            </w:pPr>
            <w:r w:rsidRPr="00552C02">
              <w:rPr>
                <w:rFonts w:ascii="Calibri" w:hAnsi="Calibri"/>
                <w:color w:val="44546A"/>
                <w:lang w:val="en-GB" w:eastAsia="en-AU"/>
              </w:rPr>
              <w:t>98</w:t>
            </w:r>
          </w:p>
        </w:tc>
      </w:tr>
      <w:tr w:rsidR="00552C02" w:rsidRPr="006457D2" w14:paraId="1EA35910" w14:textId="77777777" w:rsidTr="00B434A5">
        <w:tc>
          <w:tcPr>
            <w:tcW w:w="678" w:type="pct"/>
            <w:tcMar>
              <w:top w:w="57" w:type="dxa"/>
              <w:left w:w="108" w:type="dxa"/>
              <w:bottom w:w="57" w:type="dxa"/>
              <w:right w:w="108" w:type="dxa"/>
            </w:tcMar>
            <w:hideMark/>
          </w:tcPr>
          <w:p w14:paraId="72A45E9E" w14:textId="77777777" w:rsidR="00552C02" w:rsidRPr="0061204C" w:rsidRDefault="00552C02" w:rsidP="00877168">
            <w:pPr>
              <w:pStyle w:val="BodyText"/>
              <w:rPr>
                <w:rFonts w:ascii="Calibri" w:hAnsi="Calibri"/>
                <w:color w:val="44546A"/>
                <w:sz w:val="17"/>
                <w:szCs w:val="17"/>
                <w:lang w:eastAsia="en-US"/>
              </w:rPr>
            </w:pPr>
            <w:r w:rsidRPr="0061204C">
              <w:rPr>
                <w:rFonts w:ascii="Calibri" w:hAnsi="Calibri"/>
                <w:color w:val="44546A"/>
                <w:sz w:val="17"/>
                <w:szCs w:val="17"/>
                <w:lang w:eastAsia="en-US"/>
              </w:rPr>
              <w:t>3.2: The quality of key services and access to education are improved</w:t>
            </w:r>
          </w:p>
        </w:tc>
        <w:tc>
          <w:tcPr>
            <w:tcW w:w="1229" w:type="pct"/>
            <w:tcMar>
              <w:top w:w="0" w:type="dxa"/>
              <w:left w:w="108" w:type="dxa"/>
              <w:bottom w:w="0" w:type="dxa"/>
              <w:right w:w="108" w:type="dxa"/>
            </w:tcMar>
            <w:hideMark/>
          </w:tcPr>
          <w:p w14:paraId="26CEC0CC" w14:textId="77777777" w:rsidR="00552C02" w:rsidRPr="0061204C" w:rsidRDefault="00552C02" w:rsidP="00877168">
            <w:pPr>
              <w:spacing w:before="40" w:after="40" w:line="200" w:lineRule="atLeast"/>
              <w:rPr>
                <w:rFonts w:ascii="Calibri" w:hAnsi="Calibri"/>
                <w:iCs/>
                <w:color w:val="44546A"/>
                <w:sz w:val="17"/>
                <w:szCs w:val="17"/>
                <w:lang w:eastAsia="en-AU"/>
              </w:rPr>
            </w:pPr>
            <w:r w:rsidRPr="0061204C">
              <w:rPr>
                <w:iCs/>
                <w:color w:val="44546A"/>
                <w:sz w:val="17"/>
                <w:szCs w:val="17"/>
              </w:rPr>
              <w:t>Number of additional girls and boys enrolled in school</w:t>
            </w:r>
          </w:p>
        </w:tc>
        <w:tc>
          <w:tcPr>
            <w:tcW w:w="848" w:type="pct"/>
            <w:tcMar>
              <w:top w:w="0" w:type="dxa"/>
              <w:left w:w="108" w:type="dxa"/>
              <w:bottom w:w="0" w:type="dxa"/>
              <w:right w:w="108" w:type="dxa"/>
            </w:tcMar>
            <w:hideMark/>
          </w:tcPr>
          <w:p w14:paraId="64C70D13" w14:textId="77777777" w:rsidR="00552C02" w:rsidRPr="0061204C" w:rsidRDefault="00552C02" w:rsidP="0061204C">
            <w:pPr>
              <w:pStyle w:val="Default"/>
              <w:rPr>
                <w:rFonts w:ascii="Helvetica" w:hAnsi="Helvetica" w:cs="Helvetica"/>
                <w:color w:val="44546A"/>
                <w:sz w:val="17"/>
                <w:szCs w:val="17"/>
                <w:lang w:eastAsia="en-AU"/>
              </w:rPr>
            </w:pPr>
            <w:r w:rsidRPr="0061204C">
              <w:rPr>
                <w:iCs/>
                <w:color w:val="44546A"/>
                <w:sz w:val="17"/>
                <w:szCs w:val="17"/>
                <w:lang w:val="en-GB"/>
              </w:rPr>
              <w:t>100,000</w:t>
            </w:r>
            <w:r w:rsidRPr="0061204C">
              <w:rPr>
                <w:rFonts w:ascii="Helvetica" w:hAnsi="Helvetica" w:cs="Helvetica"/>
                <w:iCs/>
                <w:sz w:val="16"/>
                <w:szCs w:val="16"/>
                <w:lang w:eastAsia="en-AU"/>
              </w:rPr>
              <w:t xml:space="preserve"> </w:t>
            </w:r>
          </w:p>
        </w:tc>
        <w:tc>
          <w:tcPr>
            <w:tcW w:w="721" w:type="pct"/>
            <w:shd w:val="clear" w:color="auto" w:fill="FFC000"/>
            <w:tcMar>
              <w:top w:w="0" w:type="dxa"/>
              <w:left w:w="108" w:type="dxa"/>
              <w:bottom w:w="0" w:type="dxa"/>
              <w:right w:w="108" w:type="dxa"/>
            </w:tcMar>
            <w:hideMark/>
          </w:tcPr>
          <w:p w14:paraId="434D903B" w14:textId="77777777" w:rsidR="00552C02" w:rsidRPr="00004D56" w:rsidRDefault="00552C02" w:rsidP="00354A00">
            <w:pPr>
              <w:spacing w:before="40" w:after="40" w:line="200" w:lineRule="atLeast"/>
              <w:jc w:val="center"/>
              <w:rPr>
                <w:rFonts w:ascii="Helvetica" w:hAnsi="Helvetica" w:cs="Helvetica"/>
                <w:color w:val="FFFFFF"/>
                <w:sz w:val="17"/>
                <w:szCs w:val="17"/>
                <w:highlight w:val="yellow"/>
                <w:lang w:val="en-AU" w:eastAsia="en-AU"/>
              </w:rPr>
            </w:pPr>
            <w:r w:rsidRPr="006D08C3">
              <w:rPr>
                <w:rFonts w:ascii="Helvetica" w:hAnsi="Helvetica" w:cs="Helvetica"/>
                <w:color w:val="FFFFFF"/>
                <w:sz w:val="17"/>
                <w:szCs w:val="17"/>
                <w:lang w:eastAsia="en-AU"/>
              </w:rPr>
              <w:t>Partly Achieved</w:t>
            </w:r>
          </w:p>
        </w:tc>
        <w:tc>
          <w:tcPr>
            <w:tcW w:w="762" w:type="pct"/>
            <w:tcMar>
              <w:top w:w="0" w:type="dxa"/>
              <w:left w:w="108" w:type="dxa"/>
              <w:bottom w:w="0" w:type="dxa"/>
              <w:right w:w="108" w:type="dxa"/>
            </w:tcMar>
          </w:tcPr>
          <w:p w14:paraId="11A30AB7" w14:textId="77777777" w:rsidR="00552C02" w:rsidRPr="00004D56" w:rsidRDefault="00552C02" w:rsidP="00BC4AA1">
            <w:pPr>
              <w:pStyle w:val="TableTextEntries"/>
              <w:keepNext/>
              <w:rPr>
                <w:rFonts w:ascii="Calibri" w:hAnsi="Calibri"/>
                <w:color w:val="44546A"/>
                <w:highlight w:val="yellow"/>
                <w:lang w:val="en-GB" w:eastAsia="en-AU"/>
              </w:rPr>
            </w:pPr>
            <w:r w:rsidRPr="006D08C3">
              <w:rPr>
                <w:rFonts w:ascii="Calibri" w:hAnsi="Calibri"/>
                <w:color w:val="44546A"/>
                <w:lang w:val="en-GB" w:eastAsia="en-AU"/>
              </w:rPr>
              <w:t>97,147</w:t>
            </w:r>
          </w:p>
        </w:tc>
        <w:tc>
          <w:tcPr>
            <w:tcW w:w="762" w:type="pct"/>
          </w:tcPr>
          <w:p w14:paraId="36DEDBCF" w14:textId="77777777" w:rsidR="00552C02" w:rsidRPr="006D08C3" w:rsidRDefault="00552C02" w:rsidP="005B59E7">
            <w:pPr>
              <w:pStyle w:val="TableTextEntries"/>
              <w:keepNext/>
              <w:jc w:val="center"/>
              <w:rPr>
                <w:rFonts w:ascii="Calibri" w:hAnsi="Calibri"/>
                <w:color w:val="44546A"/>
                <w:lang w:val="en-GB" w:eastAsia="en-AU"/>
              </w:rPr>
            </w:pPr>
            <w:r w:rsidRPr="00552C02">
              <w:rPr>
                <w:rFonts w:ascii="Calibri" w:hAnsi="Calibri"/>
                <w:color w:val="44546A"/>
                <w:lang w:val="en-GB" w:eastAsia="en-AU"/>
              </w:rPr>
              <w:t>100,000</w:t>
            </w:r>
          </w:p>
        </w:tc>
      </w:tr>
      <w:tr w:rsidR="00B434A5" w:rsidRPr="006457D2" w14:paraId="167BBA38" w14:textId="77777777" w:rsidTr="00703132">
        <w:tc>
          <w:tcPr>
            <w:tcW w:w="678" w:type="pct"/>
            <w:tcBorders>
              <w:bottom w:val="single" w:sz="12" w:space="0" w:color="000000" w:themeColor="text1"/>
            </w:tcBorders>
            <w:tcMar>
              <w:top w:w="57" w:type="dxa"/>
              <w:left w:w="108" w:type="dxa"/>
              <w:bottom w:w="57" w:type="dxa"/>
              <w:right w:w="108" w:type="dxa"/>
            </w:tcMar>
          </w:tcPr>
          <w:p w14:paraId="7FA6C5E0" w14:textId="39FC078F" w:rsidR="00B434A5" w:rsidRPr="0061204C" w:rsidRDefault="00B434A5" w:rsidP="00877168">
            <w:pPr>
              <w:pStyle w:val="BodyText"/>
              <w:rPr>
                <w:rFonts w:ascii="Calibri" w:hAnsi="Calibri"/>
                <w:color w:val="44546A"/>
                <w:sz w:val="17"/>
                <w:szCs w:val="17"/>
                <w:lang w:eastAsia="en-US"/>
              </w:rPr>
            </w:pPr>
            <w:r w:rsidRPr="006457D2">
              <w:rPr>
                <w:rFonts w:ascii="Calibri" w:hAnsi="Calibri"/>
                <w:color w:val="44546A"/>
                <w:sz w:val="17"/>
                <w:szCs w:val="17"/>
                <w:lang w:eastAsia="en-US"/>
              </w:rPr>
              <w:t>3.3:  The quality of key services in health and HIV/AIDS are improved</w:t>
            </w:r>
          </w:p>
        </w:tc>
        <w:tc>
          <w:tcPr>
            <w:tcW w:w="1229" w:type="pct"/>
            <w:tcBorders>
              <w:bottom w:val="single" w:sz="12" w:space="0" w:color="000000" w:themeColor="text1"/>
            </w:tcBorders>
            <w:tcMar>
              <w:top w:w="0" w:type="dxa"/>
              <w:left w:w="108" w:type="dxa"/>
              <w:bottom w:w="0" w:type="dxa"/>
              <w:right w:w="108" w:type="dxa"/>
            </w:tcMar>
          </w:tcPr>
          <w:p w14:paraId="3C02104C" w14:textId="17CA3973" w:rsidR="00B434A5" w:rsidRPr="0061204C" w:rsidRDefault="00703132" w:rsidP="00877168">
            <w:pPr>
              <w:spacing w:before="40" w:after="40" w:line="200" w:lineRule="atLeast"/>
              <w:rPr>
                <w:iCs/>
                <w:color w:val="44546A"/>
                <w:sz w:val="17"/>
                <w:szCs w:val="17"/>
              </w:rPr>
            </w:pPr>
            <w:r w:rsidRPr="006457D2">
              <w:rPr>
                <w:iCs/>
                <w:color w:val="44546A"/>
                <w:sz w:val="17"/>
                <w:szCs w:val="17"/>
              </w:rPr>
              <w:t>Number of additional births attended by a skilled birth attendant</w:t>
            </w:r>
          </w:p>
        </w:tc>
        <w:tc>
          <w:tcPr>
            <w:tcW w:w="848" w:type="pct"/>
            <w:tcBorders>
              <w:bottom w:val="single" w:sz="12" w:space="0" w:color="000000" w:themeColor="text1"/>
            </w:tcBorders>
            <w:tcMar>
              <w:top w:w="0" w:type="dxa"/>
              <w:left w:w="108" w:type="dxa"/>
              <w:bottom w:w="0" w:type="dxa"/>
              <w:right w:w="108" w:type="dxa"/>
            </w:tcMar>
          </w:tcPr>
          <w:p w14:paraId="3637F912" w14:textId="5EFACDF1" w:rsidR="00B434A5" w:rsidRPr="0061204C" w:rsidRDefault="00703132" w:rsidP="0061204C">
            <w:pPr>
              <w:pStyle w:val="Default"/>
              <w:rPr>
                <w:iCs/>
                <w:color w:val="44546A"/>
                <w:sz w:val="17"/>
                <w:szCs w:val="17"/>
                <w:lang w:val="en-GB"/>
              </w:rPr>
            </w:pPr>
            <w:r w:rsidRPr="00703132">
              <w:rPr>
                <w:iCs/>
                <w:color w:val="44546A"/>
                <w:sz w:val="17"/>
                <w:szCs w:val="17"/>
                <w:lang w:val="en-GB"/>
              </w:rPr>
              <w:t>9,500</w:t>
            </w:r>
          </w:p>
        </w:tc>
        <w:tc>
          <w:tcPr>
            <w:tcW w:w="721" w:type="pct"/>
            <w:tcBorders>
              <w:bottom w:val="single" w:sz="12" w:space="0" w:color="000000" w:themeColor="text1"/>
            </w:tcBorders>
            <w:shd w:val="clear" w:color="auto" w:fill="auto"/>
            <w:tcMar>
              <w:top w:w="0" w:type="dxa"/>
              <w:left w:w="108" w:type="dxa"/>
              <w:bottom w:w="0" w:type="dxa"/>
              <w:right w:w="108" w:type="dxa"/>
            </w:tcMar>
          </w:tcPr>
          <w:p w14:paraId="1C5AE9A1" w14:textId="312CC53A" w:rsidR="00B434A5" w:rsidRPr="009C7EF7" w:rsidRDefault="00703132" w:rsidP="00354A00">
            <w:pPr>
              <w:spacing w:before="40" w:after="40" w:line="200" w:lineRule="atLeast"/>
              <w:jc w:val="center"/>
              <w:rPr>
                <w:rFonts w:ascii="Calibri" w:hAnsi="Calibri" w:cs="Times New Roman"/>
                <w:iCs/>
                <w:color w:val="44546A"/>
                <w:sz w:val="17"/>
                <w:szCs w:val="17"/>
              </w:rPr>
            </w:pPr>
            <w:r w:rsidRPr="009C7EF7">
              <w:rPr>
                <w:rFonts w:ascii="Calibri" w:hAnsi="Calibri" w:cs="Times New Roman"/>
                <w:iCs/>
                <w:color w:val="44546A"/>
                <w:sz w:val="17"/>
                <w:szCs w:val="17"/>
              </w:rPr>
              <w:t>N/A</w:t>
            </w:r>
          </w:p>
        </w:tc>
        <w:tc>
          <w:tcPr>
            <w:tcW w:w="762" w:type="pct"/>
            <w:tcBorders>
              <w:bottom w:val="single" w:sz="12" w:space="0" w:color="000000" w:themeColor="text1"/>
            </w:tcBorders>
            <w:tcMar>
              <w:top w:w="0" w:type="dxa"/>
              <w:left w:w="108" w:type="dxa"/>
              <w:bottom w:w="0" w:type="dxa"/>
              <w:right w:w="108" w:type="dxa"/>
            </w:tcMar>
          </w:tcPr>
          <w:p w14:paraId="66C180E8" w14:textId="36282531" w:rsidR="00B434A5" w:rsidRPr="009C7EF7" w:rsidRDefault="00703132" w:rsidP="00BC4AA1">
            <w:pPr>
              <w:pStyle w:val="TableTextEntries"/>
              <w:keepNext/>
              <w:rPr>
                <w:rFonts w:ascii="Calibri" w:eastAsiaTheme="minorHAnsi" w:hAnsi="Calibri"/>
                <w:color w:val="44546A"/>
                <w:lang w:val="en-GB"/>
              </w:rPr>
            </w:pPr>
            <w:r w:rsidRPr="009C7EF7">
              <w:rPr>
                <w:rFonts w:ascii="Calibri" w:eastAsiaTheme="minorHAnsi" w:hAnsi="Calibri"/>
                <w:color w:val="44546A"/>
                <w:lang w:val="en-GB"/>
              </w:rPr>
              <w:t>Data not available at time of reporting</w:t>
            </w:r>
          </w:p>
        </w:tc>
        <w:tc>
          <w:tcPr>
            <w:tcW w:w="762" w:type="pct"/>
            <w:tcBorders>
              <w:bottom w:val="single" w:sz="12" w:space="0" w:color="000000" w:themeColor="text1"/>
            </w:tcBorders>
          </w:tcPr>
          <w:p w14:paraId="287B1FB2" w14:textId="06D92560" w:rsidR="00B434A5" w:rsidRPr="00552C02" w:rsidRDefault="00290D8F" w:rsidP="005B59E7">
            <w:pPr>
              <w:pStyle w:val="TableTextEntries"/>
              <w:keepNext/>
              <w:jc w:val="center"/>
              <w:rPr>
                <w:rFonts w:ascii="Calibri" w:hAnsi="Calibri"/>
                <w:color w:val="44546A"/>
                <w:lang w:val="en-GB" w:eastAsia="en-AU"/>
              </w:rPr>
            </w:pPr>
            <w:r w:rsidRPr="00290D8F">
              <w:rPr>
                <w:rFonts w:ascii="Calibri" w:eastAsiaTheme="minorHAnsi" w:hAnsi="Calibri"/>
                <w:color w:val="44546A"/>
                <w:lang w:val="en-GB"/>
              </w:rPr>
              <w:t>9,500</w:t>
            </w:r>
          </w:p>
        </w:tc>
      </w:tr>
    </w:tbl>
    <w:p w14:paraId="7B9C6B83" w14:textId="77777777" w:rsidR="00BD086D" w:rsidRDefault="00BD086D" w:rsidP="00BD086D">
      <w:pPr>
        <w:spacing w:before="20" w:after="20" w:line="180" w:lineRule="atLeast"/>
        <w:jc w:val="both"/>
        <w:rPr>
          <w:rFonts w:ascii="Calibri" w:hAnsi="Calibri"/>
          <w:b/>
          <w:bCs/>
          <w:color w:val="44546A"/>
          <w:sz w:val="16"/>
          <w:szCs w:val="16"/>
        </w:rPr>
      </w:pPr>
      <w:r>
        <w:rPr>
          <w:b/>
          <w:bCs/>
          <w:sz w:val="16"/>
          <w:szCs w:val="16"/>
        </w:rPr>
        <w:t xml:space="preserve">Note: </w:t>
      </w:r>
    </w:p>
    <w:p w14:paraId="3AD58357" w14:textId="77777777" w:rsidR="00BD086D" w:rsidRDefault="00BD086D" w:rsidP="00BD086D">
      <w:pPr>
        <w:spacing w:before="20" w:after="20" w:line="180" w:lineRule="atLeast"/>
        <w:jc w:val="both"/>
        <w:rPr>
          <w:b/>
          <w:bCs/>
          <w:color w:val="auto"/>
          <w:sz w:val="16"/>
          <w:szCs w:val="16"/>
          <w:lang w:val="en-AU"/>
        </w:rPr>
      </w:pPr>
      <w:r>
        <w:rPr>
          <w:rFonts w:ascii="Webdings" w:hAnsi="Webdings"/>
          <w:b/>
          <w:bCs/>
          <w:color w:val="72AF2F"/>
          <w:sz w:val="16"/>
          <w:szCs w:val="16"/>
        </w:rPr>
        <w:t></w:t>
      </w:r>
      <w:r>
        <w:rPr>
          <w:b/>
          <w:bCs/>
          <w:sz w:val="16"/>
          <w:szCs w:val="16"/>
        </w:rPr>
        <w:t> </w:t>
      </w:r>
      <w:r>
        <w:rPr>
          <w:b/>
          <w:bCs/>
          <w:sz w:val="16"/>
          <w:szCs w:val="16"/>
        </w:rPr>
        <w:t xml:space="preserve"> Achieved.  Significant progress has been made and the performance benchmark was achieved </w:t>
      </w:r>
    </w:p>
    <w:p w14:paraId="2C1C7919" w14:textId="77777777" w:rsidR="00BD086D" w:rsidRDefault="00BD086D" w:rsidP="00BD086D">
      <w:pPr>
        <w:spacing w:before="20" w:after="20" w:line="180" w:lineRule="atLeast"/>
        <w:jc w:val="both"/>
        <w:rPr>
          <w:b/>
          <w:bCs/>
          <w:sz w:val="16"/>
          <w:szCs w:val="16"/>
        </w:rPr>
      </w:pPr>
      <w:r>
        <w:rPr>
          <w:rFonts w:ascii="Webdings" w:hAnsi="Webdings"/>
          <w:b/>
          <w:bCs/>
          <w:color w:val="E36C0A"/>
          <w:sz w:val="16"/>
          <w:szCs w:val="16"/>
        </w:rPr>
        <w:t></w:t>
      </w:r>
      <w:r>
        <w:rPr>
          <w:b/>
          <w:bCs/>
          <w:sz w:val="16"/>
          <w:szCs w:val="16"/>
        </w:rPr>
        <w:t> </w:t>
      </w:r>
      <w:r>
        <w:rPr>
          <w:b/>
          <w:bCs/>
          <w:sz w:val="16"/>
          <w:szCs w:val="16"/>
        </w:rPr>
        <w:t xml:space="preserve"> Partly achieved.  Some progress has been made towards achieving the performance benchmark, but progress was less than anticipated. </w:t>
      </w:r>
    </w:p>
    <w:p w14:paraId="5B5E7B6A" w14:textId="77777777" w:rsidR="00BD086D" w:rsidRDefault="00BD086D" w:rsidP="00BD086D">
      <w:pPr>
        <w:spacing w:before="20" w:after="20" w:line="180" w:lineRule="atLeast"/>
        <w:jc w:val="both"/>
        <w:rPr>
          <w:b/>
          <w:bCs/>
          <w:sz w:val="16"/>
          <w:szCs w:val="16"/>
        </w:rPr>
      </w:pPr>
      <w:r>
        <w:rPr>
          <w:rFonts w:ascii="Webdings" w:hAnsi="Webdings"/>
          <w:b/>
          <w:bCs/>
          <w:color w:val="FF0000"/>
          <w:sz w:val="16"/>
          <w:szCs w:val="16"/>
        </w:rPr>
        <w:t></w:t>
      </w:r>
      <w:r>
        <w:rPr>
          <w:b/>
          <w:bCs/>
          <w:sz w:val="16"/>
          <w:szCs w:val="16"/>
        </w:rPr>
        <w:t> </w:t>
      </w:r>
      <w:r>
        <w:rPr>
          <w:b/>
          <w:bCs/>
          <w:sz w:val="16"/>
          <w:szCs w:val="16"/>
        </w:rPr>
        <w:t xml:space="preserve"> Not achieved. Progress towards the performance benchmark has been significantly below expectations</w:t>
      </w:r>
    </w:p>
    <w:p w14:paraId="52B16859" w14:textId="77777777" w:rsidR="0068170A" w:rsidRDefault="0068170A" w:rsidP="0068170A">
      <w:pPr>
        <w:pStyle w:val="Default"/>
        <w:rPr>
          <w:sz w:val="16"/>
          <w:szCs w:val="16"/>
        </w:rPr>
      </w:pPr>
    </w:p>
    <w:p w14:paraId="7AFD0C2C" w14:textId="77777777" w:rsidR="00CC0F23" w:rsidRDefault="00CC0F23" w:rsidP="0068170A">
      <w:pPr>
        <w:pStyle w:val="Default"/>
        <w:rPr>
          <w:sz w:val="16"/>
          <w:szCs w:val="16"/>
        </w:rPr>
      </w:pPr>
      <w:r>
        <w:rPr>
          <w:sz w:val="16"/>
          <w:szCs w:val="16"/>
        </w:rPr>
        <w:t xml:space="preserve">*Excludes number of police and law and justice officials trained. </w:t>
      </w:r>
    </w:p>
    <w:p w14:paraId="58C8FF20" w14:textId="77777777" w:rsidR="00BD086D" w:rsidRPr="00883ADA" w:rsidRDefault="00CC0F23" w:rsidP="00883ADA">
      <w:pPr>
        <w:spacing w:line="240" w:lineRule="auto"/>
        <w:rPr>
          <w:color w:val="auto"/>
        </w:rPr>
      </w:pPr>
      <w:r w:rsidRPr="0068170A">
        <w:rPr>
          <w:color w:val="auto"/>
          <w:sz w:val="16"/>
          <w:szCs w:val="16"/>
        </w:rPr>
        <w:t xml:space="preserve">**These benchmarks reflect results from Australia’s programs across </w:t>
      </w:r>
      <w:r w:rsidR="00FE3CEC">
        <w:rPr>
          <w:color w:val="auto"/>
          <w:sz w:val="16"/>
          <w:szCs w:val="16"/>
        </w:rPr>
        <w:t>Papua New Guinea</w:t>
      </w:r>
      <w:r w:rsidRPr="0068170A">
        <w:rPr>
          <w:color w:val="auto"/>
          <w:sz w:val="16"/>
          <w:szCs w:val="16"/>
        </w:rPr>
        <w:t>, including in the Autonomous Region of Bougainville</w:t>
      </w:r>
      <w:r w:rsidR="00F00CFB">
        <w:rPr>
          <w:color w:val="auto"/>
          <w:sz w:val="16"/>
          <w:szCs w:val="16"/>
        </w:rPr>
        <w:t>.</w:t>
      </w:r>
    </w:p>
    <w:p w14:paraId="31F0544E" w14:textId="77777777" w:rsidR="00BD086D" w:rsidRDefault="0074568D" w:rsidP="00883ADA">
      <w:pPr>
        <w:spacing w:line="240" w:lineRule="auto"/>
        <w:rPr>
          <w:color w:val="auto"/>
          <w:sz w:val="16"/>
          <w:szCs w:val="16"/>
        </w:rPr>
      </w:pPr>
      <w:r>
        <w:rPr>
          <w:color w:val="auto"/>
          <w:sz w:val="16"/>
          <w:szCs w:val="16"/>
        </w:rPr>
        <w:t>***This performance benchmark</w:t>
      </w:r>
      <w:r w:rsidR="00CC0F23" w:rsidRPr="0068170A">
        <w:rPr>
          <w:color w:val="auto"/>
          <w:sz w:val="16"/>
          <w:szCs w:val="16"/>
        </w:rPr>
        <w:t xml:space="preserve"> captures not only our aid for trade investments but also our investments in private sector led growth, such as support to the Asia Pacific Technical College-</w:t>
      </w:r>
      <w:r w:rsidR="00FE3CEC">
        <w:rPr>
          <w:color w:val="auto"/>
          <w:sz w:val="16"/>
          <w:szCs w:val="16"/>
        </w:rPr>
        <w:t>Papua New Guinea</w:t>
      </w:r>
      <w:r w:rsidR="00F00CFB">
        <w:rPr>
          <w:color w:val="auto"/>
          <w:sz w:val="16"/>
          <w:szCs w:val="16"/>
        </w:rPr>
        <w:t>.</w:t>
      </w:r>
    </w:p>
    <w:p w14:paraId="6BDEFA77" w14:textId="77777777" w:rsidR="003673A4" w:rsidRDefault="00035311" w:rsidP="00035311">
      <w:pPr>
        <w:spacing w:line="240" w:lineRule="auto"/>
        <w:rPr>
          <w:rFonts w:ascii="Franklin Gothic Book" w:eastAsia="Times New Roman" w:hAnsi="Franklin Gothic Book"/>
          <w:b/>
          <w:sz w:val="24"/>
          <w:szCs w:val="24"/>
        </w:rPr>
      </w:pPr>
      <w:r>
        <w:rPr>
          <w:color w:val="auto"/>
          <w:sz w:val="16"/>
          <w:szCs w:val="16"/>
        </w:rPr>
        <w:t>****</w:t>
      </w:r>
      <w:r w:rsidRPr="00035311">
        <w:rPr>
          <w:color w:val="auto"/>
          <w:sz w:val="16"/>
          <w:szCs w:val="16"/>
        </w:rPr>
        <w:t>DFAT aggregate development result, based on a pro-rata assessment of Australia’s financial contribution to the health sector in Papua New Guinea.</w:t>
      </w:r>
    </w:p>
    <w:p w14:paraId="643BA808" w14:textId="77777777" w:rsidR="003673A4" w:rsidRDefault="003673A4" w:rsidP="00BD086D">
      <w:pPr>
        <w:rPr>
          <w:rFonts w:ascii="Franklin Gothic Book" w:eastAsia="Times New Roman" w:hAnsi="Franklin Gothic Book"/>
          <w:b/>
          <w:sz w:val="24"/>
          <w:szCs w:val="24"/>
        </w:rPr>
      </w:pPr>
    </w:p>
    <w:p w14:paraId="5FAA1E09" w14:textId="77777777" w:rsidR="00035311" w:rsidRDefault="00035311" w:rsidP="00BD086D">
      <w:pPr>
        <w:rPr>
          <w:rFonts w:ascii="Franklin Gothic Book" w:eastAsia="Times New Roman" w:hAnsi="Franklin Gothic Book"/>
          <w:b/>
          <w:sz w:val="24"/>
          <w:szCs w:val="24"/>
        </w:rPr>
      </w:pPr>
    </w:p>
    <w:p w14:paraId="1C4F2506" w14:textId="77777777" w:rsidR="00035311" w:rsidRDefault="00035311" w:rsidP="00BD086D">
      <w:pPr>
        <w:rPr>
          <w:rFonts w:ascii="Franklin Gothic Book" w:eastAsia="Times New Roman" w:hAnsi="Franklin Gothic Book"/>
          <w:b/>
          <w:sz w:val="24"/>
          <w:szCs w:val="24"/>
        </w:rPr>
      </w:pPr>
    </w:p>
    <w:p w14:paraId="234C2448" w14:textId="77777777" w:rsidR="0061204C" w:rsidRDefault="0061204C">
      <w:pPr>
        <w:suppressAutoHyphens w:val="0"/>
        <w:spacing w:before="0" w:after="120" w:line="440" w:lineRule="atLeast"/>
        <w:rPr>
          <w:rFonts w:ascii="Franklin Gothic Book" w:eastAsia="Times New Roman" w:hAnsi="Franklin Gothic Book"/>
          <w:b/>
          <w:sz w:val="24"/>
          <w:szCs w:val="24"/>
        </w:rPr>
      </w:pPr>
      <w:r>
        <w:rPr>
          <w:rFonts w:ascii="Franklin Gothic Book" w:eastAsia="Times New Roman" w:hAnsi="Franklin Gothic Book"/>
          <w:b/>
          <w:sz w:val="24"/>
          <w:szCs w:val="24"/>
        </w:rPr>
        <w:br w:type="page"/>
      </w:r>
    </w:p>
    <w:p w14:paraId="3B18B479" w14:textId="77777777" w:rsidR="00400B0F" w:rsidRPr="00627C65" w:rsidRDefault="00400B0F" w:rsidP="00784031">
      <w:pPr>
        <w:pStyle w:val="Subtitle"/>
        <w:numPr>
          <w:ilvl w:val="0"/>
          <w:numId w:val="0"/>
        </w:numPr>
      </w:pPr>
      <w:r w:rsidRPr="00627C65">
        <w:lastRenderedPageBreak/>
        <w:t>Annex C - Evaluation</w:t>
      </w:r>
      <w:r w:rsidR="00EB7ECB">
        <w:t>s</w:t>
      </w:r>
    </w:p>
    <w:p w14:paraId="3DD06963" w14:textId="77777777" w:rsidR="00400B0F" w:rsidRPr="00627C65" w:rsidRDefault="00400B0F" w:rsidP="008C2F58">
      <w:pPr>
        <w:rPr>
          <w:b/>
          <w:sz w:val="24"/>
        </w:rPr>
      </w:pPr>
      <w:r w:rsidRPr="00627C65">
        <w:rPr>
          <w:b/>
          <w:sz w:val="24"/>
        </w:rPr>
        <w:t xml:space="preserve">List of program prioritised evaluations </w:t>
      </w:r>
      <w:r w:rsidR="00A91E88" w:rsidRPr="00627C65">
        <w:rPr>
          <w:b/>
          <w:sz w:val="24"/>
        </w:rPr>
        <w:t xml:space="preserve">conducted in </w:t>
      </w:r>
      <w:r w:rsidR="00F34091" w:rsidRPr="00627C65">
        <w:rPr>
          <w:b/>
          <w:sz w:val="24"/>
        </w:rPr>
        <w:t>2017-18</w:t>
      </w:r>
      <w:r w:rsidRPr="00627C65">
        <w:rPr>
          <w:b/>
          <w:sz w:val="24"/>
        </w:rPr>
        <w:t xml:space="preserve"> </w:t>
      </w:r>
    </w:p>
    <w:tbl>
      <w:tblPr>
        <w:tblStyle w:val="TableGridLight"/>
        <w:tblW w:w="0" w:type="auto"/>
        <w:tblLook w:val="0600" w:firstRow="0" w:lastRow="0" w:firstColumn="0" w:lastColumn="0" w:noHBand="1" w:noVBand="1"/>
      </w:tblPr>
      <w:tblGrid>
        <w:gridCol w:w="2414"/>
        <w:gridCol w:w="2327"/>
        <w:gridCol w:w="2415"/>
        <w:gridCol w:w="2186"/>
        <w:gridCol w:w="2298"/>
        <w:gridCol w:w="2307"/>
      </w:tblGrid>
      <w:tr w:rsidR="00400B0F" w:rsidRPr="00627C65" w14:paraId="5BC716E1" w14:textId="77777777" w:rsidTr="00FA0F69">
        <w:tc>
          <w:tcPr>
            <w:tcW w:w="2414" w:type="dxa"/>
          </w:tcPr>
          <w:p w14:paraId="7F67D639" w14:textId="77777777" w:rsidR="00400B0F" w:rsidRPr="00627C65" w:rsidRDefault="00400B0F" w:rsidP="006F27B1">
            <w:pPr>
              <w:keepLines/>
              <w:spacing w:before="80" w:after="80" w:line="200" w:lineRule="atLeast"/>
              <w:rPr>
                <w:rFonts w:eastAsia="Times New Roman"/>
                <w:b/>
                <w:iCs/>
                <w:szCs w:val="17"/>
              </w:rPr>
            </w:pPr>
            <w:r w:rsidRPr="00627C65">
              <w:rPr>
                <w:rFonts w:eastAsia="Times New Roman"/>
                <w:b/>
                <w:iCs/>
                <w:szCs w:val="17"/>
              </w:rPr>
              <w:t>Evaluation title</w:t>
            </w:r>
          </w:p>
        </w:tc>
        <w:tc>
          <w:tcPr>
            <w:tcW w:w="2327" w:type="dxa"/>
          </w:tcPr>
          <w:p w14:paraId="4D92520D" w14:textId="77777777" w:rsidR="00400B0F" w:rsidRPr="00627C65" w:rsidRDefault="00400B0F" w:rsidP="006F27B1">
            <w:pPr>
              <w:keepLines/>
              <w:spacing w:before="80" w:after="80" w:line="200" w:lineRule="atLeast"/>
              <w:rPr>
                <w:rFonts w:eastAsia="Times New Roman"/>
                <w:b/>
                <w:iCs/>
                <w:szCs w:val="17"/>
              </w:rPr>
            </w:pPr>
            <w:r w:rsidRPr="00627C65">
              <w:rPr>
                <w:rFonts w:eastAsia="Times New Roman"/>
                <w:b/>
                <w:iCs/>
                <w:szCs w:val="17"/>
              </w:rPr>
              <w:t xml:space="preserve">Investment number and name (if applicable) </w:t>
            </w:r>
          </w:p>
        </w:tc>
        <w:tc>
          <w:tcPr>
            <w:tcW w:w="2415" w:type="dxa"/>
          </w:tcPr>
          <w:p w14:paraId="0162949E" w14:textId="77777777" w:rsidR="00400B0F" w:rsidRPr="00627C65" w:rsidRDefault="00400B0F" w:rsidP="006F27B1">
            <w:pPr>
              <w:keepLines/>
              <w:spacing w:before="80" w:after="80" w:line="200" w:lineRule="atLeast"/>
              <w:rPr>
                <w:rFonts w:eastAsia="Times New Roman"/>
                <w:b/>
                <w:iCs/>
                <w:szCs w:val="17"/>
              </w:rPr>
            </w:pPr>
            <w:r w:rsidRPr="00627C65">
              <w:rPr>
                <w:rFonts w:eastAsia="Times New Roman"/>
                <w:b/>
                <w:iCs/>
                <w:szCs w:val="17"/>
              </w:rPr>
              <w:t>Date – planned commencement (month/year)</w:t>
            </w:r>
          </w:p>
        </w:tc>
        <w:tc>
          <w:tcPr>
            <w:tcW w:w="2186" w:type="dxa"/>
          </w:tcPr>
          <w:p w14:paraId="3DEC2759" w14:textId="77777777" w:rsidR="00400B0F" w:rsidRPr="00627C65" w:rsidRDefault="00400B0F" w:rsidP="006F27B1">
            <w:pPr>
              <w:keepLines/>
              <w:spacing w:before="80" w:after="80" w:line="200" w:lineRule="atLeast"/>
              <w:rPr>
                <w:rFonts w:eastAsia="Times New Roman"/>
                <w:b/>
                <w:iCs/>
                <w:szCs w:val="17"/>
              </w:rPr>
            </w:pPr>
            <w:r w:rsidRPr="00627C65">
              <w:rPr>
                <w:rFonts w:eastAsia="Times New Roman"/>
                <w:b/>
                <w:iCs/>
                <w:szCs w:val="17"/>
              </w:rPr>
              <w:t>Date complet</w:t>
            </w:r>
            <w:r w:rsidR="00A96728" w:rsidRPr="00627C65">
              <w:rPr>
                <w:rFonts w:eastAsia="Times New Roman"/>
                <w:b/>
                <w:iCs/>
                <w:szCs w:val="17"/>
              </w:rPr>
              <w:t>ed</w:t>
            </w:r>
            <w:r w:rsidR="00A91E88" w:rsidRPr="00627C65">
              <w:rPr>
                <w:rFonts w:eastAsia="Times New Roman"/>
                <w:b/>
                <w:iCs/>
                <w:szCs w:val="17"/>
              </w:rPr>
              <w:t>/planned for completion</w:t>
            </w:r>
            <w:r w:rsidRPr="00627C65">
              <w:rPr>
                <w:rFonts w:eastAsia="Times New Roman"/>
                <w:b/>
                <w:iCs/>
                <w:szCs w:val="17"/>
              </w:rPr>
              <w:t xml:space="preserve"> (month/year)</w:t>
            </w:r>
          </w:p>
        </w:tc>
        <w:tc>
          <w:tcPr>
            <w:tcW w:w="2298" w:type="dxa"/>
          </w:tcPr>
          <w:p w14:paraId="27AE52C8" w14:textId="77777777" w:rsidR="00400B0F" w:rsidRPr="00627C65" w:rsidRDefault="00400B0F" w:rsidP="006F27B1">
            <w:pPr>
              <w:keepLines/>
              <w:spacing w:before="80" w:after="80" w:line="200" w:lineRule="atLeast"/>
              <w:rPr>
                <w:rFonts w:eastAsia="Times New Roman"/>
                <w:b/>
                <w:iCs/>
                <w:szCs w:val="17"/>
              </w:rPr>
            </w:pPr>
            <w:r w:rsidRPr="00627C65">
              <w:rPr>
                <w:rFonts w:eastAsia="Times New Roman"/>
                <w:b/>
                <w:iCs/>
                <w:szCs w:val="17"/>
              </w:rPr>
              <w:t>Purpose of evaluation</w:t>
            </w:r>
          </w:p>
        </w:tc>
        <w:tc>
          <w:tcPr>
            <w:tcW w:w="2307" w:type="dxa"/>
          </w:tcPr>
          <w:p w14:paraId="65AA929A" w14:textId="77777777" w:rsidR="00400B0F" w:rsidRPr="00627C65" w:rsidRDefault="00400B0F" w:rsidP="006F27B1">
            <w:pPr>
              <w:keepLines/>
              <w:spacing w:before="80" w:after="80" w:line="200" w:lineRule="atLeast"/>
              <w:rPr>
                <w:rFonts w:eastAsia="Times New Roman"/>
                <w:b/>
                <w:iCs/>
                <w:szCs w:val="17"/>
              </w:rPr>
            </w:pPr>
            <w:r w:rsidRPr="00627C65">
              <w:rPr>
                <w:rFonts w:eastAsia="Times New Roman"/>
                <w:b/>
                <w:iCs/>
                <w:szCs w:val="17"/>
              </w:rPr>
              <w:t>Evaluation type</w:t>
            </w:r>
          </w:p>
        </w:tc>
      </w:tr>
      <w:tr w:rsidR="001C5B62" w:rsidRPr="00627C65" w14:paraId="0BA2DAFC" w14:textId="77777777" w:rsidTr="00FA0F69">
        <w:tc>
          <w:tcPr>
            <w:tcW w:w="2414" w:type="dxa"/>
          </w:tcPr>
          <w:p w14:paraId="7FC59604" w14:textId="77777777" w:rsidR="001C5B62" w:rsidRPr="00627C65" w:rsidRDefault="001C5B62" w:rsidP="009011BA">
            <w:pPr>
              <w:keepLines/>
              <w:spacing w:before="40" w:after="40" w:line="200" w:lineRule="atLeast"/>
              <w:rPr>
                <w:rFonts w:eastAsia="Times New Roman"/>
                <w:iCs/>
                <w:szCs w:val="17"/>
              </w:rPr>
            </w:pPr>
            <w:r w:rsidRPr="00627C65">
              <w:rPr>
                <w:rFonts w:ascii="Calibri Light" w:hAnsi="Calibri Light" w:cs="Calibri Light"/>
                <w:color w:val="000000"/>
                <w:sz w:val="16"/>
                <w:szCs w:val="16"/>
              </w:rPr>
              <w:t>Australian Transport Sector Support Program Phase 2</w:t>
            </w:r>
            <w:r w:rsidR="00E34CF3" w:rsidRPr="00627C65">
              <w:rPr>
                <w:rFonts w:ascii="Calibri Light" w:hAnsi="Calibri Light" w:cs="Calibri Light"/>
                <w:color w:val="000000"/>
                <w:sz w:val="16"/>
                <w:szCs w:val="16"/>
              </w:rPr>
              <w:t xml:space="preserve"> </w:t>
            </w:r>
          </w:p>
        </w:tc>
        <w:tc>
          <w:tcPr>
            <w:tcW w:w="2327" w:type="dxa"/>
          </w:tcPr>
          <w:p w14:paraId="5A192750" w14:textId="77777777" w:rsidR="001C5B62" w:rsidRPr="00627C65" w:rsidRDefault="001C5B62" w:rsidP="001C5B62">
            <w:pPr>
              <w:keepLines/>
              <w:spacing w:before="40" w:after="40" w:line="200" w:lineRule="atLeast"/>
              <w:rPr>
                <w:rFonts w:eastAsia="Times New Roman"/>
                <w:iCs/>
                <w:szCs w:val="17"/>
              </w:rPr>
            </w:pPr>
            <w:r w:rsidRPr="00627C65">
              <w:rPr>
                <w:rFonts w:ascii="Calibri Light" w:hAnsi="Calibri Light" w:cs="Calibri Light"/>
                <w:color w:val="000000"/>
                <w:sz w:val="16"/>
                <w:szCs w:val="16"/>
              </w:rPr>
              <w:t>INK081</w:t>
            </w:r>
          </w:p>
        </w:tc>
        <w:tc>
          <w:tcPr>
            <w:tcW w:w="2415" w:type="dxa"/>
          </w:tcPr>
          <w:p w14:paraId="12061EAD" w14:textId="77777777" w:rsidR="001C5B62" w:rsidRPr="00627C65" w:rsidRDefault="00035311" w:rsidP="001C5B62">
            <w:pPr>
              <w:keepLines/>
              <w:spacing w:before="40" w:after="40" w:line="200" w:lineRule="atLeast"/>
              <w:rPr>
                <w:rFonts w:eastAsia="Times New Roman"/>
                <w:iCs/>
                <w:szCs w:val="17"/>
              </w:rPr>
            </w:pPr>
            <w:r w:rsidRPr="00627C65">
              <w:rPr>
                <w:rFonts w:ascii="Calibri Light" w:hAnsi="Calibri Light" w:cs="Calibri Light"/>
                <w:color w:val="000000"/>
                <w:sz w:val="16"/>
                <w:szCs w:val="16"/>
              </w:rPr>
              <w:t>December 2016</w:t>
            </w:r>
            <w:r w:rsidR="001C5B62" w:rsidRPr="00627C65">
              <w:rPr>
                <w:rFonts w:ascii="Calibri Light" w:hAnsi="Calibri Light" w:cs="Calibri Light"/>
                <w:color w:val="000000"/>
                <w:sz w:val="16"/>
                <w:szCs w:val="16"/>
              </w:rPr>
              <w:t xml:space="preserve"> </w:t>
            </w:r>
          </w:p>
        </w:tc>
        <w:tc>
          <w:tcPr>
            <w:tcW w:w="2186" w:type="dxa"/>
          </w:tcPr>
          <w:p w14:paraId="0FD39AEF" w14:textId="77777777" w:rsidR="001C5B62" w:rsidRPr="00627C65" w:rsidRDefault="00A96728" w:rsidP="001C5B62">
            <w:pPr>
              <w:keepLines/>
              <w:spacing w:before="40" w:after="40" w:line="200" w:lineRule="atLeast"/>
              <w:rPr>
                <w:rFonts w:eastAsia="Times New Roman"/>
                <w:iCs/>
                <w:szCs w:val="17"/>
              </w:rPr>
            </w:pPr>
            <w:r w:rsidRPr="00627C65">
              <w:rPr>
                <w:rFonts w:ascii="Calibri Light" w:hAnsi="Calibri Light" w:cs="Calibri Light"/>
                <w:color w:val="000000"/>
                <w:sz w:val="16"/>
                <w:szCs w:val="16"/>
              </w:rPr>
              <w:t>December</w:t>
            </w:r>
            <w:r w:rsidR="001C5B62" w:rsidRPr="00627C65">
              <w:rPr>
                <w:rFonts w:ascii="Calibri Light" w:hAnsi="Calibri Light" w:cs="Calibri Light"/>
                <w:color w:val="000000"/>
                <w:sz w:val="16"/>
                <w:szCs w:val="16"/>
              </w:rPr>
              <w:t xml:space="preserve"> 2017 </w:t>
            </w:r>
          </w:p>
        </w:tc>
        <w:tc>
          <w:tcPr>
            <w:tcW w:w="2298" w:type="dxa"/>
          </w:tcPr>
          <w:p w14:paraId="43EB6C42" w14:textId="77777777" w:rsidR="001C5B62" w:rsidRPr="00627C65" w:rsidRDefault="001C5B62" w:rsidP="00E34CF3">
            <w:pPr>
              <w:keepLines/>
              <w:spacing w:before="40" w:after="40" w:line="200" w:lineRule="atLeast"/>
              <w:rPr>
                <w:rFonts w:eastAsia="Times New Roman"/>
                <w:iCs/>
                <w:color w:val="000000" w:themeColor="text1" w:themeShade="BF"/>
                <w:szCs w:val="17"/>
              </w:rPr>
            </w:pPr>
            <w:r w:rsidRPr="00627C65">
              <w:rPr>
                <w:rFonts w:ascii="Calibri Light" w:hAnsi="Calibri Light" w:cs="Calibri Light"/>
                <w:color w:val="000000"/>
                <w:sz w:val="16"/>
                <w:szCs w:val="16"/>
              </w:rPr>
              <w:t>The evaluation aims to improve the performance of th</w:t>
            </w:r>
            <w:r w:rsidR="00C36F1F">
              <w:rPr>
                <w:rFonts w:ascii="Calibri Light" w:hAnsi="Calibri Light" w:cs="Calibri Light"/>
                <w:color w:val="000000"/>
                <w:sz w:val="16"/>
                <w:szCs w:val="16"/>
              </w:rPr>
              <w:t>e roads program</w:t>
            </w:r>
            <w:r w:rsidRPr="00627C65">
              <w:rPr>
                <w:rFonts w:ascii="Calibri Light" w:hAnsi="Calibri Light" w:cs="Calibri Light"/>
                <w:color w:val="000000"/>
                <w:sz w:val="16"/>
                <w:szCs w:val="16"/>
              </w:rPr>
              <w:t>, which focuses on building a safe, reliable transport system.</w:t>
            </w:r>
          </w:p>
        </w:tc>
        <w:tc>
          <w:tcPr>
            <w:tcW w:w="2307" w:type="dxa"/>
          </w:tcPr>
          <w:p w14:paraId="39A50AFA" w14:textId="77777777" w:rsidR="001C5B62" w:rsidRPr="00627C65" w:rsidRDefault="001C5B62" w:rsidP="001C5B62">
            <w:pPr>
              <w:keepLines/>
              <w:spacing w:before="40" w:after="40" w:line="200" w:lineRule="atLeast"/>
              <w:rPr>
                <w:rFonts w:eastAsia="Times New Roman"/>
                <w:iCs/>
                <w:szCs w:val="17"/>
              </w:rPr>
            </w:pPr>
            <w:r w:rsidRPr="00627C65">
              <w:rPr>
                <w:rFonts w:ascii="Calibri Light" w:hAnsi="Calibri Light" w:cs="Calibri Light"/>
                <w:color w:val="000000"/>
                <w:sz w:val="16"/>
                <w:szCs w:val="16"/>
              </w:rPr>
              <w:t xml:space="preserve">Mid-term review </w:t>
            </w:r>
          </w:p>
        </w:tc>
      </w:tr>
      <w:tr w:rsidR="009B4B6A" w:rsidRPr="00627C65" w14:paraId="62DDCA82" w14:textId="77777777" w:rsidTr="00FA0F69">
        <w:tc>
          <w:tcPr>
            <w:tcW w:w="2414" w:type="dxa"/>
          </w:tcPr>
          <w:p w14:paraId="01B7B7F0" w14:textId="77777777" w:rsidR="009B4B6A" w:rsidRPr="00627C65" w:rsidRDefault="009B4B6A" w:rsidP="009011BA">
            <w:pPr>
              <w:keepLines/>
              <w:spacing w:before="40" w:after="40" w:line="200" w:lineRule="atLeast"/>
              <w:rPr>
                <w:rFonts w:eastAsia="Times New Roman"/>
                <w:iCs/>
                <w:szCs w:val="17"/>
              </w:rPr>
            </w:pPr>
            <w:r w:rsidRPr="00627C65">
              <w:rPr>
                <w:rFonts w:ascii="Calibri Light" w:hAnsi="Calibri Light" w:cs="Calibri Light"/>
                <w:color w:val="000000"/>
                <w:sz w:val="16"/>
                <w:szCs w:val="16"/>
              </w:rPr>
              <w:t xml:space="preserve">Bougainville </w:t>
            </w:r>
            <w:r w:rsidR="00A96728" w:rsidRPr="00627C65">
              <w:rPr>
                <w:rFonts w:ascii="Calibri Light" w:hAnsi="Calibri Light" w:cs="Calibri Light"/>
                <w:color w:val="000000"/>
                <w:sz w:val="16"/>
                <w:szCs w:val="16"/>
              </w:rPr>
              <w:t>Youth</w:t>
            </w:r>
            <w:r w:rsidRPr="00627C65">
              <w:rPr>
                <w:rFonts w:ascii="Calibri Light" w:hAnsi="Calibri Light" w:cs="Calibri Light"/>
                <w:color w:val="000000"/>
                <w:sz w:val="16"/>
                <w:szCs w:val="16"/>
              </w:rPr>
              <w:t xml:space="preserve"> Program</w:t>
            </w:r>
            <w:r w:rsidR="00E34CF3" w:rsidRPr="00627C65">
              <w:rPr>
                <w:rFonts w:ascii="Calibri Light" w:hAnsi="Calibri Light" w:cs="Calibri Light"/>
                <w:color w:val="000000"/>
                <w:sz w:val="16"/>
                <w:szCs w:val="16"/>
              </w:rPr>
              <w:t xml:space="preserve"> </w:t>
            </w:r>
          </w:p>
        </w:tc>
        <w:tc>
          <w:tcPr>
            <w:tcW w:w="2327" w:type="dxa"/>
          </w:tcPr>
          <w:p w14:paraId="0018231F" w14:textId="77777777" w:rsidR="009B4B6A" w:rsidRPr="00627C65" w:rsidRDefault="009B4B6A" w:rsidP="009B4B6A">
            <w:pPr>
              <w:keepLines/>
              <w:spacing w:before="40" w:after="40" w:line="200" w:lineRule="atLeast"/>
              <w:rPr>
                <w:rFonts w:eastAsia="Times New Roman"/>
                <w:iCs/>
                <w:szCs w:val="17"/>
              </w:rPr>
            </w:pPr>
            <w:r w:rsidRPr="00627C65">
              <w:rPr>
                <w:rFonts w:ascii="Calibri Light" w:hAnsi="Calibri Light" w:cs="Calibri Light"/>
                <w:color w:val="000000"/>
                <w:sz w:val="16"/>
                <w:szCs w:val="16"/>
              </w:rPr>
              <w:t xml:space="preserve"> INL541</w:t>
            </w:r>
          </w:p>
        </w:tc>
        <w:tc>
          <w:tcPr>
            <w:tcW w:w="2415" w:type="dxa"/>
          </w:tcPr>
          <w:p w14:paraId="390800D4" w14:textId="77777777" w:rsidR="009B4B6A" w:rsidRPr="00627C65" w:rsidRDefault="009B4B6A" w:rsidP="009B4B6A">
            <w:pPr>
              <w:keepLines/>
              <w:spacing w:before="40" w:after="40" w:line="200" w:lineRule="atLeast"/>
              <w:rPr>
                <w:rFonts w:eastAsia="Times New Roman"/>
                <w:iCs/>
                <w:szCs w:val="17"/>
              </w:rPr>
            </w:pPr>
            <w:r w:rsidRPr="00627C65">
              <w:rPr>
                <w:rFonts w:ascii="Calibri Light" w:hAnsi="Calibri Light" w:cs="Calibri Light"/>
                <w:color w:val="000000"/>
                <w:sz w:val="16"/>
                <w:szCs w:val="16"/>
              </w:rPr>
              <w:t>July 2017</w:t>
            </w:r>
          </w:p>
        </w:tc>
        <w:tc>
          <w:tcPr>
            <w:tcW w:w="2186" w:type="dxa"/>
          </w:tcPr>
          <w:p w14:paraId="0314A812" w14:textId="77777777" w:rsidR="009B4B6A" w:rsidRPr="00627C65" w:rsidRDefault="00A96728" w:rsidP="009B4B6A">
            <w:pPr>
              <w:keepLines/>
              <w:spacing w:before="40" w:after="40" w:line="200" w:lineRule="atLeast"/>
              <w:rPr>
                <w:rFonts w:eastAsia="Times New Roman"/>
                <w:iCs/>
                <w:szCs w:val="17"/>
              </w:rPr>
            </w:pPr>
            <w:r w:rsidRPr="00627C65">
              <w:rPr>
                <w:rFonts w:ascii="Calibri Light" w:hAnsi="Calibri Light" w:cs="Calibri Light"/>
                <w:color w:val="000000"/>
                <w:sz w:val="16"/>
                <w:szCs w:val="16"/>
              </w:rPr>
              <w:t>December</w:t>
            </w:r>
            <w:r w:rsidR="009B4B6A" w:rsidRPr="00627C65">
              <w:rPr>
                <w:rFonts w:ascii="Calibri Light" w:hAnsi="Calibri Light" w:cs="Calibri Light"/>
                <w:color w:val="000000"/>
                <w:sz w:val="16"/>
                <w:szCs w:val="16"/>
              </w:rPr>
              <w:t xml:space="preserve"> 2017</w:t>
            </w:r>
          </w:p>
        </w:tc>
        <w:tc>
          <w:tcPr>
            <w:tcW w:w="2298" w:type="dxa"/>
          </w:tcPr>
          <w:p w14:paraId="4A806207" w14:textId="77777777" w:rsidR="009B4B6A" w:rsidRPr="00627C65" w:rsidRDefault="009B4B6A" w:rsidP="00E34CF3">
            <w:pPr>
              <w:keepLines/>
              <w:spacing w:before="40" w:after="40" w:line="200" w:lineRule="atLeast"/>
              <w:rPr>
                <w:rFonts w:eastAsia="Times New Roman"/>
                <w:iCs/>
                <w:szCs w:val="17"/>
              </w:rPr>
            </w:pPr>
            <w:r w:rsidRPr="00627C65">
              <w:rPr>
                <w:rFonts w:ascii="Calibri Light" w:hAnsi="Calibri Light" w:cs="Calibri Light"/>
                <w:color w:val="000000"/>
                <w:sz w:val="16"/>
                <w:szCs w:val="16"/>
              </w:rPr>
              <w:t xml:space="preserve">The evaluation will review the success and improve the performance of Australia’s </w:t>
            </w:r>
            <w:r w:rsidR="00E34CF3" w:rsidRPr="00627C65">
              <w:rPr>
                <w:rFonts w:ascii="Calibri Light" w:hAnsi="Calibri Light" w:cs="Calibri Light"/>
                <w:color w:val="000000"/>
                <w:sz w:val="16"/>
                <w:szCs w:val="16"/>
              </w:rPr>
              <w:t>support for youth programs</w:t>
            </w:r>
            <w:r w:rsidRPr="00627C65">
              <w:rPr>
                <w:rFonts w:ascii="Calibri Light" w:hAnsi="Calibri Light" w:cs="Calibri Light"/>
                <w:color w:val="000000"/>
                <w:sz w:val="16"/>
                <w:szCs w:val="16"/>
              </w:rPr>
              <w:t xml:space="preserve"> for the Autonomous Bougainville Government.</w:t>
            </w:r>
          </w:p>
        </w:tc>
        <w:tc>
          <w:tcPr>
            <w:tcW w:w="2307" w:type="dxa"/>
          </w:tcPr>
          <w:p w14:paraId="3A3D75D2" w14:textId="77777777" w:rsidR="009B4B6A" w:rsidRPr="00627C65" w:rsidRDefault="00E34CF3" w:rsidP="009B4B6A">
            <w:pPr>
              <w:keepLines/>
              <w:spacing w:before="40" w:after="40" w:line="200" w:lineRule="atLeast"/>
              <w:rPr>
                <w:rFonts w:eastAsia="Times New Roman"/>
                <w:iCs/>
                <w:szCs w:val="17"/>
              </w:rPr>
            </w:pPr>
            <w:r w:rsidRPr="00627C65">
              <w:rPr>
                <w:rFonts w:ascii="Calibri Light" w:hAnsi="Calibri Light" w:cs="Calibri Light"/>
                <w:color w:val="000000"/>
                <w:sz w:val="16"/>
                <w:szCs w:val="16"/>
              </w:rPr>
              <w:t>Independent evaluation</w:t>
            </w:r>
          </w:p>
        </w:tc>
      </w:tr>
      <w:tr w:rsidR="009B4B6A" w:rsidRPr="00627C65" w14:paraId="4A3AAF3E" w14:textId="77777777" w:rsidTr="00FA0F69">
        <w:trPr>
          <w:trHeight w:val="825"/>
        </w:trPr>
        <w:tc>
          <w:tcPr>
            <w:tcW w:w="2414" w:type="dxa"/>
          </w:tcPr>
          <w:p w14:paraId="71AED988" w14:textId="77777777" w:rsidR="009B4B6A" w:rsidRPr="00627C65" w:rsidRDefault="009B4B6A" w:rsidP="009011B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Australian response to El Nino in </w:t>
            </w:r>
            <w:r w:rsidR="00FE3CEC" w:rsidRPr="00627C65">
              <w:rPr>
                <w:rFonts w:ascii="Calibri Light" w:hAnsi="Calibri Light" w:cs="Calibri Light"/>
                <w:color w:val="000000"/>
                <w:sz w:val="16"/>
                <w:szCs w:val="16"/>
              </w:rPr>
              <w:t>Papua New Guinea</w:t>
            </w:r>
            <w:r w:rsidR="00E34CF3" w:rsidRPr="00627C65">
              <w:rPr>
                <w:rFonts w:ascii="Calibri Light" w:hAnsi="Calibri Light" w:cs="Calibri Light"/>
                <w:color w:val="000000"/>
                <w:sz w:val="16"/>
                <w:szCs w:val="16"/>
              </w:rPr>
              <w:t xml:space="preserve"> </w:t>
            </w:r>
          </w:p>
        </w:tc>
        <w:tc>
          <w:tcPr>
            <w:tcW w:w="2327" w:type="dxa"/>
          </w:tcPr>
          <w:p w14:paraId="5BDC1D5B"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r w:rsidRPr="00627C65">
              <w:rPr>
                <w:rFonts w:ascii="Calibri Light" w:hAnsi="Calibri Light" w:cs="Calibri Light"/>
                <w:color w:val="000000"/>
                <w:sz w:val="16"/>
                <w:szCs w:val="16"/>
              </w:rPr>
              <w:t xml:space="preserve">INL847 </w:t>
            </w:r>
          </w:p>
          <w:p w14:paraId="265F1C14"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p>
        </w:tc>
        <w:tc>
          <w:tcPr>
            <w:tcW w:w="2415" w:type="dxa"/>
          </w:tcPr>
          <w:p w14:paraId="29C4F3F3" w14:textId="77777777" w:rsidR="009B4B6A" w:rsidRPr="00627C65" w:rsidRDefault="00035311"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June</w:t>
            </w:r>
            <w:r w:rsidR="009B4B6A" w:rsidRPr="00627C65">
              <w:rPr>
                <w:rFonts w:ascii="Calibri Light" w:hAnsi="Calibri Light" w:cs="Calibri Light"/>
                <w:color w:val="000000"/>
                <w:sz w:val="16"/>
                <w:szCs w:val="16"/>
              </w:rPr>
              <w:t xml:space="preserve"> 2017</w:t>
            </w:r>
          </w:p>
        </w:tc>
        <w:tc>
          <w:tcPr>
            <w:tcW w:w="2186" w:type="dxa"/>
          </w:tcPr>
          <w:p w14:paraId="03CF6C1A" w14:textId="77777777" w:rsidR="009B4B6A" w:rsidRPr="00627C65" w:rsidRDefault="00E34CF3"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November</w:t>
            </w:r>
            <w:r w:rsidR="009B4B6A" w:rsidRPr="00627C65">
              <w:rPr>
                <w:rFonts w:ascii="Calibri Light" w:hAnsi="Calibri Light" w:cs="Calibri Light"/>
                <w:color w:val="000000"/>
                <w:sz w:val="16"/>
                <w:szCs w:val="16"/>
              </w:rPr>
              <w:t xml:space="preserve"> 2017 </w:t>
            </w:r>
          </w:p>
        </w:tc>
        <w:tc>
          <w:tcPr>
            <w:tcW w:w="2298" w:type="dxa"/>
          </w:tcPr>
          <w:p w14:paraId="4772C51C" w14:textId="77777777" w:rsidR="009B4B6A" w:rsidRPr="00627C65" w:rsidRDefault="00627C65"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The evaluation</w:t>
            </w:r>
            <w:r w:rsidR="009B4B6A" w:rsidRPr="00627C65">
              <w:rPr>
                <w:rFonts w:ascii="Calibri Light" w:hAnsi="Calibri Light" w:cs="Calibri Light"/>
                <w:color w:val="000000"/>
                <w:sz w:val="16"/>
                <w:szCs w:val="16"/>
              </w:rPr>
              <w:t xml:space="preserve"> examine</w:t>
            </w:r>
            <w:r w:rsidR="00A96728" w:rsidRPr="00627C65">
              <w:rPr>
                <w:rFonts w:ascii="Calibri Light" w:hAnsi="Calibri Light" w:cs="Calibri Light"/>
                <w:color w:val="000000"/>
                <w:sz w:val="16"/>
                <w:szCs w:val="16"/>
              </w:rPr>
              <w:t>d</w:t>
            </w:r>
            <w:r w:rsidR="009B4B6A" w:rsidRPr="00627C65">
              <w:rPr>
                <w:rFonts w:ascii="Calibri Light" w:hAnsi="Calibri Light" w:cs="Calibri Light"/>
                <w:color w:val="000000"/>
                <w:sz w:val="16"/>
                <w:szCs w:val="16"/>
              </w:rPr>
              <w:t xml:space="preserve"> Australia’s response to El Nino in </w:t>
            </w:r>
            <w:r w:rsidR="00FE3CEC" w:rsidRPr="00627C65">
              <w:rPr>
                <w:rFonts w:ascii="Calibri Light" w:hAnsi="Calibri Light" w:cs="Calibri Light"/>
                <w:color w:val="000000"/>
                <w:sz w:val="16"/>
                <w:szCs w:val="16"/>
              </w:rPr>
              <w:t>Papua New Guinea</w:t>
            </w:r>
            <w:r w:rsidR="009B4B6A" w:rsidRPr="00627C65">
              <w:rPr>
                <w:rFonts w:ascii="Calibri Light" w:hAnsi="Calibri Light" w:cs="Calibri Light"/>
                <w:color w:val="000000"/>
                <w:sz w:val="16"/>
                <w:szCs w:val="16"/>
              </w:rPr>
              <w:t xml:space="preserve"> to inform future humanitarian efforts.</w:t>
            </w:r>
          </w:p>
        </w:tc>
        <w:tc>
          <w:tcPr>
            <w:tcW w:w="2307" w:type="dxa"/>
          </w:tcPr>
          <w:p w14:paraId="1900AEB2"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End of program assessment </w:t>
            </w:r>
          </w:p>
        </w:tc>
      </w:tr>
      <w:tr w:rsidR="009B4B6A" w:rsidRPr="00627C65" w14:paraId="18C084BD" w14:textId="77777777" w:rsidTr="00FA0F69">
        <w:trPr>
          <w:trHeight w:val="1036"/>
        </w:trPr>
        <w:tc>
          <w:tcPr>
            <w:tcW w:w="2414" w:type="dxa"/>
          </w:tcPr>
          <w:p w14:paraId="4861A96D" w14:textId="77777777" w:rsidR="009B4B6A" w:rsidRPr="00627C65" w:rsidRDefault="00FE3CEC" w:rsidP="009011B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Papua New Guinea</w:t>
            </w:r>
            <w:r w:rsidR="009B4B6A" w:rsidRPr="00627C65">
              <w:rPr>
                <w:rFonts w:ascii="Calibri Light" w:hAnsi="Calibri Light" w:cs="Calibri Light"/>
                <w:color w:val="000000"/>
                <w:sz w:val="16"/>
                <w:szCs w:val="16"/>
              </w:rPr>
              <w:t xml:space="preserve"> Health and HIV Multilateral Partnerships</w:t>
            </w:r>
            <w:r w:rsidR="00E34CF3" w:rsidRPr="00627C65">
              <w:rPr>
                <w:rFonts w:ascii="Calibri Light" w:hAnsi="Calibri Light" w:cs="Calibri Light"/>
                <w:color w:val="000000"/>
                <w:sz w:val="16"/>
                <w:szCs w:val="16"/>
              </w:rPr>
              <w:t xml:space="preserve"> </w:t>
            </w:r>
          </w:p>
        </w:tc>
        <w:tc>
          <w:tcPr>
            <w:tcW w:w="2327" w:type="dxa"/>
          </w:tcPr>
          <w:p w14:paraId="65AD9482"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r w:rsidRPr="00627C65">
              <w:rPr>
                <w:rFonts w:ascii="Calibri Light" w:hAnsi="Calibri Light" w:cs="Calibri Light"/>
                <w:color w:val="000000"/>
                <w:sz w:val="16"/>
                <w:szCs w:val="16"/>
              </w:rPr>
              <w:t xml:space="preserve">INJ858 </w:t>
            </w:r>
          </w:p>
          <w:p w14:paraId="4F273E3B"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p>
          <w:p w14:paraId="2F8B32B4"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p>
          <w:p w14:paraId="0A24F1FE"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p>
        </w:tc>
        <w:tc>
          <w:tcPr>
            <w:tcW w:w="2415" w:type="dxa"/>
          </w:tcPr>
          <w:p w14:paraId="46646581"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October 2017</w:t>
            </w:r>
          </w:p>
        </w:tc>
        <w:tc>
          <w:tcPr>
            <w:tcW w:w="2186" w:type="dxa"/>
          </w:tcPr>
          <w:p w14:paraId="1496E39A"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December 2017 </w:t>
            </w:r>
          </w:p>
        </w:tc>
        <w:tc>
          <w:tcPr>
            <w:tcW w:w="2298" w:type="dxa"/>
          </w:tcPr>
          <w:p w14:paraId="7BA64756" w14:textId="77777777" w:rsidR="009B4B6A" w:rsidRPr="00627C65" w:rsidRDefault="00627C65" w:rsidP="00E34CF3">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 xml:space="preserve">The evaluation </w:t>
            </w:r>
            <w:r w:rsidR="009B4B6A" w:rsidRPr="00627C65">
              <w:rPr>
                <w:rFonts w:ascii="Calibri Light" w:hAnsi="Calibri Light" w:cs="Calibri Light"/>
                <w:color w:val="000000"/>
                <w:sz w:val="16"/>
                <w:szCs w:val="16"/>
              </w:rPr>
              <w:t>review</w:t>
            </w:r>
            <w:r w:rsidR="00E34CF3" w:rsidRPr="00627C65">
              <w:rPr>
                <w:rFonts w:ascii="Calibri Light" w:hAnsi="Calibri Light" w:cs="Calibri Light"/>
                <w:color w:val="000000"/>
                <w:sz w:val="16"/>
                <w:szCs w:val="16"/>
              </w:rPr>
              <w:t>ed</w:t>
            </w:r>
            <w:r w:rsidR="009B4B6A" w:rsidRPr="00627C65">
              <w:rPr>
                <w:rFonts w:ascii="Calibri Light" w:hAnsi="Calibri Light" w:cs="Calibri Light"/>
                <w:color w:val="000000"/>
                <w:sz w:val="16"/>
                <w:szCs w:val="16"/>
              </w:rPr>
              <w:t xml:space="preserve"> the success of Australia’s $68.5m support to multilateral organisations working to improve health outcomes in </w:t>
            </w:r>
            <w:r w:rsidR="00FE3CEC" w:rsidRPr="00627C65">
              <w:rPr>
                <w:rFonts w:ascii="Calibri Light" w:hAnsi="Calibri Light" w:cs="Calibri Light"/>
                <w:color w:val="000000"/>
                <w:sz w:val="16"/>
                <w:szCs w:val="16"/>
              </w:rPr>
              <w:t>Papua New Guinea</w:t>
            </w:r>
            <w:r w:rsidR="009B4B6A" w:rsidRPr="00627C65">
              <w:rPr>
                <w:rFonts w:ascii="Calibri Light" w:hAnsi="Calibri Light" w:cs="Calibri Light"/>
                <w:color w:val="000000"/>
                <w:sz w:val="16"/>
                <w:szCs w:val="16"/>
              </w:rPr>
              <w:t>.</w:t>
            </w:r>
            <w:r w:rsidR="00FF4BD9">
              <w:rPr>
                <w:rFonts w:ascii="Calibri Light" w:hAnsi="Calibri Light" w:cs="Calibri Light"/>
                <w:color w:val="000000"/>
                <w:sz w:val="16"/>
                <w:szCs w:val="16"/>
              </w:rPr>
              <w:t xml:space="preserve"> </w:t>
            </w:r>
          </w:p>
        </w:tc>
        <w:tc>
          <w:tcPr>
            <w:tcW w:w="2307" w:type="dxa"/>
          </w:tcPr>
          <w:p w14:paraId="350B9784"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Mid-term review</w:t>
            </w:r>
          </w:p>
        </w:tc>
      </w:tr>
      <w:tr w:rsidR="009B4B6A" w:rsidRPr="00627C65" w14:paraId="79BAFEDD" w14:textId="77777777" w:rsidTr="00FA0F69">
        <w:tc>
          <w:tcPr>
            <w:tcW w:w="2414" w:type="dxa"/>
          </w:tcPr>
          <w:p w14:paraId="2CB0FBB6" w14:textId="77777777" w:rsidR="009B4B6A" w:rsidRPr="00627C65" w:rsidRDefault="009B4B6A" w:rsidP="009011B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Pacific Women Shaping Pacific Development, including </w:t>
            </w:r>
            <w:r w:rsidR="00FE3CEC" w:rsidRPr="00627C65">
              <w:rPr>
                <w:rFonts w:ascii="Calibri Light" w:hAnsi="Calibri Light" w:cs="Calibri Light"/>
                <w:color w:val="000000"/>
                <w:sz w:val="16"/>
                <w:szCs w:val="16"/>
              </w:rPr>
              <w:t>Papua New Guinea</w:t>
            </w:r>
            <w:r w:rsidRPr="00627C65">
              <w:rPr>
                <w:rFonts w:ascii="Calibri Light" w:hAnsi="Calibri Light" w:cs="Calibri Light"/>
                <w:color w:val="000000"/>
                <w:sz w:val="16"/>
                <w:szCs w:val="16"/>
              </w:rPr>
              <w:t xml:space="preserve"> bilateral funding</w:t>
            </w:r>
            <w:r w:rsidR="00E34CF3" w:rsidRPr="00627C65">
              <w:rPr>
                <w:rFonts w:ascii="Calibri Light" w:hAnsi="Calibri Light" w:cs="Calibri Light"/>
                <w:color w:val="000000"/>
                <w:sz w:val="16"/>
                <w:szCs w:val="16"/>
              </w:rPr>
              <w:t xml:space="preserve"> </w:t>
            </w:r>
          </w:p>
        </w:tc>
        <w:tc>
          <w:tcPr>
            <w:tcW w:w="2327" w:type="dxa"/>
          </w:tcPr>
          <w:p w14:paraId="1CB53FAC"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r w:rsidRPr="00627C65">
              <w:rPr>
                <w:rFonts w:ascii="Calibri Light" w:hAnsi="Calibri Light" w:cs="Calibri Light"/>
                <w:color w:val="000000"/>
                <w:sz w:val="16"/>
                <w:szCs w:val="16"/>
              </w:rPr>
              <w:t xml:space="preserve">INL847 </w:t>
            </w:r>
          </w:p>
          <w:p w14:paraId="7058790E" w14:textId="77777777" w:rsidR="009B4B6A" w:rsidRPr="00627C65" w:rsidRDefault="009B4B6A" w:rsidP="009B4B6A">
            <w:pPr>
              <w:autoSpaceDE w:val="0"/>
              <w:autoSpaceDN w:val="0"/>
              <w:adjustRightInd w:val="0"/>
              <w:spacing w:after="0" w:line="240" w:lineRule="auto"/>
              <w:rPr>
                <w:rFonts w:ascii="Calibri Light" w:hAnsi="Calibri Light" w:cs="Calibri Light"/>
                <w:color w:val="000000"/>
                <w:sz w:val="16"/>
                <w:szCs w:val="16"/>
              </w:rPr>
            </w:pPr>
          </w:p>
        </w:tc>
        <w:tc>
          <w:tcPr>
            <w:tcW w:w="2415" w:type="dxa"/>
          </w:tcPr>
          <w:p w14:paraId="0D290A8C" w14:textId="77777777" w:rsidR="009B4B6A" w:rsidRPr="00627C65" w:rsidRDefault="00035311"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December 2016</w:t>
            </w:r>
          </w:p>
        </w:tc>
        <w:tc>
          <w:tcPr>
            <w:tcW w:w="2186" w:type="dxa"/>
          </w:tcPr>
          <w:p w14:paraId="7A864518"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October</w:t>
            </w:r>
            <w:r w:rsidR="00FF4BD9">
              <w:rPr>
                <w:rFonts w:ascii="Calibri Light" w:hAnsi="Calibri Light" w:cs="Calibri Light"/>
                <w:color w:val="000000"/>
                <w:sz w:val="16"/>
                <w:szCs w:val="16"/>
              </w:rPr>
              <w:t xml:space="preserve"> </w:t>
            </w:r>
            <w:r w:rsidRPr="00627C65">
              <w:rPr>
                <w:rFonts w:ascii="Calibri Light" w:hAnsi="Calibri Light" w:cs="Calibri Light"/>
                <w:color w:val="000000"/>
                <w:sz w:val="16"/>
                <w:szCs w:val="16"/>
              </w:rPr>
              <w:t xml:space="preserve">2017 </w:t>
            </w:r>
          </w:p>
        </w:tc>
        <w:tc>
          <w:tcPr>
            <w:tcW w:w="2298" w:type="dxa"/>
          </w:tcPr>
          <w:p w14:paraId="0C159851" w14:textId="77777777" w:rsidR="009B4B6A" w:rsidRPr="00627C65" w:rsidRDefault="009B4B6A" w:rsidP="00BE440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The evaluation review</w:t>
            </w:r>
            <w:r w:rsidR="00E34CF3" w:rsidRPr="00627C65">
              <w:rPr>
                <w:rFonts w:ascii="Calibri Light" w:hAnsi="Calibri Light" w:cs="Calibri Light"/>
                <w:color w:val="000000"/>
                <w:sz w:val="16"/>
                <w:szCs w:val="16"/>
              </w:rPr>
              <w:t>ed</w:t>
            </w:r>
            <w:r w:rsidRPr="00627C65">
              <w:rPr>
                <w:rFonts w:ascii="Calibri Light" w:hAnsi="Calibri Light" w:cs="Calibri Light"/>
                <w:color w:val="000000"/>
                <w:sz w:val="16"/>
                <w:szCs w:val="16"/>
              </w:rPr>
              <w:t xml:space="preserve"> the achievements and challenges of the $58m </w:t>
            </w:r>
            <w:r w:rsidR="00FE3CEC" w:rsidRPr="00627C65">
              <w:rPr>
                <w:rFonts w:ascii="Calibri Light" w:hAnsi="Calibri Light" w:cs="Calibri Light"/>
                <w:color w:val="000000"/>
                <w:sz w:val="16"/>
                <w:szCs w:val="16"/>
              </w:rPr>
              <w:t>Papua New Guinea</w:t>
            </w:r>
            <w:r w:rsidR="00BE4403" w:rsidRPr="00627C65">
              <w:rPr>
                <w:rFonts w:ascii="Calibri Light" w:hAnsi="Calibri Light" w:cs="Calibri Light"/>
                <w:color w:val="000000"/>
                <w:sz w:val="16"/>
                <w:szCs w:val="16"/>
              </w:rPr>
              <w:t xml:space="preserve"> component of this investment.</w:t>
            </w:r>
          </w:p>
        </w:tc>
        <w:tc>
          <w:tcPr>
            <w:tcW w:w="2307" w:type="dxa"/>
          </w:tcPr>
          <w:p w14:paraId="338112CD" w14:textId="77777777" w:rsidR="009B4B6A" w:rsidRPr="00627C65" w:rsidRDefault="009B4B6A"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Mid-term review</w:t>
            </w:r>
          </w:p>
        </w:tc>
      </w:tr>
      <w:tr w:rsidR="00BE4403" w:rsidRPr="00627C65" w14:paraId="78E30C57" w14:textId="77777777" w:rsidTr="00FA0F69">
        <w:tc>
          <w:tcPr>
            <w:tcW w:w="2414" w:type="dxa"/>
          </w:tcPr>
          <w:p w14:paraId="15D04D90" w14:textId="77777777" w:rsidR="00BE4403" w:rsidRPr="00627C65" w:rsidRDefault="00BE4403" w:rsidP="00BE440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Australia's support for Papua New Guinea’s 2017 national election</w:t>
            </w:r>
          </w:p>
        </w:tc>
        <w:tc>
          <w:tcPr>
            <w:tcW w:w="2327" w:type="dxa"/>
          </w:tcPr>
          <w:p w14:paraId="733C48BA" w14:textId="77777777" w:rsidR="00BE4403" w:rsidRPr="00627C65" w:rsidRDefault="00BE4403" w:rsidP="009B4B6A">
            <w:pPr>
              <w:autoSpaceDE w:val="0"/>
              <w:autoSpaceDN w:val="0"/>
              <w:adjustRightInd w:val="0"/>
              <w:spacing w:after="0" w:line="240" w:lineRule="auto"/>
              <w:rPr>
                <w:rFonts w:ascii="Calibri Light" w:hAnsi="Calibri Light" w:cs="Calibri Light"/>
                <w:color w:val="000000"/>
                <w:sz w:val="16"/>
                <w:szCs w:val="16"/>
              </w:rPr>
            </w:pPr>
            <w:r w:rsidRPr="00627C65">
              <w:rPr>
                <w:rFonts w:ascii="Calibri Light" w:hAnsi="Calibri Light" w:cs="Calibri Light"/>
                <w:color w:val="000000"/>
                <w:sz w:val="16"/>
                <w:szCs w:val="16"/>
              </w:rPr>
              <w:t>INJ466</w:t>
            </w:r>
          </w:p>
        </w:tc>
        <w:tc>
          <w:tcPr>
            <w:tcW w:w="2415" w:type="dxa"/>
          </w:tcPr>
          <w:p w14:paraId="6ABF0958" w14:textId="77777777" w:rsidR="00BE4403" w:rsidRPr="00627C65" w:rsidRDefault="00BE4403" w:rsidP="009B4B6A">
            <w:pPr>
              <w:keepLines/>
              <w:spacing w:before="40" w:after="40" w:line="200" w:lineRule="atLeast"/>
              <w:rPr>
                <w:rFonts w:ascii="Calibri Light" w:hAnsi="Calibri Light" w:cs="Calibri Light"/>
                <w:color w:val="000000"/>
                <w:sz w:val="16"/>
                <w:szCs w:val="16"/>
              </w:rPr>
            </w:pPr>
          </w:p>
          <w:p w14:paraId="3DD665E3" w14:textId="77777777" w:rsidR="00E34CF3" w:rsidRPr="00627C65" w:rsidRDefault="00E34CF3"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May 2018</w:t>
            </w:r>
          </w:p>
        </w:tc>
        <w:tc>
          <w:tcPr>
            <w:tcW w:w="2186" w:type="dxa"/>
          </w:tcPr>
          <w:p w14:paraId="650F8509" w14:textId="77777777" w:rsidR="00BE4403" w:rsidRPr="00627C65" w:rsidRDefault="00E34CF3"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August</w:t>
            </w:r>
            <w:r w:rsidR="00BE4403" w:rsidRPr="00627C65">
              <w:rPr>
                <w:rFonts w:ascii="Calibri Light" w:hAnsi="Calibri Light" w:cs="Calibri Light"/>
                <w:color w:val="000000"/>
                <w:sz w:val="16"/>
                <w:szCs w:val="16"/>
              </w:rPr>
              <w:t xml:space="preserve"> 2018</w:t>
            </w:r>
          </w:p>
        </w:tc>
        <w:tc>
          <w:tcPr>
            <w:tcW w:w="2298" w:type="dxa"/>
          </w:tcPr>
          <w:p w14:paraId="1F6FA6BA" w14:textId="77777777" w:rsidR="00BE4403" w:rsidRPr="00627C65" w:rsidRDefault="00BE4403"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Review lessons learnt to inform future support.</w:t>
            </w:r>
          </w:p>
        </w:tc>
        <w:tc>
          <w:tcPr>
            <w:tcW w:w="2307" w:type="dxa"/>
          </w:tcPr>
          <w:p w14:paraId="195BFC19" w14:textId="77777777" w:rsidR="00BE4403" w:rsidRPr="00627C65" w:rsidRDefault="00BE4403" w:rsidP="009B4B6A">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Mid-term review</w:t>
            </w:r>
          </w:p>
        </w:tc>
      </w:tr>
      <w:tr w:rsidR="00E34CF3" w:rsidRPr="00627C65" w14:paraId="71F469B0" w14:textId="77777777" w:rsidTr="00FA0F69">
        <w:tc>
          <w:tcPr>
            <w:tcW w:w="2414" w:type="dxa"/>
          </w:tcPr>
          <w:p w14:paraId="395D6DD3" w14:textId="77777777" w:rsidR="00E34CF3" w:rsidRPr="00627C65" w:rsidRDefault="00A91E88"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Youth with a Mission </w:t>
            </w:r>
            <w:r w:rsidR="009011BA" w:rsidRPr="00627C65">
              <w:rPr>
                <w:rFonts w:ascii="Calibri Light" w:hAnsi="Calibri Light" w:cs="Calibri Light"/>
                <w:color w:val="000000"/>
                <w:sz w:val="16"/>
                <w:szCs w:val="16"/>
              </w:rPr>
              <w:t xml:space="preserve">(YWAM) </w:t>
            </w:r>
            <w:r w:rsidRPr="00627C65">
              <w:rPr>
                <w:rFonts w:ascii="Calibri Light" w:hAnsi="Calibri Light" w:cs="Calibri Light"/>
                <w:color w:val="000000"/>
                <w:sz w:val="16"/>
                <w:szCs w:val="16"/>
              </w:rPr>
              <w:t>program evaluation</w:t>
            </w:r>
          </w:p>
        </w:tc>
        <w:tc>
          <w:tcPr>
            <w:tcW w:w="2327" w:type="dxa"/>
          </w:tcPr>
          <w:p w14:paraId="504B1A2F" w14:textId="77777777" w:rsidR="00E34CF3" w:rsidRPr="00627C65" w:rsidRDefault="00E34CF3" w:rsidP="00E34CF3">
            <w:pPr>
              <w:autoSpaceDE w:val="0"/>
              <w:autoSpaceDN w:val="0"/>
              <w:adjustRightInd w:val="0"/>
              <w:spacing w:after="0" w:line="240" w:lineRule="auto"/>
              <w:rPr>
                <w:rFonts w:ascii="Calibri Light" w:hAnsi="Calibri Light" w:cs="Calibri Light"/>
                <w:color w:val="000000"/>
                <w:sz w:val="16"/>
                <w:szCs w:val="16"/>
              </w:rPr>
            </w:pPr>
          </w:p>
        </w:tc>
        <w:tc>
          <w:tcPr>
            <w:tcW w:w="2415" w:type="dxa"/>
          </w:tcPr>
          <w:p w14:paraId="6C385171" w14:textId="77777777" w:rsidR="00E34CF3" w:rsidRPr="00627C65" w:rsidDel="00E34CF3" w:rsidRDefault="00A91E88"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March 2018</w:t>
            </w:r>
          </w:p>
        </w:tc>
        <w:tc>
          <w:tcPr>
            <w:tcW w:w="2186" w:type="dxa"/>
          </w:tcPr>
          <w:p w14:paraId="47994A1F" w14:textId="77777777" w:rsidR="00E34CF3" w:rsidRPr="00627C65" w:rsidRDefault="00A91E88"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August 2018</w:t>
            </w:r>
          </w:p>
        </w:tc>
        <w:tc>
          <w:tcPr>
            <w:tcW w:w="2298" w:type="dxa"/>
          </w:tcPr>
          <w:p w14:paraId="5EBD5AA8" w14:textId="77777777" w:rsidR="00E34CF3" w:rsidRPr="00627C65"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Review lessons learnt to inform future support.</w:t>
            </w:r>
          </w:p>
        </w:tc>
        <w:tc>
          <w:tcPr>
            <w:tcW w:w="2307" w:type="dxa"/>
          </w:tcPr>
          <w:p w14:paraId="214BBF3E" w14:textId="77777777" w:rsidR="00E34CF3" w:rsidRPr="00627C65" w:rsidRDefault="009011BA"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End of program assessment</w:t>
            </w:r>
          </w:p>
        </w:tc>
      </w:tr>
    </w:tbl>
    <w:p w14:paraId="48877FAB" w14:textId="77777777" w:rsidR="00627C65" w:rsidRDefault="00627C65">
      <w:r>
        <w:br w:type="page"/>
      </w:r>
    </w:p>
    <w:tbl>
      <w:tblPr>
        <w:tblStyle w:val="TableGridLight"/>
        <w:tblW w:w="0" w:type="auto"/>
        <w:tblLook w:val="0600" w:firstRow="0" w:lastRow="0" w:firstColumn="0" w:lastColumn="0" w:noHBand="1" w:noVBand="1"/>
      </w:tblPr>
      <w:tblGrid>
        <w:gridCol w:w="2414"/>
        <w:gridCol w:w="2327"/>
        <w:gridCol w:w="2415"/>
        <w:gridCol w:w="2186"/>
        <w:gridCol w:w="2298"/>
        <w:gridCol w:w="2307"/>
      </w:tblGrid>
      <w:tr w:rsidR="00E34CF3" w:rsidRPr="00627C65" w14:paraId="7568205F" w14:textId="77777777" w:rsidTr="00FA0F69">
        <w:tc>
          <w:tcPr>
            <w:tcW w:w="2414" w:type="dxa"/>
          </w:tcPr>
          <w:p w14:paraId="1139B158" w14:textId="77777777" w:rsidR="00E34CF3" w:rsidRPr="00627C65"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lastRenderedPageBreak/>
              <w:t>Precinct</w:t>
            </w:r>
          </w:p>
        </w:tc>
        <w:tc>
          <w:tcPr>
            <w:tcW w:w="2327" w:type="dxa"/>
          </w:tcPr>
          <w:p w14:paraId="6D5537DC" w14:textId="77777777" w:rsidR="00E34CF3" w:rsidRPr="00627C65" w:rsidRDefault="00E34CF3" w:rsidP="00E34CF3">
            <w:pPr>
              <w:autoSpaceDE w:val="0"/>
              <w:autoSpaceDN w:val="0"/>
              <w:adjustRightInd w:val="0"/>
              <w:spacing w:after="0" w:line="240" w:lineRule="auto"/>
              <w:rPr>
                <w:rFonts w:ascii="Calibri Light" w:hAnsi="Calibri Light" w:cs="Calibri Light"/>
                <w:color w:val="000000"/>
                <w:sz w:val="16"/>
                <w:szCs w:val="16"/>
              </w:rPr>
            </w:pPr>
          </w:p>
        </w:tc>
        <w:tc>
          <w:tcPr>
            <w:tcW w:w="2415" w:type="dxa"/>
          </w:tcPr>
          <w:p w14:paraId="794CEA48" w14:textId="77777777" w:rsidR="00E34CF3" w:rsidRPr="00627C65" w:rsidDel="00E34CF3" w:rsidRDefault="00A91E88"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June 2018</w:t>
            </w:r>
          </w:p>
        </w:tc>
        <w:tc>
          <w:tcPr>
            <w:tcW w:w="2186" w:type="dxa"/>
          </w:tcPr>
          <w:p w14:paraId="16C4B3A3" w14:textId="77777777" w:rsidR="00E34CF3" w:rsidRPr="00627C65" w:rsidRDefault="00A91E88"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December 2018</w:t>
            </w:r>
          </w:p>
        </w:tc>
        <w:tc>
          <w:tcPr>
            <w:tcW w:w="2298" w:type="dxa"/>
          </w:tcPr>
          <w:p w14:paraId="132C21D9" w14:textId="77777777" w:rsidR="00E34CF3" w:rsidRPr="00627C65" w:rsidRDefault="000251AE" w:rsidP="000251AE">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Strategic review of progress and to help inform future directions. </w:t>
            </w:r>
          </w:p>
        </w:tc>
        <w:tc>
          <w:tcPr>
            <w:tcW w:w="2307" w:type="dxa"/>
          </w:tcPr>
          <w:p w14:paraId="1F1B4D10" w14:textId="77777777" w:rsidR="00E34CF3" w:rsidRPr="00627C65" w:rsidRDefault="009011BA"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Mid-term review</w:t>
            </w:r>
          </w:p>
        </w:tc>
      </w:tr>
      <w:tr w:rsidR="00E34CF3" w:rsidRPr="00627C65" w14:paraId="4F0C66FB" w14:textId="77777777" w:rsidTr="00FA0F69">
        <w:tc>
          <w:tcPr>
            <w:tcW w:w="2414" w:type="dxa"/>
          </w:tcPr>
          <w:p w14:paraId="36AEDA3E" w14:textId="77777777" w:rsidR="00E34CF3" w:rsidRPr="00627C65" w:rsidRDefault="009011BA"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Oro Bridges impact assessment</w:t>
            </w:r>
          </w:p>
        </w:tc>
        <w:tc>
          <w:tcPr>
            <w:tcW w:w="2327" w:type="dxa"/>
          </w:tcPr>
          <w:p w14:paraId="6CF74E91" w14:textId="77777777" w:rsidR="00E34CF3" w:rsidRPr="00627C65" w:rsidRDefault="00E34CF3" w:rsidP="00E34CF3">
            <w:pPr>
              <w:autoSpaceDE w:val="0"/>
              <w:autoSpaceDN w:val="0"/>
              <w:adjustRightInd w:val="0"/>
              <w:spacing w:after="0" w:line="240" w:lineRule="auto"/>
              <w:rPr>
                <w:rFonts w:ascii="Calibri Light" w:hAnsi="Calibri Light" w:cs="Calibri Light"/>
                <w:color w:val="000000"/>
                <w:sz w:val="16"/>
                <w:szCs w:val="16"/>
              </w:rPr>
            </w:pPr>
          </w:p>
        </w:tc>
        <w:tc>
          <w:tcPr>
            <w:tcW w:w="2415" w:type="dxa"/>
          </w:tcPr>
          <w:p w14:paraId="668E0CE8" w14:textId="77777777" w:rsidR="00E34CF3" w:rsidRPr="00627C65" w:rsidDel="00E34CF3"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December 2017</w:t>
            </w:r>
          </w:p>
        </w:tc>
        <w:tc>
          <w:tcPr>
            <w:tcW w:w="2186" w:type="dxa"/>
          </w:tcPr>
          <w:p w14:paraId="72920069" w14:textId="77777777" w:rsidR="00E34CF3" w:rsidRPr="00627C65"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September 2018</w:t>
            </w:r>
          </w:p>
        </w:tc>
        <w:tc>
          <w:tcPr>
            <w:tcW w:w="2298" w:type="dxa"/>
          </w:tcPr>
          <w:p w14:paraId="6626BE11" w14:textId="77777777" w:rsidR="00E34CF3" w:rsidRPr="00627C65"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 xml:space="preserve">Determine the impact that the building of bridges in Oro provinces has had on local communities and the economy of the area. </w:t>
            </w:r>
          </w:p>
        </w:tc>
        <w:tc>
          <w:tcPr>
            <w:tcW w:w="2307" w:type="dxa"/>
          </w:tcPr>
          <w:p w14:paraId="7756912D" w14:textId="77777777" w:rsidR="00E34CF3" w:rsidRPr="00627C65" w:rsidRDefault="009011BA"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Impact evaluation</w:t>
            </w:r>
          </w:p>
        </w:tc>
      </w:tr>
      <w:tr w:rsidR="00E34CF3" w:rsidRPr="00C61187" w14:paraId="1A12CEF9" w14:textId="77777777" w:rsidTr="00FA0F69">
        <w:tc>
          <w:tcPr>
            <w:tcW w:w="2414" w:type="dxa"/>
          </w:tcPr>
          <w:p w14:paraId="29D779EF" w14:textId="77777777" w:rsidR="00E34CF3" w:rsidRPr="00627C65" w:rsidRDefault="00E34CF3"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Education b</w:t>
            </w:r>
            <w:r w:rsidR="009011BA" w:rsidRPr="00627C65">
              <w:rPr>
                <w:rFonts w:ascii="Calibri Light" w:hAnsi="Calibri Light" w:cs="Calibri Light"/>
                <w:color w:val="000000"/>
                <w:sz w:val="16"/>
                <w:szCs w:val="16"/>
              </w:rPr>
              <w:t>udget support program</w:t>
            </w:r>
          </w:p>
        </w:tc>
        <w:tc>
          <w:tcPr>
            <w:tcW w:w="2327" w:type="dxa"/>
          </w:tcPr>
          <w:p w14:paraId="4A6D9BFE" w14:textId="77777777" w:rsidR="00E34CF3" w:rsidRPr="00627C65" w:rsidRDefault="00E34CF3" w:rsidP="00E34CF3">
            <w:pPr>
              <w:autoSpaceDE w:val="0"/>
              <w:autoSpaceDN w:val="0"/>
              <w:adjustRightInd w:val="0"/>
              <w:spacing w:after="0" w:line="240" w:lineRule="auto"/>
              <w:rPr>
                <w:rFonts w:ascii="Calibri Light" w:hAnsi="Calibri Light" w:cs="Calibri Light"/>
                <w:color w:val="000000"/>
                <w:sz w:val="16"/>
                <w:szCs w:val="16"/>
              </w:rPr>
            </w:pPr>
          </w:p>
        </w:tc>
        <w:tc>
          <w:tcPr>
            <w:tcW w:w="2415" w:type="dxa"/>
          </w:tcPr>
          <w:p w14:paraId="6A0634C4" w14:textId="77777777" w:rsidR="00E34CF3" w:rsidRPr="00627C65" w:rsidDel="00E34CF3"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February 2018</w:t>
            </w:r>
          </w:p>
        </w:tc>
        <w:tc>
          <w:tcPr>
            <w:tcW w:w="2186" w:type="dxa"/>
          </w:tcPr>
          <w:p w14:paraId="0B2326B6" w14:textId="77777777" w:rsidR="00E34CF3" w:rsidRPr="00627C65"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September 2018</w:t>
            </w:r>
          </w:p>
        </w:tc>
        <w:tc>
          <w:tcPr>
            <w:tcW w:w="2298" w:type="dxa"/>
          </w:tcPr>
          <w:p w14:paraId="5E90CFFC" w14:textId="77777777" w:rsidR="00E34CF3" w:rsidRPr="00627C65" w:rsidRDefault="000251AE"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Review to determine whether the budget support program achieved its intend</w:t>
            </w:r>
            <w:r w:rsidR="007B04E7">
              <w:rPr>
                <w:rFonts w:ascii="Calibri Light" w:hAnsi="Calibri Light" w:cs="Calibri Light"/>
                <w:color w:val="000000"/>
                <w:sz w:val="16"/>
                <w:szCs w:val="16"/>
              </w:rPr>
              <w:t xml:space="preserve">ed outcomes and what impact it </w:t>
            </w:r>
            <w:r w:rsidRPr="00627C65">
              <w:rPr>
                <w:rFonts w:ascii="Calibri Light" w:hAnsi="Calibri Light" w:cs="Calibri Light"/>
                <w:color w:val="000000"/>
                <w:sz w:val="16"/>
                <w:szCs w:val="16"/>
              </w:rPr>
              <w:t xml:space="preserve">had on the education sector. </w:t>
            </w:r>
          </w:p>
        </w:tc>
        <w:tc>
          <w:tcPr>
            <w:tcW w:w="2307" w:type="dxa"/>
          </w:tcPr>
          <w:p w14:paraId="7487D567" w14:textId="77777777" w:rsidR="00E34CF3" w:rsidRPr="00627C65" w:rsidRDefault="009011BA" w:rsidP="00E34CF3">
            <w:pPr>
              <w:keepLines/>
              <w:spacing w:before="40" w:after="40" w:line="200" w:lineRule="atLeast"/>
              <w:rPr>
                <w:rFonts w:ascii="Calibri Light" w:hAnsi="Calibri Light" w:cs="Calibri Light"/>
                <w:color w:val="000000"/>
                <w:sz w:val="16"/>
                <w:szCs w:val="16"/>
              </w:rPr>
            </w:pPr>
            <w:r w:rsidRPr="00627C65">
              <w:rPr>
                <w:rFonts w:ascii="Calibri Light" w:hAnsi="Calibri Light" w:cs="Calibri Light"/>
                <w:color w:val="000000"/>
                <w:sz w:val="16"/>
                <w:szCs w:val="16"/>
              </w:rPr>
              <w:t>Mid-term review</w:t>
            </w:r>
          </w:p>
        </w:tc>
      </w:tr>
    </w:tbl>
    <w:p w14:paraId="5E9AF85A" w14:textId="77777777" w:rsidR="00400B0F" w:rsidRPr="00C61187" w:rsidRDefault="00400B0F" w:rsidP="00400B0F">
      <w:pPr>
        <w:rPr>
          <w:b/>
        </w:rPr>
        <w:sectPr w:rsidR="00400B0F" w:rsidRPr="00C61187" w:rsidSect="006109D2">
          <w:headerReference w:type="even" r:id="rId29"/>
          <w:headerReference w:type="default" r:id="rId30"/>
          <w:footerReference w:type="first" r:id="rId31"/>
          <w:footnotePr>
            <w:numRestart w:val="eachPage"/>
          </w:footnotePr>
          <w:pgSz w:w="16838" w:h="11906" w:orient="landscape" w:code="9"/>
          <w:pgMar w:top="1272" w:right="1814" w:bottom="851" w:left="851" w:header="709" w:footer="230" w:gutter="0"/>
          <w:cols w:space="708"/>
          <w:titlePg/>
          <w:docGrid w:linePitch="360"/>
        </w:sectPr>
      </w:pPr>
    </w:p>
    <w:p w14:paraId="7A3682FD" w14:textId="77777777" w:rsidR="00400B0F" w:rsidRPr="003D3B7A" w:rsidRDefault="00400B0F" w:rsidP="003D3B7A">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tbl>
      <w:tblPr>
        <w:tblStyle w:val="APPR"/>
        <w:tblW w:w="440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55"/>
        <w:gridCol w:w="1193"/>
        <w:gridCol w:w="1196"/>
        <w:gridCol w:w="1196"/>
        <w:gridCol w:w="1188"/>
        <w:gridCol w:w="1195"/>
        <w:gridCol w:w="1187"/>
        <w:gridCol w:w="1191"/>
      </w:tblGrid>
      <w:tr w:rsidR="00AC529E" w:rsidRPr="00C61187" w14:paraId="1E597C81" w14:textId="77777777" w:rsidTr="000C3627">
        <w:trPr>
          <w:cnfStyle w:val="000000010000" w:firstRow="0" w:lastRow="0" w:firstColumn="0" w:lastColumn="0" w:oddVBand="0" w:evenVBand="0" w:oddHBand="0" w:evenHBand="1" w:firstRowFirstColumn="0" w:firstRowLastColumn="0" w:lastRowFirstColumn="0" w:lastRowLastColumn="0"/>
          <w:trHeight w:val="1413"/>
        </w:trPr>
        <w:tc>
          <w:tcPr>
            <w:tcW w:w="973" w:type="pct"/>
            <w:tcBorders>
              <w:bottom w:val="single" w:sz="4" w:space="0" w:color="FFFFFF" w:themeColor="background1"/>
            </w:tcBorders>
          </w:tcPr>
          <w:p w14:paraId="184C0C23"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752448" behindDoc="0" locked="0" layoutInCell="1" allowOverlap="1" wp14:anchorId="198086E4" wp14:editId="72C39538">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718" w:type="pct"/>
            <w:tcBorders>
              <w:bottom w:val="single" w:sz="4" w:space="0" w:color="FFFFFF" w:themeColor="background1"/>
            </w:tcBorders>
            <w:textDirection w:val="btLr"/>
          </w:tcPr>
          <w:p w14:paraId="387A67AB"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58" w:type="pct"/>
            <w:tcBorders>
              <w:bottom w:val="single" w:sz="4" w:space="0" w:color="FFFFFF" w:themeColor="background1"/>
            </w:tcBorders>
            <w:textDirection w:val="btLr"/>
          </w:tcPr>
          <w:p w14:paraId="4AE7D380"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59" w:type="pct"/>
            <w:textDirection w:val="btLr"/>
          </w:tcPr>
          <w:p w14:paraId="3AA9C12C" w14:textId="77777777" w:rsidR="00AC529E" w:rsidRPr="00880004" w:rsidRDefault="00AC529E" w:rsidP="0005232B">
            <w:pPr>
              <w:keepLines/>
              <w:spacing w:before="80" w:after="80" w:line="200" w:lineRule="atLeast"/>
              <w:rPr>
                <w:rFonts w:eastAsia="Times New Roman"/>
                <w:b/>
                <w:iCs/>
                <w:szCs w:val="17"/>
              </w:rPr>
            </w:pPr>
            <w:r>
              <w:rPr>
                <w:rFonts w:eastAsia="Times New Roman"/>
                <w:b/>
                <w:iCs/>
                <w:szCs w:val="17"/>
              </w:rPr>
              <w:t>Effectiveness</w:t>
            </w:r>
          </w:p>
        </w:tc>
        <w:tc>
          <w:tcPr>
            <w:tcW w:w="459" w:type="pct"/>
            <w:textDirection w:val="btLr"/>
          </w:tcPr>
          <w:p w14:paraId="1D648F80"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Efficiency</w:t>
            </w:r>
          </w:p>
        </w:tc>
        <w:tc>
          <w:tcPr>
            <w:tcW w:w="456" w:type="pct"/>
            <w:textDirection w:val="btLr"/>
          </w:tcPr>
          <w:p w14:paraId="35E1E529"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Relevance</w:t>
            </w:r>
          </w:p>
        </w:tc>
        <w:tc>
          <w:tcPr>
            <w:tcW w:w="459" w:type="pct"/>
            <w:textDirection w:val="btLr"/>
          </w:tcPr>
          <w:p w14:paraId="3621308F"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56" w:type="pct"/>
            <w:textDirection w:val="btLr"/>
          </w:tcPr>
          <w:p w14:paraId="3250AF8C"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52" w:type="pct"/>
            <w:textDirection w:val="btLr"/>
          </w:tcPr>
          <w:p w14:paraId="5C6B6047" w14:textId="77777777" w:rsidR="00AC529E" w:rsidRPr="00880004" w:rsidRDefault="00AC529E" w:rsidP="0005232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r>
      <w:tr w:rsidR="003F1D6C" w:rsidRPr="00C61187" w14:paraId="200196AF" w14:textId="77777777" w:rsidTr="00C95EE7">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14:paraId="6A0A2C3D" w14:textId="77777777" w:rsidR="00AC529E" w:rsidRDefault="00AC529E" w:rsidP="00C5192F">
            <w:pPr>
              <w:keepLines/>
              <w:spacing w:before="40" w:after="40" w:line="200" w:lineRule="atLeast"/>
              <w:rPr>
                <w:rFonts w:eastAsia="Times New Roman"/>
                <w:iCs/>
                <w:szCs w:val="17"/>
              </w:rPr>
            </w:pPr>
            <w:r w:rsidRPr="000C5FCA">
              <w:rPr>
                <w:rFonts w:eastAsia="Times New Roman"/>
                <w:iCs/>
                <w:szCs w:val="17"/>
              </w:rPr>
              <w:t>Education Program</w:t>
            </w:r>
          </w:p>
        </w:tc>
        <w:tc>
          <w:tcPr>
            <w:tcW w:w="718" w:type="pct"/>
            <w:tcBorders>
              <w:top w:val="single" w:sz="4" w:space="0" w:color="auto"/>
            </w:tcBorders>
          </w:tcPr>
          <w:p w14:paraId="23501606" w14:textId="77777777" w:rsidR="00AC529E" w:rsidRPr="007C304E" w:rsidRDefault="00AC529E" w:rsidP="00C5192F">
            <w:pPr>
              <w:keepLines/>
              <w:spacing w:before="40" w:after="40" w:line="200" w:lineRule="atLeast"/>
              <w:rPr>
                <w:rFonts w:asciiTheme="minorHAnsi" w:eastAsia="Times New Roman" w:hAnsiTheme="minorHAnsi"/>
                <w:iCs/>
                <w:szCs w:val="17"/>
                <w:lang w:eastAsia="en-US"/>
              </w:rPr>
            </w:pPr>
            <w:r w:rsidRPr="00F00CFB">
              <w:rPr>
                <w:rFonts w:asciiTheme="minorHAnsi" w:eastAsia="Times New Roman" w:hAnsiTheme="minorHAnsi"/>
                <w:iCs/>
                <w:szCs w:val="17"/>
                <w:lang w:eastAsia="en-US"/>
              </w:rPr>
              <w:t>$285m</w:t>
            </w:r>
          </w:p>
        </w:tc>
        <w:tc>
          <w:tcPr>
            <w:tcW w:w="458" w:type="pct"/>
            <w:tcBorders>
              <w:top w:val="single" w:sz="4" w:space="0" w:color="auto"/>
            </w:tcBorders>
          </w:tcPr>
          <w:p w14:paraId="5269B34E" w14:textId="77777777" w:rsidR="00AC529E" w:rsidRPr="00880004" w:rsidRDefault="00195BE6" w:rsidP="00682003">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C000"/>
          </w:tcPr>
          <w:p w14:paraId="3C1089FB" w14:textId="77777777" w:rsidR="00AC529E" w:rsidDel="00F718D4" w:rsidRDefault="00E23929" w:rsidP="00C5192F">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C000"/>
            <w:noWrap/>
          </w:tcPr>
          <w:p w14:paraId="618A496F" w14:textId="77777777" w:rsidR="00AC529E" w:rsidRDefault="00C95EE7" w:rsidP="00C5192F">
            <w:pPr>
              <w:keepLines/>
              <w:spacing w:before="40" w:after="40" w:line="200" w:lineRule="atLeast"/>
              <w:jc w:val="center"/>
              <w:rPr>
                <w:rFonts w:eastAsia="Times New Roman"/>
                <w:iCs/>
                <w:szCs w:val="17"/>
              </w:rPr>
            </w:pPr>
            <w:r>
              <w:rPr>
                <w:rFonts w:eastAsia="Times New Roman"/>
                <w:iCs/>
                <w:szCs w:val="17"/>
              </w:rPr>
              <w:t>3</w:t>
            </w:r>
          </w:p>
        </w:tc>
        <w:tc>
          <w:tcPr>
            <w:tcW w:w="456" w:type="pct"/>
            <w:shd w:val="clear" w:color="auto" w:fill="FFFF00"/>
            <w:noWrap/>
          </w:tcPr>
          <w:p w14:paraId="11300CB5" w14:textId="77777777" w:rsidR="00AC529E" w:rsidRPr="00880004" w:rsidRDefault="00E23929" w:rsidP="00C5192F">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7B642603" w14:textId="77777777" w:rsidR="00AC529E" w:rsidRDefault="00C95EE7" w:rsidP="00C5192F">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14:paraId="4C132C03" w14:textId="77777777" w:rsidR="00AC529E" w:rsidRDefault="00C95EE7" w:rsidP="00C5192F">
            <w:pPr>
              <w:keepLines/>
              <w:spacing w:before="40" w:after="40" w:line="200" w:lineRule="atLeast"/>
              <w:jc w:val="center"/>
              <w:rPr>
                <w:rFonts w:eastAsia="Times New Roman"/>
                <w:iCs/>
                <w:szCs w:val="17"/>
              </w:rPr>
            </w:pPr>
            <w:r>
              <w:rPr>
                <w:rFonts w:eastAsia="Times New Roman"/>
                <w:iCs/>
                <w:szCs w:val="17"/>
              </w:rPr>
              <w:t>3</w:t>
            </w:r>
          </w:p>
        </w:tc>
        <w:tc>
          <w:tcPr>
            <w:tcW w:w="452" w:type="pct"/>
            <w:shd w:val="clear" w:color="auto" w:fill="FFC000"/>
            <w:noWrap/>
          </w:tcPr>
          <w:p w14:paraId="168C50B9" w14:textId="77777777" w:rsidR="00AC529E" w:rsidRDefault="00C95EE7" w:rsidP="00C5192F">
            <w:pPr>
              <w:keepLines/>
              <w:spacing w:before="40" w:after="40" w:line="200" w:lineRule="atLeast"/>
              <w:jc w:val="center"/>
              <w:rPr>
                <w:rFonts w:eastAsia="Times New Roman"/>
                <w:iCs/>
                <w:szCs w:val="17"/>
              </w:rPr>
            </w:pPr>
            <w:r>
              <w:rPr>
                <w:rFonts w:eastAsia="Times New Roman"/>
                <w:iCs/>
                <w:szCs w:val="17"/>
              </w:rPr>
              <w:t>3</w:t>
            </w:r>
          </w:p>
        </w:tc>
      </w:tr>
      <w:tr w:rsidR="00D65DE6" w:rsidRPr="00C61187" w14:paraId="252FF0E7" w14:textId="77777777" w:rsidTr="00942CDE">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14:paraId="77FE8A5E" w14:textId="77777777" w:rsidR="00AC529E" w:rsidRDefault="00AC529E" w:rsidP="00AC529E">
            <w:pPr>
              <w:keepLines/>
              <w:spacing w:before="40" w:after="40" w:line="200" w:lineRule="atLeast"/>
              <w:rPr>
                <w:rFonts w:eastAsia="Times New Roman"/>
                <w:iCs/>
                <w:szCs w:val="17"/>
              </w:rPr>
            </w:pPr>
          </w:p>
        </w:tc>
        <w:tc>
          <w:tcPr>
            <w:tcW w:w="718" w:type="pct"/>
            <w:tcBorders>
              <w:bottom w:val="single" w:sz="4" w:space="0" w:color="auto"/>
            </w:tcBorders>
          </w:tcPr>
          <w:p w14:paraId="7B0F2D55" w14:textId="77777777" w:rsidR="00AC529E" w:rsidRPr="00F00CFB" w:rsidRDefault="00AC529E" w:rsidP="00AC529E">
            <w:pPr>
              <w:keepLines/>
              <w:spacing w:before="40" w:after="40" w:line="200" w:lineRule="atLeast"/>
              <w:rPr>
                <w:rFonts w:eastAsia="Times New Roman"/>
                <w:iCs/>
                <w:szCs w:val="17"/>
              </w:rPr>
            </w:pPr>
            <w:r>
              <w:rPr>
                <w:rFonts w:asciiTheme="minorHAnsi" w:eastAsia="Times New Roman" w:hAnsiTheme="minorHAnsi"/>
                <w:iCs/>
                <w:szCs w:val="17"/>
                <w:lang w:eastAsia="en-US"/>
              </w:rPr>
              <w:t>2011-17</w:t>
            </w:r>
          </w:p>
        </w:tc>
        <w:tc>
          <w:tcPr>
            <w:tcW w:w="458" w:type="pct"/>
            <w:tcBorders>
              <w:bottom w:val="single" w:sz="4" w:space="0" w:color="auto"/>
            </w:tcBorders>
          </w:tcPr>
          <w:p w14:paraId="104B1962"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FF00"/>
          </w:tcPr>
          <w:p w14:paraId="2C196FB0"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66DE776B" w14:textId="77777777" w:rsidR="00AC529E" w:rsidRPr="00880004" w:rsidRDefault="00AC529E" w:rsidP="00AC529E">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5</w:t>
            </w:r>
          </w:p>
        </w:tc>
        <w:tc>
          <w:tcPr>
            <w:tcW w:w="456" w:type="pct"/>
            <w:shd w:val="clear" w:color="auto" w:fill="FFFF00"/>
            <w:noWrap/>
          </w:tcPr>
          <w:p w14:paraId="7F9844D2" w14:textId="77777777" w:rsidR="00AC529E" w:rsidRPr="00880004" w:rsidRDefault="00AC529E" w:rsidP="00AC529E">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c>
          <w:tcPr>
            <w:tcW w:w="459" w:type="pct"/>
            <w:shd w:val="clear" w:color="auto" w:fill="FFFF00"/>
            <w:noWrap/>
          </w:tcPr>
          <w:p w14:paraId="0F951D49" w14:textId="77777777" w:rsidR="00AC529E" w:rsidRPr="00880004" w:rsidRDefault="00AC529E" w:rsidP="00AC529E">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c>
          <w:tcPr>
            <w:tcW w:w="456" w:type="pct"/>
            <w:shd w:val="clear" w:color="auto" w:fill="FFFF00"/>
            <w:noWrap/>
          </w:tcPr>
          <w:p w14:paraId="669129B2" w14:textId="77777777" w:rsidR="00AC529E" w:rsidRPr="00880004" w:rsidRDefault="00AC529E" w:rsidP="00AC529E">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c>
          <w:tcPr>
            <w:tcW w:w="452" w:type="pct"/>
            <w:shd w:val="clear" w:color="auto" w:fill="FFFF00"/>
            <w:noWrap/>
          </w:tcPr>
          <w:p w14:paraId="69F989FF" w14:textId="77777777" w:rsidR="00AC529E" w:rsidRPr="00880004" w:rsidRDefault="00AC529E" w:rsidP="00AC529E">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r>
      <w:tr w:rsidR="003F1D6C" w:rsidRPr="00C61187" w14:paraId="6ED33178" w14:textId="77777777" w:rsidTr="00E23929">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3B398BA9" w14:textId="77777777" w:rsidR="00AC529E" w:rsidRDefault="00AC529E" w:rsidP="00AC529E">
            <w:pPr>
              <w:keepLines/>
              <w:spacing w:before="40" w:after="40" w:line="200" w:lineRule="atLeast"/>
              <w:rPr>
                <w:rFonts w:eastAsia="Times New Roman"/>
                <w:iCs/>
                <w:szCs w:val="17"/>
              </w:rPr>
            </w:pPr>
            <w:r>
              <w:rPr>
                <w:rFonts w:eastAsia="Times New Roman"/>
                <w:iCs/>
                <w:szCs w:val="17"/>
              </w:rPr>
              <w:t>Australia Awards PNG</w:t>
            </w:r>
          </w:p>
        </w:tc>
        <w:tc>
          <w:tcPr>
            <w:tcW w:w="718" w:type="pct"/>
          </w:tcPr>
          <w:p w14:paraId="29AF9FA6"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$175m</w:t>
            </w:r>
          </w:p>
        </w:tc>
        <w:tc>
          <w:tcPr>
            <w:tcW w:w="458" w:type="pct"/>
          </w:tcPr>
          <w:p w14:paraId="518C6132" w14:textId="77777777" w:rsidR="00AC529E" w:rsidRPr="00880004" w:rsidRDefault="005B7B8C" w:rsidP="00AC529E">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1179965B" w14:textId="77777777" w:rsidR="00AC529E" w:rsidDel="00F257E9" w:rsidRDefault="00E23929"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0089D6B6" w14:textId="77777777" w:rsidR="00AC529E" w:rsidRDefault="00E23929"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42FEB9B1" w14:textId="77777777" w:rsidR="00AC529E" w:rsidRPr="00880004" w:rsidRDefault="00E23929"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41269045" w14:textId="77777777" w:rsidR="00AC529E" w:rsidRDefault="00E23929"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14:paraId="7F798B9E" w14:textId="77777777" w:rsidR="00AC529E" w:rsidRDefault="00E23929"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FFFF00"/>
            <w:noWrap/>
          </w:tcPr>
          <w:p w14:paraId="74EE2375" w14:textId="77777777" w:rsidR="00AC529E" w:rsidRDefault="00E23929" w:rsidP="00AC529E">
            <w:pPr>
              <w:keepLines/>
              <w:spacing w:before="40" w:after="40" w:line="200" w:lineRule="atLeast"/>
              <w:jc w:val="center"/>
              <w:rPr>
                <w:rFonts w:eastAsia="Times New Roman"/>
                <w:iCs/>
                <w:szCs w:val="17"/>
              </w:rPr>
            </w:pPr>
            <w:r>
              <w:rPr>
                <w:rFonts w:eastAsia="Times New Roman"/>
                <w:iCs/>
                <w:szCs w:val="17"/>
              </w:rPr>
              <w:t>4</w:t>
            </w:r>
          </w:p>
        </w:tc>
      </w:tr>
      <w:tr w:rsidR="003F1D6C" w:rsidRPr="00C61187" w14:paraId="3155DE2F" w14:textId="77777777" w:rsidTr="00AC529E">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371DAD13" w14:textId="77777777" w:rsidR="00AC529E" w:rsidRDefault="00AC529E" w:rsidP="00AC529E">
            <w:pPr>
              <w:keepLines/>
              <w:spacing w:before="40" w:after="40" w:line="200" w:lineRule="atLeast"/>
              <w:rPr>
                <w:rFonts w:eastAsia="Times New Roman"/>
                <w:iCs/>
                <w:szCs w:val="17"/>
              </w:rPr>
            </w:pPr>
          </w:p>
        </w:tc>
        <w:tc>
          <w:tcPr>
            <w:tcW w:w="718" w:type="pct"/>
          </w:tcPr>
          <w:p w14:paraId="08857BB6"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2016-2021</w:t>
            </w:r>
          </w:p>
        </w:tc>
        <w:tc>
          <w:tcPr>
            <w:tcW w:w="458" w:type="pct"/>
          </w:tcPr>
          <w:p w14:paraId="03E7A560"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68C00673"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29C45AEC"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6CE0CDD9" w14:textId="77777777" w:rsidR="00AC529E" w:rsidRPr="00880004"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0745EDEE"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14:paraId="20C56CC0"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92D050"/>
            <w:noWrap/>
          </w:tcPr>
          <w:p w14:paraId="50E9B872"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r>
      <w:tr w:rsidR="003F1D6C" w:rsidRPr="00C61187" w14:paraId="45259998" w14:textId="77777777" w:rsidTr="00A2405E">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14:paraId="463972B6" w14:textId="77777777" w:rsidR="00AC529E" w:rsidRDefault="00AC529E" w:rsidP="00AC529E">
            <w:pPr>
              <w:keepLines/>
              <w:spacing w:before="40" w:after="40" w:line="200" w:lineRule="atLeast"/>
              <w:rPr>
                <w:rFonts w:eastAsia="Times New Roman"/>
                <w:iCs/>
                <w:szCs w:val="17"/>
              </w:rPr>
            </w:pPr>
            <w:r>
              <w:rPr>
                <w:rFonts w:eastAsia="Times New Roman"/>
                <w:iCs/>
                <w:szCs w:val="17"/>
              </w:rPr>
              <w:t xml:space="preserve">Health Capacity Development </w:t>
            </w:r>
          </w:p>
        </w:tc>
        <w:tc>
          <w:tcPr>
            <w:tcW w:w="718" w:type="pct"/>
            <w:tcBorders>
              <w:top w:val="single" w:sz="4" w:space="0" w:color="auto"/>
            </w:tcBorders>
          </w:tcPr>
          <w:p w14:paraId="24F28E74"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$292m</w:t>
            </w:r>
          </w:p>
        </w:tc>
        <w:tc>
          <w:tcPr>
            <w:tcW w:w="458" w:type="pct"/>
            <w:tcBorders>
              <w:top w:val="single" w:sz="4" w:space="0" w:color="auto"/>
            </w:tcBorders>
          </w:tcPr>
          <w:p w14:paraId="084FC5EB" w14:textId="77777777" w:rsidR="00AC529E" w:rsidRPr="00880004" w:rsidRDefault="005B7B8C" w:rsidP="00AC529E">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776890AD" w14:textId="77777777" w:rsidR="00AC529E" w:rsidDel="00F257E9" w:rsidRDefault="00D17786"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0183218E" w14:textId="77777777" w:rsidR="00AC529E" w:rsidRDefault="00D17786"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14:paraId="1EAAFCDC" w14:textId="77777777" w:rsidR="00AC529E" w:rsidRPr="00880004" w:rsidRDefault="00D17786"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20B34736" w14:textId="77777777" w:rsidR="00AC529E" w:rsidRDefault="00D17786"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14:paraId="18BFA5F1" w14:textId="77777777" w:rsidR="00AC529E" w:rsidRDefault="00D17786" w:rsidP="00AC529E">
            <w:pPr>
              <w:keepLines/>
              <w:spacing w:before="40" w:after="40" w:line="200" w:lineRule="atLeast"/>
              <w:jc w:val="center"/>
              <w:rPr>
                <w:rFonts w:eastAsia="Times New Roman"/>
                <w:iCs/>
                <w:szCs w:val="17"/>
              </w:rPr>
            </w:pPr>
            <w:r>
              <w:rPr>
                <w:rFonts w:eastAsia="Times New Roman"/>
                <w:iCs/>
                <w:szCs w:val="17"/>
              </w:rPr>
              <w:t>3</w:t>
            </w:r>
          </w:p>
        </w:tc>
        <w:tc>
          <w:tcPr>
            <w:tcW w:w="452" w:type="pct"/>
            <w:shd w:val="clear" w:color="auto" w:fill="FFFF00"/>
            <w:noWrap/>
          </w:tcPr>
          <w:p w14:paraId="0B4DDD0B" w14:textId="77777777" w:rsidR="00AC529E" w:rsidRDefault="00D17786" w:rsidP="00AC529E">
            <w:pPr>
              <w:keepLines/>
              <w:spacing w:before="40" w:after="40" w:line="200" w:lineRule="atLeast"/>
              <w:jc w:val="center"/>
              <w:rPr>
                <w:rFonts w:eastAsia="Times New Roman"/>
                <w:iCs/>
                <w:szCs w:val="17"/>
              </w:rPr>
            </w:pPr>
            <w:r>
              <w:rPr>
                <w:rFonts w:eastAsia="Times New Roman"/>
                <w:iCs/>
                <w:szCs w:val="17"/>
              </w:rPr>
              <w:t>4</w:t>
            </w:r>
          </w:p>
        </w:tc>
      </w:tr>
      <w:tr w:rsidR="003F1D6C" w:rsidRPr="00C61187" w14:paraId="32C5637F" w14:textId="77777777" w:rsidTr="00A2405E">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4E822CF4" w14:textId="77777777" w:rsidR="00AC529E" w:rsidRDefault="00AC529E" w:rsidP="00AC529E">
            <w:pPr>
              <w:keepLines/>
              <w:spacing w:before="40" w:after="40" w:line="200" w:lineRule="atLeast"/>
              <w:rPr>
                <w:rFonts w:eastAsia="Times New Roman"/>
                <w:iCs/>
                <w:szCs w:val="17"/>
              </w:rPr>
            </w:pPr>
            <w:r>
              <w:rPr>
                <w:rFonts w:eastAsia="Times New Roman"/>
                <w:iCs/>
                <w:szCs w:val="17"/>
              </w:rPr>
              <w:t>&amp; Service Delivery</w:t>
            </w:r>
          </w:p>
        </w:tc>
        <w:tc>
          <w:tcPr>
            <w:tcW w:w="718" w:type="pct"/>
          </w:tcPr>
          <w:p w14:paraId="73036ECB"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2011-17</w:t>
            </w:r>
          </w:p>
        </w:tc>
        <w:tc>
          <w:tcPr>
            <w:tcW w:w="458" w:type="pct"/>
          </w:tcPr>
          <w:p w14:paraId="65BE6000"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FF00"/>
          </w:tcPr>
          <w:p w14:paraId="5375BC63"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66C8FA61"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473A41F7" w14:textId="77777777" w:rsidR="00AC529E" w:rsidRPr="00880004"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21017BB2"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14:paraId="50F322C5"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3</w:t>
            </w:r>
          </w:p>
        </w:tc>
        <w:tc>
          <w:tcPr>
            <w:tcW w:w="452" w:type="pct"/>
            <w:shd w:val="clear" w:color="auto" w:fill="FFFF00"/>
            <w:noWrap/>
          </w:tcPr>
          <w:p w14:paraId="1A89C7DF"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r>
      <w:tr w:rsidR="003F1D6C" w:rsidRPr="00C61187" w14:paraId="4FE9659D" w14:textId="77777777" w:rsidTr="00A2405E">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14:paraId="5986BC6D" w14:textId="77777777" w:rsidR="00AC529E" w:rsidRDefault="00AC529E" w:rsidP="00AC529E">
            <w:pPr>
              <w:keepLines/>
              <w:spacing w:before="40" w:after="40" w:line="200" w:lineRule="atLeast"/>
              <w:rPr>
                <w:rFonts w:eastAsia="Times New Roman"/>
                <w:iCs/>
                <w:szCs w:val="17"/>
              </w:rPr>
            </w:pPr>
            <w:r>
              <w:rPr>
                <w:rFonts w:eastAsia="Times New Roman"/>
                <w:iCs/>
                <w:szCs w:val="17"/>
              </w:rPr>
              <w:t>PNG Health &amp; HIV Multilateral</w:t>
            </w:r>
          </w:p>
        </w:tc>
        <w:tc>
          <w:tcPr>
            <w:tcW w:w="718" w:type="pct"/>
            <w:tcBorders>
              <w:top w:val="single" w:sz="4" w:space="0" w:color="auto"/>
            </w:tcBorders>
          </w:tcPr>
          <w:p w14:paraId="20F791C4"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$68m</w:t>
            </w:r>
          </w:p>
        </w:tc>
        <w:tc>
          <w:tcPr>
            <w:tcW w:w="458" w:type="pct"/>
            <w:tcBorders>
              <w:top w:val="single" w:sz="4" w:space="0" w:color="auto"/>
            </w:tcBorders>
          </w:tcPr>
          <w:p w14:paraId="549FE2D2" w14:textId="77777777" w:rsidR="00AC529E" w:rsidRPr="00880004" w:rsidRDefault="005B7B8C" w:rsidP="00AC529E">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14CD6B3B" w14:textId="77777777" w:rsidR="00AC529E" w:rsidDel="00F257E9" w:rsidRDefault="00932A30"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27978137" w14:textId="77777777" w:rsidR="00AC529E" w:rsidRDefault="00932A30"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7A44D918" w14:textId="77777777" w:rsidR="00AC529E" w:rsidRPr="00880004" w:rsidRDefault="00932A30"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FFFF00"/>
            <w:noWrap/>
          </w:tcPr>
          <w:p w14:paraId="3E495DD0" w14:textId="77777777" w:rsidR="00AC529E" w:rsidRDefault="00932A30"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1FA0C437" w14:textId="77777777" w:rsidR="00AC529E" w:rsidRDefault="0048013B"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92D050"/>
            <w:noWrap/>
          </w:tcPr>
          <w:p w14:paraId="759428AD" w14:textId="77777777" w:rsidR="00AC529E" w:rsidRDefault="00932A30" w:rsidP="00AC529E">
            <w:pPr>
              <w:keepLines/>
              <w:spacing w:before="40" w:after="40" w:line="200" w:lineRule="atLeast"/>
              <w:jc w:val="center"/>
              <w:rPr>
                <w:rFonts w:eastAsia="Times New Roman"/>
                <w:iCs/>
                <w:szCs w:val="17"/>
              </w:rPr>
            </w:pPr>
            <w:r>
              <w:rPr>
                <w:rFonts w:eastAsia="Times New Roman"/>
                <w:iCs/>
                <w:szCs w:val="17"/>
              </w:rPr>
              <w:t>5</w:t>
            </w:r>
          </w:p>
        </w:tc>
      </w:tr>
      <w:tr w:rsidR="003F1D6C" w:rsidRPr="00C61187" w14:paraId="20C1D162" w14:textId="77777777" w:rsidTr="00A2405E">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47EC201C" w14:textId="77777777" w:rsidR="00AC529E" w:rsidRDefault="00AC529E" w:rsidP="00AC529E">
            <w:pPr>
              <w:keepLines/>
              <w:spacing w:before="40" w:after="40" w:line="200" w:lineRule="atLeast"/>
              <w:rPr>
                <w:rFonts w:eastAsia="Times New Roman"/>
                <w:iCs/>
                <w:szCs w:val="17"/>
              </w:rPr>
            </w:pPr>
            <w:r>
              <w:rPr>
                <w:rFonts w:eastAsia="Times New Roman"/>
                <w:iCs/>
                <w:szCs w:val="17"/>
              </w:rPr>
              <w:t>Partnerships</w:t>
            </w:r>
          </w:p>
        </w:tc>
        <w:tc>
          <w:tcPr>
            <w:tcW w:w="718" w:type="pct"/>
          </w:tcPr>
          <w:p w14:paraId="4898B77A"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2011-16</w:t>
            </w:r>
          </w:p>
        </w:tc>
        <w:tc>
          <w:tcPr>
            <w:tcW w:w="458" w:type="pct"/>
          </w:tcPr>
          <w:p w14:paraId="25C38CFA"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5A041B80"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6A9FDEAE"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122EA99B" w14:textId="77777777" w:rsidR="00AC529E" w:rsidRPr="00880004" w:rsidRDefault="00AC529E" w:rsidP="00AC529E">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FFFF00"/>
            <w:noWrap/>
          </w:tcPr>
          <w:p w14:paraId="232D6478"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1F741C2C"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92D050"/>
            <w:noWrap/>
          </w:tcPr>
          <w:p w14:paraId="44698FE3"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r>
      <w:tr w:rsidR="003F1D6C" w:rsidRPr="00C61187" w14:paraId="6DEE75DB" w14:textId="77777777" w:rsidTr="004579DF">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14:paraId="468A4EE1" w14:textId="77777777" w:rsidR="00AC529E" w:rsidRDefault="00AC529E" w:rsidP="00AC529E">
            <w:pPr>
              <w:keepLines/>
              <w:spacing w:before="40" w:after="40" w:line="200" w:lineRule="atLeast"/>
              <w:rPr>
                <w:rFonts w:eastAsia="Times New Roman"/>
                <w:iCs/>
                <w:szCs w:val="17"/>
              </w:rPr>
            </w:pPr>
            <w:r>
              <w:rPr>
                <w:rFonts w:eastAsia="Times New Roman"/>
                <w:iCs/>
                <w:szCs w:val="17"/>
              </w:rPr>
              <w:t xml:space="preserve">Transport Sector Support </w:t>
            </w:r>
          </w:p>
        </w:tc>
        <w:tc>
          <w:tcPr>
            <w:tcW w:w="718" w:type="pct"/>
            <w:tcBorders>
              <w:top w:val="single" w:sz="4" w:space="0" w:color="auto"/>
            </w:tcBorders>
          </w:tcPr>
          <w:p w14:paraId="4300E302" w14:textId="56D2EB04" w:rsidR="00AC529E" w:rsidRPr="00F00CFB" w:rsidRDefault="00582288" w:rsidP="00AC529E">
            <w:pPr>
              <w:keepLines/>
              <w:spacing w:before="40" w:after="40" w:line="200" w:lineRule="atLeast"/>
              <w:rPr>
                <w:rFonts w:eastAsia="Times New Roman"/>
                <w:iCs/>
                <w:szCs w:val="17"/>
              </w:rPr>
            </w:pPr>
            <w:r>
              <w:rPr>
                <w:rFonts w:eastAsia="Times New Roman"/>
                <w:iCs/>
                <w:szCs w:val="17"/>
              </w:rPr>
              <w:t>$40</w:t>
            </w:r>
            <w:r w:rsidR="00AC529E">
              <w:rPr>
                <w:rFonts w:eastAsia="Times New Roman"/>
                <w:iCs/>
                <w:szCs w:val="17"/>
              </w:rPr>
              <w:t>0m</w:t>
            </w:r>
          </w:p>
        </w:tc>
        <w:tc>
          <w:tcPr>
            <w:tcW w:w="458" w:type="pct"/>
            <w:tcBorders>
              <w:top w:val="single" w:sz="4" w:space="0" w:color="auto"/>
            </w:tcBorders>
          </w:tcPr>
          <w:p w14:paraId="14119254" w14:textId="77777777" w:rsidR="00AC529E" w:rsidRPr="00880004" w:rsidRDefault="005B7B8C" w:rsidP="00AC529E">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012768C0" w14:textId="77777777" w:rsidR="00AC529E" w:rsidDel="00F257E9" w:rsidRDefault="004579DF"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5FEA451F" w14:textId="77777777" w:rsidR="00AC529E" w:rsidRDefault="004579DF"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396A9905" w14:textId="77777777" w:rsidR="00AC529E" w:rsidRPr="00880004" w:rsidRDefault="004579DF"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FFFF00"/>
            <w:noWrap/>
          </w:tcPr>
          <w:p w14:paraId="497D2331" w14:textId="77777777" w:rsidR="00AC529E" w:rsidRDefault="004579DF"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60BBE87D" w14:textId="77777777" w:rsidR="00AC529E" w:rsidRDefault="004579DF"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FFFF00"/>
            <w:noWrap/>
          </w:tcPr>
          <w:p w14:paraId="23D2ED83" w14:textId="77777777" w:rsidR="00AC529E" w:rsidRDefault="004579DF" w:rsidP="00AC529E">
            <w:pPr>
              <w:keepLines/>
              <w:spacing w:before="40" w:after="40" w:line="200" w:lineRule="atLeast"/>
              <w:jc w:val="center"/>
              <w:rPr>
                <w:rFonts w:eastAsia="Times New Roman"/>
                <w:iCs/>
                <w:szCs w:val="17"/>
              </w:rPr>
            </w:pPr>
            <w:r>
              <w:rPr>
                <w:rFonts w:eastAsia="Times New Roman"/>
                <w:iCs/>
                <w:szCs w:val="17"/>
              </w:rPr>
              <w:t>4</w:t>
            </w:r>
          </w:p>
        </w:tc>
      </w:tr>
      <w:tr w:rsidR="003F1D6C" w:rsidRPr="00C61187" w14:paraId="2ABAF41F" w14:textId="77777777" w:rsidTr="004F381B">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14:paraId="702C4665" w14:textId="77777777" w:rsidR="00AC529E" w:rsidRDefault="00AC529E" w:rsidP="00AC529E">
            <w:pPr>
              <w:keepLines/>
              <w:spacing w:before="40" w:after="40" w:line="200" w:lineRule="atLeast"/>
              <w:rPr>
                <w:rFonts w:eastAsia="Times New Roman"/>
                <w:iCs/>
                <w:szCs w:val="17"/>
              </w:rPr>
            </w:pPr>
            <w:r>
              <w:rPr>
                <w:rFonts w:eastAsia="Times New Roman"/>
                <w:iCs/>
                <w:szCs w:val="17"/>
              </w:rPr>
              <w:t>Program – Phase 2</w:t>
            </w:r>
          </w:p>
        </w:tc>
        <w:tc>
          <w:tcPr>
            <w:tcW w:w="718" w:type="pct"/>
            <w:tcBorders>
              <w:bottom w:val="single" w:sz="4" w:space="0" w:color="auto"/>
            </w:tcBorders>
          </w:tcPr>
          <w:p w14:paraId="6D9589FF"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2015-19</w:t>
            </w:r>
          </w:p>
        </w:tc>
        <w:tc>
          <w:tcPr>
            <w:tcW w:w="458" w:type="pct"/>
            <w:tcBorders>
              <w:bottom w:val="single" w:sz="4" w:space="0" w:color="auto"/>
            </w:tcBorders>
          </w:tcPr>
          <w:p w14:paraId="1CDBFED7"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3ECC33AE"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3AE76F2E"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5BA110CD" w14:textId="77777777" w:rsidR="00AC529E" w:rsidRPr="00880004" w:rsidRDefault="00AC529E" w:rsidP="00AC529E">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FFFF00"/>
            <w:noWrap/>
          </w:tcPr>
          <w:p w14:paraId="4D0E6130"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3BB34AAD"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92D050"/>
            <w:noWrap/>
          </w:tcPr>
          <w:p w14:paraId="68449953"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r>
      <w:tr w:rsidR="003F1D6C" w:rsidRPr="00C61187" w14:paraId="34BA29A8" w14:textId="77777777" w:rsidTr="00671849">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61342379" w14:textId="77777777" w:rsidR="00AC529E" w:rsidRDefault="00AC529E" w:rsidP="00AC529E">
            <w:pPr>
              <w:keepLines/>
              <w:spacing w:before="40" w:after="40" w:line="200" w:lineRule="atLeast"/>
              <w:rPr>
                <w:rFonts w:eastAsia="Times New Roman"/>
                <w:iCs/>
                <w:szCs w:val="17"/>
              </w:rPr>
            </w:pPr>
            <w:r>
              <w:rPr>
                <w:rFonts w:eastAsia="Times New Roman"/>
                <w:iCs/>
                <w:szCs w:val="17"/>
              </w:rPr>
              <w:t>Incentive Fund Phase IV</w:t>
            </w:r>
          </w:p>
        </w:tc>
        <w:tc>
          <w:tcPr>
            <w:tcW w:w="718" w:type="pct"/>
          </w:tcPr>
          <w:p w14:paraId="2841CD79"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$100m</w:t>
            </w:r>
          </w:p>
        </w:tc>
        <w:tc>
          <w:tcPr>
            <w:tcW w:w="458" w:type="pct"/>
          </w:tcPr>
          <w:p w14:paraId="7F745FBD" w14:textId="77777777" w:rsidR="00AC529E" w:rsidRPr="00880004" w:rsidRDefault="005B7B8C" w:rsidP="00AC529E">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92D050"/>
          </w:tcPr>
          <w:p w14:paraId="2E89CC20" w14:textId="77777777" w:rsidR="00AC529E" w:rsidRDefault="00671849"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FFFF00"/>
            <w:noWrap/>
          </w:tcPr>
          <w:p w14:paraId="7768A1D7" w14:textId="77777777" w:rsidR="00AC529E" w:rsidRDefault="00671849"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92D050"/>
            <w:noWrap/>
          </w:tcPr>
          <w:p w14:paraId="0415BA7B" w14:textId="77777777" w:rsidR="00AC529E" w:rsidRPr="00880004" w:rsidRDefault="00671849" w:rsidP="00AC529E">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92D050"/>
            <w:noWrap/>
          </w:tcPr>
          <w:p w14:paraId="509FC072" w14:textId="77777777" w:rsidR="00AC529E" w:rsidRDefault="00671849"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1BA6C55C" w14:textId="77777777" w:rsidR="00AC529E" w:rsidRDefault="00671849" w:rsidP="00AC529E">
            <w:pPr>
              <w:keepLines/>
              <w:spacing w:before="40" w:after="40" w:line="200" w:lineRule="atLeast"/>
              <w:jc w:val="center"/>
              <w:rPr>
                <w:rFonts w:eastAsia="Times New Roman"/>
                <w:iCs/>
                <w:szCs w:val="17"/>
              </w:rPr>
            </w:pPr>
            <w:r>
              <w:rPr>
                <w:rFonts w:eastAsia="Times New Roman"/>
                <w:iCs/>
                <w:szCs w:val="17"/>
              </w:rPr>
              <w:t>5</w:t>
            </w:r>
          </w:p>
        </w:tc>
        <w:tc>
          <w:tcPr>
            <w:tcW w:w="452" w:type="pct"/>
            <w:shd w:val="clear" w:color="auto" w:fill="92D050"/>
            <w:noWrap/>
          </w:tcPr>
          <w:p w14:paraId="67EE1C22" w14:textId="77777777" w:rsidR="00AC529E" w:rsidRDefault="00671849" w:rsidP="00AC529E">
            <w:pPr>
              <w:keepLines/>
              <w:spacing w:before="40" w:after="40" w:line="200" w:lineRule="atLeast"/>
              <w:jc w:val="center"/>
              <w:rPr>
                <w:rFonts w:eastAsia="Times New Roman"/>
                <w:iCs/>
                <w:szCs w:val="17"/>
              </w:rPr>
            </w:pPr>
            <w:r>
              <w:rPr>
                <w:rFonts w:eastAsia="Times New Roman"/>
                <w:iCs/>
                <w:szCs w:val="17"/>
              </w:rPr>
              <w:t>5</w:t>
            </w:r>
          </w:p>
        </w:tc>
      </w:tr>
      <w:tr w:rsidR="003F1D6C" w:rsidRPr="00C61187" w14:paraId="100B393F" w14:textId="77777777" w:rsidTr="00AC529E">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14:paraId="64DCDBAF" w14:textId="77777777" w:rsidR="00AC529E" w:rsidRDefault="00AC529E" w:rsidP="00AC529E">
            <w:pPr>
              <w:keepLines/>
              <w:spacing w:before="40" w:after="40" w:line="200" w:lineRule="atLeast"/>
              <w:rPr>
                <w:rFonts w:eastAsia="Times New Roman"/>
                <w:iCs/>
                <w:szCs w:val="17"/>
              </w:rPr>
            </w:pPr>
          </w:p>
        </w:tc>
        <w:tc>
          <w:tcPr>
            <w:tcW w:w="718" w:type="pct"/>
            <w:tcBorders>
              <w:bottom w:val="single" w:sz="4" w:space="0" w:color="auto"/>
            </w:tcBorders>
          </w:tcPr>
          <w:p w14:paraId="07E4B79F"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2015-21</w:t>
            </w:r>
          </w:p>
        </w:tc>
        <w:tc>
          <w:tcPr>
            <w:tcW w:w="458" w:type="pct"/>
            <w:tcBorders>
              <w:bottom w:val="single" w:sz="4" w:space="0" w:color="auto"/>
            </w:tcBorders>
          </w:tcPr>
          <w:p w14:paraId="6C650994"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7B2D6328"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92D050"/>
            <w:noWrap/>
          </w:tcPr>
          <w:p w14:paraId="1741E10E"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5563A2BD" w14:textId="77777777" w:rsidR="00AC529E" w:rsidRPr="00880004"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6A66FF87"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0C65DA34"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2" w:type="pct"/>
            <w:shd w:val="clear" w:color="auto" w:fill="92D050"/>
            <w:noWrap/>
          </w:tcPr>
          <w:p w14:paraId="3A70AF8B"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r>
      <w:tr w:rsidR="003F1D6C" w:rsidRPr="00C61187" w14:paraId="1258D93F" w14:textId="77777777" w:rsidTr="00A3582F">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199FDFE2" w14:textId="77777777" w:rsidR="00AC529E" w:rsidRDefault="00AC529E" w:rsidP="00AC529E">
            <w:pPr>
              <w:keepLines/>
              <w:spacing w:before="40" w:after="40" w:line="200" w:lineRule="atLeast"/>
              <w:rPr>
                <w:rFonts w:eastAsia="Times New Roman"/>
                <w:iCs/>
                <w:szCs w:val="17"/>
              </w:rPr>
            </w:pPr>
            <w:r>
              <w:rPr>
                <w:rFonts w:eastAsia="Times New Roman"/>
                <w:iCs/>
                <w:szCs w:val="17"/>
              </w:rPr>
              <w:t xml:space="preserve">Justice Services Stability for </w:t>
            </w:r>
          </w:p>
        </w:tc>
        <w:tc>
          <w:tcPr>
            <w:tcW w:w="718" w:type="pct"/>
          </w:tcPr>
          <w:p w14:paraId="255CAB35"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$100m</w:t>
            </w:r>
          </w:p>
        </w:tc>
        <w:tc>
          <w:tcPr>
            <w:tcW w:w="458" w:type="pct"/>
          </w:tcPr>
          <w:p w14:paraId="6F20DC61" w14:textId="77777777" w:rsidR="00AC529E" w:rsidRPr="00880004" w:rsidRDefault="005B7B8C" w:rsidP="00AC529E">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5AB3640E" w14:textId="77777777" w:rsidR="00AC529E" w:rsidRDefault="00C3715D"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2F125FCD" w14:textId="77777777" w:rsidR="00AC529E" w:rsidRDefault="00C3715D"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92D050"/>
            <w:noWrap/>
          </w:tcPr>
          <w:p w14:paraId="6EF218D5" w14:textId="77777777" w:rsidR="00AC529E" w:rsidRPr="00880004" w:rsidRDefault="00C3715D"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58AF89A8" w14:textId="77777777" w:rsidR="00AC529E" w:rsidRDefault="00C3715D" w:rsidP="00AC529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C000"/>
            <w:noWrap/>
          </w:tcPr>
          <w:p w14:paraId="6140C99F" w14:textId="77777777" w:rsidR="00AC529E" w:rsidRDefault="00C3715D" w:rsidP="00AC529E">
            <w:pPr>
              <w:keepLines/>
              <w:spacing w:before="40" w:after="40" w:line="200" w:lineRule="atLeast"/>
              <w:jc w:val="center"/>
              <w:rPr>
                <w:rFonts w:eastAsia="Times New Roman"/>
                <w:iCs/>
                <w:szCs w:val="17"/>
              </w:rPr>
            </w:pPr>
            <w:r>
              <w:rPr>
                <w:rFonts w:eastAsia="Times New Roman"/>
                <w:iCs/>
                <w:szCs w:val="17"/>
              </w:rPr>
              <w:t>3</w:t>
            </w:r>
          </w:p>
        </w:tc>
        <w:tc>
          <w:tcPr>
            <w:tcW w:w="452" w:type="pct"/>
            <w:shd w:val="clear" w:color="auto" w:fill="FFFF00"/>
            <w:noWrap/>
          </w:tcPr>
          <w:p w14:paraId="0D83BF91" w14:textId="77777777" w:rsidR="00AC529E" w:rsidRDefault="00C3715D" w:rsidP="00AC529E">
            <w:pPr>
              <w:keepLines/>
              <w:spacing w:before="40" w:after="40" w:line="200" w:lineRule="atLeast"/>
              <w:jc w:val="center"/>
              <w:rPr>
                <w:rFonts w:eastAsia="Times New Roman"/>
                <w:iCs/>
                <w:szCs w:val="17"/>
              </w:rPr>
            </w:pPr>
            <w:r>
              <w:rPr>
                <w:rFonts w:eastAsia="Times New Roman"/>
                <w:iCs/>
                <w:szCs w:val="17"/>
              </w:rPr>
              <w:t>4</w:t>
            </w:r>
          </w:p>
        </w:tc>
      </w:tr>
      <w:tr w:rsidR="00A51BBC" w:rsidRPr="00C61187" w14:paraId="0AFE80D2" w14:textId="77777777" w:rsidTr="007E0B6F">
        <w:trPr>
          <w:cnfStyle w:val="000000010000" w:firstRow="0" w:lastRow="0" w:firstColumn="0" w:lastColumn="0" w:oddVBand="0" w:evenVBand="0" w:oddHBand="0" w:evenHBand="1" w:firstRowFirstColumn="0" w:firstRowLastColumn="0" w:lastRowFirstColumn="0" w:lastRowLastColumn="0"/>
          <w:trHeight w:val="284"/>
        </w:trPr>
        <w:tc>
          <w:tcPr>
            <w:tcW w:w="973" w:type="pct"/>
          </w:tcPr>
          <w:p w14:paraId="759308DF" w14:textId="77777777" w:rsidR="00AC529E" w:rsidRDefault="00AC529E" w:rsidP="00AC529E">
            <w:pPr>
              <w:keepLines/>
              <w:spacing w:before="40" w:after="40" w:line="200" w:lineRule="atLeast"/>
              <w:rPr>
                <w:rFonts w:eastAsia="Times New Roman"/>
                <w:iCs/>
                <w:szCs w:val="17"/>
              </w:rPr>
            </w:pPr>
            <w:r>
              <w:rPr>
                <w:rFonts w:eastAsia="Times New Roman"/>
                <w:iCs/>
                <w:szCs w:val="17"/>
              </w:rPr>
              <w:t>Development</w:t>
            </w:r>
          </w:p>
        </w:tc>
        <w:tc>
          <w:tcPr>
            <w:tcW w:w="718" w:type="pct"/>
          </w:tcPr>
          <w:p w14:paraId="24C83BB0" w14:textId="77777777" w:rsidR="00AC529E" w:rsidRPr="00F00CFB" w:rsidRDefault="00AC529E" w:rsidP="00AC529E">
            <w:pPr>
              <w:keepLines/>
              <w:spacing w:before="40" w:after="40" w:line="200" w:lineRule="atLeast"/>
              <w:rPr>
                <w:rFonts w:eastAsia="Times New Roman"/>
                <w:iCs/>
                <w:szCs w:val="17"/>
              </w:rPr>
            </w:pPr>
            <w:r>
              <w:rPr>
                <w:rFonts w:eastAsia="Times New Roman"/>
                <w:iCs/>
                <w:szCs w:val="17"/>
              </w:rPr>
              <w:t>2015-19</w:t>
            </w:r>
          </w:p>
        </w:tc>
        <w:tc>
          <w:tcPr>
            <w:tcW w:w="458" w:type="pct"/>
          </w:tcPr>
          <w:p w14:paraId="30A69F56" w14:textId="77777777" w:rsidR="00AC529E" w:rsidRPr="00880004" w:rsidRDefault="00AC529E" w:rsidP="00AC529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033B7C44"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1C1ADDE6"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4DBF85F1" w14:textId="77777777" w:rsidR="00AC529E" w:rsidRPr="00880004" w:rsidRDefault="00AC529E" w:rsidP="00AC529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FFFF00"/>
            <w:noWrap/>
          </w:tcPr>
          <w:p w14:paraId="478240AC"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6AF7E351"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4</w:t>
            </w:r>
          </w:p>
        </w:tc>
        <w:tc>
          <w:tcPr>
            <w:tcW w:w="452" w:type="pct"/>
            <w:shd w:val="clear" w:color="auto" w:fill="92D050"/>
            <w:noWrap/>
          </w:tcPr>
          <w:p w14:paraId="42D89CA7" w14:textId="77777777" w:rsidR="00AC529E" w:rsidRDefault="00AC529E" w:rsidP="00AC529E">
            <w:pPr>
              <w:keepLines/>
              <w:spacing w:before="40" w:after="40" w:line="200" w:lineRule="atLeast"/>
              <w:jc w:val="center"/>
              <w:rPr>
                <w:rFonts w:eastAsia="Times New Roman"/>
                <w:iCs/>
                <w:szCs w:val="17"/>
              </w:rPr>
            </w:pPr>
            <w:r>
              <w:rPr>
                <w:rFonts w:eastAsia="Times New Roman"/>
                <w:iCs/>
                <w:szCs w:val="17"/>
              </w:rPr>
              <w:t>5</w:t>
            </w:r>
          </w:p>
        </w:tc>
      </w:tr>
      <w:tr w:rsidR="00A51BBC" w:rsidRPr="00C61187" w14:paraId="0391C3F1" w14:textId="77777777" w:rsidTr="009D2101">
        <w:trPr>
          <w:cnfStyle w:val="000000010000" w:firstRow="0" w:lastRow="0" w:firstColumn="0" w:lastColumn="0" w:oddVBand="0" w:evenVBand="0" w:oddHBand="0" w:evenHBand="1" w:firstRowFirstColumn="0" w:firstRowLastColumn="0" w:lastRowFirstColumn="0" w:lastRowLastColumn="0"/>
          <w:trHeight w:val="284"/>
        </w:trPr>
        <w:tc>
          <w:tcPr>
            <w:tcW w:w="973" w:type="pct"/>
            <w:vMerge w:val="restart"/>
            <w:tcBorders>
              <w:top w:val="single" w:sz="4" w:space="0" w:color="auto"/>
              <w:bottom w:val="single" w:sz="4" w:space="0" w:color="auto"/>
            </w:tcBorders>
          </w:tcPr>
          <w:p w14:paraId="60A0BD12" w14:textId="77777777" w:rsidR="007E0B6F" w:rsidRDefault="007E0B6F" w:rsidP="007E0B6F">
            <w:pPr>
              <w:keepLines/>
              <w:spacing w:before="40" w:after="40" w:line="200" w:lineRule="atLeast"/>
              <w:rPr>
                <w:rFonts w:eastAsia="Times New Roman"/>
                <w:iCs/>
                <w:szCs w:val="17"/>
              </w:rPr>
            </w:pPr>
            <w:r w:rsidRPr="007E0B6F">
              <w:rPr>
                <w:rFonts w:eastAsia="Times New Roman"/>
                <w:iCs/>
                <w:szCs w:val="17"/>
              </w:rPr>
              <w:t>Combating corruption in PNG</w:t>
            </w:r>
          </w:p>
        </w:tc>
        <w:tc>
          <w:tcPr>
            <w:tcW w:w="718" w:type="pct"/>
            <w:tcBorders>
              <w:top w:val="single" w:sz="4" w:space="0" w:color="auto"/>
            </w:tcBorders>
          </w:tcPr>
          <w:p w14:paraId="11825201" w14:textId="77777777" w:rsidR="007E0B6F" w:rsidRDefault="007E0B6F" w:rsidP="007E0B6F">
            <w:pPr>
              <w:keepLines/>
              <w:spacing w:before="40" w:after="40" w:line="200" w:lineRule="atLeast"/>
              <w:rPr>
                <w:rFonts w:eastAsia="Times New Roman"/>
                <w:iCs/>
                <w:szCs w:val="17"/>
              </w:rPr>
            </w:pPr>
            <w:r>
              <w:rPr>
                <w:rFonts w:eastAsia="Times New Roman"/>
                <w:iCs/>
                <w:szCs w:val="17"/>
              </w:rPr>
              <w:t>$6.9m</w:t>
            </w:r>
          </w:p>
        </w:tc>
        <w:tc>
          <w:tcPr>
            <w:tcW w:w="458" w:type="pct"/>
            <w:tcBorders>
              <w:top w:val="single" w:sz="4" w:space="0" w:color="auto"/>
            </w:tcBorders>
          </w:tcPr>
          <w:p w14:paraId="4F90AA82" w14:textId="77777777" w:rsidR="007E0B6F" w:rsidRDefault="007E0B6F" w:rsidP="007E0B6F">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92D050"/>
          </w:tcPr>
          <w:p w14:paraId="7BEA1544" w14:textId="77777777" w:rsidR="007E0B6F" w:rsidRDefault="005F097A" w:rsidP="007E0B6F">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5E3EBBF3" w14:textId="77777777" w:rsidR="007E0B6F" w:rsidRDefault="005F097A" w:rsidP="007E0B6F">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27BD48FF" w14:textId="77777777" w:rsidR="007E0B6F" w:rsidRDefault="005F097A" w:rsidP="007E0B6F">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FFFF00"/>
            <w:noWrap/>
          </w:tcPr>
          <w:p w14:paraId="23A631CF" w14:textId="77777777" w:rsidR="007E0B6F" w:rsidRDefault="005F097A" w:rsidP="007E0B6F">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92D050"/>
            <w:noWrap/>
          </w:tcPr>
          <w:p w14:paraId="39D19D81" w14:textId="77777777" w:rsidR="007E0B6F" w:rsidRDefault="005F097A" w:rsidP="007E0B6F">
            <w:pPr>
              <w:keepLines/>
              <w:spacing w:before="40" w:after="40" w:line="200" w:lineRule="atLeast"/>
              <w:jc w:val="center"/>
              <w:rPr>
                <w:rFonts w:eastAsia="Times New Roman"/>
                <w:iCs/>
                <w:szCs w:val="17"/>
              </w:rPr>
            </w:pPr>
            <w:r>
              <w:rPr>
                <w:rFonts w:eastAsia="Times New Roman"/>
                <w:iCs/>
                <w:szCs w:val="17"/>
              </w:rPr>
              <w:t>5</w:t>
            </w:r>
          </w:p>
        </w:tc>
        <w:tc>
          <w:tcPr>
            <w:tcW w:w="452" w:type="pct"/>
            <w:shd w:val="clear" w:color="auto" w:fill="92D050"/>
            <w:noWrap/>
          </w:tcPr>
          <w:p w14:paraId="39942665" w14:textId="77777777" w:rsidR="007E0B6F" w:rsidRDefault="005F097A" w:rsidP="007E0B6F">
            <w:pPr>
              <w:keepLines/>
              <w:spacing w:before="40" w:after="40" w:line="200" w:lineRule="atLeast"/>
              <w:jc w:val="center"/>
              <w:rPr>
                <w:rFonts w:eastAsia="Times New Roman"/>
                <w:iCs/>
                <w:szCs w:val="17"/>
              </w:rPr>
            </w:pPr>
            <w:r>
              <w:rPr>
                <w:rFonts w:eastAsia="Times New Roman"/>
                <w:iCs/>
                <w:szCs w:val="17"/>
              </w:rPr>
              <w:t>5</w:t>
            </w:r>
          </w:p>
        </w:tc>
      </w:tr>
      <w:tr w:rsidR="005F097A" w:rsidRPr="00C61187" w14:paraId="7E2E1EFB" w14:textId="77777777" w:rsidTr="009D2101">
        <w:trPr>
          <w:cnfStyle w:val="000000010000" w:firstRow="0" w:lastRow="0" w:firstColumn="0" w:lastColumn="0" w:oddVBand="0" w:evenVBand="0" w:oddHBand="0" w:evenHBand="1" w:firstRowFirstColumn="0" w:firstRowLastColumn="0" w:lastRowFirstColumn="0" w:lastRowLastColumn="0"/>
          <w:trHeight w:val="284"/>
        </w:trPr>
        <w:tc>
          <w:tcPr>
            <w:tcW w:w="973" w:type="pct"/>
            <w:vMerge/>
            <w:tcBorders>
              <w:bottom w:val="single" w:sz="4" w:space="0" w:color="auto"/>
            </w:tcBorders>
          </w:tcPr>
          <w:p w14:paraId="0A16A076" w14:textId="77777777" w:rsidR="005F097A" w:rsidRDefault="005F097A" w:rsidP="005F097A">
            <w:pPr>
              <w:keepLines/>
              <w:spacing w:before="40" w:after="40" w:line="200" w:lineRule="atLeast"/>
              <w:rPr>
                <w:rFonts w:eastAsia="Times New Roman"/>
                <w:iCs/>
                <w:szCs w:val="17"/>
              </w:rPr>
            </w:pPr>
          </w:p>
        </w:tc>
        <w:tc>
          <w:tcPr>
            <w:tcW w:w="718" w:type="pct"/>
            <w:tcBorders>
              <w:bottom w:val="single" w:sz="4" w:space="0" w:color="auto"/>
            </w:tcBorders>
          </w:tcPr>
          <w:p w14:paraId="21169347" w14:textId="77777777" w:rsidR="005F097A" w:rsidRDefault="005F097A" w:rsidP="005F097A">
            <w:pPr>
              <w:keepLines/>
              <w:spacing w:before="40" w:after="40" w:line="200" w:lineRule="atLeast"/>
              <w:rPr>
                <w:rFonts w:eastAsia="Times New Roman"/>
                <w:iCs/>
                <w:szCs w:val="17"/>
              </w:rPr>
            </w:pPr>
            <w:r>
              <w:rPr>
                <w:rFonts w:eastAsia="Times New Roman"/>
                <w:iCs/>
                <w:szCs w:val="17"/>
              </w:rPr>
              <w:t>2014-21</w:t>
            </w:r>
          </w:p>
        </w:tc>
        <w:tc>
          <w:tcPr>
            <w:tcW w:w="458" w:type="pct"/>
            <w:tcBorders>
              <w:bottom w:val="single" w:sz="4" w:space="0" w:color="auto"/>
            </w:tcBorders>
          </w:tcPr>
          <w:p w14:paraId="7A1CDE69" w14:textId="77777777" w:rsidR="005F097A" w:rsidRDefault="005F097A" w:rsidP="005F097A">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408D5742" w14:textId="77777777" w:rsidR="005F097A" w:rsidRDefault="005F097A" w:rsidP="005F097A">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92D050"/>
            <w:noWrap/>
          </w:tcPr>
          <w:p w14:paraId="09595539" w14:textId="77777777" w:rsidR="005F097A" w:rsidRDefault="005F097A" w:rsidP="005F097A">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FFFF00"/>
            <w:noWrap/>
          </w:tcPr>
          <w:p w14:paraId="432721CE" w14:textId="77777777" w:rsidR="005F097A" w:rsidRDefault="005F097A" w:rsidP="005F097A">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FFFF00"/>
            <w:noWrap/>
          </w:tcPr>
          <w:p w14:paraId="4F48BB38" w14:textId="77777777" w:rsidR="005F097A" w:rsidRDefault="005F097A" w:rsidP="005F097A">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FFFF00"/>
            <w:noWrap/>
          </w:tcPr>
          <w:p w14:paraId="344335F3" w14:textId="77777777" w:rsidR="005F097A" w:rsidRDefault="005F097A" w:rsidP="005F097A">
            <w:pPr>
              <w:keepLines/>
              <w:spacing w:before="40" w:after="40" w:line="200" w:lineRule="atLeast"/>
              <w:jc w:val="center"/>
              <w:rPr>
                <w:rFonts w:eastAsia="Times New Roman"/>
                <w:iCs/>
                <w:szCs w:val="17"/>
              </w:rPr>
            </w:pPr>
            <w:r>
              <w:rPr>
                <w:rFonts w:eastAsia="Times New Roman"/>
                <w:iCs/>
                <w:szCs w:val="17"/>
              </w:rPr>
              <w:t>Exempt</w:t>
            </w:r>
          </w:p>
        </w:tc>
        <w:tc>
          <w:tcPr>
            <w:tcW w:w="452" w:type="pct"/>
            <w:shd w:val="clear" w:color="auto" w:fill="92D050"/>
            <w:noWrap/>
          </w:tcPr>
          <w:p w14:paraId="1179869E" w14:textId="77777777" w:rsidR="005F097A" w:rsidRDefault="005F097A" w:rsidP="005F097A">
            <w:pPr>
              <w:keepLines/>
              <w:spacing w:before="40" w:after="40" w:line="200" w:lineRule="atLeast"/>
              <w:jc w:val="center"/>
              <w:rPr>
                <w:rFonts w:eastAsia="Times New Roman"/>
                <w:iCs/>
                <w:szCs w:val="17"/>
              </w:rPr>
            </w:pPr>
            <w:r>
              <w:rPr>
                <w:rFonts w:eastAsia="Times New Roman"/>
                <w:iCs/>
                <w:szCs w:val="17"/>
              </w:rPr>
              <w:t>Exempt</w:t>
            </w:r>
          </w:p>
        </w:tc>
      </w:tr>
    </w:tbl>
    <w:p w14:paraId="4A677D3E" w14:textId="77777777" w:rsidR="00774F92" w:rsidRDefault="00774F92"/>
    <w:tbl>
      <w:tblPr>
        <w:tblStyle w:val="APPR"/>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1857"/>
        <w:gridCol w:w="1194"/>
        <w:gridCol w:w="1196"/>
        <w:gridCol w:w="1196"/>
        <w:gridCol w:w="1189"/>
        <w:gridCol w:w="1196"/>
        <w:gridCol w:w="1189"/>
        <w:gridCol w:w="1195"/>
      </w:tblGrid>
      <w:tr w:rsidR="003F1D6C" w:rsidRPr="00C61187" w14:paraId="10CCF73B" w14:textId="77777777" w:rsidTr="00352948">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7F3C8950" w14:textId="77777777" w:rsidR="00340438" w:rsidRDefault="00340438" w:rsidP="0005232B">
            <w:pPr>
              <w:keepLines/>
              <w:spacing w:before="40" w:after="40" w:line="200" w:lineRule="atLeast"/>
              <w:rPr>
                <w:rFonts w:eastAsia="Times New Roman"/>
                <w:iCs/>
                <w:szCs w:val="17"/>
              </w:rPr>
            </w:pPr>
            <w:r>
              <w:rPr>
                <w:rFonts w:eastAsia="Times New Roman"/>
                <w:iCs/>
                <w:szCs w:val="17"/>
              </w:rPr>
              <w:lastRenderedPageBreak/>
              <w:t>Supporting Electoral Process in</w:t>
            </w:r>
          </w:p>
        </w:tc>
        <w:tc>
          <w:tcPr>
            <w:tcW w:w="718" w:type="pct"/>
          </w:tcPr>
          <w:p w14:paraId="506CC171" w14:textId="77777777" w:rsidR="00340438" w:rsidRPr="00F00CFB" w:rsidRDefault="00340438" w:rsidP="0005232B">
            <w:pPr>
              <w:keepLines/>
              <w:spacing w:before="40" w:after="40" w:line="200" w:lineRule="atLeast"/>
              <w:rPr>
                <w:rFonts w:eastAsia="Times New Roman"/>
                <w:iCs/>
                <w:szCs w:val="17"/>
              </w:rPr>
            </w:pPr>
            <w:r>
              <w:rPr>
                <w:rFonts w:eastAsia="Times New Roman"/>
                <w:iCs/>
                <w:szCs w:val="17"/>
              </w:rPr>
              <w:t>$30m</w:t>
            </w:r>
          </w:p>
        </w:tc>
        <w:tc>
          <w:tcPr>
            <w:tcW w:w="458" w:type="pct"/>
          </w:tcPr>
          <w:p w14:paraId="7745DDCB" w14:textId="77777777" w:rsidR="00340438" w:rsidRPr="00880004" w:rsidRDefault="005B7B8C" w:rsidP="0005232B">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4E5ABB77" w14:textId="77777777" w:rsidR="00340438" w:rsidRPr="00682003" w:rsidDel="005D1D57" w:rsidRDefault="00893BE6" w:rsidP="0005232B">
            <w:pPr>
              <w:keepLines/>
              <w:spacing w:before="40" w:after="40" w:line="200" w:lineRule="atLeast"/>
              <w:jc w:val="center"/>
              <w:rPr>
                <w:rFonts w:eastAsia="Times New Roman"/>
                <w:iCs/>
                <w:szCs w:val="17"/>
              </w:rPr>
            </w:pPr>
            <w:r w:rsidRPr="00682003">
              <w:rPr>
                <w:rFonts w:eastAsia="Times New Roman"/>
                <w:iCs/>
                <w:szCs w:val="17"/>
              </w:rPr>
              <w:t>4</w:t>
            </w:r>
          </w:p>
        </w:tc>
        <w:tc>
          <w:tcPr>
            <w:tcW w:w="459" w:type="pct"/>
            <w:shd w:val="clear" w:color="auto" w:fill="92D050"/>
            <w:noWrap/>
          </w:tcPr>
          <w:p w14:paraId="09D6B4DA" w14:textId="77777777" w:rsidR="00340438" w:rsidRPr="00E31D23" w:rsidRDefault="00893BE6" w:rsidP="0005232B">
            <w:pPr>
              <w:keepLines/>
              <w:spacing w:before="40" w:after="40" w:line="200" w:lineRule="atLeast"/>
              <w:jc w:val="center"/>
              <w:rPr>
                <w:rFonts w:eastAsia="Times New Roman"/>
                <w:iCs/>
                <w:szCs w:val="17"/>
              </w:rPr>
            </w:pPr>
            <w:r w:rsidRPr="00E31D23">
              <w:rPr>
                <w:rFonts w:eastAsia="Times New Roman"/>
                <w:iCs/>
                <w:szCs w:val="17"/>
              </w:rPr>
              <w:t>5</w:t>
            </w:r>
          </w:p>
        </w:tc>
        <w:tc>
          <w:tcPr>
            <w:tcW w:w="456" w:type="pct"/>
            <w:shd w:val="clear" w:color="auto" w:fill="92D050"/>
            <w:noWrap/>
          </w:tcPr>
          <w:p w14:paraId="0CE4C2E6" w14:textId="77777777" w:rsidR="00340438" w:rsidRPr="00E31D23" w:rsidRDefault="00893BE6" w:rsidP="0005232B">
            <w:pPr>
              <w:keepLines/>
              <w:spacing w:before="40" w:after="40" w:line="200" w:lineRule="atLeast"/>
              <w:jc w:val="center"/>
              <w:rPr>
                <w:rFonts w:eastAsia="Times New Roman"/>
                <w:iCs/>
                <w:szCs w:val="17"/>
              </w:rPr>
            </w:pPr>
            <w:r w:rsidRPr="00E31D23">
              <w:rPr>
                <w:rFonts w:eastAsia="Times New Roman"/>
                <w:iCs/>
                <w:szCs w:val="17"/>
              </w:rPr>
              <w:t>5</w:t>
            </w:r>
          </w:p>
        </w:tc>
        <w:tc>
          <w:tcPr>
            <w:tcW w:w="459" w:type="pct"/>
            <w:shd w:val="clear" w:color="auto" w:fill="FFFF00"/>
            <w:noWrap/>
          </w:tcPr>
          <w:p w14:paraId="3F15B1C5" w14:textId="77777777" w:rsidR="00340438" w:rsidRPr="00E31D23" w:rsidRDefault="00893BE6" w:rsidP="0005232B">
            <w:pPr>
              <w:keepLines/>
              <w:spacing w:before="40" w:after="40" w:line="200" w:lineRule="atLeast"/>
              <w:jc w:val="center"/>
              <w:rPr>
                <w:rFonts w:eastAsia="Times New Roman"/>
                <w:iCs/>
                <w:szCs w:val="17"/>
              </w:rPr>
            </w:pPr>
            <w:r w:rsidRPr="00E31D23">
              <w:rPr>
                <w:rFonts w:eastAsia="Times New Roman"/>
                <w:iCs/>
                <w:szCs w:val="17"/>
              </w:rPr>
              <w:t>4</w:t>
            </w:r>
          </w:p>
        </w:tc>
        <w:tc>
          <w:tcPr>
            <w:tcW w:w="456" w:type="pct"/>
            <w:shd w:val="clear" w:color="auto" w:fill="FFFF00"/>
            <w:noWrap/>
          </w:tcPr>
          <w:p w14:paraId="3E519F98" w14:textId="77777777" w:rsidR="00340438" w:rsidRPr="00E31D23" w:rsidRDefault="00893BE6" w:rsidP="0005232B">
            <w:pPr>
              <w:keepLines/>
              <w:spacing w:before="40" w:after="40" w:line="200" w:lineRule="atLeast"/>
              <w:jc w:val="center"/>
              <w:rPr>
                <w:rFonts w:eastAsia="Times New Roman"/>
                <w:iCs/>
                <w:szCs w:val="17"/>
              </w:rPr>
            </w:pPr>
            <w:r w:rsidRPr="00E31D23">
              <w:rPr>
                <w:rFonts w:eastAsia="Times New Roman"/>
                <w:iCs/>
                <w:szCs w:val="17"/>
              </w:rPr>
              <w:t>4</w:t>
            </w:r>
          </w:p>
        </w:tc>
        <w:tc>
          <w:tcPr>
            <w:tcW w:w="453" w:type="pct"/>
            <w:shd w:val="clear" w:color="auto" w:fill="FFFF00"/>
            <w:noWrap/>
          </w:tcPr>
          <w:p w14:paraId="5C645991" w14:textId="77777777" w:rsidR="00340438" w:rsidRPr="00E31D23" w:rsidRDefault="00893BE6" w:rsidP="0005232B">
            <w:pPr>
              <w:keepLines/>
              <w:spacing w:before="40" w:after="40" w:line="200" w:lineRule="atLeast"/>
              <w:jc w:val="center"/>
              <w:rPr>
                <w:rFonts w:eastAsia="Times New Roman"/>
                <w:iCs/>
                <w:szCs w:val="17"/>
              </w:rPr>
            </w:pPr>
            <w:r w:rsidRPr="00E31D23">
              <w:rPr>
                <w:rFonts w:eastAsia="Times New Roman"/>
                <w:iCs/>
                <w:szCs w:val="17"/>
              </w:rPr>
              <w:t>4</w:t>
            </w:r>
          </w:p>
        </w:tc>
      </w:tr>
      <w:tr w:rsidR="003F1D6C" w:rsidRPr="00C61187" w14:paraId="4580BE68"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223546F6" w14:textId="77777777" w:rsidR="00340438" w:rsidRDefault="00340438" w:rsidP="00340438">
            <w:pPr>
              <w:keepLines/>
              <w:spacing w:before="40" w:after="40" w:line="200" w:lineRule="atLeast"/>
              <w:rPr>
                <w:rFonts w:eastAsia="Times New Roman"/>
                <w:iCs/>
                <w:szCs w:val="17"/>
              </w:rPr>
            </w:pPr>
            <w:r>
              <w:rPr>
                <w:rFonts w:eastAsia="Times New Roman"/>
                <w:iCs/>
                <w:szCs w:val="17"/>
              </w:rPr>
              <w:t>PNG</w:t>
            </w:r>
          </w:p>
        </w:tc>
        <w:tc>
          <w:tcPr>
            <w:tcW w:w="718" w:type="pct"/>
          </w:tcPr>
          <w:p w14:paraId="70F00B81" w14:textId="77777777" w:rsidR="00340438" w:rsidRPr="00F00CFB" w:rsidRDefault="00340438" w:rsidP="00340438">
            <w:pPr>
              <w:keepLines/>
              <w:spacing w:before="40" w:after="40" w:line="200" w:lineRule="atLeast"/>
              <w:rPr>
                <w:rFonts w:eastAsia="Times New Roman"/>
                <w:iCs/>
                <w:szCs w:val="17"/>
              </w:rPr>
            </w:pPr>
            <w:r>
              <w:rPr>
                <w:rFonts w:eastAsia="Times New Roman"/>
                <w:iCs/>
                <w:szCs w:val="17"/>
              </w:rPr>
              <w:t>2011-18</w:t>
            </w:r>
          </w:p>
        </w:tc>
        <w:tc>
          <w:tcPr>
            <w:tcW w:w="458" w:type="pct"/>
          </w:tcPr>
          <w:p w14:paraId="43F64049" w14:textId="77777777" w:rsidR="00340438" w:rsidRPr="00880004" w:rsidRDefault="00340438" w:rsidP="0034043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590D0410" w14:textId="77777777" w:rsidR="00340438" w:rsidRPr="00682003" w:rsidRDefault="00340438" w:rsidP="00340438">
            <w:pPr>
              <w:keepLines/>
              <w:spacing w:before="40" w:after="40" w:line="200" w:lineRule="atLeast"/>
              <w:jc w:val="center"/>
              <w:rPr>
                <w:rFonts w:eastAsia="Times New Roman"/>
                <w:iCs/>
                <w:szCs w:val="17"/>
              </w:rPr>
            </w:pPr>
            <w:r w:rsidRPr="00682003">
              <w:rPr>
                <w:rFonts w:eastAsia="Times New Roman"/>
                <w:iCs/>
                <w:szCs w:val="17"/>
              </w:rPr>
              <w:t>5</w:t>
            </w:r>
          </w:p>
        </w:tc>
        <w:tc>
          <w:tcPr>
            <w:tcW w:w="459" w:type="pct"/>
            <w:shd w:val="clear" w:color="auto" w:fill="92D050"/>
            <w:noWrap/>
          </w:tcPr>
          <w:p w14:paraId="6361C7F5"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5</w:t>
            </w:r>
          </w:p>
        </w:tc>
        <w:tc>
          <w:tcPr>
            <w:tcW w:w="456" w:type="pct"/>
            <w:shd w:val="clear" w:color="auto" w:fill="92D050"/>
            <w:noWrap/>
          </w:tcPr>
          <w:p w14:paraId="3940DC4B"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6</w:t>
            </w:r>
          </w:p>
        </w:tc>
        <w:tc>
          <w:tcPr>
            <w:tcW w:w="459" w:type="pct"/>
            <w:shd w:val="clear" w:color="auto" w:fill="FFFF00"/>
            <w:noWrap/>
          </w:tcPr>
          <w:p w14:paraId="084FFE5E"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4</w:t>
            </w:r>
          </w:p>
        </w:tc>
        <w:tc>
          <w:tcPr>
            <w:tcW w:w="456" w:type="pct"/>
            <w:shd w:val="clear" w:color="auto" w:fill="FFFF00"/>
            <w:noWrap/>
          </w:tcPr>
          <w:p w14:paraId="7FDE1CCF"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4</w:t>
            </w:r>
          </w:p>
        </w:tc>
        <w:tc>
          <w:tcPr>
            <w:tcW w:w="453" w:type="pct"/>
            <w:shd w:val="clear" w:color="auto" w:fill="FFFF00"/>
            <w:noWrap/>
          </w:tcPr>
          <w:p w14:paraId="0704280A"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4</w:t>
            </w:r>
          </w:p>
        </w:tc>
      </w:tr>
      <w:tr w:rsidR="003F1D6C" w:rsidRPr="00C61187" w14:paraId="348E9684" w14:textId="77777777" w:rsidTr="00007D1C">
        <w:trPr>
          <w:cnfStyle w:val="000000010000" w:firstRow="0" w:lastRow="0" w:firstColumn="0" w:lastColumn="0" w:oddVBand="0" w:evenVBand="0" w:oddHBand="0" w:evenHBand="1" w:firstRowFirstColumn="0" w:firstRowLastColumn="0" w:lastRowFirstColumn="0" w:lastRowLastColumn="0"/>
          <w:trHeight w:val="284"/>
        </w:trPr>
        <w:tc>
          <w:tcPr>
            <w:tcW w:w="974" w:type="pct"/>
            <w:tcBorders>
              <w:top w:val="single" w:sz="4" w:space="0" w:color="auto"/>
            </w:tcBorders>
          </w:tcPr>
          <w:p w14:paraId="77156D26" w14:textId="77777777" w:rsidR="00340438" w:rsidRDefault="00340438" w:rsidP="00340438">
            <w:pPr>
              <w:keepLines/>
              <w:spacing w:before="40" w:after="40" w:line="200" w:lineRule="atLeast"/>
              <w:rPr>
                <w:rFonts w:eastAsia="Times New Roman"/>
                <w:iCs/>
                <w:szCs w:val="17"/>
              </w:rPr>
            </w:pPr>
            <w:r>
              <w:rPr>
                <w:rFonts w:eastAsia="Times New Roman"/>
                <w:iCs/>
                <w:szCs w:val="17"/>
              </w:rPr>
              <w:t>PNG Governance Facility</w:t>
            </w:r>
          </w:p>
        </w:tc>
        <w:tc>
          <w:tcPr>
            <w:tcW w:w="718" w:type="pct"/>
            <w:tcBorders>
              <w:top w:val="single" w:sz="4" w:space="0" w:color="auto"/>
            </w:tcBorders>
          </w:tcPr>
          <w:p w14:paraId="0C09550D" w14:textId="77777777" w:rsidR="00340438" w:rsidRPr="00F00CFB" w:rsidRDefault="00340438" w:rsidP="00340438">
            <w:pPr>
              <w:keepLines/>
              <w:spacing w:before="40" w:after="40" w:line="200" w:lineRule="atLeast"/>
              <w:rPr>
                <w:rFonts w:eastAsia="Times New Roman"/>
                <w:iCs/>
                <w:szCs w:val="17"/>
              </w:rPr>
            </w:pPr>
            <w:r>
              <w:rPr>
                <w:rFonts w:eastAsia="Times New Roman"/>
                <w:iCs/>
                <w:szCs w:val="17"/>
              </w:rPr>
              <w:t>$390m</w:t>
            </w:r>
          </w:p>
        </w:tc>
        <w:tc>
          <w:tcPr>
            <w:tcW w:w="458" w:type="pct"/>
            <w:tcBorders>
              <w:top w:val="single" w:sz="4" w:space="0" w:color="auto"/>
            </w:tcBorders>
          </w:tcPr>
          <w:p w14:paraId="5D108C24" w14:textId="77777777" w:rsidR="00340438" w:rsidRPr="00880004" w:rsidRDefault="005B7B8C" w:rsidP="00340438">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5EDD38AA" w14:textId="77777777" w:rsidR="00340438" w:rsidRPr="00682003" w:rsidDel="005D1D57" w:rsidRDefault="00E31D23" w:rsidP="00340438">
            <w:pPr>
              <w:keepLines/>
              <w:spacing w:before="40" w:after="40" w:line="200" w:lineRule="atLeast"/>
              <w:jc w:val="center"/>
              <w:rPr>
                <w:rFonts w:eastAsia="Times New Roman"/>
                <w:iCs/>
                <w:szCs w:val="17"/>
              </w:rPr>
            </w:pPr>
            <w:r w:rsidRPr="00682003">
              <w:rPr>
                <w:rFonts w:eastAsia="Times New Roman"/>
                <w:iCs/>
                <w:szCs w:val="17"/>
              </w:rPr>
              <w:t>4</w:t>
            </w:r>
          </w:p>
        </w:tc>
        <w:tc>
          <w:tcPr>
            <w:tcW w:w="459" w:type="pct"/>
            <w:shd w:val="clear" w:color="auto" w:fill="FFFF00"/>
            <w:noWrap/>
          </w:tcPr>
          <w:p w14:paraId="67D3A7B3" w14:textId="77777777" w:rsidR="00340438" w:rsidRPr="00682003" w:rsidRDefault="00E31D23" w:rsidP="00340438">
            <w:pPr>
              <w:keepLines/>
              <w:spacing w:before="40" w:after="40" w:line="200" w:lineRule="atLeast"/>
              <w:jc w:val="center"/>
              <w:rPr>
                <w:rFonts w:eastAsia="Times New Roman"/>
                <w:iCs/>
                <w:szCs w:val="17"/>
              </w:rPr>
            </w:pPr>
            <w:r w:rsidRPr="000C3627">
              <w:rPr>
                <w:rFonts w:eastAsia="Times New Roman"/>
                <w:iCs/>
                <w:szCs w:val="17"/>
              </w:rPr>
              <w:t>4</w:t>
            </w:r>
          </w:p>
        </w:tc>
        <w:tc>
          <w:tcPr>
            <w:tcW w:w="456" w:type="pct"/>
            <w:shd w:val="clear" w:color="auto" w:fill="FFFF00"/>
            <w:noWrap/>
          </w:tcPr>
          <w:p w14:paraId="3DD564FB" w14:textId="77777777" w:rsidR="00340438" w:rsidRPr="00682003" w:rsidRDefault="00E31D23" w:rsidP="00340438">
            <w:pPr>
              <w:keepLines/>
              <w:spacing w:before="40" w:after="40" w:line="200" w:lineRule="atLeast"/>
              <w:jc w:val="center"/>
              <w:rPr>
                <w:rFonts w:eastAsia="Times New Roman"/>
                <w:iCs/>
                <w:szCs w:val="17"/>
              </w:rPr>
            </w:pPr>
            <w:r w:rsidRPr="000C3627">
              <w:rPr>
                <w:rFonts w:eastAsia="Times New Roman"/>
                <w:iCs/>
                <w:szCs w:val="17"/>
              </w:rPr>
              <w:t>4</w:t>
            </w:r>
          </w:p>
        </w:tc>
        <w:tc>
          <w:tcPr>
            <w:tcW w:w="459" w:type="pct"/>
            <w:shd w:val="clear" w:color="auto" w:fill="FFC000"/>
            <w:noWrap/>
          </w:tcPr>
          <w:p w14:paraId="3E8FBAB0" w14:textId="77777777" w:rsidR="00340438" w:rsidRPr="00682003" w:rsidRDefault="00E31D23" w:rsidP="00340438">
            <w:pPr>
              <w:keepLines/>
              <w:spacing w:before="40" w:after="40" w:line="200" w:lineRule="atLeast"/>
              <w:jc w:val="center"/>
              <w:rPr>
                <w:rFonts w:eastAsia="Times New Roman"/>
                <w:iCs/>
                <w:szCs w:val="17"/>
              </w:rPr>
            </w:pPr>
            <w:r w:rsidRPr="000C3627">
              <w:rPr>
                <w:rFonts w:eastAsia="Times New Roman"/>
                <w:iCs/>
                <w:szCs w:val="17"/>
              </w:rPr>
              <w:t>3</w:t>
            </w:r>
          </w:p>
        </w:tc>
        <w:tc>
          <w:tcPr>
            <w:tcW w:w="456" w:type="pct"/>
            <w:shd w:val="clear" w:color="auto" w:fill="FFFF00"/>
            <w:noWrap/>
          </w:tcPr>
          <w:p w14:paraId="2AF9D30C" w14:textId="77777777" w:rsidR="00340438" w:rsidRPr="00E31D23" w:rsidRDefault="00E31D23" w:rsidP="00340438">
            <w:pPr>
              <w:keepLines/>
              <w:spacing w:before="40" w:after="40" w:line="200" w:lineRule="atLeast"/>
              <w:jc w:val="center"/>
              <w:rPr>
                <w:rFonts w:eastAsia="Times New Roman"/>
                <w:iCs/>
                <w:szCs w:val="17"/>
              </w:rPr>
            </w:pPr>
            <w:r w:rsidRPr="00E31D23">
              <w:rPr>
                <w:rFonts w:eastAsia="Times New Roman"/>
                <w:iCs/>
                <w:szCs w:val="17"/>
              </w:rPr>
              <w:t>4</w:t>
            </w:r>
          </w:p>
        </w:tc>
        <w:tc>
          <w:tcPr>
            <w:tcW w:w="453" w:type="pct"/>
            <w:shd w:val="clear" w:color="auto" w:fill="FFFF00"/>
            <w:noWrap/>
          </w:tcPr>
          <w:p w14:paraId="4D22366B" w14:textId="77777777" w:rsidR="00340438" w:rsidRPr="00E31D23" w:rsidRDefault="00E31D23" w:rsidP="00340438">
            <w:pPr>
              <w:keepLines/>
              <w:spacing w:before="40" w:after="40" w:line="200" w:lineRule="atLeast"/>
              <w:jc w:val="center"/>
              <w:rPr>
                <w:rFonts w:eastAsia="Times New Roman"/>
                <w:iCs/>
                <w:szCs w:val="17"/>
              </w:rPr>
            </w:pPr>
            <w:r w:rsidRPr="00E31D23">
              <w:rPr>
                <w:rFonts w:eastAsia="Times New Roman"/>
                <w:iCs/>
                <w:szCs w:val="17"/>
              </w:rPr>
              <w:t>4</w:t>
            </w:r>
          </w:p>
        </w:tc>
      </w:tr>
      <w:tr w:rsidR="003F1D6C" w:rsidRPr="00C61187" w14:paraId="44B6C403" w14:textId="77777777" w:rsidTr="00007D1C">
        <w:trPr>
          <w:cnfStyle w:val="000000010000" w:firstRow="0" w:lastRow="0" w:firstColumn="0" w:lastColumn="0" w:oddVBand="0" w:evenVBand="0" w:oddHBand="0" w:evenHBand="1" w:firstRowFirstColumn="0" w:firstRowLastColumn="0" w:lastRowFirstColumn="0" w:lastRowLastColumn="0"/>
          <w:trHeight w:val="284"/>
        </w:trPr>
        <w:tc>
          <w:tcPr>
            <w:tcW w:w="974" w:type="pct"/>
            <w:tcBorders>
              <w:bottom w:val="single" w:sz="4" w:space="0" w:color="auto"/>
            </w:tcBorders>
          </w:tcPr>
          <w:p w14:paraId="5D311227" w14:textId="77777777" w:rsidR="00340438" w:rsidRDefault="00340438" w:rsidP="00340438">
            <w:pPr>
              <w:keepLines/>
              <w:spacing w:before="40" w:after="40" w:line="200" w:lineRule="atLeast"/>
              <w:rPr>
                <w:rFonts w:eastAsia="Times New Roman"/>
                <w:iCs/>
                <w:szCs w:val="17"/>
              </w:rPr>
            </w:pPr>
          </w:p>
        </w:tc>
        <w:tc>
          <w:tcPr>
            <w:tcW w:w="718" w:type="pct"/>
            <w:tcBorders>
              <w:bottom w:val="single" w:sz="4" w:space="0" w:color="auto"/>
            </w:tcBorders>
          </w:tcPr>
          <w:p w14:paraId="3E9257F5" w14:textId="77777777" w:rsidR="00340438" w:rsidRPr="00F00CFB" w:rsidRDefault="00340438" w:rsidP="00340438">
            <w:pPr>
              <w:keepLines/>
              <w:spacing w:before="40" w:after="40" w:line="200" w:lineRule="atLeast"/>
              <w:rPr>
                <w:rFonts w:eastAsia="Times New Roman"/>
                <w:iCs/>
                <w:szCs w:val="17"/>
              </w:rPr>
            </w:pPr>
            <w:r>
              <w:rPr>
                <w:rFonts w:eastAsia="Times New Roman"/>
                <w:iCs/>
                <w:szCs w:val="17"/>
              </w:rPr>
              <w:t>2014-20</w:t>
            </w:r>
          </w:p>
        </w:tc>
        <w:tc>
          <w:tcPr>
            <w:tcW w:w="458" w:type="pct"/>
            <w:tcBorders>
              <w:bottom w:val="single" w:sz="4" w:space="0" w:color="auto"/>
            </w:tcBorders>
          </w:tcPr>
          <w:p w14:paraId="0F451A2A" w14:textId="77777777" w:rsidR="00340438" w:rsidRPr="00880004" w:rsidRDefault="00340438" w:rsidP="0034043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C000"/>
          </w:tcPr>
          <w:p w14:paraId="69096DA9" w14:textId="77777777" w:rsidR="00340438" w:rsidRPr="00682003" w:rsidRDefault="00340438" w:rsidP="00340438">
            <w:pPr>
              <w:keepLines/>
              <w:spacing w:before="40" w:after="40" w:line="200" w:lineRule="atLeast"/>
              <w:jc w:val="center"/>
              <w:rPr>
                <w:rFonts w:eastAsia="Times New Roman"/>
                <w:iCs/>
                <w:szCs w:val="17"/>
              </w:rPr>
            </w:pPr>
            <w:r w:rsidRPr="00682003">
              <w:rPr>
                <w:rFonts w:eastAsia="Times New Roman"/>
                <w:iCs/>
                <w:szCs w:val="17"/>
              </w:rPr>
              <w:t>3</w:t>
            </w:r>
          </w:p>
        </w:tc>
        <w:tc>
          <w:tcPr>
            <w:tcW w:w="459" w:type="pct"/>
            <w:shd w:val="clear" w:color="auto" w:fill="FFC000"/>
            <w:noWrap/>
          </w:tcPr>
          <w:p w14:paraId="29C0D346"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3</w:t>
            </w:r>
          </w:p>
        </w:tc>
        <w:tc>
          <w:tcPr>
            <w:tcW w:w="456" w:type="pct"/>
            <w:shd w:val="clear" w:color="auto" w:fill="92D050"/>
            <w:noWrap/>
          </w:tcPr>
          <w:p w14:paraId="6575E6F7"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5</w:t>
            </w:r>
          </w:p>
        </w:tc>
        <w:tc>
          <w:tcPr>
            <w:tcW w:w="459" w:type="pct"/>
            <w:shd w:val="clear" w:color="auto" w:fill="FFC000"/>
            <w:noWrap/>
          </w:tcPr>
          <w:p w14:paraId="772A76F5"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3</w:t>
            </w:r>
          </w:p>
        </w:tc>
        <w:tc>
          <w:tcPr>
            <w:tcW w:w="456" w:type="pct"/>
            <w:shd w:val="clear" w:color="auto" w:fill="FFC000"/>
            <w:noWrap/>
          </w:tcPr>
          <w:p w14:paraId="33227E0E"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3</w:t>
            </w:r>
          </w:p>
        </w:tc>
        <w:tc>
          <w:tcPr>
            <w:tcW w:w="453" w:type="pct"/>
            <w:shd w:val="clear" w:color="auto" w:fill="FFFF00"/>
            <w:noWrap/>
          </w:tcPr>
          <w:p w14:paraId="4D4AAC09" w14:textId="77777777" w:rsidR="00340438" w:rsidRPr="00E31D23" w:rsidRDefault="00340438" w:rsidP="00340438">
            <w:pPr>
              <w:keepLines/>
              <w:spacing w:before="40" w:after="40" w:line="200" w:lineRule="atLeast"/>
              <w:jc w:val="center"/>
              <w:rPr>
                <w:rFonts w:eastAsia="Times New Roman"/>
                <w:iCs/>
                <w:szCs w:val="17"/>
              </w:rPr>
            </w:pPr>
            <w:r w:rsidRPr="00E31D23">
              <w:rPr>
                <w:rFonts w:eastAsia="Times New Roman"/>
                <w:iCs/>
                <w:szCs w:val="17"/>
              </w:rPr>
              <w:t>4</w:t>
            </w:r>
          </w:p>
        </w:tc>
      </w:tr>
      <w:tr w:rsidR="005C4198" w:rsidRPr="00C61187" w14:paraId="295EB209" w14:textId="77777777" w:rsidTr="007E1768">
        <w:trPr>
          <w:cnfStyle w:val="000000010000" w:firstRow="0" w:lastRow="0" w:firstColumn="0" w:lastColumn="0" w:oddVBand="0" w:evenVBand="0" w:oddHBand="0" w:evenHBand="1" w:firstRowFirstColumn="0" w:firstRowLastColumn="0" w:lastRowFirstColumn="0" w:lastRowLastColumn="0"/>
          <w:trHeight w:val="284"/>
        </w:trPr>
        <w:tc>
          <w:tcPr>
            <w:tcW w:w="974" w:type="pct"/>
            <w:vMerge w:val="restart"/>
          </w:tcPr>
          <w:p w14:paraId="328A92C3" w14:textId="77777777" w:rsidR="005C4198" w:rsidRDefault="005C4198" w:rsidP="005C4198">
            <w:pPr>
              <w:keepLines/>
              <w:spacing w:before="40" w:after="40" w:line="200" w:lineRule="atLeast"/>
              <w:rPr>
                <w:rFonts w:eastAsia="Times New Roman"/>
                <w:iCs/>
                <w:szCs w:val="17"/>
              </w:rPr>
            </w:pPr>
            <w:r>
              <w:rPr>
                <w:rFonts w:eastAsia="Times New Roman"/>
                <w:iCs/>
                <w:szCs w:val="17"/>
              </w:rPr>
              <w:t>PNG Microfinance Expansion Project</w:t>
            </w:r>
          </w:p>
        </w:tc>
        <w:tc>
          <w:tcPr>
            <w:tcW w:w="718" w:type="pct"/>
          </w:tcPr>
          <w:p w14:paraId="092D1D5B" w14:textId="77777777" w:rsidR="005C4198" w:rsidRDefault="005C4198" w:rsidP="005C4198">
            <w:pPr>
              <w:keepLines/>
              <w:spacing w:before="40" w:after="40" w:line="200" w:lineRule="atLeast"/>
              <w:rPr>
                <w:rFonts w:eastAsia="Times New Roman"/>
                <w:iCs/>
                <w:szCs w:val="17"/>
              </w:rPr>
            </w:pPr>
            <w:r>
              <w:rPr>
                <w:rFonts w:eastAsia="Times New Roman"/>
                <w:iCs/>
                <w:szCs w:val="17"/>
              </w:rPr>
              <w:t>$6.9m</w:t>
            </w:r>
          </w:p>
        </w:tc>
        <w:tc>
          <w:tcPr>
            <w:tcW w:w="458" w:type="pct"/>
          </w:tcPr>
          <w:p w14:paraId="22CBEFB9" w14:textId="77777777" w:rsidR="005C4198" w:rsidRDefault="005C4198" w:rsidP="005C4198">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04B84083"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2B8F8CD3"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92D050"/>
            <w:noWrap/>
          </w:tcPr>
          <w:p w14:paraId="3D1A4D13"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350BA440"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14:paraId="1AA8F6A1"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3" w:type="pct"/>
            <w:shd w:val="clear" w:color="auto" w:fill="FFFF00"/>
            <w:noWrap/>
          </w:tcPr>
          <w:p w14:paraId="5F0A4DFC"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4</w:t>
            </w:r>
          </w:p>
        </w:tc>
      </w:tr>
      <w:tr w:rsidR="005C4198" w:rsidRPr="00C61187" w14:paraId="1C40A79A"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vMerge/>
          </w:tcPr>
          <w:p w14:paraId="30E0D5EB" w14:textId="77777777" w:rsidR="005C4198" w:rsidRDefault="005C4198" w:rsidP="005C4198">
            <w:pPr>
              <w:keepLines/>
              <w:spacing w:before="40" w:after="40" w:line="200" w:lineRule="atLeast"/>
              <w:rPr>
                <w:rFonts w:eastAsia="Times New Roman"/>
                <w:iCs/>
                <w:szCs w:val="17"/>
              </w:rPr>
            </w:pPr>
          </w:p>
        </w:tc>
        <w:tc>
          <w:tcPr>
            <w:tcW w:w="718" w:type="pct"/>
          </w:tcPr>
          <w:p w14:paraId="3C7B5942" w14:textId="77777777" w:rsidR="005C4198" w:rsidRDefault="005C4198" w:rsidP="005C4198">
            <w:pPr>
              <w:keepLines/>
              <w:spacing w:before="40" w:after="40" w:line="200" w:lineRule="atLeast"/>
              <w:rPr>
                <w:rFonts w:eastAsia="Times New Roman"/>
                <w:iCs/>
                <w:szCs w:val="17"/>
              </w:rPr>
            </w:pPr>
            <w:r>
              <w:rPr>
                <w:rFonts w:eastAsia="Times New Roman"/>
                <w:iCs/>
                <w:szCs w:val="17"/>
              </w:rPr>
              <w:t>2010-2019</w:t>
            </w:r>
          </w:p>
        </w:tc>
        <w:tc>
          <w:tcPr>
            <w:tcW w:w="458" w:type="pct"/>
          </w:tcPr>
          <w:p w14:paraId="631C1E5A" w14:textId="77777777" w:rsidR="005C4198" w:rsidRDefault="005C4198" w:rsidP="005C419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48C559AE"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92D050"/>
            <w:noWrap/>
          </w:tcPr>
          <w:p w14:paraId="560E5322"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14:paraId="7E9820E8"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92D050"/>
            <w:noWrap/>
          </w:tcPr>
          <w:p w14:paraId="2D335127"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14:paraId="24BD1C29"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6</w:t>
            </w:r>
          </w:p>
        </w:tc>
        <w:tc>
          <w:tcPr>
            <w:tcW w:w="453" w:type="pct"/>
            <w:shd w:val="clear" w:color="auto" w:fill="92D050"/>
            <w:noWrap/>
          </w:tcPr>
          <w:p w14:paraId="05EE2651" w14:textId="77777777" w:rsidR="005C4198" w:rsidRDefault="005C4198" w:rsidP="005C4198">
            <w:pPr>
              <w:keepLines/>
              <w:spacing w:before="40" w:after="40" w:line="200" w:lineRule="atLeast"/>
              <w:jc w:val="center"/>
              <w:rPr>
                <w:rFonts w:eastAsia="Times New Roman"/>
                <w:iCs/>
                <w:szCs w:val="17"/>
              </w:rPr>
            </w:pPr>
            <w:r>
              <w:rPr>
                <w:rFonts w:eastAsia="Times New Roman"/>
                <w:iCs/>
                <w:szCs w:val="17"/>
              </w:rPr>
              <w:t>5</w:t>
            </w:r>
          </w:p>
        </w:tc>
      </w:tr>
      <w:tr w:rsidR="005C4198" w:rsidRPr="00C61187" w14:paraId="281E63BB" w14:textId="77777777" w:rsidTr="008B246E">
        <w:trPr>
          <w:cnfStyle w:val="000000010000" w:firstRow="0" w:lastRow="0" w:firstColumn="0" w:lastColumn="0" w:oddVBand="0" w:evenVBand="0" w:oddHBand="0" w:evenHBand="1" w:firstRowFirstColumn="0" w:firstRowLastColumn="0" w:lastRowFirstColumn="0" w:lastRowLastColumn="0"/>
          <w:trHeight w:val="284"/>
        </w:trPr>
        <w:tc>
          <w:tcPr>
            <w:tcW w:w="974" w:type="pct"/>
            <w:tcBorders>
              <w:top w:val="single" w:sz="4" w:space="0" w:color="auto"/>
            </w:tcBorders>
          </w:tcPr>
          <w:p w14:paraId="776A7EEE" w14:textId="77777777" w:rsidR="005C4198" w:rsidRDefault="005C4198" w:rsidP="005C4198">
            <w:pPr>
              <w:keepLines/>
              <w:spacing w:before="40" w:after="40" w:line="200" w:lineRule="atLeast"/>
              <w:rPr>
                <w:rFonts w:eastAsia="Times New Roman"/>
                <w:iCs/>
                <w:szCs w:val="17"/>
              </w:rPr>
            </w:pPr>
            <w:r>
              <w:rPr>
                <w:rFonts w:eastAsia="Times New Roman"/>
                <w:iCs/>
                <w:szCs w:val="17"/>
              </w:rPr>
              <w:t xml:space="preserve">Gender Equality / Gender </w:t>
            </w:r>
          </w:p>
        </w:tc>
        <w:tc>
          <w:tcPr>
            <w:tcW w:w="718" w:type="pct"/>
            <w:tcBorders>
              <w:top w:val="single" w:sz="4" w:space="0" w:color="auto"/>
            </w:tcBorders>
          </w:tcPr>
          <w:p w14:paraId="4B94754F" w14:textId="77777777" w:rsidR="005C4198" w:rsidRPr="00F00CFB" w:rsidRDefault="005C4198" w:rsidP="005C4198">
            <w:pPr>
              <w:keepLines/>
              <w:spacing w:before="40" w:after="40" w:line="200" w:lineRule="atLeast"/>
              <w:rPr>
                <w:rFonts w:eastAsia="Times New Roman"/>
                <w:iCs/>
                <w:szCs w:val="17"/>
              </w:rPr>
            </w:pPr>
            <w:r>
              <w:rPr>
                <w:rFonts w:eastAsia="Times New Roman"/>
                <w:iCs/>
                <w:szCs w:val="17"/>
              </w:rPr>
              <w:t>$60m</w:t>
            </w:r>
          </w:p>
        </w:tc>
        <w:tc>
          <w:tcPr>
            <w:tcW w:w="458" w:type="pct"/>
            <w:tcBorders>
              <w:top w:val="single" w:sz="4" w:space="0" w:color="auto"/>
            </w:tcBorders>
          </w:tcPr>
          <w:p w14:paraId="1965337D" w14:textId="77777777" w:rsidR="005C4198" w:rsidRPr="00880004" w:rsidRDefault="005C4198" w:rsidP="005C4198">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92D050"/>
          </w:tcPr>
          <w:p w14:paraId="5A750971" w14:textId="77777777" w:rsidR="005C4198" w:rsidRPr="00682003" w:rsidDel="005D1D57"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56F81562"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06592892"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92D050"/>
            <w:noWrap/>
          </w:tcPr>
          <w:p w14:paraId="257625F5"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14:paraId="409AF555"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3" w:type="pct"/>
            <w:shd w:val="clear" w:color="auto" w:fill="92D050"/>
            <w:noWrap/>
          </w:tcPr>
          <w:p w14:paraId="13C282BE"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r>
      <w:tr w:rsidR="005C4198" w:rsidRPr="00C61187" w14:paraId="5E00B7ED"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Borders>
              <w:bottom w:val="single" w:sz="4" w:space="0" w:color="auto"/>
            </w:tcBorders>
          </w:tcPr>
          <w:p w14:paraId="30E4B2F5" w14:textId="77777777" w:rsidR="005C4198" w:rsidRDefault="005C4198" w:rsidP="005C4198">
            <w:pPr>
              <w:keepLines/>
              <w:spacing w:before="40" w:after="40" w:line="200" w:lineRule="atLeast"/>
              <w:rPr>
                <w:rFonts w:eastAsia="Times New Roman"/>
                <w:iCs/>
                <w:szCs w:val="17"/>
              </w:rPr>
            </w:pPr>
            <w:r>
              <w:rPr>
                <w:rFonts w:eastAsia="Times New Roman"/>
                <w:iCs/>
                <w:szCs w:val="17"/>
              </w:rPr>
              <w:t>Based Violence</w:t>
            </w:r>
          </w:p>
        </w:tc>
        <w:tc>
          <w:tcPr>
            <w:tcW w:w="718" w:type="pct"/>
            <w:tcBorders>
              <w:bottom w:val="single" w:sz="4" w:space="0" w:color="auto"/>
            </w:tcBorders>
          </w:tcPr>
          <w:p w14:paraId="50B2396B" w14:textId="77777777" w:rsidR="005C4198" w:rsidRPr="00F00CFB" w:rsidRDefault="005C4198" w:rsidP="005C4198">
            <w:pPr>
              <w:keepLines/>
              <w:spacing w:before="40" w:after="40" w:line="200" w:lineRule="atLeast"/>
              <w:rPr>
                <w:rFonts w:eastAsia="Times New Roman"/>
                <w:iCs/>
                <w:szCs w:val="17"/>
              </w:rPr>
            </w:pPr>
            <w:r>
              <w:rPr>
                <w:rFonts w:eastAsia="Times New Roman"/>
                <w:iCs/>
                <w:szCs w:val="17"/>
              </w:rPr>
              <w:t>2008-20</w:t>
            </w:r>
          </w:p>
        </w:tc>
        <w:tc>
          <w:tcPr>
            <w:tcW w:w="458" w:type="pct"/>
            <w:tcBorders>
              <w:bottom w:val="single" w:sz="4" w:space="0" w:color="auto"/>
            </w:tcBorders>
          </w:tcPr>
          <w:p w14:paraId="6051A499" w14:textId="77777777" w:rsidR="005C4198" w:rsidRPr="00880004" w:rsidRDefault="005C4198" w:rsidP="005C419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tcPr>
          <w:p w14:paraId="37245C8C" w14:textId="77777777" w:rsidR="005C4198" w:rsidRPr="00682003" w:rsidRDefault="005C4198" w:rsidP="005C4198">
            <w:pPr>
              <w:keepLines/>
              <w:spacing w:before="40" w:after="40" w:line="200" w:lineRule="atLeast"/>
              <w:jc w:val="center"/>
              <w:rPr>
                <w:rFonts w:eastAsia="Times New Roman"/>
                <w:iCs/>
                <w:szCs w:val="17"/>
              </w:rPr>
            </w:pPr>
            <w:r w:rsidRPr="00682003">
              <w:rPr>
                <w:rFonts w:eastAsia="Times New Roman"/>
                <w:iCs/>
                <w:szCs w:val="17"/>
              </w:rPr>
              <w:t>5</w:t>
            </w:r>
          </w:p>
        </w:tc>
        <w:tc>
          <w:tcPr>
            <w:tcW w:w="459" w:type="pct"/>
            <w:shd w:val="clear" w:color="auto" w:fill="92D050"/>
            <w:noWrap/>
          </w:tcPr>
          <w:p w14:paraId="08FF2DF8"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c>
          <w:tcPr>
            <w:tcW w:w="456" w:type="pct"/>
            <w:shd w:val="clear" w:color="auto" w:fill="92D050"/>
            <w:noWrap/>
          </w:tcPr>
          <w:p w14:paraId="40934508"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6</w:t>
            </w:r>
          </w:p>
        </w:tc>
        <w:tc>
          <w:tcPr>
            <w:tcW w:w="459" w:type="pct"/>
            <w:shd w:val="clear" w:color="auto" w:fill="92D050"/>
            <w:noWrap/>
          </w:tcPr>
          <w:p w14:paraId="6CCC17C0"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c>
          <w:tcPr>
            <w:tcW w:w="456" w:type="pct"/>
            <w:shd w:val="clear" w:color="auto" w:fill="92D050"/>
            <w:noWrap/>
          </w:tcPr>
          <w:p w14:paraId="6CB80467"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c>
          <w:tcPr>
            <w:tcW w:w="453" w:type="pct"/>
            <w:shd w:val="clear" w:color="auto" w:fill="92D050"/>
            <w:noWrap/>
          </w:tcPr>
          <w:p w14:paraId="6A8DD3BC"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6</w:t>
            </w:r>
          </w:p>
        </w:tc>
      </w:tr>
      <w:tr w:rsidR="005C4198" w:rsidRPr="00C61187" w14:paraId="6DEC9813"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5C9CD6C3" w14:textId="77777777" w:rsidR="005C4198" w:rsidRDefault="005C4198" w:rsidP="005C4198">
            <w:pPr>
              <w:keepLines/>
              <w:spacing w:before="40" w:after="40" w:line="200" w:lineRule="atLeast"/>
              <w:rPr>
                <w:rFonts w:eastAsia="Times New Roman"/>
                <w:iCs/>
                <w:szCs w:val="17"/>
              </w:rPr>
            </w:pPr>
            <w:r>
              <w:rPr>
                <w:rFonts w:eastAsia="Times New Roman"/>
                <w:iCs/>
                <w:szCs w:val="17"/>
              </w:rPr>
              <w:t>Sports for Development</w:t>
            </w:r>
          </w:p>
        </w:tc>
        <w:tc>
          <w:tcPr>
            <w:tcW w:w="718" w:type="pct"/>
          </w:tcPr>
          <w:p w14:paraId="07E7E49D" w14:textId="77777777" w:rsidR="005C4198" w:rsidRDefault="005C4198" w:rsidP="005C4198">
            <w:pPr>
              <w:keepLines/>
              <w:spacing w:before="40" w:after="40" w:line="200" w:lineRule="atLeast"/>
              <w:rPr>
                <w:rFonts w:eastAsia="Times New Roman"/>
                <w:iCs/>
                <w:szCs w:val="17"/>
              </w:rPr>
            </w:pPr>
            <w:r>
              <w:rPr>
                <w:rFonts w:eastAsia="Times New Roman"/>
                <w:iCs/>
                <w:szCs w:val="17"/>
              </w:rPr>
              <w:t>$10m</w:t>
            </w:r>
          </w:p>
        </w:tc>
        <w:tc>
          <w:tcPr>
            <w:tcW w:w="458" w:type="pct"/>
          </w:tcPr>
          <w:p w14:paraId="663A127B" w14:textId="77777777" w:rsidR="005C4198" w:rsidRPr="00880004" w:rsidRDefault="005C4198" w:rsidP="005C4198">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5CE3E268" w14:textId="77777777" w:rsidR="005C4198" w:rsidRPr="00682003" w:rsidDel="005D1D57"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2D7194F0"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92D050"/>
            <w:noWrap/>
          </w:tcPr>
          <w:p w14:paraId="796B76E7"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14:paraId="2ABD7335"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C000"/>
            <w:noWrap/>
          </w:tcPr>
          <w:p w14:paraId="40F97253"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c>
          <w:tcPr>
            <w:tcW w:w="453" w:type="pct"/>
            <w:shd w:val="clear" w:color="auto" w:fill="92D050"/>
            <w:noWrap/>
          </w:tcPr>
          <w:p w14:paraId="3CA3AB3A"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r>
      <w:tr w:rsidR="005C4198" w:rsidRPr="00C61187" w14:paraId="179866F2"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Borders>
              <w:bottom w:val="single" w:sz="4" w:space="0" w:color="auto"/>
            </w:tcBorders>
          </w:tcPr>
          <w:p w14:paraId="28930019" w14:textId="77777777" w:rsidR="005C4198" w:rsidRDefault="005C4198" w:rsidP="005C4198">
            <w:pPr>
              <w:keepLines/>
              <w:spacing w:before="40" w:after="40" w:line="200" w:lineRule="atLeast"/>
              <w:rPr>
                <w:rFonts w:eastAsia="Times New Roman"/>
                <w:iCs/>
                <w:szCs w:val="17"/>
              </w:rPr>
            </w:pPr>
          </w:p>
        </w:tc>
        <w:tc>
          <w:tcPr>
            <w:tcW w:w="718" w:type="pct"/>
            <w:tcBorders>
              <w:bottom w:val="single" w:sz="4" w:space="0" w:color="auto"/>
            </w:tcBorders>
          </w:tcPr>
          <w:p w14:paraId="2A7787D7" w14:textId="77777777" w:rsidR="005C4198" w:rsidRDefault="005C4198" w:rsidP="005C4198">
            <w:pPr>
              <w:keepLines/>
              <w:spacing w:before="40" w:after="40" w:line="200" w:lineRule="atLeast"/>
              <w:rPr>
                <w:rFonts w:eastAsia="Times New Roman"/>
                <w:iCs/>
                <w:szCs w:val="17"/>
              </w:rPr>
            </w:pPr>
            <w:r>
              <w:rPr>
                <w:rFonts w:eastAsia="Times New Roman"/>
                <w:iCs/>
                <w:szCs w:val="17"/>
              </w:rPr>
              <w:t>2015-18</w:t>
            </w:r>
          </w:p>
        </w:tc>
        <w:tc>
          <w:tcPr>
            <w:tcW w:w="458" w:type="pct"/>
            <w:tcBorders>
              <w:bottom w:val="single" w:sz="4" w:space="0" w:color="auto"/>
            </w:tcBorders>
          </w:tcPr>
          <w:p w14:paraId="46A304E4" w14:textId="77777777" w:rsidR="005C4198" w:rsidRPr="00880004" w:rsidRDefault="005C4198" w:rsidP="005C419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FF00"/>
          </w:tcPr>
          <w:p w14:paraId="76FF8B19" w14:textId="77777777" w:rsidR="005C4198" w:rsidRPr="00682003" w:rsidRDefault="005C4198" w:rsidP="005C4198">
            <w:pPr>
              <w:keepLines/>
              <w:spacing w:before="40" w:after="40" w:line="200" w:lineRule="atLeast"/>
              <w:jc w:val="center"/>
              <w:rPr>
                <w:rFonts w:eastAsia="Times New Roman"/>
                <w:iCs/>
                <w:szCs w:val="17"/>
              </w:rPr>
            </w:pPr>
            <w:r w:rsidRPr="00682003">
              <w:rPr>
                <w:rFonts w:eastAsia="Times New Roman"/>
                <w:iCs/>
                <w:szCs w:val="17"/>
              </w:rPr>
              <w:t>4</w:t>
            </w:r>
          </w:p>
        </w:tc>
        <w:tc>
          <w:tcPr>
            <w:tcW w:w="459" w:type="pct"/>
            <w:shd w:val="clear" w:color="auto" w:fill="FFC000"/>
            <w:noWrap/>
          </w:tcPr>
          <w:p w14:paraId="448829FB"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3</w:t>
            </w:r>
          </w:p>
        </w:tc>
        <w:tc>
          <w:tcPr>
            <w:tcW w:w="456" w:type="pct"/>
            <w:shd w:val="clear" w:color="auto" w:fill="92D050"/>
            <w:noWrap/>
          </w:tcPr>
          <w:p w14:paraId="36BF4B3D"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c>
          <w:tcPr>
            <w:tcW w:w="459" w:type="pct"/>
            <w:shd w:val="clear" w:color="auto" w:fill="92D050"/>
            <w:noWrap/>
          </w:tcPr>
          <w:p w14:paraId="63B640D2"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c>
          <w:tcPr>
            <w:tcW w:w="456" w:type="pct"/>
            <w:shd w:val="clear" w:color="auto" w:fill="FFFF00"/>
            <w:noWrap/>
          </w:tcPr>
          <w:p w14:paraId="61E19413"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4</w:t>
            </w:r>
          </w:p>
        </w:tc>
        <w:tc>
          <w:tcPr>
            <w:tcW w:w="453" w:type="pct"/>
            <w:shd w:val="clear" w:color="auto" w:fill="92D050"/>
            <w:noWrap/>
          </w:tcPr>
          <w:p w14:paraId="25FA8A4D"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r>
      <w:tr w:rsidR="005C4198" w:rsidRPr="00C61187" w14:paraId="615FAEE5"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4CB20384" w14:textId="77777777" w:rsidR="005C4198" w:rsidRDefault="005C4198" w:rsidP="005C4198">
            <w:pPr>
              <w:keepLines/>
              <w:spacing w:before="40" w:after="40" w:line="200" w:lineRule="atLeast"/>
              <w:rPr>
                <w:rFonts w:eastAsia="Times New Roman"/>
                <w:iCs/>
                <w:szCs w:val="17"/>
              </w:rPr>
            </w:pPr>
            <w:r>
              <w:rPr>
                <w:rFonts w:eastAsia="Times New Roman"/>
                <w:iCs/>
                <w:szCs w:val="17"/>
              </w:rPr>
              <w:t>Bougainville Programming</w:t>
            </w:r>
          </w:p>
        </w:tc>
        <w:tc>
          <w:tcPr>
            <w:tcW w:w="718" w:type="pct"/>
          </w:tcPr>
          <w:p w14:paraId="643DC23B" w14:textId="77777777" w:rsidR="005C4198" w:rsidRDefault="005C4198" w:rsidP="005C4198">
            <w:pPr>
              <w:keepLines/>
              <w:spacing w:before="40" w:after="40" w:line="200" w:lineRule="atLeast"/>
              <w:rPr>
                <w:rFonts w:eastAsia="Times New Roman"/>
                <w:iCs/>
                <w:szCs w:val="17"/>
              </w:rPr>
            </w:pPr>
            <w:r>
              <w:rPr>
                <w:rFonts w:eastAsia="Times New Roman"/>
                <w:iCs/>
                <w:szCs w:val="17"/>
              </w:rPr>
              <w:t>$19m</w:t>
            </w:r>
          </w:p>
        </w:tc>
        <w:tc>
          <w:tcPr>
            <w:tcW w:w="458" w:type="pct"/>
          </w:tcPr>
          <w:p w14:paraId="30514520" w14:textId="77777777" w:rsidR="005C4198" w:rsidRPr="00880004" w:rsidRDefault="005C4198" w:rsidP="005C4198">
            <w:pPr>
              <w:keepLines/>
              <w:spacing w:before="40" w:after="40" w:line="200" w:lineRule="atLeast"/>
              <w:rPr>
                <w:rFonts w:eastAsia="Times New Roman"/>
                <w:iCs/>
                <w:szCs w:val="17"/>
              </w:rPr>
            </w:pPr>
            <w:r>
              <w:rPr>
                <w:rFonts w:eastAsia="Times New Roman"/>
                <w:iCs/>
                <w:szCs w:val="17"/>
              </w:rPr>
              <w:t>2018 AQC</w:t>
            </w:r>
            <w:r w:rsidDel="00F718D4">
              <w:rPr>
                <w:rFonts w:eastAsia="Times New Roman"/>
                <w:iCs/>
                <w:szCs w:val="17"/>
              </w:rPr>
              <w:t xml:space="preserve"> </w:t>
            </w:r>
          </w:p>
        </w:tc>
        <w:tc>
          <w:tcPr>
            <w:tcW w:w="459" w:type="pct"/>
            <w:shd w:val="clear" w:color="auto" w:fill="FFFF00"/>
          </w:tcPr>
          <w:p w14:paraId="38D5A17C" w14:textId="77777777" w:rsidR="005C4198" w:rsidRPr="00682003" w:rsidDel="005D1D57"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14:paraId="76A0E91C"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14:paraId="161BD9ED"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14:paraId="45840B3A"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14:paraId="75AF7766"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3" w:type="pct"/>
            <w:shd w:val="clear" w:color="auto" w:fill="FFC000"/>
            <w:noWrap/>
          </w:tcPr>
          <w:p w14:paraId="67848142"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r>
      <w:tr w:rsidR="005C4198" w:rsidRPr="00C61187" w14:paraId="69A75B5A"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2EC572F1" w14:textId="77777777" w:rsidR="005C4198" w:rsidRDefault="005C4198" w:rsidP="005C4198">
            <w:pPr>
              <w:keepLines/>
              <w:spacing w:before="40" w:after="40" w:line="200" w:lineRule="atLeast"/>
              <w:rPr>
                <w:rFonts w:eastAsia="Times New Roman"/>
                <w:iCs/>
                <w:szCs w:val="17"/>
              </w:rPr>
            </w:pPr>
          </w:p>
        </w:tc>
        <w:tc>
          <w:tcPr>
            <w:tcW w:w="718" w:type="pct"/>
          </w:tcPr>
          <w:p w14:paraId="67D742AB" w14:textId="77777777" w:rsidR="005C4198" w:rsidRDefault="005C4198" w:rsidP="005C4198">
            <w:pPr>
              <w:keepLines/>
              <w:spacing w:before="40" w:after="40" w:line="200" w:lineRule="atLeast"/>
              <w:rPr>
                <w:rFonts w:eastAsia="Times New Roman"/>
                <w:iCs/>
                <w:szCs w:val="17"/>
              </w:rPr>
            </w:pPr>
            <w:r>
              <w:rPr>
                <w:rFonts w:eastAsia="Times New Roman"/>
                <w:iCs/>
                <w:szCs w:val="17"/>
              </w:rPr>
              <w:t>2014-20</w:t>
            </w:r>
          </w:p>
        </w:tc>
        <w:tc>
          <w:tcPr>
            <w:tcW w:w="458" w:type="pct"/>
          </w:tcPr>
          <w:p w14:paraId="48258006" w14:textId="77777777" w:rsidR="005C4198" w:rsidRPr="00880004" w:rsidRDefault="005C4198" w:rsidP="005C419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FF00"/>
          </w:tcPr>
          <w:p w14:paraId="61AD4137" w14:textId="77777777" w:rsidR="005C4198" w:rsidRPr="00682003" w:rsidRDefault="005C4198" w:rsidP="005C4198">
            <w:pPr>
              <w:keepLines/>
              <w:spacing w:before="40" w:after="40" w:line="200" w:lineRule="atLeast"/>
              <w:jc w:val="center"/>
              <w:rPr>
                <w:rFonts w:eastAsia="Times New Roman"/>
                <w:iCs/>
                <w:szCs w:val="17"/>
              </w:rPr>
            </w:pPr>
            <w:r w:rsidRPr="00682003">
              <w:rPr>
                <w:rFonts w:eastAsia="Times New Roman"/>
                <w:iCs/>
                <w:szCs w:val="17"/>
              </w:rPr>
              <w:t>4</w:t>
            </w:r>
          </w:p>
        </w:tc>
        <w:tc>
          <w:tcPr>
            <w:tcW w:w="459" w:type="pct"/>
            <w:shd w:val="clear" w:color="auto" w:fill="FFFF00"/>
            <w:noWrap/>
          </w:tcPr>
          <w:p w14:paraId="4EABCF6B"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4</w:t>
            </w:r>
          </w:p>
        </w:tc>
        <w:tc>
          <w:tcPr>
            <w:tcW w:w="456" w:type="pct"/>
            <w:shd w:val="clear" w:color="auto" w:fill="92D050"/>
            <w:noWrap/>
          </w:tcPr>
          <w:p w14:paraId="3041200D"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5</w:t>
            </w:r>
          </w:p>
        </w:tc>
        <w:tc>
          <w:tcPr>
            <w:tcW w:w="459" w:type="pct"/>
            <w:shd w:val="clear" w:color="auto" w:fill="FFFF00"/>
            <w:noWrap/>
          </w:tcPr>
          <w:p w14:paraId="4D7766F1"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4</w:t>
            </w:r>
          </w:p>
        </w:tc>
        <w:tc>
          <w:tcPr>
            <w:tcW w:w="456" w:type="pct"/>
            <w:shd w:val="clear" w:color="auto" w:fill="FFC000"/>
            <w:noWrap/>
          </w:tcPr>
          <w:p w14:paraId="78B50BAE"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3</w:t>
            </w:r>
          </w:p>
        </w:tc>
        <w:tc>
          <w:tcPr>
            <w:tcW w:w="453" w:type="pct"/>
            <w:shd w:val="clear" w:color="auto" w:fill="FFFF00"/>
            <w:noWrap/>
          </w:tcPr>
          <w:p w14:paraId="548E1423" w14:textId="77777777" w:rsidR="005C4198" w:rsidRPr="00E31D23" w:rsidRDefault="005C4198" w:rsidP="005C4198">
            <w:pPr>
              <w:keepLines/>
              <w:spacing w:before="40" w:after="40" w:line="200" w:lineRule="atLeast"/>
              <w:jc w:val="center"/>
              <w:rPr>
                <w:rFonts w:eastAsia="Times New Roman"/>
                <w:iCs/>
                <w:szCs w:val="17"/>
              </w:rPr>
            </w:pPr>
            <w:r w:rsidRPr="00E31D23">
              <w:rPr>
                <w:rFonts w:eastAsia="Times New Roman"/>
                <w:iCs/>
                <w:szCs w:val="17"/>
              </w:rPr>
              <w:t>4</w:t>
            </w:r>
          </w:p>
        </w:tc>
      </w:tr>
      <w:tr w:rsidR="005C4198" w:rsidRPr="00C61187" w14:paraId="1F820997"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Borders>
              <w:top w:val="single" w:sz="4" w:space="0" w:color="auto"/>
            </w:tcBorders>
          </w:tcPr>
          <w:p w14:paraId="54688753" w14:textId="77777777" w:rsidR="005C4198" w:rsidRDefault="005C4198" w:rsidP="005C4198">
            <w:pPr>
              <w:keepLines/>
              <w:spacing w:before="40" w:after="40" w:line="200" w:lineRule="atLeast"/>
              <w:rPr>
                <w:rFonts w:eastAsia="Times New Roman"/>
                <w:iCs/>
                <w:szCs w:val="17"/>
              </w:rPr>
            </w:pPr>
            <w:r>
              <w:rPr>
                <w:rFonts w:eastAsia="Times New Roman"/>
                <w:iCs/>
                <w:szCs w:val="17"/>
              </w:rPr>
              <w:t>Kokoda Track Initiative</w:t>
            </w:r>
          </w:p>
        </w:tc>
        <w:tc>
          <w:tcPr>
            <w:tcW w:w="718" w:type="pct"/>
            <w:tcBorders>
              <w:top w:val="single" w:sz="4" w:space="0" w:color="auto"/>
            </w:tcBorders>
          </w:tcPr>
          <w:p w14:paraId="491C701D" w14:textId="77777777" w:rsidR="005C4198" w:rsidRDefault="005C4198" w:rsidP="005C4198">
            <w:pPr>
              <w:keepLines/>
              <w:spacing w:before="40" w:after="40" w:line="200" w:lineRule="atLeast"/>
              <w:rPr>
                <w:rFonts w:eastAsia="Times New Roman"/>
                <w:iCs/>
                <w:szCs w:val="17"/>
              </w:rPr>
            </w:pPr>
            <w:r>
              <w:rPr>
                <w:rFonts w:eastAsia="Times New Roman"/>
                <w:iCs/>
                <w:szCs w:val="17"/>
              </w:rPr>
              <w:t>$41.8</w:t>
            </w:r>
          </w:p>
        </w:tc>
        <w:tc>
          <w:tcPr>
            <w:tcW w:w="458" w:type="pct"/>
            <w:tcBorders>
              <w:top w:val="single" w:sz="4" w:space="0" w:color="auto"/>
            </w:tcBorders>
          </w:tcPr>
          <w:p w14:paraId="6305F721" w14:textId="77777777" w:rsidR="005C4198" w:rsidRDefault="005C4198" w:rsidP="005C4198">
            <w:pPr>
              <w:keepLines/>
              <w:spacing w:before="40" w:after="40" w:line="200" w:lineRule="atLeast"/>
              <w:rPr>
                <w:rFonts w:eastAsia="Times New Roman"/>
                <w:iCs/>
                <w:szCs w:val="17"/>
              </w:rPr>
            </w:pPr>
            <w:r>
              <w:rPr>
                <w:rFonts w:eastAsia="Times New Roman"/>
                <w:iCs/>
                <w:szCs w:val="17"/>
              </w:rPr>
              <w:t>2018 AQC</w:t>
            </w:r>
          </w:p>
        </w:tc>
        <w:tc>
          <w:tcPr>
            <w:tcW w:w="459" w:type="pct"/>
            <w:tcBorders>
              <w:top w:val="single" w:sz="4" w:space="0" w:color="auto"/>
            </w:tcBorders>
            <w:shd w:val="clear" w:color="auto" w:fill="FFFF00"/>
          </w:tcPr>
          <w:p w14:paraId="76E68AB8"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9" w:type="pct"/>
            <w:tcBorders>
              <w:top w:val="single" w:sz="4" w:space="0" w:color="auto"/>
            </w:tcBorders>
            <w:shd w:val="clear" w:color="auto" w:fill="FFFF00"/>
            <w:noWrap/>
          </w:tcPr>
          <w:p w14:paraId="0564BDF7"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6" w:type="pct"/>
            <w:tcBorders>
              <w:top w:val="single" w:sz="4" w:space="0" w:color="auto"/>
            </w:tcBorders>
            <w:shd w:val="clear" w:color="auto" w:fill="92D050"/>
            <w:noWrap/>
          </w:tcPr>
          <w:p w14:paraId="04D86FCC"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5</w:t>
            </w:r>
          </w:p>
        </w:tc>
        <w:tc>
          <w:tcPr>
            <w:tcW w:w="459" w:type="pct"/>
            <w:tcBorders>
              <w:top w:val="single" w:sz="4" w:space="0" w:color="auto"/>
            </w:tcBorders>
            <w:shd w:val="clear" w:color="auto" w:fill="FFC000"/>
            <w:noWrap/>
          </w:tcPr>
          <w:p w14:paraId="7E458806"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c>
          <w:tcPr>
            <w:tcW w:w="456" w:type="pct"/>
            <w:tcBorders>
              <w:top w:val="single" w:sz="4" w:space="0" w:color="auto"/>
            </w:tcBorders>
            <w:shd w:val="clear" w:color="auto" w:fill="FFC000"/>
            <w:noWrap/>
          </w:tcPr>
          <w:p w14:paraId="4C8040BF"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c>
          <w:tcPr>
            <w:tcW w:w="453" w:type="pct"/>
            <w:tcBorders>
              <w:top w:val="single" w:sz="4" w:space="0" w:color="auto"/>
            </w:tcBorders>
            <w:shd w:val="clear" w:color="auto" w:fill="FFC000"/>
            <w:noWrap/>
          </w:tcPr>
          <w:p w14:paraId="6F40AEE2"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r>
      <w:tr w:rsidR="005C4198" w:rsidRPr="00C61187" w14:paraId="3385C852"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5AB6B880" w14:textId="77777777" w:rsidR="005C4198" w:rsidRDefault="005C4198" w:rsidP="005C4198">
            <w:pPr>
              <w:keepLines/>
              <w:spacing w:before="40" w:after="40" w:line="200" w:lineRule="atLeast"/>
              <w:rPr>
                <w:rFonts w:eastAsia="Times New Roman"/>
                <w:iCs/>
                <w:szCs w:val="17"/>
              </w:rPr>
            </w:pPr>
          </w:p>
        </w:tc>
        <w:tc>
          <w:tcPr>
            <w:tcW w:w="718" w:type="pct"/>
          </w:tcPr>
          <w:p w14:paraId="2ED0EDC1" w14:textId="77777777" w:rsidR="005C4198" w:rsidRDefault="005C4198" w:rsidP="005C4198">
            <w:pPr>
              <w:keepLines/>
              <w:spacing w:before="40" w:after="40" w:line="200" w:lineRule="atLeast"/>
              <w:rPr>
                <w:rFonts w:eastAsia="Times New Roman"/>
                <w:iCs/>
                <w:szCs w:val="17"/>
              </w:rPr>
            </w:pPr>
            <w:r>
              <w:rPr>
                <w:rFonts w:eastAsia="Times New Roman"/>
                <w:iCs/>
                <w:szCs w:val="17"/>
              </w:rPr>
              <w:t>2008-20</w:t>
            </w:r>
          </w:p>
        </w:tc>
        <w:tc>
          <w:tcPr>
            <w:tcW w:w="458" w:type="pct"/>
          </w:tcPr>
          <w:p w14:paraId="203DC421" w14:textId="77777777" w:rsidR="005C4198" w:rsidRDefault="005C4198" w:rsidP="005C419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auto"/>
          </w:tcPr>
          <w:p w14:paraId="7C99F69C"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14:paraId="3996A998"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14:paraId="63F50DD9"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14:paraId="4B2131AC"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14:paraId="537B6647"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Exempt</w:t>
            </w:r>
          </w:p>
        </w:tc>
        <w:tc>
          <w:tcPr>
            <w:tcW w:w="453" w:type="pct"/>
            <w:shd w:val="clear" w:color="auto" w:fill="auto"/>
            <w:noWrap/>
          </w:tcPr>
          <w:p w14:paraId="400FA6FB"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Exempt</w:t>
            </w:r>
          </w:p>
        </w:tc>
      </w:tr>
      <w:tr w:rsidR="005C4198" w:rsidRPr="00C61187" w14:paraId="7AE91890" w14:textId="77777777" w:rsidTr="006F4D85">
        <w:trPr>
          <w:cnfStyle w:val="000000010000" w:firstRow="0" w:lastRow="0" w:firstColumn="0" w:lastColumn="0" w:oddVBand="0" w:evenVBand="0" w:oddHBand="0" w:evenHBand="1" w:firstRowFirstColumn="0" w:firstRowLastColumn="0" w:lastRowFirstColumn="0" w:lastRowLastColumn="0"/>
          <w:trHeight w:val="284"/>
        </w:trPr>
        <w:tc>
          <w:tcPr>
            <w:tcW w:w="974" w:type="pct"/>
            <w:tcBorders>
              <w:top w:val="single" w:sz="4" w:space="0" w:color="auto"/>
            </w:tcBorders>
          </w:tcPr>
          <w:p w14:paraId="2E62C32A" w14:textId="77777777" w:rsidR="005C4198" w:rsidRDefault="005C4198" w:rsidP="005C4198">
            <w:pPr>
              <w:keepLines/>
              <w:spacing w:before="40" w:after="40" w:line="200" w:lineRule="atLeast"/>
              <w:rPr>
                <w:rFonts w:eastAsia="Times New Roman"/>
                <w:iCs/>
                <w:szCs w:val="17"/>
              </w:rPr>
            </w:pPr>
            <w:r>
              <w:rPr>
                <w:rFonts w:eastAsia="Times New Roman"/>
                <w:iCs/>
                <w:szCs w:val="17"/>
              </w:rPr>
              <w:t xml:space="preserve">Institutional Partnership </w:t>
            </w:r>
          </w:p>
        </w:tc>
        <w:tc>
          <w:tcPr>
            <w:tcW w:w="718" w:type="pct"/>
            <w:tcBorders>
              <w:top w:val="single" w:sz="4" w:space="0" w:color="auto"/>
            </w:tcBorders>
          </w:tcPr>
          <w:p w14:paraId="1DE5DFC7" w14:textId="77777777" w:rsidR="005C4198" w:rsidRDefault="005C4198" w:rsidP="005C4198">
            <w:pPr>
              <w:keepLines/>
              <w:spacing w:before="40" w:after="40" w:line="200" w:lineRule="atLeast"/>
              <w:rPr>
                <w:rFonts w:eastAsia="Times New Roman"/>
                <w:iCs/>
                <w:szCs w:val="17"/>
              </w:rPr>
            </w:pPr>
            <w:r>
              <w:rPr>
                <w:rFonts w:eastAsia="Times New Roman"/>
                <w:iCs/>
                <w:szCs w:val="17"/>
              </w:rPr>
              <w:t xml:space="preserve">$80.1m </w:t>
            </w:r>
          </w:p>
        </w:tc>
        <w:tc>
          <w:tcPr>
            <w:tcW w:w="458" w:type="pct"/>
            <w:tcBorders>
              <w:top w:val="single" w:sz="4" w:space="0" w:color="auto"/>
            </w:tcBorders>
          </w:tcPr>
          <w:p w14:paraId="16C68DA4" w14:textId="77777777" w:rsidR="005C4198" w:rsidRDefault="005C4198" w:rsidP="005C4198">
            <w:pPr>
              <w:keepLines/>
              <w:spacing w:before="40" w:after="40" w:line="200" w:lineRule="atLeast"/>
              <w:rPr>
                <w:rFonts w:eastAsia="Times New Roman"/>
                <w:iCs/>
                <w:szCs w:val="17"/>
              </w:rPr>
            </w:pPr>
            <w:r>
              <w:rPr>
                <w:rFonts w:eastAsia="Times New Roman"/>
                <w:iCs/>
                <w:szCs w:val="17"/>
              </w:rPr>
              <w:t>2018 AQC</w:t>
            </w:r>
          </w:p>
        </w:tc>
        <w:tc>
          <w:tcPr>
            <w:tcW w:w="459" w:type="pct"/>
            <w:tcBorders>
              <w:top w:val="single" w:sz="4" w:space="0" w:color="auto"/>
            </w:tcBorders>
            <w:shd w:val="clear" w:color="auto" w:fill="FFC000"/>
          </w:tcPr>
          <w:p w14:paraId="5A3496D5"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c>
          <w:tcPr>
            <w:tcW w:w="459" w:type="pct"/>
            <w:tcBorders>
              <w:top w:val="single" w:sz="4" w:space="0" w:color="auto"/>
            </w:tcBorders>
            <w:shd w:val="clear" w:color="auto" w:fill="FFC000"/>
            <w:noWrap/>
          </w:tcPr>
          <w:p w14:paraId="2E8B4372"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c>
          <w:tcPr>
            <w:tcW w:w="456" w:type="pct"/>
            <w:tcBorders>
              <w:top w:val="single" w:sz="4" w:space="0" w:color="auto"/>
            </w:tcBorders>
            <w:shd w:val="clear" w:color="auto" w:fill="FFFF00"/>
            <w:noWrap/>
          </w:tcPr>
          <w:p w14:paraId="2FA72CA1"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4</w:t>
            </w:r>
          </w:p>
        </w:tc>
        <w:tc>
          <w:tcPr>
            <w:tcW w:w="459" w:type="pct"/>
            <w:tcBorders>
              <w:top w:val="single" w:sz="4" w:space="0" w:color="auto"/>
            </w:tcBorders>
            <w:shd w:val="clear" w:color="auto" w:fill="FF0000"/>
            <w:noWrap/>
          </w:tcPr>
          <w:p w14:paraId="3B67E984"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2</w:t>
            </w:r>
          </w:p>
        </w:tc>
        <w:tc>
          <w:tcPr>
            <w:tcW w:w="456" w:type="pct"/>
            <w:tcBorders>
              <w:top w:val="single" w:sz="4" w:space="0" w:color="auto"/>
            </w:tcBorders>
            <w:shd w:val="clear" w:color="auto" w:fill="FF0000"/>
            <w:noWrap/>
          </w:tcPr>
          <w:p w14:paraId="1C763C4E"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2</w:t>
            </w:r>
          </w:p>
        </w:tc>
        <w:tc>
          <w:tcPr>
            <w:tcW w:w="453" w:type="pct"/>
            <w:tcBorders>
              <w:top w:val="single" w:sz="4" w:space="0" w:color="auto"/>
            </w:tcBorders>
            <w:shd w:val="clear" w:color="auto" w:fill="FFC000"/>
            <w:noWrap/>
          </w:tcPr>
          <w:p w14:paraId="7EF43D85"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3</w:t>
            </w:r>
          </w:p>
        </w:tc>
      </w:tr>
      <w:tr w:rsidR="005C4198" w:rsidRPr="00C61187" w14:paraId="7290BFBE" w14:textId="77777777" w:rsidTr="006A012A">
        <w:trPr>
          <w:cnfStyle w:val="000000010000" w:firstRow="0" w:lastRow="0" w:firstColumn="0" w:lastColumn="0" w:oddVBand="0" w:evenVBand="0" w:oddHBand="0" w:evenHBand="1" w:firstRowFirstColumn="0" w:firstRowLastColumn="0" w:lastRowFirstColumn="0" w:lastRowLastColumn="0"/>
          <w:trHeight w:val="284"/>
        </w:trPr>
        <w:tc>
          <w:tcPr>
            <w:tcW w:w="974" w:type="pct"/>
          </w:tcPr>
          <w:p w14:paraId="5B605940" w14:textId="77777777" w:rsidR="005C4198" w:rsidRDefault="005C4198" w:rsidP="005C4198">
            <w:pPr>
              <w:keepLines/>
              <w:spacing w:before="40" w:after="40" w:line="200" w:lineRule="atLeast"/>
              <w:rPr>
                <w:rFonts w:eastAsia="Times New Roman"/>
                <w:iCs/>
                <w:szCs w:val="17"/>
              </w:rPr>
            </w:pPr>
            <w:r>
              <w:rPr>
                <w:rFonts w:eastAsia="Times New Roman"/>
                <w:iCs/>
                <w:szCs w:val="17"/>
              </w:rPr>
              <w:t>Program</w:t>
            </w:r>
          </w:p>
        </w:tc>
        <w:tc>
          <w:tcPr>
            <w:tcW w:w="718" w:type="pct"/>
          </w:tcPr>
          <w:p w14:paraId="1A4CDFB8" w14:textId="77777777" w:rsidR="005C4198" w:rsidRDefault="005C4198" w:rsidP="005C4198">
            <w:pPr>
              <w:keepLines/>
              <w:spacing w:before="40" w:after="40" w:line="200" w:lineRule="atLeast"/>
              <w:rPr>
                <w:rFonts w:eastAsia="Times New Roman"/>
                <w:iCs/>
                <w:szCs w:val="17"/>
              </w:rPr>
            </w:pPr>
            <w:r>
              <w:rPr>
                <w:rFonts w:eastAsia="Times New Roman"/>
                <w:iCs/>
                <w:szCs w:val="17"/>
              </w:rPr>
              <w:t>2017-20</w:t>
            </w:r>
          </w:p>
        </w:tc>
        <w:tc>
          <w:tcPr>
            <w:tcW w:w="458" w:type="pct"/>
          </w:tcPr>
          <w:p w14:paraId="122F45CD" w14:textId="77777777" w:rsidR="005C4198" w:rsidRDefault="005C4198" w:rsidP="005C4198">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auto"/>
          </w:tcPr>
          <w:p w14:paraId="3A95868A"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N/A</w:t>
            </w:r>
          </w:p>
        </w:tc>
        <w:tc>
          <w:tcPr>
            <w:tcW w:w="459" w:type="pct"/>
            <w:shd w:val="clear" w:color="auto" w:fill="auto"/>
            <w:noWrap/>
          </w:tcPr>
          <w:p w14:paraId="15573766"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N/A</w:t>
            </w:r>
          </w:p>
        </w:tc>
        <w:tc>
          <w:tcPr>
            <w:tcW w:w="456" w:type="pct"/>
            <w:shd w:val="clear" w:color="auto" w:fill="auto"/>
            <w:noWrap/>
          </w:tcPr>
          <w:p w14:paraId="4DF500AC"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N/A</w:t>
            </w:r>
          </w:p>
        </w:tc>
        <w:tc>
          <w:tcPr>
            <w:tcW w:w="459" w:type="pct"/>
            <w:shd w:val="clear" w:color="auto" w:fill="auto"/>
            <w:noWrap/>
          </w:tcPr>
          <w:p w14:paraId="4B279E4D"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N/A</w:t>
            </w:r>
          </w:p>
        </w:tc>
        <w:tc>
          <w:tcPr>
            <w:tcW w:w="456" w:type="pct"/>
            <w:shd w:val="clear" w:color="auto" w:fill="auto"/>
            <w:noWrap/>
          </w:tcPr>
          <w:p w14:paraId="49F0C551"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N/A</w:t>
            </w:r>
          </w:p>
        </w:tc>
        <w:tc>
          <w:tcPr>
            <w:tcW w:w="453" w:type="pct"/>
            <w:shd w:val="clear" w:color="auto" w:fill="auto"/>
            <w:noWrap/>
          </w:tcPr>
          <w:p w14:paraId="34CE89FF" w14:textId="77777777" w:rsidR="005C4198" w:rsidRPr="00682003" w:rsidRDefault="005C4198" w:rsidP="005C4198">
            <w:pPr>
              <w:keepLines/>
              <w:spacing w:before="40" w:after="40" w:line="200" w:lineRule="atLeast"/>
              <w:jc w:val="center"/>
              <w:rPr>
                <w:rFonts w:eastAsia="Times New Roman"/>
                <w:iCs/>
                <w:szCs w:val="17"/>
              </w:rPr>
            </w:pPr>
            <w:r>
              <w:rPr>
                <w:rFonts w:eastAsia="Times New Roman"/>
                <w:iCs/>
                <w:szCs w:val="17"/>
              </w:rPr>
              <w:t>N/A</w:t>
            </w:r>
          </w:p>
        </w:tc>
      </w:tr>
    </w:tbl>
    <w:p w14:paraId="3618E07F" w14:textId="77777777"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14:paraId="7369475E" w14:textId="77777777" w:rsidR="008122B4" w:rsidRDefault="008122B4">
      <w:pPr>
        <w:suppressAutoHyphens w:val="0"/>
        <w:spacing w:before="0" w:after="120" w:line="44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br w:type="page"/>
      </w:r>
    </w:p>
    <w:p w14:paraId="28E3DC2F" w14:textId="77777777" w:rsidR="00400B0F" w:rsidRPr="00A6696F" w:rsidRDefault="00400B0F" w:rsidP="00400B0F">
      <w:pPr>
        <w:spacing w:before="20" w:after="20" w:line="180" w:lineRule="atLeast"/>
        <w:rPr>
          <w:rFonts w:eastAsiaTheme="majorEastAsia" w:cstheme="majorBidi"/>
          <w:bCs/>
          <w:iCs/>
          <w:caps/>
          <w:spacing w:val="-10"/>
          <w:kern w:val="28"/>
          <w:sz w:val="38"/>
          <w:szCs w:val="24"/>
        </w:rPr>
      </w:pPr>
      <w:r w:rsidRPr="00A6696F">
        <w:rPr>
          <w:rFonts w:eastAsiaTheme="majorEastAsia" w:cstheme="majorBidi"/>
          <w:bCs/>
          <w:iCs/>
          <w:caps/>
          <w:spacing w:val="-10"/>
          <w:kern w:val="28"/>
          <w:sz w:val="38"/>
          <w:szCs w:val="24"/>
        </w:rPr>
        <w:lastRenderedPageBreak/>
        <w:t>Annex E – Performance Assessment Framework</w:t>
      </w:r>
    </w:p>
    <w:p w14:paraId="4882B471" w14:textId="77777777" w:rsidR="00691755" w:rsidRPr="008122B4" w:rsidRDefault="00691755" w:rsidP="00691755">
      <w:pPr>
        <w:spacing w:before="20" w:after="20" w:line="180" w:lineRule="atLeast"/>
        <w:rPr>
          <w:rFonts w:ascii="Helvetica" w:eastAsia="Times New Roman" w:hAnsi="Helvetica" w:cs="Arial"/>
          <w:color w:val="007FAD"/>
          <w:kern w:val="28"/>
          <w:sz w:val="28"/>
          <w:szCs w:val="28"/>
          <w:highlight w:val="cyan"/>
        </w:rPr>
      </w:pPr>
    </w:p>
    <w:tbl>
      <w:tblPr>
        <w:tblStyle w:val="TableGrid"/>
        <w:tblW w:w="15127" w:type="dxa"/>
        <w:tblInd w:w="-572" w:type="dxa"/>
        <w:tblLook w:val="04A0" w:firstRow="1" w:lastRow="0" w:firstColumn="1" w:lastColumn="0" w:noHBand="0" w:noVBand="1"/>
      </w:tblPr>
      <w:tblGrid>
        <w:gridCol w:w="5740"/>
        <w:gridCol w:w="3191"/>
        <w:gridCol w:w="3067"/>
        <w:gridCol w:w="3129"/>
      </w:tblGrid>
      <w:tr w:rsidR="00192982" w:rsidRPr="006F3534" w14:paraId="18D82827" w14:textId="77777777" w:rsidTr="001A0FD2">
        <w:tc>
          <w:tcPr>
            <w:tcW w:w="15127" w:type="dxa"/>
            <w:gridSpan w:val="4"/>
          </w:tcPr>
          <w:p w14:paraId="595123D2" w14:textId="77777777" w:rsidR="00192982" w:rsidRPr="006F3534" w:rsidRDefault="00192982" w:rsidP="00041D8D">
            <w:pPr>
              <w:spacing w:before="0" w:after="0" w:line="240" w:lineRule="auto"/>
              <w:jc w:val="center"/>
              <w:rPr>
                <w:sz w:val="18"/>
                <w:szCs w:val="18"/>
              </w:rPr>
            </w:pPr>
            <w:r w:rsidRPr="006F3534">
              <w:rPr>
                <w:sz w:val="18"/>
                <w:szCs w:val="18"/>
              </w:rPr>
              <w:t>Performance Assessment Framework for Australian Development Cooperation in Papua New Guinea 2017-18</w:t>
            </w:r>
            <w:r w:rsidR="003A0DED">
              <w:rPr>
                <w:sz w:val="18"/>
                <w:szCs w:val="18"/>
              </w:rPr>
              <w:t xml:space="preserve"> </w:t>
            </w:r>
          </w:p>
        </w:tc>
      </w:tr>
      <w:tr w:rsidR="00192982" w:rsidRPr="006F3534" w14:paraId="2EDED7D3" w14:textId="77777777" w:rsidTr="001A0FD2">
        <w:tc>
          <w:tcPr>
            <w:tcW w:w="5740" w:type="dxa"/>
          </w:tcPr>
          <w:p w14:paraId="3789131F" w14:textId="77777777" w:rsidR="00192982" w:rsidRPr="006F3534" w:rsidRDefault="00192982" w:rsidP="001A0FD2">
            <w:pPr>
              <w:spacing w:before="0" w:after="0" w:line="240" w:lineRule="auto"/>
              <w:rPr>
                <w:sz w:val="18"/>
                <w:szCs w:val="18"/>
              </w:rPr>
            </w:pPr>
            <w:r w:rsidRPr="006F3534">
              <w:rPr>
                <w:sz w:val="18"/>
                <w:szCs w:val="18"/>
              </w:rPr>
              <w:t>Objective/indicator</w:t>
            </w:r>
          </w:p>
        </w:tc>
        <w:tc>
          <w:tcPr>
            <w:tcW w:w="3191" w:type="dxa"/>
          </w:tcPr>
          <w:p w14:paraId="20AF5385" w14:textId="77777777" w:rsidR="00192982" w:rsidRPr="006F3534" w:rsidRDefault="00192982" w:rsidP="001A0FD2">
            <w:pPr>
              <w:spacing w:before="0" w:after="0" w:line="240" w:lineRule="auto"/>
              <w:rPr>
                <w:sz w:val="18"/>
                <w:szCs w:val="18"/>
              </w:rPr>
            </w:pPr>
            <w:r w:rsidRPr="006F3534">
              <w:rPr>
                <w:sz w:val="18"/>
                <w:szCs w:val="18"/>
              </w:rPr>
              <w:t>2016-17</w:t>
            </w:r>
          </w:p>
        </w:tc>
        <w:tc>
          <w:tcPr>
            <w:tcW w:w="3067" w:type="dxa"/>
          </w:tcPr>
          <w:p w14:paraId="0123E532" w14:textId="77777777" w:rsidR="00192982" w:rsidRPr="006F3534" w:rsidRDefault="00192982" w:rsidP="001A0FD2">
            <w:pPr>
              <w:spacing w:before="0" w:after="0" w:line="240" w:lineRule="auto"/>
              <w:rPr>
                <w:sz w:val="18"/>
                <w:szCs w:val="18"/>
              </w:rPr>
            </w:pPr>
            <w:r w:rsidRPr="006F3534">
              <w:rPr>
                <w:sz w:val="18"/>
                <w:szCs w:val="18"/>
              </w:rPr>
              <w:t>2017-18</w:t>
            </w:r>
          </w:p>
        </w:tc>
        <w:tc>
          <w:tcPr>
            <w:tcW w:w="3129" w:type="dxa"/>
          </w:tcPr>
          <w:p w14:paraId="591C5467" w14:textId="77777777" w:rsidR="00192982" w:rsidRPr="006F3534" w:rsidRDefault="00192982" w:rsidP="001A0FD2">
            <w:pPr>
              <w:spacing w:before="0" w:after="0" w:line="240" w:lineRule="auto"/>
              <w:rPr>
                <w:sz w:val="18"/>
                <w:szCs w:val="18"/>
              </w:rPr>
            </w:pPr>
            <w:r w:rsidRPr="006F3534">
              <w:rPr>
                <w:sz w:val="18"/>
                <w:szCs w:val="18"/>
              </w:rPr>
              <w:t>2018-19 (target)</w:t>
            </w:r>
          </w:p>
        </w:tc>
      </w:tr>
      <w:tr w:rsidR="00192982" w:rsidRPr="006F3534" w14:paraId="4F6643C0" w14:textId="77777777" w:rsidTr="001A0FD2">
        <w:tc>
          <w:tcPr>
            <w:tcW w:w="15127" w:type="dxa"/>
            <w:gridSpan w:val="4"/>
            <w:shd w:val="clear" w:color="auto" w:fill="ADDEC1" w:themeFill="accent6" w:themeFillTint="66"/>
          </w:tcPr>
          <w:p w14:paraId="360A87E1" w14:textId="77777777" w:rsidR="00192982" w:rsidRPr="006F3534" w:rsidRDefault="00192982" w:rsidP="001A0FD2">
            <w:pPr>
              <w:spacing w:before="0" w:after="0" w:line="240" w:lineRule="auto"/>
              <w:rPr>
                <w:rFonts w:eastAsia="Times New Roman"/>
                <w:iCs/>
                <w:sz w:val="18"/>
                <w:szCs w:val="18"/>
              </w:rPr>
            </w:pPr>
            <w:r w:rsidRPr="006F3534">
              <w:rPr>
                <w:sz w:val="18"/>
                <w:szCs w:val="18"/>
              </w:rPr>
              <w:t>Objective 1: Promoting effective governance</w:t>
            </w:r>
            <w:r w:rsidRPr="006F3534">
              <w:rPr>
                <w:rFonts w:eastAsia="Times New Roman"/>
                <w:iCs/>
                <w:sz w:val="18"/>
                <w:szCs w:val="18"/>
              </w:rPr>
              <w:t xml:space="preserve">. </w:t>
            </w:r>
          </w:p>
          <w:p w14:paraId="4D0B8E7E" w14:textId="77777777" w:rsidR="00192982" w:rsidRPr="006F3534" w:rsidRDefault="00192982" w:rsidP="001A0FD2">
            <w:pPr>
              <w:spacing w:before="0" w:after="0" w:line="240" w:lineRule="auto"/>
              <w:rPr>
                <w:rFonts w:eastAsia="Times New Roman"/>
                <w:iCs/>
                <w:sz w:val="18"/>
                <w:szCs w:val="18"/>
                <w:lang w:eastAsia="en-AU"/>
              </w:rPr>
            </w:pPr>
            <w:r w:rsidRPr="006F3534">
              <w:rPr>
                <w:rFonts w:eastAsia="Times New Roman"/>
                <w:iCs/>
                <w:sz w:val="18"/>
                <w:szCs w:val="18"/>
              </w:rPr>
              <w:t>Sub-objective: Developing public sector leadership</w:t>
            </w:r>
          </w:p>
        </w:tc>
      </w:tr>
      <w:tr w:rsidR="00D4205A" w:rsidRPr="006F3534" w14:paraId="0DF91DE6" w14:textId="77777777" w:rsidTr="00CB5E41">
        <w:tc>
          <w:tcPr>
            <w:tcW w:w="5740" w:type="dxa"/>
            <w:vAlign w:val="center"/>
          </w:tcPr>
          <w:p w14:paraId="2141FDA2"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 xml:space="preserve">1. </w:t>
            </w:r>
            <w:r w:rsidRPr="006F3534">
              <w:rPr>
                <w:rFonts w:eastAsia="Times New Roman"/>
                <w:iCs/>
                <w:sz w:val="18"/>
                <w:szCs w:val="18"/>
              </w:rPr>
              <w:t>Number of women and men trained and engaged by Papua New Guinea in positions where they can practice new knowledge and skills</w:t>
            </w:r>
          </w:p>
        </w:tc>
        <w:tc>
          <w:tcPr>
            <w:tcW w:w="3191" w:type="dxa"/>
            <w:vAlign w:val="center"/>
          </w:tcPr>
          <w:p w14:paraId="7BAC045E" w14:textId="77777777" w:rsidR="00D4205A" w:rsidRPr="006F3534" w:rsidRDefault="00D4205A" w:rsidP="00D4205A">
            <w:pPr>
              <w:keepLines/>
              <w:spacing w:before="0" w:after="0" w:line="240" w:lineRule="auto"/>
              <w:rPr>
                <w:rFonts w:eastAsia="Times New Roman"/>
                <w:iCs/>
                <w:sz w:val="18"/>
                <w:szCs w:val="18"/>
              </w:rPr>
            </w:pPr>
            <w:r w:rsidRPr="006F3534">
              <w:rPr>
                <w:rFonts w:eastAsia="Times New Roman"/>
                <w:iCs/>
                <w:sz w:val="18"/>
                <w:szCs w:val="18"/>
              </w:rPr>
              <w:t>14,990</w:t>
            </w:r>
          </w:p>
        </w:tc>
        <w:tc>
          <w:tcPr>
            <w:tcW w:w="3067" w:type="dxa"/>
            <w:vAlign w:val="center"/>
          </w:tcPr>
          <w:p w14:paraId="11308628" w14:textId="77777777" w:rsidR="004C7A8A" w:rsidRPr="00877A6B" w:rsidRDefault="004C7A8A" w:rsidP="004C7A8A">
            <w:pPr>
              <w:keepLines/>
              <w:rPr>
                <w:rFonts w:eastAsia="Times New Roman"/>
                <w:iCs/>
                <w:sz w:val="18"/>
                <w:szCs w:val="18"/>
              </w:rPr>
            </w:pPr>
            <w:r w:rsidRPr="00877A6B">
              <w:rPr>
                <w:rFonts w:eastAsia="Times New Roman"/>
                <w:iCs/>
                <w:sz w:val="18"/>
                <w:szCs w:val="18"/>
              </w:rPr>
              <w:t>17,101 Target was 11,212</w:t>
            </w:r>
          </w:p>
          <w:p w14:paraId="0D9777B0" w14:textId="77777777" w:rsidR="00D4205A" w:rsidRPr="00CE5DD5" w:rsidRDefault="004C7A8A" w:rsidP="00D4205A">
            <w:pPr>
              <w:keepLines/>
              <w:spacing w:before="0" w:after="0" w:line="240" w:lineRule="auto"/>
              <w:rPr>
                <w:rFonts w:eastAsia="Times New Roman"/>
                <w:iCs/>
                <w:sz w:val="18"/>
                <w:szCs w:val="18"/>
              </w:rPr>
            </w:pPr>
            <w:r w:rsidRPr="00877A6B">
              <w:rPr>
                <w:rFonts w:eastAsia="Times New Roman"/>
                <w:iCs/>
                <w:sz w:val="18"/>
                <w:szCs w:val="18"/>
              </w:rPr>
              <w:t>(women 7,727,</w:t>
            </w:r>
            <w:r w:rsidR="00FF4BD9">
              <w:rPr>
                <w:rFonts w:eastAsia="Times New Roman"/>
                <w:iCs/>
                <w:sz w:val="18"/>
                <w:szCs w:val="18"/>
              </w:rPr>
              <w:t xml:space="preserve"> </w:t>
            </w:r>
            <w:r w:rsidRPr="00877A6B">
              <w:rPr>
                <w:rFonts w:eastAsia="Times New Roman"/>
                <w:iCs/>
                <w:sz w:val="18"/>
                <w:szCs w:val="18"/>
              </w:rPr>
              <w:t>men 9,374)</w:t>
            </w:r>
            <w:r w:rsidRPr="00D511C3">
              <w:rPr>
                <w:rFonts w:eastAsia="Times New Roman"/>
                <w:iCs/>
                <w:sz w:val="18"/>
                <w:szCs w:val="18"/>
              </w:rPr>
              <w:t xml:space="preserve">        </w:t>
            </w:r>
            <w:r>
              <w:rPr>
                <w:rFonts w:eastAsia="Times New Roman"/>
                <w:iCs/>
                <w:sz w:val="18"/>
                <w:szCs w:val="18"/>
              </w:rPr>
              <w:t xml:space="preserve"> </w:t>
            </w:r>
          </w:p>
        </w:tc>
        <w:tc>
          <w:tcPr>
            <w:tcW w:w="3129" w:type="dxa"/>
            <w:vAlign w:val="center"/>
          </w:tcPr>
          <w:p w14:paraId="06D75589" w14:textId="77777777" w:rsidR="00D4205A" w:rsidRPr="006F3534" w:rsidRDefault="00D4205A" w:rsidP="00D4205A">
            <w:pPr>
              <w:keepLines/>
              <w:spacing w:before="0" w:after="0" w:line="240" w:lineRule="auto"/>
              <w:rPr>
                <w:rFonts w:eastAsia="Times New Roman"/>
                <w:iCs/>
                <w:sz w:val="18"/>
                <w:szCs w:val="18"/>
                <w:lang w:eastAsia="en-AU"/>
              </w:rPr>
            </w:pPr>
            <w:r w:rsidRPr="00D511C3">
              <w:rPr>
                <w:rFonts w:eastAsia="Times New Roman"/>
                <w:iCs/>
                <w:sz w:val="18"/>
                <w:szCs w:val="18"/>
              </w:rPr>
              <w:t>1</w:t>
            </w:r>
            <w:r>
              <w:rPr>
                <w:rFonts w:eastAsia="Times New Roman"/>
                <w:iCs/>
                <w:sz w:val="18"/>
                <w:szCs w:val="18"/>
              </w:rPr>
              <w:t>3,979</w:t>
            </w:r>
          </w:p>
        </w:tc>
      </w:tr>
      <w:tr w:rsidR="00D4205A" w:rsidRPr="006F3534" w14:paraId="66C564F7" w14:textId="77777777" w:rsidTr="00CB5E41">
        <w:tc>
          <w:tcPr>
            <w:tcW w:w="5740" w:type="dxa"/>
            <w:vAlign w:val="center"/>
          </w:tcPr>
          <w:p w14:paraId="28FCABB7"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 xml:space="preserve">2. </w:t>
            </w:r>
            <w:r w:rsidRPr="006F3534">
              <w:rPr>
                <w:rFonts w:eastAsia="Times New Roman"/>
                <w:iCs/>
                <w:sz w:val="18"/>
                <w:szCs w:val="18"/>
              </w:rPr>
              <w:t>Number of women and men graduating from courses delivered by the Pacific Leadership and Governance Precinct</w:t>
            </w:r>
          </w:p>
        </w:tc>
        <w:tc>
          <w:tcPr>
            <w:tcW w:w="3191" w:type="dxa"/>
            <w:vAlign w:val="center"/>
          </w:tcPr>
          <w:p w14:paraId="005456F0" w14:textId="77777777" w:rsidR="00D4205A" w:rsidRPr="006F3534" w:rsidRDefault="00D4205A" w:rsidP="00D4205A">
            <w:pPr>
              <w:keepLines/>
              <w:spacing w:before="0" w:after="0" w:line="240" w:lineRule="auto"/>
              <w:rPr>
                <w:rFonts w:eastAsia="Times New Roman"/>
                <w:iCs/>
                <w:sz w:val="18"/>
                <w:szCs w:val="18"/>
              </w:rPr>
            </w:pPr>
            <w:r w:rsidRPr="006F3534">
              <w:rPr>
                <w:rFonts w:eastAsia="Times New Roman"/>
                <w:iCs/>
                <w:sz w:val="18"/>
                <w:szCs w:val="18"/>
              </w:rPr>
              <w:t>466</w:t>
            </w:r>
          </w:p>
        </w:tc>
        <w:tc>
          <w:tcPr>
            <w:tcW w:w="3067" w:type="dxa"/>
            <w:vAlign w:val="center"/>
          </w:tcPr>
          <w:p w14:paraId="3E97E54B" w14:textId="77777777" w:rsidR="00D4205A" w:rsidRPr="00CE5DD5" w:rsidRDefault="00D4205A" w:rsidP="00D4205A">
            <w:pPr>
              <w:keepLines/>
              <w:rPr>
                <w:rFonts w:eastAsia="Times New Roman"/>
                <w:iCs/>
                <w:sz w:val="18"/>
                <w:szCs w:val="18"/>
              </w:rPr>
            </w:pPr>
            <w:r w:rsidRPr="00CE5DD5">
              <w:rPr>
                <w:rFonts w:eastAsia="Times New Roman"/>
                <w:iCs/>
                <w:sz w:val="18"/>
                <w:szCs w:val="18"/>
              </w:rPr>
              <w:t>784 Target was 503</w:t>
            </w:r>
          </w:p>
          <w:p w14:paraId="64443940" w14:textId="77777777" w:rsidR="00D4205A" w:rsidRPr="00CE5DD5" w:rsidRDefault="00D4205A" w:rsidP="00D4205A">
            <w:pPr>
              <w:keepLines/>
              <w:spacing w:before="0" w:after="0" w:line="240" w:lineRule="auto"/>
              <w:rPr>
                <w:rFonts w:eastAsia="Times New Roman"/>
                <w:iCs/>
                <w:sz w:val="18"/>
                <w:szCs w:val="18"/>
              </w:rPr>
            </w:pPr>
            <w:r w:rsidRPr="00CE5DD5">
              <w:rPr>
                <w:rFonts w:eastAsia="Times New Roman"/>
                <w:iCs/>
                <w:sz w:val="18"/>
                <w:szCs w:val="18"/>
              </w:rPr>
              <w:t>(women 271, men 513)</w:t>
            </w:r>
          </w:p>
        </w:tc>
        <w:tc>
          <w:tcPr>
            <w:tcW w:w="3129" w:type="dxa"/>
            <w:vAlign w:val="center"/>
          </w:tcPr>
          <w:p w14:paraId="28552DA9" w14:textId="77777777" w:rsidR="00D4205A" w:rsidRPr="006F3534" w:rsidRDefault="00D4205A" w:rsidP="00D4205A">
            <w:pPr>
              <w:keepLines/>
              <w:spacing w:before="0" w:after="0" w:line="240" w:lineRule="auto"/>
              <w:rPr>
                <w:rFonts w:eastAsia="Times New Roman"/>
                <w:iCs/>
                <w:sz w:val="18"/>
                <w:szCs w:val="18"/>
                <w:lang w:eastAsia="en-AU"/>
              </w:rPr>
            </w:pPr>
            <w:r w:rsidRPr="00D511C3">
              <w:rPr>
                <w:rFonts w:eastAsia="Times New Roman"/>
                <w:iCs/>
                <w:sz w:val="18"/>
                <w:szCs w:val="18"/>
                <w:lang w:eastAsia="en-AU"/>
              </w:rPr>
              <w:t>560</w:t>
            </w:r>
          </w:p>
        </w:tc>
      </w:tr>
      <w:tr w:rsidR="00192982" w:rsidRPr="006F3534" w14:paraId="6BA99687" w14:textId="77777777" w:rsidTr="001A0FD2">
        <w:tc>
          <w:tcPr>
            <w:tcW w:w="15127" w:type="dxa"/>
            <w:gridSpan w:val="4"/>
            <w:shd w:val="clear" w:color="auto" w:fill="ADDEC1" w:themeFill="accent6" w:themeFillTint="66"/>
            <w:vAlign w:val="center"/>
          </w:tcPr>
          <w:p w14:paraId="3DBF36E4" w14:textId="77777777" w:rsidR="00192982" w:rsidRPr="00CE5DD5" w:rsidRDefault="00192982" w:rsidP="001A0FD2">
            <w:pPr>
              <w:keepLines/>
              <w:spacing w:before="0" w:after="0" w:line="240" w:lineRule="auto"/>
              <w:rPr>
                <w:rFonts w:eastAsia="Times New Roman"/>
                <w:iCs/>
                <w:sz w:val="18"/>
                <w:szCs w:val="18"/>
              </w:rPr>
            </w:pPr>
            <w:r w:rsidRPr="00CE5DD5">
              <w:rPr>
                <w:rFonts w:eastAsia="Times New Roman"/>
                <w:iCs/>
                <w:sz w:val="18"/>
                <w:szCs w:val="18"/>
              </w:rPr>
              <w:t>Sub-objective: Integrating partnerships to improve access to services</w:t>
            </w:r>
          </w:p>
        </w:tc>
      </w:tr>
      <w:tr w:rsidR="00D4205A" w:rsidRPr="006F3534" w14:paraId="4760CA8B" w14:textId="77777777" w:rsidTr="00CB5E41">
        <w:tc>
          <w:tcPr>
            <w:tcW w:w="5740" w:type="dxa"/>
            <w:vAlign w:val="center"/>
          </w:tcPr>
          <w:p w14:paraId="6400A0BE"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3. Number of partnerships</w:t>
            </w:r>
          </w:p>
        </w:tc>
        <w:tc>
          <w:tcPr>
            <w:tcW w:w="3191" w:type="dxa"/>
            <w:vAlign w:val="center"/>
          </w:tcPr>
          <w:p w14:paraId="072381DA"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103</w:t>
            </w:r>
          </w:p>
        </w:tc>
        <w:tc>
          <w:tcPr>
            <w:tcW w:w="3067" w:type="dxa"/>
            <w:vAlign w:val="center"/>
          </w:tcPr>
          <w:p w14:paraId="78394017" w14:textId="77777777" w:rsidR="00D4205A" w:rsidRPr="00CE5DD5" w:rsidRDefault="00D4205A" w:rsidP="00D4205A">
            <w:pPr>
              <w:keepLines/>
              <w:spacing w:before="0" w:after="0" w:line="240" w:lineRule="auto"/>
              <w:rPr>
                <w:rFonts w:eastAsia="Times New Roman"/>
                <w:iCs/>
                <w:sz w:val="18"/>
                <w:szCs w:val="18"/>
              </w:rPr>
            </w:pPr>
            <w:r w:rsidRPr="00CE5DD5">
              <w:rPr>
                <w:rFonts w:eastAsia="Times New Roman"/>
                <w:iCs/>
                <w:sz w:val="18"/>
                <w:szCs w:val="18"/>
              </w:rPr>
              <w:t>131 Target was 132</w:t>
            </w:r>
          </w:p>
        </w:tc>
        <w:tc>
          <w:tcPr>
            <w:tcW w:w="3129" w:type="dxa"/>
            <w:vAlign w:val="center"/>
          </w:tcPr>
          <w:p w14:paraId="475C9F87" w14:textId="77777777" w:rsidR="00D4205A" w:rsidRPr="006F3534" w:rsidRDefault="00D4205A" w:rsidP="00D4205A">
            <w:pPr>
              <w:keepLines/>
              <w:spacing w:before="0" w:after="0" w:line="240" w:lineRule="auto"/>
              <w:rPr>
                <w:rFonts w:eastAsia="Times New Roman"/>
                <w:iCs/>
                <w:sz w:val="18"/>
                <w:szCs w:val="18"/>
                <w:lang w:eastAsia="en-AU"/>
              </w:rPr>
            </w:pPr>
            <w:r w:rsidRPr="00D511C3">
              <w:rPr>
                <w:rFonts w:eastAsia="Times New Roman"/>
                <w:iCs/>
                <w:sz w:val="18"/>
                <w:szCs w:val="18"/>
                <w:lang w:eastAsia="en-AU"/>
              </w:rPr>
              <w:t>134</w:t>
            </w:r>
          </w:p>
        </w:tc>
      </w:tr>
      <w:tr w:rsidR="00D4205A" w:rsidRPr="006F3534" w14:paraId="7FAC21D2" w14:textId="77777777" w:rsidTr="00CB5E41">
        <w:tc>
          <w:tcPr>
            <w:tcW w:w="5740" w:type="dxa"/>
            <w:vAlign w:val="center"/>
          </w:tcPr>
          <w:p w14:paraId="674721CB"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 xml:space="preserve">4. </w:t>
            </w:r>
            <w:r w:rsidRPr="006F3534">
              <w:rPr>
                <w:rFonts w:eastAsia="Times New Roman"/>
                <w:iCs/>
                <w:sz w:val="18"/>
                <w:szCs w:val="18"/>
              </w:rPr>
              <w:t>Number of women, men and youth using improved services provided by civil society, private sector partners or sub-national governments</w:t>
            </w:r>
          </w:p>
        </w:tc>
        <w:tc>
          <w:tcPr>
            <w:tcW w:w="3191" w:type="dxa"/>
            <w:vAlign w:val="center"/>
          </w:tcPr>
          <w:p w14:paraId="2EE846C8" w14:textId="77777777" w:rsidR="00D4205A" w:rsidRPr="006F3534" w:rsidRDefault="00D4205A" w:rsidP="00D4205A">
            <w:pPr>
              <w:keepLines/>
              <w:spacing w:before="0" w:after="0" w:line="240" w:lineRule="auto"/>
              <w:rPr>
                <w:rFonts w:eastAsia="Times New Roman"/>
                <w:iCs/>
                <w:sz w:val="18"/>
                <w:szCs w:val="18"/>
              </w:rPr>
            </w:pPr>
            <w:r w:rsidRPr="006F3534">
              <w:rPr>
                <w:rFonts w:eastAsia="Times New Roman"/>
                <w:iCs/>
                <w:sz w:val="18"/>
                <w:szCs w:val="18"/>
              </w:rPr>
              <w:t>254,345</w:t>
            </w:r>
          </w:p>
        </w:tc>
        <w:tc>
          <w:tcPr>
            <w:tcW w:w="3067" w:type="dxa"/>
            <w:vAlign w:val="center"/>
          </w:tcPr>
          <w:p w14:paraId="1FF03EED" w14:textId="77777777" w:rsidR="004C7A8A" w:rsidRPr="00877A6B" w:rsidRDefault="004C7A8A" w:rsidP="004C7A8A">
            <w:pPr>
              <w:keepLines/>
              <w:rPr>
                <w:rFonts w:eastAsia="Times New Roman"/>
                <w:iCs/>
                <w:sz w:val="18"/>
                <w:szCs w:val="18"/>
              </w:rPr>
            </w:pPr>
            <w:r w:rsidRPr="00877A6B">
              <w:rPr>
                <w:rFonts w:eastAsia="Times New Roman"/>
                <w:iCs/>
                <w:sz w:val="18"/>
                <w:szCs w:val="18"/>
              </w:rPr>
              <w:t>430,946 Target was 269,013</w:t>
            </w:r>
          </w:p>
          <w:p w14:paraId="5EAABC86" w14:textId="77777777" w:rsidR="00D4205A" w:rsidRPr="00CE5DD5" w:rsidRDefault="004C7A8A" w:rsidP="00D4205A">
            <w:pPr>
              <w:keepLines/>
              <w:spacing w:before="0" w:after="0" w:line="240" w:lineRule="auto"/>
              <w:rPr>
                <w:rFonts w:eastAsia="Times New Roman"/>
                <w:iCs/>
                <w:color w:val="FF0000"/>
                <w:sz w:val="18"/>
                <w:szCs w:val="18"/>
              </w:rPr>
            </w:pPr>
            <w:r w:rsidRPr="00877A6B">
              <w:rPr>
                <w:rFonts w:eastAsia="Times New Roman"/>
                <w:iCs/>
                <w:sz w:val="18"/>
                <w:szCs w:val="18"/>
              </w:rPr>
              <w:t>(women 210,789 men 219,753)</w:t>
            </w:r>
          </w:p>
        </w:tc>
        <w:tc>
          <w:tcPr>
            <w:tcW w:w="3129" w:type="dxa"/>
            <w:vAlign w:val="center"/>
          </w:tcPr>
          <w:p w14:paraId="570F43E2" w14:textId="77777777" w:rsidR="00D4205A" w:rsidRPr="00EC4FC4" w:rsidRDefault="00D4205A" w:rsidP="00D4205A">
            <w:pPr>
              <w:keepLines/>
              <w:spacing w:before="0" w:after="0" w:line="240" w:lineRule="auto"/>
              <w:rPr>
                <w:rFonts w:eastAsia="Times New Roman"/>
                <w:iCs/>
                <w:color w:val="FF0000"/>
                <w:sz w:val="18"/>
                <w:szCs w:val="18"/>
                <w:lang w:eastAsia="en-AU"/>
              </w:rPr>
            </w:pPr>
            <w:r w:rsidRPr="00D511C3">
              <w:rPr>
                <w:rFonts w:eastAsia="Times New Roman"/>
                <w:iCs/>
                <w:sz w:val="18"/>
                <w:szCs w:val="18"/>
              </w:rPr>
              <w:t>411,463</w:t>
            </w:r>
          </w:p>
        </w:tc>
      </w:tr>
      <w:tr w:rsidR="00192982" w:rsidRPr="006F3534" w14:paraId="031371B3" w14:textId="77777777" w:rsidTr="001A0FD2">
        <w:tc>
          <w:tcPr>
            <w:tcW w:w="15127" w:type="dxa"/>
            <w:gridSpan w:val="4"/>
            <w:shd w:val="clear" w:color="auto" w:fill="ADDEC1" w:themeFill="accent6" w:themeFillTint="66"/>
            <w:vAlign w:val="center"/>
          </w:tcPr>
          <w:p w14:paraId="099A64A3" w14:textId="77777777" w:rsidR="00192982" w:rsidRPr="00CE5DD5" w:rsidRDefault="00192982" w:rsidP="001A0FD2">
            <w:pPr>
              <w:keepLines/>
              <w:spacing w:before="0" w:after="0" w:line="240" w:lineRule="auto"/>
              <w:rPr>
                <w:rFonts w:eastAsia="Times New Roman"/>
                <w:iCs/>
                <w:sz w:val="18"/>
                <w:szCs w:val="18"/>
              </w:rPr>
            </w:pPr>
            <w:r w:rsidRPr="00CE5DD5">
              <w:rPr>
                <w:rFonts w:eastAsia="Times New Roman"/>
                <w:iCs/>
                <w:sz w:val="18"/>
                <w:szCs w:val="18"/>
              </w:rPr>
              <w:t>Sub-objective: Effective law and justice system</w:t>
            </w:r>
          </w:p>
        </w:tc>
      </w:tr>
      <w:tr w:rsidR="00D4205A" w:rsidRPr="006F3534" w14:paraId="2CC465AE" w14:textId="77777777" w:rsidTr="00CB5E41">
        <w:tc>
          <w:tcPr>
            <w:tcW w:w="5740" w:type="dxa"/>
            <w:vAlign w:val="center"/>
          </w:tcPr>
          <w:p w14:paraId="1BFD8126"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 xml:space="preserve">5. </w:t>
            </w:r>
            <w:r w:rsidRPr="00471FCD">
              <w:rPr>
                <w:rFonts w:eastAsia="Times New Roman"/>
                <w:iCs/>
                <w:sz w:val="18"/>
                <w:szCs w:val="18"/>
              </w:rPr>
              <w:t>Number of women and men with greater awareness of legal rights and responsibilities</w:t>
            </w:r>
            <w:r>
              <w:rPr>
                <w:rStyle w:val="FootnoteReference"/>
                <w:rFonts w:eastAsia="Times New Roman"/>
                <w:iCs/>
                <w:sz w:val="18"/>
                <w:szCs w:val="18"/>
              </w:rPr>
              <w:footnoteReference w:id="6"/>
            </w:r>
          </w:p>
        </w:tc>
        <w:tc>
          <w:tcPr>
            <w:tcW w:w="3191" w:type="dxa"/>
            <w:vAlign w:val="center"/>
          </w:tcPr>
          <w:p w14:paraId="67504D38" w14:textId="77777777" w:rsidR="00D4205A" w:rsidRPr="006F3534" w:rsidRDefault="00D4205A" w:rsidP="00D4205A">
            <w:pPr>
              <w:keepLines/>
              <w:spacing w:before="0" w:after="0" w:line="240" w:lineRule="auto"/>
              <w:rPr>
                <w:rFonts w:eastAsia="Times New Roman"/>
                <w:iCs/>
                <w:sz w:val="18"/>
                <w:szCs w:val="18"/>
              </w:rPr>
            </w:pPr>
            <w:r>
              <w:rPr>
                <w:rFonts w:eastAsia="Times New Roman"/>
                <w:iCs/>
                <w:sz w:val="18"/>
                <w:szCs w:val="18"/>
              </w:rPr>
              <w:t>25,400</w:t>
            </w:r>
          </w:p>
        </w:tc>
        <w:tc>
          <w:tcPr>
            <w:tcW w:w="3067" w:type="dxa"/>
            <w:vAlign w:val="center"/>
          </w:tcPr>
          <w:p w14:paraId="0EAF59F4" w14:textId="77777777" w:rsidR="00D4205A" w:rsidRPr="00CE5DD5" w:rsidRDefault="00D4205A" w:rsidP="00D4205A">
            <w:pPr>
              <w:keepLines/>
              <w:rPr>
                <w:rFonts w:eastAsia="Times New Roman"/>
                <w:iCs/>
                <w:sz w:val="18"/>
                <w:szCs w:val="18"/>
              </w:rPr>
            </w:pPr>
            <w:r w:rsidRPr="00CE5DD5">
              <w:rPr>
                <w:rFonts w:eastAsia="Times New Roman"/>
                <w:iCs/>
                <w:sz w:val="18"/>
                <w:szCs w:val="18"/>
              </w:rPr>
              <w:t>25,373 Target was 25,400</w:t>
            </w:r>
          </w:p>
          <w:p w14:paraId="781A9BBC" w14:textId="77777777" w:rsidR="00D4205A" w:rsidRPr="00CE5DD5" w:rsidRDefault="00D4205A" w:rsidP="00D4205A">
            <w:pPr>
              <w:keepLines/>
              <w:spacing w:before="0" w:after="0" w:line="240" w:lineRule="auto"/>
              <w:rPr>
                <w:rFonts w:eastAsia="Times New Roman"/>
                <w:iCs/>
                <w:color w:val="FF0000"/>
                <w:sz w:val="18"/>
                <w:szCs w:val="18"/>
              </w:rPr>
            </w:pPr>
            <w:r w:rsidRPr="00CE5DD5">
              <w:rPr>
                <w:rFonts w:eastAsia="Times New Roman"/>
                <w:iCs/>
                <w:sz w:val="18"/>
                <w:szCs w:val="18"/>
              </w:rPr>
              <w:t>(women 17,744 men 7,629)</w:t>
            </w:r>
          </w:p>
        </w:tc>
        <w:tc>
          <w:tcPr>
            <w:tcW w:w="3129" w:type="dxa"/>
            <w:vAlign w:val="center"/>
          </w:tcPr>
          <w:p w14:paraId="2FD5810C" w14:textId="77777777" w:rsidR="00D4205A" w:rsidRPr="001D395F" w:rsidRDefault="00D4205A" w:rsidP="00D4205A">
            <w:pPr>
              <w:keepLines/>
              <w:spacing w:before="0" w:after="0" w:line="240" w:lineRule="auto"/>
              <w:rPr>
                <w:rFonts w:eastAsia="Times New Roman"/>
                <w:iCs/>
                <w:color w:val="FF0000"/>
                <w:sz w:val="18"/>
                <w:szCs w:val="18"/>
                <w:lang w:eastAsia="en-AU"/>
              </w:rPr>
            </w:pPr>
            <w:r w:rsidRPr="00D4205A">
              <w:rPr>
                <w:rFonts w:eastAsia="Times New Roman"/>
                <w:iCs/>
                <w:sz w:val="18"/>
                <w:szCs w:val="18"/>
              </w:rPr>
              <w:t>25,000</w:t>
            </w:r>
          </w:p>
        </w:tc>
      </w:tr>
      <w:tr w:rsidR="00192982" w:rsidRPr="006F3534" w14:paraId="301933B5" w14:textId="77777777" w:rsidTr="001A0FD2">
        <w:tc>
          <w:tcPr>
            <w:tcW w:w="15127" w:type="dxa"/>
            <w:gridSpan w:val="4"/>
            <w:shd w:val="clear" w:color="auto" w:fill="ADDEC1" w:themeFill="accent6" w:themeFillTint="66"/>
            <w:vAlign w:val="center"/>
          </w:tcPr>
          <w:p w14:paraId="057D8028" w14:textId="77777777" w:rsidR="00192982" w:rsidRPr="00CE5DD5" w:rsidRDefault="00192982" w:rsidP="001A0FD2">
            <w:pPr>
              <w:keepLines/>
              <w:spacing w:before="0" w:after="0" w:line="240" w:lineRule="auto"/>
              <w:rPr>
                <w:rFonts w:eastAsia="Times New Roman"/>
                <w:iCs/>
                <w:sz w:val="18"/>
                <w:szCs w:val="18"/>
              </w:rPr>
            </w:pPr>
            <w:r w:rsidRPr="00CE5DD5">
              <w:rPr>
                <w:rFonts w:eastAsia="Times New Roman"/>
                <w:iCs/>
                <w:sz w:val="18"/>
                <w:szCs w:val="18"/>
              </w:rPr>
              <w:t xml:space="preserve">Strategic Objective 2: Enabling economic growth </w:t>
            </w:r>
          </w:p>
          <w:p w14:paraId="3AAA3DFF" w14:textId="77777777" w:rsidR="00192982" w:rsidRPr="00CE5DD5" w:rsidRDefault="00192982" w:rsidP="001A0FD2">
            <w:pPr>
              <w:keepLines/>
              <w:spacing w:before="0" w:after="0" w:line="240" w:lineRule="auto"/>
              <w:rPr>
                <w:rFonts w:eastAsia="Times New Roman"/>
                <w:iCs/>
                <w:sz w:val="18"/>
                <w:szCs w:val="18"/>
              </w:rPr>
            </w:pPr>
            <w:r w:rsidRPr="00CE5DD5">
              <w:rPr>
                <w:rFonts w:eastAsia="Times New Roman"/>
                <w:iCs/>
                <w:sz w:val="18"/>
                <w:szCs w:val="18"/>
              </w:rPr>
              <w:t>Sub-objective: Well-maintained economic and social infrastructure</w:t>
            </w:r>
          </w:p>
        </w:tc>
      </w:tr>
      <w:tr w:rsidR="00EB3CC9" w:rsidRPr="006F3534" w14:paraId="2F15A328" w14:textId="77777777" w:rsidTr="00CB5E41">
        <w:tc>
          <w:tcPr>
            <w:tcW w:w="5740" w:type="dxa"/>
            <w:vAlign w:val="center"/>
          </w:tcPr>
          <w:p w14:paraId="51E178F3" w14:textId="77777777" w:rsidR="00EB3CC9" w:rsidRPr="006F3534" w:rsidRDefault="00EB3CC9" w:rsidP="00EB3CC9">
            <w:pPr>
              <w:keepLines/>
              <w:spacing w:before="0" w:after="0" w:line="240" w:lineRule="auto"/>
              <w:rPr>
                <w:rFonts w:eastAsia="Times New Roman"/>
                <w:iCs/>
                <w:sz w:val="18"/>
                <w:szCs w:val="18"/>
              </w:rPr>
            </w:pPr>
            <w:r>
              <w:rPr>
                <w:rFonts w:eastAsia="Times New Roman"/>
                <w:iCs/>
                <w:sz w:val="18"/>
                <w:szCs w:val="18"/>
              </w:rPr>
              <w:t xml:space="preserve">6. </w:t>
            </w:r>
            <w:r w:rsidRPr="006F3534">
              <w:rPr>
                <w:rFonts w:eastAsia="Times New Roman"/>
                <w:iCs/>
                <w:sz w:val="18"/>
                <w:szCs w:val="18"/>
              </w:rPr>
              <w:t>Length of Papua New Guinea priority roads maintained</w:t>
            </w:r>
          </w:p>
        </w:tc>
        <w:tc>
          <w:tcPr>
            <w:tcW w:w="3191" w:type="dxa"/>
            <w:vAlign w:val="center"/>
          </w:tcPr>
          <w:p w14:paraId="51E9E615" w14:textId="77777777" w:rsidR="00EB3CC9" w:rsidRPr="006F3534" w:rsidRDefault="00EB3CC9" w:rsidP="00EB3CC9">
            <w:pPr>
              <w:spacing w:before="0" w:after="0" w:line="240" w:lineRule="auto"/>
              <w:rPr>
                <w:sz w:val="18"/>
                <w:szCs w:val="18"/>
              </w:rPr>
            </w:pPr>
            <w:r w:rsidRPr="006F3534">
              <w:rPr>
                <w:rFonts w:eastAsia="Times New Roman"/>
                <w:iCs/>
                <w:sz w:val="18"/>
                <w:szCs w:val="18"/>
              </w:rPr>
              <w:t>760.3 km</w:t>
            </w:r>
            <w:r>
              <w:rPr>
                <w:rStyle w:val="FootnoteReference"/>
                <w:rFonts w:eastAsia="Times New Roman"/>
                <w:iCs/>
                <w:sz w:val="18"/>
                <w:szCs w:val="18"/>
              </w:rPr>
              <w:footnoteReference w:id="7"/>
            </w:r>
          </w:p>
        </w:tc>
        <w:tc>
          <w:tcPr>
            <w:tcW w:w="3067" w:type="dxa"/>
            <w:vAlign w:val="center"/>
          </w:tcPr>
          <w:p w14:paraId="152C8B5F" w14:textId="77777777" w:rsidR="00EB3CC9" w:rsidRPr="00CE5DD5" w:rsidRDefault="00EB3CC9" w:rsidP="00EB3CC9">
            <w:pPr>
              <w:spacing w:before="0" w:after="0" w:line="240" w:lineRule="auto"/>
              <w:rPr>
                <w:rFonts w:eastAsia="Times New Roman"/>
                <w:iCs/>
                <w:sz w:val="18"/>
                <w:szCs w:val="18"/>
              </w:rPr>
            </w:pPr>
            <w:r w:rsidRPr="00CE5DD5">
              <w:rPr>
                <w:rFonts w:eastAsia="Times New Roman"/>
                <w:iCs/>
                <w:sz w:val="18"/>
                <w:szCs w:val="18"/>
              </w:rPr>
              <w:t>1,981 km</w:t>
            </w:r>
          </w:p>
        </w:tc>
        <w:tc>
          <w:tcPr>
            <w:tcW w:w="3129" w:type="dxa"/>
            <w:vAlign w:val="center"/>
          </w:tcPr>
          <w:p w14:paraId="68EB89E2" w14:textId="77777777" w:rsidR="00EB3CC9" w:rsidRPr="001D395F" w:rsidRDefault="00EB3CC9" w:rsidP="00EB3CC9">
            <w:pPr>
              <w:spacing w:before="0" w:after="0" w:line="240" w:lineRule="auto"/>
              <w:rPr>
                <w:sz w:val="18"/>
                <w:szCs w:val="18"/>
              </w:rPr>
            </w:pPr>
            <w:r w:rsidRPr="00DF2006">
              <w:rPr>
                <w:rFonts w:eastAsia="Times New Roman"/>
                <w:iCs/>
                <w:sz w:val="18"/>
                <w:szCs w:val="18"/>
              </w:rPr>
              <w:t>1,500</w:t>
            </w:r>
            <w:r>
              <w:rPr>
                <w:rFonts w:eastAsia="Times New Roman"/>
                <w:iCs/>
                <w:sz w:val="18"/>
                <w:szCs w:val="18"/>
              </w:rPr>
              <w:t xml:space="preserve"> </w:t>
            </w:r>
            <w:r w:rsidRPr="00DF2006">
              <w:rPr>
                <w:rFonts w:eastAsia="Times New Roman"/>
                <w:iCs/>
                <w:sz w:val="18"/>
                <w:szCs w:val="18"/>
              </w:rPr>
              <w:t>km</w:t>
            </w:r>
          </w:p>
        </w:tc>
      </w:tr>
      <w:tr w:rsidR="00192982" w:rsidRPr="006F3534" w14:paraId="48078756" w14:textId="77777777" w:rsidTr="001A0FD2">
        <w:tc>
          <w:tcPr>
            <w:tcW w:w="15127" w:type="dxa"/>
            <w:gridSpan w:val="4"/>
            <w:shd w:val="clear" w:color="auto" w:fill="ADDEC1" w:themeFill="accent6" w:themeFillTint="66"/>
            <w:vAlign w:val="center"/>
          </w:tcPr>
          <w:p w14:paraId="6C20F944" w14:textId="77777777" w:rsidR="00192982" w:rsidRPr="00CE5DD5" w:rsidRDefault="00192982" w:rsidP="001A0FD2">
            <w:pPr>
              <w:keepLines/>
              <w:spacing w:before="0" w:after="0" w:line="240" w:lineRule="auto"/>
              <w:rPr>
                <w:rFonts w:eastAsia="Times New Roman"/>
                <w:iCs/>
                <w:sz w:val="18"/>
                <w:szCs w:val="18"/>
              </w:rPr>
            </w:pPr>
            <w:r w:rsidRPr="00CE5DD5">
              <w:rPr>
                <w:rFonts w:eastAsia="Times New Roman"/>
                <w:iCs/>
                <w:sz w:val="18"/>
                <w:szCs w:val="18"/>
              </w:rPr>
              <w:t>Sub-objective: Catalyse inclusive economic growth</w:t>
            </w:r>
          </w:p>
        </w:tc>
      </w:tr>
      <w:tr w:rsidR="00EB3CC9" w:rsidRPr="006F3534" w14:paraId="799D2254" w14:textId="77777777" w:rsidTr="00CB5E41">
        <w:tc>
          <w:tcPr>
            <w:tcW w:w="5740" w:type="dxa"/>
            <w:vAlign w:val="center"/>
          </w:tcPr>
          <w:p w14:paraId="63DFBBCB" w14:textId="77777777" w:rsidR="00EB3CC9" w:rsidRPr="00A6745E" w:rsidRDefault="00EB3CC9" w:rsidP="00EB3CC9">
            <w:pPr>
              <w:keepLines/>
              <w:spacing w:before="0" w:after="0" w:line="240" w:lineRule="auto"/>
              <w:rPr>
                <w:rFonts w:eastAsia="Times New Roman"/>
                <w:iCs/>
                <w:sz w:val="18"/>
                <w:szCs w:val="18"/>
              </w:rPr>
            </w:pPr>
            <w:r>
              <w:rPr>
                <w:rFonts w:eastAsia="Times New Roman"/>
                <w:iCs/>
                <w:sz w:val="18"/>
                <w:szCs w:val="18"/>
              </w:rPr>
              <w:t xml:space="preserve">7. </w:t>
            </w:r>
            <w:r w:rsidRPr="00A6745E">
              <w:rPr>
                <w:rFonts w:eastAsia="Times New Roman"/>
                <w:iCs/>
                <w:sz w:val="18"/>
                <w:szCs w:val="18"/>
              </w:rPr>
              <w:t>Value of private sector investment leveraged (AUD)</w:t>
            </w:r>
          </w:p>
        </w:tc>
        <w:tc>
          <w:tcPr>
            <w:tcW w:w="3191" w:type="dxa"/>
            <w:vAlign w:val="center"/>
          </w:tcPr>
          <w:p w14:paraId="19343483" w14:textId="77777777" w:rsidR="00EB3CC9" w:rsidRPr="006F3534" w:rsidRDefault="00EB3CC9" w:rsidP="00EB3CC9">
            <w:pPr>
              <w:keepLines/>
              <w:spacing w:before="0" w:after="0" w:line="240" w:lineRule="auto"/>
              <w:rPr>
                <w:rFonts w:eastAsia="Times New Roman"/>
                <w:iCs/>
                <w:sz w:val="18"/>
                <w:szCs w:val="18"/>
              </w:rPr>
            </w:pPr>
            <w:r>
              <w:rPr>
                <w:rFonts w:eastAsia="Times New Roman"/>
                <w:iCs/>
                <w:sz w:val="18"/>
                <w:szCs w:val="18"/>
              </w:rPr>
              <w:t>$4,000,000</w:t>
            </w:r>
          </w:p>
        </w:tc>
        <w:tc>
          <w:tcPr>
            <w:tcW w:w="3067" w:type="dxa"/>
            <w:vAlign w:val="center"/>
          </w:tcPr>
          <w:p w14:paraId="02CF504C" w14:textId="77777777" w:rsidR="00EB3CC9" w:rsidRPr="00CE5DD5" w:rsidRDefault="004C7A8A" w:rsidP="00EB3CC9">
            <w:pPr>
              <w:keepLines/>
              <w:spacing w:before="0" w:after="0" w:line="240" w:lineRule="auto"/>
              <w:rPr>
                <w:rFonts w:eastAsia="Times New Roman"/>
                <w:iCs/>
                <w:sz w:val="18"/>
                <w:szCs w:val="18"/>
              </w:rPr>
            </w:pPr>
            <w:r w:rsidRPr="00877A6B">
              <w:rPr>
                <w:rFonts w:eastAsia="Times New Roman"/>
                <w:iCs/>
                <w:sz w:val="18"/>
                <w:szCs w:val="18"/>
              </w:rPr>
              <w:t>$4,380,151</w:t>
            </w:r>
          </w:p>
        </w:tc>
        <w:tc>
          <w:tcPr>
            <w:tcW w:w="3129" w:type="dxa"/>
            <w:vAlign w:val="center"/>
          </w:tcPr>
          <w:p w14:paraId="66482AC1" w14:textId="77777777" w:rsidR="00EB3CC9" w:rsidRPr="006F3534" w:rsidRDefault="00EB3CC9" w:rsidP="00EB3CC9">
            <w:pPr>
              <w:spacing w:before="0" w:after="0" w:line="240" w:lineRule="auto"/>
              <w:rPr>
                <w:sz w:val="18"/>
                <w:szCs w:val="18"/>
              </w:rPr>
            </w:pPr>
            <w:r>
              <w:rPr>
                <w:sz w:val="18"/>
                <w:szCs w:val="18"/>
              </w:rPr>
              <w:t>$4,000,000</w:t>
            </w:r>
          </w:p>
        </w:tc>
      </w:tr>
      <w:tr w:rsidR="00EB3CC9" w:rsidRPr="006F3534" w14:paraId="24361773" w14:textId="77777777" w:rsidTr="00CB5E41">
        <w:tc>
          <w:tcPr>
            <w:tcW w:w="5740" w:type="dxa"/>
            <w:vAlign w:val="center"/>
          </w:tcPr>
          <w:p w14:paraId="1C3AD6CC" w14:textId="77777777" w:rsidR="00EB3CC9" w:rsidRPr="00A6745E" w:rsidRDefault="00EB3CC9" w:rsidP="00EB3CC9">
            <w:pPr>
              <w:keepLines/>
              <w:spacing w:before="0" w:after="0" w:line="240" w:lineRule="auto"/>
              <w:rPr>
                <w:rFonts w:eastAsia="Times New Roman"/>
                <w:iCs/>
                <w:sz w:val="18"/>
                <w:szCs w:val="18"/>
              </w:rPr>
            </w:pPr>
            <w:r>
              <w:rPr>
                <w:rFonts w:eastAsia="Times New Roman"/>
                <w:iCs/>
                <w:sz w:val="18"/>
                <w:szCs w:val="18"/>
              </w:rPr>
              <w:t xml:space="preserve">8. </w:t>
            </w:r>
            <w:r w:rsidRPr="00A6745E">
              <w:rPr>
                <w:rFonts w:eastAsia="Times New Roman"/>
                <w:iCs/>
                <w:sz w:val="18"/>
                <w:szCs w:val="18"/>
              </w:rPr>
              <w:t>Value of development investment attracted to PNG facilitated by or value-added to by Australia (AUD)</w:t>
            </w:r>
          </w:p>
        </w:tc>
        <w:tc>
          <w:tcPr>
            <w:tcW w:w="3191" w:type="dxa"/>
            <w:vAlign w:val="center"/>
          </w:tcPr>
          <w:p w14:paraId="184F0157" w14:textId="77777777" w:rsidR="00EB3CC9" w:rsidRDefault="00EB3CC9" w:rsidP="00EB3CC9">
            <w:pPr>
              <w:keepLines/>
              <w:spacing w:before="0" w:after="0" w:line="240" w:lineRule="auto"/>
              <w:rPr>
                <w:rFonts w:eastAsia="Times New Roman"/>
                <w:iCs/>
                <w:sz w:val="18"/>
                <w:szCs w:val="18"/>
              </w:rPr>
            </w:pPr>
            <w:r w:rsidRPr="00CC569D">
              <w:rPr>
                <w:rFonts w:eastAsia="Times New Roman"/>
                <w:iCs/>
                <w:sz w:val="18"/>
                <w:szCs w:val="18"/>
              </w:rPr>
              <w:t>$7,185,098</w:t>
            </w:r>
          </w:p>
        </w:tc>
        <w:tc>
          <w:tcPr>
            <w:tcW w:w="3067" w:type="dxa"/>
            <w:vAlign w:val="center"/>
          </w:tcPr>
          <w:p w14:paraId="29F3270C" w14:textId="37F301B9" w:rsidR="00EB3CC9" w:rsidRPr="00CE5DD5" w:rsidRDefault="00EB3CC9" w:rsidP="00EB3CC9">
            <w:pPr>
              <w:keepLines/>
              <w:spacing w:before="0" w:after="0" w:line="240" w:lineRule="auto"/>
              <w:rPr>
                <w:rFonts w:eastAsia="Times New Roman"/>
                <w:iCs/>
                <w:sz w:val="18"/>
                <w:szCs w:val="18"/>
              </w:rPr>
            </w:pPr>
            <w:r w:rsidRPr="00CE5DD5">
              <w:rPr>
                <w:rFonts w:eastAsia="Times New Roman"/>
                <w:iCs/>
                <w:sz w:val="18"/>
                <w:szCs w:val="18"/>
              </w:rPr>
              <w:t>$146,663,452 Target was $42,000,000</w:t>
            </w:r>
          </w:p>
        </w:tc>
        <w:tc>
          <w:tcPr>
            <w:tcW w:w="3129" w:type="dxa"/>
            <w:vAlign w:val="center"/>
          </w:tcPr>
          <w:p w14:paraId="702DB2ED" w14:textId="77777777" w:rsidR="00EB3CC9" w:rsidRDefault="00EB3CC9" w:rsidP="00EB3CC9">
            <w:pPr>
              <w:spacing w:before="0" w:after="0" w:line="240" w:lineRule="auto"/>
              <w:rPr>
                <w:sz w:val="18"/>
                <w:szCs w:val="18"/>
              </w:rPr>
            </w:pPr>
            <w:r>
              <w:rPr>
                <w:sz w:val="18"/>
                <w:szCs w:val="18"/>
              </w:rPr>
              <w:t>$67,000,000</w:t>
            </w:r>
          </w:p>
        </w:tc>
      </w:tr>
      <w:tr w:rsidR="00EB3CC9" w:rsidRPr="006F3534" w14:paraId="00171E5D" w14:textId="77777777" w:rsidTr="00CB5E41">
        <w:tc>
          <w:tcPr>
            <w:tcW w:w="5740" w:type="dxa"/>
            <w:vAlign w:val="center"/>
          </w:tcPr>
          <w:p w14:paraId="4A2E593D" w14:textId="77777777" w:rsidR="00EB3CC9" w:rsidRPr="00A6745E" w:rsidRDefault="00EB3CC9" w:rsidP="00EB3CC9">
            <w:pPr>
              <w:keepLines/>
              <w:spacing w:before="0" w:after="0" w:line="240" w:lineRule="auto"/>
              <w:rPr>
                <w:rFonts w:eastAsia="Times New Roman"/>
                <w:iCs/>
                <w:sz w:val="18"/>
                <w:szCs w:val="18"/>
              </w:rPr>
            </w:pPr>
            <w:r>
              <w:rPr>
                <w:rFonts w:eastAsia="Times New Roman"/>
                <w:iCs/>
                <w:sz w:val="18"/>
                <w:szCs w:val="18"/>
              </w:rPr>
              <w:t xml:space="preserve">9. </w:t>
            </w:r>
            <w:r w:rsidRPr="00A6745E">
              <w:rPr>
                <w:rFonts w:eastAsia="Times New Roman"/>
                <w:iCs/>
                <w:sz w:val="18"/>
                <w:szCs w:val="18"/>
              </w:rPr>
              <w:t>Number of women &amp; men with better access to financial services</w:t>
            </w:r>
          </w:p>
        </w:tc>
        <w:tc>
          <w:tcPr>
            <w:tcW w:w="3191" w:type="dxa"/>
            <w:vAlign w:val="center"/>
          </w:tcPr>
          <w:p w14:paraId="6F22576B" w14:textId="77777777" w:rsidR="00EB3CC9" w:rsidRPr="006F3534" w:rsidRDefault="00EB3CC9" w:rsidP="00EB3CC9">
            <w:pPr>
              <w:keepLines/>
              <w:spacing w:before="0" w:after="0" w:line="240" w:lineRule="auto"/>
              <w:rPr>
                <w:rFonts w:eastAsia="Times New Roman"/>
                <w:iCs/>
                <w:sz w:val="18"/>
                <w:szCs w:val="18"/>
              </w:rPr>
            </w:pPr>
            <w:r>
              <w:rPr>
                <w:rFonts w:eastAsia="Times New Roman"/>
                <w:iCs/>
                <w:sz w:val="18"/>
                <w:szCs w:val="18"/>
              </w:rPr>
              <w:t>46,000</w:t>
            </w:r>
          </w:p>
        </w:tc>
        <w:tc>
          <w:tcPr>
            <w:tcW w:w="3067" w:type="dxa"/>
            <w:vAlign w:val="center"/>
          </w:tcPr>
          <w:p w14:paraId="1380910B" w14:textId="77777777" w:rsidR="00EB3CC9" w:rsidRPr="00CE5DD5" w:rsidRDefault="00EB3CC9" w:rsidP="00EB3CC9">
            <w:pPr>
              <w:keepLines/>
              <w:rPr>
                <w:rFonts w:eastAsia="Times New Roman"/>
                <w:iCs/>
                <w:sz w:val="18"/>
                <w:szCs w:val="18"/>
              </w:rPr>
            </w:pPr>
            <w:r w:rsidRPr="00CE5DD5">
              <w:rPr>
                <w:rFonts w:eastAsia="Times New Roman"/>
                <w:iCs/>
                <w:sz w:val="18"/>
                <w:szCs w:val="18"/>
              </w:rPr>
              <w:t>59,217</w:t>
            </w:r>
          </w:p>
          <w:p w14:paraId="46491F7F" w14:textId="77777777" w:rsidR="00EB3CC9" w:rsidRPr="00CE5DD5" w:rsidRDefault="00EB3CC9" w:rsidP="00EB3CC9">
            <w:pPr>
              <w:keepLines/>
              <w:spacing w:before="0" w:after="0" w:line="240" w:lineRule="auto"/>
              <w:rPr>
                <w:rFonts w:eastAsia="Times New Roman"/>
                <w:iCs/>
                <w:sz w:val="18"/>
                <w:szCs w:val="18"/>
              </w:rPr>
            </w:pPr>
            <w:r w:rsidRPr="00CE5DD5">
              <w:rPr>
                <w:rFonts w:eastAsia="Times New Roman"/>
                <w:iCs/>
                <w:sz w:val="18"/>
                <w:szCs w:val="18"/>
              </w:rPr>
              <w:t>(women 30,912, men 28,305)</w:t>
            </w:r>
          </w:p>
        </w:tc>
        <w:tc>
          <w:tcPr>
            <w:tcW w:w="3129" w:type="dxa"/>
            <w:vAlign w:val="center"/>
          </w:tcPr>
          <w:p w14:paraId="7E4A366E" w14:textId="77777777" w:rsidR="00EB3CC9" w:rsidRPr="006F3534" w:rsidRDefault="00EB3CC9" w:rsidP="00EB3CC9">
            <w:pPr>
              <w:spacing w:before="0" w:after="0" w:line="240" w:lineRule="auto"/>
              <w:rPr>
                <w:sz w:val="18"/>
                <w:szCs w:val="18"/>
              </w:rPr>
            </w:pPr>
            <w:r>
              <w:rPr>
                <w:sz w:val="18"/>
                <w:szCs w:val="18"/>
              </w:rPr>
              <w:t>34,536</w:t>
            </w:r>
          </w:p>
        </w:tc>
      </w:tr>
      <w:tr w:rsidR="00EB3CC9" w:rsidRPr="006F3534" w14:paraId="7228542A" w14:textId="77777777" w:rsidTr="00CB5E41">
        <w:tc>
          <w:tcPr>
            <w:tcW w:w="5740" w:type="dxa"/>
            <w:vAlign w:val="center"/>
          </w:tcPr>
          <w:p w14:paraId="11F487C4" w14:textId="77777777" w:rsidR="00EB3CC9" w:rsidRPr="00A6745E" w:rsidRDefault="00EB3CC9" w:rsidP="00EB3CC9">
            <w:pPr>
              <w:keepLines/>
              <w:spacing w:before="0" w:after="0" w:line="240" w:lineRule="auto"/>
              <w:rPr>
                <w:rFonts w:eastAsia="Times New Roman"/>
                <w:iCs/>
                <w:sz w:val="18"/>
                <w:szCs w:val="18"/>
              </w:rPr>
            </w:pPr>
            <w:r>
              <w:rPr>
                <w:rFonts w:eastAsia="Times New Roman"/>
                <w:iCs/>
                <w:sz w:val="18"/>
                <w:szCs w:val="18"/>
              </w:rPr>
              <w:t xml:space="preserve">10. </w:t>
            </w:r>
            <w:r w:rsidRPr="00A6745E">
              <w:rPr>
                <w:rFonts w:eastAsia="Times New Roman"/>
                <w:iCs/>
                <w:sz w:val="18"/>
                <w:szCs w:val="18"/>
              </w:rPr>
              <w:t>Number of women and men with better access to markets</w:t>
            </w:r>
          </w:p>
        </w:tc>
        <w:tc>
          <w:tcPr>
            <w:tcW w:w="3191" w:type="dxa"/>
            <w:vAlign w:val="center"/>
          </w:tcPr>
          <w:p w14:paraId="6D092399" w14:textId="77777777" w:rsidR="00EB3CC9" w:rsidRPr="006F3534" w:rsidRDefault="00EB3CC9" w:rsidP="00EB3CC9">
            <w:pPr>
              <w:keepLines/>
              <w:spacing w:before="0" w:after="0" w:line="240" w:lineRule="auto"/>
              <w:rPr>
                <w:rFonts w:eastAsia="Times New Roman"/>
                <w:iCs/>
                <w:sz w:val="18"/>
                <w:szCs w:val="18"/>
              </w:rPr>
            </w:pPr>
            <w:r w:rsidRPr="006F3534">
              <w:rPr>
                <w:rFonts w:eastAsia="Times New Roman"/>
                <w:iCs/>
                <w:sz w:val="18"/>
                <w:szCs w:val="18"/>
              </w:rPr>
              <w:t>324,459</w:t>
            </w:r>
          </w:p>
        </w:tc>
        <w:tc>
          <w:tcPr>
            <w:tcW w:w="3067" w:type="dxa"/>
            <w:vAlign w:val="center"/>
          </w:tcPr>
          <w:p w14:paraId="12A79153" w14:textId="77777777" w:rsidR="004C7A8A" w:rsidRPr="00877A6B" w:rsidRDefault="004C7A8A" w:rsidP="004C7A8A">
            <w:pPr>
              <w:keepLines/>
              <w:rPr>
                <w:rFonts w:eastAsia="Times New Roman"/>
                <w:iCs/>
                <w:sz w:val="18"/>
                <w:szCs w:val="18"/>
              </w:rPr>
            </w:pPr>
            <w:r w:rsidRPr="00877A6B">
              <w:rPr>
                <w:rFonts w:eastAsia="Times New Roman"/>
                <w:iCs/>
                <w:sz w:val="18"/>
                <w:szCs w:val="18"/>
              </w:rPr>
              <w:t>964,470</w:t>
            </w:r>
          </w:p>
          <w:p w14:paraId="417EDE6A" w14:textId="77777777" w:rsidR="00EB3CC9" w:rsidRPr="00CE5DD5" w:rsidRDefault="004C7A8A" w:rsidP="00EB3CC9">
            <w:pPr>
              <w:keepLines/>
              <w:spacing w:before="0" w:after="0" w:line="240" w:lineRule="auto"/>
              <w:rPr>
                <w:rFonts w:eastAsia="Times New Roman"/>
                <w:iCs/>
                <w:color w:val="FF0000"/>
                <w:sz w:val="18"/>
                <w:szCs w:val="18"/>
              </w:rPr>
            </w:pPr>
            <w:r w:rsidRPr="00877A6B">
              <w:rPr>
                <w:rFonts w:eastAsia="Times New Roman"/>
                <w:iCs/>
                <w:sz w:val="18"/>
                <w:szCs w:val="18"/>
              </w:rPr>
              <w:t>(women 498,285, men 498,185)</w:t>
            </w:r>
          </w:p>
        </w:tc>
        <w:tc>
          <w:tcPr>
            <w:tcW w:w="3129" w:type="dxa"/>
            <w:vAlign w:val="center"/>
          </w:tcPr>
          <w:p w14:paraId="3B276A5D" w14:textId="77777777" w:rsidR="00EB3CC9" w:rsidRPr="00177262" w:rsidRDefault="00EB3CC9" w:rsidP="00EB3CC9">
            <w:pPr>
              <w:spacing w:before="0" w:after="0" w:line="240" w:lineRule="auto"/>
              <w:rPr>
                <w:color w:val="FF0000"/>
                <w:sz w:val="18"/>
                <w:szCs w:val="18"/>
              </w:rPr>
            </w:pPr>
            <w:r w:rsidRPr="00184D76">
              <w:rPr>
                <w:sz w:val="18"/>
                <w:szCs w:val="18"/>
              </w:rPr>
              <w:t>1,015,159</w:t>
            </w:r>
          </w:p>
        </w:tc>
      </w:tr>
      <w:tr w:rsidR="00192982" w:rsidRPr="006F3534" w14:paraId="58E76CD7" w14:textId="77777777" w:rsidTr="001A0FD2">
        <w:tc>
          <w:tcPr>
            <w:tcW w:w="15127" w:type="dxa"/>
            <w:gridSpan w:val="4"/>
            <w:shd w:val="clear" w:color="auto" w:fill="ADDEC1" w:themeFill="accent6" w:themeFillTint="66"/>
            <w:vAlign w:val="center"/>
          </w:tcPr>
          <w:p w14:paraId="1031BC0F" w14:textId="77777777" w:rsidR="00192982" w:rsidRPr="00A6745E" w:rsidRDefault="00192982" w:rsidP="001A0FD2">
            <w:pPr>
              <w:keepLines/>
              <w:spacing w:before="0" w:after="0" w:line="240" w:lineRule="auto"/>
              <w:rPr>
                <w:rFonts w:eastAsia="Times New Roman"/>
                <w:iCs/>
                <w:sz w:val="18"/>
                <w:szCs w:val="18"/>
              </w:rPr>
            </w:pPr>
            <w:r w:rsidRPr="00A6745E">
              <w:rPr>
                <w:rFonts w:eastAsia="Times New Roman"/>
                <w:iCs/>
                <w:sz w:val="18"/>
                <w:szCs w:val="18"/>
              </w:rPr>
              <w:lastRenderedPageBreak/>
              <w:t>Strategic Objective 3: Enhancing human development</w:t>
            </w:r>
          </w:p>
          <w:p w14:paraId="5F083508" w14:textId="77777777" w:rsidR="00192982" w:rsidRPr="00A6745E" w:rsidRDefault="00192982" w:rsidP="001A0FD2">
            <w:pPr>
              <w:keepLines/>
              <w:spacing w:before="0" w:after="0" w:line="240" w:lineRule="auto"/>
              <w:rPr>
                <w:rFonts w:eastAsia="Times New Roman"/>
                <w:iCs/>
                <w:sz w:val="18"/>
                <w:szCs w:val="18"/>
              </w:rPr>
            </w:pPr>
            <w:r w:rsidRPr="006F3534">
              <w:rPr>
                <w:rFonts w:eastAsia="Times New Roman"/>
                <w:iCs/>
                <w:sz w:val="18"/>
                <w:szCs w:val="18"/>
              </w:rPr>
              <w:t>Sub-objective: More effective education service delivery system</w:t>
            </w:r>
          </w:p>
        </w:tc>
      </w:tr>
      <w:tr w:rsidR="00192982" w:rsidRPr="006F3534" w14:paraId="68734FFF" w14:textId="77777777" w:rsidTr="001A0FD2">
        <w:tc>
          <w:tcPr>
            <w:tcW w:w="5740" w:type="dxa"/>
          </w:tcPr>
          <w:p w14:paraId="41475463" w14:textId="77777777" w:rsidR="00192982" w:rsidRPr="006F3534" w:rsidRDefault="00192982" w:rsidP="001A0FD2">
            <w:pPr>
              <w:keepLines/>
              <w:spacing w:before="0" w:after="0" w:line="240" w:lineRule="auto"/>
              <w:rPr>
                <w:rFonts w:eastAsia="Times New Roman"/>
                <w:iCs/>
                <w:sz w:val="18"/>
                <w:szCs w:val="18"/>
              </w:rPr>
            </w:pPr>
            <w:r>
              <w:rPr>
                <w:rFonts w:eastAsia="Times New Roman"/>
                <w:iCs/>
                <w:sz w:val="18"/>
                <w:szCs w:val="18"/>
              </w:rPr>
              <w:t xml:space="preserve">11. </w:t>
            </w:r>
            <w:r w:rsidRPr="006F3534">
              <w:rPr>
                <w:rFonts w:eastAsia="Times New Roman"/>
                <w:iCs/>
                <w:sz w:val="18"/>
                <w:szCs w:val="18"/>
              </w:rPr>
              <w:t>Number of school buildings constructed, maintained, refurbished or rehabilitated</w:t>
            </w:r>
          </w:p>
        </w:tc>
        <w:tc>
          <w:tcPr>
            <w:tcW w:w="3191" w:type="dxa"/>
            <w:vAlign w:val="center"/>
          </w:tcPr>
          <w:p w14:paraId="687D4376" w14:textId="77777777" w:rsidR="00192982" w:rsidRPr="006F3534" w:rsidRDefault="00192982" w:rsidP="001A0FD2">
            <w:pPr>
              <w:keepLines/>
              <w:spacing w:before="0" w:after="0" w:line="240" w:lineRule="auto"/>
              <w:rPr>
                <w:rFonts w:eastAsia="Times New Roman"/>
                <w:iCs/>
                <w:sz w:val="18"/>
                <w:szCs w:val="18"/>
              </w:rPr>
            </w:pPr>
            <w:r>
              <w:rPr>
                <w:rFonts w:eastAsia="Times New Roman"/>
                <w:iCs/>
                <w:sz w:val="18"/>
                <w:szCs w:val="18"/>
              </w:rPr>
              <w:t>119</w:t>
            </w:r>
            <w:r>
              <w:rPr>
                <w:rStyle w:val="FootnoteReference"/>
                <w:rFonts w:eastAsia="Times New Roman"/>
                <w:iCs/>
                <w:sz w:val="18"/>
                <w:szCs w:val="18"/>
              </w:rPr>
              <w:footnoteReference w:id="8"/>
            </w:r>
          </w:p>
        </w:tc>
        <w:tc>
          <w:tcPr>
            <w:tcW w:w="3067" w:type="dxa"/>
            <w:vAlign w:val="center"/>
          </w:tcPr>
          <w:p w14:paraId="038FC2C5" w14:textId="25E45EDE" w:rsidR="00192982" w:rsidRPr="00177262" w:rsidRDefault="00192982" w:rsidP="001A0FD2">
            <w:pPr>
              <w:keepLines/>
              <w:spacing w:before="0" w:after="0" w:line="240" w:lineRule="auto"/>
              <w:rPr>
                <w:rFonts w:eastAsia="Times New Roman"/>
                <w:iCs/>
                <w:color w:val="FF0000"/>
                <w:sz w:val="18"/>
                <w:szCs w:val="18"/>
              </w:rPr>
            </w:pPr>
            <w:r>
              <w:rPr>
                <w:rFonts w:eastAsia="Times New Roman"/>
                <w:iCs/>
                <w:sz w:val="18"/>
                <w:szCs w:val="18"/>
              </w:rPr>
              <w:t xml:space="preserve">Total: 66 </w:t>
            </w:r>
            <w:r w:rsidRPr="00666A09">
              <w:rPr>
                <w:rFonts w:eastAsia="Times New Roman"/>
                <w:iCs/>
                <w:sz w:val="18"/>
                <w:szCs w:val="18"/>
              </w:rPr>
              <w:t>Target was 78</w:t>
            </w:r>
          </w:p>
        </w:tc>
        <w:tc>
          <w:tcPr>
            <w:tcW w:w="3129" w:type="dxa"/>
            <w:vAlign w:val="center"/>
          </w:tcPr>
          <w:p w14:paraId="3D2FA901" w14:textId="77777777" w:rsidR="00192982" w:rsidRPr="006F3534" w:rsidRDefault="00192982" w:rsidP="001A0FD2">
            <w:pPr>
              <w:spacing w:before="0" w:after="0" w:line="240" w:lineRule="auto"/>
              <w:rPr>
                <w:sz w:val="18"/>
                <w:szCs w:val="18"/>
              </w:rPr>
            </w:pPr>
            <w:r>
              <w:rPr>
                <w:rFonts w:eastAsia="Times New Roman"/>
                <w:iCs/>
                <w:sz w:val="18"/>
                <w:szCs w:val="18"/>
              </w:rPr>
              <w:t>98</w:t>
            </w:r>
          </w:p>
        </w:tc>
      </w:tr>
      <w:tr w:rsidR="00192982" w:rsidRPr="006F3534" w14:paraId="42CEDF9F" w14:textId="77777777" w:rsidTr="001A0FD2">
        <w:tc>
          <w:tcPr>
            <w:tcW w:w="5740" w:type="dxa"/>
          </w:tcPr>
          <w:p w14:paraId="2AD0D22A" w14:textId="77777777" w:rsidR="00192982" w:rsidRPr="006F3534" w:rsidRDefault="00192982" w:rsidP="001A0FD2">
            <w:pPr>
              <w:keepLines/>
              <w:spacing w:before="0" w:after="0" w:line="240" w:lineRule="auto"/>
              <w:rPr>
                <w:rFonts w:eastAsia="Times New Roman"/>
                <w:iCs/>
                <w:sz w:val="18"/>
                <w:szCs w:val="18"/>
              </w:rPr>
            </w:pPr>
            <w:r>
              <w:rPr>
                <w:rFonts w:eastAsia="Times New Roman"/>
                <w:iCs/>
                <w:sz w:val="18"/>
                <w:szCs w:val="18"/>
              </w:rPr>
              <w:t xml:space="preserve">12. </w:t>
            </w:r>
            <w:r w:rsidRPr="006F3534">
              <w:rPr>
                <w:rFonts w:eastAsia="Times New Roman"/>
                <w:iCs/>
                <w:sz w:val="18"/>
                <w:szCs w:val="18"/>
              </w:rPr>
              <w:t xml:space="preserve">Number of women and men (by province) graduating from Australia Awards, APTC and Fellowships </w:t>
            </w:r>
          </w:p>
        </w:tc>
        <w:tc>
          <w:tcPr>
            <w:tcW w:w="3191" w:type="dxa"/>
            <w:vAlign w:val="center"/>
          </w:tcPr>
          <w:p w14:paraId="281B57A5" w14:textId="77777777" w:rsidR="00192982" w:rsidRPr="006F3534" w:rsidRDefault="00192982" w:rsidP="001A0FD2">
            <w:pPr>
              <w:keepLines/>
              <w:spacing w:before="0" w:after="0" w:line="240" w:lineRule="auto"/>
              <w:rPr>
                <w:rFonts w:eastAsia="Times New Roman"/>
                <w:iCs/>
                <w:sz w:val="18"/>
                <w:szCs w:val="18"/>
              </w:rPr>
            </w:pPr>
            <w:r>
              <w:rPr>
                <w:rFonts w:eastAsia="Times New Roman"/>
                <w:iCs/>
                <w:sz w:val="18"/>
                <w:szCs w:val="18"/>
              </w:rPr>
              <w:t>791 (</w:t>
            </w:r>
            <w:r w:rsidRPr="006F3534">
              <w:rPr>
                <w:rFonts w:eastAsia="Times New Roman"/>
                <w:iCs/>
                <w:sz w:val="18"/>
                <w:szCs w:val="18"/>
              </w:rPr>
              <w:t>2016</w:t>
            </w:r>
            <w:r>
              <w:rPr>
                <w:rFonts w:eastAsia="Times New Roman"/>
                <w:iCs/>
                <w:sz w:val="18"/>
                <w:szCs w:val="18"/>
              </w:rPr>
              <w:t>)</w:t>
            </w:r>
          </w:p>
        </w:tc>
        <w:tc>
          <w:tcPr>
            <w:tcW w:w="3067" w:type="dxa"/>
            <w:vAlign w:val="center"/>
          </w:tcPr>
          <w:p w14:paraId="3BFE2C3C" w14:textId="77777777" w:rsidR="00192982" w:rsidRPr="00865BBE" w:rsidRDefault="00192982" w:rsidP="001A0FD2">
            <w:pPr>
              <w:spacing w:before="0" w:after="0" w:line="240" w:lineRule="auto"/>
              <w:rPr>
                <w:rFonts w:eastAsia="Times New Roman"/>
                <w:iCs/>
                <w:color w:val="FF0000"/>
                <w:sz w:val="18"/>
                <w:szCs w:val="18"/>
              </w:rPr>
            </w:pPr>
            <w:r w:rsidRPr="00C7531B">
              <w:rPr>
                <w:rFonts w:eastAsia="Times New Roman"/>
                <w:iCs/>
                <w:sz w:val="18"/>
                <w:szCs w:val="18"/>
              </w:rPr>
              <w:t>839</w:t>
            </w:r>
            <w:r>
              <w:rPr>
                <w:rFonts w:eastAsia="Times New Roman"/>
                <w:iCs/>
                <w:sz w:val="18"/>
                <w:szCs w:val="18"/>
              </w:rPr>
              <w:t xml:space="preserve"> (398 women and 441 men)</w:t>
            </w:r>
          </w:p>
        </w:tc>
        <w:tc>
          <w:tcPr>
            <w:tcW w:w="3129" w:type="dxa"/>
            <w:vAlign w:val="center"/>
          </w:tcPr>
          <w:p w14:paraId="20F3C4BA" w14:textId="77777777" w:rsidR="00192982" w:rsidRPr="006F3534" w:rsidRDefault="00192982" w:rsidP="001A0FD2">
            <w:pPr>
              <w:spacing w:before="0" w:after="0" w:line="240" w:lineRule="auto"/>
              <w:rPr>
                <w:sz w:val="18"/>
                <w:szCs w:val="18"/>
              </w:rPr>
            </w:pPr>
            <w:r w:rsidRPr="00C7531B">
              <w:rPr>
                <w:rFonts w:eastAsia="Times New Roman"/>
                <w:iCs/>
                <w:sz w:val="18"/>
                <w:szCs w:val="18"/>
              </w:rPr>
              <w:t>575</w:t>
            </w:r>
          </w:p>
        </w:tc>
      </w:tr>
      <w:tr w:rsidR="00192982" w:rsidRPr="006F3534" w14:paraId="7B4E5D6E" w14:textId="77777777" w:rsidTr="001A0FD2">
        <w:tc>
          <w:tcPr>
            <w:tcW w:w="15127" w:type="dxa"/>
            <w:gridSpan w:val="4"/>
            <w:shd w:val="clear" w:color="auto" w:fill="ADDEC1" w:themeFill="accent6" w:themeFillTint="66"/>
            <w:vAlign w:val="center"/>
          </w:tcPr>
          <w:p w14:paraId="1565BE9E" w14:textId="77777777" w:rsidR="00192982" w:rsidRPr="00A6745E" w:rsidRDefault="00192982" w:rsidP="001A0FD2">
            <w:pPr>
              <w:keepLines/>
              <w:spacing w:before="0" w:after="0" w:line="240" w:lineRule="auto"/>
              <w:rPr>
                <w:rFonts w:eastAsia="Times New Roman"/>
                <w:iCs/>
                <w:sz w:val="18"/>
                <w:szCs w:val="18"/>
              </w:rPr>
            </w:pPr>
            <w:r w:rsidRPr="006F3534">
              <w:rPr>
                <w:rFonts w:eastAsia="Times New Roman"/>
                <w:iCs/>
                <w:sz w:val="18"/>
                <w:szCs w:val="18"/>
              </w:rPr>
              <w:t>Sub-objective: More effective health security systems and health services</w:t>
            </w:r>
          </w:p>
        </w:tc>
      </w:tr>
      <w:tr w:rsidR="004C7A8A" w:rsidRPr="006F3534" w14:paraId="4268C42B" w14:textId="77777777" w:rsidTr="001A0FD2">
        <w:tc>
          <w:tcPr>
            <w:tcW w:w="5740" w:type="dxa"/>
          </w:tcPr>
          <w:p w14:paraId="08634158" w14:textId="77777777" w:rsidR="004C7A8A" w:rsidRPr="006F3534" w:rsidRDefault="004C7A8A" w:rsidP="004C7A8A">
            <w:pPr>
              <w:keepLines/>
              <w:spacing w:before="0" w:after="0" w:line="240" w:lineRule="auto"/>
              <w:rPr>
                <w:rFonts w:eastAsia="Times New Roman"/>
                <w:iCs/>
                <w:sz w:val="18"/>
                <w:szCs w:val="18"/>
              </w:rPr>
            </w:pPr>
            <w:r>
              <w:rPr>
                <w:rFonts w:eastAsia="Times New Roman"/>
                <w:iCs/>
                <w:sz w:val="18"/>
                <w:szCs w:val="18"/>
              </w:rPr>
              <w:t xml:space="preserve">13. </w:t>
            </w:r>
            <w:r w:rsidRPr="006F3534">
              <w:rPr>
                <w:rFonts w:eastAsia="Times New Roman"/>
                <w:iCs/>
                <w:sz w:val="18"/>
                <w:szCs w:val="18"/>
              </w:rPr>
              <w:t>Couple years protection in Eastern Highlands, Bougainville, Morobe and National Capital District</w:t>
            </w:r>
          </w:p>
        </w:tc>
        <w:tc>
          <w:tcPr>
            <w:tcW w:w="3191" w:type="dxa"/>
            <w:vAlign w:val="center"/>
          </w:tcPr>
          <w:p w14:paraId="62CE9486" w14:textId="77777777" w:rsidR="004C7A8A" w:rsidRPr="006F3534" w:rsidRDefault="004C7A8A" w:rsidP="004C7A8A">
            <w:pPr>
              <w:keepLines/>
              <w:spacing w:before="0" w:after="0" w:line="240" w:lineRule="auto"/>
              <w:rPr>
                <w:rFonts w:eastAsia="Times New Roman"/>
                <w:iCs/>
                <w:sz w:val="18"/>
                <w:szCs w:val="18"/>
              </w:rPr>
            </w:pPr>
            <w:r>
              <w:rPr>
                <w:rFonts w:eastAsia="Times New Roman"/>
                <w:iCs/>
                <w:sz w:val="18"/>
                <w:szCs w:val="18"/>
              </w:rPr>
              <w:t>104,000</w:t>
            </w:r>
          </w:p>
        </w:tc>
        <w:tc>
          <w:tcPr>
            <w:tcW w:w="3067" w:type="dxa"/>
            <w:vAlign w:val="center"/>
          </w:tcPr>
          <w:p w14:paraId="2A24C46E" w14:textId="77777777" w:rsidR="004C7A8A" w:rsidRPr="00CE5DD5" w:rsidRDefault="004C7A8A" w:rsidP="004C7A8A">
            <w:pPr>
              <w:keepLines/>
              <w:spacing w:before="0" w:after="0" w:line="240" w:lineRule="auto"/>
              <w:rPr>
                <w:rFonts w:eastAsia="Times New Roman"/>
                <w:iCs/>
                <w:sz w:val="18"/>
                <w:szCs w:val="18"/>
              </w:rPr>
            </w:pPr>
            <w:r w:rsidRPr="00877A6B">
              <w:rPr>
                <w:rFonts w:eastAsia="Times New Roman"/>
                <w:iCs/>
                <w:sz w:val="18"/>
                <w:szCs w:val="18"/>
              </w:rPr>
              <w:t>104,157 Target was 160,000</w:t>
            </w:r>
          </w:p>
        </w:tc>
        <w:tc>
          <w:tcPr>
            <w:tcW w:w="3129" w:type="dxa"/>
            <w:vAlign w:val="center"/>
          </w:tcPr>
          <w:p w14:paraId="5F906B14" w14:textId="77777777" w:rsidR="004C7A8A" w:rsidRPr="0086071A" w:rsidRDefault="004C7A8A" w:rsidP="004C7A8A">
            <w:pPr>
              <w:spacing w:before="0" w:after="0" w:line="240" w:lineRule="auto"/>
              <w:rPr>
                <w:color w:val="FF0000"/>
                <w:sz w:val="18"/>
                <w:szCs w:val="18"/>
              </w:rPr>
            </w:pPr>
            <w:r w:rsidRPr="00877A6B">
              <w:rPr>
                <w:rFonts w:eastAsia="Times New Roman"/>
                <w:iCs/>
                <w:sz w:val="18"/>
                <w:szCs w:val="18"/>
              </w:rPr>
              <w:t>200,000</w:t>
            </w:r>
          </w:p>
        </w:tc>
      </w:tr>
      <w:tr w:rsidR="00EB3CC9" w:rsidRPr="006F3534" w14:paraId="452C4DF0" w14:textId="77777777" w:rsidTr="001A0FD2">
        <w:tc>
          <w:tcPr>
            <w:tcW w:w="5740" w:type="dxa"/>
          </w:tcPr>
          <w:p w14:paraId="483A80A9" w14:textId="77777777" w:rsidR="00EB3CC9" w:rsidRPr="006F3534" w:rsidRDefault="00EB3CC9" w:rsidP="00EB3CC9">
            <w:pPr>
              <w:keepLines/>
              <w:spacing w:before="0" w:after="0" w:line="240" w:lineRule="auto"/>
              <w:rPr>
                <w:rFonts w:eastAsia="Times New Roman"/>
                <w:iCs/>
                <w:sz w:val="18"/>
                <w:szCs w:val="18"/>
              </w:rPr>
            </w:pPr>
            <w:r>
              <w:rPr>
                <w:rFonts w:eastAsia="Times New Roman"/>
                <w:iCs/>
                <w:sz w:val="18"/>
                <w:szCs w:val="18"/>
              </w:rPr>
              <w:t xml:space="preserve">14. </w:t>
            </w:r>
            <w:r w:rsidRPr="006F3534">
              <w:rPr>
                <w:rFonts w:eastAsia="Times New Roman"/>
                <w:iCs/>
                <w:sz w:val="18"/>
                <w:szCs w:val="18"/>
              </w:rPr>
              <w:t>Percentage of tuberculosis</w:t>
            </w:r>
            <w:r>
              <w:rPr>
                <w:rFonts w:eastAsia="Times New Roman"/>
                <w:iCs/>
                <w:sz w:val="18"/>
                <w:szCs w:val="18"/>
              </w:rPr>
              <w:t xml:space="preserve"> patients</w:t>
            </w:r>
            <w:r w:rsidR="00FF4BD9">
              <w:rPr>
                <w:rFonts w:eastAsia="Times New Roman"/>
                <w:iCs/>
                <w:sz w:val="18"/>
                <w:szCs w:val="18"/>
              </w:rPr>
              <w:t xml:space="preserve"> </w:t>
            </w:r>
            <w:r w:rsidRPr="006F3534">
              <w:rPr>
                <w:rFonts w:eastAsia="Times New Roman"/>
                <w:iCs/>
                <w:sz w:val="18"/>
                <w:szCs w:val="18"/>
              </w:rPr>
              <w:t>in Western Province retained in treatment</w:t>
            </w:r>
          </w:p>
        </w:tc>
        <w:tc>
          <w:tcPr>
            <w:tcW w:w="3191" w:type="dxa"/>
            <w:vAlign w:val="center"/>
          </w:tcPr>
          <w:p w14:paraId="0766A179" w14:textId="77777777" w:rsidR="00EB3CC9" w:rsidRPr="006F3534" w:rsidRDefault="00EB3CC9" w:rsidP="00EB3CC9">
            <w:pPr>
              <w:keepLines/>
              <w:spacing w:before="0" w:after="0" w:line="240" w:lineRule="auto"/>
              <w:rPr>
                <w:rFonts w:eastAsia="Times New Roman"/>
                <w:iCs/>
                <w:sz w:val="18"/>
                <w:szCs w:val="18"/>
              </w:rPr>
            </w:pPr>
            <w:r>
              <w:rPr>
                <w:rFonts w:eastAsia="Times New Roman"/>
                <w:iCs/>
                <w:sz w:val="18"/>
                <w:szCs w:val="18"/>
              </w:rPr>
              <w:t>99</w:t>
            </w:r>
            <w:r w:rsidRPr="006F3534">
              <w:rPr>
                <w:rFonts w:eastAsia="Times New Roman"/>
                <w:iCs/>
                <w:sz w:val="18"/>
                <w:szCs w:val="18"/>
              </w:rPr>
              <w:t>%</w:t>
            </w:r>
          </w:p>
        </w:tc>
        <w:tc>
          <w:tcPr>
            <w:tcW w:w="3067" w:type="dxa"/>
            <w:vAlign w:val="center"/>
          </w:tcPr>
          <w:p w14:paraId="074D5CC7" w14:textId="77777777" w:rsidR="00EB3CC9" w:rsidRPr="00CE5DD5" w:rsidRDefault="00EB3CC9" w:rsidP="00EB3CC9">
            <w:pPr>
              <w:keepLines/>
              <w:spacing w:before="0" w:after="0" w:line="240" w:lineRule="auto"/>
              <w:rPr>
                <w:rFonts w:eastAsia="Times New Roman"/>
                <w:iCs/>
                <w:sz w:val="18"/>
                <w:szCs w:val="18"/>
              </w:rPr>
            </w:pPr>
            <w:r w:rsidRPr="00CE5DD5">
              <w:rPr>
                <w:rFonts w:eastAsia="Times New Roman"/>
                <w:iCs/>
                <w:sz w:val="18"/>
                <w:szCs w:val="18"/>
              </w:rPr>
              <w:t xml:space="preserve">99% </w:t>
            </w:r>
            <w:r w:rsidR="00CE5DD5">
              <w:rPr>
                <w:rFonts w:eastAsia="Times New Roman"/>
                <w:iCs/>
                <w:sz w:val="18"/>
                <w:szCs w:val="18"/>
              </w:rPr>
              <w:t>(</w:t>
            </w:r>
            <w:r>
              <w:rPr>
                <w:rFonts w:eastAsia="Times New Roman"/>
                <w:iCs/>
                <w:sz w:val="18"/>
                <w:szCs w:val="18"/>
              </w:rPr>
              <w:t>Target was 85%</w:t>
            </w:r>
            <w:r w:rsidR="00CE5DD5">
              <w:rPr>
                <w:rFonts w:eastAsia="Times New Roman"/>
                <w:iCs/>
                <w:sz w:val="18"/>
                <w:szCs w:val="18"/>
              </w:rPr>
              <w:t>)</w:t>
            </w:r>
          </w:p>
        </w:tc>
        <w:tc>
          <w:tcPr>
            <w:tcW w:w="3129" w:type="dxa"/>
            <w:vAlign w:val="center"/>
          </w:tcPr>
          <w:p w14:paraId="3DECEC26" w14:textId="77777777" w:rsidR="00EB3CC9" w:rsidRPr="0086071A" w:rsidRDefault="00EB3CC9" w:rsidP="00EB3CC9">
            <w:pPr>
              <w:spacing w:before="0" w:after="0" w:line="240" w:lineRule="auto"/>
              <w:rPr>
                <w:color w:val="FF0000"/>
                <w:sz w:val="18"/>
                <w:szCs w:val="18"/>
              </w:rPr>
            </w:pPr>
            <w:r w:rsidRPr="00284DFE">
              <w:rPr>
                <w:rFonts w:eastAsia="Times New Roman"/>
                <w:iCs/>
                <w:sz w:val="18"/>
                <w:szCs w:val="18"/>
              </w:rPr>
              <w:t>85%</w:t>
            </w:r>
          </w:p>
        </w:tc>
      </w:tr>
      <w:tr w:rsidR="00192982" w:rsidRPr="006F3534" w14:paraId="32B35D3E" w14:textId="77777777" w:rsidTr="001A0FD2">
        <w:tc>
          <w:tcPr>
            <w:tcW w:w="15127" w:type="dxa"/>
            <w:gridSpan w:val="4"/>
            <w:shd w:val="clear" w:color="auto" w:fill="ADDEC1" w:themeFill="accent6" w:themeFillTint="66"/>
            <w:vAlign w:val="center"/>
          </w:tcPr>
          <w:p w14:paraId="4FB6CBC0" w14:textId="77777777" w:rsidR="00192982" w:rsidRPr="006F3534" w:rsidRDefault="00192982" w:rsidP="001A0FD2">
            <w:pPr>
              <w:spacing w:before="0" w:after="0" w:line="240" w:lineRule="auto"/>
              <w:rPr>
                <w:sz w:val="18"/>
                <w:szCs w:val="18"/>
              </w:rPr>
            </w:pPr>
            <w:r w:rsidRPr="006F3534">
              <w:rPr>
                <w:rFonts w:eastAsia="Times New Roman"/>
                <w:iCs/>
                <w:sz w:val="18"/>
                <w:szCs w:val="18"/>
              </w:rPr>
              <w:t>Sub-objective: Gender equality and women’s empowerment</w:t>
            </w:r>
          </w:p>
        </w:tc>
      </w:tr>
      <w:tr w:rsidR="00EB3CC9" w:rsidRPr="006F3534" w14:paraId="1152B67C" w14:textId="77777777" w:rsidTr="001A0FD2">
        <w:tc>
          <w:tcPr>
            <w:tcW w:w="5740" w:type="dxa"/>
          </w:tcPr>
          <w:p w14:paraId="260CDADB" w14:textId="77777777" w:rsidR="00EB3CC9" w:rsidRPr="00EB3CC9" w:rsidRDefault="00EB3CC9" w:rsidP="00EB3CC9">
            <w:pPr>
              <w:keepLines/>
              <w:spacing w:before="0" w:after="0" w:line="240" w:lineRule="auto"/>
              <w:rPr>
                <w:rFonts w:eastAsia="Times New Roman"/>
                <w:iCs/>
                <w:sz w:val="18"/>
                <w:szCs w:val="18"/>
              </w:rPr>
            </w:pPr>
            <w:r w:rsidRPr="00EB3CC9">
              <w:rPr>
                <w:rFonts w:eastAsia="Times New Roman"/>
                <w:iCs/>
                <w:sz w:val="18"/>
                <w:szCs w:val="18"/>
              </w:rPr>
              <w:t>15. Number of women and girls who have accessed crisis support services and family and sexual violence centres</w:t>
            </w:r>
          </w:p>
        </w:tc>
        <w:tc>
          <w:tcPr>
            <w:tcW w:w="3191" w:type="dxa"/>
            <w:vAlign w:val="center"/>
          </w:tcPr>
          <w:p w14:paraId="5634DA66" w14:textId="77777777" w:rsidR="00EB3CC9" w:rsidRPr="00EB3CC9" w:rsidRDefault="00EB3CC9" w:rsidP="00EB3CC9">
            <w:pPr>
              <w:keepLines/>
              <w:spacing w:before="0" w:after="0" w:line="240" w:lineRule="auto"/>
              <w:rPr>
                <w:rFonts w:eastAsia="Times New Roman"/>
                <w:iCs/>
                <w:sz w:val="18"/>
                <w:szCs w:val="18"/>
              </w:rPr>
            </w:pPr>
            <w:r w:rsidRPr="00EB3CC9">
              <w:rPr>
                <w:rFonts w:eastAsia="Times New Roman"/>
                <w:iCs/>
                <w:sz w:val="18"/>
                <w:szCs w:val="18"/>
              </w:rPr>
              <w:t>2,026</w:t>
            </w:r>
          </w:p>
        </w:tc>
        <w:tc>
          <w:tcPr>
            <w:tcW w:w="3067" w:type="dxa"/>
            <w:vAlign w:val="center"/>
          </w:tcPr>
          <w:p w14:paraId="44AB68E6" w14:textId="77777777" w:rsidR="00EB3CC9" w:rsidRPr="00CE5DD5" w:rsidRDefault="00EB3CC9" w:rsidP="00EB3CC9">
            <w:pPr>
              <w:keepLines/>
              <w:spacing w:before="0" w:after="0" w:line="240" w:lineRule="auto"/>
              <w:rPr>
                <w:rFonts w:eastAsia="Times New Roman"/>
                <w:iCs/>
                <w:sz w:val="18"/>
                <w:szCs w:val="18"/>
              </w:rPr>
            </w:pPr>
            <w:r w:rsidRPr="00CE5DD5">
              <w:rPr>
                <w:rFonts w:eastAsia="Times New Roman"/>
                <w:iCs/>
                <w:sz w:val="18"/>
                <w:szCs w:val="18"/>
              </w:rPr>
              <w:t xml:space="preserve">19,387 </w:t>
            </w:r>
            <w:r w:rsidR="00CE5DD5">
              <w:rPr>
                <w:rFonts w:eastAsia="Times New Roman"/>
                <w:iCs/>
                <w:sz w:val="18"/>
                <w:szCs w:val="18"/>
              </w:rPr>
              <w:t>(</w:t>
            </w:r>
            <w:r w:rsidRPr="00EB3CC9">
              <w:rPr>
                <w:rFonts w:eastAsia="Times New Roman"/>
                <w:iCs/>
                <w:sz w:val="18"/>
                <w:szCs w:val="18"/>
              </w:rPr>
              <w:t>Target was 16,500</w:t>
            </w:r>
            <w:r w:rsidR="00CE5DD5">
              <w:rPr>
                <w:rFonts w:eastAsia="Times New Roman"/>
                <w:iCs/>
                <w:sz w:val="18"/>
                <w:szCs w:val="18"/>
              </w:rPr>
              <w:t>)</w:t>
            </w:r>
          </w:p>
        </w:tc>
        <w:tc>
          <w:tcPr>
            <w:tcW w:w="3129" w:type="dxa"/>
            <w:vAlign w:val="center"/>
          </w:tcPr>
          <w:p w14:paraId="7EE42454" w14:textId="77777777" w:rsidR="00EB3CC9" w:rsidRPr="00EB3CC9" w:rsidRDefault="00EB3CC9" w:rsidP="00EB3CC9">
            <w:pPr>
              <w:spacing w:before="0" w:after="0" w:line="240" w:lineRule="auto"/>
              <w:rPr>
                <w:color w:val="FF0000"/>
                <w:sz w:val="18"/>
                <w:szCs w:val="18"/>
              </w:rPr>
            </w:pPr>
            <w:r w:rsidRPr="00EB3CC9">
              <w:rPr>
                <w:rFonts w:eastAsia="Times New Roman"/>
                <w:iCs/>
                <w:sz w:val="18"/>
                <w:szCs w:val="18"/>
              </w:rPr>
              <w:t>*</w:t>
            </w:r>
          </w:p>
        </w:tc>
      </w:tr>
      <w:tr w:rsidR="00EB3CC9" w:rsidRPr="006F3534" w14:paraId="440A29A9" w14:textId="77777777" w:rsidTr="001A0FD2">
        <w:tc>
          <w:tcPr>
            <w:tcW w:w="5740" w:type="dxa"/>
          </w:tcPr>
          <w:p w14:paraId="2D2F7237" w14:textId="77777777" w:rsidR="00EB3CC9" w:rsidRPr="00EB3CC9" w:rsidRDefault="00EB3CC9" w:rsidP="00EB3CC9">
            <w:pPr>
              <w:spacing w:before="0" w:after="0" w:line="240" w:lineRule="auto"/>
              <w:rPr>
                <w:rFonts w:eastAsia="Times New Roman"/>
                <w:iCs/>
                <w:sz w:val="18"/>
                <w:szCs w:val="18"/>
              </w:rPr>
            </w:pPr>
            <w:r w:rsidRPr="00EB3CC9">
              <w:rPr>
                <w:rFonts w:eastAsia="Times New Roman"/>
                <w:iCs/>
                <w:sz w:val="18"/>
                <w:szCs w:val="18"/>
              </w:rPr>
              <w:t>16. Number of women trained or mentored and engaged by Papua New Guinea in positions to influence decision-making, including through candidacy in elections and at the local government level</w:t>
            </w:r>
          </w:p>
        </w:tc>
        <w:tc>
          <w:tcPr>
            <w:tcW w:w="3191" w:type="dxa"/>
            <w:vAlign w:val="center"/>
          </w:tcPr>
          <w:p w14:paraId="103D602E" w14:textId="77777777" w:rsidR="00EB3CC9" w:rsidRPr="00EB3CC9" w:rsidRDefault="00EB3CC9" w:rsidP="00EB3CC9">
            <w:pPr>
              <w:spacing w:before="0" w:after="0" w:line="240" w:lineRule="auto"/>
              <w:rPr>
                <w:sz w:val="18"/>
                <w:szCs w:val="18"/>
              </w:rPr>
            </w:pPr>
            <w:r w:rsidRPr="00EB3CC9">
              <w:rPr>
                <w:rFonts w:eastAsia="Times New Roman"/>
                <w:iCs/>
                <w:sz w:val="18"/>
                <w:szCs w:val="18"/>
              </w:rPr>
              <w:t>378</w:t>
            </w:r>
          </w:p>
        </w:tc>
        <w:tc>
          <w:tcPr>
            <w:tcW w:w="3067" w:type="dxa"/>
            <w:vAlign w:val="center"/>
          </w:tcPr>
          <w:p w14:paraId="1D9F8108" w14:textId="77777777" w:rsidR="00EB3CC9" w:rsidRPr="00CE5DD5" w:rsidRDefault="004C7A8A" w:rsidP="00EB3CC9">
            <w:pPr>
              <w:spacing w:before="0" w:after="0" w:line="240" w:lineRule="auto"/>
              <w:rPr>
                <w:rFonts w:eastAsia="Times New Roman"/>
                <w:iCs/>
                <w:sz w:val="18"/>
                <w:szCs w:val="18"/>
              </w:rPr>
            </w:pPr>
            <w:r w:rsidRPr="00877A6B">
              <w:rPr>
                <w:rFonts w:eastAsia="Times New Roman"/>
                <w:iCs/>
                <w:sz w:val="18"/>
                <w:szCs w:val="18"/>
              </w:rPr>
              <w:t>623</w:t>
            </w:r>
          </w:p>
        </w:tc>
        <w:tc>
          <w:tcPr>
            <w:tcW w:w="3129" w:type="dxa"/>
            <w:vAlign w:val="center"/>
          </w:tcPr>
          <w:p w14:paraId="0B25CBDA" w14:textId="77777777" w:rsidR="00EB3CC9" w:rsidRPr="00EB3CC9" w:rsidRDefault="00EB3CC9" w:rsidP="00EB3CC9">
            <w:pPr>
              <w:spacing w:before="0" w:after="0" w:line="240" w:lineRule="auto"/>
              <w:rPr>
                <w:sz w:val="18"/>
                <w:szCs w:val="18"/>
              </w:rPr>
            </w:pPr>
            <w:r w:rsidRPr="00EB3CC9">
              <w:rPr>
                <w:rFonts w:eastAsia="Times New Roman"/>
                <w:iCs/>
                <w:sz w:val="18"/>
                <w:szCs w:val="18"/>
              </w:rPr>
              <w:t>60</w:t>
            </w:r>
            <w:r w:rsidRPr="00EB3CC9">
              <w:rPr>
                <w:rStyle w:val="FootnoteReference"/>
                <w:rFonts w:eastAsia="Times New Roman"/>
                <w:iCs/>
                <w:sz w:val="18"/>
                <w:szCs w:val="18"/>
              </w:rPr>
              <w:footnoteReference w:id="9"/>
            </w:r>
          </w:p>
        </w:tc>
      </w:tr>
      <w:tr w:rsidR="00EB3CC9" w:rsidRPr="006F3534" w14:paraId="5F558E45" w14:textId="77777777" w:rsidTr="001A0FD2">
        <w:tc>
          <w:tcPr>
            <w:tcW w:w="5740" w:type="dxa"/>
          </w:tcPr>
          <w:p w14:paraId="54ED0C77" w14:textId="77777777" w:rsidR="00EB3CC9" w:rsidRPr="00EB3CC9" w:rsidRDefault="00EB3CC9" w:rsidP="00EB3CC9">
            <w:pPr>
              <w:spacing w:before="0" w:after="0" w:line="240" w:lineRule="auto"/>
              <w:rPr>
                <w:rFonts w:eastAsia="Times New Roman"/>
                <w:iCs/>
                <w:sz w:val="18"/>
                <w:szCs w:val="18"/>
              </w:rPr>
            </w:pPr>
            <w:r w:rsidRPr="00EB3CC9">
              <w:rPr>
                <w:rFonts w:eastAsia="Times New Roman"/>
                <w:iCs/>
                <w:sz w:val="18"/>
                <w:szCs w:val="18"/>
              </w:rPr>
              <w:t xml:space="preserve">17. Aid effectiveness - </w:t>
            </w:r>
            <w:r w:rsidRPr="00EB3CC9">
              <w:rPr>
                <w:sz w:val="18"/>
                <w:szCs w:val="18"/>
              </w:rPr>
              <w:t>DFAT delivers effective programs in Papua New Guinea</w:t>
            </w:r>
          </w:p>
        </w:tc>
        <w:tc>
          <w:tcPr>
            <w:tcW w:w="3191" w:type="dxa"/>
            <w:vAlign w:val="center"/>
          </w:tcPr>
          <w:p w14:paraId="2504036E" w14:textId="77777777" w:rsidR="00EB3CC9" w:rsidRPr="00EB3CC9" w:rsidRDefault="00EB3CC9" w:rsidP="00EB3CC9">
            <w:pPr>
              <w:keepLines/>
              <w:spacing w:before="0" w:after="0" w:line="240" w:lineRule="auto"/>
              <w:rPr>
                <w:rFonts w:eastAsia="Times New Roman"/>
                <w:iCs/>
                <w:sz w:val="18"/>
                <w:szCs w:val="18"/>
              </w:rPr>
            </w:pPr>
            <w:r w:rsidRPr="00EB3CC9">
              <w:rPr>
                <w:rFonts w:eastAsia="Times New Roman"/>
                <w:iCs/>
                <w:sz w:val="18"/>
                <w:szCs w:val="18"/>
              </w:rPr>
              <w:t>Development of the Performance Assessment Framework for the Aid Investment Plan 2015-2019.</w:t>
            </w:r>
          </w:p>
        </w:tc>
        <w:tc>
          <w:tcPr>
            <w:tcW w:w="3067" w:type="dxa"/>
            <w:vAlign w:val="center"/>
          </w:tcPr>
          <w:p w14:paraId="26045067" w14:textId="77777777" w:rsidR="00EB3CC9" w:rsidRPr="00EB3CC9" w:rsidRDefault="00EB3CC9" w:rsidP="00EB3CC9">
            <w:pPr>
              <w:keepLines/>
              <w:spacing w:before="0" w:after="0" w:line="240" w:lineRule="auto"/>
              <w:rPr>
                <w:rFonts w:eastAsia="Times New Roman"/>
                <w:iCs/>
                <w:sz w:val="18"/>
                <w:szCs w:val="18"/>
              </w:rPr>
            </w:pPr>
            <w:r w:rsidRPr="00CE5DD5">
              <w:rPr>
                <w:rFonts w:eastAsia="Times New Roman"/>
                <w:iCs/>
                <w:sz w:val="18"/>
                <w:szCs w:val="18"/>
              </w:rPr>
              <w:t>Planning underway for new Aid Investment Plan and accompanying PAF</w:t>
            </w:r>
          </w:p>
        </w:tc>
        <w:tc>
          <w:tcPr>
            <w:tcW w:w="3129" w:type="dxa"/>
            <w:vAlign w:val="center"/>
          </w:tcPr>
          <w:p w14:paraId="0E8D572A" w14:textId="77777777" w:rsidR="00EB3CC9" w:rsidRPr="00EB3CC9" w:rsidRDefault="00EB3CC9" w:rsidP="00EB3CC9">
            <w:pPr>
              <w:keepLines/>
              <w:spacing w:before="0" w:after="0" w:line="240" w:lineRule="auto"/>
              <w:rPr>
                <w:rFonts w:eastAsia="Times New Roman"/>
                <w:iCs/>
                <w:sz w:val="18"/>
                <w:szCs w:val="18"/>
              </w:rPr>
            </w:pPr>
            <w:r w:rsidRPr="00EB3CC9">
              <w:rPr>
                <w:rFonts w:eastAsia="Times New Roman"/>
                <w:iCs/>
                <w:sz w:val="18"/>
                <w:szCs w:val="18"/>
              </w:rPr>
              <w:t>New Aid Investment Plan and Performance Assessment Framework agreed.</w:t>
            </w:r>
          </w:p>
        </w:tc>
      </w:tr>
      <w:tr w:rsidR="00192982" w:rsidRPr="006F3534" w14:paraId="59B8C436" w14:textId="77777777" w:rsidTr="001A0FD2">
        <w:tc>
          <w:tcPr>
            <w:tcW w:w="15127" w:type="dxa"/>
            <w:gridSpan w:val="4"/>
            <w:shd w:val="clear" w:color="auto" w:fill="ADDEC1" w:themeFill="accent6" w:themeFillTint="66"/>
            <w:vAlign w:val="center"/>
          </w:tcPr>
          <w:p w14:paraId="703FC6C1" w14:textId="77777777" w:rsidR="00192982" w:rsidRPr="006F3534" w:rsidRDefault="00192982" w:rsidP="001A0FD2">
            <w:pPr>
              <w:spacing w:before="0" w:after="0" w:line="240" w:lineRule="auto"/>
              <w:rPr>
                <w:sz w:val="18"/>
                <w:szCs w:val="18"/>
              </w:rPr>
            </w:pPr>
            <w:r w:rsidRPr="006F3534">
              <w:rPr>
                <w:sz w:val="20"/>
              </w:rPr>
              <w:t>Shared Development Objective to 2017–18:</w:t>
            </w:r>
            <w:r w:rsidR="00FF4BD9">
              <w:rPr>
                <w:sz w:val="20"/>
              </w:rPr>
              <w:t xml:space="preserve"> </w:t>
            </w:r>
            <w:r w:rsidRPr="006F3534">
              <w:rPr>
                <w:sz w:val="20"/>
              </w:rPr>
              <w:t>Economic and strategic partnership that contributes to sustained and inclusive economic growth in Papua New Guinea</w:t>
            </w:r>
            <w:r w:rsidRPr="006F3534">
              <w:rPr>
                <w:rFonts w:eastAsia="Times New Roman"/>
                <w:iCs/>
                <w:sz w:val="20"/>
                <w:szCs w:val="17"/>
              </w:rPr>
              <w:t xml:space="preserve"> Broader Partnership Indicators*</w:t>
            </w:r>
          </w:p>
        </w:tc>
      </w:tr>
      <w:tr w:rsidR="00192982" w:rsidRPr="006F3534" w14:paraId="63E8D0BC" w14:textId="77777777" w:rsidTr="001A0FD2">
        <w:tc>
          <w:tcPr>
            <w:tcW w:w="5740" w:type="dxa"/>
          </w:tcPr>
          <w:p w14:paraId="204C2D40" w14:textId="77777777" w:rsidR="00192982" w:rsidRPr="006F3534" w:rsidRDefault="00192982" w:rsidP="00192982">
            <w:pPr>
              <w:rPr>
                <w:sz w:val="18"/>
              </w:rPr>
            </w:pPr>
            <w:r>
              <w:rPr>
                <w:sz w:val="18"/>
              </w:rPr>
              <w:t xml:space="preserve">18. </w:t>
            </w:r>
            <w:r w:rsidRPr="006F3534">
              <w:rPr>
                <w:sz w:val="18"/>
              </w:rPr>
              <w:t>Number of women and men travelling between Australia and Papua New Guinea (by class of visa)</w:t>
            </w:r>
          </w:p>
        </w:tc>
        <w:tc>
          <w:tcPr>
            <w:tcW w:w="3191" w:type="dxa"/>
            <w:vAlign w:val="center"/>
          </w:tcPr>
          <w:p w14:paraId="2570BDBA" w14:textId="77777777" w:rsidR="00192982" w:rsidRPr="00AE5A6A" w:rsidRDefault="00192982" w:rsidP="00192982">
            <w:pPr>
              <w:spacing w:before="0" w:after="0" w:line="240" w:lineRule="auto"/>
              <w:rPr>
                <w:rFonts w:eastAsia="Times New Roman"/>
                <w:iCs/>
                <w:sz w:val="18"/>
                <w:szCs w:val="18"/>
              </w:rPr>
            </w:pPr>
            <w:r w:rsidRPr="00AE5A6A">
              <w:rPr>
                <w:rFonts w:eastAsia="Times New Roman"/>
                <w:iCs/>
                <w:sz w:val="18"/>
                <w:szCs w:val="18"/>
              </w:rPr>
              <w:t>52,000 Papua New Guinean arrivals in Australia (short term movements), 2016</w:t>
            </w:r>
          </w:p>
          <w:p w14:paraId="712B5B5D" w14:textId="77777777" w:rsidR="00192982" w:rsidRPr="006F3534" w:rsidRDefault="00192982" w:rsidP="00192982">
            <w:pPr>
              <w:spacing w:before="0" w:after="0" w:line="240" w:lineRule="auto"/>
              <w:rPr>
                <w:rFonts w:eastAsia="Times New Roman"/>
                <w:iCs/>
                <w:sz w:val="18"/>
                <w:szCs w:val="18"/>
              </w:rPr>
            </w:pPr>
            <w:r w:rsidRPr="00AE5A6A">
              <w:rPr>
                <w:rFonts w:eastAsia="Times New Roman"/>
                <w:iCs/>
                <w:sz w:val="18"/>
                <w:szCs w:val="18"/>
              </w:rPr>
              <w:t>102,400 Australian departures for Papua New Guinea (short term movements), 2016</w:t>
            </w:r>
          </w:p>
        </w:tc>
        <w:tc>
          <w:tcPr>
            <w:tcW w:w="3067" w:type="dxa"/>
            <w:vAlign w:val="center"/>
          </w:tcPr>
          <w:p w14:paraId="275CF3FA" w14:textId="77777777" w:rsidR="00D55FC4" w:rsidRPr="00AE5A6A" w:rsidRDefault="00D55FC4" w:rsidP="00D55FC4">
            <w:pPr>
              <w:spacing w:before="0" w:after="0" w:line="240" w:lineRule="auto"/>
              <w:rPr>
                <w:rFonts w:eastAsia="Times New Roman"/>
                <w:iCs/>
                <w:sz w:val="18"/>
                <w:szCs w:val="18"/>
              </w:rPr>
            </w:pPr>
            <w:r w:rsidRPr="00D55FC4">
              <w:rPr>
                <w:rFonts w:eastAsia="Times New Roman"/>
                <w:iCs/>
                <w:sz w:val="18"/>
                <w:szCs w:val="18"/>
              </w:rPr>
              <w:t xml:space="preserve">40,368 </w:t>
            </w:r>
            <w:r w:rsidRPr="00AE5A6A">
              <w:rPr>
                <w:rFonts w:eastAsia="Times New Roman"/>
                <w:iCs/>
                <w:sz w:val="18"/>
                <w:szCs w:val="18"/>
              </w:rPr>
              <w:t>Papua New Guinean arrivals in Austra</w:t>
            </w:r>
            <w:r w:rsidR="0026524A">
              <w:rPr>
                <w:rFonts w:eastAsia="Times New Roman"/>
                <w:iCs/>
                <w:sz w:val="18"/>
                <w:szCs w:val="18"/>
              </w:rPr>
              <w:t>lia (short term movements)</w:t>
            </w:r>
          </w:p>
          <w:p w14:paraId="34087498" w14:textId="77777777" w:rsidR="00192982" w:rsidRPr="006F3534" w:rsidRDefault="00D55FC4" w:rsidP="00D55FC4">
            <w:pPr>
              <w:spacing w:before="0" w:after="0" w:line="240" w:lineRule="auto"/>
              <w:rPr>
                <w:rFonts w:eastAsia="Times New Roman"/>
                <w:iCs/>
                <w:sz w:val="18"/>
                <w:szCs w:val="18"/>
              </w:rPr>
            </w:pPr>
            <w:r w:rsidRPr="00D55FC4">
              <w:rPr>
                <w:rFonts w:eastAsia="Times New Roman"/>
                <w:iCs/>
                <w:sz w:val="18"/>
                <w:szCs w:val="18"/>
              </w:rPr>
              <w:t xml:space="preserve">76,095 </w:t>
            </w:r>
            <w:r w:rsidRPr="00AE5A6A">
              <w:rPr>
                <w:rFonts w:eastAsia="Times New Roman"/>
                <w:iCs/>
                <w:sz w:val="18"/>
                <w:szCs w:val="18"/>
              </w:rPr>
              <w:t>Australian departures for Papua New Gui</w:t>
            </w:r>
            <w:r w:rsidR="0026524A">
              <w:rPr>
                <w:rFonts w:eastAsia="Times New Roman"/>
                <w:iCs/>
                <w:sz w:val="18"/>
                <w:szCs w:val="18"/>
              </w:rPr>
              <w:t>nea (short term movements)</w:t>
            </w:r>
          </w:p>
        </w:tc>
        <w:tc>
          <w:tcPr>
            <w:tcW w:w="3129" w:type="dxa"/>
            <w:shd w:val="clear" w:color="auto" w:fill="BFBFBF" w:themeFill="background1" w:themeFillShade="BF"/>
            <w:vAlign w:val="center"/>
          </w:tcPr>
          <w:p w14:paraId="436DBC97" w14:textId="77777777" w:rsidR="00192982" w:rsidRPr="006F3534" w:rsidRDefault="00192982" w:rsidP="00192982">
            <w:pPr>
              <w:spacing w:before="0" w:after="0" w:line="240" w:lineRule="auto"/>
              <w:rPr>
                <w:sz w:val="18"/>
                <w:szCs w:val="18"/>
              </w:rPr>
            </w:pPr>
          </w:p>
        </w:tc>
      </w:tr>
      <w:tr w:rsidR="00192982" w:rsidRPr="006F3534" w14:paraId="60900F4C" w14:textId="77777777" w:rsidTr="001A0FD2">
        <w:tc>
          <w:tcPr>
            <w:tcW w:w="5740" w:type="dxa"/>
          </w:tcPr>
          <w:p w14:paraId="759C9B01" w14:textId="77777777" w:rsidR="00192982" w:rsidRPr="006F3534" w:rsidRDefault="00192982" w:rsidP="00192982">
            <w:pPr>
              <w:rPr>
                <w:sz w:val="18"/>
              </w:rPr>
            </w:pPr>
            <w:r>
              <w:rPr>
                <w:sz w:val="18"/>
              </w:rPr>
              <w:t xml:space="preserve">19. </w:t>
            </w:r>
            <w:r w:rsidRPr="006F3534">
              <w:rPr>
                <w:sz w:val="18"/>
              </w:rPr>
              <w:t>Number of women and men Australian tourists travelling to Papua New Guinea</w:t>
            </w:r>
          </w:p>
        </w:tc>
        <w:tc>
          <w:tcPr>
            <w:tcW w:w="3191" w:type="dxa"/>
            <w:vAlign w:val="center"/>
          </w:tcPr>
          <w:p w14:paraId="13F365FC" w14:textId="77777777" w:rsidR="00192982" w:rsidRPr="006F3534" w:rsidRDefault="00192982" w:rsidP="00192982">
            <w:pPr>
              <w:spacing w:before="0" w:after="0" w:line="240" w:lineRule="auto"/>
              <w:rPr>
                <w:rFonts w:eastAsia="Times New Roman"/>
                <w:iCs/>
                <w:sz w:val="18"/>
                <w:szCs w:val="18"/>
              </w:rPr>
            </w:pPr>
            <w:r w:rsidRPr="006F3534">
              <w:rPr>
                <w:rFonts w:eastAsia="Times New Roman"/>
                <w:iCs/>
                <w:sz w:val="18"/>
                <w:szCs w:val="18"/>
              </w:rPr>
              <w:t>24,677 Australian visitors (holiday) to Papua New Guinea in 2016</w:t>
            </w:r>
          </w:p>
        </w:tc>
        <w:tc>
          <w:tcPr>
            <w:tcW w:w="3067" w:type="dxa"/>
            <w:vAlign w:val="center"/>
          </w:tcPr>
          <w:p w14:paraId="7B9C2852" w14:textId="77777777" w:rsidR="00192982" w:rsidRPr="006F3534" w:rsidRDefault="00BF7DA2" w:rsidP="00192982">
            <w:pPr>
              <w:keepLines/>
              <w:spacing w:before="0" w:after="0" w:line="240" w:lineRule="auto"/>
              <w:rPr>
                <w:rFonts w:eastAsia="Times New Roman"/>
                <w:iCs/>
                <w:sz w:val="18"/>
                <w:szCs w:val="18"/>
              </w:rPr>
            </w:pPr>
            <w:r w:rsidRPr="00BF7DA2">
              <w:rPr>
                <w:rFonts w:eastAsia="Times New Roman"/>
                <w:iCs/>
                <w:sz w:val="18"/>
                <w:szCs w:val="18"/>
              </w:rPr>
              <w:t>Figure unavailable at time of reporting</w:t>
            </w:r>
          </w:p>
        </w:tc>
        <w:tc>
          <w:tcPr>
            <w:tcW w:w="3129" w:type="dxa"/>
            <w:shd w:val="clear" w:color="auto" w:fill="BFBFBF" w:themeFill="background1" w:themeFillShade="BF"/>
            <w:vAlign w:val="center"/>
          </w:tcPr>
          <w:p w14:paraId="30C3BF56" w14:textId="77777777" w:rsidR="00192982" w:rsidRPr="006F3534" w:rsidRDefault="00192982" w:rsidP="00192982">
            <w:pPr>
              <w:spacing w:before="0" w:after="0" w:line="240" w:lineRule="auto"/>
              <w:rPr>
                <w:sz w:val="18"/>
                <w:szCs w:val="18"/>
              </w:rPr>
            </w:pPr>
          </w:p>
        </w:tc>
      </w:tr>
      <w:tr w:rsidR="00192982" w:rsidRPr="006F3534" w14:paraId="64248967" w14:textId="77777777" w:rsidTr="001A0FD2">
        <w:tc>
          <w:tcPr>
            <w:tcW w:w="5740" w:type="dxa"/>
          </w:tcPr>
          <w:p w14:paraId="11A7B446" w14:textId="77777777" w:rsidR="00192982" w:rsidRPr="006F3534" w:rsidRDefault="00192982" w:rsidP="00192982">
            <w:pPr>
              <w:rPr>
                <w:sz w:val="18"/>
              </w:rPr>
            </w:pPr>
            <w:r>
              <w:rPr>
                <w:sz w:val="18"/>
              </w:rPr>
              <w:t xml:space="preserve">20. </w:t>
            </w:r>
            <w:r w:rsidRPr="006F3534">
              <w:rPr>
                <w:sz w:val="18"/>
              </w:rPr>
              <w:t>Value of trade between Australia and Papua New Guinea (as goods, services)</w:t>
            </w:r>
          </w:p>
        </w:tc>
        <w:tc>
          <w:tcPr>
            <w:tcW w:w="3191" w:type="dxa"/>
            <w:vAlign w:val="center"/>
          </w:tcPr>
          <w:p w14:paraId="69BB96DA" w14:textId="77777777" w:rsidR="00192982" w:rsidRPr="006F3534" w:rsidRDefault="00192982" w:rsidP="00192982">
            <w:pPr>
              <w:spacing w:before="0" w:after="0" w:line="240" w:lineRule="auto"/>
              <w:rPr>
                <w:rFonts w:eastAsia="Times New Roman"/>
                <w:iCs/>
                <w:sz w:val="18"/>
                <w:szCs w:val="18"/>
              </w:rPr>
            </w:pPr>
            <w:r w:rsidRPr="006F3534">
              <w:rPr>
                <w:rFonts w:eastAsia="Times New Roman"/>
                <w:iCs/>
                <w:sz w:val="18"/>
                <w:szCs w:val="18"/>
              </w:rPr>
              <w:t>$5.3 billion in 2016</w:t>
            </w:r>
          </w:p>
        </w:tc>
        <w:tc>
          <w:tcPr>
            <w:tcW w:w="3067" w:type="dxa"/>
            <w:vAlign w:val="center"/>
          </w:tcPr>
          <w:p w14:paraId="5C971697" w14:textId="77777777" w:rsidR="00192982" w:rsidRPr="006F3534" w:rsidRDefault="00192982" w:rsidP="00192982">
            <w:pPr>
              <w:keepLines/>
              <w:spacing w:before="0" w:after="0" w:line="240" w:lineRule="auto"/>
              <w:rPr>
                <w:rFonts w:eastAsia="Times New Roman"/>
                <w:iCs/>
                <w:sz w:val="18"/>
                <w:szCs w:val="18"/>
              </w:rPr>
            </w:pPr>
            <w:r>
              <w:rPr>
                <w:rFonts w:eastAsia="Times New Roman"/>
                <w:iCs/>
                <w:sz w:val="18"/>
                <w:szCs w:val="18"/>
              </w:rPr>
              <w:t>$5.9 billion in 2017</w:t>
            </w:r>
          </w:p>
        </w:tc>
        <w:tc>
          <w:tcPr>
            <w:tcW w:w="3129" w:type="dxa"/>
            <w:shd w:val="clear" w:color="auto" w:fill="BFBFBF" w:themeFill="background1" w:themeFillShade="BF"/>
            <w:vAlign w:val="center"/>
          </w:tcPr>
          <w:p w14:paraId="2B4A8030" w14:textId="77777777" w:rsidR="00192982" w:rsidRPr="006F3534" w:rsidRDefault="00192982" w:rsidP="00192982">
            <w:pPr>
              <w:spacing w:before="0" w:after="0" w:line="240" w:lineRule="auto"/>
              <w:rPr>
                <w:sz w:val="18"/>
                <w:szCs w:val="18"/>
              </w:rPr>
            </w:pPr>
          </w:p>
        </w:tc>
      </w:tr>
      <w:tr w:rsidR="00192982" w:rsidRPr="006F3534" w14:paraId="08C160F3" w14:textId="77777777" w:rsidTr="001A0FD2">
        <w:tc>
          <w:tcPr>
            <w:tcW w:w="5740" w:type="dxa"/>
          </w:tcPr>
          <w:p w14:paraId="68B817B2" w14:textId="77777777" w:rsidR="00192982" w:rsidRPr="006F3534" w:rsidRDefault="00192982" w:rsidP="00192982">
            <w:pPr>
              <w:rPr>
                <w:sz w:val="18"/>
              </w:rPr>
            </w:pPr>
            <w:r>
              <w:rPr>
                <w:sz w:val="18"/>
              </w:rPr>
              <w:t xml:space="preserve">21. </w:t>
            </w:r>
            <w:r w:rsidRPr="006F3534">
              <w:rPr>
                <w:sz w:val="18"/>
              </w:rPr>
              <w:t>Number of Australian companies doing business in Papua New Guinea, and number of transactions</w:t>
            </w:r>
          </w:p>
        </w:tc>
        <w:tc>
          <w:tcPr>
            <w:tcW w:w="3191" w:type="dxa"/>
            <w:vAlign w:val="center"/>
          </w:tcPr>
          <w:p w14:paraId="7971FB5A" w14:textId="77777777" w:rsidR="00192982" w:rsidRPr="006F3534" w:rsidRDefault="00192982" w:rsidP="00192982">
            <w:pPr>
              <w:spacing w:before="0" w:after="0" w:line="240" w:lineRule="auto"/>
              <w:rPr>
                <w:rFonts w:eastAsia="Times New Roman"/>
                <w:iCs/>
                <w:sz w:val="18"/>
                <w:szCs w:val="18"/>
              </w:rPr>
            </w:pPr>
            <w:r w:rsidRPr="006F3534">
              <w:rPr>
                <w:rFonts w:eastAsia="Times New Roman"/>
                <w:iCs/>
                <w:sz w:val="18"/>
                <w:szCs w:val="18"/>
              </w:rPr>
              <w:t>4,605 exporters making 159,079 transactions</w:t>
            </w:r>
          </w:p>
        </w:tc>
        <w:tc>
          <w:tcPr>
            <w:tcW w:w="3067" w:type="dxa"/>
            <w:vAlign w:val="center"/>
          </w:tcPr>
          <w:p w14:paraId="24C496EB" w14:textId="77777777" w:rsidR="00192982" w:rsidRPr="006F3534" w:rsidRDefault="00183E0B" w:rsidP="00183E0B">
            <w:pPr>
              <w:keepLines/>
              <w:spacing w:before="0" w:after="0" w:line="240" w:lineRule="auto"/>
              <w:rPr>
                <w:rFonts w:eastAsia="Times New Roman"/>
                <w:iCs/>
                <w:sz w:val="18"/>
                <w:szCs w:val="18"/>
              </w:rPr>
            </w:pPr>
            <w:r w:rsidRPr="00183E0B">
              <w:rPr>
                <w:rFonts w:eastAsia="Times New Roman"/>
                <w:iCs/>
                <w:sz w:val="18"/>
                <w:szCs w:val="18"/>
              </w:rPr>
              <w:t>4,466 exporters making 158,148 transactions</w:t>
            </w:r>
          </w:p>
        </w:tc>
        <w:tc>
          <w:tcPr>
            <w:tcW w:w="3129" w:type="dxa"/>
            <w:shd w:val="clear" w:color="auto" w:fill="BFBFBF" w:themeFill="background1" w:themeFillShade="BF"/>
            <w:vAlign w:val="center"/>
          </w:tcPr>
          <w:p w14:paraId="24DE8C84" w14:textId="77777777" w:rsidR="00192982" w:rsidRPr="006F3534" w:rsidRDefault="00192982" w:rsidP="00192982">
            <w:pPr>
              <w:spacing w:before="0" w:after="0" w:line="240" w:lineRule="auto"/>
              <w:rPr>
                <w:sz w:val="18"/>
                <w:szCs w:val="18"/>
              </w:rPr>
            </w:pPr>
          </w:p>
        </w:tc>
      </w:tr>
      <w:tr w:rsidR="00192982" w:rsidRPr="006F3534" w14:paraId="3A0DDEF6" w14:textId="77777777" w:rsidTr="001A0FD2">
        <w:tc>
          <w:tcPr>
            <w:tcW w:w="5740" w:type="dxa"/>
          </w:tcPr>
          <w:p w14:paraId="7DB0F834" w14:textId="77777777" w:rsidR="00192982" w:rsidRPr="006F3534" w:rsidRDefault="00192982" w:rsidP="00192982">
            <w:pPr>
              <w:rPr>
                <w:sz w:val="18"/>
              </w:rPr>
            </w:pPr>
            <w:r>
              <w:rPr>
                <w:sz w:val="18"/>
              </w:rPr>
              <w:lastRenderedPageBreak/>
              <w:t xml:space="preserve">22. </w:t>
            </w:r>
            <w:r w:rsidRPr="006F3534">
              <w:rPr>
                <w:sz w:val="18"/>
              </w:rPr>
              <w:t>Foreign Investment Stock</w:t>
            </w:r>
          </w:p>
        </w:tc>
        <w:tc>
          <w:tcPr>
            <w:tcW w:w="3191" w:type="dxa"/>
            <w:vAlign w:val="center"/>
          </w:tcPr>
          <w:p w14:paraId="092EF05C" w14:textId="77777777" w:rsidR="00192982" w:rsidRPr="006F3534" w:rsidRDefault="00192982" w:rsidP="00192982">
            <w:pPr>
              <w:spacing w:before="0" w:after="0" w:line="240" w:lineRule="auto"/>
              <w:rPr>
                <w:rFonts w:eastAsia="Times New Roman"/>
                <w:iCs/>
                <w:sz w:val="18"/>
                <w:szCs w:val="18"/>
              </w:rPr>
            </w:pPr>
            <w:r w:rsidRPr="006F3534">
              <w:rPr>
                <w:rFonts w:eastAsia="Times New Roman"/>
                <w:iCs/>
                <w:sz w:val="18"/>
                <w:szCs w:val="18"/>
              </w:rPr>
              <w:t>$18 billion in 2016</w:t>
            </w:r>
          </w:p>
        </w:tc>
        <w:tc>
          <w:tcPr>
            <w:tcW w:w="3067" w:type="dxa"/>
            <w:vAlign w:val="center"/>
          </w:tcPr>
          <w:p w14:paraId="68C7AA7F" w14:textId="77777777" w:rsidR="00192982" w:rsidRPr="006F3534" w:rsidRDefault="00192982" w:rsidP="00192982">
            <w:pPr>
              <w:keepLines/>
              <w:spacing w:before="0" w:after="0" w:line="240" w:lineRule="auto"/>
              <w:rPr>
                <w:rFonts w:eastAsia="Times New Roman"/>
                <w:iCs/>
                <w:sz w:val="18"/>
                <w:szCs w:val="18"/>
              </w:rPr>
            </w:pPr>
            <w:r>
              <w:rPr>
                <w:rFonts w:eastAsia="Times New Roman"/>
                <w:iCs/>
                <w:sz w:val="18"/>
                <w:szCs w:val="18"/>
              </w:rPr>
              <w:t>$16.3 billion in 2017</w:t>
            </w:r>
          </w:p>
        </w:tc>
        <w:tc>
          <w:tcPr>
            <w:tcW w:w="3129" w:type="dxa"/>
            <w:shd w:val="clear" w:color="auto" w:fill="BFBFBF" w:themeFill="background1" w:themeFillShade="BF"/>
            <w:vAlign w:val="center"/>
          </w:tcPr>
          <w:p w14:paraId="4EE4C95D" w14:textId="77777777" w:rsidR="00192982" w:rsidRPr="006F3534" w:rsidRDefault="00192982" w:rsidP="00192982">
            <w:pPr>
              <w:spacing w:before="0" w:after="0" w:line="240" w:lineRule="auto"/>
              <w:rPr>
                <w:sz w:val="18"/>
                <w:szCs w:val="18"/>
              </w:rPr>
            </w:pPr>
          </w:p>
        </w:tc>
      </w:tr>
      <w:tr w:rsidR="00192982" w:rsidRPr="006F3534" w14:paraId="77B6B8BB" w14:textId="77777777" w:rsidTr="001A0FD2">
        <w:tc>
          <w:tcPr>
            <w:tcW w:w="5740" w:type="dxa"/>
          </w:tcPr>
          <w:p w14:paraId="412F459B" w14:textId="77777777" w:rsidR="00192982" w:rsidRPr="006F3534" w:rsidRDefault="00192982" w:rsidP="001A0FD2">
            <w:pPr>
              <w:rPr>
                <w:sz w:val="18"/>
              </w:rPr>
            </w:pPr>
            <w:r>
              <w:rPr>
                <w:sz w:val="18"/>
              </w:rPr>
              <w:t xml:space="preserve">23. </w:t>
            </w:r>
            <w:r w:rsidRPr="006F3534">
              <w:rPr>
                <w:sz w:val="18"/>
              </w:rPr>
              <w:t>Number of institutional partnerships</w:t>
            </w:r>
          </w:p>
        </w:tc>
        <w:tc>
          <w:tcPr>
            <w:tcW w:w="3191" w:type="dxa"/>
            <w:vAlign w:val="center"/>
          </w:tcPr>
          <w:p w14:paraId="4D8E14AA" w14:textId="77777777" w:rsidR="00192982" w:rsidRPr="006F3534" w:rsidRDefault="00192982" w:rsidP="001A0FD2">
            <w:pPr>
              <w:spacing w:before="0" w:after="0" w:line="240" w:lineRule="auto"/>
              <w:rPr>
                <w:rFonts w:eastAsia="Times New Roman"/>
                <w:iCs/>
                <w:sz w:val="18"/>
                <w:szCs w:val="18"/>
              </w:rPr>
            </w:pPr>
            <w:r>
              <w:rPr>
                <w:rFonts w:eastAsia="Times New Roman"/>
                <w:iCs/>
                <w:sz w:val="18"/>
                <w:szCs w:val="18"/>
              </w:rPr>
              <w:t>16</w:t>
            </w:r>
          </w:p>
        </w:tc>
        <w:tc>
          <w:tcPr>
            <w:tcW w:w="3067" w:type="dxa"/>
            <w:vAlign w:val="center"/>
          </w:tcPr>
          <w:p w14:paraId="5EBB90ED" w14:textId="77777777" w:rsidR="00192982" w:rsidRPr="006F3534" w:rsidRDefault="009C5F4A" w:rsidP="001A0FD2">
            <w:pPr>
              <w:keepLines/>
              <w:spacing w:before="0" w:after="0" w:line="240" w:lineRule="auto"/>
              <w:rPr>
                <w:rFonts w:eastAsia="Times New Roman"/>
                <w:iCs/>
                <w:sz w:val="18"/>
                <w:szCs w:val="18"/>
              </w:rPr>
            </w:pPr>
            <w:r>
              <w:rPr>
                <w:rFonts w:eastAsia="Times New Roman"/>
                <w:iCs/>
                <w:sz w:val="18"/>
                <w:szCs w:val="18"/>
              </w:rPr>
              <w:t>13</w:t>
            </w:r>
          </w:p>
        </w:tc>
        <w:tc>
          <w:tcPr>
            <w:tcW w:w="3129" w:type="dxa"/>
            <w:shd w:val="clear" w:color="auto" w:fill="BFBFBF" w:themeFill="background1" w:themeFillShade="BF"/>
            <w:vAlign w:val="center"/>
          </w:tcPr>
          <w:p w14:paraId="5CB3C5C3" w14:textId="77777777" w:rsidR="00192982" w:rsidRPr="006F3534" w:rsidRDefault="00192982" w:rsidP="001A0FD2">
            <w:pPr>
              <w:spacing w:before="0" w:after="0" w:line="240" w:lineRule="auto"/>
              <w:rPr>
                <w:sz w:val="18"/>
                <w:szCs w:val="18"/>
              </w:rPr>
            </w:pPr>
          </w:p>
        </w:tc>
      </w:tr>
      <w:tr w:rsidR="00192982" w:rsidRPr="006F3534" w14:paraId="3B750601" w14:textId="77777777" w:rsidTr="001A0FD2">
        <w:tc>
          <w:tcPr>
            <w:tcW w:w="5740" w:type="dxa"/>
          </w:tcPr>
          <w:p w14:paraId="37D9D78B" w14:textId="77777777" w:rsidR="00192982" w:rsidRPr="006F3534" w:rsidRDefault="00192982" w:rsidP="001A0FD2">
            <w:pPr>
              <w:rPr>
                <w:sz w:val="18"/>
              </w:rPr>
            </w:pPr>
            <w:r>
              <w:rPr>
                <w:sz w:val="18"/>
              </w:rPr>
              <w:t xml:space="preserve">24. </w:t>
            </w:r>
            <w:r w:rsidRPr="006F3534">
              <w:rPr>
                <w:sz w:val="18"/>
              </w:rPr>
              <w:t>Number of twinning</w:t>
            </w:r>
            <w:r>
              <w:rPr>
                <w:sz w:val="18"/>
              </w:rPr>
              <w:t>/short term</w:t>
            </w:r>
            <w:r w:rsidRPr="006F3534">
              <w:rPr>
                <w:sz w:val="18"/>
              </w:rPr>
              <w:t xml:space="preserve"> arrangements</w:t>
            </w:r>
          </w:p>
        </w:tc>
        <w:tc>
          <w:tcPr>
            <w:tcW w:w="3191" w:type="dxa"/>
            <w:vAlign w:val="center"/>
          </w:tcPr>
          <w:p w14:paraId="3B2EC1D8" w14:textId="77777777" w:rsidR="00192982" w:rsidRPr="006F3534" w:rsidRDefault="00192982" w:rsidP="001A0FD2">
            <w:pPr>
              <w:spacing w:before="0" w:after="0" w:line="240" w:lineRule="auto"/>
              <w:rPr>
                <w:rFonts w:eastAsia="Times New Roman"/>
                <w:iCs/>
                <w:sz w:val="18"/>
                <w:szCs w:val="18"/>
              </w:rPr>
            </w:pPr>
            <w:r w:rsidRPr="006F3534">
              <w:rPr>
                <w:rFonts w:eastAsia="Times New Roman"/>
                <w:iCs/>
                <w:sz w:val="18"/>
                <w:szCs w:val="18"/>
              </w:rPr>
              <w:t>3</w:t>
            </w:r>
          </w:p>
        </w:tc>
        <w:tc>
          <w:tcPr>
            <w:tcW w:w="3067" w:type="dxa"/>
            <w:vAlign w:val="center"/>
          </w:tcPr>
          <w:p w14:paraId="0BCF46DA" w14:textId="77777777" w:rsidR="00192982" w:rsidRPr="006F3534" w:rsidRDefault="00192982" w:rsidP="001A0FD2">
            <w:pPr>
              <w:keepLines/>
              <w:spacing w:before="0" w:after="0" w:line="240" w:lineRule="auto"/>
              <w:rPr>
                <w:rFonts w:eastAsia="Times New Roman"/>
                <w:iCs/>
                <w:sz w:val="18"/>
                <w:szCs w:val="18"/>
              </w:rPr>
            </w:pPr>
            <w:r>
              <w:rPr>
                <w:rFonts w:eastAsia="Times New Roman"/>
                <w:iCs/>
                <w:sz w:val="18"/>
                <w:szCs w:val="18"/>
              </w:rPr>
              <w:t>5</w:t>
            </w:r>
          </w:p>
        </w:tc>
        <w:tc>
          <w:tcPr>
            <w:tcW w:w="3129" w:type="dxa"/>
            <w:shd w:val="clear" w:color="auto" w:fill="BFBFBF" w:themeFill="background1" w:themeFillShade="BF"/>
            <w:vAlign w:val="center"/>
          </w:tcPr>
          <w:p w14:paraId="29DDC255" w14:textId="77777777" w:rsidR="00192982" w:rsidRPr="006F3534" w:rsidRDefault="00192982" w:rsidP="001A0FD2">
            <w:pPr>
              <w:spacing w:before="0" w:after="0" w:line="240" w:lineRule="auto"/>
              <w:rPr>
                <w:sz w:val="18"/>
                <w:szCs w:val="18"/>
              </w:rPr>
            </w:pPr>
          </w:p>
        </w:tc>
      </w:tr>
    </w:tbl>
    <w:p w14:paraId="13742703" w14:textId="77777777" w:rsidR="00CA7DD8" w:rsidRDefault="00CA7DD8" w:rsidP="00784031">
      <w:pPr>
        <w:sectPr w:rsidR="00CA7DD8" w:rsidSect="00784031">
          <w:pgSz w:w="16838" w:h="11906" w:orient="landscape" w:code="9"/>
          <w:pgMar w:top="1134" w:right="1527" w:bottom="1134" w:left="851" w:header="1418" w:footer="267" w:gutter="0"/>
          <w:cols w:space="397"/>
          <w:docGrid w:linePitch="360"/>
        </w:sectPr>
      </w:pPr>
    </w:p>
    <w:p w14:paraId="6A095EFA" w14:textId="77777777" w:rsidR="00CA7DD8" w:rsidRDefault="00CA7DD8" w:rsidP="00784031"/>
    <w:p w14:paraId="048D8234" w14:textId="77777777" w:rsidR="00BE737D" w:rsidRDefault="00BE737D" w:rsidP="00BE737D">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14:paraId="6A558689" w14:textId="77777777" w:rsidTr="00417A72">
        <w:trPr>
          <w:trHeight w:val="1156"/>
        </w:trPr>
        <w:tc>
          <w:tcPr>
            <w:tcW w:w="1271" w:type="dxa"/>
            <w:shd w:val="clear" w:color="auto" w:fill="D7DEE2" w:themeFill="text2" w:themeFillTint="33"/>
          </w:tcPr>
          <w:p w14:paraId="43C8AF26" w14:textId="77777777" w:rsidR="00BE737D" w:rsidRDefault="00BE737D" w:rsidP="00417A72">
            <w:pPr>
              <w:spacing w:before="80" w:after="80"/>
            </w:pPr>
            <w:r w:rsidRPr="00F75380">
              <w:rPr>
                <w:noProof/>
                <w:lang w:val="en-AU" w:eastAsia="en-AU"/>
              </w:rPr>
              <w:drawing>
                <wp:inline distT="0" distB="0" distL="0" distR="0" wp14:anchorId="54406E9E" wp14:editId="46E0852E">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4F42FBB" w14:textId="77777777" w:rsidR="00BE737D" w:rsidRPr="00AB289B" w:rsidRDefault="00BE737D" w:rsidP="00417A72">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26D7D421" w14:textId="77777777" w:rsidR="00BE737D" w:rsidRDefault="00BE737D" w:rsidP="00417A72"/>
        </w:tc>
        <w:tc>
          <w:tcPr>
            <w:tcW w:w="1276" w:type="dxa"/>
            <w:shd w:val="clear" w:color="auto" w:fill="D7DEE2" w:themeFill="text2" w:themeFillTint="33"/>
          </w:tcPr>
          <w:p w14:paraId="40F1BC7F" w14:textId="77777777" w:rsidR="00BE737D" w:rsidRDefault="00BE737D" w:rsidP="00417A72">
            <w:pPr>
              <w:spacing w:before="80" w:after="80"/>
            </w:pPr>
            <w:r>
              <w:rPr>
                <w:noProof/>
                <w:lang w:val="en-AU" w:eastAsia="en-AU"/>
              </w:rPr>
              <w:drawing>
                <wp:inline distT="0" distB="0" distL="0" distR="0" wp14:anchorId="2E621120" wp14:editId="0337C32F">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4D92B0E" w14:textId="77777777" w:rsidR="00BE737D" w:rsidRPr="00AB289B" w:rsidRDefault="00BE737D" w:rsidP="00417A72">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14:paraId="2FDA111E" w14:textId="77777777" w:rsidTr="00417A72">
        <w:tc>
          <w:tcPr>
            <w:tcW w:w="1271" w:type="dxa"/>
            <w:shd w:val="clear" w:color="auto" w:fill="D7DEE2" w:themeFill="text2" w:themeFillTint="33"/>
          </w:tcPr>
          <w:p w14:paraId="6E17166D" w14:textId="77777777" w:rsidR="00BE737D" w:rsidRDefault="00BE737D" w:rsidP="00417A72">
            <w:pPr>
              <w:spacing w:before="80" w:after="80"/>
            </w:pPr>
            <w:r>
              <w:rPr>
                <w:noProof/>
                <w:lang w:val="en-AU" w:eastAsia="en-AU"/>
              </w:rPr>
              <w:drawing>
                <wp:inline distT="0" distB="0" distL="0" distR="0" wp14:anchorId="0D478B4A" wp14:editId="0CB7459E">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6C43994" w14:textId="77777777" w:rsidR="00BE737D" w:rsidRPr="00AB289B" w:rsidRDefault="00BE737D" w:rsidP="00417A72">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30E19E7C" w14:textId="77777777" w:rsidR="00BE737D" w:rsidRDefault="00BE737D" w:rsidP="00417A72"/>
        </w:tc>
        <w:tc>
          <w:tcPr>
            <w:tcW w:w="1276" w:type="dxa"/>
            <w:shd w:val="clear" w:color="auto" w:fill="D7DEE2" w:themeFill="text2" w:themeFillTint="33"/>
          </w:tcPr>
          <w:p w14:paraId="5A89CBF8" w14:textId="77777777" w:rsidR="00BE737D" w:rsidRDefault="00BE737D" w:rsidP="00417A72">
            <w:pPr>
              <w:spacing w:before="80" w:after="80"/>
            </w:pPr>
            <w:r>
              <w:rPr>
                <w:noProof/>
                <w:lang w:val="en-AU" w:eastAsia="en-AU"/>
              </w:rPr>
              <w:drawing>
                <wp:inline distT="0" distB="0" distL="0" distR="0" wp14:anchorId="6DF67D8D" wp14:editId="243B7FE4">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362C986" w14:textId="77777777" w:rsidR="00BE737D" w:rsidRPr="00AB289B" w:rsidRDefault="00BE737D" w:rsidP="00417A72">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14:paraId="67E1E30E" w14:textId="77777777" w:rsidTr="00417A72">
        <w:tc>
          <w:tcPr>
            <w:tcW w:w="1271" w:type="dxa"/>
            <w:shd w:val="clear" w:color="auto" w:fill="D7DEE2" w:themeFill="text2" w:themeFillTint="33"/>
          </w:tcPr>
          <w:p w14:paraId="5BCF740E" w14:textId="77777777" w:rsidR="00BE737D" w:rsidRDefault="00BE737D" w:rsidP="00417A72">
            <w:pPr>
              <w:spacing w:before="80" w:after="80"/>
            </w:pPr>
            <w:r>
              <w:rPr>
                <w:noProof/>
                <w:lang w:val="en-AU" w:eastAsia="en-AU"/>
              </w:rPr>
              <w:drawing>
                <wp:inline distT="0" distB="0" distL="0" distR="0" wp14:anchorId="19A60F8B" wp14:editId="12AF0670">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40A413DA" w14:textId="77777777" w:rsidR="00BE737D" w:rsidRPr="00AB289B" w:rsidRDefault="00BE737D" w:rsidP="00417A72">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719A7912" w14:textId="77777777" w:rsidR="00BE737D" w:rsidRDefault="00BE737D" w:rsidP="00417A72"/>
        </w:tc>
        <w:tc>
          <w:tcPr>
            <w:tcW w:w="1276" w:type="dxa"/>
            <w:shd w:val="clear" w:color="auto" w:fill="D7DEE2" w:themeFill="text2" w:themeFillTint="33"/>
          </w:tcPr>
          <w:p w14:paraId="4E239070" w14:textId="77777777" w:rsidR="00BE737D" w:rsidRDefault="00BE737D" w:rsidP="00417A72">
            <w:pPr>
              <w:spacing w:before="80" w:after="80"/>
            </w:pPr>
            <w:r>
              <w:rPr>
                <w:noProof/>
                <w:lang w:val="en-AU" w:eastAsia="en-AU"/>
              </w:rPr>
              <w:drawing>
                <wp:inline distT="0" distB="0" distL="0" distR="0" wp14:anchorId="5F96C057" wp14:editId="355DB8A6">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568FDEA" w14:textId="77777777" w:rsidR="00BE737D" w:rsidRPr="00AB289B" w:rsidRDefault="00BE737D" w:rsidP="00417A72">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14:paraId="623267CA" w14:textId="77777777" w:rsidTr="00417A72">
        <w:tc>
          <w:tcPr>
            <w:tcW w:w="1271" w:type="dxa"/>
            <w:shd w:val="clear" w:color="auto" w:fill="D7DEE2" w:themeFill="text2" w:themeFillTint="33"/>
          </w:tcPr>
          <w:p w14:paraId="5FD08340" w14:textId="77777777" w:rsidR="00BE737D" w:rsidRDefault="00BE737D" w:rsidP="00417A72">
            <w:pPr>
              <w:spacing w:before="80" w:after="80"/>
            </w:pPr>
            <w:r>
              <w:rPr>
                <w:noProof/>
                <w:lang w:val="en-AU" w:eastAsia="en-AU"/>
              </w:rPr>
              <w:drawing>
                <wp:inline distT="0" distB="0" distL="0" distR="0" wp14:anchorId="6781997C" wp14:editId="71EA1A70">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D480F0E" w14:textId="77777777" w:rsidR="00BE737D" w:rsidRPr="00AB289B" w:rsidRDefault="00BE737D" w:rsidP="00417A72">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30768000" w14:textId="77777777" w:rsidR="00BE737D" w:rsidRDefault="00BE737D" w:rsidP="00417A72"/>
        </w:tc>
        <w:tc>
          <w:tcPr>
            <w:tcW w:w="1276" w:type="dxa"/>
            <w:shd w:val="clear" w:color="auto" w:fill="D7DEE2" w:themeFill="text2" w:themeFillTint="33"/>
          </w:tcPr>
          <w:p w14:paraId="4D1959C3" w14:textId="77777777" w:rsidR="00BE737D" w:rsidRDefault="00BE737D" w:rsidP="00417A72">
            <w:pPr>
              <w:spacing w:before="80" w:after="80"/>
            </w:pPr>
            <w:r>
              <w:rPr>
                <w:noProof/>
                <w:lang w:val="en-AU" w:eastAsia="en-AU"/>
              </w:rPr>
              <w:drawing>
                <wp:inline distT="0" distB="0" distL="0" distR="0" wp14:anchorId="3D052636" wp14:editId="0997B246">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0957EE8" w14:textId="77777777" w:rsidR="00BE737D" w:rsidRPr="00AB289B" w:rsidRDefault="00BE737D" w:rsidP="00417A72">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14:paraId="7B2BC6D7" w14:textId="77777777" w:rsidTr="00417A72">
        <w:tc>
          <w:tcPr>
            <w:tcW w:w="1271" w:type="dxa"/>
            <w:shd w:val="clear" w:color="auto" w:fill="D7DEE2" w:themeFill="text2" w:themeFillTint="33"/>
          </w:tcPr>
          <w:p w14:paraId="42C4A499" w14:textId="77777777" w:rsidR="00BE737D" w:rsidRDefault="00BE737D" w:rsidP="00417A72">
            <w:pPr>
              <w:spacing w:before="80" w:after="80"/>
            </w:pPr>
            <w:r>
              <w:rPr>
                <w:noProof/>
                <w:lang w:val="en-AU" w:eastAsia="en-AU"/>
              </w:rPr>
              <w:drawing>
                <wp:inline distT="0" distB="0" distL="0" distR="0" wp14:anchorId="1B9ED3F1" wp14:editId="373573FB">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CEB50DC" w14:textId="77777777" w:rsidR="00BE737D" w:rsidRPr="00AB289B" w:rsidRDefault="00BE737D" w:rsidP="00417A72">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3A89C224" w14:textId="77777777" w:rsidR="00BE737D" w:rsidRDefault="00BE737D" w:rsidP="00417A72"/>
        </w:tc>
        <w:tc>
          <w:tcPr>
            <w:tcW w:w="1276" w:type="dxa"/>
            <w:shd w:val="clear" w:color="auto" w:fill="D7DEE2" w:themeFill="text2" w:themeFillTint="33"/>
          </w:tcPr>
          <w:p w14:paraId="51E9BE16" w14:textId="77777777" w:rsidR="00BE737D" w:rsidRDefault="00BE737D" w:rsidP="00417A72">
            <w:pPr>
              <w:spacing w:before="80" w:after="80"/>
            </w:pPr>
            <w:r>
              <w:rPr>
                <w:noProof/>
                <w:lang w:val="en-AU" w:eastAsia="en-AU"/>
              </w:rPr>
              <w:drawing>
                <wp:inline distT="0" distB="0" distL="0" distR="0" wp14:anchorId="18AF3D33" wp14:editId="15CB9F47">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F2E381F" w14:textId="77777777" w:rsidR="00BE737D" w:rsidRPr="00AB289B" w:rsidRDefault="00BE737D" w:rsidP="00417A72">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14:paraId="7C6C1FA3" w14:textId="77777777" w:rsidTr="00417A72">
        <w:tc>
          <w:tcPr>
            <w:tcW w:w="1271" w:type="dxa"/>
            <w:shd w:val="clear" w:color="auto" w:fill="D7DEE2" w:themeFill="text2" w:themeFillTint="33"/>
          </w:tcPr>
          <w:p w14:paraId="59780E2E" w14:textId="77777777" w:rsidR="00BE737D" w:rsidRDefault="00BE737D" w:rsidP="00417A72">
            <w:pPr>
              <w:spacing w:before="80" w:after="80"/>
            </w:pPr>
            <w:r>
              <w:rPr>
                <w:noProof/>
                <w:lang w:val="en-AU" w:eastAsia="en-AU"/>
              </w:rPr>
              <w:drawing>
                <wp:inline distT="0" distB="0" distL="0" distR="0" wp14:anchorId="3FAA20CA" wp14:editId="7CB8AF7C">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DC4E016" w14:textId="77777777" w:rsidR="00BE737D" w:rsidRPr="00AB289B" w:rsidRDefault="00BE737D" w:rsidP="00417A72">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34D5A2FB" w14:textId="77777777" w:rsidR="00BE737D" w:rsidRDefault="00BE737D" w:rsidP="00417A72"/>
        </w:tc>
        <w:tc>
          <w:tcPr>
            <w:tcW w:w="1276" w:type="dxa"/>
            <w:shd w:val="clear" w:color="auto" w:fill="D7DEE2" w:themeFill="text2" w:themeFillTint="33"/>
          </w:tcPr>
          <w:p w14:paraId="02DA3BBF" w14:textId="77777777" w:rsidR="00BE737D" w:rsidRDefault="00BE737D" w:rsidP="00417A72">
            <w:pPr>
              <w:spacing w:before="80" w:after="80"/>
            </w:pPr>
            <w:r>
              <w:rPr>
                <w:noProof/>
                <w:lang w:val="en-AU" w:eastAsia="en-AU"/>
              </w:rPr>
              <w:drawing>
                <wp:inline distT="0" distB="0" distL="0" distR="0" wp14:anchorId="54311A89" wp14:editId="7AD3E896">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932C995" w14:textId="77777777" w:rsidR="00BE737D" w:rsidRPr="00AB289B" w:rsidRDefault="00BE737D" w:rsidP="00417A72">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14:paraId="5975D522" w14:textId="77777777" w:rsidTr="00417A72">
        <w:tc>
          <w:tcPr>
            <w:tcW w:w="1271" w:type="dxa"/>
            <w:shd w:val="clear" w:color="auto" w:fill="D7DEE2" w:themeFill="text2" w:themeFillTint="33"/>
          </w:tcPr>
          <w:p w14:paraId="5B069E20" w14:textId="77777777" w:rsidR="00BE737D" w:rsidRDefault="00BE737D" w:rsidP="00417A72">
            <w:pPr>
              <w:spacing w:before="80" w:after="80"/>
            </w:pPr>
            <w:r>
              <w:rPr>
                <w:noProof/>
                <w:lang w:val="en-AU" w:eastAsia="en-AU"/>
              </w:rPr>
              <w:drawing>
                <wp:inline distT="0" distB="0" distL="0" distR="0" wp14:anchorId="2E8EB522" wp14:editId="33C7AFE5">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7ED0E2A" w14:textId="77777777" w:rsidR="00BE737D" w:rsidRPr="00AB289B" w:rsidRDefault="00BE737D" w:rsidP="00417A72">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4C45213F" w14:textId="77777777" w:rsidR="00BE737D" w:rsidRDefault="00BE737D" w:rsidP="00417A72"/>
        </w:tc>
        <w:tc>
          <w:tcPr>
            <w:tcW w:w="1276" w:type="dxa"/>
            <w:shd w:val="clear" w:color="auto" w:fill="D7DEE2" w:themeFill="text2" w:themeFillTint="33"/>
          </w:tcPr>
          <w:p w14:paraId="13194C60" w14:textId="77777777" w:rsidR="00BE737D" w:rsidRDefault="00BE737D" w:rsidP="00417A72">
            <w:pPr>
              <w:spacing w:before="80" w:after="80"/>
            </w:pPr>
            <w:r>
              <w:rPr>
                <w:noProof/>
                <w:lang w:val="en-AU" w:eastAsia="en-AU"/>
              </w:rPr>
              <w:drawing>
                <wp:inline distT="0" distB="0" distL="0" distR="0" wp14:anchorId="0EB3B62B" wp14:editId="1F603829">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4C93B439" w14:textId="77777777" w:rsidR="00BE737D" w:rsidRPr="00AB289B" w:rsidRDefault="00BE737D" w:rsidP="00417A72">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14:paraId="219F77DE" w14:textId="77777777" w:rsidTr="00417A72">
        <w:tc>
          <w:tcPr>
            <w:tcW w:w="1271" w:type="dxa"/>
            <w:shd w:val="clear" w:color="auto" w:fill="D7DEE2" w:themeFill="text2" w:themeFillTint="33"/>
          </w:tcPr>
          <w:p w14:paraId="187E5ECF" w14:textId="77777777" w:rsidR="00BE737D" w:rsidRDefault="00BE737D" w:rsidP="00417A72">
            <w:pPr>
              <w:spacing w:before="80" w:after="80"/>
            </w:pPr>
            <w:r>
              <w:rPr>
                <w:noProof/>
                <w:lang w:val="en-AU" w:eastAsia="en-AU"/>
              </w:rPr>
              <w:drawing>
                <wp:inline distT="0" distB="0" distL="0" distR="0" wp14:anchorId="49573AA3" wp14:editId="32714C78">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4307DC6D" w14:textId="77777777" w:rsidR="00BE737D" w:rsidRPr="00AB289B" w:rsidRDefault="00BE737D" w:rsidP="00417A72">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1FA02867" w14:textId="77777777" w:rsidR="00BE737D" w:rsidRDefault="00BE737D" w:rsidP="00417A72"/>
        </w:tc>
        <w:tc>
          <w:tcPr>
            <w:tcW w:w="1276" w:type="dxa"/>
            <w:shd w:val="clear" w:color="auto" w:fill="D7DEE2" w:themeFill="text2" w:themeFillTint="33"/>
          </w:tcPr>
          <w:p w14:paraId="5E3AB2FC" w14:textId="77777777" w:rsidR="00BE737D" w:rsidRDefault="00BE737D" w:rsidP="00417A72">
            <w:pPr>
              <w:spacing w:before="80" w:after="80"/>
            </w:pPr>
            <w:r>
              <w:rPr>
                <w:noProof/>
                <w:lang w:val="en-AU" w:eastAsia="en-AU"/>
              </w:rPr>
              <w:drawing>
                <wp:inline distT="0" distB="0" distL="0" distR="0" wp14:anchorId="3F8F557C" wp14:editId="78CF513B">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CF156E6" w14:textId="77777777" w:rsidR="00BE737D" w:rsidRPr="00AB289B" w:rsidRDefault="00BE737D" w:rsidP="00417A72">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14:paraId="203BB8D0" w14:textId="77777777" w:rsidTr="00417A72">
        <w:tc>
          <w:tcPr>
            <w:tcW w:w="1271" w:type="dxa"/>
            <w:shd w:val="clear" w:color="auto" w:fill="D7DEE2" w:themeFill="text2" w:themeFillTint="33"/>
          </w:tcPr>
          <w:p w14:paraId="7DC64FF8" w14:textId="77777777" w:rsidR="00BE737D" w:rsidRDefault="00BE737D" w:rsidP="00417A72">
            <w:pPr>
              <w:spacing w:before="80" w:after="80"/>
            </w:pPr>
            <w:r>
              <w:rPr>
                <w:noProof/>
                <w:lang w:val="en-AU" w:eastAsia="en-AU"/>
              </w:rPr>
              <w:drawing>
                <wp:inline distT="0" distB="0" distL="0" distR="0" wp14:anchorId="446C46CF" wp14:editId="08E54F24">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BF6D282" w14:textId="77777777" w:rsidR="00BE737D" w:rsidRPr="00AB289B" w:rsidRDefault="00BE737D" w:rsidP="00417A72">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06F690FC" w14:textId="77777777" w:rsidR="00BE737D" w:rsidRDefault="00BE737D" w:rsidP="00417A72"/>
        </w:tc>
        <w:tc>
          <w:tcPr>
            <w:tcW w:w="1276" w:type="dxa"/>
            <w:shd w:val="clear" w:color="auto" w:fill="D7DEE2" w:themeFill="text2" w:themeFillTint="33"/>
          </w:tcPr>
          <w:p w14:paraId="3C24B929" w14:textId="77777777" w:rsidR="00BE737D" w:rsidRPr="00AB289B" w:rsidRDefault="00BE737D" w:rsidP="00417A72">
            <w:pPr>
              <w:spacing w:before="80" w:after="80"/>
              <w:rPr>
                <w:sz w:val="16"/>
              </w:rPr>
            </w:pPr>
          </w:p>
        </w:tc>
        <w:tc>
          <w:tcPr>
            <w:tcW w:w="3544" w:type="dxa"/>
            <w:shd w:val="clear" w:color="auto" w:fill="D7DEE2" w:themeFill="text2" w:themeFillTint="33"/>
          </w:tcPr>
          <w:p w14:paraId="67E03AC6" w14:textId="77777777" w:rsidR="00BE737D" w:rsidRPr="00AB289B" w:rsidRDefault="00BE737D" w:rsidP="00417A72">
            <w:pPr>
              <w:spacing w:before="80" w:after="80"/>
              <w:rPr>
                <w:sz w:val="16"/>
              </w:rPr>
            </w:pPr>
          </w:p>
        </w:tc>
      </w:tr>
    </w:tbl>
    <w:p w14:paraId="2E2DD935" w14:textId="77777777" w:rsidR="006C4F09" w:rsidRPr="005C78DB" w:rsidRDefault="006C4F09" w:rsidP="006C4F09"/>
    <w:sectPr w:rsidR="006C4F09" w:rsidRPr="005C78DB" w:rsidSect="00CA7DD8">
      <w:headerReference w:type="default" r:id="rId42"/>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53863" w14:textId="77777777" w:rsidR="00B434A5" w:rsidRDefault="00B434A5" w:rsidP="00EF4574">
      <w:pPr>
        <w:spacing w:before="0" w:after="0" w:line="240" w:lineRule="auto"/>
      </w:pPr>
      <w:r>
        <w:separator/>
      </w:r>
    </w:p>
  </w:endnote>
  <w:endnote w:type="continuationSeparator" w:id="0">
    <w:p w14:paraId="7F395032" w14:textId="77777777" w:rsidR="00B434A5" w:rsidRDefault="00B434A5" w:rsidP="00EF4574">
      <w:pPr>
        <w:spacing w:before="0" w:after="0" w:line="240" w:lineRule="auto"/>
      </w:pPr>
      <w:r>
        <w:continuationSeparator/>
      </w:r>
    </w:p>
  </w:endnote>
  <w:endnote w:type="continuationNotice" w:id="1">
    <w:p w14:paraId="6158F1FF" w14:textId="77777777" w:rsidR="00B434A5" w:rsidRDefault="00B434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C232" w14:textId="77777777" w:rsidR="00B434A5" w:rsidRDefault="00B4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475796"/>
      <w:docPartObj>
        <w:docPartGallery w:val="Page Numbers (Bottom of Page)"/>
        <w:docPartUnique/>
      </w:docPartObj>
    </w:sdtPr>
    <w:sdtEndPr>
      <w:rPr>
        <w:noProof/>
      </w:rPr>
    </w:sdtEndPr>
    <w:sdtContent>
      <w:p w14:paraId="457E0A1C" w14:textId="7643BE3E" w:rsidR="00B434A5" w:rsidRDefault="00B434A5">
        <w:pPr>
          <w:pStyle w:val="Footer"/>
        </w:pPr>
        <w:r>
          <w:fldChar w:fldCharType="begin"/>
        </w:r>
        <w:r>
          <w:instrText xml:space="preserve"> PAGE   \* MERGEFORMAT </w:instrText>
        </w:r>
        <w:r>
          <w:fldChar w:fldCharType="separate"/>
        </w:r>
        <w:r w:rsidR="00115DC3">
          <w:rPr>
            <w:noProof/>
          </w:rPr>
          <w:t>4</w:t>
        </w:r>
        <w:r>
          <w:rPr>
            <w:noProof/>
          </w:rPr>
          <w:fldChar w:fldCharType="end"/>
        </w:r>
      </w:p>
    </w:sdtContent>
  </w:sdt>
  <w:p w14:paraId="0F56B26F" w14:textId="77777777" w:rsidR="00B434A5" w:rsidRDefault="00B43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36EC" w14:textId="77777777" w:rsidR="00B434A5" w:rsidRDefault="00B434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066D" w14:textId="77777777" w:rsidR="00B434A5" w:rsidRPr="00CD0E4B" w:rsidRDefault="00B434A5" w:rsidP="00784031">
    <w:pPr>
      <w:pStyle w:val="Footer"/>
    </w:pPr>
    <w:r w:rsidRPr="00CD0E4B">
      <w:rPr>
        <w:noProof/>
        <w:lang w:val="en-AU" w:eastAsia="en-AU"/>
      </w:rPr>
      <w:drawing>
        <wp:inline distT="0" distB="0" distL="0" distR="0" wp14:anchorId="69F1B54D" wp14:editId="78C5288E">
          <wp:extent cx="90000" cy="74520"/>
          <wp:effectExtent l="0" t="0" r="5715"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52328081" w14:textId="77777777" w:rsidR="00B434A5" w:rsidRPr="00CD0E4B" w:rsidRDefault="00B434A5"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C831" w14:textId="77777777" w:rsidR="00B434A5" w:rsidRPr="008C5A0E" w:rsidRDefault="00B434A5" w:rsidP="001D663E">
      <w:pPr>
        <w:pStyle w:val="Footer"/>
        <w:pBdr>
          <w:top w:val="single" w:sz="4" w:space="1" w:color="495965" w:themeColor="text2"/>
        </w:pBdr>
      </w:pPr>
    </w:p>
  </w:footnote>
  <w:footnote w:type="continuationSeparator" w:id="0">
    <w:p w14:paraId="4D49927E" w14:textId="77777777" w:rsidR="00B434A5" w:rsidRDefault="00B434A5" w:rsidP="00EF4574">
      <w:pPr>
        <w:spacing w:before="0" w:after="0" w:line="240" w:lineRule="auto"/>
      </w:pPr>
      <w:r>
        <w:continuationSeparator/>
      </w:r>
    </w:p>
  </w:footnote>
  <w:footnote w:type="continuationNotice" w:id="1">
    <w:p w14:paraId="19768426" w14:textId="77777777" w:rsidR="00B434A5" w:rsidRDefault="00B434A5">
      <w:pPr>
        <w:spacing w:before="0" w:after="0" w:line="240" w:lineRule="auto"/>
      </w:pPr>
    </w:p>
  </w:footnote>
  <w:footnote w:id="2">
    <w:p w14:paraId="6C40DAF6" w14:textId="4C81D6B1" w:rsidR="00B434A5" w:rsidRPr="004E1BD0" w:rsidRDefault="00B434A5" w:rsidP="00A73D98">
      <w:pPr>
        <w:pStyle w:val="FootnoteText"/>
        <w:rPr>
          <w:color w:val="auto"/>
          <w:szCs w:val="12"/>
          <w:lang w:val="en-AU"/>
        </w:rPr>
      </w:pPr>
      <w:r w:rsidRPr="001D5461">
        <w:rPr>
          <w:rStyle w:val="FootnoteReference"/>
          <w:color w:val="auto"/>
          <w:szCs w:val="12"/>
        </w:rPr>
        <w:footnoteRef/>
      </w:r>
      <w:r w:rsidRPr="001D5461">
        <w:rPr>
          <w:color w:val="auto"/>
          <w:szCs w:val="12"/>
        </w:rPr>
        <w:t xml:space="preserve"> </w:t>
      </w:r>
      <w:r w:rsidRPr="001D5461">
        <w:rPr>
          <w:color w:val="auto"/>
          <w:szCs w:val="12"/>
          <w:lang w:val="en-AU"/>
        </w:rPr>
        <w:t xml:space="preserve">The PPF health grants are designed </w:t>
      </w:r>
      <w:r>
        <w:rPr>
          <w:color w:val="auto"/>
          <w:szCs w:val="12"/>
          <w:lang w:val="en-AU"/>
        </w:rPr>
        <w:t>t</w:t>
      </w:r>
      <w:r w:rsidRPr="001D5461">
        <w:rPr>
          <w:color w:val="auto"/>
          <w:szCs w:val="12"/>
        </w:rPr>
        <w:t>o support more effective primary health care services, focusing on sexual and reproductive health (SRH) services and HIV.</w:t>
      </w:r>
    </w:p>
  </w:footnote>
  <w:footnote w:id="3">
    <w:p w14:paraId="0F1D0828" w14:textId="5D8EFCF8" w:rsidR="00B434A5" w:rsidRPr="004E1BD0" w:rsidRDefault="00B434A5" w:rsidP="00A73D98">
      <w:pPr>
        <w:pStyle w:val="FootnoteText"/>
        <w:rPr>
          <w:color w:val="auto"/>
          <w:szCs w:val="12"/>
          <w:lang w:val="en-AU"/>
        </w:rPr>
      </w:pPr>
      <w:r w:rsidRPr="001D5461">
        <w:rPr>
          <w:rStyle w:val="FootnoteReference"/>
          <w:color w:val="auto"/>
          <w:szCs w:val="12"/>
        </w:rPr>
        <w:footnoteRef/>
      </w:r>
      <w:r w:rsidRPr="001D5461">
        <w:rPr>
          <w:color w:val="auto"/>
          <w:szCs w:val="12"/>
        </w:rPr>
        <w:t xml:space="preserve"> </w:t>
      </w:r>
      <w:r w:rsidRPr="001D5461">
        <w:rPr>
          <w:color w:val="auto"/>
          <w:szCs w:val="12"/>
          <w:lang w:val="en-AU"/>
        </w:rPr>
        <w:t xml:space="preserve">Other consortium members are Anglicare, Australian Society for HIV, Viral Hepatitis and Sexual Health Medicine (ASHM), Burnet Institute, Igat Hope. </w:t>
      </w:r>
    </w:p>
  </w:footnote>
  <w:footnote w:id="4">
    <w:p w14:paraId="67CE9283" w14:textId="77777777" w:rsidR="00B434A5" w:rsidRPr="001D5461" w:rsidRDefault="00B434A5" w:rsidP="00035DFD">
      <w:pPr>
        <w:pStyle w:val="FootnoteText"/>
        <w:rPr>
          <w:color w:val="auto"/>
          <w:szCs w:val="12"/>
          <w:lang w:val="en-AU"/>
        </w:rPr>
      </w:pPr>
      <w:r w:rsidRPr="001D5461">
        <w:rPr>
          <w:rStyle w:val="FootnoteReference"/>
          <w:color w:val="auto"/>
          <w:szCs w:val="12"/>
        </w:rPr>
        <w:footnoteRef/>
      </w:r>
      <w:r w:rsidRPr="001D5461">
        <w:rPr>
          <w:color w:val="auto"/>
          <w:szCs w:val="12"/>
        </w:rPr>
        <w:t xml:space="preserve"> Only 1.9 per cent of multi-drug resistant TB patients failed to follow-up treatment (down from 2.6% in 2016).</w:t>
      </w:r>
    </w:p>
  </w:footnote>
  <w:footnote w:id="5">
    <w:p w14:paraId="7AD79D54" w14:textId="77777777" w:rsidR="00B434A5" w:rsidRPr="001D5461" w:rsidRDefault="00B434A5" w:rsidP="00035DFD">
      <w:pPr>
        <w:pStyle w:val="FootnoteText"/>
        <w:rPr>
          <w:color w:val="auto"/>
          <w:szCs w:val="12"/>
          <w:lang w:val="en-AU"/>
        </w:rPr>
      </w:pPr>
      <w:r w:rsidRPr="001D5461">
        <w:rPr>
          <w:rStyle w:val="FootnoteReference"/>
          <w:color w:val="auto"/>
          <w:szCs w:val="12"/>
        </w:rPr>
        <w:footnoteRef/>
      </w:r>
      <w:r w:rsidRPr="001D5461">
        <w:rPr>
          <w:color w:val="auto"/>
          <w:szCs w:val="12"/>
        </w:rPr>
        <w:t xml:space="preserve"> This program is funded by a USD15 million WB loan and matching grant from Australia</w:t>
      </w:r>
      <w:r>
        <w:rPr>
          <w:color w:val="auto"/>
          <w:szCs w:val="12"/>
        </w:rPr>
        <w:t>.</w:t>
      </w:r>
    </w:p>
  </w:footnote>
  <w:footnote w:id="6">
    <w:p w14:paraId="3CBB9561" w14:textId="77777777" w:rsidR="00B434A5" w:rsidRPr="00F623FA" w:rsidRDefault="00B434A5" w:rsidP="00CB5E41">
      <w:pPr>
        <w:pStyle w:val="FootnoteText"/>
        <w:rPr>
          <w:lang w:val="en-AU"/>
        </w:rPr>
      </w:pPr>
      <w:r>
        <w:rPr>
          <w:rStyle w:val="FootnoteReference"/>
        </w:rPr>
        <w:footnoteRef/>
      </w:r>
      <w:r>
        <w:t xml:space="preserve"> </w:t>
      </w:r>
      <w:r>
        <w:rPr>
          <w:lang w:val="en-AU"/>
        </w:rPr>
        <w:t xml:space="preserve">Indicator changed from </w:t>
      </w:r>
      <w:r w:rsidRPr="00EB25EE">
        <w:rPr>
          <w:rFonts w:eastAsia="Times New Roman"/>
          <w:i/>
          <w:iCs/>
          <w:szCs w:val="12"/>
        </w:rPr>
        <w:t xml:space="preserve">Number of women and men and youth with improved access to justice services </w:t>
      </w:r>
      <w:r w:rsidRPr="00EB25EE">
        <w:rPr>
          <w:rFonts w:eastAsia="Times New Roman"/>
          <w:iCs/>
          <w:szCs w:val="12"/>
        </w:rPr>
        <w:t>reported in 2016-17 APPR</w:t>
      </w:r>
      <w:r>
        <w:rPr>
          <w:rFonts w:eastAsia="Times New Roman"/>
          <w:iCs/>
          <w:sz w:val="18"/>
          <w:szCs w:val="18"/>
        </w:rPr>
        <w:t>.</w:t>
      </w:r>
    </w:p>
  </w:footnote>
  <w:footnote w:id="7">
    <w:p w14:paraId="035E7971" w14:textId="77777777" w:rsidR="00B434A5" w:rsidRPr="00F623FA" w:rsidRDefault="00B434A5" w:rsidP="00CB5E41">
      <w:pPr>
        <w:pStyle w:val="FootnoteText"/>
      </w:pPr>
      <w:r>
        <w:rPr>
          <w:rStyle w:val="FootnoteReference"/>
        </w:rPr>
        <w:footnoteRef/>
      </w:r>
      <w:r>
        <w:t xml:space="preserve"> </w:t>
      </w:r>
      <w:r>
        <w:rPr>
          <w:lang w:val="en-AU"/>
        </w:rPr>
        <w:t xml:space="preserve">Kilometres of road maintained in 2016-17 was lower due to the Transport Program focusing on completing larger projects including the Oro Bridges project. </w:t>
      </w:r>
    </w:p>
  </w:footnote>
  <w:footnote w:id="8">
    <w:p w14:paraId="5A65974D" w14:textId="77777777" w:rsidR="00B434A5" w:rsidRPr="0086071A" w:rsidRDefault="00B434A5" w:rsidP="00192982">
      <w:pPr>
        <w:pStyle w:val="FootnoteText"/>
        <w:rPr>
          <w:lang w:val="en-AU"/>
        </w:rPr>
      </w:pPr>
      <w:r>
        <w:rPr>
          <w:rStyle w:val="FootnoteReference"/>
        </w:rPr>
        <w:footnoteRef/>
      </w:r>
      <w:r>
        <w:t xml:space="preserve"> </w:t>
      </w:r>
      <w:r>
        <w:rPr>
          <w:lang w:val="en-AU"/>
        </w:rPr>
        <w:t xml:space="preserve">2016 was the final year of implementation of the </w:t>
      </w:r>
      <w:r w:rsidRPr="0086071A">
        <w:rPr>
          <w:i/>
          <w:lang w:val="en-AU"/>
        </w:rPr>
        <w:t>Health and Education Procurement Facility</w:t>
      </w:r>
      <w:r>
        <w:rPr>
          <w:i/>
          <w:lang w:val="en-AU"/>
        </w:rPr>
        <w:t xml:space="preserve">. </w:t>
      </w:r>
      <w:r>
        <w:rPr>
          <w:lang w:val="en-AU"/>
        </w:rPr>
        <w:t xml:space="preserve">Since 2017, schools have been constructed through the Bougainville, Church Partnerships and Incentive Fund programs </w:t>
      </w:r>
    </w:p>
  </w:footnote>
  <w:footnote w:id="9">
    <w:p w14:paraId="066A481B" w14:textId="77777777" w:rsidR="00B434A5" w:rsidRDefault="00B434A5">
      <w:pPr>
        <w:pStyle w:val="FootnoteText"/>
        <w:rPr>
          <w:lang w:val="en-AU"/>
        </w:rPr>
      </w:pPr>
      <w:r>
        <w:rPr>
          <w:rStyle w:val="FootnoteReference"/>
        </w:rPr>
        <w:footnoteRef/>
      </w:r>
      <w:r>
        <w:t xml:space="preserve"> </w:t>
      </w:r>
      <w:r>
        <w:rPr>
          <w:lang w:val="en-AU"/>
        </w:rPr>
        <w:t>Target is for the Bougainville program only. Excludes target for the Gender program which is unavailable at time of reporting.</w:t>
      </w:r>
    </w:p>
    <w:p w14:paraId="365CF333" w14:textId="77777777" w:rsidR="00B434A5" w:rsidRPr="00EB5418" w:rsidRDefault="00B434A5">
      <w:pPr>
        <w:pStyle w:val="FootnoteText"/>
        <w:rPr>
          <w:lang w:val="en-AU"/>
        </w:rPr>
      </w:pPr>
      <w:r w:rsidRPr="00FC586D">
        <w:rPr>
          <w:lang w:val="en-AU"/>
        </w:rPr>
        <w:t>*Target unavailable at time of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AFFA" w14:textId="77777777" w:rsidR="00B434A5" w:rsidRDefault="00B43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ACCA" w14:textId="27DFFC44" w:rsidR="00B434A5" w:rsidRPr="00333501" w:rsidRDefault="00B434A5" w:rsidP="008F56A8">
    <w:pPr>
      <w:pStyle w:val="Header"/>
      <w:jc w:val="left"/>
    </w:pPr>
    <w:r>
      <w:rPr>
        <w:noProof/>
        <w:lang w:val="en-AU" w:eastAsia="en-AU"/>
      </w:rPr>
      <w:drawing>
        <wp:anchor distT="0" distB="0" distL="114300" distR="114300" simplePos="0" relativeHeight="251656192" behindDoc="1" locked="1" layoutInCell="1" allowOverlap="1" wp14:anchorId="3AC76AC6" wp14:editId="0F5812D3">
          <wp:simplePos x="0" y="0"/>
          <wp:positionH relativeFrom="page">
            <wp:posOffset>7620</wp:posOffset>
          </wp:positionH>
          <wp:positionV relativeFrom="page">
            <wp:posOffset>55880</wp:posOffset>
          </wp:positionV>
          <wp:extent cx="7545705" cy="10702290"/>
          <wp:effectExtent l="0" t="0" r="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CBC8" w14:textId="77777777" w:rsidR="00B434A5" w:rsidRDefault="00B434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BFA7" w14:textId="77777777" w:rsidR="00B434A5" w:rsidRDefault="00B43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B262" w14:textId="77777777" w:rsidR="00B434A5" w:rsidRPr="00333501" w:rsidRDefault="00B434A5" w:rsidP="008F56A8">
    <w:pPr>
      <w:pStyle w:val="Header"/>
      <w:jc w:val="left"/>
    </w:pPr>
    <w:r>
      <w:rPr>
        <w:noProof/>
        <w:lang w:val="en-AU" w:eastAsia="en-AU"/>
      </w:rPr>
      <w:drawing>
        <wp:anchor distT="0" distB="0" distL="114300" distR="114300" simplePos="0" relativeHeight="251657216" behindDoc="1" locked="1" layoutInCell="1" allowOverlap="1" wp14:anchorId="40D6DF33" wp14:editId="0E3D8A5C">
          <wp:simplePos x="0" y="0"/>
          <wp:positionH relativeFrom="page">
            <wp:posOffset>-437515</wp:posOffset>
          </wp:positionH>
          <wp:positionV relativeFrom="margin">
            <wp:posOffset>6848475</wp:posOffset>
          </wp:positionV>
          <wp:extent cx="10976610" cy="754570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976610"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0E84" w14:textId="77777777" w:rsidR="00B434A5" w:rsidRPr="00333501" w:rsidRDefault="00B434A5" w:rsidP="008F56A8">
    <w:pPr>
      <w:pStyle w:val="Header"/>
      <w:jc w:val="left"/>
    </w:pPr>
    <w:r>
      <w:rPr>
        <w:noProof/>
        <w:lang w:val="en-AU" w:eastAsia="en-AU"/>
      </w:rPr>
      <w:drawing>
        <wp:anchor distT="0" distB="0" distL="114300" distR="114300" simplePos="0" relativeHeight="251658240" behindDoc="1" locked="1" layoutInCell="1" allowOverlap="1" wp14:anchorId="3EB1CAC5" wp14:editId="45BCB2B8">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F1767B"/>
    <w:multiLevelType w:val="hybridMultilevel"/>
    <w:tmpl w:val="394A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FF48EE"/>
    <w:multiLevelType w:val="hybridMultilevel"/>
    <w:tmpl w:val="F968C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C537F1"/>
    <w:multiLevelType w:val="hybridMultilevel"/>
    <w:tmpl w:val="BD30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4F1D8E"/>
    <w:multiLevelType w:val="hybridMultilevel"/>
    <w:tmpl w:val="7292A7E0"/>
    <w:lvl w:ilvl="0" w:tplc="83DAD6E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F935BE4"/>
    <w:multiLevelType w:val="hybridMultilevel"/>
    <w:tmpl w:val="27F0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C29D3"/>
    <w:multiLevelType w:val="hybridMultilevel"/>
    <w:tmpl w:val="658C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9E6E77"/>
    <w:multiLevelType w:val="hybridMultilevel"/>
    <w:tmpl w:val="5454961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6A10FD5"/>
    <w:multiLevelType w:val="hybridMultilevel"/>
    <w:tmpl w:val="2E26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CA75DA"/>
    <w:multiLevelType w:val="hybridMultilevel"/>
    <w:tmpl w:val="6DD030A6"/>
    <w:lvl w:ilvl="0" w:tplc="617EAB4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54A76"/>
    <w:multiLevelType w:val="hybridMultilevel"/>
    <w:tmpl w:val="60843D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61221"/>
    <w:multiLevelType w:val="hybridMultilevel"/>
    <w:tmpl w:val="66CC37E6"/>
    <w:lvl w:ilvl="0" w:tplc="52805B00">
      <w:start w:val="20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EA5D6E"/>
    <w:multiLevelType w:val="hybridMultilevel"/>
    <w:tmpl w:val="297A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CF6122E"/>
    <w:multiLevelType w:val="hybridMultilevel"/>
    <w:tmpl w:val="45CACB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3C1EA7"/>
    <w:multiLevelType w:val="multilevel"/>
    <w:tmpl w:val="43428892"/>
    <w:numStyleLink w:val="BulletsList"/>
  </w:abstractNum>
  <w:abstractNum w:abstractNumId="3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638C2E82"/>
    <w:multiLevelType w:val="hybridMultilevel"/>
    <w:tmpl w:val="EA101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0D0655"/>
    <w:multiLevelType w:val="hybridMultilevel"/>
    <w:tmpl w:val="23B087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1C901FE"/>
    <w:multiLevelType w:val="hybridMultilevel"/>
    <w:tmpl w:val="F90C0B1E"/>
    <w:lvl w:ilvl="0" w:tplc="93EC3E8C">
      <w:start w:val="1"/>
      <w:numFmt w:val="decimal"/>
      <w:lvlText w:val="%1."/>
      <w:lvlJc w:val="left"/>
      <w:pPr>
        <w:ind w:left="644" w:hanging="360"/>
      </w:pPr>
      <w:rPr>
        <w:rFonts w:hint="default"/>
        <w:sz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9"/>
  </w:num>
  <w:num w:numId="23">
    <w:abstractNumId w:val="19"/>
  </w:num>
  <w:num w:numId="24">
    <w:abstractNumId w:val="33"/>
  </w:num>
  <w:num w:numId="25">
    <w:abstractNumId w:val="33"/>
  </w:num>
  <w:num w:numId="26">
    <w:abstractNumId w:val="33"/>
  </w:num>
  <w:num w:numId="27">
    <w:abstractNumId w:val="31"/>
  </w:num>
  <w:num w:numId="28">
    <w:abstractNumId w:val="10"/>
  </w:num>
  <w:num w:numId="29">
    <w:abstractNumId w:val="10"/>
  </w:num>
  <w:num w:numId="30">
    <w:abstractNumId w:val="10"/>
  </w:num>
  <w:num w:numId="31">
    <w:abstractNumId w:val="22"/>
  </w:num>
  <w:num w:numId="32">
    <w:abstractNumId w:val="30"/>
  </w:num>
  <w:num w:numId="33">
    <w:abstractNumId w:val="39"/>
  </w:num>
  <w:num w:numId="34">
    <w:abstractNumId w:val="27"/>
  </w:num>
  <w:num w:numId="35">
    <w:abstractNumId w:val="14"/>
  </w:num>
  <w:num w:numId="36">
    <w:abstractNumId w:val="18"/>
  </w:num>
  <w:num w:numId="37">
    <w:abstractNumId w:val="15"/>
  </w:num>
  <w:num w:numId="38">
    <w:abstractNumId w:val="29"/>
  </w:num>
  <w:num w:numId="39">
    <w:abstractNumId w:val="16"/>
  </w:num>
  <w:num w:numId="40">
    <w:abstractNumId w:val="23"/>
  </w:num>
  <w:num w:numId="41">
    <w:abstractNumId w:val="12"/>
  </w:num>
  <w:num w:numId="42">
    <w:abstractNumId w:val="21"/>
  </w:num>
  <w:num w:numId="43">
    <w:abstractNumId w:val="20"/>
  </w:num>
  <w:num w:numId="44">
    <w:abstractNumId w:val="25"/>
  </w:num>
  <w:num w:numId="45">
    <w:abstractNumId w:val="28"/>
  </w:num>
  <w:num w:numId="46">
    <w:abstractNumId w:val="37"/>
  </w:num>
  <w:num w:numId="47">
    <w:abstractNumId w:val="17"/>
  </w:num>
  <w:num w:numId="48">
    <w:abstractNumId w:val="16"/>
  </w:num>
  <w:num w:numId="49">
    <w:abstractNumId w:val="24"/>
  </w:num>
  <w:num w:numId="50">
    <w:abstractNumId w:val="32"/>
  </w:num>
  <w:num w:numId="51">
    <w:abstractNumId w:val="36"/>
  </w:num>
  <w:num w:numId="52">
    <w:abstractNumId w:val="26"/>
  </w:num>
  <w:num w:numId="53">
    <w:abstractNumId w:val="13"/>
  </w:num>
  <w:num w:numId="54">
    <w:abstractNumId w:val="19"/>
  </w:num>
  <w:num w:numId="5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553"/>
    <w:rsid w:val="00001A27"/>
    <w:rsid w:val="00001AA0"/>
    <w:rsid w:val="00001B61"/>
    <w:rsid w:val="00001DA8"/>
    <w:rsid w:val="00002AC4"/>
    <w:rsid w:val="00002F24"/>
    <w:rsid w:val="00002F51"/>
    <w:rsid w:val="00003E38"/>
    <w:rsid w:val="00004B29"/>
    <w:rsid w:val="00004D56"/>
    <w:rsid w:val="000051BF"/>
    <w:rsid w:val="000066A6"/>
    <w:rsid w:val="000078B6"/>
    <w:rsid w:val="00007AAF"/>
    <w:rsid w:val="00007D1C"/>
    <w:rsid w:val="00011487"/>
    <w:rsid w:val="00014F31"/>
    <w:rsid w:val="00015316"/>
    <w:rsid w:val="00017DFC"/>
    <w:rsid w:val="0002080A"/>
    <w:rsid w:val="00020C2F"/>
    <w:rsid w:val="000210A3"/>
    <w:rsid w:val="00023768"/>
    <w:rsid w:val="00023E85"/>
    <w:rsid w:val="000251A2"/>
    <w:rsid w:val="000251AE"/>
    <w:rsid w:val="000267EC"/>
    <w:rsid w:val="0002774A"/>
    <w:rsid w:val="0002782F"/>
    <w:rsid w:val="00027F29"/>
    <w:rsid w:val="00031512"/>
    <w:rsid w:val="00031F7B"/>
    <w:rsid w:val="0003280A"/>
    <w:rsid w:val="00033216"/>
    <w:rsid w:val="00033AB7"/>
    <w:rsid w:val="00034029"/>
    <w:rsid w:val="00035311"/>
    <w:rsid w:val="000355A1"/>
    <w:rsid w:val="00035DFD"/>
    <w:rsid w:val="00036226"/>
    <w:rsid w:val="00041D8D"/>
    <w:rsid w:val="00042439"/>
    <w:rsid w:val="000425F6"/>
    <w:rsid w:val="00044131"/>
    <w:rsid w:val="000446E3"/>
    <w:rsid w:val="0004762A"/>
    <w:rsid w:val="00047A59"/>
    <w:rsid w:val="00047EAA"/>
    <w:rsid w:val="00050C8B"/>
    <w:rsid w:val="00051AA4"/>
    <w:rsid w:val="0005232B"/>
    <w:rsid w:val="000529DA"/>
    <w:rsid w:val="0005391C"/>
    <w:rsid w:val="00054A1F"/>
    <w:rsid w:val="00054E4D"/>
    <w:rsid w:val="00060073"/>
    <w:rsid w:val="000600CE"/>
    <w:rsid w:val="00060268"/>
    <w:rsid w:val="00060720"/>
    <w:rsid w:val="00061920"/>
    <w:rsid w:val="00061CDE"/>
    <w:rsid w:val="000624D0"/>
    <w:rsid w:val="00063017"/>
    <w:rsid w:val="00067B44"/>
    <w:rsid w:val="00070B5C"/>
    <w:rsid w:val="00070C60"/>
    <w:rsid w:val="000719DC"/>
    <w:rsid w:val="0007287A"/>
    <w:rsid w:val="00074A15"/>
    <w:rsid w:val="00075D37"/>
    <w:rsid w:val="000761E4"/>
    <w:rsid w:val="00077FC2"/>
    <w:rsid w:val="00081330"/>
    <w:rsid w:val="000827FB"/>
    <w:rsid w:val="00083ED0"/>
    <w:rsid w:val="00084483"/>
    <w:rsid w:val="000876AA"/>
    <w:rsid w:val="0009082A"/>
    <w:rsid w:val="00091438"/>
    <w:rsid w:val="00091B4E"/>
    <w:rsid w:val="000924D0"/>
    <w:rsid w:val="00092811"/>
    <w:rsid w:val="00092B52"/>
    <w:rsid w:val="000939A2"/>
    <w:rsid w:val="00096483"/>
    <w:rsid w:val="00097E44"/>
    <w:rsid w:val="000A1C16"/>
    <w:rsid w:val="000A2D0D"/>
    <w:rsid w:val="000A31B0"/>
    <w:rsid w:val="000A3893"/>
    <w:rsid w:val="000A43A0"/>
    <w:rsid w:val="000A53A5"/>
    <w:rsid w:val="000A62D3"/>
    <w:rsid w:val="000A68DC"/>
    <w:rsid w:val="000B46F0"/>
    <w:rsid w:val="000B5B2A"/>
    <w:rsid w:val="000B6B41"/>
    <w:rsid w:val="000C3627"/>
    <w:rsid w:val="000C4B92"/>
    <w:rsid w:val="000C5302"/>
    <w:rsid w:val="000C5FCA"/>
    <w:rsid w:val="000C727E"/>
    <w:rsid w:val="000D0142"/>
    <w:rsid w:val="000D022D"/>
    <w:rsid w:val="000D08D1"/>
    <w:rsid w:val="000D2C45"/>
    <w:rsid w:val="000D324E"/>
    <w:rsid w:val="000D3AF7"/>
    <w:rsid w:val="000D60F3"/>
    <w:rsid w:val="000D66D6"/>
    <w:rsid w:val="000D7C46"/>
    <w:rsid w:val="000E0A1D"/>
    <w:rsid w:val="000E2A8E"/>
    <w:rsid w:val="000E314A"/>
    <w:rsid w:val="000E32EB"/>
    <w:rsid w:val="000E656C"/>
    <w:rsid w:val="000F13D7"/>
    <w:rsid w:val="00100D9D"/>
    <w:rsid w:val="0010164B"/>
    <w:rsid w:val="00101C1C"/>
    <w:rsid w:val="001027CD"/>
    <w:rsid w:val="0010326C"/>
    <w:rsid w:val="001050CE"/>
    <w:rsid w:val="001064F7"/>
    <w:rsid w:val="00106685"/>
    <w:rsid w:val="00106F08"/>
    <w:rsid w:val="001073A6"/>
    <w:rsid w:val="0010760E"/>
    <w:rsid w:val="00107CF6"/>
    <w:rsid w:val="001103E6"/>
    <w:rsid w:val="0011047F"/>
    <w:rsid w:val="0011142B"/>
    <w:rsid w:val="00111713"/>
    <w:rsid w:val="00112C3B"/>
    <w:rsid w:val="001145CC"/>
    <w:rsid w:val="00115DC3"/>
    <w:rsid w:val="0011619F"/>
    <w:rsid w:val="00116D98"/>
    <w:rsid w:val="00121BFB"/>
    <w:rsid w:val="00123A67"/>
    <w:rsid w:val="001250AA"/>
    <w:rsid w:val="00127C81"/>
    <w:rsid w:val="00133809"/>
    <w:rsid w:val="0013553C"/>
    <w:rsid w:val="00135CE2"/>
    <w:rsid w:val="00136324"/>
    <w:rsid w:val="001366B4"/>
    <w:rsid w:val="0013769F"/>
    <w:rsid w:val="0014109A"/>
    <w:rsid w:val="00143AE9"/>
    <w:rsid w:val="0014431B"/>
    <w:rsid w:val="00146494"/>
    <w:rsid w:val="00146673"/>
    <w:rsid w:val="00150CD3"/>
    <w:rsid w:val="001512F3"/>
    <w:rsid w:val="00152B44"/>
    <w:rsid w:val="0015395C"/>
    <w:rsid w:val="00153C58"/>
    <w:rsid w:val="001541EA"/>
    <w:rsid w:val="00154FFA"/>
    <w:rsid w:val="00155450"/>
    <w:rsid w:val="00155A83"/>
    <w:rsid w:val="001564BD"/>
    <w:rsid w:val="0015653C"/>
    <w:rsid w:val="00157207"/>
    <w:rsid w:val="00160394"/>
    <w:rsid w:val="00162218"/>
    <w:rsid w:val="0016346A"/>
    <w:rsid w:val="00163EFE"/>
    <w:rsid w:val="00164256"/>
    <w:rsid w:val="00164B0B"/>
    <w:rsid w:val="001656F7"/>
    <w:rsid w:val="00166962"/>
    <w:rsid w:val="00171270"/>
    <w:rsid w:val="0017225A"/>
    <w:rsid w:val="00174B8C"/>
    <w:rsid w:val="0017740D"/>
    <w:rsid w:val="00177EE8"/>
    <w:rsid w:val="001804C4"/>
    <w:rsid w:val="001809CD"/>
    <w:rsid w:val="00182656"/>
    <w:rsid w:val="00183E0B"/>
    <w:rsid w:val="00184818"/>
    <w:rsid w:val="00184C6A"/>
    <w:rsid w:val="001856DC"/>
    <w:rsid w:val="00186A4F"/>
    <w:rsid w:val="00186EA3"/>
    <w:rsid w:val="00186FD1"/>
    <w:rsid w:val="00187504"/>
    <w:rsid w:val="00191902"/>
    <w:rsid w:val="00192982"/>
    <w:rsid w:val="00192D9B"/>
    <w:rsid w:val="00192E30"/>
    <w:rsid w:val="001939F7"/>
    <w:rsid w:val="001942F7"/>
    <w:rsid w:val="00195BE6"/>
    <w:rsid w:val="00197CD6"/>
    <w:rsid w:val="001A0FD2"/>
    <w:rsid w:val="001A2863"/>
    <w:rsid w:val="001A3102"/>
    <w:rsid w:val="001A49DC"/>
    <w:rsid w:val="001A6290"/>
    <w:rsid w:val="001B03BA"/>
    <w:rsid w:val="001B2739"/>
    <w:rsid w:val="001B2E40"/>
    <w:rsid w:val="001B2E88"/>
    <w:rsid w:val="001B31E5"/>
    <w:rsid w:val="001B38F5"/>
    <w:rsid w:val="001B5019"/>
    <w:rsid w:val="001B5074"/>
    <w:rsid w:val="001B5B9A"/>
    <w:rsid w:val="001B612E"/>
    <w:rsid w:val="001C30C6"/>
    <w:rsid w:val="001C5B62"/>
    <w:rsid w:val="001D006B"/>
    <w:rsid w:val="001D0292"/>
    <w:rsid w:val="001D25E3"/>
    <w:rsid w:val="001D2C2A"/>
    <w:rsid w:val="001D4336"/>
    <w:rsid w:val="001D663E"/>
    <w:rsid w:val="001E00F0"/>
    <w:rsid w:val="001E0BBD"/>
    <w:rsid w:val="001E1DC0"/>
    <w:rsid w:val="001E21BB"/>
    <w:rsid w:val="001E4DA9"/>
    <w:rsid w:val="001E68B3"/>
    <w:rsid w:val="001F1721"/>
    <w:rsid w:val="001F22D8"/>
    <w:rsid w:val="001F2903"/>
    <w:rsid w:val="001F3EB0"/>
    <w:rsid w:val="001F4C88"/>
    <w:rsid w:val="001F5E67"/>
    <w:rsid w:val="00201A9F"/>
    <w:rsid w:val="00201DFB"/>
    <w:rsid w:val="0020363F"/>
    <w:rsid w:val="0020654B"/>
    <w:rsid w:val="00207F43"/>
    <w:rsid w:val="00213762"/>
    <w:rsid w:val="0021460A"/>
    <w:rsid w:val="0021582D"/>
    <w:rsid w:val="0021627B"/>
    <w:rsid w:val="00220D3B"/>
    <w:rsid w:val="00222393"/>
    <w:rsid w:val="00226A9F"/>
    <w:rsid w:val="00230660"/>
    <w:rsid w:val="002309D8"/>
    <w:rsid w:val="00230C4D"/>
    <w:rsid w:val="0023324B"/>
    <w:rsid w:val="00233D2F"/>
    <w:rsid w:val="0023557C"/>
    <w:rsid w:val="0023601D"/>
    <w:rsid w:val="00236A53"/>
    <w:rsid w:val="00237E29"/>
    <w:rsid w:val="002405B1"/>
    <w:rsid w:val="00241445"/>
    <w:rsid w:val="00243AAE"/>
    <w:rsid w:val="002477B9"/>
    <w:rsid w:val="00251A53"/>
    <w:rsid w:val="002533B3"/>
    <w:rsid w:val="00255AD4"/>
    <w:rsid w:val="002562A4"/>
    <w:rsid w:val="00260456"/>
    <w:rsid w:val="00264D7E"/>
    <w:rsid w:val="0026509F"/>
    <w:rsid w:val="0026524A"/>
    <w:rsid w:val="002672CD"/>
    <w:rsid w:val="00267DA2"/>
    <w:rsid w:val="00270252"/>
    <w:rsid w:val="00270819"/>
    <w:rsid w:val="0027368F"/>
    <w:rsid w:val="00275576"/>
    <w:rsid w:val="00275662"/>
    <w:rsid w:val="00275667"/>
    <w:rsid w:val="00275DB7"/>
    <w:rsid w:val="0027602A"/>
    <w:rsid w:val="00276A7A"/>
    <w:rsid w:val="00281E02"/>
    <w:rsid w:val="00282307"/>
    <w:rsid w:val="002828E8"/>
    <w:rsid w:val="00284957"/>
    <w:rsid w:val="0028602A"/>
    <w:rsid w:val="00290D8F"/>
    <w:rsid w:val="00291689"/>
    <w:rsid w:val="002933A3"/>
    <w:rsid w:val="0029346D"/>
    <w:rsid w:val="00295040"/>
    <w:rsid w:val="002977B7"/>
    <w:rsid w:val="002A0978"/>
    <w:rsid w:val="002A21EC"/>
    <w:rsid w:val="002A3A00"/>
    <w:rsid w:val="002A513D"/>
    <w:rsid w:val="002A51CA"/>
    <w:rsid w:val="002A6AC8"/>
    <w:rsid w:val="002B01DA"/>
    <w:rsid w:val="002B2DEF"/>
    <w:rsid w:val="002B30F7"/>
    <w:rsid w:val="002B3E95"/>
    <w:rsid w:val="002B4385"/>
    <w:rsid w:val="002B59EF"/>
    <w:rsid w:val="002B5E10"/>
    <w:rsid w:val="002B740E"/>
    <w:rsid w:val="002B7D28"/>
    <w:rsid w:val="002C0019"/>
    <w:rsid w:val="002C12A8"/>
    <w:rsid w:val="002C3086"/>
    <w:rsid w:val="002C623E"/>
    <w:rsid w:val="002C62C3"/>
    <w:rsid w:val="002D2B16"/>
    <w:rsid w:val="002D4E28"/>
    <w:rsid w:val="002D54A3"/>
    <w:rsid w:val="002D6AE9"/>
    <w:rsid w:val="002D6ED4"/>
    <w:rsid w:val="002E0908"/>
    <w:rsid w:val="002E0D8D"/>
    <w:rsid w:val="002E19B1"/>
    <w:rsid w:val="002E1E69"/>
    <w:rsid w:val="002E458D"/>
    <w:rsid w:val="002E47A0"/>
    <w:rsid w:val="002E5016"/>
    <w:rsid w:val="002F1DE8"/>
    <w:rsid w:val="002F2A9F"/>
    <w:rsid w:val="002F43F6"/>
    <w:rsid w:val="002F57A7"/>
    <w:rsid w:val="002F63A9"/>
    <w:rsid w:val="002F64D7"/>
    <w:rsid w:val="003002C0"/>
    <w:rsid w:val="00301144"/>
    <w:rsid w:val="00302230"/>
    <w:rsid w:val="003027D0"/>
    <w:rsid w:val="00303C17"/>
    <w:rsid w:val="00307936"/>
    <w:rsid w:val="00310E25"/>
    <w:rsid w:val="00310E8C"/>
    <w:rsid w:val="00311319"/>
    <w:rsid w:val="00314063"/>
    <w:rsid w:val="003148B7"/>
    <w:rsid w:val="003158C3"/>
    <w:rsid w:val="00317144"/>
    <w:rsid w:val="003172DC"/>
    <w:rsid w:val="00320251"/>
    <w:rsid w:val="00324651"/>
    <w:rsid w:val="00324FEB"/>
    <w:rsid w:val="003270FB"/>
    <w:rsid w:val="00327220"/>
    <w:rsid w:val="003274CD"/>
    <w:rsid w:val="003323AB"/>
    <w:rsid w:val="00332EC9"/>
    <w:rsid w:val="0033311C"/>
    <w:rsid w:val="00333501"/>
    <w:rsid w:val="0033699D"/>
    <w:rsid w:val="00336C21"/>
    <w:rsid w:val="00337459"/>
    <w:rsid w:val="00340438"/>
    <w:rsid w:val="00343ABE"/>
    <w:rsid w:val="003456D3"/>
    <w:rsid w:val="003457C4"/>
    <w:rsid w:val="003464EF"/>
    <w:rsid w:val="00350324"/>
    <w:rsid w:val="00350A3F"/>
    <w:rsid w:val="0035119D"/>
    <w:rsid w:val="00352477"/>
    <w:rsid w:val="00352603"/>
    <w:rsid w:val="00352948"/>
    <w:rsid w:val="00353EC1"/>
    <w:rsid w:val="00353EE8"/>
    <w:rsid w:val="00354A00"/>
    <w:rsid w:val="003561B2"/>
    <w:rsid w:val="0035777A"/>
    <w:rsid w:val="003619C2"/>
    <w:rsid w:val="003673A4"/>
    <w:rsid w:val="00367EB7"/>
    <w:rsid w:val="00371536"/>
    <w:rsid w:val="00372ED1"/>
    <w:rsid w:val="003739C0"/>
    <w:rsid w:val="00374B8C"/>
    <w:rsid w:val="003762C7"/>
    <w:rsid w:val="0037759C"/>
    <w:rsid w:val="00377667"/>
    <w:rsid w:val="00382F46"/>
    <w:rsid w:val="003830B1"/>
    <w:rsid w:val="003830E0"/>
    <w:rsid w:val="00383C1F"/>
    <w:rsid w:val="00383D4A"/>
    <w:rsid w:val="0038531D"/>
    <w:rsid w:val="00385DFD"/>
    <w:rsid w:val="003862C8"/>
    <w:rsid w:val="00390DD2"/>
    <w:rsid w:val="00391091"/>
    <w:rsid w:val="0039155E"/>
    <w:rsid w:val="00392E5F"/>
    <w:rsid w:val="00397595"/>
    <w:rsid w:val="003A0DED"/>
    <w:rsid w:val="003A18E2"/>
    <w:rsid w:val="003A1C22"/>
    <w:rsid w:val="003A38AD"/>
    <w:rsid w:val="003A425C"/>
    <w:rsid w:val="003A44F8"/>
    <w:rsid w:val="003A54F3"/>
    <w:rsid w:val="003A74A0"/>
    <w:rsid w:val="003A7776"/>
    <w:rsid w:val="003B443E"/>
    <w:rsid w:val="003B4D4B"/>
    <w:rsid w:val="003B4F12"/>
    <w:rsid w:val="003B6079"/>
    <w:rsid w:val="003B64E5"/>
    <w:rsid w:val="003B6C4C"/>
    <w:rsid w:val="003B7583"/>
    <w:rsid w:val="003C4CB3"/>
    <w:rsid w:val="003C5B5B"/>
    <w:rsid w:val="003D0B7E"/>
    <w:rsid w:val="003D1A10"/>
    <w:rsid w:val="003D319F"/>
    <w:rsid w:val="003D352D"/>
    <w:rsid w:val="003D3B7A"/>
    <w:rsid w:val="003D4D8F"/>
    <w:rsid w:val="003D55FD"/>
    <w:rsid w:val="003D709F"/>
    <w:rsid w:val="003D72BD"/>
    <w:rsid w:val="003E1047"/>
    <w:rsid w:val="003E211B"/>
    <w:rsid w:val="003E256B"/>
    <w:rsid w:val="003E7208"/>
    <w:rsid w:val="003E75CF"/>
    <w:rsid w:val="003F1C75"/>
    <w:rsid w:val="003F1D6C"/>
    <w:rsid w:val="003F31DD"/>
    <w:rsid w:val="003F3E86"/>
    <w:rsid w:val="003F6EE0"/>
    <w:rsid w:val="003F7BA8"/>
    <w:rsid w:val="00400467"/>
    <w:rsid w:val="00400B0F"/>
    <w:rsid w:val="00401530"/>
    <w:rsid w:val="00401C71"/>
    <w:rsid w:val="004028A2"/>
    <w:rsid w:val="00402ACC"/>
    <w:rsid w:val="00403832"/>
    <w:rsid w:val="0040486C"/>
    <w:rsid w:val="00404CB6"/>
    <w:rsid w:val="00404CD6"/>
    <w:rsid w:val="0040681A"/>
    <w:rsid w:val="004074A0"/>
    <w:rsid w:val="00407A76"/>
    <w:rsid w:val="004120EC"/>
    <w:rsid w:val="0041437C"/>
    <w:rsid w:val="0041449E"/>
    <w:rsid w:val="004151F4"/>
    <w:rsid w:val="004159D3"/>
    <w:rsid w:val="00415F72"/>
    <w:rsid w:val="00416ECC"/>
    <w:rsid w:val="00417A72"/>
    <w:rsid w:val="00417A92"/>
    <w:rsid w:val="00420602"/>
    <w:rsid w:val="00420CBB"/>
    <w:rsid w:val="00421FB6"/>
    <w:rsid w:val="00423F31"/>
    <w:rsid w:val="00424D55"/>
    <w:rsid w:val="00431899"/>
    <w:rsid w:val="00431E2C"/>
    <w:rsid w:val="00433FE2"/>
    <w:rsid w:val="00434274"/>
    <w:rsid w:val="0043564E"/>
    <w:rsid w:val="00435958"/>
    <w:rsid w:val="004364D4"/>
    <w:rsid w:val="0043656E"/>
    <w:rsid w:val="00440236"/>
    <w:rsid w:val="0044574F"/>
    <w:rsid w:val="004502EC"/>
    <w:rsid w:val="00450CAD"/>
    <w:rsid w:val="0045785B"/>
    <w:rsid w:val="004579DF"/>
    <w:rsid w:val="00457B2F"/>
    <w:rsid w:val="00457E88"/>
    <w:rsid w:val="00457F8D"/>
    <w:rsid w:val="004607F3"/>
    <w:rsid w:val="004608DD"/>
    <w:rsid w:val="00461C05"/>
    <w:rsid w:val="00462A99"/>
    <w:rsid w:val="004641D4"/>
    <w:rsid w:val="0046525E"/>
    <w:rsid w:val="004670C0"/>
    <w:rsid w:val="004673BA"/>
    <w:rsid w:val="00471867"/>
    <w:rsid w:val="00472761"/>
    <w:rsid w:val="0047356F"/>
    <w:rsid w:val="00473EAD"/>
    <w:rsid w:val="0048013B"/>
    <w:rsid w:val="00480231"/>
    <w:rsid w:val="00483A28"/>
    <w:rsid w:val="00484536"/>
    <w:rsid w:val="00486804"/>
    <w:rsid w:val="00486833"/>
    <w:rsid w:val="00491C1B"/>
    <w:rsid w:val="0049200D"/>
    <w:rsid w:val="0049566B"/>
    <w:rsid w:val="00496A79"/>
    <w:rsid w:val="004977A1"/>
    <w:rsid w:val="004A10BD"/>
    <w:rsid w:val="004A1135"/>
    <w:rsid w:val="004A1FD7"/>
    <w:rsid w:val="004A20A3"/>
    <w:rsid w:val="004A2E99"/>
    <w:rsid w:val="004A357F"/>
    <w:rsid w:val="004A3664"/>
    <w:rsid w:val="004B0710"/>
    <w:rsid w:val="004B1D4E"/>
    <w:rsid w:val="004B1F3B"/>
    <w:rsid w:val="004B24D7"/>
    <w:rsid w:val="004B2BBA"/>
    <w:rsid w:val="004B3775"/>
    <w:rsid w:val="004B444F"/>
    <w:rsid w:val="004B6E4F"/>
    <w:rsid w:val="004C0F42"/>
    <w:rsid w:val="004C3FFD"/>
    <w:rsid w:val="004C44D8"/>
    <w:rsid w:val="004C4837"/>
    <w:rsid w:val="004C7A8A"/>
    <w:rsid w:val="004D0BA0"/>
    <w:rsid w:val="004D3989"/>
    <w:rsid w:val="004D3C54"/>
    <w:rsid w:val="004D43F3"/>
    <w:rsid w:val="004D6C93"/>
    <w:rsid w:val="004E0264"/>
    <w:rsid w:val="004E058F"/>
    <w:rsid w:val="004E0B9E"/>
    <w:rsid w:val="004E1496"/>
    <w:rsid w:val="004E1691"/>
    <w:rsid w:val="004E1BD0"/>
    <w:rsid w:val="004E266F"/>
    <w:rsid w:val="004E2972"/>
    <w:rsid w:val="004E29B0"/>
    <w:rsid w:val="004E3B87"/>
    <w:rsid w:val="004E3C1A"/>
    <w:rsid w:val="004E49EC"/>
    <w:rsid w:val="004E4B14"/>
    <w:rsid w:val="004E4DC9"/>
    <w:rsid w:val="004E5134"/>
    <w:rsid w:val="004E5E1F"/>
    <w:rsid w:val="004E71F6"/>
    <w:rsid w:val="004E746C"/>
    <w:rsid w:val="004F1D4C"/>
    <w:rsid w:val="004F268B"/>
    <w:rsid w:val="004F381B"/>
    <w:rsid w:val="004F437F"/>
    <w:rsid w:val="004F4699"/>
    <w:rsid w:val="004F4756"/>
    <w:rsid w:val="004F62FA"/>
    <w:rsid w:val="004F6331"/>
    <w:rsid w:val="004F6AF9"/>
    <w:rsid w:val="004F7081"/>
    <w:rsid w:val="00500CDC"/>
    <w:rsid w:val="00500E2C"/>
    <w:rsid w:val="00502CAF"/>
    <w:rsid w:val="005036F2"/>
    <w:rsid w:val="0050417A"/>
    <w:rsid w:val="00504870"/>
    <w:rsid w:val="00510921"/>
    <w:rsid w:val="00510AD3"/>
    <w:rsid w:val="00510FAB"/>
    <w:rsid w:val="00513348"/>
    <w:rsid w:val="00514132"/>
    <w:rsid w:val="005143DD"/>
    <w:rsid w:val="005165CF"/>
    <w:rsid w:val="005173A0"/>
    <w:rsid w:val="00517F1D"/>
    <w:rsid w:val="00521EB9"/>
    <w:rsid w:val="00523E7B"/>
    <w:rsid w:val="00526990"/>
    <w:rsid w:val="00527053"/>
    <w:rsid w:val="00527C38"/>
    <w:rsid w:val="005302E4"/>
    <w:rsid w:val="00532313"/>
    <w:rsid w:val="005328A8"/>
    <w:rsid w:val="00532B2B"/>
    <w:rsid w:val="00532B7E"/>
    <w:rsid w:val="00533B5D"/>
    <w:rsid w:val="00535C9F"/>
    <w:rsid w:val="0053721F"/>
    <w:rsid w:val="00540258"/>
    <w:rsid w:val="0054158E"/>
    <w:rsid w:val="0054196F"/>
    <w:rsid w:val="005430D6"/>
    <w:rsid w:val="00547443"/>
    <w:rsid w:val="00547668"/>
    <w:rsid w:val="005511BF"/>
    <w:rsid w:val="00552C02"/>
    <w:rsid w:val="0055480F"/>
    <w:rsid w:val="00555A5B"/>
    <w:rsid w:val="00555EBF"/>
    <w:rsid w:val="00556A45"/>
    <w:rsid w:val="00556E22"/>
    <w:rsid w:val="005571C7"/>
    <w:rsid w:val="0056262D"/>
    <w:rsid w:val="00564CA7"/>
    <w:rsid w:val="00564E2A"/>
    <w:rsid w:val="0056610D"/>
    <w:rsid w:val="00574827"/>
    <w:rsid w:val="005778B0"/>
    <w:rsid w:val="00580670"/>
    <w:rsid w:val="005807E5"/>
    <w:rsid w:val="00580AFA"/>
    <w:rsid w:val="00581662"/>
    <w:rsid w:val="00582288"/>
    <w:rsid w:val="0058771D"/>
    <w:rsid w:val="0059029C"/>
    <w:rsid w:val="00590323"/>
    <w:rsid w:val="00590FE6"/>
    <w:rsid w:val="0059146A"/>
    <w:rsid w:val="0059150F"/>
    <w:rsid w:val="00592B98"/>
    <w:rsid w:val="00593129"/>
    <w:rsid w:val="00593F27"/>
    <w:rsid w:val="005945BF"/>
    <w:rsid w:val="00595B40"/>
    <w:rsid w:val="00597B04"/>
    <w:rsid w:val="005A1D1A"/>
    <w:rsid w:val="005A2D55"/>
    <w:rsid w:val="005A2D6E"/>
    <w:rsid w:val="005A2E46"/>
    <w:rsid w:val="005A3435"/>
    <w:rsid w:val="005A56DD"/>
    <w:rsid w:val="005A5B5F"/>
    <w:rsid w:val="005A6934"/>
    <w:rsid w:val="005A7067"/>
    <w:rsid w:val="005B050B"/>
    <w:rsid w:val="005B0C17"/>
    <w:rsid w:val="005B1C7C"/>
    <w:rsid w:val="005B4038"/>
    <w:rsid w:val="005B4F3B"/>
    <w:rsid w:val="005B5769"/>
    <w:rsid w:val="005B59E7"/>
    <w:rsid w:val="005B63E9"/>
    <w:rsid w:val="005B7542"/>
    <w:rsid w:val="005B7B8C"/>
    <w:rsid w:val="005C0266"/>
    <w:rsid w:val="005C2F9D"/>
    <w:rsid w:val="005C36AD"/>
    <w:rsid w:val="005C4198"/>
    <w:rsid w:val="005C549C"/>
    <w:rsid w:val="005D04A1"/>
    <w:rsid w:val="005D19C4"/>
    <w:rsid w:val="005D1D57"/>
    <w:rsid w:val="005D3655"/>
    <w:rsid w:val="005E0998"/>
    <w:rsid w:val="005E0E62"/>
    <w:rsid w:val="005E25FF"/>
    <w:rsid w:val="005E2B1A"/>
    <w:rsid w:val="005E4972"/>
    <w:rsid w:val="005E4DA9"/>
    <w:rsid w:val="005E56F9"/>
    <w:rsid w:val="005E606B"/>
    <w:rsid w:val="005E6A42"/>
    <w:rsid w:val="005E72FD"/>
    <w:rsid w:val="005F097A"/>
    <w:rsid w:val="005F2234"/>
    <w:rsid w:val="005F57F1"/>
    <w:rsid w:val="005F5C2C"/>
    <w:rsid w:val="005F7439"/>
    <w:rsid w:val="005F7BEA"/>
    <w:rsid w:val="005F7F5D"/>
    <w:rsid w:val="00600479"/>
    <w:rsid w:val="00602ABF"/>
    <w:rsid w:val="006034F2"/>
    <w:rsid w:val="006042E2"/>
    <w:rsid w:val="0060611B"/>
    <w:rsid w:val="00606A20"/>
    <w:rsid w:val="00607790"/>
    <w:rsid w:val="006109D2"/>
    <w:rsid w:val="00610F13"/>
    <w:rsid w:val="0061204C"/>
    <w:rsid w:val="006137EA"/>
    <w:rsid w:val="0061437E"/>
    <w:rsid w:val="006143ED"/>
    <w:rsid w:val="006148B6"/>
    <w:rsid w:val="00615669"/>
    <w:rsid w:val="00615E9B"/>
    <w:rsid w:val="00617135"/>
    <w:rsid w:val="00621594"/>
    <w:rsid w:val="00621C8D"/>
    <w:rsid w:val="0062229A"/>
    <w:rsid w:val="00622ABC"/>
    <w:rsid w:val="00622C50"/>
    <w:rsid w:val="00623283"/>
    <w:rsid w:val="006233D3"/>
    <w:rsid w:val="00623BA1"/>
    <w:rsid w:val="00625742"/>
    <w:rsid w:val="00627C65"/>
    <w:rsid w:val="00631C42"/>
    <w:rsid w:val="006346BC"/>
    <w:rsid w:val="00634712"/>
    <w:rsid w:val="00634D77"/>
    <w:rsid w:val="00643B95"/>
    <w:rsid w:val="00643BC1"/>
    <w:rsid w:val="00643FD8"/>
    <w:rsid w:val="00644266"/>
    <w:rsid w:val="00646C48"/>
    <w:rsid w:val="0065016F"/>
    <w:rsid w:val="006502D8"/>
    <w:rsid w:val="006522CD"/>
    <w:rsid w:val="00656255"/>
    <w:rsid w:val="00657277"/>
    <w:rsid w:val="00657AEE"/>
    <w:rsid w:val="00661889"/>
    <w:rsid w:val="0066361D"/>
    <w:rsid w:val="0066506E"/>
    <w:rsid w:val="0066652A"/>
    <w:rsid w:val="00666A24"/>
    <w:rsid w:val="00667065"/>
    <w:rsid w:val="00671849"/>
    <w:rsid w:val="00673159"/>
    <w:rsid w:val="006735AA"/>
    <w:rsid w:val="00673B11"/>
    <w:rsid w:val="00676033"/>
    <w:rsid w:val="00680522"/>
    <w:rsid w:val="00680C19"/>
    <w:rsid w:val="0068170A"/>
    <w:rsid w:val="00681F08"/>
    <w:rsid w:val="00682003"/>
    <w:rsid w:val="00682167"/>
    <w:rsid w:val="00683620"/>
    <w:rsid w:val="006839CB"/>
    <w:rsid w:val="006841B0"/>
    <w:rsid w:val="0068579D"/>
    <w:rsid w:val="0068702C"/>
    <w:rsid w:val="00687148"/>
    <w:rsid w:val="00691755"/>
    <w:rsid w:val="006926A1"/>
    <w:rsid w:val="00693CA0"/>
    <w:rsid w:val="00694A17"/>
    <w:rsid w:val="006960E3"/>
    <w:rsid w:val="0069664E"/>
    <w:rsid w:val="006A012A"/>
    <w:rsid w:val="006A1BF3"/>
    <w:rsid w:val="006A1C2F"/>
    <w:rsid w:val="006A45A8"/>
    <w:rsid w:val="006A5DE2"/>
    <w:rsid w:val="006A6145"/>
    <w:rsid w:val="006A6AD5"/>
    <w:rsid w:val="006A6CC1"/>
    <w:rsid w:val="006B1077"/>
    <w:rsid w:val="006B19A7"/>
    <w:rsid w:val="006B3485"/>
    <w:rsid w:val="006B4812"/>
    <w:rsid w:val="006B4938"/>
    <w:rsid w:val="006C23E1"/>
    <w:rsid w:val="006C42AF"/>
    <w:rsid w:val="006C4F09"/>
    <w:rsid w:val="006C4F8D"/>
    <w:rsid w:val="006C6041"/>
    <w:rsid w:val="006C640F"/>
    <w:rsid w:val="006C7EA2"/>
    <w:rsid w:val="006D08C3"/>
    <w:rsid w:val="006D163D"/>
    <w:rsid w:val="006D3E7C"/>
    <w:rsid w:val="006D4BC7"/>
    <w:rsid w:val="006D5CF6"/>
    <w:rsid w:val="006D6BBD"/>
    <w:rsid w:val="006E21A9"/>
    <w:rsid w:val="006E28CE"/>
    <w:rsid w:val="006E3DAA"/>
    <w:rsid w:val="006E40CF"/>
    <w:rsid w:val="006E5DF5"/>
    <w:rsid w:val="006F08E8"/>
    <w:rsid w:val="006F27B1"/>
    <w:rsid w:val="006F4D85"/>
    <w:rsid w:val="006F64D7"/>
    <w:rsid w:val="006F6805"/>
    <w:rsid w:val="00701D52"/>
    <w:rsid w:val="00702143"/>
    <w:rsid w:val="00702449"/>
    <w:rsid w:val="00703132"/>
    <w:rsid w:val="00703F9A"/>
    <w:rsid w:val="00704448"/>
    <w:rsid w:val="00705A67"/>
    <w:rsid w:val="00706B29"/>
    <w:rsid w:val="00706BF7"/>
    <w:rsid w:val="00707559"/>
    <w:rsid w:val="007102E9"/>
    <w:rsid w:val="00710C6C"/>
    <w:rsid w:val="007113AC"/>
    <w:rsid w:val="00711D8E"/>
    <w:rsid w:val="00712672"/>
    <w:rsid w:val="007128EC"/>
    <w:rsid w:val="00713060"/>
    <w:rsid w:val="007147BA"/>
    <w:rsid w:val="0071547D"/>
    <w:rsid w:val="007227A1"/>
    <w:rsid w:val="00722BBE"/>
    <w:rsid w:val="00724510"/>
    <w:rsid w:val="00724EF3"/>
    <w:rsid w:val="007253AF"/>
    <w:rsid w:val="007259A3"/>
    <w:rsid w:val="00726643"/>
    <w:rsid w:val="0072689A"/>
    <w:rsid w:val="0072779B"/>
    <w:rsid w:val="007322F7"/>
    <w:rsid w:val="0073299D"/>
    <w:rsid w:val="0073417B"/>
    <w:rsid w:val="00734E3F"/>
    <w:rsid w:val="007359A0"/>
    <w:rsid w:val="00735E21"/>
    <w:rsid w:val="00736985"/>
    <w:rsid w:val="00736CD3"/>
    <w:rsid w:val="00741595"/>
    <w:rsid w:val="00742D59"/>
    <w:rsid w:val="00743754"/>
    <w:rsid w:val="00743C2D"/>
    <w:rsid w:val="0074465E"/>
    <w:rsid w:val="00744CBF"/>
    <w:rsid w:val="00744CC6"/>
    <w:rsid w:val="00744D40"/>
    <w:rsid w:val="0074520D"/>
    <w:rsid w:val="0074568D"/>
    <w:rsid w:val="00745D9F"/>
    <w:rsid w:val="00745DF5"/>
    <w:rsid w:val="00750789"/>
    <w:rsid w:val="00752124"/>
    <w:rsid w:val="00753DC6"/>
    <w:rsid w:val="0075720A"/>
    <w:rsid w:val="00760C16"/>
    <w:rsid w:val="00760F91"/>
    <w:rsid w:val="0076250F"/>
    <w:rsid w:val="00762E8D"/>
    <w:rsid w:val="00762FAB"/>
    <w:rsid w:val="00766E99"/>
    <w:rsid w:val="00770D66"/>
    <w:rsid w:val="007716F6"/>
    <w:rsid w:val="00771B53"/>
    <w:rsid w:val="00772085"/>
    <w:rsid w:val="007741F0"/>
    <w:rsid w:val="00774F92"/>
    <w:rsid w:val="00782111"/>
    <w:rsid w:val="007821BE"/>
    <w:rsid w:val="00782968"/>
    <w:rsid w:val="00784031"/>
    <w:rsid w:val="00784498"/>
    <w:rsid w:val="007853EC"/>
    <w:rsid w:val="007858FB"/>
    <w:rsid w:val="00792E26"/>
    <w:rsid w:val="0079365C"/>
    <w:rsid w:val="00793871"/>
    <w:rsid w:val="007953CD"/>
    <w:rsid w:val="00796D12"/>
    <w:rsid w:val="007A1C17"/>
    <w:rsid w:val="007A2855"/>
    <w:rsid w:val="007A6B18"/>
    <w:rsid w:val="007A7749"/>
    <w:rsid w:val="007A795E"/>
    <w:rsid w:val="007A7C7C"/>
    <w:rsid w:val="007B04E7"/>
    <w:rsid w:val="007B0C16"/>
    <w:rsid w:val="007B2018"/>
    <w:rsid w:val="007B4014"/>
    <w:rsid w:val="007B4865"/>
    <w:rsid w:val="007B49F7"/>
    <w:rsid w:val="007B6200"/>
    <w:rsid w:val="007B7815"/>
    <w:rsid w:val="007C1681"/>
    <w:rsid w:val="007C201B"/>
    <w:rsid w:val="007C2540"/>
    <w:rsid w:val="007C2616"/>
    <w:rsid w:val="007C6674"/>
    <w:rsid w:val="007C7418"/>
    <w:rsid w:val="007D0038"/>
    <w:rsid w:val="007D0299"/>
    <w:rsid w:val="007D1069"/>
    <w:rsid w:val="007D10EA"/>
    <w:rsid w:val="007D2E25"/>
    <w:rsid w:val="007E0950"/>
    <w:rsid w:val="007E0B6F"/>
    <w:rsid w:val="007E1768"/>
    <w:rsid w:val="007E2B08"/>
    <w:rsid w:val="007E45F6"/>
    <w:rsid w:val="007E5D3A"/>
    <w:rsid w:val="007F2F4F"/>
    <w:rsid w:val="007F3395"/>
    <w:rsid w:val="007F46DA"/>
    <w:rsid w:val="00800CDB"/>
    <w:rsid w:val="00801B9F"/>
    <w:rsid w:val="00802390"/>
    <w:rsid w:val="008033F2"/>
    <w:rsid w:val="008057FD"/>
    <w:rsid w:val="008059E5"/>
    <w:rsid w:val="00807A74"/>
    <w:rsid w:val="008122B4"/>
    <w:rsid w:val="008123B0"/>
    <w:rsid w:val="00812B76"/>
    <w:rsid w:val="008178D5"/>
    <w:rsid w:val="00817EBC"/>
    <w:rsid w:val="00821BED"/>
    <w:rsid w:val="0082291A"/>
    <w:rsid w:val="00823693"/>
    <w:rsid w:val="0082557B"/>
    <w:rsid w:val="00827497"/>
    <w:rsid w:val="008310C6"/>
    <w:rsid w:val="008327EB"/>
    <w:rsid w:val="00833590"/>
    <w:rsid w:val="008350C2"/>
    <w:rsid w:val="00835C4C"/>
    <w:rsid w:val="00840168"/>
    <w:rsid w:val="00840668"/>
    <w:rsid w:val="00842F83"/>
    <w:rsid w:val="00843B6E"/>
    <w:rsid w:val="00846D06"/>
    <w:rsid w:val="00847288"/>
    <w:rsid w:val="008475F0"/>
    <w:rsid w:val="008518C3"/>
    <w:rsid w:val="008612C2"/>
    <w:rsid w:val="00864210"/>
    <w:rsid w:val="008654FD"/>
    <w:rsid w:val="00865B63"/>
    <w:rsid w:val="00866D4F"/>
    <w:rsid w:val="00870221"/>
    <w:rsid w:val="008718F6"/>
    <w:rsid w:val="00873331"/>
    <w:rsid w:val="008762E4"/>
    <w:rsid w:val="00876566"/>
    <w:rsid w:val="00877168"/>
    <w:rsid w:val="00877874"/>
    <w:rsid w:val="00880004"/>
    <w:rsid w:val="008814D5"/>
    <w:rsid w:val="0088155F"/>
    <w:rsid w:val="0088189A"/>
    <w:rsid w:val="00883ADA"/>
    <w:rsid w:val="008849A6"/>
    <w:rsid w:val="00884DD7"/>
    <w:rsid w:val="0088735A"/>
    <w:rsid w:val="00887569"/>
    <w:rsid w:val="00887DE7"/>
    <w:rsid w:val="0089161C"/>
    <w:rsid w:val="00891631"/>
    <w:rsid w:val="008919FA"/>
    <w:rsid w:val="008925C5"/>
    <w:rsid w:val="008936CE"/>
    <w:rsid w:val="00893BE6"/>
    <w:rsid w:val="00894B4F"/>
    <w:rsid w:val="00894B75"/>
    <w:rsid w:val="0089588F"/>
    <w:rsid w:val="00895F97"/>
    <w:rsid w:val="0089703F"/>
    <w:rsid w:val="008A05B2"/>
    <w:rsid w:val="008A1004"/>
    <w:rsid w:val="008A1907"/>
    <w:rsid w:val="008A43B5"/>
    <w:rsid w:val="008A5AFE"/>
    <w:rsid w:val="008A7BC6"/>
    <w:rsid w:val="008B1CEB"/>
    <w:rsid w:val="008B1CED"/>
    <w:rsid w:val="008B246E"/>
    <w:rsid w:val="008B2FCD"/>
    <w:rsid w:val="008B5737"/>
    <w:rsid w:val="008B68D7"/>
    <w:rsid w:val="008B799A"/>
    <w:rsid w:val="008B7D42"/>
    <w:rsid w:val="008B7FE3"/>
    <w:rsid w:val="008C1D1E"/>
    <w:rsid w:val="008C2F58"/>
    <w:rsid w:val="008C3418"/>
    <w:rsid w:val="008C5A0E"/>
    <w:rsid w:val="008C5A4E"/>
    <w:rsid w:val="008C7C6D"/>
    <w:rsid w:val="008D179F"/>
    <w:rsid w:val="008D2B4B"/>
    <w:rsid w:val="008D3D50"/>
    <w:rsid w:val="008D7682"/>
    <w:rsid w:val="008E0B96"/>
    <w:rsid w:val="008E1EA4"/>
    <w:rsid w:val="008E4247"/>
    <w:rsid w:val="008E5CF0"/>
    <w:rsid w:val="008E6726"/>
    <w:rsid w:val="008F05D6"/>
    <w:rsid w:val="008F0C31"/>
    <w:rsid w:val="008F1207"/>
    <w:rsid w:val="008F28D8"/>
    <w:rsid w:val="008F56A8"/>
    <w:rsid w:val="008F65EA"/>
    <w:rsid w:val="008F6B73"/>
    <w:rsid w:val="009011BA"/>
    <w:rsid w:val="009055E4"/>
    <w:rsid w:val="009068E5"/>
    <w:rsid w:val="0090783F"/>
    <w:rsid w:val="0091072F"/>
    <w:rsid w:val="00911D21"/>
    <w:rsid w:val="00914640"/>
    <w:rsid w:val="00914B85"/>
    <w:rsid w:val="009157C3"/>
    <w:rsid w:val="009157FD"/>
    <w:rsid w:val="00915A56"/>
    <w:rsid w:val="00915EF5"/>
    <w:rsid w:val="009205E5"/>
    <w:rsid w:val="00921045"/>
    <w:rsid w:val="00921176"/>
    <w:rsid w:val="0092133C"/>
    <w:rsid w:val="0092172B"/>
    <w:rsid w:val="00922241"/>
    <w:rsid w:val="009237F0"/>
    <w:rsid w:val="0092387E"/>
    <w:rsid w:val="0092448C"/>
    <w:rsid w:val="00932A30"/>
    <w:rsid w:val="00933FED"/>
    <w:rsid w:val="00935506"/>
    <w:rsid w:val="0093562A"/>
    <w:rsid w:val="00936B60"/>
    <w:rsid w:val="00937BC2"/>
    <w:rsid w:val="009406E0"/>
    <w:rsid w:val="0094294D"/>
    <w:rsid w:val="00942CDE"/>
    <w:rsid w:val="00945893"/>
    <w:rsid w:val="00945B8B"/>
    <w:rsid w:val="00945F3F"/>
    <w:rsid w:val="00947104"/>
    <w:rsid w:val="00947397"/>
    <w:rsid w:val="009505A9"/>
    <w:rsid w:val="00950A7A"/>
    <w:rsid w:val="009512D2"/>
    <w:rsid w:val="00951C8D"/>
    <w:rsid w:val="00952006"/>
    <w:rsid w:val="009522DB"/>
    <w:rsid w:val="00954918"/>
    <w:rsid w:val="00957D68"/>
    <w:rsid w:val="00960093"/>
    <w:rsid w:val="00960D96"/>
    <w:rsid w:val="00962FF0"/>
    <w:rsid w:val="00963CCE"/>
    <w:rsid w:val="00964CD4"/>
    <w:rsid w:val="0096578B"/>
    <w:rsid w:val="0096743A"/>
    <w:rsid w:val="0097016B"/>
    <w:rsid w:val="009701DB"/>
    <w:rsid w:val="00970924"/>
    <w:rsid w:val="00970F89"/>
    <w:rsid w:val="00971A9E"/>
    <w:rsid w:val="00972E6F"/>
    <w:rsid w:val="00972EFC"/>
    <w:rsid w:val="0097474B"/>
    <w:rsid w:val="00975E37"/>
    <w:rsid w:val="0097692E"/>
    <w:rsid w:val="00977220"/>
    <w:rsid w:val="00977977"/>
    <w:rsid w:val="009870BC"/>
    <w:rsid w:val="009903F3"/>
    <w:rsid w:val="00992C76"/>
    <w:rsid w:val="00992E78"/>
    <w:rsid w:val="00992FB9"/>
    <w:rsid w:val="009967D2"/>
    <w:rsid w:val="0099775F"/>
    <w:rsid w:val="009A4BA3"/>
    <w:rsid w:val="009A4D1A"/>
    <w:rsid w:val="009A4E9D"/>
    <w:rsid w:val="009A683F"/>
    <w:rsid w:val="009A6D0F"/>
    <w:rsid w:val="009A70F1"/>
    <w:rsid w:val="009A7C8A"/>
    <w:rsid w:val="009A7F0F"/>
    <w:rsid w:val="009B06E7"/>
    <w:rsid w:val="009B0C7A"/>
    <w:rsid w:val="009B100C"/>
    <w:rsid w:val="009B40C4"/>
    <w:rsid w:val="009B4B6A"/>
    <w:rsid w:val="009B4D3B"/>
    <w:rsid w:val="009B5E40"/>
    <w:rsid w:val="009B6892"/>
    <w:rsid w:val="009B6C5B"/>
    <w:rsid w:val="009B6F1F"/>
    <w:rsid w:val="009B7FE2"/>
    <w:rsid w:val="009C18DB"/>
    <w:rsid w:val="009C2263"/>
    <w:rsid w:val="009C2F22"/>
    <w:rsid w:val="009C3176"/>
    <w:rsid w:val="009C4549"/>
    <w:rsid w:val="009C4B03"/>
    <w:rsid w:val="009C5644"/>
    <w:rsid w:val="009C5F4A"/>
    <w:rsid w:val="009C7B92"/>
    <w:rsid w:val="009C7EF7"/>
    <w:rsid w:val="009D2101"/>
    <w:rsid w:val="009D2C1E"/>
    <w:rsid w:val="009D4AFA"/>
    <w:rsid w:val="009D4BC5"/>
    <w:rsid w:val="009D598D"/>
    <w:rsid w:val="009D7407"/>
    <w:rsid w:val="009E03AC"/>
    <w:rsid w:val="009E0866"/>
    <w:rsid w:val="009E1565"/>
    <w:rsid w:val="009E1C89"/>
    <w:rsid w:val="009E3DDE"/>
    <w:rsid w:val="009E60E2"/>
    <w:rsid w:val="009E60EF"/>
    <w:rsid w:val="009E640D"/>
    <w:rsid w:val="009E71D1"/>
    <w:rsid w:val="009E7BB8"/>
    <w:rsid w:val="009F124F"/>
    <w:rsid w:val="009F12CD"/>
    <w:rsid w:val="009F31B9"/>
    <w:rsid w:val="009F38EF"/>
    <w:rsid w:val="009F4375"/>
    <w:rsid w:val="009F465B"/>
    <w:rsid w:val="009F5380"/>
    <w:rsid w:val="009F5488"/>
    <w:rsid w:val="009F55B0"/>
    <w:rsid w:val="009F5CFD"/>
    <w:rsid w:val="009F6423"/>
    <w:rsid w:val="00A0129A"/>
    <w:rsid w:val="00A01CB3"/>
    <w:rsid w:val="00A01F85"/>
    <w:rsid w:val="00A03584"/>
    <w:rsid w:val="00A04087"/>
    <w:rsid w:val="00A061D7"/>
    <w:rsid w:val="00A06909"/>
    <w:rsid w:val="00A07703"/>
    <w:rsid w:val="00A10388"/>
    <w:rsid w:val="00A10C75"/>
    <w:rsid w:val="00A10F57"/>
    <w:rsid w:val="00A128BA"/>
    <w:rsid w:val="00A22ADB"/>
    <w:rsid w:val="00A237DC"/>
    <w:rsid w:val="00A23F46"/>
    <w:rsid w:val="00A2405E"/>
    <w:rsid w:val="00A24A62"/>
    <w:rsid w:val="00A25434"/>
    <w:rsid w:val="00A26B43"/>
    <w:rsid w:val="00A26F6C"/>
    <w:rsid w:val="00A27F92"/>
    <w:rsid w:val="00A31BEF"/>
    <w:rsid w:val="00A31C9F"/>
    <w:rsid w:val="00A323C2"/>
    <w:rsid w:val="00A34E67"/>
    <w:rsid w:val="00A35023"/>
    <w:rsid w:val="00A357E0"/>
    <w:rsid w:val="00A3582F"/>
    <w:rsid w:val="00A361DB"/>
    <w:rsid w:val="00A3634E"/>
    <w:rsid w:val="00A37D0A"/>
    <w:rsid w:val="00A4040F"/>
    <w:rsid w:val="00A404DC"/>
    <w:rsid w:val="00A4144F"/>
    <w:rsid w:val="00A41D32"/>
    <w:rsid w:val="00A43BFB"/>
    <w:rsid w:val="00A4474E"/>
    <w:rsid w:val="00A44F8E"/>
    <w:rsid w:val="00A458FD"/>
    <w:rsid w:val="00A47D25"/>
    <w:rsid w:val="00A512EC"/>
    <w:rsid w:val="00A51B78"/>
    <w:rsid w:val="00A51BBC"/>
    <w:rsid w:val="00A52732"/>
    <w:rsid w:val="00A53054"/>
    <w:rsid w:val="00A54034"/>
    <w:rsid w:val="00A56D82"/>
    <w:rsid w:val="00A56F14"/>
    <w:rsid w:val="00A6015E"/>
    <w:rsid w:val="00A61B7B"/>
    <w:rsid w:val="00A62E21"/>
    <w:rsid w:val="00A63B45"/>
    <w:rsid w:val="00A63F68"/>
    <w:rsid w:val="00A63FB4"/>
    <w:rsid w:val="00A65DA9"/>
    <w:rsid w:val="00A65F22"/>
    <w:rsid w:val="00A6696F"/>
    <w:rsid w:val="00A66D1F"/>
    <w:rsid w:val="00A70200"/>
    <w:rsid w:val="00A73D98"/>
    <w:rsid w:val="00A7470D"/>
    <w:rsid w:val="00A757EB"/>
    <w:rsid w:val="00A762E1"/>
    <w:rsid w:val="00A76CB0"/>
    <w:rsid w:val="00A76E31"/>
    <w:rsid w:val="00A77B39"/>
    <w:rsid w:val="00A80852"/>
    <w:rsid w:val="00A80F95"/>
    <w:rsid w:val="00A80FE4"/>
    <w:rsid w:val="00A8197B"/>
    <w:rsid w:val="00A839EB"/>
    <w:rsid w:val="00A83C65"/>
    <w:rsid w:val="00A865DF"/>
    <w:rsid w:val="00A877E8"/>
    <w:rsid w:val="00A90324"/>
    <w:rsid w:val="00A9077D"/>
    <w:rsid w:val="00A91E88"/>
    <w:rsid w:val="00A92496"/>
    <w:rsid w:val="00A926F9"/>
    <w:rsid w:val="00A936EA"/>
    <w:rsid w:val="00A941B7"/>
    <w:rsid w:val="00A9530D"/>
    <w:rsid w:val="00A96728"/>
    <w:rsid w:val="00A96DD7"/>
    <w:rsid w:val="00AA26CD"/>
    <w:rsid w:val="00AA6111"/>
    <w:rsid w:val="00AA7410"/>
    <w:rsid w:val="00AA7541"/>
    <w:rsid w:val="00AA7BE3"/>
    <w:rsid w:val="00AB2418"/>
    <w:rsid w:val="00AB2783"/>
    <w:rsid w:val="00AB5E7F"/>
    <w:rsid w:val="00AC164A"/>
    <w:rsid w:val="00AC21DC"/>
    <w:rsid w:val="00AC25AA"/>
    <w:rsid w:val="00AC302F"/>
    <w:rsid w:val="00AC529E"/>
    <w:rsid w:val="00AD41F5"/>
    <w:rsid w:val="00AD461B"/>
    <w:rsid w:val="00AD507D"/>
    <w:rsid w:val="00AE0526"/>
    <w:rsid w:val="00AE1C7D"/>
    <w:rsid w:val="00AE5017"/>
    <w:rsid w:val="00AE6062"/>
    <w:rsid w:val="00AE6BEC"/>
    <w:rsid w:val="00AF1B85"/>
    <w:rsid w:val="00AF1DBD"/>
    <w:rsid w:val="00AF2050"/>
    <w:rsid w:val="00AF3BB2"/>
    <w:rsid w:val="00AF51BD"/>
    <w:rsid w:val="00AF5C57"/>
    <w:rsid w:val="00AF6EE1"/>
    <w:rsid w:val="00B00016"/>
    <w:rsid w:val="00B00C04"/>
    <w:rsid w:val="00B00DC6"/>
    <w:rsid w:val="00B03CA8"/>
    <w:rsid w:val="00B04920"/>
    <w:rsid w:val="00B06AD7"/>
    <w:rsid w:val="00B1252F"/>
    <w:rsid w:val="00B13240"/>
    <w:rsid w:val="00B17E81"/>
    <w:rsid w:val="00B17FD1"/>
    <w:rsid w:val="00B20A72"/>
    <w:rsid w:val="00B24529"/>
    <w:rsid w:val="00B25C92"/>
    <w:rsid w:val="00B2690A"/>
    <w:rsid w:val="00B26B97"/>
    <w:rsid w:val="00B27A0D"/>
    <w:rsid w:val="00B3033B"/>
    <w:rsid w:val="00B30D3A"/>
    <w:rsid w:val="00B32C61"/>
    <w:rsid w:val="00B331DC"/>
    <w:rsid w:val="00B33630"/>
    <w:rsid w:val="00B34A15"/>
    <w:rsid w:val="00B34D93"/>
    <w:rsid w:val="00B3610E"/>
    <w:rsid w:val="00B36B71"/>
    <w:rsid w:val="00B37C19"/>
    <w:rsid w:val="00B37F36"/>
    <w:rsid w:val="00B40540"/>
    <w:rsid w:val="00B434A5"/>
    <w:rsid w:val="00B438D3"/>
    <w:rsid w:val="00B43904"/>
    <w:rsid w:val="00B442F6"/>
    <w:rsid w:val="00B44388"/>
    <w:rsid w:val="00B45C5A"/>
    <w:rsid w:val="00B45FC0"/>
    <w:rsid w:val="00B46800"/>
    <w:rsid w:val="00B471A4"/>
    <w:rsid w:val="00B47D1D"/>
    <w:rsid w:val="00B51419"/>
    <w:rsid w:val="00B544D2"/>
    <w:rsid w:val="00B55E19"/>
    <w:rsid w:val="00B55E36"/>
    <w:rsid w:val="00B55ECD"/>
    <w:rsid w:val="00B57E05"/>
    <w:rsid w:val="00B61BE9"/>
    <w:rsid w:val="00B61EA3"/>
    <w:rsid w:val="00B63338"/>
    <w:rsid w:val="00B658BF"/>
    <w:rsid w:val="00B66733"/>
    <w:rsid w:val="00B67307"/>
    <w:rsid w:val="00B67DD3"/>
    <w:rsid w:val="00B745ED"/>
    <w:rsid w:val="00B74781"/>
    <w:rsid w:val="00B74ED5"/>
    <w:rsid w:val="00B812E1"/>
    <w:rsid w:val="00B821C3"/>
    <w:rsid w:val="00B849C8"/>
    <w:rsid w:val="00B94656"/>
    <w:rsid w:val="00B968C7"/>
    <w:rsid w:val="00B96913"/>
    <w:rsid w:val="00BA0435"/>
    <w:rsid w:val="00BA12ED"/>
    <w:rsid w:val="00BA16F3"/>
    <w:rsid w:val="00BA3FCD"/>
    <w:rsid w:val="00BA4B6D"/>
    <w:rsid w:val="00BA4E94"/>
    <w:rsid w:val="00BA6039"/>
    <w:rsid w:val="00BA6ADA"/>
    <w:rsid w:val="00BB254C"/>
    <w:rsid w:val="00BB26C5"/>
    <w:rsid w:val="00BB3EFA"/>
    <w:rsid w:val="00BB65E2"/>
    <w:rsid w:val="00BC0F40"/>
    <w:rsid w:val="00BC1345"/>
    <w:rsid w:val="00BC15DE"/>
    <w:rsid w:val="00BC1B3A"/>
    <w:rsid w:val="00BC245E"/>
    <w:rsid w:val="00BC3293"/>
    <w:rsid w:val="00BC337C"/>
    <w:rsid w:val="00BC34AB"/>
    <w:rsid w:val="00BC34B9"/>
    <w:rsid w:val="00BC472A"/>
    <w:rsid w:val="00BC4AA1"/>
    <w:rsid w:val="00BC55FB"/>
    <w:rsid w:val="00BC5CDF"/>
    <w:rsid w:val="00BC7026"/>
    <w:rsid w:val="00BC7F00"/>
    <w:rsid w:val="00BD086D"/>
    <w:rsid w:val="00BD0E5B"/>
    <w:rsid w:val="00BD2020"/>
    <w:rsid w:val="00BD37CD"/>
    <w:rsid w:val="00BD4E4F"/>
    <w:rsid w:val="00BD6C13"/>
    <w:rsid w:val="00BD74D0"/>
    <w:rsid w:val="00BD74EA"/>
    <w:rsid w:val="00BE0084"/>
    <w:rsid w:val="00BE3094"/>
    <w:rsid w:val="00BE4403"/>
    <w:rsid w:val="00BE4737"/>
    <w:rsid w:val="00BE5D2A"/>
    <w:rsid w:val="00BE63C4"/>
    <w:rsid w:val="00BE6C6D"/>
    <w:rsid w:val="00BE737D"/>
    <w:rsid w:val="00BF09BC"/>
    <w:rsid w:val="00BF200A"/>
    <w:rsid w:val="00BF2606"/>
    <w:rsid w:val="00BF4DE6"/>
    <w:rsid w:val="00BF5743"/>
    <w:rsid w:val="00BF586F"/>
    <w:rsid w:val="00BF7DA2"/>
    <w:rsid w:val="00C0176E"/>
    <w:rsid w:val="00C01AEE"/>
    <w:rsid w:val="00C023AE"/>
    <w:rsid w:val="00C03BEA"/>
    <w:rsid w:val="00C04E61"/>
    <w:rsid w:val="00C05197"/>
    <w:rsid w:val="00C065F3"/>
    <w:rsid w:val="00C13213"/>
    <w:rsid w:val="00C14C72"/>
    <w:rsid w:val="00C14DAE"/>
    <w:rsid w:val="00C14EC2"/>
    <w:rsid w:val="00C1527B"/>
    <w:rsid w:val="00C15E25"/>
    <w:rsid w:val="00C16F89"/>
    <w:rsid w:val="00C22FC6"/>
    <w:rsid w:val="00C25EE0"/>
    <w:rsid w:val="00C3070A"/>
    <w:rsid w:val="00C31BE0"/>
    <w:rsid w:val="00C32991"/>
    <w:rsid w:val="00C3496F"/>
    <w:rsid w:val="00C36589"/>
    <w:rsid w:val="00C36C23"/>
    <w:rsid w:val="00C36F1F"/>
    <w:rsid w:val="00C3715D"/>
    <w:rsid w:val="00C406F0"/>
    <w:rsid w:val="00C4148B"/>
    <w:rsid w:val="00C4195D"/>
    <w:rsid w:val="00C42704"/>
    <w:rsid w:val="00C42739"/>
    <w:rsid w:val="00C42CDE"/>
    <w:rsid w:val="00C42DA1"/>
    <w:rsid w:val="00C446D4"/>
    <w:rsid w:val="00C46217"/>
    <w:rsid w:val="00C4634B"/>
    <w:rsid w:val="00C47039"/>
    <w:rsid w:val="00C474A8"/>
    <w:rsid w:val="00C500D7"/>
    <w:rsid w:val="00C5182A"/>
    <w:rsid w:val="00C5192F"/>
    <w:rsid w:val="00C519BD"/>
    <w:rsid w:val="00C51A20"/>
    <w:rsid w:val="00C52C29"/>
    <w:rsid w:val="00C54149"/>
    <w:rsid w:val="00C572EF"/>
    <w:rsid w:val="00C57C71"/>
    <w:rsid w:val="00C62661"/>
    <w:rsid w:val="00C62F15"/>
    <w:rsid w:val="00C63EE9"/>
    <w:rsid w:val="00C64AF9"/>
    <w:rsid w:val="00C6626C"/>
    <w:rsid w:val="00C7273F"/>
    <w:rsid w:val="00C73E61"/>
    <w:rsid w:val="00C75222"/>
    <w:rsid w:val="00C77431"/>
    <w:rsid w:val="00C77AE8"/>
    <w:rsid w:val="00C77C87"/>
    <w:rsid w:val="00C77DDC"/>
    <w:rsid w:val="00C809FB"/>
    <w:rsid w:val="00C821AF"/>
    <w:rsid w:val="00C83BF9"/>
    <w:rsid w:val="00C90AA1"/>
    <w:rsid w:val="00C90FF0"/>
    <w:rsid w:val="00C92284"/>
    <w:rsid w:val="00C93DF7"/>
    <w:rsid w:val="00C948CF"/>
    <w:rsid w:val="00C94D35"/>
    <w:rsid w:val="00C95BFC"/>
    <w:rsid w:val="00C95EE7"/>
    <w:rsid w:val="00C977DB"/>
    <w:rsid w:val="00C97F0E"/>
    <w:rsid w:val="00CA37B1"/>
    <w:rsid w:val="00CA401F"/>
    <w:rsid w:val="00CA5838"/>
    <w:rsid w:val="00CA7DD8"/>
    <w:rsid w:val="00CB0CB4"/>
    <w:rsid w:val="00CB1959"/>
    <w:rsid w:val="00CB256F"/>
    <w:rsid w:val="00CB55DE"/>
    <w:rsid w:val="00CB5E41"/>
    <w:rsid w:val="00CB7925"/>
    <w:rsid w:val="00CB7E6C"/>
    <w:rsid w:val="00CC0F23"/>
    <w:rsid w:val="00CC1D6E"/>
    <w:rsid w:val="00CC1FC6"/>
    <w:rsid w:val="00CC63C8"/>
    <w:rsid w:val="00CC6D95"/>
    <w:rsid w:val="00CD0E4B"/>
    <w:rsid w:val="00CD0F78"/>
    <w:rsid w:val="00CD1238"/>
    <w:rsid w:val="00CD1A7A"/>
    <w:rsid w:val="00CD3C90"/>
    <w:rsid w:val="00CD48C1"/>
    <w:rsid w:val="00CD4B03"/>
    <w:rsid w:val="00CD5684"/>
    <w:rsid w:val="00CD643B"/>
    <w:rsid w:val="00CD66B5"/>
    <w:rsid w:val="00CD68E5"/>
    <w:rsid w:val="00CE0128"/>
    <w:rsid w:val="00CE0155"/>
    <w:rsid w:val="00CE01C5"/>
    <w:rsid w:val="00CE03FA"/>
    <w:rsid w:val="00CE093C"/>
    <w:rsid w:val="00CE0CBB"/>
    <w:rsid w:val="00CE0FBC"/>
    <w:rsid w:val="00CE2E82"/>
    <w:rsid w:val="00CE392A"/>
    <w:rsid w:val="00CE55AD"/>
    <w:rsid w:val="00CE5DD5"/>
    <w:rsid w:val="00CE5DF0"/>
    <w:rsid w:val="00CE5F93"/>
    <w:rsid w:val="00CF0209"/>
    <w:rsid w:val="00CF22B1"/>
    <w:rsid w:val="00CF57CD"/>
    <w:rsid w:val="00CF6249"/>
    <w:rsid w:val="00CF6F39"/>
    <w:rsid w:val="00CF701D"/>
    <w:rsid w:val="00D00802"/>
    <w:rsid w:val="00D0296C"/>
    <w:rsid w:val="00D06290"/>
    <w:rsid w:val="00D0777D"/>
    <w:rsid w:val="00D10AC0"/>
    <w:rsid w:val="00D12445"/>
    <w:rsid w:val="00D1250A"/>
    <w:rsid w:val="00D12A47"/>
    <w:rsid w:val="00D13045"/>
    <w:rsid w:val="00D14150"/>
    <w:rsid w:val="00D146A2"/>
    <w:rsid w:val="00D14FF2"/>
    <w:rsid w:val="00D15A00"/>
    <w:rsid w:val="00D16299"/>
    <w:rsid w:val="00D1749A"/>
    <w:rsid w:val="00D17786"/>
    <w:rsid w:val="00D200E6"/>
    <w:rsid w:val="00D218E1"/>
    <w:rsid w:val="00D23A39"/>
    <w:rsid w:val="00D251BC"/>
    <w:rsid w:val="00D2541B"/>
    <w:rsid w:val="00D27F1C"/>
    <w:rsid w:val="00D30360"/>
    <w:rsid w:val="00D323F2"/>
    <w:rsid w:val="00D3315E"/>
    <w:rsid w:val="00D33BF8"/>
    <w:rsid w:val="00D3605D"/>
    <w:rsid w:val="00D40558"/>
    <w:rsid w:val="00D40AEB"/>
    <w:rsid w:val="00D4205A"/>
    <w:rsid w:val="00D44046"/>
    <w:rsid w:val="00D460DC"/>
    <w:rsid w:val="00D501B4"/>
    <w:rsid w:val="00D51601"/>
    <w:rsid w:val="00D527C2"/>
    <w:rsid w:val="00D55D19"/>
    <w:rsid w:val="00D55FC4"/>
    <w:rsid w:val="00D57809"/>
    <w:rsid w:val="00D60018"/>
    <w:rsid w:val="00D603B9"/>
    <w:rsid w:val="00D60F0E"/>
    <w:rsid w:val="00D6301B"/>
    <w:rsid w:val="00D635D5"/>
    <w:rsid w:val="00D636E4"/>
    <w:rsid w:val="00D64BD1"/>
    <w:rsid w:val="00D64E05"/>
    <w:rsid w:val="00D6583D"/>
    <w:rsid w:val="00D65DE6"/>
    <w:rsid w:val="00D70AA1"/>
    <w:rsid w:val="00D72760"/>
    <w:rsid w:val="00D72BD4"/>
    <w:rsid w:val="00D73EFE"/>
    <w:rsid w:val="00D7435E"/>
    <w:rsid w:val="00D752C4"/>
    <w:rsid w:val="00D76787"/>
    <w:rsid w:val="00D809F6"/>
    <w:rsid w:val="00D80E71"/>
    <w:rsid w:val="00D81E45"/>
    <w:rsid w:val="00D822AA"/>
    <w:rsid w:val="00D83449"/>
    <w:rsid w:val="00D841FF"/>
    <w:rsid w:val="00D84C3E"/>
    <w:rsid w:val="00D85582"/>
    <w:rsid w:val="00D86954"/>
    <w:rsid w:val="00D879AA"/>
    <w:rsid w:val="00D87A80"/>
    <w:rsid w:val="00D91BE5"/>
    <w:rsid w:val="00D92DCB"/>
    <w:rsid w:val="00D94DDE"/>
    <w:rsid w:val="00D94F41"/>
    <w:rsid w:val="00D95E03"/>
    <w:rsid w:val="00D9720F"/>
    <w:rsid w:val="00D979E7"/>
    <w:rsid w:val="00D97AF1"/>
    <w:rsid w:val="00DA040F"/>
    <w:rsid w:val="00DA387E"/>
    <w:rsid w:val="00DA548F"/>
    <w:rsid w:val="00DA5BDA"/>
    <w:rsid w:val="00DB0829"/>
    <w:rsid w:val="00DB149E"/>
    <w:rsid w:val="00DB19D0"/>
    <w:rsid w:val="00DB3525"/>
    <w:rsid w:val="00DB5257"/>
    <w:rsid w:val="00DB770F"/>
    <w:rsid w:val="00DB7FF0"/>
    <w:rsid w:val="00DC0A14"/>
    <w:rsid w:val="00DC2044"/>
    <w:rsid w:val="00DC20B8"/>
    <w:rsid w:val="00DC2186"/>
    <w:rsid w:val="00DC22B4"/>
    <w:rsid w:val="00DC3029"/>
    <w:rsid w:val="00DC6866"/>
    <w:rsid w:val="00DC6F8C"/>
    <w:rsid w:val="00DD0E00"/>
    <w:rsid w:val="00DD1986"/>
    <w:rsid w:val="00DD2EF0"/>
    <w:rsid w:val="00DD6EAD"/>
    <w:rsid w:val="00DE0378"/>
    <w:rsid w:val="00DE042A"/>
    <w:rsid w:val="00DE084C"/>
    <w:rsid w:val="00DE1C76"/>
    <w:rsid w:val="00DE3EAA"/>
    <w:rsid w:val="00DE4C46"/>
    <w:rsid w:val="00DE5186"/>
    <w:rsid w:val="00DF087E"/>
    <w:rsid w:val="00DF0B27"/>
    <w:rsid w:val="00DF56E2"/>
    <w:rsid w:val="00E00941"/>
    <w:rsid w:val="00E02AF0"/>
    <w:rsid w:val="00E04B83"/>
    <w:rsid w:val="00E04F93"/>
    <w:rsid w:val="00E069A0"/>
    <w:rsid w:val="00E0719C"/>
    <w:rsid w:val="00E07DAC"/>
    <w:rsid w:val="00E12BA3"/>
    <w:rsid w:val="00E224C2"/>
    <w:rsid w:val="00E22D36"/>
    <w:rsid w:val="00E23082"/>
    <w:rsid w:val="00E23929"/>
    <w:rsid w:val="00E23F5C"/>
    <w:rsid w:val="00E245D7"/>
    <w:rsid w:val="00E31D23"/>
    <w:rsid w:val="00E33044"/>
    <w:rsid w:val="00E34CF3"/>
    <w:rsid w:val="00E354A8"/>
    <w:rsid w:val="00E357B7"/>
    <w:rsid w:val="00E36F91"/>
    <w:rsid w:val="00E41CB0"/>
    <w:rsid w:val="00E4243C"/>
    <w:rsid w:val="00E4281A"/>
    <w:rsid w:val="00E43CE7"/>
    <w:rsid w:val="00E4746E"/>
    <w:rsid w:val="00E47CE3"/>
    <w:rsid w:val="00E50017"/>
    <w:rsid w:val="00E504E7"/>
    <w:rsid w:val="00E50575"/>
    <w:rsid w:val="00E53800"/>
    <w:rsid w:val="00E55766"/>
    <w:rsid w:val="00E56068"/>
    <w:rsid w:val="00E56904"/>
    <w:rsid w:val="00E57311"/>
    <w:rsid w:val="00E6081F"/>
    <w:rsid w:val="00E62000"/>
    <w:rsid w:val="00E6292B"/>
    <w:rsid w:val="00E62D0F"/>
    <w:rsid w:val="00E64407"/>
    <w:rsid w:val="00E6533B"/>
    <w:rsid w:val="00E65D12"/>
    <w:rsid w:val="00E7145F"/>
    <w:rsid w:val="00E74EBB"/>
    <w:rsid w:val="00E750CB"/>
    <w:rsid w:val="00E82FCE"/>
    <w:rsid w:val="00E83323"/>
    <w:rsid w:val="00E833D6"/>
    <w:rsid w:val="00E844D8"/>
    <w:rsid w:val="00E84A1B"/>
    <w:rsid w:val="00E84F27"/>
    <w:rsid w:val="00E85694"/>
    <w:rsid w:val="00E858ED"/>
    <w:rsid w:val="00E876EC"/>
    <w:rsid w:val="00E900F2"/>
    <w:rsid w:val="00E926B7"/>
    <w:rsid w:val="00E92937"/>
    <w:rsid w:val="00E92D83"/>
    <w:rsid w:val="00E9448F"/>
    <w:rsid w:val="00E9653E"/>
    <w:rsid w:val="00E968B9"/>
    <w:rsid w:val="00EA04B2"/>
    <w:rsid w:val="00EA16E7"/>
    <w:rsid w:val="00EA1850"/>
    <w:rsid w:val="00EA19CC"/>
    <w:rsid w:val="00EA20F3"/>
    <w:rsid w:val="00EA4C12"/>
    <w:rsid w:val="00EA5E9B"/>
    <w:rsid w:val="00EB02F9"/>
    <w:rsid w:val="00EB25EE"/>
    <w:rsid w:val="00EB2D0F"/>
    <w:rsid w:val="00EB311C"/>
    <w:rsid w:val="00EB36A2"/>
    <w:rsid w:val="00EB3CC9"/>
    <w:rsid w:val="00EB7ECB"/>
    <w:rsid w:val="00EC1024"/>
    <w:rsid w:val="00EC28E5"/>
    <w:rsid w:val="00EC3864"/>
    <w:rsid w:val="00EC765C"/>
    <w:rsid w:val="00EC7C11"/>
    <w:rsid w:val="00ED055D"/>
    <w:rsid w:val="00ED086F"/>
    <w:rsid w:val="00ED2831"/>
    <w:rsid w:val="00ED43D1"/>
    <w:rsid w:val="00ED6A45"/>
    <w:rsid w:val="00ED6D9D"/>
    <w:rsid w:val="00EE1D42"/>
    <w:rsid w:val="00EE23A8"/>
    <w:rsid w:val="00EE2BE5"/>
    <w:rsid w:val="00EE3613"/>
    <w:rsid w:val="00EE4EE1"/>
    <w:rsid w:val="00EF0006"/>
    <w:rsid w:val="00EF4574"/>
    <w:rsid w:val="00EF56DD"/>
    <w:rsid w:val="00EF611B"/>
    <w:rsid w:val="00EF6543"/>
    <w:rsid w:val="00EF7EDF"/>
    <w:rsid w:val="00F00605"/>
    <w:rsid w:val="00F009E1"/>
    <w:rsid w:val="00F00CFB"/>
    <w:rsid w:val="00F0280A"/>
    <w:rsid w:val="00F034C8"/>
    <w:rsid w:val="00F04884"/>
    <w:rsid w:val="00F05A60"/>
    <w:rsid w:val="00F13B89"/>
    <w:rsid w:val="00F13D3D"/>
    <w:rsid w:val="00F13FA3"/>
    <w:rsid w:val="00F154E8"/>
    <w:rsid w:val="00F169B6"/>
    <w:rsid w:val="00F20558"/>
    <w:rsid w:val="00F2081E"/>
    <w:rsid w:val="00F20A48"/>
    <w:rsid w:val="00F2156E"/>
    <w:rsid w:val="00F218D7"/>
    <w:rsid w:val="00F22227"/>
    <w:rsid w:val="00F241FA"/>
    <w:rsid w:val="00F242CF"/>
    <w:rsid w:val="00F257E9"/>
    <w:rsid w:val="00F2684E"/>
    <w:rsid w:val="00F268DC"/>
    <w:rsid w:val="00F274CF"/>
    <w:rsid w:val="00F309FD"/>
    <w:rsid w:val="00F312B0"/>
    <w:rsid w:val="00F332F4"/>
    <w:rsid w:val="00F33506"/>
    <w:rsid w:val="00F34091"/>
    <w:rsid w:val="00F37200"/>
    <w:rsid w:val="00F37261"/>
    <w:rsid w:val="00F4159D"/>
    <w:rsid w:val="00F43512"/>
    <w:rsid w:val="00F45304"/>
    <w:rsid w:val="00F46189"/>
    <w:rsid w:val="00F46222"/>
    <w:rsid w:val="00F4637C"/>
    <w:rsid w:val="00F469A1"/>
    <w:rsid w:val="00F51FBE"/>
    <w:rsid w:val="00F5404C"/>
    <w:rsid w:val="00F56D3C"/>
    <w:rsid w:val="00F604E7"/>
    <w:rsid w:val="00F61340"/>
    <w:rsid w:val="00F6144A"/>
    <w:rsid w:val="00F62888"/>
    <w:rsid w:val="00F64DB9"/>
    <w:rsid w:val="00F64FE2"/>
    <w:rsid w:val="00F718D4"/>
    <w:rsid w:val="00F729EF"/>
    <w:rsid w:val="00F72B26"/>
    <w:rsid w:val="00F73B60"/>
    <w:rsid w:val="00F74498"/>
    <w:rsid w:val="00F74A43"/>
    <w:rsid w:val="00F774C8"/>
    <w:rsid w:val="00F77CAE"/>
    <w:rsid w:val="00F77ECA"/>
    <w:rsid w:val="00F82271"/>
    <w:rsid w:val="00F83428"/>
    <w:rsid w:val="00F840A8"/>
    <w:rsid w:val="00F846AB"/>
    <w:rsid w:val="00F846CD"/>
    <w:rsid w:val="00F84DC0"/>
    <w:rsid w:val="00F86393"/>
    <w:rsid w:val="00F8704D"/>
    <w:rsid w:val="00F87E7A"/>
    <w:rsid w:val="00F9104D"/>
    <w:rsid w:val="00F9186F"/>
    <w:rsid w:val="00F946A9"/>
    <w:rsid w:val="00F94A0C"/>
    <w:rsid w:val="00F96921"/>
    <w:rsid w:val="00F96BB9"/>
    <w:rsid w:val="00FA004A"/>
    <w:rsid w:val="00FA0F69"/>
    <w:rsid w:val="00FA3682"/>
    <w:rsid w:val="00FA57EC"/>
    <w:rsid w:val="00FA699A"/>
    <w:rsid w:val="00FA6BD5"/>
    <w:rsid w:val="00FA6BFD"/>
    <w:rsid w:val="00FA72C8"/>
    <w:rsid w:val="00FB00B9"/>
    <w:rsid w:val="00FC2CF4"/>
    <w:rsid w:val="00FC3D43"/>
    <w:rsid w:val="00FC4832"/>
    <w:rsid w:val="00FC586D"/>
    <w:rsid w:val="00FD0883"/>
    <w:rsid w:val="00FD14DD"/>
    <w:rsid w:val="00FD1CC3"/>
    <w:rsid w:val="00FD3502"/>
    <w:rsid w:val="00FD3B7D"/>
    <w:rsid w:val="00FD3D07"/>
    <w:rsid w:val="00FD4805"/>
    <w:rsid w:val="00FD4812"/>
    <w:rsid w:val="00FD7ACE"/>
    <w:rsid w:val="00FE01CF"/>
    <w:rsid w:val="00FE03C1"/>
    <w:rsid w:val="00FE2DCE"/>
    <w:rsid w:val="00FE3A64"/>
    <w:rsid w:val="00FE3CEC"/>
    <w:rsid w:val="00FE4833"/>
    <w:rsid w:val="00FE5025"/>
    <w:rsid w:val="00FE669C"/>
    <w:rsid w:val="00FE6D51"/>
    <w:rsid w:val="00FE742C"/>
    <w:rsid w:val="00FF09F3"/>
    <w:rsid w:val="00FF1DEE"/>
    <w:rsid w:val="00FF2819"/>
    <w:rsid w:val="00FF3568"/>
    <w:rsid w:val="00FF372C"/>
    <w:rsid w:val="00FF4BD9"/>
    <w:rsid w:val="00FF6709"/>
    <w:rsid w:val="00FF6BB5"/>
    <w:rsid w:val="00FF6E64"/>
    <w:rsid w:val="00FF6F71"/>
    <w:rsid w:val="00FF7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1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uiPriority w:val="99"/>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uiPriority w:val="99"/>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Default">
    <w:name w:val="Default"/>
    <w:basedOn w:val="Normal"/>
    <w:rsid w:val="005A1D1A"/>
    <w:pPr>
      <w:suppressAutoHyphens w:val="0"/>
      <w:autoSpaceDE w:val="0"/>
      <w:autoSpaceDN w:val="0"/>
      <w:spacing w:before="0" w:after="0" w:line="240" w:lineRule="auto"/>
    </w:pPr>
    <w:rPr>
      <w:rFonts w:ascii="Calibri" w:hAnsi="Calibri" w:cs="Times New Roman"/>
      <w:color w:val="000000"/>
      <w:sz w:val="24"/>
      <w:szCs w:val="24"/>
      <w:lang w:val="en-AU"/>
    </w:rPr>
  </w:style>
  <w:style w:type="character" w:styleId="CommentReference">
    <w:name w:val="annotation reference"/>
    <w:basedOn w:val="DefaultParagraphFont"/>
    <w:uiPriority w:val="99"/>
    <w:semiHidden/>
    <w:unhideWhenUsed/>
    <w:rsid w:val="00291689"/>
    <w:rPr>
      <w:sz w:val="16"/>
      <w:szCs w:val="16"/>
    </w:rPr>
  </w:style>
  <w:style w:type="paragraph" w:styleId="CommentText">
    <w:name w:val="annotation text"/>
    <w:basedOn w:val="Normal"/>
    <w:link w:val="CommentTextChar"/>
    <w:uiPriority w:val="99"/>
    <w:unhideWhenUsed/>
    <w:rsid w:val="00291689"/>
    <w:pPr>
      <w:suppressAutoHyphens w:val="0"/>
      <w:spacing w:before="0" w:after="160" w:line="240" w:lineRule="auto"/>
    </w:pPr>
    <w:rPr>
      <w:color w:val="auto"/>
      <w:sz w:val="20"/>
      <w:szCs w:val="20"/>
      <w:lang w:val="en-AU"/>
    </w:rPr>
  </w:style>
  <w:style w:type="character" w:customStyle="1" w:styleId="CommentTextChar">
    <w:name w:val="Comment Text Char"/>
    <w:basedOn w:val="DefaultParagraphFont"/>
    <w:link w:val="CommentText"/>
    <w:uiPriority w:val="99"/>
    <w:rsid w:val="00291689"/>
    <w:rPr>
      <w:sz w:val="20"/>
      <w:szCs w:val="20"/>
    </w:rPr>
  </w:style>
  <w:style w:type="paragraph" w:styleId="NormalWeb">
    <w:name w:val="Normal (Web)"/>
    <w:basedOn w:val="Normal"/>
    <w:uiPriority w:val="99"/>
    <w:unhideWhenUsed/>
    <w:rsid w:val="003D1A10"/>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CommentSubject">
    <w:name w:val="annotation subject"/>
    <w:basedOn w:val="CommentText"/>
    <w:next w:val="CommentText"/>
    <w:link w:val="CommentSubjectChar"/>
    <w:uiPriority w:val="99"/>
    <w:semiHidden/>
    <w:unhideWhenUsed/>
    <w:rsid w:val="00E82FCE"/>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E82FCE"/>
    <w:rPr>
      <w:b/>
      <w:bCs/>
      <w:color w:val="495965" w:themeColor="text2"/>
      <w:sz w:val="20"/>
      <w:szCs w:val="20"/>
      <w:lang w:val="en-GB"/>
    </w:rPr>
  </w:style>
  <w:style w:type="paragraph" w:styleId="Revision">
    <w:name w:val="Revision"/>
    <w:hidden/>
    <w:uiPriority w:val="99"/>
    <w:semiHidden/>
    <w:rsid w:val="00E82FCE"/>
    <w:pPr>
      <w:spacing w:after="0" w:line="240" w:lineRule="auto"/>
    </w:pPr>
    <w:rPr>
      <w:color w:val="495965" w:themeColor="text2"/>
      <w:lang w:val="en-GB"/>
    </w:rPr>
  </w:style>
  <w:style w:type="paragraph" w:customStyle="1" w:styleId="paranol2">
    <w:name w:val="paranol2"/>
    <w:basedOn w:val="Normal"/>
    <w:rsid w:val="0097016B"/>
    <w:pPr>
      <w:suppressAutoHyphens w:val="0"/>
      <w:spacing w:before="180" w:after="180" w:line="240" w:lineRule="auto"/>
    </w:pPr>
    <w:rPr>
      <w:rFonts w:ascii="Times New Roman" w:eastAsia="Times New Roman" w:hAnsi="Times New Roman" w:cs="Times New Roman"/>
      <w:color w:val="444444"/>
      <w:sz w:val="24"/>
      <w:szCs w:val="24"/>
      <w:lang w:val="en-AU" w:eastAsia="en-AU"/>
    </w:rPr>
  </w:style>
  <w:style w:type="paragraph" w:styleId="EndnoteText">
    <w:name w:val="endnote text"/>
    <w:basedOn w:val="Normal"/>
    <w:link w:val="EndnoteTextChar"/>
    <w:uiPriority w:val="99"/>
    <w:semiHidden/>
    <w:unhideWhenUsed/>
    <w:rsid w:val="009701DB"/>
    <w:pPr>
      <w:suppressAutoHyphens w:val="0"/>
      <w:spacing w:before="0" w:after="0" w:line="240" w:lineRule="auto"/>
    </w:pPr>
    <w:rPr>
      <w:color w:val="auto"/>
      <w:sz w:val="20"/>
      <w:szCs w:val="20"/>
      <w:lang w:val="en-AU"/>
    </w:rPr>
  </w:style>
  <w:style w:type="character" w:customStyle="1" w:styleId="EndnoteTextChar">
    <w:name w:val="Endnote Text Char"/>
    <w:basedOn w:val="DefaultParagraphFont"/>
    <w:link w:val="EndnoteText"/>
    <w:uiPriority w:val="99"/>
    <w:semiHidden/>
    <w:rsid w:val="009701DB"/>
    <w:rPr>
      <w:sz w:val="20"/>
      <w:szCs w:val="20"/>
    </w:rPr>
  </w:style>
  <w:style w:type="character" w:styleId="EndnoteReference">
    <w:name w:val="endnote reference"/>
    <w:basedOn w:val="DefaultParagraphFont"/>
    <w:uiPriority w:val="99"/>
    <w:semiHidden/>
    <w:unhideWhenUsed/>
    <w:rsid w:val="009701DB"/>
    <w:rPr>
      <w:vertAlign w:val="superscript"/>
    </w:rPr>
  </w:style>
  <w:style w:type="table" w:styleId="TableGridLight">
    <w:name w:val="Grid Table Light"/>
    <w:basedOn w:val="TableNormal"/>
    <w:uiPriority w:val="40"/>
    <w:rsid w:val="00FA0F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uiPriority w:val="99"/>
    <w:semiHidden/>
    <w:unhideWhenUsed/>
    <w:rsid w:val="0020654B"/>
    <w:pPr>
      <w:spacing w:after="120" w:line="480" w:lineRule="auto"/>
    </w:pPr>
  </w:style>
  <w:style w:type="character" w:customStyle="1" w:styleId="BodyText2Char">
    <w:name w:val="Body Text 2 Char"/>
    <w:basedOn w:val="DefaultParagraphFont"/>
    <w:link w:val="BodyText2"/>
    <w:uiPriority w:val="99"/>
    <w:semiHidden/>
    <w:rsid w:val="0020654B"/>
    <w:rPr>
      <w:color w:val="495965" w:themeColor="text2"/>
      <w:lang w:val="en-GB"/>
    </w:rPr>
  </w:style>
  <w:style w:type="character" w:customStyle="1" w:styleId="st1">
    <w:name w:val="st1"/>
    <w:basedOn w:val="DefaultParagraphFont"/>
    <w:rsid w:val="000A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788">
      <w:bodyDiv w:val="1"/>
      <w:marLeft w:val="0"/>
      <w:marRight w:val="0"/>
      <w:marTop w:val="0"/>
      <w:marBottom w:val="0"/>
      <w:divBdr>
        <w:top w:val="none" w:sz="0" w:space="0" w:color="auto"/>
        <w:left w:val="none" w:sz="0" w:space="0" w:color="auto"/>
        <w:bottom w:val="none" w:sz="0" w:space="0" w:color="auto"/>
        <w:right w:val="none" w:sz="0" w:space="0" w:color="auto"/>
      </w:divBdr>
    </w:div>
    <w:div w:id="38362081">
      <w:bodyDiv w:val="1"/>
      <w:marLeft w:val="0"/>
      <w:marRight w:val="0"/>
      <w:marTop w:val="0"/>
      <w:marBottom w:val="0"/>
      <w:divBdr>
        <w:top w:val="none" w:sz="0" w:space="0" w:color="auto"/>
        <w:left w:val="none" w:sz="0" w:space="0" w:color="auto"/>
        <w:bottom w:val="none" w:sz="0" w:space="0" w:color="auto"/>
        <w:right w:val="none" w:sz="0" w:space="0" w:color="auto"/>
      </w:divBdr>
      <w:divsChild>
        <w:div w:id="2103868835">
          <w:marLeft w:val="0"/>
          <w:marRight w:val="0"/>
          <w:marTop w:val="0"/>
          <w:marBottom w:val="0"/>
          <w:divBdr>
            <w:top w:val="none" w:sz="0" w:space="0" w:color="auto"/>
            <w:left w:val="none" w:sz="0" w:space="0" w:color="auto"/>
            <w:bottom w:val="none" w:sz="0" w:space="0" w:color="auto"/>
            <w:right w:val="none" w:sz="0" w:space="0" w:color="auto"/>
          </w:divBdr>
          <w:divsChild>
            <w:div w:id="1289975693">
              <w:marLeft w:val="0"/>
              <w:marRight w:val="0"/>
              <w:marTop w:val="0"/>
              <w:marBottom w:val="0"/>
              <w:divBdr>
                <w:top w:val="none" w:sz="0" w:space="0" w:color="auto"/>
                <w:left w:val="none" w:sz="0" w:space="0" w:color="auto"/>
                <w:bottom w:val="none" w:sz="0" w:space="0" w:color="auto"/>
                <w:right w:val="none" w:sz="0" w:space="0" w:color="auto"/>
              </w:divBdr>
              <w:divsChild>
                <w:div w:id="964118418">
                  <w:marLeft w:val="0"/>
                  <w:marRight w:val="0"/>
                  <w:marTop w:val="0"/>
                  <w:marBottom w:val="0"/>
                  <w:divBdr>
                    <w:top w:val="none" w:sz="0" w:space="0" w:color="auto"/>
                    <w:left w:val="none" w:sz="0" w:space="0" w:color="auto"/>
                    <w:bottom w:val="none" w:sz="0" w:space="0" w:color="auto"/>
                    <w:right w:val="none" w:sz="0" w:space="0" w:color="auto"/>
                  </w:divBdr>
                  <w:divsChild>
                    <w:div w:id="31224678">
                      <w:marLeft w:val="0"/>
                      <w:marRight w:val="0"/>
                      <w:marTop w:val="0"/>
                      <w:marBottom w:val="0"/>
                      <w:divBdr>
                        <w:top w:val="none" w:sz="0" w:space="0" w:color="auto"/>
                        <w:left w:val="none" w:sz="0" w:space="0" w:color="auto"/>
                        <w:bottom w:val="none" w:sz="0" w:space="0" w:color="auto"/>
                        <w:right w:val="none" w:sz="0" w:space="0" w:color="auto"/>
                      </w:divBdr>
                      <w:divsChild>
                        <w:div w:id="577907024">
                          <w:marLeft w:val="0"/>
                          <w:marRight w:val="0"/>
                          <w:marTop w:val="0"/>
                          <w:marBottom w:val="0"/>
                          <w:divBdr>
                            <w:top w:val="none" w:sz="0" w:space="0" w:color="auto"/>
                            <w:left w:val="none" w:sz="0" w:space="0" w:color="auto"/>
                            <w:bottom w:val="none" w:sz="0" w:space="0" w:color="auto"/>
                            <w:right w:val="none" w:sz="0" w:space="0" w:color="auto"/>
                          </w:divBdr>
                          <w:divsChild>
                            <w:div w:id="351808839">
                              <w:marLeft w:val="0"/>
                              <w:marRight w:val="0"/>
                              <w:marTop w:val="0"/>
                              <w:marBottom w:val="0"/>
                              <w:divBdr>
                                <w:top w:val="none" w:sz="0" w:space="0" w:color="auto"/>
                                <w:left w:val="none" w:sz="0" w:space="0" w:color="auto"/>
                                <w:bottom w:val="none" w:sz="0" w:space="0" w:color="auto"/>
                                <w:right w:val="none" w:sz="0" w:space="0" w:color="auto"/>
                              </w:divBdr>
                              <w:divsChild>
                                <w:div w:id="68503830">
                                  <w:marLeft w:val="0"/>
                                  <w:marRight w:val="0"/>
                                  <w:marTop w:val="0"/>
                                  <w:marBottom w:val="0"/>
                                  <w:divBdr>
                                    <w:top w:val="none" w:sz="0" w:space="0" w:color="auto"/>
                                    <w:left w:val="none" w:sz="0" w:space="0" w:color="auto"/>
                                    <w:bottom w:val="none" w:sz="0" w:space="0" w:color="auto"/>
                                    <w:right w:val="none" w:sz="0" w:space="0" w:color="auto"/>
                                  </w:divBdr>
                                </w:div>
                                <w:div w:id="1757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4877">
      <w:bodyDiv w:val="1"/>
      <w:marLeft w:val="0"/>
      <w:marRight w:val="0"/>
      <w:marTop w:val="0"/>
      <w:marBottom w:val="0"/>
      <w:divBdr>
        <w:top w:val="none" w:sz="0" w:space="0" w:color="auto"/>
        <w:left w:val="none" w:sz="0" w:space="0" w:color="auto"/>
        <w:bottom w:val="none" w:sz="0" w:space="0" w:color="auto"/>
        <w:right w:val="none" w:sz="0" w:space="0" w:color="auto"/>
      </w:divBdr>
    </w:div>
    <w:div w:id="52388727">
      <w:bodyDiv w:val="1"/>
      <w:marLeft w:val="0"/>
      <w:marRight w:val="0"/>
      <w:marTop w:val="0"/>
      <w:marBottom w:val="0"/>
      <w:divBdr>
        <w:top w:val="none" w:sz="0" w:space="0" w:color="auto"/>
        <w:left w:val="none" w:sz="0" w:space="0" w:color="auto"/>
        <w:bottom w:val="none" w:sz="0" w:space="0" w:color="auto"/>
        <w:right w:val="none" w:sz="0" w:space="0" w:color="auto"/>
      </w:divBdr>
    </w:div>
    <w:div w:id="67464441">
      <w:bodyDiv w:val="1"/>
      <w:marLeft w:val="0"/>
      <w:marRight w:val="0"/>
      <w:marTop w:val="0"/>
      <w:marBottom w:val="0"/>
      <w:divBdr>
        <w:top w:val="none" w:sz="0" w:space="0" w:color="auto"/>
        <w:left w:val="none" w:sz="0" w:space="0" w:color="auto"/>
        <w:bottom w:val="none" w:sz="0" w:space="0" w:color="auto"/>
        <w:right w:val="none" w:sz="0" w:space="0" w:color="auto"/>
      </w:divBdr>
    </w:div>
    <w:div w:id="78067778">
      <w:bodyDiv w:val="1"/>
      <w:marLeft w:val="0"/>
      <w:marRight w:val="0"/>
      <w:marTop w:val="0"/>
      <w:marBottom w:val="0"/>
      <w:divBdr>
        <w:top w:val="none" w:sz="0" w:space="0" w:color="auto"/>
        <w:left w:val="none" w:sz="0" w:space="0" w:color="auto"/>
        <w:bottom w:val="none" w:sz="0" w:space="0" w:color="auto"/>
        <w:right w:val="none" w:sz="0" w:space="0" w:color="auto"/>
      </w:divBdr>
    </w:div>
    <w:div w:id="116222728">
      <w:bodyDiv w:val="1"/>
      <w:marLeft w:val="0"/>
      <w:marRight w:val="0"/>
      <w:marTop w:val="0"/>
      <w:marBottom w:val="0"/>
      <w:divBdr>
        <w:top w:val="none" w:sz="0" w:space="0" w:color="auto"/>
        <w:left w:val="none" w:sz="0" w:space="0" w:color="auto"/>
        <w:bottom w:val="none" w:sz="0" w:space="0" w:color="auto"/>
        <w:right w:val="none" w:sz="0" w:space="0" w:color="auto"/>
      </w:divBdr>
    </w:div>
    <w:div w:id="174538950">
      <w:bodyDiv w:val="1"/>
      <w:marLeft w:val="0"/>
      <w:marRight w:val="0"/>
      <w:marTop w:val="0"/>
      <w:marBottom w:val="0"/>
      <w:divBdr>
        <w:top w:val="none" w:sz="0" w:space="0" w:color="auto"/>
        <w:left w:val="none" w:sz="0" w:space="0" w:color="auto"/>
        <w:bottom w:val="none" w:sz="0" w:space="0" w:color="auto"/>
        <w:right w:val="none" w:sz="0" w:space="0" w:color="auto"/>
      </w:divBdr>
    </w:div>
    <w:div w:id="216825048">
      <w:bodyDiv w:val="1"/>
      <w:marLeft w:val="0"/>
      <w:marRight w:val="0"/>
      <w:marTop w:val="0"/>
      <w:marBottom w:val="0"/>
      <w:divBdr>
        <w:top w:val="none" w:sz="0" w:space="0" w:color="auto"/>
        <w:left w:val="none" w:sz="0" w:space="0" w:color="auto"/>
        <w:bottom w:val="none" w:sz="0" w:space="0" w:color="auto"/>
        <w:right w:val="none" w:sz="0" w:space="0" w:color="auto"/>
      </w:divBdr>
    </w:div>
    <w:div w:id="224493356">
      <w:bodyDiv w:val="1"/>
      <w:marLeft w:val="0"/>
      <w:marRight w:val="0"/>
      <w:marTop w:val="0"/>
      <w:marBottom w:val="0"/>
      <w:divBdr>
        <w:top w:val="none" w:sz="0" w:space="0" w:color="auto"/>
        <w:left w:val="none" w:sz="0" w:space="0" w:color="auto"/>
        <w:bottom w:val="none" w:sz="0" w:space="0" w:color="auto"/>
        <w:right w:val="none" w:sz="0" w:space="0" w:color="auto"/>
      </w:divBdr>
    </w:div>
    <w:div w:id="255989645">
      <w:bodyDiv w:val="1"/>
      <w:marLeft w:val="0"/>
      <w:marRight w:val="0"/>
      <w:marTop w:val="0"/>
      <w:marBottom w:val="0"/>
      <w:divBdr>
        <w:top w:val="none" w:sz="0" w:space="0" w:color="auto"/>
        <w:left w:val="none" w:sz="0" w:space="0" w:color="auto"/>
        <w:bottom w:val="none" w:sz="0" w:space="0" w:color="auto"/>
        <w:right w:val="none" w:sz="0" w:space="0" w:color="auto"/>
      </w:divBdr>
    </w:div>
    <w:div w:id="276303357">
      <w:bodyDiv w:val="1"/>
      <w:marLeft w:val="0"/>
      <w:marRight w:val="0"/>
      <w:marTop w:val="0"/>
      <w:marBottom w:val="0"/>
      <w:divBdr>
        <w:top w:val="none" w:sz="0" w:space="0" w:color="auto"/>
        <w:left w:val="none" w:sz="0" w:space="0" w:color="auto"/>
        <w:bottom w:val="none" w:sz="0" w:space="0" w:color="auto"/>
        <w:right w:val="none" w:sz="0" w:space="0" w:color="auto"/>
      </w:divBdr>
    </w:div>
    <w:div w:id="369888432">
      <w:bodyDiv w:val="1"/>
      <w:marLeft w:val="0"/>
      <w:marRight w:val="0"/>
      <w:marTop w:val="0"/>
      <w:marBottom w:val="0"/>
      <w:divBdr>
        <w:top w:val="none" w:sz="0" w:space="0" w:color="auto"/>
        <w:left w:val="none" w:sz="0" w:space="0" w:color="auto"/>
        <w:bottom w:val="none" w:sz="0" w:space="0" w:color="auto"/>
        <w:right w:val="none" w:sz="0" w:space="0" w:color="auto"/>
      </w:divBdr>
      <w:divsChild>
        <w:div w:id="225799470">
          <w:marLeft w:val="0"/>
          <w:marRight w:val="0"/>
          <w:marTop w:val="0"/>
          <w:marBottom w:val="0"/>
          <w:divBdr>
            <w:top w:val="none" w:sz="0" w:space="0" w:color="auto"/>
            <w:left w:val="none" w:sz="0" w:space="0" w:color="auto"/>
            <w:bottom w:val="none" w:sz="0" w:space="0" w:color="auto"/>
            <w:right w:val="none" w:sz="0" w:space="0" w:color="auto"/>
          </w:divBdr>
          <w:divsChild>
            <w:div w:id="1893150633">
              <w:marLeft w:val="0"/>
              <w:marRight w:val="0"/>
              <w:marTop w:val="0"/>
              <w:marBottom w:val="0"/>
              <w:divBdr>
                <w:top w:val="none" w:sz="0" w:space="0" w:color="auto"/>
                <w:left w:val="none" w:sz="0" w:space="0" w:color="auto"/>
                <w:bottom w:val="none" w:sz="0" w:space="0" w:color="auto"/>
                <w:right w:val="none" w:sz="0" w:space="0" w:color="auto"/>
              </w:divBdr>
              <w:divsChild>
                <w:div w:id="1640568019">
                  <w:marLeft w:val="0"/>
                  <w:marRight w:val="0"/>
                  <w:marTop w:val="0"/>
                  <w:marBottom w:val="0"/>
                  <w:divBdr>
                    <w:top w:val="none" w:sz="0" w:space="0" w:color="auto"/>
                    <w:left w:val="none" w:sz="0" w:space="0" w:color="auto"/>
                    <w:bottom w:val="none" w:sz="0" w:space="0" w:color="auto"/>
                    <w:right w:val="none" w:sz="0" w:space="0" w:color="auto"/>
                  </w:divBdr>
                  <w:divsChild>
                    <w:div w:id="1688605573">
                      <w:marLeft w:val="0"/>
                      <w:marRight w:val="0"/>
                      <w:marTop w:val="0"/>
                      <w:marBottom w:val="0"/>
                      <w:divBdr>
                        <w:top w:val="none" w:sz="0" w:space="0" w:color="auto"/>
                        <w:left w:val="none" w:sz="0" w:space="0" w:color="auto"/>
                        <w:bottom w:val="none" w:sz="0" w:space="0" w:color="auto"/>
                        <w:right w:val="none" w:sz="0" w:space="0" w:color="auto"/>
                      </w:divBdr>
                      <w:divsChild>
                        <w:div w:id="1135216099">
                          <w:marLeft w:val="0"/>
                          <w:marRight w:val="0"/>
                          <w:marTop w:val="0"/>
                          <w:marBottom w:val="0"/>
                          <w:divBdr>
                            <w:top w:val="none" w:sz="0" w:space="0" w:color="auto"/>
                            <w:left w:val="none" w:sz="0" w:space="0" w:color="auto"/>
                            <w:bottom w:val="none" w:sz="0" w:space="0" w:color="auto"/>
                            <w:right w:val="none" w:sz="0" w:space="0" w:color="auto"/>
                          </w:divBdr>
                          <w:divsChild>
                            <w:div w:id="234359340">
                              <w:marLeft w:val="0"/>
                              <w:marRight w:val="0"/>
                              <w:marTop w:val="0"/>
                              <w:marBottom w:val="0"/>
                              <w:divBdr>
                                <w:top w:val="none" w:sz="0" w:space="0" w:color="auto"/>
                                <w:left w:val="none" w:sz="0" w:space="0" w:color="auto"/>
                                <w:bottom w:val="none" w:sz="0" w:space="0" w:color="auto"/>
                                <w:right w:val="none" w:sz="0" w:space="0" w:color="auto"/>
                              </w:divBdr>
                              <w:divsChild>
                                <w:div w:id="1043597259">
                                  <w:marLeft w:val="0"/>
                                  <w:marRight w:val="0"/>
                                  <w:marTop w:val="0"/>
                                  <w:marBottom w:val="0"/>
                                  <w:divBdr>
                                    <w:top w:val="none" w:sz="0" w:space="0" w:color="auto"/>
                                    <w:left w:val="none" w:sz="0" w:space="0" w:color="auto"/>
                                    <w:bottom w:val="none" w:sz="0" w:space="0" w:color="auto"/>
                                    <w:right w:val="none" w:sz="0" w:space="0" w:color="auto"/>
                                  </w:divBdr>
                                  <w:divsChild>
                                    <w:div w:id="691034673">
                                      <w:marLeft w:val="0"/>
                                      <w:marRight w:val="0"/>
                                      <w:marTop w:val="0"/>
                                      <w:marBottom w:val="0"/>
                                      <w:divBdr>
                                        <w:top w:val="none" w:sz="0" w:space="0" w:color="auto"/>
                                        <w:left w:val="none" w:sz="0" w:space="0" w:color="auto"/>
                                        <w:bottom w:val="none" w:sz="0" w:space="0" w:color="auto"/>
                                        <w:right w:val="none" w:sz="0" w:space="0" w:color="auto"/>
                                      </w:divBdr>
                                      <w:divsChild>
                                        <w:div w:id="1624918115">
                                          <w:marLeft w:val="0"/>
                                          <w:marRight w:val="0"/>
                                          <w:marTop w:val="0"/>
                                          <w:marBottom w:val="0"/>
                                          <w:divBdr>
                                            <w:top w:val="none" w:sz="0" w:space="0" w:color="auto"/>
                                            <w:left w:val="none" w:sz="0" w:space="0" w:color="auto"/>
                                            <w:bottom w:val="none" w:sz="0" w:space="0" w:color="auto"/>
                                            <w:right w:val="none" w:sz="0" w:space="0" w:color="auto"/>
                                          </w:divBdr>
                                          <w:divsChild>
                                            <w:div w:id="12420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543437">
      <w:bodyDiv w:val="1"/>
      <w:marLeft w:val="0"/>
      <w:marRight w:val="0"/>
      <w:marTop w:val="0"/>
      <w:marBottom w:val="0"/>
      <w:divBdr>
        <w:top w:val="none" w:sz="0" w:space="0" w:color="auto"/>
        <w:left w:val="none" w:sz="0" w:space="0" w:color="auto"/>
        <w:bottom w:val="none" w:sz="0" w:space="0" w:color="auto"/>
        <w:right w:val="none" w:sz="0" w:space="0" w:color="auto"/>
      </w:divBdr>
    </w:div>
    <w:div w:id="458308060">
      <w:bodyDiv w:val="1"/>
      <w:marLeft w:val="0"/>
      <w:marRight w:val="0"/>
      <w:marTop w:val="0"/>
      <w:marBottom w:val="0"/>
      <w:divBdr>
        <w:top w:val="none" w:sz="0" w:space="0" w:color="auto"/>
        <w:left w:val="none" w:sz="0" w:space="0" w:color="auto"/>
        <w:bottom w:val="none" w:sz="0" w:space="0" w:color="auto"/>
        <w:right w:val="none" w:sz="0" w:space="0" w:color="auto"/>
      </w:divBdr>
    </w:div>
    <w:div w:id="471824830">
      <w:bodyDiv w:val="1"/>
      <w:marLeft w:val="0"/>
      <w:marRight w:val="0"/>
      <w:marTop w:val="0"/>
      <w:marBottom w:val="0"/>
      <w:divBdr>
        <w:top w:val="none" w:sz="0" w:space="0" w:color="auto"/>
        <w:left w:val="none" w:sz="0" w:space="0" w:color="auto"/>
        <w:bottom w:val="none" w:sz="0" w:space="0" w:color="auto"/>
        <w:right w:val="none" w:sz="0" w:space="0" w:color="auto"/>
      </w:divBdr>
    </w:div>
    <w:div w:id="508256206">
      <w:bodyDiv w:val="1"/>
      <w:marLeft w:val="0"/>
      <w:marRight w:val="0"/>
      <w:marTop w:val="0"/>
      <w:marBottom w:val="0"/>
      <w:divBdr>
        <w:top w:val="none" w:sz="0" w:space="0" w:color="auto"/>
        <w:left w:val="none" w:sz="0" w:space="0" w:color="auto"/>
        <w:bottom w:val="none" w:sz="0" w:space="0" w:color="auto"/>
        <w:right w:val="none" w:sz="0" w:space="0" w:color="auto"/>
      </w:divBdr>
      <w:divsChild>
        <w:div w:id="835654004">
          <w:marLeft w:val="0"/>
          <w:marRight w:val="0"/>
          <w:marTop w:val="0"/>
          <w:marBottom w:val="0"/>
          <w:divBdr>
            <w:top w:val="none" w:sz="0" w:space="0" w:color="auto"/>
            <w:left w:val="none" w:sz="0" w:space="0" w:color="auto"/>
            <w:bottom w:val="none" w:sz="0" w:space="0" w:color="auto"/>
            <w:right w:val="none" w:sz="0" w:space="0" w:color="auto"/>
          </w:divBdr>
          <w:divsChild>
            <w:div w:id="11853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4828">
      <w:bodyDiv w:val="1"/>
      <w:marLeft w:val="0"/>
      <w:marRight w:val="0"/>
      <w:marTop w:val="0"/>
      <w:marBottom w:val="0"/>
      <w:divBdr>
        <w:top w:val="none" w:sz="0" w:space="0" w:color="auto"/>
        <w:left w:val="none" w:sz="0" w:space="0" w:color="auto"/>
        <w:bottom w:val="none" w:sz="0" w:space="0" w:color="auto"/>
        <w:right w:val="none" w:sz="0" w:space="0" w:color="auto"/>
      </w:divBdr>
    </w:div>
    <w:div w:id="543366271">
      <w:bodyDiv w:val="1"/>
      <w:marLeft w:val="0"/>
      <w:marRight w:val="0"/>
      <w:marTop w:val="0"/>
      <w:marBottom w:val="0"/>
      <w:divBdr>
        <w:top w:val="none" w:sz="0" w:space="0" w:color="auto"/>
        <w:left w:val="none" w:sz="0" w:space="0" w:color="auto"/>
        <w:bottom w:val="none" w:sz="0" w:space="0" w:color="auto"/>
        <w:right w:val="none" w:sz="0" w:space="0" w:color="auto"/>
      </w:divBdr>
      <w:divsChild>
        <w:div w:id="1938711600">
          <w:marLeft w:val="0"/>
          <w:marRight w:val="0"/>
          <w:marTop w:val="0"/>
          <w:marBottom w:val="0"/>
          <w:divBdr>
            <w:top w:val="none" w:sz="0" w:space="0" w:color="auto"/>
            <w:left w:val="none" w:sz="0" w:space="0" w:color="auto"/>
            <w:bottom w:val="none" w:sz="0" w:space="0" w:color="auto"/>
            <w:right w:val="none" w:sz="0" w:space="0" w:color="auto"/>
          </w:divBdr>
          <w:divsChild>
            <w:div w:id="1805926174">
              <w:marLeft w:val="0"/>
              <w:marRight w:val="0"/>
              <w:marTop w:val="0"/>
              <w:marBottom w:val="0"/>
              <w:divBdr>
                <w:top w:val="none" w:sz="0" w:space="0" w:color="auto"/>
                <w:left w:val="none" w:sz="0" w:space="0" w:color="auto"/>
                <w:bottom w:val="none" w:sz="0" w:space="0" w:color="auto"/>
                <w:right w:val="none" w:sz="0" w:space="0" w:color="auto"/>
              </w:divBdr>
              <w:divsChild>
                <w:div w:id="300310891">
                  <w:marLeft w:val="-225"/>
                  <w:marRight w:val="-225"/>
                  <w:marTop w:val="0"/>
                  <w:marBottom w:val="0"/>
                  <w:divBdr>
                    <w:top w:val="none" w:sz="0" w:space="0" w:color="auto"/>
                    <w:left w:val="none" w:sz="0" w:space="0" w:color="auto"/>
                    <w:bottom w:val="none" w:sz="0" w:space="0" w:color="auto"/>
                    <w:right w:val="none" w:sz="0" w:space="0" w:color="auto"/>
                  </w:divBdr>
                  <w:divsChild>
                    <w:div w:id="373502249">
                      <w:marLeft w:val="0"/>
                      <w:marRight w:val="0"/>
                      <w:marTop w:val="0"/>
                      <w:marBottom w:val="0"/>
                      <w:divBdr>
                        <w:top w:val="none" w:sz="0" w:space="0" w:color="auto"/>
                        <w:left w:val="none" w:sz="0" w:space="0" w:color="auto"/>
                        <w:bottom w:val="none" w:sz="0" w:space="0" w:color="auto"/>
                        <w:right w:val="none" w:sz="0" w:space="0" w:color="auto"/>
                      </w:divBdr>
                      <w:divsChild>
                        <w:div w:id="1817644300">
                          <w:marLeft w:val="0"/>
                          <w:marRight w:val="0"/>
                          <w:marTop w:val="0"/>
                          <w:marBottom w:val="0"/>
                          <w:divBdr>
                            <w:top w:val="none" w:sz="0" w:space="0" w:color="auto"/>
                            <w:left w:val="none" w:sz="0" w:space="0" w:color="auto"/>
                            <w:bottom w:val="none" w:sz="0" w:space="0" w:color="auto"/>
                            <w:right w:val="none" w:sz="0" w:space="0" w:color="auto"/>
                          </w:divBdr>
                          <w:divsChild>
                            <w:div w:id="1464499512">
                              <w:marLeft w:val="0"/>
                              <w:marRight w:val="0"/>
                              <w:marTop w:val="0"/>
                              <w:marBottom w:val="0"/>
                              <w:divBdr>
                                <w:top w:val="none" w:sz="0" w:space="0" w:color="auto"/>
                                <w:left w:val="none" w:sz="0" w:space="0" w:color="auto"/>
                                <w:bottom w:val="none" w:sz="0" w:space="0" w:color="auto"/>
                                <w:right w:val="none" w:sz="0" w:space="0" w:color="auto"/>
                              </w:divBdr>
                              <w:divsChild>
                                <w:div w:id="1287128510">
                                  <w:marLeft w:val="-225"/>
                                  <w:marRight w:val="-225"/>
                                  <w:marTop w:val="0"/>
                                  <w:marBottom w:val="0"/>
                                  <w:divBdr>
                                    <w:top w:val="none" w:sz="0" w:space="0" w:color="auto"/>
                                    <w:left w:val="none" w:sz="0" w:space="0" w:color="auto"/>
                                    <w:bottom w:val="none" w:sz="0" w:space="0" w:color="auto"/>
                                    <w:right w:val="none" w:sz="0" w:space="0" w:color="auto"/>
                                  </w:divBdr>
                                  <w:divsChild>
                                    <w:div w:id="1089735396">
                                      <w:marLeft w:val="0"/>
                                      <w:marRight w:val="0"/>
                                      <w:marTop w:val="0"/>
                                      <w:marBottom w:val="0"/>
                                      <w:divBdr>
                                        <w:top w:val="none" w:sz="0" w:space="0" w:color="auto"/>
                                        <w:left w:val="none" w:sz="0" w:space="0" w:color="auto"/>
                                        <w:bottom w:val="none" w:sz="0" w:space="0" w:color="auto"/>
                                        <w:right w:val="none" w:sz="0" w:space="0" w:color="auto"/>
                                      </w:divBdr>
                                      <w:divsChild>
                                        <w:div w:id="1493981385">
                                          <w:marLeft w:val="0"/>
                                          <w:marRight w:val="0"/>
                                          <w:marTop w:val="0"/>
                                          <w:marBottom w:val="0"/>
                                          <w:divBdr>
                                            <w:top w:val="none" w:sz="0" w:space="0" w:color="auto"/>
                                            <w:left w:val="none" w:sz="0" w:space="0" w:color="auto"/>
                                            <w:bottom w:val="none" w:sz="0" w:space="0" w:color="auto"/>
                                            <w:right w:val="none" w:sz="0" w:space="0" w:color="auto"/>
                                          </w:divBdr>
                                          <w:divsChild>
                                            <w:div w:id="646084699">
                                              <w:marLeft w:val="0"/>
                                              <w:marRight w:val="0"/>
                                              <w:marTop w:val="0"/>
                                              <w:marBottom w:val="0"/>
                                              <w:divBdr>
                                                <w:top w:val="none" w:sz="0" w:space="0" w:color="auto"/>
                                                <w:left w:val="none" w:sz="0" w:space="0" w:color="auto"/>
                                                <w:bottom w:val="none" w:sz="0" w:space="0" w:color="auto"/>
                                                <w:right w:val="none" w:sz="0" w:space="0" w:color="auto"/>
                                              </w:divBdr>
                                              <w:divsChild>
                                                <w:div w:id="843322887">
                                                  <w:marLeft w:val="0"/>
                                                  <w:marRight w:val="0"/>
                                                  <w:marTop w:val="0"/>
                                                  <w:marBottom w:val="0"/>
                                                  <w:divBdr>
                                                    <w:top w:val="none" w:sz="0" w:space="0" w:color="auto"/>
                                                    <w:left w:val="none" w:sz="0" w:space="0" w:color="auto"/>
                                                    <w:bottom w:val="none" w:sz="0" w:space="0" w:color="auto"/>
                                                    <w:right w:val="none" w:sz="0" w:space="0" w:color="auto"/>
                                                  </w:divBdr>
                                                  <w:divsChild>
                                                    <w:div w:id="1267348048">
                                                      <w:marLeft w:val="0"/>
                                                      <w:marRight w:val="0"/>
                                                      <w:marTop w:val="0"/>
                                                      <w:marBottom w:val="0"/>
                                                      <w:divBdr>
                                                        <w:top w:val="none" w:sz="0" w:space="0" w:color="auto"/>
                                                        <w:left w:val="none" w:sz="0" w:space="0" w:color="auto"/>
                                                        <w:bottom w:val="none" w:sz="0" w:space="0" w:color="auto"/>
                                                        <w:right w:val="none" w:sz="0" w:space="0" w:color="auto"/>
                                                      </w:divBdr>
                                                      <w:divsChild>
                                                        <w:div w:id="730157143">
                                                          <w:marLeft w:val="0"/>
                                                          <w:marRight w:val="0"/>
                                                          <w:marTop w:val="0"/>
                                                          <w:marBottom w:val="0"/>
                                                          <w:divBdr>
                                                            <w:top w:val="none" w:sz="0" w:space="0" w:color="auto"/>
                                                            <w:left w:val="none" w:sz="0" w:space="0" w:color="auto"/>
                                                            <w:bottom w:val="none" w:sz="0" w:space="0" w:color="auto"/>
                                                            <w:right w:val="none" w:sz="0" w:space="0" w:color="auto"/>
                                                          </w:divBdr>
                                                          <w:divsChild>
                                                            <w:div w:id="1997415267">
                                                              <w:marLeft w:val="0"/>
                                                              <w:marRight w:val="0"/>
                                                              <w:marTop w:val="0"/>
                                                              <w:marBottom w:val="0"/>
                                                              <w:divBdr>
                                                                <w:top w:val="none" w:sz="0" w:space="0" w:color="auto"/>
                                                                <w:left w:val="none" w:sz="0" w:space="0" w:color="auto"/>
                                                                <w:bottom w:val="none" w:sz="0" w:space="0" w:color="auto"/>
                                                                <w:right w:val="none" w:sz="0" w:space="0" w:color="auto"/>
                                                              </w:divBdr>
                                                              <w:divsChild>
                                                                <w:div w:id="1619292031">
                                                                  <w:marLeft w:val="-225"/>
                                                                  <w:marRight w:val="-225"/>
                                                                  <w:marTop w:val="0"/>
                                                                  <w:marBottom w:val="0"/>
                                                                  <w:divBdr>
                                                                    <w:top w:val="none" w:sz="0" w:space="0" w:color="auto"/>
                                                                    <w:left w:val="none" w:sz="0" w:space="0" w:color="auto"/>
                                                                    <w:bottom w:val="none" w:sz="0" w:space="0" w:color="auto"/>
                                                                    <w:right w:val="none" w:sz="0" w:space="0" w:color="auto"/>
                                                                  </w:divBdr>
                                                                  <w:divsChild>
                                                                    <w:div w:id="583802518">
                                                                      <w:marLeft w:val="0"/>
                                                                      <w:marRight w:val="0"/>
                                                                      <w:marTop w:val="0"/>
                                                                      <w:marBottom w:val="0"/>
                                                                      <w:divBdr>
                                                                        <w:top w:val="none" w:sz="0" w:space="0" w:color="auto"/>
                                                                        <w:left w:val="none" w:sz="0" w:space="0" w:color="auto"/>
                                                                        <w:bottom w:val="none" w:sz="0" w:space="0" w:color="auto"/>
                                                                        <w:right w:val="none" w:sz="0" w:space="0" w:color="auto"/>
                                                                      </w:divBdr>
                                                                      <w:divsChild>
                                                                        <w:div w:id="2016565725">
                                                                          <w:marLeft w:val="0"/>
                                                                          <w:marRight w:val="0"/>
                                                                          <w:marTop w:val="0"/>
                                                                          <w:marBottom w:val="0"/>
                                                                          <w:divBdr>
                                                                            <w:top w:val="none" w:sz="0" w:space="0" w:color="auto"/>
                                                                            <w:left w:val="none" w:sz="0" w:space="0" w:color="auto"/>
                                                                            <w:bottom w:val="none" w:sz="0" w:space="0" w:color="auto"/>
                                                                            <w:right w:val="none" w:sz="0" w:space="0" w:color="auto"/>
                                                                          </w:divBdr>
                                                                          <w:divsChild>
                                                                            <w:div w:id="511186798">
                                                                              <w:marLeft w:val="0"/>
                                                                              <w:marRight w:val="0"/>
                                                                              <w:marTop w:val="0"/>
                                                                              <w:marBottom w:val="0"/>
                                                                              <w:divBdr>
                                                                                <w:top w:val="none" w:sz="0" w:space="0" w:color="auto"/>
                                                                                <w:left w:val="none" w:sz="0" w:space="0" w:color="auto"/>
                                                                                <w:bottom w:val="none" w:sz="0" w:space="0" w:color="auto"/>
                                                                                <w:right w:val="none" w:sz="0" w:space="0" w:color="auto"/>
                                                                              </w:divBdr>
                                                                              <w:divsChild>
                                                                                <w:div w:id="1441486208">
                                                                                  <w:marLeft w:val="0"/>
                                                                                  <w:marRight w:val="0"/>
                                                                                  <w:marTop w:val="0"/>
                                                                                  <w:marBottom w:val="0"/>
                                                                                  <w:divBdr>
                                                                                    <w:top w:val="none" w:sz="0" w:space="0" w:color="auto"/>
                                                                                    <w:left w:val="none" w:sz="0" w:space="0" w:color="auto"/>
                                                                                    <w:bottom w:val="none" w:sz="0" w:space="0" w:color="auto"/>
                                                                                    <w:right w:val="none" w:sz="0" w:space="0" w:color="auto"/>
                                                                                  </w:divBdr>
                                                                                  <w:divsChild>
                                                                                    <w:div w:id="508103493">
                                                                                      <w:marLeft w:val="0"/>
                                                                                      <w:marRight w:val="0"/>
                                                                                      <w:marTop w:val="0"/>
                                                                                      <w:marBottom w:val="0"/>
                                                                                      <w:divBdr>
                                                                                        <w:top w:val="none" w:sz="0" w:space="0" w:color="auto"/>
                                                                                        <w:left w:val="none" w:sz="0" w:space="0" w:color="auto"/>
                                                                                        <w:bottom w:val="none" w:sz="0" w:space="0" w:color="auto"/>
                                                                                        <w:right w:val="none" w:sz="0" w:space="0" w:color="auto"/>
                                                                                      </w:divBdr>
                                                                                      <w:divsChild>
                                                                                        <w:div w:id="9074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603266">
      <w:bodyDiv w:val="1"/>
      <w:marLeft w:val="0"/>
      <w:marRight w:val="0"/>
      <w:marTop w:val="0"/>
      <w:marBottom w:val="0"/>
      <w:divBdr>
        <w:top w:val="none" w:sz="0" w:space="0" w:color="auto"/>
        <w:left w:val="none" w:sz="0" w:space="0" w:color="auto"/>
        <w:bottom w:val="none" w:sz="0" w:space="0" w:color="auto"/>
        <w:right w:val="none" w:sz="0" w:space="0" w:color="auto"/>
      </w:divBdr>
    </w:div>
    <w:div w:id="700781236">
      <w:bodyDiv w:val="1"/>
      <w:marLeft w:val="0"/>
      <w:marRight w:val="0"/>
      <w:marTop w:val="0"/>
      <w:marBottom w:val="0"/>
      <w:divBdr>
        <w:top w:val="none" w:sz="0" w:space="0" w:color="auto"/>
        <w:left w:val="none" w:sz="0" w:space="0" w:color="auto"/>
        <w:bottom w:val="none" w:sz="0" w:space="0" w:color="auto"/>
        <w:right w:val="none" w:sz="0" w:space="0" w:color="auto"/>
      </w:divBdr>
    </w:div>
    <w:div w:id="727805396">
      <w:bodyDiv w:val="1"/>
      <w:marLeft w:val="0"/>
      <w:marRight w:val="0"/>
      <w:marTop w:val="0"/>
      <w:marBottom w:val="0"/>
      <w:divBdr>
        <w:top w:val="none" w:sz="0" w:space="0" w:color="auto"/>
        <w:left w:val="none" w:sz="0" w:space="0" w:color="auto"/>
        <w:bottom w:val="none" w:sz="0" w:space="0" w:color="auto"/>
        <w:right w:val="none" w:sz="0" w:space="0" w:color="auto"/>
      </w:divBdr>
      <w:divsChild>
        <w:div w:id="1050375521">
          <w:marLeft w:val="0"/>
          <w:marRight w:val="0"/>
          <w:marTop w:val="0"/>
          <w:marBottom w:val="0"/>
          <w:divBdr>
            <w:top w:val="none" w:sz="0" w:space="0" w:color="auto"/>
            <w:left w:val="none" w:sz="0" w:space="0" w:color="auto"/>
            <w:bottom w:val="none" w:sz="0" w:space="0" w:color="auto"/>
            <w:right w:val="none" w:sz="0" w:space="0" w:color="auto"/>
          </w:divBdr>
          <w:divsChild>
            <w:div w:id="1942643590">
              <w:marLeft w:val="0"/>
              <w:marRight w:val="0"/>
              <w:marTop w:val="0"/>
              <w:marBottom w:val="0"/>
              <w:divBdr>
                <w:top w:val="none" w:sz="0" w:space="0" w:color="auto"/>
                <w:left w:val="none" w:sz="0" w:space="0" w:color="auto"/>
                <w:bottom w:val="none" w:sz="0" w:space="0" w:color="auto"/>
                <w:right w:val="none" w:sz="0" w:space="0" w:color="auto"/>
              </w:divBdr>
              <w:divsChild>
                <w:div w:id="1964194843">
                  <w:marLeft w:val="0"/>
                  <w:marRight w:val="0"/>
                  <w:marTop w:val="0"/>
                  <w:marBottom w:val="0"/>
                  <w:divBdr>
                    <w:top w:val="none" w:sz="0" w:space="0" w:color="auto"/>
                    <w:left w:val="none" w:sz="0" w:space="0" w:color="auto"/>
                    <w:bottom w:val="none" w:sz="0" w:space="0" w:color="auto"/>
                    <w:right w:val="none" w:sz="0" w:space="0" w:color="auto"/>
                  </w:divBdr>
                  <w:divsChild>
                    <w:div w:id="1288242620">
                      <w:marLeft w:val="0"/>
                      <w:marRight w:val="0"/>
                      <w:marTop w:val="0"/>
                      <w:marBottom w:val="0"/>
                      <w:divBdr>
                        <w:top w:val="none" w:sz="0" w:space="0" w:color="auto"/>
                        <w:left w:val="none" w:sz="0" w:space="0" w:color="auto"/>
                        <w:bottom w:val="none" w:sz="0" w:space="0" w:color="auto"/>
                        <w:right w:val="none" w:sz="0" w:space="0" w:color="auto"/>
                      </w:divBdr>
                      <w:divsChild>
                        <w:div w:id="1175925442">
                          <w:marLeft w:val="0"/>
                          <w:marRight w:val="0"/>
                          <w:marTop w:val="0"/>
                          <w:marBottom w:val="0"/>
                          <w:divBdr>
                            <w:top w:val="none" w:sz="0" w:space="0" w:color="auto"/>
                            <w:left w:val="none" w:sz="0" w:space="0" w:color="auto"/>
                            <w:bottom w:val="none" w:sz="0" w:space="0" w:color="auto"/>
                            <w:right w:val="none" w:sz="0" w:space="0" w:color="auto"/>
                          </w:divBdr>
                          <w:divsChild>
                            <w:div w:id="1301761368">
                              <w:marLeft w:val="0"/>
                              <w:marRight w:val="0"/>
                              <w:marTop w:val="0"/>
                              <w:marBottom w:val="0"/>
                              <w:divBdr>
                                <w:top w:val="none" w:sz="0" w:space="0" w:color="auto"/>
                                <w:left w:val="none" w:sz="0" w:space="0" w:color="auto"/>
                                <w:bottom w:val="none" w:sz="0" w:space="0" w:color="auto"/>
                                <w:right w:val="none" w:sz="0" w:space="0" w:color="auto"/>
                              </w:divBdr>
                              <w:divsChild>
                                <w:div w:id="160509467">
                                  <w:marLeft w:val="0"/>
                                  <w:marRight w:val="0"/>
                                  <w:marTop w:val="0"/>
                                  <w:marBottom w:val="0"/>
                                  <w:divBdr>
                                    <w:top w:val="none" w:sz="0" w:space="0" w:color="auto"/>
                                    <w:left w:val="none" w:sz="0" w:space="0" w:color="auto"/>
                                    <w:bottom w:val="none" w:sz="0" w:space="0" w:color="auto"/>
                                    <w:right w:val="none" w:sz="0" w:space="0" w:color="auto"/>
                                  </w:divBdr>
                                  <w:divsChild>
                                    <w:div w:id="672296544">
                                      <w:marLeft w:val="0"/>
                                      <w:marRight w:val="0"/>
                                      <w:marTop w:val="0"/>
                                      <w:marBottom w:val="0"/>
                                      <w:divBdr>
                                        <w:top w:val="none" w:sz="0" w:space="0" w:color="auto"/>
                                        <w:left w:val="none" w:sz="0" w:space="0" w:color="auto"/>
                                        <w:bottom w:val="none" w:sz="0" w:space="0" w:color="auto"/>
                                        <w:right w:val="none" w:sz="0" w:space="0" w:color="auto"/>
                                      </w:divBdr>
                                      <w:divsChild>
                                        <w:div w:id="1613168668">
                                          <w:marLeft w:val="0"/>
                                          <w:marRight w:val="0"/>
                                          <w:marTop w:val="0"/>
                                          <w:marBottom w:val="0"/>
                                          <w:divBdr>
                                            <w:top w:val="none" w:sz="0" w:space="0" w:color="auto"/>
                                            <w:left w:val="none" w:sz="0" w:space="0" w:color="auto"/>
                                            <w:bottom w:val="none" w:sz="0" w:space="0" w:color="auto"/>
                                            <w:right w:val="none" w:sz="0" w:space="0" w:color="auto"/>
                                          </w:divBdr>
                                          <w:divsChild>
                                            <w:div w:id="10588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9474">
      <w:bodyDiv w:val="1"/>
      <w:marLeft w:val="0"/>
      <w:marRight w:val="0"/>
      <w:marTop w:val="0"/>
      <w:marBottom w:val="0"/>
      <w:divBdr>
        <w:top w:val="none" w:sz="0" w:space="0" w:color="auto"/>
        <w:left w:val="none" w:sz="0" w:space="0" w:color="auto"/>
        <w:bottom w:val="none" w:sz="0" w:space="0" w:color="auto"/>
        <w:right w:val="none" w:sz="0" w:space="0" w:color="auto"/>
      </w:divBdr>
    </w:div>
    <w:div w:id="777794469">
      <w:bodyDiv w:val="1"/>
      <w:marLeft w:val="0"/>
      <w:marRight w:val="0"/>
      <w:marTop w:val="0"/>
      <w:marBottom w:val="0"/>
      <w:divBdr>
        <w:top w:val="none" w:sz="0" w:space="0" w:color="auto"/>
        <w:left w:val="none" w:sz="0" w:space="0" w:color="auto"/>
        <w:bottom w:val="none" w:sz="0" w:space="0" w:color="auto"/>
        <w:right w:val="none" w:sz="0" w:space="0" w:color="auto"/>
      </w:divBdr>
    </w:div>
    <w:div w:id="794297207">
      <w:bodyDiv w:val="1"/>
      <w:marLeft w:val="0"/>
      <w:marRight w:val="0"/>
      <w:marTop w:val="0"/>
      <w:marBottom w:val="0"/>
      <w:divBdr>
        <w:top w:val="none" w:sz="0" w:space="0" w:color="auto"/>
        <w:left w:val="none" w:sz="0" w:space="0" w:color="auto"/>
        <w:bottom w:val="none" w:sz="0" w:space="0" w:color="auto"/>
        <w:right w:val="none" w:sz="0" w:space="0" w:color="auto"/>
      </w:divBdr>
    </w:div>
    <w:div w:id="830944032">
      <w:bodyDiv w:val="1"/>
      <w:marLeft w:val="0"/>
      <w:marRight w:val="0"/>
      <w:marTop w:val="0"/>
      <w:marBottom w:val="0"/>
      <w:divBdr>
        <w:top w:val="none" w:sz="0" w:space="0" w:color="auto"/>
        <w:left w:val="none" w:sz="0" w:space="0" w:color="auto"/>
        <w:bottom w:val="none" w:sz="0" w:space="0" w:color="auto"/>
        <w:right w:val="none" w:sz="0" w:space="0" w:color="auto"/>
      </w:divBdr>
    </w:div>
    <w:div w:id="868302490">
      <w:bodyDiv w:val="1"/>
      <w:marLeft w:val="0"/>
      <w:marRight w:val="0"/>
      <w:marTop w:val="0"/>
      <w:marBottom w:val="0"/>
      <w:divBdr>
        <w:top w:val="none" w:sz="0" w:space="0" w:color="auto"/>
        <w:left w:val="none" w:sz="0" w:space="0" w:color="auto"/>
        <w:bottom w:val="none" w:sz="0" w:space="0" w:color="auto"/>
        <w:right w:val="none" w:sz="0" w:space="0" w:color="auto"/>
      </w:divBdr>
      <w:divsChild>
        <w:div w:id="1702241647">
          <w:marLeft w:val="0"/>
          <w:marRight w:val="0"/>
          <w:marTop w:val="0"/>
          <w:marBottom w:val="0"/>
          <w:divBdr>
            <w:top w:val="none" w:sz="0" w:space="0" w:color="auto"/>
            <w:left w:val="none" w:sz="0" w:space="0" w:color="auto"/>
            <w:bottom w:val="none" w:sz="0" w:space="0" w:color="auto"/>
            <w:right w:val="none" w:sz="0" w:space="0" w:color="auto"/>
          </w:divBdr>
          <w:divsChild>
            <w:div w:id="1948269118">
              <w:marLeft w:val="0"/>
              <w:marRight w:val="0"/>
              <w:marTop w:val="0"/>
              <w:marBottom w:val="0"/>
              <w:divBdr>
                <w:top w:val="none" w:sz="0" w:space="0" w:color="auto"/>
                <w:left w:val="none" w:sz="0" w:space="0" w:color="auto"/>
                <w:bottom w:val="none" w:sz="0" w:space="0" w:color="auto"/>
                <w:right w:val="none" w:sz="0" w:space="0" w:color="auto"/>
              </w:divBdr>
              <w:divsChild>
                <w:div w:id="1014454168">
                  <w:marLeft w:val="0"/>
                  <w:marRight w:val="0"/>
                  <w:marTop w:val="0"/>
                  <w:marBottom w:val="0"/>
                  <w:divBdr>
                    <w:top w:val="none" w:sz="0" w:space="0" w:color="auto"/>
                    <w:left w:val="none" w:sz="0" w:space="0" w:color="auto"/>
                    <w:bottom w:val="none" w:sz="0" w:space="0" w:color="auto"/>
                    <w:right w:val="none" w:sz="0" w:space="0" w:color="auto"/>
                  </w:divBdr>
                  <w:divsChild>
                    <w:div w:id="180824122">
                      <w:marLeft w:val="0"/>
                      <w:marRight w:val="0"/>
                      <w:marTop w:val="0"/>
                      <w:marBottom w:val="0"/>
                      <w:divBdr>
                        <w:top w:val="none" w:sz="0" w:space="0" w:color="auto"/>
                        <w:left w:val="none" w:sz="0" w:space="0" w:color="auto"/>
                        <w:bottom w:val="none" w:sz="0" w:space="0" w:color="auto"/>
                        <w:right w:val="none" w:sz="0" w:space="0" w:color="auto"/>
                      </w:divBdr>
                      <w:divsChild>
                        <w:div w:id="2062359601">
                          <w:marLeft w:val="0"/>
                          <w:marRight w:val="0"/>
                          <w:marTop w:val="0"/>
                          <w:marBottom w:val="0"/>
                          <w:divBdr>
                            <w:top w:val="none" w:sz="0" w:space="0" w:color="auto"/>
                            <w:left w:val="none" w:sz="0" w:space="0" w:color="auto"/>
                            <w:bottom w:val="none" w:sz="0" w:space="0" w:color="auto"/>
                            <w:right w:val="none" w:sz="0" w:space="0" w:color="auto"/>
                          </w:divBdr>
                          <w:divsChild>
                            <w:div w:id="1964578057">
                              <w:marLeft w:val="0"/>
                              <w:marRight w:val="0"/>
                              <w:marTop w:val="0"/>
                              <w:marBottom w:val="0"/>
                              <w:divBdr>
                                <w:top w:val="none" w:sz="0" w:space="0" w:color="auto"/>
                                <w:left w:val="none" w:sz="0" w:space="0" w:color="auto"/>
                                <w:bottom w:val="none" w:sz="0" w:space="0" w:color="auto"/>
                                <w:right w:val="none" w:sz="0" w:space="0" w:color="auto"/>
                              </w:divBdr>
                              <w:divsChild>
                                <w:div w:id="540628727">
                                  <w:marLeft w:val="0"/>
                                  <w:marRight w:val="0"/>
                                  <w:marTop w:val="0"/>
                                  <w:marBottom w:val="0"/>
                                  <w:divBdr>
                                    <w:top w:val="none" w:sz="0" w:space="0" w:color="auto"/>
                                    <w:left w:val="none" w:sz="0" w:space="0" w:color="auto"/>
                                    <w:bottom w:val="none" w:sz="0" w:space="0" w:color="auto"/>
                                    <w:right w:val="none" w:sz="0" w:space="0" w:color="auto"/>
                                  </w:divBdr>
                                  <w:divsChild>
                                    <w:div w:id="27800944">
                                      <w:marLeft w:val="0"/>
                                      <w:marRight w:val="0"/>
                                      <w:marTop w:val="0"/>
                                      <w:marBottom w:val="0"/>
                                      <w:divBdr>
                                        <w:top w:val="none" w:sz="0" w:space="0" w:color="auto"/>
                                        <w:left w:val="none" w:sz="0" w:space="0" w:color="auto"/>
                                        <w:bottom w:val="none" w:sz="0" w:space="0" w:color="auto"/>
                                        <w:right w:val="none" w:sz="0" w:space="0" w:color="auto"/>
                                      </w:divBdr>
                                      <w:divsChild>
                                        <w:div w:id="2040474720">
                                          <w:marLeft w:val="0"/>
                                          <w:marRight w:val="0"/>
                                          <w:marTop w:val="0"/>
                                          <w:marBottom w:val="0"/>
                                          <w:divBdr>
                                            <w:top w:val="none" w:sz="0" w:space="0" w:color="auto"/>
                                            <w:left w:val="none" w:sz="0" w:space="0" w:color="auto"/>
                                            <w:bottom w:val="none" w:sz="0" w:space="0" w:color="auto"/>
                                            <w:right w:val="none" w:sz="0" w:space="0" w:color="auto"/>
                                          </w:divBdr>
                                          <w:divsChild>
                                            <w:div w:id="1421876946">
                                              <w:marLeft w:val="0"/>
                                              <w:marRight w:val="0"/>
                                              <w:marTop w:val="0"/>
                                              <w:marBottom w:val="0"/>
                                              <w:divBdr>
                                                <w:top w:val="none" w:sz="0" w:space="0" w:color="auto"/>
                                                <w:left w:val="none" w:sz="0" w:space="0" w:color="auto"/>
                                                <w:bottom w:val="none" w:sz="0" w:space="0" w:color="auto"/>
                                                <w:right w:val="none" w:sz="0" w:space="0" w:color="auto"/>
                                              </w:divBdr>
                                              <w:divsChild>
                                                <w:div w:id="155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942510">
      <w:bodyDiv w:val="1"/>
      <w:marLeft w:val="0"/>
      <w:marRight w:val="0"/>
      <w:marTop w:val="0"/>
      <w:marBottom w:val="0"/>
      <w:divBdr>
        <w:top w:val="none" w:sz="0" w:space="0" w:color="auto"/>
        <w:left w:val="none" w:sz="0" w:space="0" w:color="auto"/>
        <w:bottom w:val="none" w:sz="0" w:space="0" w:color="auto"/>
        <w:right w:val="none" w:sz="0" w:space="0" w:color="auto"/>
      </w:divBdr>
      <w:divsChild>
        <w:div w:id="2093549019">
          <w:marLeft w:val="0"/>
          <w:marRight w:val="0"/>
          <w:marTop w:val="0"/>
          <w:marBottom w:val="0"/>
          <w:divBdr>
            <w:top w:val="none" w:sz="0" w:space="0" w:color="auto"/>
            <w:left w:val="none" w:sz="0" w:space="0" w:color="auto"/>
            <w:bottom w:val="none" w:sz="0" w:space="0" w:color="auto"/>
            <w:right w:val="none" w:sz="0" w:space="0" w:color="auto"/>
          </w:divBdr>
          <w:divsChild>
            <w:div w:id="1389184885">
              <w:marLeft w:val="0"/>
              <w:marRight w:val="0"/>
              <w:marTop w:val="0"/>
              <w:marBottom w:val="0"/>
              <w:divBdr>
                <w:top w:val="none" w:sz="0" w:space="0" w:color="auto"/>
                <w:left w:val="none" w:sz="0" w:space="0" w:color="auto"/>
                <w:bottom w:val="none" w:sz="0" w:space="0" w:color="auto"/>
                <w:right w:val="none" w:sz="0" w:space="0" w:color="auto"/>
              </w:divBdr>
              <w:divsChild>
                <w:div w:id="800224687">
                  <w:marLeft w:val="0"/>
                  <w:marRight w:val="0"/>
                  <w:marTop w:val="0"/>
                  <w:marBottom w:val="0"/>
                  <w:divBdr>
                    <w:top w:val="none" w:sz="0" w:space="0" w:color="auto"/>
                    <w:left w:val="none" w:sz="0" w:space="0" w:color="auto"/>
                    <w:bottom w:val="none" w:sz="0" w:space="0" w:color="auto"/>
                    <w:right w:val="none" w:sz="0" w:space="0" w:color="auto"/>
                  </w:divBdr>
                  <w:divsChild>
                    <w:div w:id="1482574554">
                      <w:marLeft w:val="0"/>
                      <w:marRight w:val="0"/>
                      <w:marTop w:val="0"/>
                      <w:marBottom w:val="0"/>
                      <w:divBdr>
                        <w:top w:val="none" w:sz="0" w:space="0" w:color="auto"/>
                        <w:left w:val="none" w:sz="0" w:space="0" w:color="auto"/>
                        <w:bottom w:val="none" w:sz="0" w:space="0" w:color="auto"/>
                        <w:right w:val="none" w:sz="0" w:space="0" w:color="auto"/>
                      </w:divBdr>
                      <w:divsChild>
                        <w:div w:id="1769957502">
                          <w:marLeft w:val="0"/>
                          <w:marRight w:val="0"/>
                          <w:marTop w:val="0"/>
                          <w:marBottom w:val="0"/>
                          <w:divBdr>
                            <w:top w:val="none" w:sz="0" w:space="0" w:color="auto"/>
                            <w:left w:val="none" w:sz="0" w:space="0" w:color="auto"/>
                            <w:bottom w:val="none" w:sz="0" w:space="0" w:color="auto"/>
                            <w:right w:val="none" w:sz="0" w:space="0" w:color="auto"/>
                          </w:divBdr>
                          <w:divsChild>
                            <w:div w:id="1421953692">
                              <w:marLeft w:val="0"/>
                              <w:marRight w:val="0"/>
                              <w:marTop w:val="0"/>
                              <w:marBottom w:val="0"/>
                              <w:divBdr>
                                <w:top w:val="none" w:sz="0" w:space="0" w:color="auto"/>
                                <w:left w:val="none" w:sz="0" w:space="0" w:color="auto"/>
                                <w:bottom w:val="none" w:sz="0" w:space="0" w:color="auto"/>
                                <w:right w:val="none" w:sz="0" w:space="0" w:color="auto"/>
                              </w:divBdr>
                              <w:divsChild>
                                <w:div w:id="46801751">
                                  <w:marLeft w:val="0"/>
                                  <w:marRight w:val="0"/>
                                  <w:marTop w:val="0"/>
                                  <w:marBottom w:val="0"/>
                                  <w:divBdr>
                                    <w:top w:val="none" w:sz="0" w:space="0" w:color="auto"/>
                                    <w:left w:val="none" w:sz="0" w:space="0" w:color="auto"/>
                                    <w:bottom w:val="none" w:sz="0" w:space="0" w:color="auto"/>
                                    <w:right w:val="none" w:sz="0" w:space="0" w:color="auto"/>
                                  </w:divBdr>
                                  <w:divsChild>
                                    <w:div w:id="16471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435803">
      <w:bodyDiv w:val="1"/>
      <w:marLeft w:val="0"/>
      <w:marRight w:val="0"/>
      <w:marTop w:val="0"/>
      <w:marBottom w:val="0"/>
      <w:divBdr>
        <w:top w:val="none" w:sz="0" w:space="0" w:color="auto"/>
        <w:left w:val="none" w:sz="0" w:space="0" w:color="auto"/>
        <w:bottom w:val="none" w:sz="0" w:space="0" w:color="auto"/>
        <w:right w:val="none" w:sz="0" w:space="0" w:color="auto"/>
      </w:divBdr>
    </w:div>
    <w:div w:id="1035543135">
      <w:bodyDiv w:val="1"/>
      <w:marLeft w:val="0"/>
      <w:marRight w:val="0"/>
      <w:marTop w:val="0"/>
      <w:marBottom w:val="0"/>
      <w:divBdr>
        <w:top w:val="none" w:sz="0" w:space="0" w:color="auto"/>
        <w:left w:val="none" w:sz="0" w:space="0" w:color="auto"/>
        <w:bottom w:val="none" w:sz="0" w:space="0" w:color="auto"/>
        <w:right w:val="none" w:sz="0" w:space="0" w:color="auto"/>
      </w:divBdr>
    </w:div>
    <w:div w:id="1117289210">
      <w:bodyDiv w:val="1"/>
      <w:marLeft w:val="0"/>
      <w:marRight w:val="0"/>
      <w:marTop w:val="0"/>
      <w:marBottom w:val="0"/>
      <w:divBdr>
        <w:top w:val="none" w:sz="0" w:space="0" w:color="auto"/>
        <w:left w:val="none" w:sz="0" w:space="0" w:color="auto"/>
        <w:bottom w:val="none" w:sz="0" w:space="0" w:color="auto"/>
        <w:right w:val="none" w:sz="0" w:space="0" w:color="auto"/>
      </w:divBdr>
    </w:div>
    <w:div w:id="1151866152">
      <w:bodyDiv w:val="1"/>
      <w:marLeft w:val="0"/>
      <w:marRight w:val="0"/>
      <w:marTop w:val="0"/>
      <w:marBottom w:val="0"/>
      <w:divBdr>
        <w:top w:val="none" w:sz="0" w:space="0" w:color="auto"/>
        <w:left w:val="none" w:sz="0" w:space="0" w:color="auto"/>
        <w:bottom w:val="none" w:sz="0" w:space="0" w:color="auto"/>
        <w:right w:val="none" w:sz="0" w:space="0" w:color="auto"/>
      </w:divBdr>
    </w:div>
    <w:div w:id="1218512691">
      <w:bodyDiv w:val="1"/>
      <w:marLeft w:val="0"/>
      <w:marRight w:val="0"/>
      <w:marTop w:val="0"/>
      <w:marBottom w:val="0"/>
      <w:divBdr>
        <w:top w:val="none" w:sz="0" w:space="0" w:color="auto"/>
        <w:left w:val="none" w:sz="0" w:space="0" w:color="auto"/>
        <w:bottom w:val="none" w:sz="0" w:space="0" w:color="auto"/>
        <w:right w:val="none" w:sz="0" w:space="0" w:color="auto"/>
      </w:divBdr>
    </w:div>
    <w:div w:id="1288973484">
      <w:bodyDiv w:val="1"/>
      <w:marLeft w:val="0"/>
      <w:marRight w:val="0"/>
      <w:marTop w:val="0"/>
      <w:marBottom w:val="0"/>
      <w:divBdr>
        <w:top w:val="none" w:sz="0" w:space="0" w:color="auto"/>
        <w:left w:val="none" w:sz="0" w:space="0" w:color="auto"/>
        <w:bottom w:val="none" w:sz="0" w:space="0" w:color="auto"/>
        <w:right w:val="none" w:sz="0" w:space="0" w:color="auto"/>
      </w:divBdr>
    </w:div>
    <w:div w:id="1357848230">
      <w:bodyDiv w:val="1"/>
      <w:marLeft w:val="0"/>
      <w:marRight w:val="0"/>
      <w:marTop w:val="0"/>
      <w:marBottom w:val="0"/>
      <w:divBdr>
        <w:top w:val="none" w:sz="0" w:space="0" w:color="auto"/>
        <w:left w:val="none" w:sz="0" w:space="0" w:color="auto"/>
        <w:bottom w:val="none" w:sz="0" w:space="0" w:color="auto"/>
        <w:right w:val="none" w:sz="0" w:space="0" w:color="auto"/>
      </w:divBdr>
    </w:div>
    <w:div w:id="1367412076">
      <w:bodyDiv w:val="1"/>
      <w:marLeft w:val="0"/>
      <w:marRight w:val="0"/>
      <w:marTop w:val="0"/>
      <w:marBottom w:val="0"/>
      <w:divBdr>
        <w:top w:val="none" w:sz="0" w:space="0" w:color="auto"/>
        <w:left w:val="none" w:sz="0" w:space="0" w:color="auto"/>
        <w:bottom w:val="none" w:sz="0" w:space="0" w:color="auto"/>
        <w:right w:val="none" w:sz="0" w:space="0" w:color="auto"/>
      </w:divBdr>
    </w:div>
    <w:div w:id="1518350078">
      <w:bodyDiv w:val="1"/>
      <w:marLeft w:val="0"/>
      <w:marRight w:val="0"/>
      <w:marTop w:val="0"/>
      <w:marBottom w:val="0"/>
      <w:divBdr>
        <w:top w:val="none" w:sz="0" w:space="0" w:color="auto"/>
        <w:left w:val="none" w:sz="0" w:space="0" w:color="auto"/>
        <w:bottom w:val="none" w:sz="0" w:space="0" w:color="auto"/>
        <w:right w:val="none" w:sz="0" w:space="0" w:color="auto"/>
      </w:divBdr>
    </w:div>
    <w:div w:id="1553611730">
      <w:bodyDiv w:val="1"/>
      <w:marLeft w:val="0"/>
      <w:marRight w:val="0"/>
      <w:marTop w:val="0"/>
      <w:marBottom w:val="0"/>
      <w:divBdr>
        <w:top w:val="none" w:sz="0" w:space="0" w:color="auto"/>
        <w:left w:val="none" w:sz="0" w:space="0" w:color="auto"/>
        <w:bottom w:val="none" w:sz="0" w:space="0" w:color="auto"/>
        <w:right w:val="none" w:sz="0" w:space="0" w:color="auto"/>
      </w:divBdr>
    </w:div>
    <w:div w:id="1664115902">
      <w:bodyDiv w:val="1"/>
      <w:marLeft w:val="0"/>
      <w:marRight w:val="0"/>
      <w:marTop w:val="0"/>
      <w:marBottom w:val="0"/>
      <w:divBdr>
        <w:top w:val="none" w:sz="0" w:space="0" w:color="auto"/>
        <w:left w:val="none" w:sz="0" w:space="0" w:color="auto"/>
        <w:bottom w:val="none" w:sz="0" w:space="0" w:color="auto"/>
        <w:right w:val="none" w:sz="0" w:space="0" w:color="auto"/>
      </w:divBdr>
    </w:div>
    <w:div w:id="1697929510">
      <w:bodyDiv w:val="1"/>
      <w:marLeft w:val="0"/>
      <w:marRight w:val="0"/>
      <w:marTop w:val="0"/>
      <w:marBottom w:val="0"/>
      <w:divBdr>
        <w:top w:val="none" w:sz="0" w:space="0" w:color="auto"/>
        <w:left w:val="none" w:sz="0" w:space="0" w:color="auto"/>
        <w:bottom w:val="none" w:sz="0" w:space="0" w:color="auto"/>
        <w:right w:val="none" w:sz="0" w:space="0" w:color="auto"/>
      </w:divBdr>
    </w:div>
    <w:div w:id="1700273064">
      <w:bodyDiv w:val="1"/>
      <w:marLeft w:val="0"/>
      <w:marRight w:val="0"/>
      <w:marTop w:val="0"/>
      <w:marBottom w:val="0"/>
      <w:divBdr>
        <w:top w:val="none" w:sz="0" w:space="0" w:color="auto"/>
        <w:left w:val="none" w:sz="0" w:space="0" w:color="auto"/>
        <w:bottom w:val="none" w:sz="0" w:space="0" w:color="auto"/>
        <w:right w:val="none" w:sz="0" w:space="0" w:color="auto"/>
      </w:divBdr>
    </w:div>
    <w:div w:id="1775175905">
      <w:bodyDiv w:val="1"/>
      <w:marLeft w:val="0"/>
      <w:marRight w:val="0"/>
      <w:marTop w:val="0"/>
      <w:marBottom w:val="0"/>
      <w:divBdr>
        <w:top w:val="none" w:sz="0" w:space="0" w:color="auto"/>
        <w:left w:val="none" w:sz="0" w:space="0" w:color="auto"/>
        <w:bottom w:val="none" w:sz="0" w:space="0" w:color="auto"/>
        <w:right w:val="none" w:sz="0" w:space="0" w:color="auto"/>
      </w:divBdr>
    </w:div>
    <w:div w:id="1826047417">
      <w:bodyDiv w:val="1"/>
      <w:marLeft w:val="0"/>
      <w:marRight w:val="0"/>
      <w:marTop w:val="0"/>
      <w:marBottom w:val="0"/>
      <w:divBdr>
        <w:top w:val="none" w:sz="0" w:space="0" w:color="auto"/>
        <w:left w:val="none" w:sz="0" w:space="0" w:color="auto"/>
        <w:bottom w:val="none" w:sz="0" w:space="0" w:color="auto"/>
        <w:right w:val="none" w:sz="0" w:space="0" w:color="auto"/>
      </w:divBdr>
    </w:div>
    <w:div w:id="1835796650">
      <w:bodyDiv w:val="1"/>
      <w:marLeft w:val="0"/>
      <w:marRight w:val="0"/>
      <w:marTop w:val="0"/>
      <w:marBottom w:val="0"/>
      <w:divBdr>
        <w:top w:val="none" w:sz="0" w:space="0" w:color="auto"/>
        <w:left w:val="none" w:sz="0" w:space="0" w:color="auto"/>
        <w:bottom w:val="none" w:sz="0" w:space="0" w:color="auto"/>
        <w:right w:val="none" w:sz="0" w:space="0" w:color="auto"/>
      </w:divBdr>
    </w:div>
    <w:div w:id="1841382389">
      <w:bodyDiv w:val="1"/>
      <w:marLeft w:val="0"/>
      <w:marRight w:val="0"/>
      <w:marTop w:val="0"/>
      <w:marBottom w:val="0"/>
      <w:divBdr>
        <w:top w:val="none" w:sz="0" w:space="0" w:color="auto"/>
        <w:left w:val="none" w:sz="0" w:space="0" w:color="auto"/>
        <w:bottom w:val="none" w:sz="0" w:space="0" w:color="auto"/>
        <w:right w:val="none" w:sz="0" w:space="0" w:color="auto"/>
      </w:divBdr>
    </w:div>
    <w:div w:id="1841503370">
      <w:bodyDiv w:val="1"/>
      <w:marLeft w:val="0"/>
      <w:marRight w:val="0"/>
      <w:marTop w:val="0"/>
      <w:marBottom w:val="0"/>
      <w:divBdr>
        <w:top w:val="none" w:sz="0" w:space="0" w:color="auto"/>
        <w:left w:val="none" w:sz="0" w:space="0" w:color="auto"/>
        <w:bottom w:val="none" w:sz="0" w:space="0" w:color="auto"/>
        <w:right w:val="none" w:sz="0" w:space="0" w:color="auto"/>
      </w:divBdr>
    </w:div>
    <w:div w:id="2067991574">
      <w:bodyDiv w:val="1"/>
      <w:marLeft w:val="0"/>
      <w:marRight w:val="0"/>
      <w:marTop w:val="0"/>
      <w:marBottom w:val="0"/>
      <w:divBdr>
        <w:top w:val="none" w:sz="0" w:space="0" w:color="auto"/>
        <w:left w:val="none" w:sz="0" w:space="0" w:color="auto"/>
        <w:bottom w:val="none" w:sz="0" w:space="0" w:color="auto"/>
        <w:right w:val="none" w:sz="0" w:space="0" w:color="auto"/>
      </w:divBdr>
    </w:div>
    <w:div w:id="2079399651">
      <w:bodyDiv w:val="1"/>
      <w:marLeft w:val="0"/>
      <w:marRight w:val="0"/>
      <w:marTop w:val="0"/>
      <w:marBottom w:val="0"/>
      <w:divBdr>
        <w:top w:val="none" w:sz="0" w:space="0" w:color="auto"/>
        <w:left w:val="none" w:sz="0" w:space="0" w:color="auto"/>
        <w:bottom w:val="none" w:sz="0" w:space="0" w:color="auto"/>
        <w:right w:val="none" w:sz="0" w:space="0" w:color="auto"/>
      </w:divBdr>
    </w:div>
    <w:div w:id="2086683217">
      <w:bodyDiv w:val="1"/>
      <w:marLeft w:val="0"/>
      <w:marRight w:val="0"/>
      <w:marTop w:val="0"/>
      <w:marBottom w:val="0"/>
      <w:divBdr>
        <w:top w:val="none" w:sz="0" w:space="0" w:color="auto"/>
        <w:left w:val="none" w:sz="0" w:space="0" w:color="auto"/>
        <w:bottom w:val="none" w:sz="0" w:space="0" w:color="auto"/>
        <w:right w:val="none" w:sz="0" w:space="0" w:color="auto"/>
      </w:divBdr>
    </w:div>
    <w:div w:id="20933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9.png"/><Relationship Id="rId34" Type="http://schemas.openxmlformats.org/officeDocument/2006/relationships/image" Target="media/image20.jpeg"/><Relationship Id="rId42" Type="http://schemas.openxmlformats.org/officeDocument/2006/relationships/header" Target="header6.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jpe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header" Target="header5.xml"/><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jpeg"/><Relationship Id="rId38" Type="http://schemas.openxmlformats.org/officeDocument/2006/relationships/image" Target="media/image24.png"/><Relationship Id="rId46" Type="http://schemas.openxmlformats.org/officeDocument/2006/relationships/customXml" Target="../customXml/item3.xml"/><Relationship Id="rId20" Type="http://schemas.openxmlformats.org/officeDocument/2006/relationships/image" Target="media/image8.jpeg"/><Relationship Id="rId41" Type="http://schemas.openxmlformats.org/officeDocument/2006/relationships/image" Target="media/image27.png"/></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F23F28-AC07-46EE-85B7-DC13A5DFB027}"/>
</file>

<file path=customXml/itemProps2.xml><?xml version="1.0" encoding="utf-8"?>
<ds:datastoreItem xmlns:ds="http://schemas.openxmlformats.org/officeDocument/2006/customXml" ds:itemID="{1177937D-7F2E-43F5-B7DC-984738315B48}"/>
</file>

<file path=customXml/itemProps3.xml><?xml version="1.0" encoding="utf-8"?>
<ds:datastoreItem xmlns:ds="http://schemas.openxmlformats.org/officeDocument/2006/customXml" ds:itemID="{1F330B65-4715-49E3-88E0-64DA7416C2D3}"/>
</file>

<file path=customXml/itemProps4.xml><?xml version="1.0" encoding="utf-8"?>
<ds:datastoreItem xmlns:ds="http://schemas.openxmlformats.org/officeDocument/2006/customXml" ds:itemID="{8F3B3E1A-E9C8-437A-8C73-8B4F75E90CAB}"/>
</file>

<file path=docProps/app.xml><?xml version="1.0" encoding="utf-8"?>
<Properties xmlns="http://schemas.openxmlformats.org/officeDocument/2006/extended-properties" xmlns:vt="http://schemas.openxmlformats.org/officeDocument/2006/docPropsVTypes">
  <Template>Normal.dotm</Template>
  <TotalTime>0</TotalTime>
  <Pages>37</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 New Guinea Aid Program Performance Report 2017-18</dc:title>
  <dc:creator/>
  <cp:lastModifiedBy/>
  <cp:revision>1</cp:revision>
  <dcterms:created xsi:type="dcterms:W3CDTF">2018-10-04T23:18:00Z</dcterms:created>
  <dcterms:modified xsi:type="dcterms:W3CDTF">2018-10-04T23:19:00Z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6d084b35-76df-440d-bdce-c2b454a8252c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