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316" w:rsidRDefault="00015316" w:rsidP="005B5769">
      <w:pPr>
        <w:pStyle w:val="ListBullet"/>
        <w:tabs>
          <w:tab w:val="clear" w:pos="284"/>
        </w:tabs>
      </w:pPr>
    </w:p>
    <w:p w:rsidR="00015316" w:rsidRDefault="00015316" w:rsidP="005B5769">
      <w:pPr>
        <w:pStyle w:val="ListBullet"/>
        <w:tabs>
          <w:tab w:val="clear" w:pos="284"/>
        </w:tabs>
      </w:pPr>
    </w:p>
    <w:p w:rsidR="0059146A" w:rsidRDefault="0059146A" w:rsidP="005B5769">
      <w:pPr>
        <w:pStyle w:val="ListBullet"/>
        <w:tabs>
          <w:tab w:val="clear" w:pos="284"/>
        </w:tabs>
      </w:pPr>
    </w:p>
    <w:p w:rsidR="0059146A" w:rsidRDefault="0059146A" w:rsidP="005B5769">
      <w:pPr>
        <w:pStyle w:val="ListBullet"/>
        <w:tabs>
          <w:tab w:val="clear" w:pos="284"/>
        </w:tabs>
      </w:pPr>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0092B507" wp14:editId="17377662">
            <wp:simplePos x="0" y="0"/>
            <wp:positionH relativeFrom="page">
              <wp:posOffset>872490</wp:posOffset>
            </wp:positionH>
            <wp:positionV relativeFrom="page">
              <wp:posOffset>1561465</wp:posOffset>
            </wp:positionV>
            <wp:extent cx="3167380" cy="554355"/>
            <wp:effectExtent l="0" t="0" r="0" b="0"/>
            <wp:wrapNone/>
            <wp:docPr id="10" name="Picture 10"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45C540DB" wp14:editId="3B55D9D4">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2">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3B2C82">
        <w:rPr>
          <w:spacing w:val="-20"/>
          <w:sz w:val="60"/>
        </w:rPr>
        <w:t>Aid Program</w:t>
      </w:r>
      <w:r w:rsidR="00C6626C" w:rsidRPr="002A51CA">
        <w:rPr>
          <w:spacing w:val="-20"/>
          <w:sz w:val="60"/>
        </w:rPr>
        <w:t xml:space="preserve"> Performance </w:t>
      </w:r>
      <w:r w:rsidR="00C40D67">
        <w:rPr>
          <w:spacing w:val="-20"/>
          <w:sz w:val="60"/>
        </w:rPr>
        <w:t xml:space="preserve">   </w:t>
      </w:r>
      <w:r w:rsidR="003B2C82">
        <w:rPr>
          <w:spacing w:val="-20"/>
          <w:sz w:val="60"/>
        </w:rPr>
        <w:t xml:space="preserve"> </w:t>
      </w:r>
      <w:r w:rsidR="00C6626C" w:rsidRPr="002A51CA">
        <w:rPr>
          <w:spacing w:val="-20"/>
          <w:sz w:val="60"/>
        </w:rPr>
        <w:t>Report 2015-16</w:t>
      </w:r>
    </w:p>
    <w:p w:rsidR="00C6626C" w:rsidRPr="00C41BCB" w:rsidRDefault="00055026" w:rsidP="00A56F14">
      <w:pPr>
        <w:rPr>
          <w:sz w:val="20"/>
        </w:rPr>
      </w:pPr>
      <w:r w:rsidRPr="00C41BCB">
        <w:rPr>
          <w:sz w:val="36"/>
        </w:rPr>
        <w:t>Papua New Guinea</w:t>
      </w:r>
    </w:p>
    <w:p w:rsidR="00C6626C" w:rsidRPr="00C41BCB" w:rsidRDefault="00C6626C" w:rsidP="00A56F14">
      <w:pPr>
        <w:rPr>
          <w:sz w:val="24"/>
        </w:rPr>
      </w:pPr>
      <w:r w:rsidRPr="00C41BCB">
        <w:rPr>
          <w:sz w:val="24"/>
        </w:rPr>
        <w:t>September 2016</w:t>
      </w:r>
    </w:p>
    <w:p w:rsidR="00C6626C" w:rsidRDefault="00C6626C" w:rsidP="00A56F14">
      <w:pPr>
        <w:sectPr w:rsidR="00C6626C" w:rsidSect="00C6626C">
          <w:headerReference w:type="even" r:id="rId13"/>
          <w:headerReference w:type="default" r:id="rId14"/>
          <w:footerReference w:type="even" r:id="rId15"/>
          <w:footerReference w:type="default" r:id="rId16"/>
          <w:headerReference w:type="first" r:id="rId17"/>
          <w:footerReference w:type="first" r:id="rId18"/>
          <w:pgSz w:w="11906" w:h="16838" w:code="9"/>
          <w:pgMar w:top="1952" w:right="1134" w:bottom="851" w:left="1134" w:header="1814" w:footer="567" w:gutter="0"/>
          <w:cols w:space="397"/>
          <w:docGrid w:linePitch="360"/>
        </w:sectPr>
      </w:pPr>
    </w:p>
    <w:p w:rsidR="00C6626C" w:rsidRPr="00C61187" w:rsidRDefault="00C6626C" w:rsidP="000B62C6">
      <w:pPr>
        <w:pStyle w:val="Heading2"/>
        <w:rPr>
          <w:kern w:val="28"/>
        </w:rPr>
      </w:pPr>
      <w:r w:rsidRPr="002A51CA">
        <w:lastRenderedPageBreak/>
        <w:t>Key Messages</w:t>
      </w:r>
      <w:r w:rsidRPr="00C61187">
        <w:rPr>
          <w:rFonts w:ascii="Helvetica" w:hAnsi="Helvetica" w:cs="Arial"/>
          <w:color w:val="007FAD"/>
          <w:kern w:val="28"/>
          <w:sz w:val="28"/>
          <w:szCs w:val="28"/>
        </w:rPr>
        <w:tab/>
      </w:r>
      <w:r w:rsidRPr="00C61187">
        <w:rPr>
          <w:rFonts w:ascii="Helvetica" w:hAnsi="Helvetica" w:cs="Arial"/>
          <w:color w:val="007FAD"/>
          <w:kern w:val="28"/>
          <w:sz w:val="24"/>
          <w:szCs w:val="28"/>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p>
    <w:p w:rsidR="00EC5F7A" w:rsidRPr="00B6769E" w:rsidRDefault="00AC54B9" w:rsidP="003115CA">
      <w:pPr>
        <w:spacing w:after="120" w:line="280" w:lineRule="exact"/>
        <w:rPr>
          <w:szCs w:val="21"/>
        </w:rPr>
      </w:pPr>
      <w:r w:rsidRPr="00B6769E">
        <w:rPr>
          <w:szCs w:val="21"/>
        </w:rPr>
        <w:t xml:space="preserve">Australia’s program </w:t>
      </w:r>
      <w:r w:rsidR="00553FDF">
        <w:rPr>
          <w:szCs w:val="21"/>
        </w:rPr>
        <w:t xml:space="preserve">of development assistance </w:t>
      </w:r>
      <w:r w:rsidRPr="00B6769E">
        <w:rPr>
          <w:szCs w:val="21"/>
        </w:rPr>
        <w:t xml:space="preserve">in </w:t>
      </w:r>
      <w:r w:rsidR="00EC5F7A" w:rsidRPr="00B6769E">
        <w:rPr>
          <w:szCs w:val="21"/>
        </w:rPr>
        <w:t xml:space="preserve">Papua New Guinea </w:t>
      </w:r>
      <w:r w:rsidR="00DB5CC3" w:rsidRPr="00B6769E">
        <w:rPr>
          <w:szCs w:val="21"/>
        </w:rPr>
        <w:t xml:space="preserve">(PNG) </w:t>
      </w:r>
      <w:r w:rsidR="00EC5F7A" w:rsidRPr="00B6769E">
        <w:rPr>
          <w:szCs w:val="21"/>
        </w:rPr>
        <w:t xml:space="preserve">demonstrated </w:t>
      </w:r>
      <w:r w:rsidR="003218DA" w:rsidRPr="00B6769E">
        <w:rPr>
          <w:szCs w:val="21"/>
        </w:rPr>
        <w:t>solid</w:t>
      </w:r>
      <w:r w:rsidR="00EC5F7A" w:rsidRPr="00B6769E">
        <w:rPr>
          <w:szCs w:val="21"/>
        </w:rPr>
        <w:t xml:space="preserve"> </w:t>
      </w:r>
      <w:r w:rsidR="003218DA" w:rsidRPr="00B6769E">
        <w:rPr>
          <w:szCs w:val="21"/>
        </w:rPr>
        <w:t>progress</w:t>
      </w:r>
      <w:r w:rsidR="00EC5F7A" w:rsidRPr="00B6769E">
        <w:rPr>
          <w:szCs w:val="21"/>
        </w:rPr>
        <w:t xml:space="preserve"> against economic growth objectives and mixed performance </w:t>
      </w:r>
      <w:r w:rsidR="003C017B" w:rsidRPr="00B6769E">
        <w:rPr>
          <w:szCs w:val="21"/>
        </w:rPr>
        <w:t>in</w:t>
      </w:r>
      <w:r w:rsidR="00EC5F7A" w:rsidRPr="00B6769E">
        <w:rPr>
          <w:szCs w:val="21"/>
        </w:rPr>
        <w:t xml:space="preserve"> human development and governance </w:t>
      </w:r>
      <w:r w:rsidR="00AD1002" w:rsidRPr="00B6769E">
        <w:rPr>
          <w:szCs w:val="21"/>
        </w:rPr>
        <w:t xml:space="preserve">objectives </w:t>
      </w:r>
      <w:r w:rsidR="00EC5F7A" w:rsidRPr="00B6769E">
        <w:rPr>
          <w:szCs w:val="21"/>
        </w:rPr>
        <w:t>in 2015-16. M</w:t>
      </w:r>
      <w:r w:rsidR="008609CD" w:rsidRPr="00B6769E">
        <w:rPr>
          <w:szCs w:val="21"/>
        </w:rPr>
        <w:t>ost p</w:t>
      </w:r>
      <w:r w:rsidR="00EC5F7A" w:rsidRPr="00B6769E">
        <w:rPr>
          <w:szCs w:val="21"/>
        </w:rPr>
        <w:t>rograms ar</w:t>
      </w:r>
      <w:r w:rsidR="00E74B4A" w:rsidRPr="00B6769E">
        <w:rPr>
          <w:szCs w:val="21"/>
        </w:rPr>
        <w:t xml:space="preserve">e working as intended, meeting </w:t>
      </w:r>
      <w:r w:rsidR="00AE34C0" w:rsidRPr="00B6769E">
        <w:rPr>
          <w:szCs w:val="21"/>
        </w:rPr>
        <w:t>seven</w:t>
      </w:r>
      <w:r w:rsidR="00E74B4A" w:rsidRPr="00B6769E">
        <w:rPr>
          <w:szCs w:val="21"/>
        </w:rPr>
        <w:t xml:space="preserve"> out of 10</w:t>
      </w:r>
      <w:r w:rsidR="00EC5F7A" w:rsidRPr="00B6769E">
        <w:rPr>
          <w:szCs w:val="21"/>
        </w:rPr>
        <w:t xml:space="preserve"> performance benchmarks.</w:t>
      </w:r>
      <w:r w:rsidR="003745D8" w:rsidRPr="00B6769E">
        <w:rPr>
          <w:szCs w:val="21"/>
        </w:rPr>
        <w:t xml:space="preserve"> </w:t>
      </w:r>
      <w:r w:rsidR="00EC5F7A" w:rsidRPr="00B6769E">
        <w:rPr>
          <w:szCs w:val="21"/>
        </w:rPr>
        <w:t xml:space="preserve">   </w:t>
      </w:r>
    </w:p>
    <w:p w:rsidR="00431C48" w:rsidRPr="00B6769E" w:rsidRDefault="00431C48" w:rsidP="00431C48">
      <w:pPr>
        <w:spacing w:after="120" w:line="280" w:lineRule="exact"/>
        <w:rPr>
          <w:szCs w:val="21"/>
        </w:rPr>
      </w:pPr>
      <w:r w:rsidRPr="00B6769E">
        <w:rPr>
          <w:szCs w:val="21"/>
        </w:rPr>
        <w:t xml:space="preserve">Australia’s program is guided by a number of frameworks including the </w:t>
      </w:r>
      <w:r w:rsidR="006F1C24">
        <w:rPr>
          <w:i/>
          <w:szCs w:val="21"/>
        </w:rPr>
        <w:t xml:space="preserve">PNG </w:t>
      </w:r>
      <w:r w:rsidRPr="00CE020B">
        <w:rPr>
          <w:i/>
          <w:szCs w:val="21"/>
        </w:rPr>
        <w:t>A</w:t>
      </w:r>
      <w:r w:rsidR="00C60711">
        <w:rPr>
          <w:i/>
          <w:szCs w:val="21"/>
        </w:rPr>
        <w:t xml:space="preserve">id Investment Plan 2015-16 to  </w:t>
      </w:r>
      <w:r w:rsidRPr="00B6769E">
        <w:rPr>
          <w:i/>
          <w:szCs w:val="21"/>
        </w:rPr>
        <w:t xml:space="preserve">2017-18 </w:t>
      </w:r>
      <w:r w:rsidRPr="00B6769E">
        <w:rPr>
          <w:szCs w:val="21"/>
        </w:rPr>
        <w:t xml:space="preserve">(AIP), released on 30 September 2015. The AIP sets three strategic and interlinked objectives that are in line with PNG priorities and where Australia can add value: promoting effective governance; enabling economic growth; and enhancing human development. The AIP </w:t>
      </w:r>
      <w:r w:rsidR="00FF5EDE">
        <w:rPr>
          <w:szCs w:val="21"/>
        </w:rPr>
        <w:t xml:space="preserve">informed the development of the </w:t>
      </w:r>
      <w:r w:rsidRPr="00B6769E">
        <w:rPr>
          <w:i/>
          <w:szCs w:val="21"/>
        </w:rPr>
        <w:t>PNG-Australia Aid Partnership Arrangement 2016-2017</w:t>
      </w:r>
      <w:r w:rsidRPr="00B6769E">
        <w:rPr>
          <w:szCs w:val="21"/>
        </w:rPr>
        <w:t xml:space="preserve"> (Aid Partnership) which was signed by PNG and Australia on 3 March 2016. </w:t>
      </w:r>
    </w:p>
    <w:p w:rsidR="00431C48" w:rsidRPr="00B6769E" w:rsidRDefault="00431C48" w:rsidP="00431C48">
      <w:pPr>
        <w:spacing w:after="120" w:line="280" w:lineRule="exact"/>
        <w:rPr>
          <w:szCs w:val="21"/>
        </w:rPr>
      </w:pPr>
      <w:r w:rsidRPr="00B6769E">
        <w:rPr>
          <w:szCs w:val="21"/>
        </w:rPr>
        <w:t xml:space="preserve">The Aid Partnership and the </w:t>
      </w:r>
      <w:r w:rsidRPr="00B6769E">
        <w:rPr>
          <w:i/>
          <w:szCs w:val="21"/>
        </w:rPr>
        <w:t>Joint Understanding between Australia and Papua New Guinea on further bilateral cooperation on Health, Education and Law and Order</w:t>
      </w:r>
      <w:r w:rsidRPr="00B6769E">
        <w:rPr>
          <w:szCs w:val="21"/>
        </w:rPr>
        <w:t xml:space="preserve"> (Joint Understanding) sets out the mutually agreed development priorities and commitments. The Aid Partnership affirms the priority sectors of health, education, law and justice, transport and governance. Improving the lives of women and girls </w:t>
      </w:r>
      <w:r w:rsidR="00FF5EDE">
        <w:rPr>
          <w:szCs w:val="21"/>
        </w:rPr>
        <w:t>is a cross-cutting objective. The Aid Partnership</w:t>
      </w:r>
      <w:r w:rsidRPr="00B6769E">
        <w:rPr>
          <w:szCs w:val="21"/>
        </w:rPr>
        <w:t xml:space="preserve"> builds on PNG’s development cooperation frameworks including </w:t>
      </w:r>
      <w:r w:rsidRPr="00B6769E">
        <w:rPr>
          <w:i/>
          <w:szCs w:val="21"/>
        </w:rPr>
        <w:t>Vision 2050</w:t>
      </w:r>
      <w:r w:rsidRPr="00B6769E">
        <w:rPr>
          <w:szCs w:val="21"/>
        </w:rPr>
        <w:t xml:space="preserve"> and</w:t>
      </w:r>
      <w:r w:rsidR="00FF5EDE">
        <w:rPr>
          <w:szCs w:val="21"/>
        </w:rPr>
        <w:t xml:space="preserve"> the</w:t>
      </w:r>
      <w:r w:rsidRPr="00B6769E">
        <w:rPr>
          <w:szCs w:val="21"/>
        </w:rPr>
        <w:t xml:space="preserve"> </w:t>
      </w:r>
      <w:r w:rsidRPr="00B6769E">
        <w:rPr>
          <w:i/>
          <w:szCs w:val="21"/>
        </w:rPr>
        <w:t>Medium Term Development Plan 2 (2016-2017)</w:t>
      </w:r>
      <w:r w:rsidRPr="00B6769E">
        <w:rPr>
          <w:szCs w:val="21"/>
        </w:rPr>
        <w:t xml:space="preserve"> and is consistent with PNG’s first Development Cooperation Policy (launched in April 2016) on the use of donor funds and government resources. </w:t>
      </w:r>
    </w:p>
    <w:p w:rsidR="00431C48" w:rsidRPr="00B6769E" w:rsidRDefault="001960D1" w:rsidP="00431C48">
      <w:pPr>
        <w:spacing w:after="120" w:line="280" w:lineRule="exact"/>
        <w:rPr>
          <w:szCs w:val="21"/>
        </w:rPr>
      </w:pPr>
      <w:r>
        <w:rPr>
          <w:szCs w:val="21"/>
        </w:rPr>
        <w:t>Some of the notable development outcomes</w:t>
      </w:r>
      <w:r w:rsidR="00431C48" w:rsidRPr="00B6769E">
        <w:rPr>
          <w:szCs w:val="21"/>
        </w:rPr>
        <w:t xml:space="preserve"> of Australia</w:t>
      </w:r>
      <w:r w:rsidR="008C0B8E">
        <w:rPr>
          <w:szCs w:val="21"/>
        </w:rPr>
        <w:t>n assistance in 2015-16 include</w:t>
      </w:r>
      <w:r w:rsidR="00431C48" w:rsidRPr="00B6769E">
        <w:rPr>
          <w:szCs w:val="21"/>
        </w:rPr>
        <w:t>:</w:t>
      </w:r>
    </w:p>
    <w:p w:rsidR="00431C48" w:rsidRPr="00B6769E" w:rsidRDefault="00431C48" w:rsidP="00431C48">
      <w:pPr>
        <w:pStyle w:val="ListParagraph"/>
        <w:numPr>
          <w:ilvl w:val="0"/>
          <w:numId w:val="47"/>
        </w:numPr>
        <w:spacing w:after="120" w:line="280" w:lineRule="exact"/>
        <w:rPr>
          <w:szCs w:val="21"/>
        </w:rPr>
      </w:pPr>
      <w:r w:rsidRPr="00B6769E">
        <w:rPr>
          <w:szCs w:val="21"/>
        </w:rPr>
        <w:t>the launch of the Pacific Leadership and Governance Precinct</w:t>
      </w:r>
      <w:r w:rsidR="00553FDF">
        <w:rPr>
          <w:szCs w:val="21"/>
        </w:rPr>
        <w:t xml:space="preserve"> (the Precinct)</w:t>
      </w:r>
      <w:r w:rsidRPr="00B6769E">
        <w:rPr>
          <w:szCs w:val="21"/>
        </w:rPr>
        <w:t xml:space="preserve"> in support of PNG’s program of public service leadershi</w:t>
      </w:r>
      <w:r w:rsidR="00B26421">
        <w:rPr>
          <w:szCs w:val="21"/>
        </w:rPr>
        <w:t>p renewal. The Precinct has delivered courses to more than 1,100 PNG students since February 2015</w:t>
      </w:r>
    </w:p>
    <w:p w:rsidR="00431C48" w:rsidRPr="00B6769E" w:rsidRDefault="00431C48" w:rsidP="00431C48">
      <w:pPr>
        <w:pStyle w:val="ListParagraph"/>
        <w:numPr>
          <w:ilvl w:val="0"/>
          <w:numId w:val="47"/>
        </w:numPr>
        <w:spacing w:after="120" w:line="280" w:lineRule="exact"/>
        <w:rPr>
          <w:szCs w:val="21"/>
        </w:rPr>
      </w:pPr>
      <w:r w:rsidRPr="00B6769E">
        <w:rPr>
          <w:szCs w:val="21"/>
        </w:rPr>
        <w:t>training 2,640 women and 4,051 me</w:t>
      </w:r>
      <w:r w:rsidR="001960D1">
        <w:rPr>
          <w:szCs w:val="21"/>
        </w:rPr>
        <w:t>n in public service core skills</w:t>
      </w:r>
    </w:p>
    <w:p w:rsidR="00431C48" w:rsidRPr="00B6769E" w:rsidRDefault="00431C48" w:rsidP="00431C48">
      <w:pPr>
        <w:pStyle w:val="ListParagraph"/>
        <w:numPr>
          <w:ilvl w:val="0"/>
          <w:numId w:val="47"/>
        </w:numPr>
        <w:spacing w:after="120" w:line="280" w:lineRule="exact"/>
        <w:rPr>
          <w:szCs w:val="21"/>
        </w:rPr>
      </w:pPr>
      <w:r w:rsidRPr="00B6769E">
        <w:rPr>
          <w:szCs w:val="21"/>
        </w:rPr>
        <w:t>supporting more than 1</w:t>
      </w:r>
      <w:r w:rsidR="00CE020B">
        <w:rPr>
          <w:szCs w:val="21"/>
        </w:rPr>
        <w:t>,</w:t>
      </w:r>
      <w:r w:rsidRPr="00B6769E">
        <w:rPr>
          <w:szCs w:val="21"/>
        </w:rPr>
        <w:t>100 Papua New Guineans to study in Australia and in PNG through Australia Awards, with a focus on developing skills and knowledge; building enduring people-to-people, country and professional links; and influencing positive change. For the past three years at least half of scholars</w:t>
      </w:r>
      <w:r w:rsidR="00523465">
        <w:rPr>
          <w:szCs w:val="21"/>
        </w:rPr>
        <w:t>hips have been awarded to women</w:t>
      </w:r>
    </w:p>
    <w:p w:rsidR="00431C48" w:rsidRPr="00B6769E" w:rsidRDefault="00431C48" w:rsidP="00431C48">
      <w:pPr>
        <w:pStyle w:val="ListParagraph"/>
        <w:numPr>
          <w:ilvl w:val="0"/>
          <w:numId w:val="47"/>
        </w:numPr>
        <w:spacing w:after="120" w:line="280" w:lineRule="exact"/>
        <w:rPr>
          <w:szCs w:val="21"/>
        </w:rPr>
      </w:pPr>
      <w:r w:rsidRPr="00B6769E">
        <w:rPr>
          <w:szCs w:val="21"/>
        </w:rPr>
        <w:t>providing access to better standards of justice for more than one million PNG citizens by contributing to the training of more than 2,000 village court officials (12.5 per cent women), covering 42 per cent of Village Courts in 461 target locations</w:t>
      </w:r>
    </w:p>
    <w:p w:rsidR="00431C48" w:rsidRPr="00B6769E" w:rsidRDefault="00431C48" w:rsidP="00431C48">
      <w:pPr>
        <w:pStyle w:val="ListParagraph"/>
        <w:numPr>
          <w:ilvl w:val="0"/>
          <w:numId w:val="47"/>
        </w:numPr>
        <w:spacing w:after="120" w:line="280" w:lineRule="exact"/>
        <w:ind w:left="714" w:hanging="357"/>
        <w:rPr>
          <w:szCs w:val="21"/>
        </w:rPr>
      </w:pPr>
      <w:r w:rsidRPr="00B6769E">
        <w:rPr>
          <w:szCs w:val="21"/>
        </w:rPr>
        <w:t>completing construction of 150 classrooms, 55 teachers' houses, and 57 ablution blocks in line with PNG Government specifications, benefiting more than 5</w:t>
      </w:r>
      <w:r w:rsidR="00CE020B">
        <w:rPr>
          <w:szCs w:val="21"/>
        </w:rPr>
        <w:t>,</w:t>
      </w:r>
      <w:r w:rsidRPr="00B6769E">
        <w:rPr>
          <w:szCs w:val="21"/>
        </w:rPr>
        <w:t>000 girls and boys</w:t>
      </w:r>
    </w:p>
    <w:p w:rsidR="00431C48" w:rsidRPr="00B6769E" w:rsidRDefault="00431C48" w:rsidP="00431C48">
      <w:pPr>
        <w:pStyle w:val="ListParagraph"/>
        <w:numPr>
          <w:ilvl w:val="0"/>
          <w:numId w:val="47"/>
        </w:numPr>
        <w:spacing w:after="120" w:line="280" w:lineRule="exact"/>
        <w:rPr>
          <w:szCs w:val="21"/>
        </w:rPr>
      </w:pPr>
      <w:r w:rsidRPr="00B6769E">
        <w:rPr>
          <w:szCs w:val="21"/>
        </w:rPr>
        <w:t xml:space="preserve">supporting more than 1,500 survivors of family and sexual violence to access services such as counselling; case management; and in some circumstances in the Highlands, repatriation and reintegration for those who experienced or were at risk of sorcery-related or extreme violence </w:t>
      </w:r>
    </w:p>
    <w:p w:rsidR="00431C48" w:rsidRPr="00B6769E" w:rsidRDefault="00431C48" w:rsidP="00B6769E">
      <w:pPr>
        <w:pStyle w:val="ListParagraph"/>
        <w:numPr>
          <w:ilvl w:val="0"/>
          <w:numId w:val="47"/>
        </w:numPr>
        <w:spacing w:after="120" w:line="280" w:lineRule="exact"/>
        <w:rPr>
          <w:szCs w:val="21"/>
        </w:rPr>
      </w:pPr>
      <w:r w:rsidRPr="00B6769E">
        <w:rPr>
          <w:szCs w:val="21"/>
        </w:rPr>
        <w:t xml:space="preserve">an improved tuberculosis (TB) response in PNG, contributing to an increased TB detection rate in Western Province and an increase in the number of patients receiving and completing treatment. Better clinical management of drug-resistant TB cases </w:t>
      </w:r>
      <w:r w:rsidR="008A61A7">
        <w:rPr>
          <w:szCs w:val="21"/>
        </w:rPr>
        <w:t>at Daru General H</w:t>
      </w:r>
      <w:r w:rsidR="00DD3147">
        <w:rPr>
          <w:szCs w:val="21"/>
        </w:rPr>
        <w:t xml:space="preserve">ospital </w:t>
      </w:r>
      <w:r w:rsidRPr="00B6769E">
        <w:rPr>
          <w:szCs w:val="21"/>
        </w:rPr>
        <w:t>led to an increase of people staying on treatment from around 40 per cent in 2011 to more than 97 per cent by 2016.</w:t>
      </w:r>
    </w:p>
    <w:p w:rsidR="00431C48" w:rsidRPr="00B6769E" w:rsidRDefault="00431C48" w:rsidP="00B6769E">
      <w:pPr>
        <w:spacing w:after="120" w:line="280" w:lineRule="exact"/>
        <w:rPr>
          <w:szCs w:val="21"/>
        </w:rPr>
      </w:pPr>
      <w:r w:rsidRPr="00B6769E">
        <w:rPr>
          <w:szCs w:val="21"/>
        </w:rPr>
        <w:t xml:space="preserve">While Australia remains PNG’s largest bilateral aid donor, the relative value of our aid investments has been declining – from about 40 per cent of PNG’s budget appropriations in 1975 to about eight per cent now. Australia’s development assistance </w:t>
      </w:r>
      <w:r w:rsidR="001960D1">
        <w:rPr>
          <w:szCs w:val="21"/>
        </w:rPr>
        <w:t>is</w:t>
      </w:r>
      <w:r w:rsidRPr="00B6769E">
        <w:rPr>
          <w:szCs w:val="21"/>
        </w:rPr>
        <w:t xml:space="preserve"> increasingly focus</w:t>
      </w:r>
      <w:r w:rsidR="001960D1">
        <w:rPr>
          <w:szCs w:val="21"/>
        </w:rPr>
        <w:t>sed</w:t>
      </w:r>
      <w:r w:rsidRPr="00B6769E">
        <w:rPr>
          <w:szCs w:val="21"/>
        </w:rPr>
        <w:t xml:space="preserve"> on leveraging PNG’s own resources and those of the private sector to support growth and deliver services to Papua New Guineans.</w:t>
      </w:r>
    </w:p>
    <w:p w:rsidR="00431C48" w:rsidRPr="00B6769E" w:rsidRDefault="00431C48">
      <w:pPr>
        <w:spacing w:after="120" w:line="280" w:lineRule="exact"/>
        <w:rPr>
          <w:rFonts w:ascii="Franklin Gothic Book" w:hAnsi="Franklin Gothic Book"/>
          <w:sz w:val="21"/>
          <w:szCs w:val="21"/>
        </w:rPr>
      </w:pPr>
    </w:p>
    <w:p w:rsidR="00C6626C" w:rsidRPr="00C61187" w:rsidRDefault="00C6626C" w:rsidP="000B62C6">
      <w:pPr>
        <w:pStyle w:val="Heading2"/>
        <w:rPr>
          <w:kern w:val="28"/>
        </w:rPr>
      </w:pPr>
      <w:r w:rsidRPr="002A51CA">
        <w:lastRenderedPageBreak/>
        <w:t xml:space="preserve">Context </w:t>
      </w:r>
      <w:r w:rsidRPr="002A51CA">
        <w:tab/>
      </w:r>
      <w:r w:rsidRPr="00C61187">
        <w:rPr>
          <w:rFonts w:ascii="Helvetica" w:hAnsi="Helvetica" w:cs="Arial"/>
          <w:color w:val="007FAD"/>
          <w:kern w:val="28"/>
          <w:sz w:val="32"/>
          <w:szCs w:val="32"/>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p>
    <w:p w:rsidR="00431C48" w:rsidRPr="00B6769E" w:rsidRDefault="00DB5CC3" w:rsidP="003115CA">
      <w:pPr>
        <w:spacing w:after="120" w:line="280" w:lineRule="exact"/>
        <w:rPr>
          <w:szCs w:val="21"/>
        </w:rPr>
      </w:pPr>
      <w:r w:rsidRPr="00B6769E">
        <w:rPr>
          <w:szCs w:val="21"/>
        </w:rPr>
        <w:t>PNG</w:t>
      </w:r>
      <w:r w:rsidR="00646412" w:rsidRPr="00B6769E">
        <w:rPr>
          <w:szCs w:val="21"/>
        </w:rPr>
        <w:t xml:space="preserve"> has a special place in Australia’s foreign relations and the bilateral relationship is one of our most wide-ranging. </w:t>
      </w:r>
      <w:r w:rsidR="003745D8" w:rsidRPr="00B6769E">
        <w:rPr>
          <w:szCs w:val="21"/>
        </w:rPr>
        <w:t xml:space="preserve">Australia </w:t>
      </w:r>
      <w:r w:rsidR="00ED236B" w:rsidRPr="00B6769E">
        <w:rPr>
          <w:szCs w:val="21"/>
        </w:rPr>
        <w:t xml:space="preserve">is </w:t>
      </w:r>
      <w:r w:rsidR="003745D8" w:rsidRPr="00B6769E">
        <w:rPr>
          <w:szCs w:val="21"/>
        </w:rPr>
        <w:t xml:space="preserve">PNG’s largest trading and investment partner ($6.4 billion in two-way trade and approximately $19 billion of Australian investment). </w:t>
      </w:r>
      <w:r w:rsidR="00646412" w:rsidRPr="00B6769E">
        <w:rPr>
          <w:szCs w:val="21"/>
        </w:rPr>
        <w:t>A stable and prosperous PNG is in both countries’ interests.</w:t>
      </w:r>
    </w:p>
    <w:p w:rsidR="00A41253" w:rsidRPr="00B6769E" w:rsidRDefault="00646412" w:rsidP="003115CA">
      <w:pPr>
        <w:spacing w:after="120" w:line="280" w:lineRule="exact"/>
        <w:rPr>
          <w:szCs w:val="21"/>
        </w:rPr>
      </w:pPr>
      <w:r w:rsidRPr="00B6769E">
        <w:rPr>
          <w:szCs w:val="21"/>
        </w:rPr>
        <w:t xml:space="preserve">PNG </w:t>
      </w:r>
      <w:r w:rsidR="00C80C8A" w:rsidRPr="00B6769E">
        <w:rPr>
          <w:szCs w:val="21"/>
        </w:rPr>
        <w:t xml:space="preserve">has </w:t>
      </w:r>
      <w:r w:rsidRPr="00B6769E">
        <w:rPr>
          <w:szCs w:val="21"/>
        </w:rPr>
        <w:t xml:space="preserve">experienced over a decade of comparatively robust economic growth, driven by high international prices for PNG’s exports and construction activity related to </w:t>
      </w:r>
      <w:r w:rsidR="00C62A3A" w:rsidRPr="00B6769E">
        <w:rPr>
          <w:szCs w:val="21"/>
        </w:rPr>
        <w:t>its</w:t>
      </w:r>
      <w:r w:rsidRPr="00B6769E">
        <w:rPr>
          <w:szCs w:val="21"/>
        </w:rPr>
        <w:t xml:space="preserve"> </w:t>
      </w:r>
      <w:r w:rsidR="00DB5CC3" w:rsidRPr="00B6769E">
        <w:rPr>
          <w:szCs w:val="21"/>
        </w:rPr>
        <w:t>liquefied natural gas</w:t>
      </w:r>
      <w:r w:rsidR="00C62A3A" w:rsidRPr="00B6769E">
        <w:rPr>
          <w:szCs w:val="21"/>
        </w:rPr>
        <w:t xml:space="preserve"> project. </w:t>
      </w:r>
      <w:r w:rsidR="00E51AFE">
        <w:rPr>
          <w:szCs w:val="21"/>
        </w:rPr>
        <w:t>But e</w:t>
      </w:r>
      <w:r w:rsidR="004D387E" w:rsidRPr="00B6769E">
        <w:rPr>
          <w:szCs w:val="21"/>
        </w:rPr>
        <w:t>conomic growth (Total Real Gross Domestic Product) fell from 11.8 per cent in 2015 to a</w:t>
      </w:r>
      <w:r w:rsidR="00E51AFE">
        <w:rPr>
          <w:szCs w:val="21"/>
        </w:rPr>
        <w:t xml:space="preserve"> projected 2.2 per cent in 2016</w:t>
      </w:r>
      <w:r w:rsidR="00537818" w:rsidRPr="00B6769E">
        <w:rPr>
          <w:rStyle w:val="FootnoteReference"/>
          <w:szCs w:val="21"/>
        </w:rPr>
        <w:footnoteReference w:id="1"/>
      </w:r>
      <w:r w:rsidR="008C3B44" w:rsidRPr="00B6769E">
        <w:rPr>
          <w:szCs w:val="21"/>
        </w:rPr>
        <w:t xml:space="preserve"> </w:t>
      </w:r>
      <w:r w:rsidRPr="00B6769E">
        <w:rPr>
          <w:szCs w:val="21"/>
        </w:rPr>
        <w:t xml:space="preserve">due to </w:t>
      </w:r>
      <w:r w:rsidR="00CB520C" w:rsidRPr="00B6769E">
        <w:rPr>
          <w:szCs w:val="21"/>
        </w:rPr>
        <w:t>de</w:t>
      </w:r>
      <w:r w:rsidR="00801473" w:rsidRPr="00B6769E">
        <w:rPr>
          <w:szCs w:val="21"/>
        </w:rPr>
        <w:t xml:space="preserve">clining international commodity </w:t>
      </w:r>
      <w:r w:rsidR="00CB520C" w:rsidRPr="00B6769E">
        <w:rPr>
          <w:szCs w:val="21"/>
        </w:rPr>
        <w:t>prices</w:t>
      </w:r>
      <w:r w:rsidRPr="00B6769E">
        <w:rPr>
          <w:szCs w:val="21"/>
        </w:rPr>
        <w:t xml:space="preserve">. </w:t>
      </w:r>
      <w:r w:rsidR="00801473" w:rsidRPr="00B6769E">
        <w:rPr>
          <w:szCs w:val="21"/>
        </w:rPr>
        <w:t xml:space="preserve">The reduced revenue placed PNG’s fiscal position under pressure. </w:t>
      </w:r>
      <w:r w:rsidR="00E51AFE">
        <w:rPr>
          <w:szCs w:val="21"/>
        </w:rPr>
        <w:t>B</w:t>
      </w:r>
      <w:r w:rsidRPr="00B6769E">
        <w:rPr>
          <w:szCs w:val="21"/>
        </w:rPr>
        <w:t xml:space="preserve">alance of payments difficulties look likely to </w:t>
      </w:r>
      <w:r w:rsidR="00E51AFE">
        <w:rPr>
          <w:szCs w:val="21"/>
        </w:rPr>
        <w:t>continue</w:t>
      </w:r>
      <w:r w:rsidRPr="00B6769E">
        <w:rPr>
          <w:szCs w:val="21"/>
        </w:rPr>
        <w:t xml:space="preserve"> for the immediate future and place pressure on the PNG budget. </w:t>
      </w:r>
      <w:r w:rsidR="00E51AFE">
        <w:rPr>
          <w:szCs w:val="21"/>
        </w:rPr>
        <w:t>Cuts have already been made to core government services</w:t>
      </w:r>
      <w:r w:rsidR="00C62A3A" w:rsidRPr="00B6769E">
        <w:rPr>
          <w:szCs w:val="21"/>
        </w:rPr>
        <w:t>.</w:t>
      </w:r>
      <w:r w:rsidR="004D658E" w:rsidRPr="00B6769E">
        <w:rPr>
          <w:szCs w:val="21"/>
        </w:rPr>
        <w:t xml:space="preserve"> </w:t>
      </w:r>
    </w:p>
    <w:p w:rsidR="00646412" w:rsidRPr="00B6769E" w:rsidRDefault="00E51AFE" w:rsidP="003115CA">
      <w:pPr>
        <w:spacing w:after="120" w:line="280" w:lineRule="exact"/>
        <w:rPr>
          <w:szCs w:val="21"/>
        </w:rPr>
      </w:pPr>
      <w:r>
        <w:rPr>
          <w:szCs w:val="21"/>
        </w:rPr>
        <w:t>PNG graduated from ‘low income’ to ‘lower middle income’ status in 2008, but a</w:t>
      </w:r>
      <w:r w:rsidR="00C6362E" w:rsidRPr="00B6769E">
        <w:rPr>
          <w:szCs w:val="21"/>
        </w:rPr>
        <w:t xml:space="preserve">round 87 per cent of the population live in rural areas and remain dependent </w:t>
      </w:r>
      <w:r w:rsidR="00A16B42" w:rsidRPr="00B6769E">
        <w:rPr>
          <w:szCs w:val="21"/>
        </w:rPr>
        <w:t xml:space="preserve">on agriculture </w:t>
      </w:r>
      <w:r w:rsidR="00C6362E" w:rsidRPr="00B6769E">
        <w:rPr>
          <w:szCs w:val="21"/>
        </w:rPr>
        <w:t>for much of their livelihood</w:t>
      </w:r>
      <w:r w:rsidR="00C6362E" w:rsidRPr="00B6769E">
        <w:rPr>
          <w:rStyle w:val="FootnoteReference"/>
          <w:szCs w:val="21"/>
        </w:rPr>
        <w:footnoteReference w:id="2"/>
      </w:r>
      <w:r w:rsidR="00C6362E" w:rsidRPr="00B6769E">
        <w:rPr>
          <w:szCs w:val="21"/>
        </w:rPr>
        <w:t>.</w:t>
      </w:r>
      <w:r w:rsidR="00A87A6D" w:rsidRPr="00B6769E">
        <w:rPr>
          <w:szCs w:val="21"/>
        </w:rPr>
        <w:t xml:space="preserve"> </w:t>
      </w:r>
      <w:r w:rsidR="00646412" w:rsidRPr="00B6769E">
        <w:rPr>
          <w:szCs w:val="21"/>
        </w:rPr>
        <w:t xml:space="preserve">PNG has </w:t>
      </w:r>
      <w:r>
        <w:rPr>
          <w:szCs w:val="21"/>
        </w:rPr>
        <w:t>significant</w:t>
      </w:r>
      <w:r w:rsidR="00646412" w:rsidRPr="00B6769E">
        <w:rPr>
          <w:szCs w:val="21"/>
        </w:rPr>
        <w:t xml:space="preserve"> development challenges</w:t>
      </w:r>
      <w:r w:rsidR="00C6362E" w:rsidRPr="00B6769E">
        <w:rPr>
          <w:szCs w:val="21"/>
        </w:rPr>
        <w:t xml:space="preserve"> including poor health and education indicators, ageing infrastructure and capacity constraints in the public service</w:t>
      </w:r>
      <w:r w:rsidR="00646412" w:rsidRPr="00B6769E">
        <w:rPr>
          <w:szCs w:val="21"/>
        </w:rPr>
        <w:t>, exacerbated by its vulnerability to natural disasters and a geographically-dispersed population</w:t>
      </w:r>
      <w:r w:rsidR="00A16B42">
        <w:rPr>
          <w:szCs w:val="21"/>
        </w:rPr>
        <w:t xml:space="preserve">. This </w:t>
      </w:r>
      <w:r w:rsidR="00646412" w:rsidRPr="00B6769E">
        <w:rPr>
          <w:szCs w:val="21"/>
        </w:rPr>
        <w:t xml:space="preserve">makes delivery of government services difficult. </w:t>
      </w:r>
      <w:r w:rsidR="00A16B42">
        <w:rPr>
          <w:szCs w:val="21"/>
        </w:rPr>
        <w:t>The following</w:t>
      </w:r>
      <w:r w:rsidR="00A86FB2" w:rsidRPr="00B6769E">
        <w:rPr>
          <w:szCs w:val="21"/>
        </w:rPr>
        <w:t xml:space="preserve"> </w:t>
      </w:r>
      <w:r w:rsidR="00646412" w:rsidRPr="00B6769E">
        <w:rPr>
          <w:szCs w:val="21"/>
        </w:rPr>
        <w:t xml:space="preserve">indicators </w:t>
      </w:r>
      <w:r w:rsidR="00A67503" w:rsidRPr="00B6769E">
        <w:rPr>
          <w:szCs w:val="21"/>
        </w:rPr>
        <w:t xml:space="preserve">reflect </w:t>
      </w:r>
      <w:r w:rsidR="001960D1">
        <w:rPr>
          <w:szCs w:val="21"/>
        </w:rPr>
        <w:t xml:space="preserve">the scale of </w:t>
      </w:r>
      <w:r w:rsidR="00A67503" w:rsidRPr="00B6769E">
        <w:rPr>
          <w:szCs w:val="21"/>
        </w:rPr>
        <w:t>PNG’s challenges</w:t>
      </w:r>
      <w:r w:rsidR="008C5DE0" w:rsidRPr="00B6769E">
        <w:rPr>
          <w:szCs w:val="21"/>
        </w:rPr>
        <w:t>.</w:t>
      </w:r>
    </w:p>
    <w:p w:rsidR="00D2169C" w:rsidRPr="00B6769E" w:rsidRDefault="008C5DE0">
      <w:pPr>
        <w:pStyle w:val="ListParagraph"/>
        <w:numPr>
          <w:ilvl w:val="0"/>
          <w:numId w:val="41"/>
        </w:numPr>
        <w:spacing w:after="120" w:line="280" w:lineRule="exact"/>
        <w:rPr>
          <w:szCs w:val="21"/>
        </w:rPr>
      </w:pPr>
      <w:r w:rsidRPr="00B6769E">
        <w:rPr>
          <w:szCs w:val="21"/>
        </w:rPr>
        <w:t xml:space="preserve">The 2015 </w:t>
      </w:r>
      <w:r w:rsidR="00C62A3A" w:rsidRPr="00B6769E">
        <w:rPr>
          <w:szCs w:val="21"/>
        </w:rPr>
        <w:t xml:space="preserve">United Nations </w:t>
      </w:r>
      <w:r w:rsidRPr="00B6769E">
        <w:rPr>
          <w:szCs w:val="21"/>
        </w:rPr>
        <w:t xml:space="preserve">Human Development Report </w:t>
      </w:r>
      <w:r w:rsidR="00612AC8">
        <w:rPr>
          <w:szCs w:val="21"/>
        </w:rPr>
        <w:t xml:space="preserve">(HDI) </w:t>
      </w:r>
      <w:r w:rsidR="00C62A3A" w:rsidRPr="00B6769E">
        <w:rPr>
          <w:szCs w:val="21"/>
        </w:rPr>
        <w:t xml:space="preserve">ranks </w:t>
      </w:r>
      <w:r w:rsidR="00DB4DDC" w:rsidRPr="00B6769E">
        <w:rPr>
          <w:szCs w:val="21"/>
        </w:rPr>
        <w:t>PNG 158 out of 188 countries in the Human Development Index (</w:t>
      </w:r>
      <w:r w:rsidRPr="00B6769E">
        <w:rPr>
          <w:szCs w:val="21"/>
        </w:rPr>
        <w:t xml:space="preserve">compared to 157 out of 187 in </w:t>
      </w:r>
      <w:r w:rsidR="00C62A3A" w:rsidRPr="00B6769E">
        <w:rPr>
          <w:szCs w:val="21"/>
        </w:rPr>
        <w:t xml:space="preserve">the </w:t>
      </w:r>
      <w:r w:rsidRPr="00B6769E">
        <w:rPr>
          <w:szCs w:val="21"/>
        </w:rPr>
        <w:t>2014 report and</w:t>
      </w:r>
      <w:r w:rsidR="00DB4DDC" w:rsidRPr="00B6769E">
        <w:rPr>
          <w:szCs w:val="21"/>
        </w:rPr>
        <w:t xml:space="preserve"> 126 out of 174 countries in 1995</w:t>
      </w:r>
      <w:r w:rsidR="00686DD4" w:rsidRPr="00B6769E">
        <w:rPr>
          <w:szCs w:val="21"/>
        </w:rPr>
        <w:t>)</w:t>
      </w:r>
      <w:r w:rsidR="00DB4DDC" w:rsidRPr="00B6769E">
        <w:rPr>
          <w:szCs w:val="21"/>
        </w:rPr>
        <w:t xml:space="preserve">. The HDI </w:t>
      </w:r>
      <w:r w:rsidR="004D658E" w:rsidRPr="00B6769E">
        <w:rPr>
          <w:szCs w:val="21"/>
        </w:rPr>
        <w:t>focuses</w:t>
      </w:r>
      <w:r w:rsidR="00DB4DDC" w:rsidRPr="00B6769E">
        <w:rPr>
          <w:szCs w:val="21"/>
        </w:rPr>
        <w:t xml:space="preserve"> on three dimensions of human development: to lead a long and healthy life; the ability to acquire knowledge; and the ability to achieve a decent standard of living.</w:t>
      </w:r>
    </w:p>
    <w:p w:rsidR="00D2169C" w:rsidRPr="00B6769E" w:rsidRDefault="00683185" w:rsidP="00B6769E">
      <w:pPr>
        <w:pStyle w:val="ListParagraph"/>
        <w:numPr>
          <w:ilvl w:val="0"/>
          <w:numId w:val="41"/>
        </w:numPr>
        <w:spacing w:after="120" w:line="280" w:lineRule="exact"/>
        <w:rPr>
          <w:szCs w:val="21"/>
        </w:rPr>
      </w:pPr>
      <w:r w:rsidRPr="00B6769E">
        <w:rPr>
          <w:szCs w:val="21"/>
        </w:rPr>
        <w:t xml:space="preserve">Violence against women remains common and pervasive, </w:t>
      </w:r>
      <w:r w:rsidR="00663E3B" w:rsidRPr="00B6769E">
        <w:rPr>
          <w:szCs w:val="21"/>
        </w:rPr>
        <w:t xml:space="preserve">with studies indicating two out of three women have </w:t>
      </w:r>
      <w:r w:rsidR="009644BC" w:rsidRPr="00B6769E">
        <w:rPr>
          <w:szCs w:val="21"/>
        </w:rPr>
        <w:t>experienced violence</w:t>
      </w:r>
      <w:r w:rsidR="00663E3B" w:rsidRPr="00B6769E">
        <w:rPr>
          <w:rStyle w:val="FootnoteReference"/>
          <w:szCs w:val="21"/>
        </w:rPr>
        <w:footnoteReference w:id="3"/>
      </w:r>
      <w:r w:rsidR="00F43FA4" w:rsidRPr="00B6769E">
        <w:rPr>
          <w:szCs w:val="21"/>
        </w:rPr>
        <w:t xml:space="preserve">. </w:t>
      </w:r>
      <w:proofErr w:type="spellStart"/>
      <w:r w:rsidRPr="00B6769E">
        <w:rPr>
          <w:szCs w:val="21"/>
        </w:rPr>
        <w:t>Médecins</w:t>
      </w:r>
      <w:proofErr w:type="spellEnd"/>
      <w:r w:rsidRPr="00B6769E">
        <w:rPr>
          <w:szCs w:val="21"/>
        </w:rPr>
        <w:t xml:space="preserve"> Sans </w:t>
      </w:r>
      <w:proofErr w:type="spellStart"/>
      <w:r w:rsidRPr="00B6769E">
        <w:rPr>
          <w:szCs w:val="21"/>
        </w:rPr>
        <w:t>Frontières</w:t>
      </w:r>
      <w:proofErr w:type="spellEnd"/>
      <w:r w:rsidRPr="00B6769E">
        <w:rPr>
          <w:szCs w:val="21"/>
        </w:rPr>
        <w:t xml:space="preserve"> (MSF) </w:t>
      </w:r>
      <w:r w:rsidR="00663E3B" w:rsidRPr="00B6769E">
        <w:rPr>
          <w:szCs w:val="21"/>
        </w:rPr>
        <w:t xml:space="preserve">data released in </w:t>
      </w:r>
      <w:r w:rsidRPr="00B6769E">
        <w:rPr>
          <w:szCs w:val="21"/>
        </w:rPr>
        <w:t>March 2016</w:t>
      </w:r>
      <w:r w:rsidR="00663E3B" w:rsidRPr="00B6769E">
        <w:rPr>
          <w:szCs w:val="21"/>
        </w:rPr>
        <w:t xml:space="preserve"> showed around</w:t>
      </w:r>
      <w:r w:rsidR="003977BF" w:rsidRPr="00B6769E">
        <w:rPr>
          <w:szCs w:val="21"/>
        </w:rPr>
        <w:t xml:space="preserve"> 3000 </w:t>
      </w:r>
      <w:r w:rsidR="00663E3B" w:rsidRPr="00B6769E">
        <w:rPr>
          <w:szCs w:val="21"/>
        </w:rPr>
        <w:t xml:space="preserve">survivors of violence </w:t>
      </w:r>
      <w:r w:rsidR="003977BF" w:rsidRPr="00B6769E">
        <w:rPr>
          <w:szCs w:val="21"/>
        </w:rPr>
        <w:t xml:space="preserve">sought care for the first time from </w:t>
      </w:r>
      <w:r w:rsidRPr="00B6769E">
        <w:rPr>
          <w:szCs w:val="21"/>
        </w:rPr>
        <w:t>MSF-run Family Support Centres in Port</w:t>
      </w:r>
      <w:r w:rsidR="003977BF" w:rsidRPr="00B6769E">
        <w:rPr>
          <w:szCs w:val="21"/>
        </w:rPr>
        <w:t xml:space="preserve"> Moresby</w:t>
      </w:r>
      <w:r w:rsidRPr="00B6769E">
        <w:rPr>
          <w:szCs w:val="21"/>
        </w:rPr>
        <w:t xml:space="preserve"> and in </w:t>
      </w:r>
      <w:proofErr w:type="spellStart"/>
      <w:r w:rsidRPr="00B6769E">
        <w:rPr>
          <w:szCs w:val="21"/>
        </w:rPr>
        <w:t>Tari</w:t>
      </w:r>
      <w:proofErr w:type="spellEnd"/>
      <w:r w:rsidRPr="00B6769E">
        <w:rPr>
          <w:szCs w:val="21"/>
        </w:rPr>
        <w:t>, in the Highlands</w:t>
      </w:r>
      <w:r w:rsidR="003115CA" w:rsidRPr="00B6769E">
        <w:rPr>
          <w:szCs w:val="21"/>
        </w:rPr>
        <w:t>,</w:t>
      </w:r>
      <w:r w:rsidRPr="00B6769E">
        <w:rPr>
          <w:szCs w:val="21"/>
        </w:rPr>
        <w:t xml:space="preserve"> </w:t>
      </w:r>
      <w:r w:rsidR="00C62A1D" w:rsidRPr="00B6769E">
        <w:rPr>
          <w:szCs w:val="21"/>
        </w:rPr>
        <w:t xml:space="preserve">in 2014 and 2015. </w:t>
      </w:r>
      <w:r w:rsidR="00663E3B" w:rsidRPr="00B6769E">
        <w:rPr>
          <w:szCs w:val="21"/>
        </w:rPr>
        <w:t xml:space="preserve">Most had been injured by their partners, family or community members. </w:t>
      </w:r>
      <w:r w:rsidR="00C62A1D" w:rsidRPr="00B6769E">
        <w:rPr>
          <w:szCs w:val="21"/>
        </w:rPr>
        <w:t xml:space="preserve">Around 97 per cent </w:t>
      </w:r>
      <w:r w:rsidR="003977BF" w:rsidRPr="00B6769E">
        <w:rPr>
          <w:szCs w:val="21"/>
        </w:rPr>
        <w:t>were female.</w:t>
      </w:r>
      <w:r w:rsidR="00663E3B" w:rsidRPr="00B6769E">
        <w:rPr>
          <w:szCs w:val="21"/>
        </w:rPr>
        <w:t xml:space="preserve"> Children made up one in three of all family violence consultations in Port Moresby, and one in eight in </w:t>
      </w:r>
      <w:proofErr w:type="spellStart"/>
      <w:r w:rsidR="00663E3B" w:rsidRPr="00B6769E">
        <w:rPr>
          <w:szCs w:val="21"/>
        </w:rPr>
        <w:t>Tari</w:t>
      </w:r>
      <w:proofErr w:type="spellEnd"/>
      <w:r w:rsidR="00663E3B" w:rsidRPr="00B6769E">
        <w:rPr>
          <w:szCs w:val="21"/>
        </w:rPr>
        <w:t>.</w:t>
      </w:r>
    </w:p>
    <w:p w:rsidR="00D2169C" w:rsidRPr="00B6769E" w:rsidRDefault="00B83D20">
      <w:pPr>
        <w:pStyle w:val="ListParagraph"/>
        <w:numPr>
          <w:ilvl w:val="0"/>
          <w:numId w:val="41"/>
        </w:numPr>
        <w:spacing w:after="120" w:line="280" w:lineRule="exact"/>
        <w:rPr>
          <w:szCs w:val="21"/>
        </w:rPr>
      </w:pPr>
      <w:r w:rsidRPr="00B6769E">
        <w:rPr>
          <w:rFonts w:eastAsia="Times New Roman"/>
          <w:szCs w:val="21"/>
        </w:rPr>
        <w:t>At least</w:t>
      </w:r>
      <w:r w:rsidR="000A5F95" w:rsidRPr="00B6769E">
        <w:rPr>
          <w:rFonts w:eastAsia="Times New Roman"/>
          <w:szCs w:val="21"/>
        </w:rPr>
        <w:t xml:space="preserve"> 460 mothers died during childbirth in 2015</w:t>
      </w:r>
      <w:r w:rsidR="000A5F95" w:rsidRPr="00B6769E">
        <w:rPr>
          <w:szCs w:val="21"/>
        </w:rPr>
        <w:t xml:space="preserve">. </w:t>
      </w:r>
      <w:r w:rsidR="006F709F" w:rsidRPr="00B6769E">
        <w:rPr>
          <w:szCs w:val="21"/>
        </w:rPr>
        <w:t>Although PNG’s maternal mortality ratio</w:t>
      </w:r>
      <w:r w:rsidRPr="00B6769E">
        <w:rPr>
          <w:szCs w:val="21"/>
        </w:rPr>
        <w:t xml:space="preserve"> has fallen </w:t>
      </w:r>
      <w:r w:rsidR="002617C3" w:rsidRPr="00B6769E">
        <w:rPr>
          <w:szCs w:val="21"/>
        </w:rPr>
        <w:t xml:space="preserve">by </w:t>
      </w:r>
      <w:r w:rsidRPr="00B6769E">
        <w:rPr>
          <w:szCs w:val="21"/>
        </w:rPr>
        <w:t>approx</w:t>
      </w:r>
      <w:r w:rsidR="006F709F" w:rsidRPr="00B6769E">
        <w:rPr>
          <w:szCs w:val="21"/>
        </w:rPr>
        <w:t xml:space="preserve">imately 50 per cent since 1990 to </w:t>
      </w:r>
      <w:r w:rsidR="00DD3147">
        <w:rPr>
          <w:szCs w:val="21"/>
        </w:rPr>
        <w:t xml:space="preserve">an estimated </w:t>
      </w:r>
      <w:r w:rsidR="000A5F95" w:rsidRPr="00B6769E">
        <w:rPr>
          <w:szCs w:val="21"/>
        </w:rPr>
        <w:t xml:space="preserve">215 deaths </w:t>
      </w:r>
      <w:r w:rsidR="006F709F" w:rsidRPr="00B6769E">
        <w:rPr>
          <w:szCs w:val="21"/>
        </w:rPr>
        <w:t>per 100,000 live births in 2015, the ratio</w:t>
      </w:r>
      <w:r w:rsidR="001960D1">
        <w:rPr>
          <w:szCs w:val="21"/>
        </w:rPr>
        <w:t xml:space="preserve"> remains</w:t>
      </w:r>
      <w:r w:rsidR="000A5F95" w:rsidRPr="00B6769E">
        <w:rPr>
          <w:szCs w:val="21"/>
        </w:rPr>
        <w:t xml:space="preserve"> t</w:t>
      </w:r>
      <w:r w:rsidRPr="00B6769E">
        <w:rPr>
          <w:szCs w:val="21"/>
        </w:rPr>
        <w:t>he highest in the Pacific</w:t>
      </w:r>
      <w:r w:rsidR="000A5F95" w:rsidRPr="00B6769E">
        <w:rPr>
          <w:rStyle w:val="FootnoteReference"/>
          <w:szCs w:val="21"/>
        </w:rPr>
        <w:footnoteReference w:id="4"/>
      </w:r>
      <w:r w:rsidR="000A5F95" w:rsidRPr="00B6769E">
        <w:rPr>
          <w:szCs w:val="21"/>
        </w:rPr>
        <w:t xml:space="preserve">. </w:t>
      </w:r>
    </w:p>
    <w:p w:rsidR="00D2169C" w:rsidRPr="00B6769E" w:rsidRDefault="00646412" w:rsidP="00B6769E">
      <w:pPr>
        <w:pStyle w:val="ListParagraph"/>
        <w:numPr>
          <w:ilvl w:val="0"/>
          <w:numId w:val="41"/>
        </w:numPr>
        <w:spacing w:after="120" w:line="280" w:lineRule="exact"/>
        <w:rPr>
          <w:szCs w:val="21"/>
        </w:rPr>
      </w:pPr>
      <w:r w:rsidRPr="00B6769E">
        <w:rPr>
          <w:szCs w:val="21"/>
        </w:rPr>
        <w:t>In Transparency International’s 2015 Corruption Perceptions Index, PNG ranked 139 out of 168 countries</w:t>
      </w:r>
      <w:r w:rsidR="006A7764" w:rsidRPr="00B6769E">
        <w:rPr>
          <w:szCs w:val="21"/>
        </w:rPr>
        <w:t xml:space="preserve"> </w:t>
      </w:r>
      <w:r w:rsidR="00DB4DDC" w:rsidRPr="00B6769E">
        <w:rPr>
          <w:szCs w:val="21"/>
        </w:rPr>
        <w:t xml:space="preserve">compared to </w:t>
      </w:r>
      <w:r w:rsidR="006A7764" w:rsidRPr="00B6769E">
        <w:rPr>
          <w:szCs w:val="21"/>
        </w:rPr>
        <w:t>145 out of 174 in 2014</w:t>
      </w:r>
      <w:r w:rsidR="0067406F" w:rsidRPr="00B6769E">
        <w:rPr>
          <w:szCs w:val="21"/>
        </w:rPr>
        <w:t xml:space="preserve">. PNG’s ranking has </w:t>
      </w:r>
      <w:r w:rsidR="007F16F5" w:rsidRPr="00B6769E">
        <w:rPr>
          <w:szCs w:val="21"/>
        </w:rPr>
        <w:t>remained static</w:t>
      </w:r>
      <w:r w:rsidR="0067406F" w:rsidRPr="00B6769E">
        <w:rPr>
          <w:szCs w:val="21"/>
        </w:rPr>
        <w:t xml:space="preserve"> over a number of years (PNG was ranked</w:t>
      </w:r>
      <w:r w:rsidR="006A7764" w:rsidRPr="00B6769E">
        <w:rPr>
          <w:szCs w:val="21"/>
        </w:rPr>
        <w:t xml:space="preserve"> </w:t>
      </w:r>
      <w:r w:rsidR="00DB4DDC" w:rsidRPr="00B6769E">
        <w:rPr>
          <w:szCs w:val="21"/>
        </w:rPr>
        <w:t xml:space="preserve">118 out of 133 </w:t>
      </w:r>
      <w:r w:rsidR="006A7764" w:rsidRPr="00B6769E">
        <w:rPr>
          <w:szCs w:val="21"/>
        </w:rPr>
        <w:t xml:space="preserve">when first listed </w:t>
      </w:r>
      <w:r w:rsidR="00DB4DDC" w:rsidRPr="00B6769E">
        <w:rPr>
          <w:szCs w:val="21"/>
        </w:rPr>
        <w:t>in 2003</w:t>
      </w:r>
      <w:r w:rsidR="0067406F" w:rsidRPr="00B6769E">
        <w:rPr>
          <w:szCs w:val="21"/>
        </w:rPr>
        <w:t>)</w:t>
      </w:r>
      <w:r w:rsidRPr="00B6769E">
        <w:rPr>
          <w:szCs w:val="21"/>
        </w:rPr>
        <w:t>.</w:t>
      </w:r>
    </w:p>
    <w:p w:rsidR="00A67503" w:rsidRDefault="00DB4DDC" w:rsidP="003115CA">
      <w:pPr>
        <w:spacing w:after="120" w:line="280" w:lineRule="exact"/>
        <w:rPr>
          <w:szCs w:val="21"/>
        </w:rPr>
      </w:pPr>
      <w:r w:rsidRPr="00B6769E">
        <w:rPr>
          <w:szCs w:val="21"/>
        </w:rPr>
        <w:t xml:space="preserve">PNG is </w:t>
      </w:r>
      <w:r w:rsidR="00A41253" w:rsidRPr="00B6769E">
        <w:rPr>
          <w:szCs w:val="21"/>
        </w:rPr>
        <w:t>among</w:t>
      </w:r>
      <w:r w:rsidRPr="00B6769E">
        <w:rPr>
          <w:szCs w:val="21"/>
        </w:rPr>
        <w:t xml:space="preserve"> </w:t>
      </w:r>
      <w:r w:rsidR="001960D1">
        <w:rPr>
          <w:szCs w:val="21"/>
        </w:rPr>
        <w:t xml:space="preserve">a group of </w:t>
      </w:r>
      <w:r w:rsidRPr="00B6769E">
        <w:rPr>
          <w:szCs w:val="21"/>
        </w:rPr>
        <w:t xml:space="preserve">developing countries that did not </w:t>
      </w:r>
      <w:r w:rsidR="00A67503" w:rsidRPr="00B6769E">
        <w:rPr>
          <w:szCs w:val="21"/>
        </w:rPr>
        <w:t>completely fulfil</w:t>
      </w:r>
      <w:r w:rsidRPr="00B6769E">
        <w:rPr>
          <w:szCs w:val="21"/>
        </w:rPr>
        <w:t xml:space="preserve"> any of the Millennium Development Goals (MDGs). </w:t>
      </w:r>
      <w:r w:rsidR="00A67503" w:rsidRPr="00B6769E">
        <w:rPr>
          <w:szCs w:val="21"/>
        </w:rPr>
        <w:t xml:space="preserve">PNG </w:t>
      </w:r>
      <w:r w:rsidR="00F90FCC" w:rsidRPr="00B6769E">
        <w:rPr>
          <w:szCs w:val="21"/>
        </w:rPr>
        <w:t xml:space="preserve">made progress on a number of targets and </w:t>
      </w:r>
      <w:r w:rsidR="00A67503" w:rsidRPr="00B6769E">
        <w:rPr>
          <w:szCs w:val="21"/>
        </w:rPr>
        <w:t>gained experience from implementing the MDG program</w:t>
      </w:r>
      <w:r w:rsidR="00F90FCC" w:rsidRPr="00B6769E">
        <w:rPr>
          <w:rStyle w:val="FootnoteReference"/>
          <w:szCs w:val="21"/>
        </w:rPr>
        <w:footnoteReference w:id="5"/>
      </w:r>
      <w:r w:rsidR="00A67503" w:rsidRPr="00B6769E">
        <w:rPr>
          <w:szCs w:val="21"/>
        </w:rPr>
        <w:t xml:space="preserve">. </w:t>
      </w:r>
      <w:r w:rsidR="00576B57" w:rsidRPr="00B6769E">
        <w:rPr>
          <w:szCs w:val="21"/>
        </w:rPr>
        <w:t xml:space="preserve">PNG </w:t>
      </w:r>
      <w:r w:rsidR="00A67503" w:rsidRPr="00B6769E">
        <w:rPr>
          <w:szCs w:val="21"/>
        </w:rPr>
        <w:t>localised and integrated</w:t>
      </w:r>
      <w:r w:rsidR="00576B57" w:rsidRPr="00B6769E">
        <w:rPr>
          <w:szCs w:val="21"/>
        </w:rPr>
        <w:t xml:space="preserve"> a number of MDG indicators into its development frameworks, indicating a strong appreciation of the need to link targets to national goals and encourage ownership of challenges</w:t>
      </w:r>
      <w:r w:rsidR="00363478" w:rsidRPr="00B6769E">
        <w:rPr>
          <w:szCs w:val="21"/>
        </w:rPr>
        <w:t xml:space="preserve">, </w:t>
      </w:r>
      <w:r w:rsidR="00D82156" w:rsidRPr="00B6769E">
        <w:rPr>
          <w:szCs w:val="21"/>
        </w:rPr>
        <w:t xml:space="preserve">and has stated its commitment </w:t>
      </w:r>
      <w:r w:rsidRPr="00B6769E">
        <w:rPr>
          <w:szCs w:val="21"/>
        </w:rPr>
        <w:t xml:space="preserve">to achieve the Sustainable </w:t>
      </w:r>
      <w:r w:rsidR="00576B57" w:rsidRPr="00B6769E">
        <w:rPr>
          <w:szCs w:val="21"/>
        </w:rPr>
        <w:t>Development Goals</w:t>
      </w:r>
      <w:r w:rsidR="001960D1">
        <w:rPr>
          <w:szCs w:val="21"/>
        </w:rPr>
        <w:t xml:space="preserve"> by 2030</w:t>
      </w:r>
      <w:r w:rsidR="00576B57" w:rsidRPr="00B6769E">
        <w:rPr>
          <w:szCs w:val="21"/>
        </w:rPr>
        <w:t xml:space="preserve">. </w:t>
      </w:r>
    </w:p>
    <w:p w:rsidR="001960D1" w:rsidRPr="00B6769E" w:rsidRDefault="001960D1" w:rsidP="003115CA">
      <w:pPr>
        <w:spacing w:after="120" w:line="280" w:lineRule="exact"/>
        <w:rPr>
          <w:szCs w:val="21"/>
        </w:rPr>
      </w:pPr>
    </w:p>
    <w:p w:rsidR="00363478" w:rsidRPr="00B6769E" w:rsidRDefault="00363478" w:rsidP="00363478">
      <w:pPr>
        <w:spacing w:after="120" w:line="280" w:lineRule="exact"/>
        <w:rPr>
          <w:szCs w:val="21"/>
        </w:rPr>
      </w:pPr>
      <w:r w:rsidRPr="00B6769E">
        <w:rPr>
          <w:szCs w:val="21"/>
        </w:rPr>
        <w:lastRenderedPageBreak/>
        <w:t xml:space="preserve">Australia’s </w:t>
      </w:r>
      <w:r w:rsidR="000E3C52">
        <w:rPr>
          <w:szCs w:val="21"/>
        </w:rPr>
        <w:t xml:space="preserve">estimated </w:t>
      </w:r>
      <w:r w:rsidR="00FA1A74" w:rsidRPr="00B6769E">
        <w:rPr>
          <w:szCs w:val="21"/>
        </w:rPr>
        <w:t>$</w:t>
      </w:r>
      <w:r w:rsidR="000E3C52">
        <w:rPr>
          <w:szCs w:val="21"/>
        </w:rPr>
        <w:t>549.7</w:t>
      </w:r>
      <w:r w:rsidR="000C6913" w:rsidRPr="00B6769E">
        <w:rPr>
          <w:szCs w:val="21"/>
        </w:rPr>
        <w:t xml:space="preserve"> million </w:t>
      </w:r>
      <w:r w:rsidRPr="00B6769E">
        <w:rPr>
          <w:szCs w:val="21"/>
        </w:rPr>
        <w:t xml:space="preserve">contribution to </w:t>
      </w:r>
      <w:r w:rsidR="000C6913" w:rsidRPr="00B6769E">
        <w:rPr>
          <w:szCs w:val="21"/>
        </w:rPr>
        <w:t xml:space="preserve">PNG’s </w:t>
      </w:r>
      <w:r w:rsidRPr="00B6769E">
        <w:rPr>
          <w:szCs w:val="21"/>
        </w:rPr>
        <w:t xml:space="preserve">development </w:t>
      </w:r>
      <w:r w:rsidR="000C6913" w:rsidRPr="00B6769E">
        <w:rPr>
          <w:szCs w:val="21"/>
        </w:rPr>
        <w:t>in 2015-16 (</w:t>
      </w:r>
      <w:r w:rsidR="004D387E" w:rsidRPr="00B6769E">
        <w:rPr>
          <w:szCs w:val="21"/>
        </w:rPr>
        <w:t>PG</w:t>
      </w:r>
      <w:r w:rsidR="000E3C52">
        <w:rPr>
          <w:szCs w:val="21"/>
        </w:rPr>
        <w:t>K1.3</w:t>
      </w:r>
      <w:r w:rsidRPr="00B6769E">
        <w:rPr>
          <w:szCs w:val="21"/>
        </w:rPr>
        <w:t xml:space="preserve"> billion</w:t>
      </w:r>
      <w:r w:rsidR="00FA1A74" w:rsidRPr="00B6769E">
        <w:rPr>
          <w:rStyle w:val="FootnoteReference"/>
          <w:szCs w:val="21"/>
        </w:rPr>
        <w:footnoteReference w:id="6"/>
      </w:r>
      <w:r w:rsidRPr="00B6769E">
        <w:rPr>
          <w:szCs w:val="21"/>
        </w:rPr>
        <w:t>) is approximately 68 per cent of total Official Development Assistance (ODA) to PNG, a relatively high proportion for one donor by international standards. Other bilateral donors are New Zealand, Japan, the European Union and the United States of America. China is an emerging donor, partnering with Australia and PNG in a trilateral malaria project in the reporting period. Multilateral partners are critical to development in PNG, including the Asian Development Bank (PNG’s largest multilateral development partner with a US$1.1 billion active portfolio as at 31 December 2015</w:t>
      </w:r>
      <w:r w:rsidRPr="00B6769E">
        <w:rPr>
          <w:rStyle w:val="FootnoteReference"/>
          <w:szCs w:val="21"/>
        </w:rPr>
        <w:footnoteReference w:id="7"/>
      </w:r>
      <w:r w:rsidRPr="00B6769E">
        <w:rPr>
          <w:szCs w:val="21"/>
        </w:rPr>
        <w:t xml:space="preserve">), the World Bank and the Global Fund to Fight AIDS, Tuberculosis and Malaria. </w:t>
      </w:r>
    </w:p>
    <w:p w:rsidR="00407B26" w:rsidRPr="00B6769E" w:rsidRDefault="00407B26" w:rsidP="003115CA">
      <w:pPr>
        <w:spacing w:after="120" w:line="280" w:lineRule="exact"/>
        <w:rPr>
          <w:szCs w:val="21"/>
        </w:rPr>
      </w:pPr>
      <w:r w:rsidRPr="00B6769E">
        <w:rPr>
          <w:i/>
          <w:szCs w:val="21"/>
        </w:rPr>
        <w:t>Outlook</w:t>
      </w:r>
    </w:p>
    <w:p w:rsidR="00101C75" w:rsidRPr="00B6769E" w:rsidRDefault="001E4CF2">
      <w:pPr>
        <w:spacing w:after="120" w:line="280" w:lineRule="exact"/>
        <w:rPr>
          <w:szCs w:val="21"/>
        </w:rPr>
      </w:pPr>
      <w:r w:rsidRPr="00B6769E">
        <w:rPr>
          <w:szCs w:val="21"/>
        </w:rPr>
        <w:t xml:space="preserve">Australia continues to respond to the new directions for </w:t>
      </w:r>
      <w:r w:rsidR="00553FDF">
        <w:rPr>
          <w:szCs w:val="21"/>
        </w:rPr>
        <w:t>development assistance</w:t>
      </w:r>
      <w:r w:rsidR="000060EF" w:rsidRPr="00B6769E">
        <w:rPr>
          <w:szCs w:val="21"/>
        </w:rPr>
        <w:t>,</w:t>
      </w:r>
      <w:r w:rsidRPr="00B6769E">
        <w:rPr>
          <w:szCs w:val="21"/>
        </w:rPr>
        <w:t xml:space="preserve"> agreed with PNG in the 2014 aid assessment</w:t>
      </w:r>
      <w:r w:rsidRPr="00B6769E">
        <w:rPr>
          <w:rStyle w:val="FootnoteReference"/>
          <w:szCs w:val="21"/>
        </w:rPr>
        <w:footnoteReference w:id="8"/>
      </w:r>
      <w:r w:rsidR="000060EF" w:rsidRPr="00B6769E">
        <w:rPr>
          <w:szCs w:val="21"/>
        </w:rPr>
        <w:t>,</w:t>
      </w:r>
      <w:r w:rsidRPr="00B6769E">
        <w:rPr>
          <w:szCs w:val="21"/>
        </w:rPr>
        <w:t xml:space="preserve"> </w:t>
      </w:r>
      <w:r w:rsidR="0035271F" w:rsidRPr="00B6769E">
        <w:rPr>
          <w:szCs w:val="21"/>
        </w:rPr>
        <w:t>to align</w:t>
      </w:r>
      <w:r w:rsidRPr="00B6769E">
        <w:rPr>
          <w:szCs w:val="21"/>
        </w:rPr>
        <w:t xml:space="preserve"> the program with shared political and economic objectives</w:t>
      </w:r>
      <w:r w:rsidR="00407B26" w:rsidRPr="00B6769E">
        <w:rPr>
          <w:szCs w:val="21"/>
        </w:rPr>
        <w:t xml:space="preserve">. </w:t>
      </w:r>
      <w:r w:rsidR="00AA7C80" w:rsidRPr="00B6769E">
        <w:rPr>
          <w:szCs w:val="21"/>
        </w:rPr>
        <w:t>The</w:t>
      </w:r>
      <w:r w:rsidR="00D2169C" w:rsidRPr="00B6769E">
        <w:rPr>
          <w:szCs w:val="21"/>
        </w:rPr>
        <w:t>se include the</w:t>
      </w:r>
      <w:r w:rsidR="00AA7C80" w:rsidRPr="00B6769E">
        <w:rPr>
          <w:szCs w:val="21"/>
        </w:rPr>
        <w:t xml:space="preserve"> promotion of PNG’s economic development and security</w:t>
      </w:r>
      <w:r w:rsidR="00D2169C" w:rsidRPr="00B6769E">
        <w:rPr>
          <w:szCs w:val="21"/>
        </w:rPr>
        <w:t>, which</w:t>
      </w:r>
      <w:r w:rsidR="00AA7C80" w:rsidRPr="00B6769E">
        <w:rPr>
          <w:szCs w:val="21"/>
        </w:rPr>
        <w:t xml:space="preserve"> are key to both our nations’ interests. </w:t>
      </w:r>
      <w:r w:rsidR="00FC2595" w:rsidRPr="00B6769E">
        <w:rPr>
          <w:szCs w:val="21"/>
        </w:rPr>
        <w:t>By 2017, we aim to allocate 50 per cent of the bilater</w:t>
      </w:r>
      <w:r w:rsidR="003058BF" w:rsidRPr="00B6769E">
        <w:rPr>
          <w:szCs w:val="21"/>
        </w:rPr>
        <w:t>al aid budget to infrastructure –</w:t>
      </w:r>
      <w:r w:rsidR="00FC2595" w:rsidRPr="00B6769E">
        <w:rPr>
          <w:szCs w:val="21"/>
        </w:rPr>
        <w:t xml:space="preserve"> </w:t>
      </w:r>
      <w:r w:rsidR="003058BF" w:rsidRPr="00B6769E">
        <w:rPr>
          <w:szCs w:val="21"/>
        </w:rPr>
        <w:t xml:space="preserve">in recognition that inadequate and poorly maintained infrastructure constrains economic growth – </w:t>
      </w:r>
      <w:r w:rsidR="00FC2595" w:rsidRPr="00B6769E">
        <w:rPr>
          <w:szCs w:val="21"/>
        </w:rPr>
        <w:t>and 30 per cent to aid for trade and private sector activities.</w:t>
      </w:r>
      <w:r w:rsidRPr="00B6769E">
        <w:rPr>
          <w:szCs w:val="21"/>
        </w:rPr>
        <w:t xml:space="preserve"> </w:t>
      </w:r>
      <w:r w:rsidR="00AA7C80" w:rsidRPr="00B6769E">
        <w:rPr>
          <w:szCs w:val="21"/>
        </w:rPr>
        <w:t>We will continue with key investme</w:t>
      </w:r>
      <w:r w:rsidR="001960D1">
        <w:rPr>
          <w:szCs w:val="21"/>
        </w:rPr>
        <w:t>nts in PNG’s future leadership (such as the Precinct)</w:t>
      </w:r>
      <w:r w:rsidR="00AA7C80" w:rsidRPr="00B6769E">
        <w:rPr>
          <w:szCs w:val="21"/>
        </w:rPr>
        <w:t xml:space="preserve"> across the political, bureaucratic, business and social sectors. In recognition that PNG needs significant financing to overcome its development challenges, we will seek to assist PNG to facilitate finance</w:t>
      </w:r>
      <w:r w:rsidR="00884510" w:rsidRPr="00B6769E">
        <w:rPr>
          <w:szCs w:val="21"/>
        </w:rPr>
        <w:t>, develop its own capacity to deliver services,</w:t>
      </w:r>
      <w:r w:rsidR="00AA7C80" w:rsidRPr="00B6769E">
        <w:rPr>
          <w:szCs w:val="21"/>
        </w:rPr>
        <w:t xml:space="preserve"> and prioritise and plan economic and social infrastructure. We will support </w:t>
      </w:r>
      <w:r w:rsidR="00570D75" w:rsidRPr="00B6769E">
        <w:rPr>
          <w:szCs w:val="21"/>
        </w:rPr>
        <w:t xml:space="preserve">and coordinate </w:t>
      </w:r>
      <w:r w:rsidR="00AA7C80" w:rsidRPr="00B6769E">
        <w:rPr>
          <w:szCs w:val="21"/>
        </w:rPr>
        <w:t xml:space="preserve">policy dialogue and investments </w:t>
      </w:r>
      <w:r w:rsidR="00D2169C" w:rsidRPr="00B6769E">
        <w:rPr>
          <w:szCs w:val="21"/>
        </w:rPr>
        <w:t xml:space="preserve">– such as in agriculture – </w:t>
      </w:r>
      <w:r w:rsidR="00AA7C80" w:rsidRPr="00B6769E">
        <w:rPr>
          <w:szCs w:val="21"/>
        </w:rPr>
        <w:t>that promote inclusive and diversified economic growth and increased PNG trading capacity.</w:t>
      </w:r>
      <w:r w:rsidR="0035271F" w:rsidRPr="00B6769E">
        <w:rPr>
          <w:szCs w:val="21"/>
        </w:rPr>
        <w:t xml:space="preserve"> We will pursue investments </w:t>
      </w:r>
      <w:r w:rsidR="00D2169C" w:rsidRPr="00B6769E">
        <w:rPr>
          <w:szCs w:val="21"/>
        </w:rPr>
        <w:t xml:space="preserve">that are </w:t>
      </w:r>
      <w:r w:rsidR="0035271F" w:rsidRPr="00B6769E">
        <w:rPr>
          <w:szCs w:val="21"/>
        </w:rPr>
        <w:t>in PNG’s and Australia’s national security interests in</w:t>
      </w:r>
      <w:r w:rsidR="00EA2518" w:rsidRPr="00B6769E">
        <w:rPr>
          <w:szCs w:val="21"/>
        </w:rPr>
        <w:t>cluding through</w:t>
      </w:r>
      <w:r w:rsidR="0035271F" w:rsidRPr="00B6769E">
        <w:rPr>
          <w:szCs w:val="21"/>
        </w:rPr>
        <w:t xml:space="preserve"> </w:t>
      </w:r>
      <w:r w:rsidR="00EA2518" w:rsidRPr="00B6769E">
        <w:rPr>
          <w:szCs w:val="21"/>
        </w:rPr>
        <w:t xml:space="preserve">the </w:t>
      </w:r>
      <w:r w:rsidR="0035271F" w:rsidRPr="00B6769E">
        <w:rPr>
          <w:szCs w:val="21"/>
        </w:rPr>
        <w:t>law and justice</w:t>
      </w:r>
      <w:r w:rsidR="00EA2518" w:rsidRPr="00B6769E">
        <w:rPr>
          <w:szCs w:val="21"/>
        </w:rPr>
        <w:t xml:space="preserve"> sector</w:t>
      </w:r>
      <w:r w:rsidR="0069206D" w:rsidRPr="00B6769E">
        <w:rPr>
          <w:szCs w:val="21"/>
        </w:rPr>
        <w:t>, transport security and in</w:t>
      </w:r>
      <w:r w:rsidR="0035271F" w:rsidRPr="00B6769E">
        <w:rPr>
          <w:szCs w:val="21"/>
        </w:rPr>
        <w:t xml:space="preserve"> </w:t>
      </w:r>
      <w:r w:rsidR="00EA2518" w:rsidRPr="00B6769E">
        <w:rPr>
          <w:szCs w:val="21"/>
        </w:rPr>
        <w:t>response to</w:t>
      </w:r>
      <w:r w:rsidR="0035271F" w:rsidRPr="00B6769E">
        <w:rPr>
          <w:szCs w:val="21"/>
        </w:rPr>
        <w:t xml:space="preserve"> health risks.</w:t>
      </w:r>
      <w:r w:rsidR="000060EF" w:rsidRPr="00B6769E">
        <w:rPr>
          <w:szCs w:val="21"/>
        </w:rPr>
        <w:t xml:space="preserve"> Australia will scale up support for PNG’s </w:t>
      </w:r>
      <w:r w:rsidR="00F85A6C" w:rsidRPr="00B6769E">
        <w:rPr>
          <w:szCs w:val="21"/>
        </w:rPr>
        <w:t xml:space="preserve">delivery of its </w:t>
      </w:r>
      <w:r w:rsidR="000060EF" w:rsidRPr="00B6769E">
        <w:rPr>
          <w:szCs w:val="21"/>
        </w:rPr>
        <w:t>elections</w:t>
      </w:r>
      <w:r w:rsidR="005B7050" w:rsidRPr="00B6769E">
        <w:rPr>
          <w:szCs w:val="21"/>
        </w:rPr>
        <w:t xml:space="preserve"> in </w:t>
      </w:r>
      <w:r w:rsidR="001960D1">
        <w:rPr>
          <w:szCs w:val="21"/>
        </w:rPr>
        <w:t>mid-</w:t>
      </w:r>
      <w:r w:rsidR="005B7050" w:rsidRPr="00B6769E">
        <w:rPr>
          <w:szCs w:val="21"/>
        </w:rPr>
        <w:t>2017</w:t>
      </w:r>
      <w:r w:rsidR="000060EF" w:rsidRPr="00B6769E">
        <w:rPr>
          <w:szCs w:val="21"/>
        </w:rPr>
        <w:t>.</w:t>
      </w:r>
      <w:r w:rsidR="005B7050" w:rsidRPr="00B6769E">
        <w:rPr>
          <w:szCs w:val="21"/>
        </w:rPr>
        <w:t xml:space="preserve"> </w:t>
      </w:r>
    </w:p>
    <w:p w:rsidR="00101C75" w:rsidRDefault="00101C75">
      <w:pPr>
        <w:spacing w:after="120" w:line="280" w:lineRule="exact"/>
        <w:rPr>
          <w:rFonts w:ascii="Franklin Gothic Book" w:hAnsi="Franklin Gothic Book"/>
          <w:sz w:val="21"/>
          <w:szCs w:val="21"/>
        </w:rPr>
      </w:pPr>
    </w:p>
    <w:p w:rsidR="009B14F6" w:rsidRDefault="009B14F6">
      <w:pPr>
        <w:spacing w:after="120" w:line="280" w:lineRule="exact"/>
        <w:rPr>
          <w:rFonts w:ascii="Franklin Gothic Book" w:hAnsi="Franklin Gothic Book"/>
          <w:sz w:val="21"/>
          <w:szCs w:val="21"/>
        </w:rPr>
      </w:pPr>
    </w:p>
    <w:p w:rsidR="009B14F6" w:rsidRDefault="009B14F6">
      <w:pPr>
        <w:spacing w:after="120" w:line="280" w:lineRule="exact"/>
        <w:rPr>
          <w:rFonts w:ascii="Franklin Gothic Book" w:hAnsi="Franklin Gothic Book"/>
          <w:sz w:val="21"/>
          <w:szCs w:val="21"/>
        </w:rPr>
      </w:pPr>
    </w:p>
    <w:p w:rsidR="009B14F6" w:rsidRDefault="009B14F6">
      <w:pPr>
        <w:spacing w:after="120" w:line="280" w:lineRule="exact"/>
        <w:rPr>
          <w:rFonts w:ascii="Franklin Gothic Book" w:hAnsi="Franklin Gothic Book"/>
          <w:sz w:val="21"/>
          <w:szCs w:val="21"/>
        </w:rPr>
      </w:pPr>
    </w:p>
    <w:p w:rsidR="009B14F6" w:rsidRDefault="009B14F6">
      <w:pPr>
        <w:spacing w:after="120" w:line="280" w:lineRule="exact"/>
        <w:rPr>
          <w:rFonts w:ascii="Franklin Gothic Book" w:hAnsi="Franklin Gothic Book"/>
          <w:sz w:val="21"/>
          <w:szCs w:val="21"/>
        </w:rPr>
      </w:pPr>
    </w:p>
    <w:p w:rsidR="009B14F6" w:rsidRDefault="009B14F6">
      <w:pPr>
        <w:spacing w:after="120" w:line="280" w:lineRule="exact"/>
        <w:rPr>
          <w:rFonts w:ascii="Franklin Gothic Book" w:hAnsi="Franklin Gothic Book"/>
          <w:sz w:val="21"/>
          <w:szCs w:val="21"/>
        </w:rPr>
      </w:pPr>
    </w:p>
    <w:p w:rsidR="009B14F6" w:rsidRDefault="009B14F6">
      <w:pPr>
        <w:spacing w:after="120" w:line="280" w:lineRule="exact"/>
        <w:rPr>
          <w:rFonts w:ascii="Franklin Gothic Book" w:hAnsi="Franklin Gothic Book"/>
          <w:sz w:val="21"/>
          <w:szCs w:val="21"/>
        </w:rPr>
      </w:pPr>
    </w:p>
    <w:p w:rsidR="009B14F6" w:rsidRDefault="009B14F6">
      <w:pPr>
        <w:spacing w:after="120" w:line="280" w:lineRule="exact"/>
        <w:rPr>
          <w:rFonts w:ascii="Franklin Gothic Book" w:hAnsi="Franklin Gothic Book"/>
          <w:sz w:val="21"/>
          <w:szCs w:val="21"/>
        </w:rPr>
      </w:pPr>
    </w:p>
    <w:p w:rsidR="009B14F6" w:rsidRDefault="009B14F6">
      <w:pPr>
        <w:spacing w:after="120" w:line="280" w:lineRule="exact"/>
        <w:rPr>
          <w:rFonts w:ascii="Franklin Gothic Book" w:hAnsi="Franklin Gothic Book"/>
          <w:sz w:val="21"/>
          <w:szCs w:val="21"/>
        </w:rPr>
      </w:pPr>
    </w:p>
    <w:p w:rsidR="009B14F6" w:rsidRDefault="009B14F6">
      <w:pPr>
        <w:spacing w:after="120" w:line="280" w:lineRule="exact"/>
        <w:rPr>
          <w:rFonts w:ascii="Franklin Gothic Book" w:hAnsi="Franklin Gothic Book"/>
          <w:sz w:val="21"/>
          <w:szCs w:val="21"/>
        </w:rPr>
      </w:pPr>
    </w:p>
    <w:p w:rsidR="009B14F6" w:rsidRDefault="009B14F6">
      <w:pPr>
        <w:spacing w:after="120" w:line="280" w:lineRule="exact"/>
        <w:rPr>
          <w:rFonts w:ascii="Franklin Gothic Book" w:hAnsi="Franklin Gothic Book"/>
          <w:sz w:val="21"/>
          <w:szCs w:val="21"/>
        </w:rPr>
      </w:pPr>
    </w:p>
    <w:p w:rsidR="009B14F6" w:rsidRDefault="009B14F6">
      <w:pPr>
        <w:spacing w:after="120" w:line="280" w:lineRule="exact"/>
        <w:rPr>
          <w:rFonts w:ascii="Franklin Gothic Book" w:hAnsi="Franklin Gothic Book"/>
          <w:sz w:val="21"/>
          <w:szCs w:val="21"/>
        </w:rPr>
      </w:pPr>
    </w:p>
    <w:p w:rsidR="009B14F6" w:rsidRDefault="009B14F6">
      <w:pPr>
        <w:spacing w:after="120" w:line="280" w:lineRule="exact"/>
        <w:rPr>
          <w:rFonts w:ascii="Franklin Gothic Book" w:hAnsi="Franklin Gothic Book"/>
          <w:sz w:val="21"/>
          <w:szCs w:val="21"/>
        </w:rPr>
      </w:pPr>
    </w:p>
    <w:p w:rsidR="009B14F6" w:rsidRDefault="009B14F6">
      <w:pPr>
        <w:spacing w:after="120" w:line="280" w:lineRule="exact"/>
        <w:rPr>
          <w:rFonts w:ascii="Franklin Gothic Book" w:hAnsi="Franklin Gothic Book"/>
          <w:sz w:val="21"/>
          <w:szCs w:val="21"/>
        </w:rPr>
      </w:pPr>
    </w:p>
    <w:p w:rsidR="009B14F6" w:rsidRPr="00F85A6C" w:rsidRDefault="009B14F6">
      <w:pPr>
        <w:spacing w:after="120" w:line="280" w:lineRule="exact"/>
        <w:rPr>
          <w:rFonts w:ascii="Franklin Gothic Book" w:hAnsi="Franklin Gothic Book"/>
          <w:sz w:val="21"/>
          <w:szCs w:val="21"/>
        </w:rPr>
      </w:pPr>
    </w:p>
    <w:p w:rsidR="00D5563D" w:rsidRDefault="00C6626C" w:rsidP="00B6769E">
      <w:pPr>
        <w:pStyle w:val="Heading2"/>
        <w:spacing w:before="0" w:after="0"/>
      </w:pPr>
      <w:r w:rsidRPr="002A51CA">
        <w:lastRenderedPageBreak/>
        <w:t>Expenditure</w:t>
      </w:r>
      <w:r w:rsidR="000E5909">
        <w:tab/>
      </w:r>
      <w:r w:rsidR="000E5909">
        <w:tab/>
      </w:r>
      <w:r w:rsidR="000E5909">
        <w:tab/>
      </w:r>
      <w:r w:rsidR="000E5909">
        <w:tab/>
      </w:r>
      <w:r w:rsidR="000E5909">
        <w:tab/>
      </w:r>
      <w:r w:rsidR="000E5909">
        <w:tab/>
      </w:r>
    </w:p>
    <w:p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484E31">
        <w:rPr>
          <w:b/>
          <w:noProof/>
          <w:sz w:val="24"/>
        </w:rPr>
        <w:t>1</w:t>
      </w:r>
      <w:r w:rsidRPr="008C2F58">
        <w:rPr>
          <w:b/>
          <w:noProof/>
          <w:sz w:val="24"/>
        </w:rPr>
        <w:fldChar w:fldCharType="end"/>
      </w:r>
      <w:r w:rsidR="00F55D64">
        <w:rPr>
          <w:b/>
          <w:sz w:val="24"/>
        </w:rPr>
        <w:t xml:space="preserve"> Total </w:t>
      </w:r>
      <w:r w:rsidR="00075606">
        <w:rPr>
          <w:b/>
          <w:sz w:val="24"/>
        </w:rPr>
        <w:t xml:space="preserve">Official Development Assistance (ODA) </w:t>
      </w:r>
      <w:r w:rsidR="00F55D64">
        <w:rPr>
          <w:b/>
          <w:sz w:val="24"/>
        </w:rPr>
        <w:t>estimated e</w:t>
      </w:r>
      <w:r w:rsidRPr="008C2F58">
        <w:rPr>
          <w:b/>
          <w:sz w:val="24"/>
        </w:rPr>
        <w:t>xpenditure in FY 2015-16</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Caption w:val="Total ODA estimated expenditure in FY2015-16"/>
        <w:tblDescription w:val="A summary of bilateral, regional and global, and other government department ODA expenditure in 2015-16."/>
      </w:tblPr>
      <w:tblGrid>
        <w:gridCol w:w="6204"/>
        <w:gridCol w:w="992"/>
        <w:gridCol w:w="1525"/>
      </w:tblGrid>
      <w:tr w:rsidR="002A51CA" w:rsidRPr="003B0793" w:rsidTr="00D15A00">
        <w:tc>
          <w:tcPr>
            <w:tcW w:w="6204" w:type="dxa"/>
          </w:tcPr>
          <w:p w:rsidR="002A51CA" w:rsidRPr="0029295C" w:rsidRDefault="002A51CA" w:rsidP="0029295C">
            <w:pPr>
              <w:pStyle w:val="Heading5"/>
              <w:outlineLvl w:val="4"/>
              <w:rPr>
                <w:rFonts w:asciiTheme="minorHAnsi" w:eastAsia="Times New Roman" w:hAnsiTheme="minorHAnsi"/>
                <w:sz w:val="17"/>
                <w:szCs w:val="17"/>
              </w:rPr>
            </w:pPr>
            <w:r w:rsidRPr="0029295C">
              <w:rPr>
                <w:rFonts w:asciiTheme="minorHAnsi" w:eastAsia="Times New Roman" w:hAnsiTheme="minorHAnsi"/>
                <w:sz w:val="17"/>
                <w:szCs w:val="17"/>
              </w:rPr>
              <w:t>Objective</w:t>
            </w:r>
          </w:p>
        </w:tc>
        <w:tc>
          <w:tcPr>
            <w:tcW w:w="992" w:type="dxa"/>
          </w:tcPr>
          <w:p w:rsidR="0029295C" w:rsidRPr="0029295C" w:rsidRDefault="0029295C" w:rsidP="0029295C">
            <w:pPr>
              <w:pStyle w:val="Heading5"/>
              <w:outlineLvl w:val="4"/>
              <w:rPr>
                <w:rFonts w:asciiTheme="minorHAnsi" w:eastAsia="Times New Roman" w:hAnsiTheme="minorHAnsi"/>
                <w:sz w:val="17"/>
                <w:szCs w:val="17"/>
              </w:rPr>
            </w:pPr>
          </w:p>
          <w:p w:rsidR="002A51CA" w:rsidRPr="0029295C" w:rsidRDefault="002A51CA" w:rsidP="0029295C">
            <w:pPr>
              <w:pStyle w:val="Heading5"/>
              <w:outlineLvl w:val="4"/>
              <w:rPr>
                <w:rFonts w:asciiTheme="minorHAnsi" w:eastAsia="Times New Roman" w:hAnsiTheme="minorHAnsi"/>
                <w:sz w:val="17"/>
                <w:szCs w:val="17"/>
              </w:rPr>
            </w:pPr>
            <w:r w:rsidRPr="0029295C">
              <w:rPr>
                <w:rFonts w:asciiTheme="minorHAnsi" w:eastAsia="Times New Roman" w:hAnsiTheme="minorHAnsi"/>
                <w:sz w:val="17"/>
                <w:szCs w:val="17"/>
              </w:rPr>
              <w:t>A$ million</w:t>
            </w:r>
          </w:p>
        </w:tc>
        <w:tc>
          <w:tcPr>
            <w:tcW w:w="1525" w:type="dxa"/>
          </w:tcPr>
          <w:p w:rsidR="0029295C" w:rsidRPr="0029295C" w:rsidRDefault="0029295C" w:rsidP="0029295C">
            <w:pPr>
              <w:pStyle w:val="Heading5"/>
              <w:outlineLvl w:val="4"/>
              <w:rPr>
                <w:rFonts w:asciiTheme="minorHAnsi" w:eastAsia="Times New Roman" w:hAnsiTheme="minorHAnsi"/>
                <w:sz w:val="17"/>
                <w:szCs w:val="17"/>
              </w:rPr>
            </w:pPr>
          </w:p>
          <w:p w:rsidR="002A51CA" w:rsidRPr="0029295C" w:rsidRDefault="002A51CA" w:rsidP="0029295C">
            <w:pPr>
              <w:pStyle w:val="Heading5"/>
              <w:outlineLvl w:val="4"/>
              <w:rPr>
                <w:rFonts w:asciiTheme="minorHAnsi" w:eastAsia="Times New Roman" w:hAnsiTheme="minorHAnsi"/>
                <w:sz w:val="17"/>
                <w:szCs w:val="17"/>
              </w:rPr>
            </w:pPr>
            <w:r w:rsidRPr="0029295C">
              <w:rPr>
                <w:rFonts w:asciiTheme="minorHAnsi" w:eastAsia="Times New Roman" w:hAnsiTheme="minorHAnsi"/>
                <w:sz w:val="17"/>
                <w:szCs w:val="17"/>
              </w:rPr>
              <w:t>% of total ODA</w:t>
            </w:r>
          </w:p>
        </w:tc>
      </w:tr>
      <w:tr w:rsidR="002A51CA" w:rsidRPr="003B0793" w:rsidTr="00D15A00">
        <w:tc>
          <w:tcPr>
            <w:tcW w:w="6204" w:type="dxa"/>
          </w:tcPr>
          <w:p w:rsidR="002A51CA" w:rsidRPr="003B0793" w:rsidRDefault="002A51CA" w:rsidP="00D15A00">
            <w:pPr>
              <w:keepNext/>
              <w:spacing w:after="160" w:line="280" w:lineRule="exact"/>
              <w:rPr>
                <w:rFonts w:eastAsia="Times New Roman"/>
                <w:b/>
                <w:i/>
                <w:sz w:val="17"/>
                <w:szCs w:val="17"/>
              </w:rPr>
            </w:pPr>
            <w:r w:rsidRPr="003B0793">
              <w:rPr>
                <w:rFonts w:eastAsia="Times New Roman"/>
                <w:b/>
                <w:i/>
                <w:sz w:val="17"/>
                <w:szCs w:val="17"/>
              </w:rPr>
              <w:t xml:space="preserve">Bilateral </w:t>
            </w:r>
          </w:p>
        </w:tc>
        <w:tc>
          <w:tcPr>
            <w:tcW w:w="992" w:type="dxa"/>
          </w:tcPr>
          <w:p w:rsidR="002A51CA" w:rsidRPr="003B0793" w:rsidRDefault="002A51CA" w:rsidP="00D15A00">
            <w:pPr>
              <w:keepNext/>
              <w:spacing w:after="160" w:line="280" w:lineRule="exact"/>
              <w:rPr>
                <w:rFonts w:eastAsia="Times New Roman"/>
                <w:b/>
                <w:sz w:val="17"/>
                <w:szCs w:val="17"/>
              </w:rPr>
            </w:pPr>
          </w:p>
        </w:tc>
        <w:tc>
          <w:tcPr>
            <w:tcW w:w="1525" w:type="dxa"/>
          </w:tcPr>
          <w:p w:rsidR="002A51CA" w:rsidRPr="003B0793" w:rsidRDefault="002A51CA" w:rsidP="00D15A00">
            <w:pPr>
              <w:keepNext/>
              <w:spacing w:after="160" w:line="280" w:lineRule="exact"/>
              <w:rPr>
                <w:rFonts w:eastAsia="Times New Roman"/>
                <w:b/>
                <w:sz w:val="17"/>
                <w:szCs w:val="17"/>
              </w:rPr>
            </w:pPr>
          </w:p>
        </w:tc>
      </w:tr>
      <w:tr w:rsidR="002A51CA" w:rsidRPr="003B0793" w:rsidTr="00D15A00">
        <w:tc>
          <w:tcPr>
            <w:tcW w:w="6204" w:type="dxa"/>
          </w:tcPr>
          <w:p w:rsidR="002A51CA" w:rsidRPr="003B0793" w:rsidRDefault="00D5563D" w:rsidP="00D15A00">
            <w:pPr>
              <w:keepNext/>
              <w:spacing w:before="40" w:after="40" w:line="280" w:lineRule="exact"/>
              <w:rPr>
                <w:rFonts w:eastAsia="Times New Roman"/>
                <w:sz w:val="17"/>
                <w:szCs w:val="17"/>
              </w:rPr>
            </w:pPr>
            <w:r>
              <w:rPr>
                <w:rFonts w:eastAsia="Times New Roman"/>
                <w:sz w:val="17"/>
                <w:szCs w:val="17"/>
              </w:rPr>
              <w:t>Outcome</w:t>
            </w:r>
            <w:r w:rsidR="002A51CA" w:rsidRPr="003B0793">
              <w:rPr>
                <w:rFonts w:eastAsia="Times New Roman"/>
                <w:sz w:val="17"/>
                <w:szCs w:val="17"/>
              </w:rPr>
              <w:t xml:space="preserve"> 1</w:t>
            </w:r>
            <w:r>
              <w:rPr>
                <w:rFonts w:eastAsia="Times New Roman"/>
                <w:sz w:val="17"/>
                <w:szCs w:val="17"/>
              </w:rPr>
              <w:t xml:space="preserve"> - Health</w:t>
            </w:r>
          </w:p>
        </w:tc>
        <w:tc>
          <w:tcPr>
            <w:tcW w:w="992" w:type="dxa"/>
          </w:tcPr>
          <w:p w:rsidR="002A51CA" w:rsidRPr="003B0793" w:rsidRDefault="00041BD9" w:rsidP="00D15A00">
            <w:pPr>
              <w:keepNext/>
              <w:spacing w:before="40" w:after="40" w:line="280" w:lineRule="exact"/>
              <w:rPr>
                <w:rFonts w:eastAsia="Times New Roman"/>
                <w:sz w:val="17"/>
                <w:szCs w:val="17"/>
              </w:rPr>
            </w:pPr>
            <w:r>
              <w:rPr>
                <w:rFonts w:eastAsia="Times New Roman"/>
                <w:sz w:val="17"/>
                <w:szCs w:val="17"/>
              </w:rPr>
              <w:t>87</w:t>
            </w:r>
          </w:p>
        </w:tc>
        <w:tc>
          <w:tcPr>
            <w:tcW w:w="1525" w:type="dxa"/>
          </w:tcPr>
          <w:p w:rsidR="002A51CA" w:rsidRPr="003B0793" w:rsidRDefault="00041BD9" w:rsidP="00D15A00">
            <w:pPr>
              <w:keepNext/>
              <w:spacing w:before="40" w:after="40" w:line="280" w:lineRule="exact"/>
              <w:rPr>
                <w:rFonts w:eastAsia="Times New Roman"/>
                <w:sz w:val="17"/>
                <w:szCs w:val="17"/>
              </w:rPr>
            </w:pPr>
            <w:r>
              <w:rPr>
                <w:rFonts w:eastAsia="Times New Roman"/>
                <w:sz w:val="17"/>
                <w:szCs w:val="17"/>
              </w:rPr>
              <w:t>16</w:t>
            </w:r>
          </w:p>
        </w:tc>
      </w:tr>
      <w:tr w:rsidR="002A51CA" w:rsidRPr="003B0793" w:rsidTr="00D15A00">
        <w:tc>
          <w:tcPr>
            <w:tcW w:w="6204" w:type="dxa"/>
          </w:tcPr>
          <w:p w:rsidR="002A51CA" w:rsidRPr="003B0793" w:rsidRDefault="00D5563D" w:rsidP="00D15A00">
            <w:pPr>
              <w:keepNext/>
              <w:spacing w:before="40" w:after="40" w:line="280" w:lineRule="exact"/>
              <w:rPr>
                <w:rFonts w:eastAsia="Times New Roman"/>
                <w:sz w:val="17"/>
                <w:szCs w:val="17"/>
              </w:rPr>
            </w:pPr>
            <w:r>
              <w:rPr>
                <w:rFonts w:eastAsia="Times New Roman"/>
                <w:sz w:val="17"/>
                <w:szCs w:val="17"/>
              </w:rPr>
              <w:t>Outcome</w:t>
            </w:r>
            <w:r w:rsidR="002A51CA" w:rsidRPr="003B0793">
              <w:rPr>
                <w:rFonts w:eastAsia="Times New Roman"/>
                <w:sz w:val="17"/>
                <w:szCs w:val="17"/>
              </w:rPr>
              <w:t xml:space="preserve"> 2</w:t>
            </w:r>
            <w:r>
              <w:rPr>
                <w:rFonts w:eastAsia="Times New Roman"/>
                <w:sz w:val="17"/>
                <w:szCs w:val="17"/>
              </w:rPr>
              <w:t xml:space="preserve"> - Education</w:t>
            </w:r>
          </w:p>
        </w:tc>
        <w:tc>
          <w:tcPr>
            <w:tcW w:w="992" w:type="dxa"/>
          </w:tcPr>
          <w:p w:rsidR="002A51CA" w:rsidRPr="003B0793" w:rsidRDefault="00041BD9" w:rsidP="00D15A00">
            <w:pPr>
              <w:keepNext/>
              <w:spacing w:before="40" w:after="40" w:line="280" w:lineRule="exact"/>
              <w:rPr>
                <w:rFonts w:eastAsia="Times New Roman"/>
                <w:sz w:val="17"/>
                <w:szCs w:val="17"/>
              </w:rPr>
            </w:pPr>
            <w:r>
              <w:rPr>
                <w:rFonts w:eastAsia="Times New Roman"/>
                <w:sz w:val="17"/>
                <w:szCs w:val="17"/>
              </w:rPr>
              <w:t>65</w:t>
            </w:r>
          </w:p>
        </w:tc>
        <w:tc>
          <w:tcPr>
            <w:tcW w:w="1525" w:type="dxa"/>
          </w:tcPr>
          <w:p w:rsidR="002A51CA" w:rsidRPr="003B0793" w:rsidRDefault="00041BD9" w:rsidP="00D15A00">
            <w:pPr>
              <w:keepNext/>
              <w:spacing w:before="40" w:after="40" w:line="280" w:lineRule="exact"/>
              <w:rPr>
                <w:rFonts w:eastAsia="Times New Roman"/>
                <w:sz w:val="17"/>
                <w:szCs w:val="17"/>
              </w:rPr>
            </w:pPr>
            <w:r>
              <w:rPr>
                <w:rFonts w:eastAsia="Times New Roman"/>
                <w:sz w:val="17"/>
                <w:szCs w:val="17"/>
              </w:rPr>
              <w:t>12</w:t>
            </w:r>
          </w:p>
        </w:tc>
      </w:tr>
      <w:tr w:rsidR="002A51CA" w:rsidRPr="003B0793" w:rsidTr="00D15A00">
        <w:tc>
          <w:tcPr>
            <w:tcW w:w="6204" w:type="dxa"/>
          </w:tcPr>
          <w:p w:rsidR="002A51CA" w:rsidRPr="003B0793" w:rsidRDefault="00D5563D" w:rsidP="00D15A00">
            <w:pPr>
              <w:keepNext/>
              <w:spacing w:before="40" w:after="40" w:line="280" w:lineRule="exact"/>
              <w:rPr>
                <w:rFonts w:eastAsia="Times New Roman"/>
                <w:sz w:val="17"/>
                <w:szCs w:val="17"/>
              </w:rPr>
            </w:pPr>
            <w:r>
              <w:rPr>
                <w:rFonts w:eastAsia="Times New Roman"/>
                <w:sz w:val="17"/>
                <w:szCs w:val="17"/>
              </w:rPr>
              <w:t>Outcome</w:t>
            </w:r>
            <w:r w:rsidR="002A51CA" w:rsidRPr="003B0793">
              <w:rPr>
                <w:rFonts w:eastAsia="Times New Roman"/>
                <w:sz w:val="17"/>
                <w:szCs w:val="17"/>
              </w:rPr>
              <w:t xml:space="preserve"> 3</w:t>
            </w:r>
            <w:r>
              <w:rPr>
                <w:rFonts w:eastAsia="Times New Roman"/>
                <w:sz w:val="17"/>
                <w:szCs w:val="17"/>
              </w:rPr>
              <w:t xml:space="preserve"> – Improved law and justice services</w:t>
            </w:r>
          </w:p>
        </w:tc>
        <w:tc>
          <w:tcPr>
            <w:tcW w:w="992" w:type="dxa"/>
          </w:tcPr>
          <w:p w:rsidR="002A51CA" w:rsidRPr="003B0793" w:rsidRDefault="00041BD9" w:rsidP="00D15A00">
            <w:pPr>
              <w:keepNext/>
              <w:spacing w:before="40" w:after="40" w:line="280" w:lineRule="exact"/>
              <w:rPr>
                <w:rFonts w:eastAsia="Times New Roman"/>
                <w:sz w:val="17"/>
                <w:szCs w:val="17"/>
              </w:rPr>
            </w:pPr>
            <w:r>
              <w:rPr>
                <w:rFonts w:eastAsia="Times New Roman"/>
                <w:sz w:val="17"/>
                <w:szCs w:val="17"/>
              </w:rPr>
              <w:t>25</w:t>
            </w:r>
          </w:p>
        </w:tc>
        <w:tc>
          <w:tcPr>
            <w:tcW w:w="1525" w:type="dxa"/>
          </w:tcPr>
          <w:p w:rsidR="002A51CA" w:rsidRPr="003B0793" w:rsidRDefault="00041BD9" w:rsidP="00D15A00">
            <w:pPr>
              <w:keepNext/>
              <w:spacing w:before="40" w:after="40" w:line="280" w:lineRule="exact"/>
              <w:rPr>
                <w:rFonts w:eastAsia="Times New Roman"/>
                <w:sz w:val="17"/>
                <w:szCs w:val="17"/>
              </w:rPr>
            </w:pPr>
            <w:r>
              <w:rPr>
                <w:rFonts w:eastAsia="Times New Roman"/>
                <w:sz w:val="17"/>
                <w:szCs w:val="17"/>
              </w:rPr>
              <w:t>4</w:t>
            </w:r>
          </w:p>
        </w:tc>
      </w:tr>
      <w:tr w:rsidR="00D5563D" w:rsidRPr="003B0793" w:rsidTr="00D15A00">
        <w:tc>
          <w:tcPr>
            <w:tcW w:w="6204" w:type="dxa"/>
          </w:tcPr>
          <w:p w:rsidR="00D5563D" w:rsidRDefault="00D5563D" w:rsidP="00D15A00">
            <w:pPr>
              <w:keepNext/>
              <w:spacing w:before="40" w:after="40" w:line="280" w:lineRule="exact"/>
              <w:rPr>
                <w:rFonts w:eastAsia="Times New Roman"/>
                <w:sz w:val="17"/>
                <w:szCs w:val="17"/>
              </w:rPr>
            </w:pPr>
            <w:r>
              <w:rPr>
                <w:rFonts w:eastAsia="Times New Roman"/>
                <w:sz w:val="17"/>
                <w:szCs w:val="17"/>
              </w:rPr>
              <w:t>Outcome 4 – Transport</w:t>
            </w:r>
          </w:p>
        </w:tc>
        <w:tc>
          <w:tcPr>
            <w:tcW w:w="992" w:type="dxa"/>
          </w:tcPr>
          <w:p w:rsidR="00D5563D" w:rsidRPr="003B0793" w:rsidRDefault="00041BD9" w:rsidP="00D15A00">
            <w:pPr>
              <w:keepNext/>
              <w:spacing w:before="40" w:after="40" w:line="280" w:lineRule="exact"/>
              <w:rPr>
                <w:rFonts w:eastAsia="Times New Roman"/>
                <w:sz w:val="17"/>
                <w:szCs w:val="17"/>
              </w:rPr>
            </w:pPr>
            <w:r>
              <w:rPr>
                <w:rFonts w:eastAsia="Times New Roman"/>
                <w:sz w:val="17"/>
                <w:szCs w:val="17"/>
              </w:rPr>
              <w:t>70</w:t>
            </w:r>
          </w:p>
        </w:tc>
        <w:tc>
          <w:tcPr>
            <w:tcW w:w="1525" w:type="dxa"/>
          </w:tcPr>
          <w:p w:rsidR="00D5563D" w:rsidRPr="003B0793" w:rsidRDefault="00041BD9" w:rsidP="00D15A00">
            <w:pPr>
              <w:keepNext/>
              <w:spacing w:before="40" w:after="40" w:line="280" w:lineRule="exact"/>
              <w:rPr>
                <w:rFonts w:eastAsia="Times New Roman"/>
                <w:sz w:val="17"/>
                <w:szCs w:val="17"/>
              </w:rPr>
            </w:pPr>
            <w:r>
              <w:rPr>
                <w:rFonts w:eastAsia="Times New Roman"/>
                <w:sz w:val="17"/>
                <w:szCs w:val="17"/>
              </w:rPr>
              <w:t>13</w:t>
            </w:r>
          </w:p>
        </w:tc>
      </w:tr>
      <w:tr w:rsidR="00D5563D" w:rsidRPr="003B0793" w:rsidTr="00D15A00">
        <w:tc>
          <w:tcPr>
            <w:tcW w:w="6204" w:type="dxa"/>
          </w:tcPr>
          <w:p w:rsidR="00D5563D" w:rsidRDefault="00D5563D" w:rsidP="00D15A00">
            <w:pPr>
              <w:keepNext/>
              <w:spacing w:before="40" w:after="40" w:line="280" w:lineRule="exact"/>
              <w:rPr>
                <w:rFonts w:eastAsia="Times New Roman"/>
                <w:sz w:val="17"/>
                <w:szCs w:val="17"/>
              </w:rPr>
            </w:pPr>
            <w:r>
              <w:rPr>
                <w:rFonts w:eastAsia="Times New Roman"/>
                <w:sz w:val="17"/>
                <w:szCs w:val="17"/>
              </w:rPr>
              <w:t>Outcome 5 - Governance</w:t>
            </w:r>
          </w:p>
        </w:tc>
        <w:tc>
          <w:tcPr>
            <w:tcW w:w="992" w:type="dxa"/>
          </w:tcPr>
          <w:p w:rsidR="00D5563D" w:rsidRPr="003B0793" w:rsidRDefault="00041BD9" w:rsidP="00D15A00">
            <w:pPr>
              <w:keepNext/>
              <w:spacing w:before="40" w:after="40" w:line="280" w:lineRule="exact"/>
              <w:rPr>
                <w:rFonts w:eastAsia="Times New Roman"/>
                <w:sz w:val="17"/>
                <w:szCs w:val="17"/>
              </w:rPr>
            </w:pPr>
            <w:r>
              <w:rPr>
                <w:rFonts w:eastAsia="Times New Roman"/>
                <w:sz w:val="17"/>
                <w:szCs w:val="17"/>
              </w:rPr>
              <w:t>82</w:t>
            </w:r>
          </w:p>
        </w:tc>
        <w:tc>
          <w:tcPr>
            <w:tcW w:w="1525" w:type="dxa"/>
          </w:tcPr>
          <w:p w:rsidR="00D5563D" w:rsidRPr="003B0793" w:rsidRDefault="00041BD9" w:rsidP="00D15A00">
            <w:pPr>
              <w:keepNext/>
              <w:spacing w:before="40" w:after="40" w:line="280" w:lineRule="exact"/>
              <w:rPr>
                <w:rFonts w:eastAsia="Times New Roman"/>
                <w:sz w:val="17"/>
                <w:szCs w:val="17"/>
              </w:rPr>
            </w:pPr>
            <w:r>
              <w:rPr>
                <w:rFonts w:eastAsia="Times New Roman"/>
                <w:sz w:val="17"/>
                <w:szCs w:val="17"/>
              </w:rPr>
              <w:t>15</w:t>
            </w:r>
          </w:p>
        </w:tc>
      </w:tr>
      <w:tr w:rsidR="00210F5C" w:rsidRPr="003B0793" w:rsidTr="00D15A00">
        <w:tc>
          <w:tcPr>
            <w:tcW w:w="6204" w:type="dxa"/>
          </w:tcPr>
          <w:p w:rsidR="00210F5C" w:rsidRDefault="00210F5C" w:rsidP="00D15A00">
            <w:pPr>
              <w:keepNext/>
              <w:spacing w:before="40" w:after="40" w:line="280" w:lineRule="exact"/>
              <w:rPr>
                <w:rFonts w:eastAsia="Times New Roman"/>
                <w:sz w:val="17"/>
                <w:szCs w:val="17"/>
              </w:rPr>
            </w:pPr>
            <w:r>
              <w:rPr>
                <w:rFonts w:eastAsia="Times New Roman"/>
                <w:sz w:val="17"/>
                <w:szCs w:val="17"/>
              </w:rPr>
              <w:t>Other (</w:t>
            </w:r>
            <w:r w:rsidR="00041BD9">
              <w:rPr>
                <w:rFonts w:eastAsia="Times New Roman"/>
                <w:sz w:val="17"/>
                <w:szCs w:val="17"/>
              </w:rPr>
              <w:t>including g</w:t>
            </w:r>
            <w:r>
              <w:rPr>
                <w:rFonts w:eastAsia="Times New Roman"/>
                <w:sz w:val="17"/>
                <w:szCs w:val="17"/>
              </w:rPr>
              <w:t>ender, humanitarian, program support, private sector, Incentive Fund, Joint Understanding and Bougainville)</w:t>
            </w:r>
          </w:p>
        </w:tc>
        <w:tc>
          <w:tcPr>
            <w:tcW w:w="992" w:type="dxa"/>
          </w:tcPr>
          <w:p w:rsidR="00210F5C" w:rsidRPr="003B0793" w:rsidRDefault="00041BD9" w:rsidP="00D15A00">
            <w:pPr>
              <w:keepNext/>
              <w:spacing w:before="40" w:after="40" w:line="280" w:lineRule="exact"/>
              <w:rPr>
                <w:rFonts w:eastAsia="Times New Roman"/>
                <w:sz w:val="17"/>
                <w:szCs w:val="17"/>
              </w:rPr>
            </w:pPr>
            <w:r>
              <w:rPr>
                <w:rFonts w:eastAsia="Times New Roman"/>
                <w:sz w:val="17"/>
                <w:szCs w:val="17"/>
              </w:rPr>
              <w:t>133</w:t>
            </w:r>
          </w:p>
        </w:tc>
        <w:tc>
          <w:tcPr>
            <w:tcW w:w="1525" w:type="dxa"/>
          </w:tcPr>
          <w:p w:rsidR="00210F5C" w:rsidRPr="003B0793" w:rsidRDefault="00041BD9" w:rsidP="00D15A00">
            <w:pPr>
              <w:keepNext/>
              <w:spacing w:before="40" w:after="40" w:line="280" w:lineRule="exact"/>
              <w:rPr>
                <w:rFonts w:eastAsia="Times New Roman"/>
                <w:sz w:val="17"/>
                <w:szCs w:val="17"/>
              </w:rPr>
            </w:pPr>
            <w:r>
              <w:rPr>
                <w:rFonts w:eastAsia="Times New Roman"/>
                <w:sz w:val="17"/>
                <w:szCs w:val="17"/>
              </w:rPr>
              <w:t>24</w:t>
            </w:r>
          </w:p>
        </w:tc>
      </w:tr>
      <w:tr w:rsidR="002A51CA" w:rsidRPr="003B0793" w:rsidTr="00D15A00">
        <w:tc>
          <w:tcPr>
            <w:tcW w:w="6204" w:type="dxa"/>
          </w:tcPr>
          <w:p w:rsidR="002A51CA" w:rsidRPr="003B0793" w:rsidRDefault="002A51CA" w:rsidP="00D15A00">
            <w:pPr>
              <w:keepNext/>
              <w:spacing w:after="160" w:line="280" w:lineRule="exact"/>
              <w:rPr>
                <w:rFonts w:eastAsia="Times New Roman"/>
                <w:b/>
                <w:sz w:val="17"/>
                <w:szCs w:val="17"/>
              </w:rPr>
            </w:pPr>
            <w:r w:rsidRPr="003B0793">
              <w:rPr>
                <w:rFonts w:eastAsia="Times New Roman"/>
                <w:b/>
                <w:sz w:val="17"/>
                <w:szCs w:val="17"/>
              </w:rPr>
              <w:t>Sub-Total Bilateral</w:t>
            </w:r>
          </w:p>
        </w:tc>
        <w:tc>
          <w:tcPr>
            <w:tcW w:w="992" w:type="dxa"/>
          </w:tcPr>
          <w:p w:rsidR="002A51CA" w:rsidRPr="003B0793" w:rsidRDefault="00786BD1" w:rsidP="00D15A00">
            <w:pPr>
              <w:keepNext/>
              <w:spacing w:after="160" w:line="280" w:lineRule="exact"/>
              <w:rPr>
                <w:rFonts w:eastAsia="Times New Roman"/>
                <w:sz w:val="17"/>
                <w:szCs w:val="17"/>
              </w:rPr>
            </w:pPr>
            <w:r>
              <w:rPr>
                <w:rFonts w:eastAsia="Times New Roman"/>
                <w:sz w:val="17"/>
                <w:szCs w:val="17"/>
              </w:rPr>
              <w:t>462</w:t>
            </w:r>
          </w:p>
        </w:tc>
        <w:tc>
          <w:tcPr>
            <w:tcW w:w="1525" w:type="dxa"/>
          </w:tcPr>
          <w:p w:rsidR="002A51CA" w:rsidRPr="003B0793" w:rsidRDefault="00047C83" w:rsidP="00D15A00">
            <w:pPr>
              <w:keepNext/>
              <w:spacing w:after="160" w:line="280" w:lineRule="exact"/>
              <w:rPr>
                <w:rFonts w:eastAsia="Times New Roman"/>
                <w:sz w:val="17"/>
                <w:szCs w:val="17"/>
              </w:rPr>
            </w:pPr>
            <w:r>
              <w:rPr>
                <w:rFonts w:eastAsia="Times New Roman"/>
                <w:sz w:val="17"/>
                <w:szCs w:val="17"/>
              </w:rPr>
              <w:t>84</w:t>
            </w:r>
          </w:p>
        </w:tc>
      </w:tr>
      <w:tr w:rsidR="002A51CA" w:rsidRPr="003B0793" w:rsidTr="00D15A00">
        <w:tc>
          <w:tcPr>
            <w:tcW w:w="6204" w:type="dxa"/>
          </w:tcPr>
          <w:p w:rsidR="002A51CA" w:rsidRPr="003B0793" w:rsidRDefault="00041BD9" w:rsidP="00041BD9">
            <w:pPr>
              <w:keepNext/>
              <w:spacing w:before="40" w:after="40" w:line="280" w:lineRule="exact"/>
              <w:rPr>
                <w:rFonts w:eastAsia="Times New Roman"/>
                <w:sz w:val="17"/>
                <w:szCs w:val="17"/>
              </w:rPr>
            </w:pPr>
            <w:r>
              <w:rPr>
                <w:rFonts w:eastAsia="Times New Roman"/>
                <w:sz w:val="17"/>
                <w:szCs w:val="17"/>
              </w:rPr>
              <w:t>Regional and g</w:t>
            </w:r>
            <w:r w:rsidR="002A51CA" w:rsidRPr="003B0793">
              <w:rPr>
                <w:rFonts w:eastAsia="Times New Roman"/>
                <w:sz w:val="17"/>
                <w:szCs w:val="17"/>
              </w:rPr>
              <w:t>lobal</w:t>
            </w:r>
            <w:r>
              <w:rPr>
                <w:rFonts w:eastAsia="Times New Roman"/>
                <w:sz w:val="17"/>
                <w:szCs w:val="17"/>
              </w:rPr>
              <w:t>; other government d</w:t>
            </w:r>
            <w:r w:rsidR="00786BD1" w:rsidRPr="003B0793">
              <w:rPr>
                <w:rFonts w:eastAsia="Times New Roman"/>
                <w:sz w:val="17"/>
                <w:szCs w:val="17"/>
              </w:rPr>
              <w:t>epartments</w:t>
            </w:r>
          </w:p>
        </w:tc>
        <w:tc>
          <w:tcPr>
            <w:tcW w:w="992" w:type="dxa"/>
          </w:tcPr>
          <w:p w:rsidR="002A51CA" w:rsidRPr="003B0793" w:rsidRDefault="00041BD9" w:rsidP="00D15A00">
            <w:pPr>
              <w:keepNext/>
              <w:spacing w:before="40" w:after="40" w:line="280" w:lineRule="exact"/>
              <w:rPr>
                <w:rFonts w:eastAsia="Times New Roman"/>
                <w:sz w:val="17"/>
                <w:szCs w:val="17"/>
              </w:rPr>
            </w:pPr>
            <w:r>
              <w:rPr>
                <w:rFonts w:eastAsia="Times New Roman"/>
                <w:sz w:val="17"/>
                <w:szCs w:val="17"/>
              </w:rPr>
              <w:t>87.7</w:t>
            </w:r>
          </w:p>
        </w:tc>
        <w:tc>
          <w:tcPr>
            <w:tcW w:w="1525" w:type="dxa"/>
          </w:tcPr>
          <w:p w:rsidR="002A51CA" w:rsidRPr="003B0793" w:rsidRDefault="00041BD9" w:rsidP="00D15A00">
            <w:pPr>
              <w:keepNext/>
              <w:spacing w:before="40" w:after="40" w:line="280" w:lineRule="exact"/>
              <w:rPr>
                <w:rFonts w:eastAsia="Times New Roman"/>
                <w:sz w:val="17"/>
                <w:szCs w:val="17"/>
              </w:rPr>
            </w:pPr>
            <w:r>
              <w:rPr>
                <w:rFonts w:eastAsia="Times New Roman"/>
                <w:sz w:val="17"/>
                <w:szCs w:val="17"/>
              </w:rPr>
              <w:t>16</w:t>
            </w:r>
          </w:p>
        </w:tc>
      </w:tr>
      <w:tr w:rsidR="002A51CA" w:rsidRPr="003B0793" w:rsidTr="00D15A00">
        <w:tc>
          <w:tcPr>
            <w:tcW w:w="6204" w:type="dxa"/>
          </w:tcPr>
          <w:p w:rsidR="002A51CA" w:rsidRPr="003B0793" w:rsidRDefault="00F55D64" w:rsidP="00D15A00">
            <w:pPr>
              <w:keepNext/>
              <w:spacing w:after="160" w:line="280" w:lineRule="exact"/>
              <w:rPr>
                <w:rFonts w:eastAsia="Times New Roman"/>
                <w:b/>
                <w:sz w:val="17"/>
                <w:szCs w:val="17"/>
              </w:rPr>
            </w:pPr>
            <w:r>
              <w:rPr>
                <w:rFonts w:eastAsia="Times New Roman"/>
                <w:b/>
                <w:sz w:val="17"/>
                <w:szCs w:val="17"/>
              </w:rPr>
              <w:t>Total ODA estimated e</w:t>
            </w:r>
            <w:r w:rsidR="002A51CA" w:rsidRPr="003B0793">
              <w:rPr>
                <w:rFonts w:eastAsia="Times New Roman"/>
                <w:b/>
                <w:sz w:val="17"/>
                <w:szCs w:val="17"/>
              </w:rPr>
              <w:t>xpenditure</w:t>
            </w:r>
          </w:p>
        </w:tc>
        <w:tc>
          <w:tcPr>
            <w:tcW w:w="992" w:type="dxa"/>
          </w:tcPr>
          <w:p w:rsidR="002A51CA" w:rsidRPr="003B0793" w:rsidRDefault="00041BD9" w:rsidP="00D15A00">
            <w:pPr>
              <w:keepNext/>
              <w:spacing w:after="160" w:line="280" w:lineRule="exact"/>
              <w:rPr>
                <w:rFonts w:eastAsia="Times New Roman"/>
                <w:sz w:val="17"/>
                <w:szCs w:val="17"/>
              </w:rPr>
            </w:pPr>
            <w:r>
              <w:rPr>
                <w:rFonts w:eastAsia="Times New Roman"/>
                <w:sz w:val="17"/>
                <w:szCs w:val="17"/>
              </w:rPr>
              <w:t>549.7</w:t>
            </w:r>
          </w:p>
        </w:tc>
        <w:tc>
          <w:tcPr>
            <w:tcW w:w="1525" w:type="dxa"/>
          </w:tcPr>
          <w:p w:rsidR="002A51CA" w:rsidRPr="003B0793" w:rsidRDefault="00041BD9" w:rsidP="00D15A00">
            <w:pPr>
              <w:keepNext/>
              <w:spacing w:after="160" w:line="280" w:lineRule="exact"/>
              <w:rPr>
                <w:rFonts w:eastAsia="Times New Roman"/>
                <w:sz w:val="17"/>
                <w:szCs w:val="17"/>
              </w:rPr>
            </w:pPr>
            <w:r>
              <w:rPr>
                <w:rFonts w:eastAsia="Times New Roman"/>
                <w:sz w:val="17"/>
                <w:szCs w:val="17"/>
              </w:rPr>
              <w:t>100</w:t>
            </w:r>
          </w:p>
        </w:tc>
      </w:tr>
    </w:tbl>
    <w:p w:rsidR="00101C75" w:rsidRDefault="00101C75" w:rsidP="00B6769E">
      <w:pPr>
        <w:pStyle w:val="BodyText"/>
      </w:pPr>
    </w:p>
    <w:p w:rsidR="002A51CA" w:rsidRPr="00075606" w:rsidRDefault="002A51CA" w:rsidP="000B62C6">
      <w:pPr>
        <w:pStyle w:val="Heading2"/>
      </w:pPr>
      <w:r w:rsidRPr="00075606">
        <w:t>Progress towards Objectives</w:t>
      </w:r>
      <w:r w:rsidRPr="00075606">
        <w:tab/>
      </w:r>
    </w:p>
    <w:p w:rsidR="00DE7F9D" w:rsidRPr="00B6769E" w:rsidRDefault="00DE7F9D" w:rsidP="003115CA">
      <w:pPr>
        <w:spacing w:after="120" w:line="280" w:lineRule="exact"/>
        <w:rPr>
          <w:szCs w:val="21"/>
        </w:rPr>
      </w:pPr>
      <w:r w:rsidRPr="00B6769E">
        <w:rPr>
          <w:szCs w:val="21"/>
        </w:rPr>
        <w:t>This APPR reports on performance against agreed priority outcomes in the Aid Partnership</w:t>
      </w:r>
      <w:r w:rsidR="001960D1">
        <w:rPr>
          <w:szCs w:val="21"/>
        </w:rPr>
        <w:t xml:space="preserve">. These </w:t>
      </w:r>
      <w:r w:rsidR="00F762E0" w:rsidRPr="00B6769E">
        <w:rPr>
          <w:szCs w:val="21"/>
        </w:rPr>
        <w:t xml:space="preserve">are aligned with the three strategic objectives in the </w:t>
      </w:r>
      <w:r w:rsidR="00363478" w:rsidRPr="00B6769E">
        <w:rPr>
          <w:szCs w:val="21"/>
        </w:rPr>
        <w:t>AIP</w:t>
      </w:r>
      <w:r w:rsidR="009C4A3E" w:rsidRPr="00B6769E">
        <w:rPr>
          <w:szCs w:val="21"/>
        </w:rPr>
        <w:t xml:space="preserve"> as listed below</w:t>
      </w:r>
      <w:r w:rsidR="004241B1" w:rsidRPr="00B6769E">
        <w:rPr>
          <w:szCs w:val="21"/>
        </w:rPr>
        <w:t xml:space="preserve">. It draws on </w:t>
      </w:r>
      <w:r w:rsidRPr="00B6769E">
        <w:rPr>
          <w:szCs w:val="21"/>
        </w:rPr>
        <w:t xml:space="preserve">Aid Quality Check ratings </w:t>
      </w:r>
      <w:r w:rsidR="001960D1">
        <w:rPr>
          <w:szCs w:val="21"/>
        </w:rPr>
        <w:t>in</w:t>
      </w:r>
      <w:r w:rsidR="00612AC8">
        <w:rPr>
          <w:szCs w:val="21"/>
        </w:rPr>
        <w:t xml:space="preserve"> </w:t>
      </w:r>
      <w:r w:rsidRPr="00B6769E">
        <w:rPr>
          <w:szCs w:val="21"/>
        </w:rPr>
        <w:t>2015-16</w:t>
      </w:r>
      <w:r w:rsidR="004241B1" w:rsidRPr="00B6769E">
        <w:rPr>
          <w:szCs w:val="21"/>
        </w:rPr>
        <w:t xml:space="preserve"> to reflect progress against objectives for aid investments.</w:t>
      </w:r>
    </w:p>
    <w:p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484E31">
        <w:rPr>
          <w:b/>
          <w:noProof/>
          <w:sz w:val="24"/>
        </w:rPr>
        <w:t>2</w:t>
      </w:r>
      <w:r w:rsidRPr="008C2F58">
        <w:rPr>
          <w:b/>
          <w:noProof/>
          <w:sz w:val="24"/>
        </w:rPr>
        <w:fldChar w:fldCharType="end"/>
      </w:r>
      <w:r w:rsidR="00F762E0">
        <w:rPr>
          <w:b/>
          <w:sz w:val="24"/>
        </w:rPr>
        <w:t xml:space="preserve"> Rating of the program's progress towards Australia’s aid o</w:t>
      </w:r>
      <w:r w:rsidRPr="008C2F58">
        <w:rPr>
          <w:b/>
          <w:sz w:val="24"/>
        </w:rPr>
        <w:t>bjectives</w:t>
      </w:r>
    </w:p>
    <w:tbl>
      <w:tblPr>
        <w:tblStyle w:val="APPR"/>
        <w:tblW w:w="5000" w:type="pct"/>
        <w:tblLook w:val="0000" w:firstRow="0" w:lastRow="0" w:firstColumn="0" w:lastColumn="0" w:noHBand="0" w:noVBand="0"/>
        <w:tblCaption w:val="Rating of the program's progress towards Australia's aid objectives"/>
        <w:tblDescription w:val="Ratings for partnership program priorities and cross-cutting programs for 2015-16."/>
      </w:tblPr>
      <w:tblGrid>
        <w:gridCol w:w="3531"/>
        <w:gridCol w:w="2997"/>
        <w:gridCol w:w="1442"/>
        <w:gridCol w:w="263"/>
        <w:gridCol w:w="1405"/>
      </w:tblGrid>
      <w:tr w:rsidR="00F762E0" w:rsidRPr="003B0793" w:rsidTr="001D4B7D">
        <w:trPr>
          <w:cnfStyle w:val="000000010000" w:firstRow="0" w:lastRow="0" w:firstColumn="0" w:lastColumn="0" w:oddVBand="0" w:evenVBand="0" w:oddHBand="0" w:evenHBand="1" w:firstRowFirstColumn="0" w:firstRowLastColumn="0" w:lastRowFirstColumn="0" w:lastRowLastColumn="0"/>
          <w:trHeight w:val="651"/>
        </w:trPr>
        <w:tc>
          <w:tcPr>
            <w:tcW w:w="3638" w:type="dxa"/>
          </w:tcPr>
          <w:p w:rsidR="00F762E0" w:rsidRPr="0029295C" w:rsidRDefault="00F762E0" w:rsidP="0029295C">
            <w:pPr>
              <w:pStyle w:val="Heading5"/>
              <w:jc w:val="center"/>
              <w:outlineLvl w:val="4"/>
              <w:rPr>
                <w:rFonts w:asciiTheme="minorHAnsi" w:eastAsia="Times New Roman" w:hAnsiTheme="minorHAnsi"/>
                <w:sz w:val="17"/>
                <w:szCs w:val="17"/>
                <w:lang w:eastAsia="en-US"/>
              </w:rPr>
            </w:pPr>
            <w:r w:rsidRPr="0029295C">
              <w:rPr>
                <w:rFonts w:asciiTheme="minorHAnsi" w:eastAsia="Times New Roman" w:hAnsiTheme="minorHAnsi"/>
                <w:noProof/>
                <w:sz w:val="17"/>
                <w:szCs w:val="17"/>
                <w:lang w:val="en-AU"/>
              </w:rPr>
              <w:drawing>
                <wp:anchor distT="0" distB="0" distL="114300" distR="114300" simplePos="0" relativeHeight="251689984" behindDoc="0" locked="0" layoutInCell="1" allowOverlap="1" wp14:anchorId="3A86B1B8" wp14:editId="5C5CA2C1">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4B7D" w:rsidRPr="0029295C">
              <w:rPr>
                <w:rFonts w:asciiTheme="minorHAnsi" w:eastAsia="Times New Roman" w:hAnsiTheme="minorHAnsi"/>
                <w:sz w:val="17"/>
                <w:szCs w:val="17"/>
                <w:lang w:eastAsia="en-US"/>
              </w:rPr>
              <w:t>Partnership o</w:t>
            </w:r>
            <w:r w:rsidRPr="0029295C">
              <w:rPr>
                <w:rFonts w:asciiTheme="minorHAnsi" w:eastAsia="Times New Roman" w:hAnsiTheme="minorHAnsi"/>
                <w:sz w:val="17"/>
                <w:szCs w:val="17"/>
                <w:lang w:eastAsia="en-US"/>
              </w:rPr>
              <w:t>utcome</w:t>
            </w:r>
          </w:p>
        </w:tc>
        <w:tc>
          <w:tcPr>
            <w:tcW w:w="3091" w:type="dxa"/>
          </w:tcPr>
          <w:p w:rsidR="0029295C" w:rsidRPr="0029295C" w:rsidRDefault="0029295C" w:rsidP="0029295C">
            <w:pPr>
              <w:pStyle w:val="Heading5"/>
              <w:jc w:val="center"/>
              <w:outlineLvl w:val="4"/>
              <w:rPr>
                <w:rFonts w:asciiTheme="minorHAnsi" w:eastAsia="Times New Roman" w:hAnsiTheme="minorHAnsi"/>
                <w:sz w:val="17"/>
                <w:szCs w:val="17"/>
              </w:rPr>
            </w:pPr>
          </w:p>
          <w:p w:rsidR="001D4B7D" w:rsidRPr="0029295C" w:rsidRDefault="001D4B7D" w:rsidP="0029295C">
            <w:pPr>
              <w:pStyle w:val="Heading5"/>
              <w:jc w:val="center"/>
              <w:outlineLvl w:val="4"/>
              <w:rPr>
                <w:rFonts w:asciiTheme="minorHAnsi" w:eastAsia="Times New Roman" w:hAnsiTheme="minorHAnsi"/>
                <w:sz w:val="17"/>
                <w:szCs w:val="17"/>
              </w:rPr>
            </w:pPr>
            <w:r w:rsidRPr="0029295C">
              <w:rPr>
                <w:rFonts w:asciiTheme="minorHAnsi" w:eastAsia="Times New Roman" w:hAnsiTheme="minorHAnsi"/>
                <w:sz w:val="17"/>
                <w:szCs w:val="17"/>
              </w:rPr>
              <w:t>Alignment with</w:t>
            </w:r>
          </w:p>
          <w:p w:rsidR="00F762E0" w:rsidRPr="0029295C" w:rsidRDefault="00F762E0" w:rsidP="0029295C">
            <w:pPr>
              <w:pStyle w:val="Heading5"/>
              <w:jc w:val="center"/>
              <w:outlineLvl w:val="4"/>
              <w:rPr>
                <w:rFonts w:asciiTheme="minorHAnsi" w:eastAsia="Times New Roman" w:hAnsiTheme="minorHAnsi"/>
                <w:sz w:val="17"/>
                <w:szCs w:val="17"/>
              </w:rPr>
            </w:pPr>
            <w:r w:rsidRPr="0029295C">
              <w:rPr>
                <w:rFonts w:asciiTheme="minorHAnsi" w:eastAsia="Times New Roman" w:hAnsiTheme="minorHAnsi"/>
                <w:sz w:val="17"/>
                <w:szCs w:val="17"/>
              </w:rPr>
              <w:t>Aid Investment Plan objective</w:t>
            </w:r>
          </w:p>
        </w:tc>
        <w:tc>
          <w:tcPr>
            <w:tcW w:w="1414" w:type="dxa"/>
          </w:tcPr>
          <w:p w:rsidR="0029295C" w:rsidRPr="0029295C" w:rsidRDefault="0029295C" w:rsidP="0029295C">
            <w:pPr>
              <w:pStyle w:val="Heading5"/>
              <w:jc w:val="center"/>
              <w:outlineLvl w:val="4"/>
              <w:rPr>
                <w:rFonts w:asciiTheme="minorHAnsi" w:eastAsia="Times New Roman" w:hAnsiTheme="minorHAnsi"/>
                <w:sz w:val="17"/>
                <w:szCs w:val="17"/>
                <w:lang w:eastAsia="en-US"/>
              </w:rPr>
            </w:pPr>
          </w:p>
          <w:p w:rsidR="00F762E0" w:rsidRPr="0029295C" w:rsidRDefault="00F762E0" w:rsidP="0029295C">
            <w:pPr>
              <w:pStyle w:val="Heading5"/>
              <w:jc w:val="center"/>
              <w:outlineLvl w:val="4"/>
              <w:rPr>
                <w:rFonts w:asciiTheme="minorHAnsi" w:eastAsia="Times New Roman" w:hAnsiTheme="minorHAnsi"/>
                <w:sz w:val="17"/>
                <w:szCs w:val="17"/>
                <w:lang w:eastAsia="en-US"/>
              </w:rPr>
            </w:pPr>
            <w:r w:rsidRPr="0029295C">
              <w:rPr>
                <w:rFonts w:asciiTheme="minorHAnsi" w:eastAsia="Times New Roman" w:hAnsiTheme="minorHAnsi"/>
                <w:sz w:val="17"/>
                <w:szCs w:val="17"/>
                <w:lang w:eastAsia="en-US"/>
              </w:rPr>
              <w:t xml:space="preserve">Previous </w:t>
            </w:r>
            <w:r w:rsidR="001D4B7D" w:rsidRPr="0029295C">
              <w:rPr>
                <w:rFonts w:asciiTheme="minorHAnsi" w:eastAsia="Times New Roman" w:hAnsiTheme="minorHAnsi"/>
                <w:sz w:val="17"/>
                <w:szCs w:val="17"/>
                <w:lang w:eastAsia="en-US"/>
              </w:rPr>
              <w:t>r</w:t>
            </w:r>
            <w:r w:rsidRPr="0029295C">
              <w:rPr>
                <w:rFonts w:asciiTheme="minorHAnsi" w:eastAsia="Times New Roman" w:hAnsiTheme="minorHAnsi"/>
                <w:sz w:val="17"/>
                <w:szCs w:val="17"/>
                <w:lang w:eastAsia="en-US"/>
              </w:rPr>
              <w:t>ating</w:t>
            </w:r>
          </w:p>
          <w:p w:rsidR="001D4B7D" w:rsidRPr="0029295C" w:rsidRDefault="001D4B7D" w:rsidP="0029295C">
            <w:pPr>
              <w:pStyle w:val="Heading5"/>
              <w:jc w:val="center"/>
              <w:outlineLvl w:val="4"/>
              <w:rPr>
                <w:rFonts w:asciiTheme="minorHAnsi" w:eastAsia="Times New Roman" w:hAnsiTheme="minorHAnsi"/>
                <w:sz w:val="17"/>
                <w:szCs w:val="17"/>
                <w:lang w:eastAsia="en-US"/>
              </w:rPr>
            </w:pPr>
            <w:r w:rsidRPr="0029295C">
              <w:rPr>
                <w:rFonts w:asciiTheme="minorHAnsi" w:eastAsia="Times New Roman" w:hAnsiTheme="minorHAnsi"/>
                <w:sz w:val="17"/>
                <w:szCs w:val="17"/>
                <w:lang w:eastAsia="en-US"/>
              </w:rPr>
              <w:t>(outcome)</w:t>
            </w:r>
          </w:p>
        </w:tc>
        <w:tc>
          <w:tcPr>
            <w:tcW w:w="236" w:type="dxa"/>
          </w:tcPr>
          <w:p w:rsidR="00F762E0" w:rsidRPr="0029295C" w:rsidRDefault="00F762E0" w:rsidP="0029295C">
            <w:pPr>
              <w:pStyle w:val="Heading5"/>
              <w:jc w:val="center"/>
              <w:outlineLvl w:val="4"/>
              <w:rPr>
                <w:rFonts w:asciiTheme="minorHAnsi" w:eastAsia="Times New Roman" w:hAnsiTheme="minorHAnsi"/>
                <w:sz w:val="17"/>
                <w:szCs w:val="17"/>
                <w:lang w:eastAsia="en-US"/>
              </w:rPr>
            </w:pPr>
          </w:p>
        </w:tc>
        <w:tc>
          <w:tcPr>
            <w:tcW w:w="1363" w:type="dxa"/>
          </w:tcPr>
          <w:p w:rsidR="0029295C" w:rsidRPr="0029295C" w:rsidRDefault="0029295C" w:rsidP="0029295C">
            <w:pPr>
              <w:pStyle w:val="Heading5"/>
              <w:jc w:val="center"/>
              <w:outlineLvl w:val="4"/>
              <w:rPr>
                <w:rFonts w:asciiTheme="minorHAnsi" w:eastAsia="Times New Roman" w:hAnsiTheme="minorHAnsi"/>
                <w:sz w:val="17"/>
                <w:szCs w:val="17"/>
                <w:lang w:eastAsia="en-US"/>
              </w:rPr>
            </w:pPr>
          </w:p>
          <w:p w:rsidR="00F762E0" w:rsidRPr="0029295C" w:rsidRDefault="00F762E0" w:rsidP="0029295C">
            <w:pPr>
              <w:pStyle w:val="Heading5"/>
              <w:jc w:val="center"/>
              <w:outlineLvl w:val="4"/>
              <w:rPr>
                <w:rFonts w:asciiTheme="minorHAnsi" w:eastAsia="Times New Roman" w:hAnsiTheme="minorHAnsi"/>
                <w:sz w:val="17"/>
                <w:szCs w:val="17"/>
                <w:lang w:eastAsia="en-US"/>
              </w:rPr>
            </w:pPr>
            <w:r w:rsidRPr="0029295C">
              <w:rPr>
                <w:rFonts w:asciiTheme="minorHAnsi" w:eastAsia="Times New Roman" w:hAnsiTheme="minorHAnsi"/>
                <w:sz w:val="17"/>
                <w:szCs w:val="17"/>
                <w:lang w:eastAsia="en-US"/>
              </w:rPr>
              <w:t>Curr</w:t>
            </w:r>
            <w:r w:rsidR="001D4B7D" w:rsidRPr="0029295C">
              <w:rPr>
                <w:rFonts w:asciiTheme="minorHAnsi" w:eastAsia="Times New Roman" w:hAnsiTheme="minorHAnsi"/>
                <w:sz w:val="17"/>
                <w:szCs w:val="17"/>
                <w:lang w:eastAsia="en-US"/>
              </w:rPr>
              <w:t>ent r</w:t>
            </w:r>
            <w:r w:rsidRPr="0029295C">
              <w:rPr>
                <w:rFonts w:asciiTheme="minorHAnsi" w:eastAsia="Times New Roman" w:hAnsiTheme="minorHAnsi"/>
                <w:sz w:val="17"/>
                <w:szCs w:val="17"/>
                <w:lang w:eastAsia="en-US"/>
              </w:rPr>
              <w:t>ating</w:t>
            </w:r>
          </w:p>
          <w:p w:rsidR="001D4B7D" w:rsidRPr="0029295C" w:rsidRDefault="001D4B7D" w:rsidP="0029295C">
            <w:pPr>
              <w:pStyle w:val="Heading5"/>
              <w:jc w:val="center"/>
              <w:outlineLvl w:val="4"/>
              <w:rPr>
                <w:rFonts w:asciiTheme="minorHAnsi" w:eastAsia="Times New Roman" w:hAnsiTheme="minorHAnsi"/>
                <w:sz w:val="17"/>
                <w:szCs w:val="17"/>
                <w:lang w:eastAsia="en-US"/>
              </w:rPr>
            </w:pPr>
          </w:p>
        </w:tc>
      </w:tr>
      <w:tr w:rsidR="00F762E0" w:rsidRPr="003B0793" w:rsidTr="001D4B7D">
        <w:trPr>
          <w:cnfStyle w:val="000000010000" w:firstRow="0" w:lastRow="0" w:firstColumn="0" w:lastColumn="0" w:oddVBand="0" w:evenVBand="0" w:oddHBand="0" w:evenHBand="1" w:firstRowFirstColumn="0" w:firstRowLastColumn="0" w:lastRowFirstColumn="0" w:lastRowLastColumn="0"/>
        </w:trPr>
        <w:tc>
          <w:tcPr>
            <w:tcW w:w="3638" w:type="dxa"/>
          </w:tcPr>
          <w:p w:rsidR="00F762E0" w:rsidRPr="003B0793" w:rsidRDefault="00F762E0"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Outcome</w:t>
            </w:r>
            <w:r w:rsidRPr="003B0793">
              <w:rPr>
                <w:rFonts w:asciiTheme="minorHAnsi" w:eastAsia="Times New Roman" w:hAnsiTheme="minorHAnsi"/>
                <w:iCs/>
                <w:szCs w:val="17"/>
                <w:lang w:eastAsia="en-US"/>
              </w:rPr>
              <w:t xml:space="preserve"> 1</w:t>
            </w:r>
            <w:r>
              <w:rPr>
                <w:rFonts w:asciiTheme="minorHAnsi" w:eastAsia="Times New Roman" w:hAnsiTheme="minorHAnsi"/>
                <w:iCs/>
                <w:szCs w:val="17"/>
                <w:lang w:eastAsia="en-US"/>
              </w:rPr>
              <w:t xml:space="preserve"> - Health</w:t>
            </w:r>
          </w:p>
        </w:tc>
        <w:tc>
          <w:tcPr>
            <w:tcW w:w="3091" w:type="dxa"/>
            <w:shd w:val="clear" w:color="auto" w:fill="auto"/>
          </w:tcPr>
          <w:p w:rsidR="00F762E0" w:rsidRPr="003E115F" w:rsidRDefault="00F762E0" w:rsidP="00F762E0">
            <w:pPr>
              <w:keepLines/>
              <w:spacing w:before="40" w:after="40" w:line="200" w:lineRule="atLeast"/>
              <w:jc w:val="center"/>
              <w:rPr>
                <w:rFonts w:asciiTheme="minorHAnsi" w:eastAsia="Times New Roman" w:hAnsiTheme="minorHAnsi"/>
                <w:iCs/>
                <w:szCs w:val="17"/>
              </w:rPr>
            </w:pPr>
            <w:r w:rsidRPr="003E115F">
              <w:rPr>
                <w:rFonts w:asciiTheme="minorHAnsi" w:eastAsia="Times New Roman" w:hAnsiTheme="minorHAnsi"/>
                <w:iCs/>
                <w:szCs w:val="17"/>
              </w:rPr>
              <w:t>Enhancing human development</w:t>
            </w:r>
          </w:p>
        </w:tc>
        <w:tc>
          <w:tcPr>
            <w:tcW w:w="1414" w:type="dxa"/>
            <w:shd w:val="clear" w:color="auto" w:fill="E36C0A"/>
            <w:noWrap/>
          </w:tcPr>
          <w:p w:rsidR="00F762E0" w:rsidRPr="003E115F" w:rsidRDefault="00F762E0" w:rsidP="00A63C49">
            <w:pPr>
              <w:keepLines/>
              <w:spacing w:before="40" w:after="40" w:line="200" w:lineRule="atLeast"/>
              <w:jc w:val="center"/>
              <w:rPr>
                <w:rFonts w:asciiTheme="minorHAnsi" w:eastAsia="Times New Roman" w:hAnsiTheme="minorHAnsi"/>
                <w:iCs/>
                <w:szCs w:val="17"/>
                <w:lang w:eastAsia="en-US"/>
              </w:rPr>
            </w:pPr>
            <w:r w:rsidRPr="003E115F">
              <w:rPr>
                <w:rFonts w:asciiTheme="minorHAnsi" w:eastAsia="Times New Roman" w:hAnsiTheme="minorHAnsi"/>
                <w:iCs/>
                <w:szCs w:val="17"/>
                <w:lang w:eastAsia="en-US"/>
              </w:rPr>
              <w:t>Amber</w:t>
            </w:r>
          </w:p>
        </w:tc>
        <w:tc>
          <w:tcPr>
            <w:tcW w:w="236" w:type="dxa"/>
          </w:tcPr>
          <w:p w:rsidR="00F762E0" w:rsidRPr="003E115F" w:rsidRDefault="00F762E0" w:rsidP="00D15A00">
            <w:pPr>
              <w:keepLines/>
              <w:spacing w:before="40" w:after="40" w:line="200" w:lineRule="atLeast"/>
              <w:jc w:val="center"/>
              <w:rPr>
                <w:rFonts w:asciiTheme="minorHAnsi" w:eastAsia="Times New Roman" w:hAnsiTheme="minorHAnsi"/>
                <w:iCs/>
                <w:szCs w:val="17"/>
                <w:lang w:eastAsia="en-US"/>
              </w:rPr>
            </w:pPr>
          </w:p>
        </w:tc>
        <w:tc>
          <w:tcPr>
            <w:tcW w:w="1363" w:type="dxa"/>
            <w:shd w:val="clear" w:color="auto" w:fill="E36C0A"/>
            <w:noWrap/>
          </w:tcPr>
          <w:p w:rsidR="00F762E0" w:rsidRPr="003E115F" w:rsidRDefault="00F762E0" w:rsidP="00D15A00">
            <w:pPr>
              <w:keepLines/>
              <w:spacing w:before="40" w:after="40" w:line="200" w:lineRule="atLeast"/>
              <w:jc w:val="center"/>
              <w:rPr>
                <w:rFonts w:asciiTheme="minorHAnsi" w:eastAsia="Times New Roman" w:hAnsiTheme="minorHAnsi"/>
                <w:iCs/>
                <w:szCs w:val="17"/>
                <w:lang w:eastAsia="en-US"/>
              </w:rPr>
            </w:pPr>
            <w:r w:rsidRPr="003E115F">
              <w:rPr>
                <w:rFonts w:asciiTheme="minorHAnsi" w:eastAsia="Times New Roman" w:hAnsiTheme="minorHAnsi"/>
                <w:iCs/>
                <w:szCs w:val="17"/>
                <w:lang w:eastAsia="en-US"/>
              </w:rPr>
              <w:t>Amber</w:t>
            </w:r>
          </w:p>
        </w:tc>
      </w:tr>
      <w:tr w:rsidR="00F762E0" w:rsidRPr="003B0793" w:rsidTr="00B6769E">
        <w:trPr>
          <w:cnfStyle w:val="000000010000" w:firstRow="0" w:lastRow="0" w:firstColumn="0" w:lastColumn="0" w:oddVBand="0" w:evenVBand="0" w:oddHBand="0" w:evenHBand="1" w:firstRowFirstColumn="0" w:firstRowLastColumn="0" w:lastRowFirstColumn="0" w:lastRowLastColumn="0"/>
        </w:trPr>
        <w:tc>
          <w:tcPr>
            <w:tcW w:w="3638" w:type="dxa"/>
          </w:tcPr>
          <w:p w:rsidR="00F762E0" w:rsidRPr="003B0793" w:rsidRDefault="00F762E0"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Outcome</w:t>
            </w:r>
            <w:r w:rsidRPr="003B0793">
              <w:rPr>
                <w:rFonts w:asciiTheme="minorHAnsi" w:eastAsia="Times New Roman" w:hAnsiTheme="minorHAnsi"/>
                <w:iCs/>
                <w:szCs w:val="17"/>
                <w:lang w:eastAsia="en-US"/>
              </w:rPr>
              <w:t xml:space="preserve"> 2</w:t>
            </w:r>
            <w:r>
              <w:rPr>
                <w:rFonts w:asciiTheme="minorHAnsi" w:eastAsia="Times New Roman" w:hAnsiTheme="minorHAnsi"/>
                <w:iCs/>
                <w:szCs w:val="17"/>
                <w:lang w:eastAsia="en-US"/>
              </w:rPr>
              <w:t xml:space="preserve"> - Education</w:t>
            </w:r>
          </w:p>
        </w:tc>
        <w:tc>
          <w:tcPr>
            <w:tcW w:w="3091" w:type="dxa"/>
            <w:shd w:val="clear" w:color="auto" w:fill="auto"/>
          </w:tcPr>
          <w:p w:rsidR="00F762E0" w:rsidRPr="003E115F" w:rsidRDefault="00F762E0" w:rsidP="00D15A00">
            <w:pPr>
              <w:keepLines/>
              <w:spacing w:before="40" w:after="40" w:line="200" w:lineRule="atLeast"/>
              <w:jc w:val="center"/>
              <w:rPr>
                <w:rFonts w:asciiTheme="minorHAnsi" w:eastAsia="Times New Roman" w:hAnsiTheme="minorHAnsi"/>
                <w:iCs/>
                <w:szCs w:val="17"/>
              </w:rPr>
            </w:pPr>
            <w:r w:rsidRPr="003E115F">
              <w:rPr>
                <w:rFonts w:asciiTheme="minorHAnsi" w:eastAsia="Times New Roman" w:hAnsiTheme="minorHAnsi"/>
                <w:iCs/>
                <w:szCs w:val="17"/>
              </w:rPr>
              <w:t>Enhancing human development</w:t>
            </w:r>
          </w:p>
        </w:tc>
        <w:tc>
          <w:tcPr>
            <w:tcW w:w="1414" w:type="dxa"/>
            <w:shd w:val="clear" w:color="auto" w:fill="E36C0A"/>
            <w:noWrap/>
          </w:tcPr>
          <w:p w:rsidR="00F762E0" w:rsidRPr="003E115F" w:rsidRDefault="00F762E0" w:rsidP="00D15A00">
            <w:pPr>
              <w:keepLines/>
              <w:spacing w:before="40" w:after="40" w:line="200" w:lineRule="atLeast"/>
              <w:jc w:val="center"/>
              <w:rPr>
                <w:rFonts w:asciiTheme="minorHAnsi" w:eastAsia="Times New Roman" w:hAnsiTheme="minorHAnsi"/>
                <w:iCs/>
                <w:szCs w:val="17"/>
                <w:lang w:eastAsia="en-US"/>
              </w:rPr>
            </w:pPr>
            <w:r w:rsidRPr="003E115F">
              <w:rPr>
                <w:rFonts w:asciiTheme="minorHAnsi" w:eastAsia="Times New Roman" w:hAnsiTheme="minorHAnsi"/>
                <w:iCs/>
                <w:szCs w:val="17"/>
                <w:lang w:eastAsia="en-US"/>
              </w:rPr>
              <w:t>Amber</w:t>
            </w:r>
          </w:p>
        </w:tc>
        <w:tc>
          <w:tcPr>
            <w:tcW w:w="236" w:type="dxa"/>
          </w:tcPr>
          <w:p w:rsidR="00F762E0" w:rsidRPr="003E115F" w:rsidRDefault="00F762E0" w:rsidP="00D15A00">
            <w:pPr>
              <w:keepLines/>
              <w:spacing w:before="40" w:after="40" w:line="200" w:lineRule="atLeast"/>
              <w:jc w:val="center"/>
              <w:rPr>
                <w:rFonts w:asciiTheme="minorHAnsi" w:eastAsia="Times New Roman" w:hAnsiTheme="minorHAnsi"/>
                <w:iCs/>
                <w:szCs w:val="17"/>
                <w:lang w:eastAsia="en-US"/>
              </w:rPr>
            </w:pPr>
          </w:p>
        </w:tc>
        <w:tc>
          <w:tcPr>
            <w:tcW w:w="1363" w:type="dxa"/>
            <w:shd w:val="clear" w:color="auto" w:fill="E36C0A"/>
            <w:noWrap/>
          </w:tcPr>
          <w:p w:rsidR="00F762E0" w:rsidRPr="003E115F" w:rsidRDefault="00B169A8"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Amber</w:t>
            </w:r>
          </w:p>
        </w:tc>
      </w:tr>
      <w:tr w:rsidR="00F762E0" w:rsidRPr="003B0793" w:rsidTr="001D4B7D">
        <w:trPr>
          <w:cnfStyle w:val="000000010000" w:firstRow="0" w:lastRow="0" w:firstColumn="0" w:lastColumn="0" w:oddVBand="0" w:evenVBand="0" w:oddHBand="0" w:evenHBand="1" w:firstRowFirstColumn="0" w:firstRowLastColumn="0" w:lastRowFirstColumn="0" w:lastRowLastColumn="0"/>
        </w:trPr>
        <w:tc>
          <w:tcPr>
            <w:tcW w:w="3638" w:type="dxa"/>
          </w:tcPr>
          <w:p w:rsidR="00F762E0" w:rsidRPr="003B0793" w:rsidRDefault="00F762E0"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Outcome</w:t>
            </w:r>
            <w:r w:rsidRPr="003B0793">
              <w:rPr>
                <w:rFonts w:asciiTheme="minorHAnsi" w:eastAsia="Times New Roman" w:hAnsiTheme="minorHAnsi"/>
                <w:iCs/>
                <w:szCs w:val="17"/>
                <w:lang w:eastAsia="en-US"/>
              </w:rPr>
              <w:t xml:space="preserve"> 3</w:t>
            </w:r>
            <w:r>
              <w:rPr>
                <w:rFonts w:asciiTheme="minorHAnsi" w:eastAsia="Times New Roman" w:hAnsiTheme="minorHAnsi"/>
                <w:iCs/>
                <w:szCs w:val="17"/>
                <w:lang w:eastAsia="en-US"/>
              </w:rPr>
              <w:t xml:space="preserve"> – Improved law and justice services</w:t>
            </w:r>
          </w:p>
        </w:tc>
        <w:tc>
          <w:tcPr>
            <w:tcW w:w="3091" w:type="dxa"/>
            <w:shd w:val="clear" w:color="auto" w:fill="auto"/>
          </w:tcPr>
          <w:p w:rsidR="00F762E0" w:rsidRPr="003E115F" w:rsidRDefault="00F762E0" w:rsidP="00A63C49">
            <w:pPr>
              <w:keepLines/>
              <w:spacing w:before="40" w:after="40" w:line="200" w:lineRule="atLeast"/>
              <w:jc w:val="center"/>
              <w:rPr>
                <w:rFonts w:asciiTheme="minorHAnsi" w:eastAsia="Times New Roman" w:hAnsiTheme="minorHAnsi"/>
                <w:iCs/>
                <w:szCs w:val="17"/>
              </w:rPr>
            </w:pPr>
            <w:r w:rsidRPr="003E115F">
              <w:rPr>
                <w:rFonts w:asciiTheme="minorHAnsi" w:eastAsia="Times New Roman" w:hAnsiTheme="minorHAnsi"/>
                <w:iCs/>
                <w:szCs w:val="17"/>
              </w:rPr>
              <w:t>Promoting effective governance</w:t>
            </w:r>
          </w:p>
        </w:tc>
        <w:tc>
          <w:tcPr>
            <w:tcW w:w="1414" w:type="dxa"/>
            <w:shd w:val="clear" w:color="auto" w:fill="E36C0A"/>
            <w:noWrap/>
          </w:tcPr>
          <w:p w:rsidR="00F762E0" w:rsidRPr="003E115F" w:rsidRDefault="00F762E0" w:rsidP="00A63C49">
            <w:pPr>
              <w:keepLines/>
              <w:spacing w:before="40" w:after="40" w:line="200" w:lineRule="atLeast"/>
              <w:jc w:val="center"/>
              <w:rPr>
                <w:rFonts w:asciiTheme="minorHAnsi" w:eastAsia="Times New Roman" w:hAnsiTheme="minorHAnsi"/>
                <w:iCs/>
                <w:szCs w:val="17"/>
                <w:lang w:eastAsia="en-US"/>
              </w:rPr>
            </w:pPr>
            <w:r w:rsidRPr="003E115F">
              <w:rPr>
                <w:rFonts w:asciiTheme="minorHAnsi" w:eastAsia="Times New Roman" w:hAnsiTheme="minorHAnsi"/>
                <w:iCs/>
                <w:szCs w:val="17"/>
                <w:lang w:eastAsia="en-US"/>
              </w:rPr>
              <w:t>Amber</w:t>
            </w:r>
          </w:p>
        </w:tc>
        <w:tc>
          <w:tcPr>
            <w:tcW w:w="236" w:type="dxa"/>
          </w:tcPr>
          <w:p w:rsidR="00F762E0" w:rsidRPr="003E115F" w:rsidRDefault="00F762E0" w:rsidP="00D15A00">
            <w:pPr>
              <w:keepLines/>
              <w:spacing w:before="40" w:after="40" w:line="200" w:lineRule="atLeast"/>
              <w:jc w:val="center"/>
              <w:rPr>
                <w:rFonts w:asciiTheme="minorHAnsi" w:eastAsia="Times New Roman" w:hAnsiTheme="minorHAnsi"/>
                <w:iCs/>
                <w:szCs w:val="17"/>
                <w:lang w:eastAsia="en-US"/>
              </w:rPr>
            </w:pPr>
          </w:p>
        </w:tc>
        <w:tc>
          <w:tcPr>
            <w:tcW w:w="1363" w:type="dxa"/>
            <w:shd w:val="clear" w:color="auto" w:fill="E36C0A"/>
            <w:noWrap/>
          </w:tcPr>
          <w:p w:rsidR="00F762E0" w:rsidRPr="003E115F" w:rsidRDefault="00F762E0" w:rsidP="00D15A00">
            <w:pPr>
              <w:keepLines/>
              <w:spacing w:before="40" w:after="40" w:line="200" w:lineRule="atLeast"/>
              <w:jc w:val="center"/>
              <w:rPr>
                <w:rFonts w:asciiTheme="minorHAnsi" w:eastAsia="Times New Roman" w:hAnsiTheme="minorHAnsi"/>
                <w:iCs/>
                <w:szCs w:val="17"/>
                <w:lang w:eastAsia="en-US"/>
              </w:rPr>
            </w:pPr>
            <w:r w:rsidRPr="003E115F">
              <w:rPr>
                <w:rFonts w:asciiTheme="minorHAnsi" w:eastAsia="Times New Roman" w:hAnsiTheme="minorHAnsi"/>
                <w:iCs/>
                <w:szCs w:val="17"/>
                <w:lang w:eastAsia="en-US"/>
              </w:rPr>
              <w:t>Amber</w:t>
            </w:r>
          </w:p>
        </w:tc>
      </w:tr>
      <w:tr w:rsidR="00F762E0" w:rsidRPr="003B0793" w:rsidTr="001D4B7D">
        <w:trPr>
          <w:cnfStyle w:val="000000010000" w:firstRow="0" w:lastRow="0" w:firstColumn="0" w:lastColumn="0" w:oddVBand="0" w:evenVBand="0" w:oddHBand="0" w:evenHBand="1" w:firstRowFirstColumn="0" w:firstRowLastColumn="0" w:lastRowFirstColumn="0" w:lastRowLastColumn="0"/>
        </w:trPr>
        <w:tc>
          <w:tcPr>
            <w:tcW w:w="3638" w:type="dxa"/>
          </w:tcPr>
          <w:p w:rsidR="00F762E0" w:rsidRPr="003B0793" w:rsidRDefault="00F762E0" w:rsidP="00D15A00">
            <w:pPr>
              <w:keepLines/>
              <w:spacing w:before="40" w:after="40" w:line="200" w:lineRule="atLeast"/>
              <w:rPr>
                <w:rFonts w:eastAsia="Times New Roman"/>
                <w:iCs/>
                <w:szCs w:val="17"/>
              </w:rPr>
            </w:pPr>
            <w:r>
              <w:rPr>
                <w:rFonts w:eastAsia="Times New Roman"/>
                <w:iCs/>
                <w:szCs w:val="17"/>
              </w:rPr>
              <w:t>Outcome 4 - Transport</w:t>
            </w:r>
          </w:p>
        </w:tc>
        <w:tc>
          <w:tcPr>
            <w:tcW w:w="3091" w:type="dxa"/>
            <w:shd w:val="clear" w:color="auto" w:fill="auto"/>
          </w:tcPr>
          <w:p w:rsidR="00F762E0" w:rsidRPr="003E115F" w:rsidRDefault="00F762E0" w:rsidP="00D15A00">
            <w:pPr>
              <w:keepLines/>
              <w:spacing w:before="40" w:after="40" w:line="200" w:lineRule="atLeast"/>
              <w:jc w:val="center"/>
              <w:rPr>
                <w:rFonts w:asciiTheme="minorHAnsi" w:eastAsia="Times New Roman" w:hAnsiTheme="minorHAnsi"/>
                <w:iCs/>
                <w:szCs w:val="17"/>
              </w:rPr>
            </w:pPr>
            <w:r w:rsidRPr="003E115F">
              <w:rPr>
                <w:rFonts w:asciiTheme="minorHAnsi" w:eastAsia="Times New Roman" w:hAnsiTheme="minorHAnsi"/>
                <w:iCs/>
                <w:szCs w:val="17"/>
              </w:rPr>
              <w:t>Enabling economic growth</w:t>
            </w:r>
          </w:p>
        </w:tc>
        <w:tc>
          <w:tcPr>
            <w:tcW w:w="1414" w:type="dxa"/>
            <w:shd w:val="clear" w:color="auto" w:fill="72AF2F"/>
            <w:noWrap/>
          </w:tcPr>
          <w:p w:rsidR="00F762E0" w:rsidRPr="003E115F" w:rsidRDefault="00F762E0" w:rsidP="00D15A00">
            <w:pPr>
              <w:keepLines/>
              <w:spacing w:before="40" w:after="40" w:line="200" w:lineRule="atLeast"/>
              <w:jc w:val="center"/>
              <w:rPr>
                <w:rFonts w:asciiTheme="minorHAnsi" w:eastAsia="Times New Roman" w:hAnsiTheme="minorHAnsi"/>
                <w:iCs/>
                <w:szCs w:val="17"/>
                <w:lang w:eastAsia="en-US"/>
              </w:rPr>
            </w:pPr>
            <w:r w:rsidRPr="003E115F">
              <w:rPr>
                <w:rFonts w:asciiTheme="minorHAnsi" w:eastAsia="Times New Roman" w:hAnsiTheme="minorHAnsi"/>
                <w:iCs/>
                <w:szCs w:val="17"/>
                <w:lang w:eastAsia="en-US"/>
              </w:rPr>
              <w:t>Green</w:t>
            </w:r>
          </w:p>
        </w:tc>
        <w:tc>
          <w:tcPr>
            <w:tcW w:w="236" w:type="dxa"/>
          </w:tcPr>
          <w:p w:rsidR="00F762E0" w:rsidRPr="003E115F" w:rsidRDefault="00F762E0" w:rsidP="00D15A00">
            <w:pPr>
              <w:keepLines/>
              <w:spacing w:before="40" w:after="40" w:line="200" w:lineRule="atLeast"/>
              <w:jc w:val="center"/>
              <w:rPr>
                <w:rFonts w:asciiTheme="minorHAnsi" w:eastAsia="Times New Roman" w:hAnsiTheme="minorHAnsi"/>
                <w:iCs/>
                <w:szCs w:val="17"/>
              </w:rPr>
            </w:pPr>
          </w:p>
        </w:tc>
        <w:tc>
          <w:tcPr>
            <w:tcW w:w="1363" w:type="dxa"/>
            <w:shd w:val="clear" w:color="auto" w:fill="72AF2F"/>
            <w:noWrap/>
          </w:tcPr>
          <w:p w:rsidR="00F762E0" w:rsidRPr="003E115F" w:rsidRDefault="00F762E0" w:rsidP="00D15A00">
            <w:pPr>
              <w:keepLines/>
              <w:spacing w:before="40" w:after="40" w:line="200" w:lineRule="atLeast"/>
              <w:jc w:val="center"/>
              <w:rPr>
                <w:rFonts w:asciiTheme="minorHAnsi" w:eastAsia="Times New Roman" w:hAnsiTheme="minorHAnsi"/>
                <w:iCs/>
                <w:szCs w:val="17"/>
              </w:rPr>
            </w:pPr>
            <w:r w:rsidRPr="003E115F">
              <w:rPr>
                <w:rFonts w:asciiTheme="minorHAnsi" w:eastAsia="Times New Roman" w:hAnsiTheme="minorHAnsi"/>
                <w:iCs/>
                <w:szCs w:val="17"/>
              </w:rPr>
              <w:t>Green</w:t>
            </w:r>
          </w:p>
        </w:tc>
      </w:tr>
      <w:tr w:rsidR="00F762E0" w:rsidRPr="003B0793" w:rsidTr="001D4B7D">
        <w:trPr>
          <w:cnfStyle w:val="000000010000" w:firstRow="0" w:lastRow="0" w:firstColumn="0" w:lastColumn="0" w:oddVBand="0" w:evenVBand="0" w:oddHBand="0" w:evenHBand="1" w:firstRowFirstColumn="0" w:firstRowLastColumn="0" w:lastRowFirstColumn="0" w:lastRowLastColumn="0"/>
        </w:trPr>
        <w:tc>
          <w:tcPr>
            <w:tcW w:w="3638" w:type="dxa"/>
          </w:tcPr>
          <w:p w:rsidR="00F762E0" w:rsidRPr="003B0793" w:rsidRDefault="00F762E0" w:rsidP="00D15A00">
            <w:pPr>
              <w:keepLines/>
              <w:spacing w:before="40" w:after="40" w:line="200" w:lineRule="atLeast"/>
              <w:rPr>
                <w:rFonts w:eastAsia="Times New Roman"/>
                <w:iCs/>
                <w:szCs w:val="17"/>
              </w:rPr>
            </w:pPr>
            <w:r>
              <w:rPr>
                <w:rFonts w:eastAsia="Times New Roman"/>
                <w:iCs/>
                <w:szCs w:val="17"/>
              </w:rPr>
              <w:t>Outcome 5 - Governance</w:t>
            </w:r>
          </w:p>
        </w:tc>
        <w:tc>
          <w:tcPr>
            <w:tcW w:w="3091" w:type="dxa"/>
            <w:shd w:val="clear" w:color="auto" w:fill="auto"/>
          </w:tcPr>
          <w:p w:rsidR="00F762E0" w:rsidRPr="003E115F" w:rsidRDefault="00F762E0" w:rsidP="00D15A00">
            <w:pPr>
              <w:keepLines/>
              <w:spacing w:before="40" w:after="40" w:line="200" w:lineRule="atLeast"/>
              <w:jc w:val="center"/>
              <w:rPr>
                <w:rFonts w:asciiTheme="minorHAnsi" w:eastAsia="Times New Roman" w:hAnsiTheme="minorHAnsi"/>
                <w:iCs/>
                <w:szCs w:val="17"/>
              </w:rPr>
            </w:pPr>
            <w:r w:rsidRPr="003E115F">
              <w:rPr>
                <w:rFonts w:asciiTheme="minorHAnsi" w:eastAsia="Times New Roman" w:hAnsiTheme="minorHAnsi"/>
                <w:iCs/>
                <w:szCs w:val="17"/>
              </w:rPr>
              <w:t>Promoting effective governance</w:t>
            </w:r>
          </w:p>
        </w:tc>
        <w:tc>
          <w:tcPr>
            <w:tcW w:w="1414" w:type="dxa"/>
            <w:shd w:val="clear" w:color="auto" w:fill="E36C0A"/>
            <w:noWrap/>
          </w:tcPr>
          <w:p w:rsidR="00F762E0" w:rsidRPr="003E115F" w:rsidRDefault="00F762E0" w:rsidP="00D15A00">
            <w:pPr>
              <w:keepLines/>
              <w:spacing w:before="40" w:after="40" w:line="200" w:lineRule="atLeast"/>
              <w:jc w:val="center"/>
              <w:rPr>
                <w:rFonts w:asciiTheme="minorHAnsi" w:eastAsia="Times New Roman" w:hAnsiTheme="minorHAnsi"/>
                <w:iCs/>
                <w:szCs w:val="17"/>
              </w:rPr>
            </w:pPr>
            <w:r w:rsidRPr="003E115F">
              <w:rPr>
                <w:rFonts w:asciiTheme="minorHAnsi" w:eastAsia="Times New Roman" w:hAnsiTheme="minorHAnsi"/>
                <w:iCs/>
                <w:szCs w:val="17"/>
              </w:rPr>
              <w:t>Amber</w:t>
            </w:r>
          </w:p>
        </w:tc>
        <w:tc>
          <w:tcPr>
            <w:tcW w:w="236" w:type="dxa"/>
          </w:tcPr>
          <w:p w:rsidR="00F762E0" w:rsidRPr="003E115F" w:rsidRDefault="00F762E0" w:rsidP="00D15A00">
            <w:pPr>
              <w:keepLines/>
              <w:spacing w:before="40" w:after="40" w:line="200" w:lineRule="atLeast"/>
              <w:jc w:val="center"/>
              <w:rPr>
                <w:rFonts w:asciiTheme="minorHAnsi" w:eastAsia="Times New Roman" w:hAnsiTheme="minorHAnsi"/>
                <w:iCs/>
                <w:szCs w:val="17"/>
              </w:rPr>
            </w:pPr>
          </w:p>
        </w:tc>
        <w:tc>
          <w:tcPr>
            <w:tcW w:w="1363" w:type="dxa"/>
            <w:shd w:val="clear" w:color="auto" w:fill="E36C0A"/>
            <w:noWrap/>
          </w:tcPr>
          <w:p w:rsidR="00F762E0" w:rsidRPr="003E115F" w:rsidRDefault="00F762E0" w:rsidP="00D15A00">
            <w:pPr>
              <w:keepLines/>
              <w:spacing w:before="40" w:after="40" w:line="200" w:lineRule="atLeast"/>
              <w:jc w:val="center"/>
              <w:rPr>
                <w:rFonts w:asciiTheme="minorHAnsi" w:eastAsia="Times New Roman" w:hAnsiTheme="minorHAnsi"/>
                <w:iCs/>
                <w:szCs w:val="17"/>
              </w:rPr>
            </w:pPr>
            <w:r w:rsidRPr="003E115F">
              <w:rPr>
                <w:rFonts w:asciiTheme="minorHAnsi" w:eastAsia="Times New Roman" w:hAnsiTheme="minorHAnsi"/>
                <w:iCs/>
                <w:szCs w:val="17"/>
              </w:rPr>
              <w:t>Amber</w:t>
            </w:r>
          </w:p>
        </w:tc>
      </w:tr>
      <w:tr w:rsidR="00F762E0" w:rsidRPr="003B0793" w:rsidTr="001D4B7D">
        <w:trPr>
          <w:cnfStyle w:val="000000010000" w:firstRow="0" w:lastRow="0" w:firstColumn="0" w:lastColumn="0" w:oddVBand="0" w:evenVBand="0" w:oddHBand="0" w:evenHBand="1" w:firstRowFirstColumn="0" w:firstRowLastColumn="0" w:lastRowFirstColumn="0" w:lastRowLastColumn="0"/>
        </w:trPr>
        <w:tc>
          <w:tcPr>
            <w:tcW w:w="3638" w:type="dxa"/>
          </w:tcPr>
          <w:p w:rsidR="00F762E0" w:rsidRPr="00E473D1" w:rsidRDefault="00F762E0" w:rsidP="00D15A00">
            <w:pPr>
              <w:keepLines/>
              <w:spacing w:before="40" w:after="40" w:line="200" w:lineRule="atLeast"/>
              <w:rPr>
                <w:rFonts w:eastAsia="Times New Roman"/>
                <w:iCs/>
                <w:szCs w:val="17"/>
                <w:u w:val="single"/>
              </w:rPr>
            </w:pPr>
            <w:r w:rsidRPr="00E473D1">
              <w:rPr>
                <w:rFonts w:eastAsia="Times New Roman"/>
                <w:iCs/>
                <w:szCs w:val="17"/>
                <w:u w:val="single"/>
              </w:rPr>
              <w:t>Cross-cutting</w:t>
            </w:r>
          </w:p>
        </w:tc>
        <w:tc>
          <w:tcPr>
            <w:tcW w:w="3091" w:type="dxa"/>
            <w:shd w:val="clear" w:color="auto" w:fill="auto"/>
          </w:tcPr>
          <w:p w:rsidR="00F762E0" w:rsidRPr="003E115F" w:rsidRDefault="00F762E0" w:rsidP="00D15A00">
            <w:pPr>
              <w:keepLines/>
              <w:spacing w:before="40" w:after="40" w:line="200" w:lineRule="atLeast"/>
              <w:jc w:val="center"/>
              <w:rPr>
                <w:rFonts w:asciiTheme="minorHAnsi" w:eastAsia="Times New Roman" w:hAnsiTheme="minorHAnsi"/>
                <w:iCs/>
                <w:szCs w:val="17"/>
              </w:rPr>
            </w:pPr>
          </w:p>
        </w:tc>
        <w:tc>
          <w:tcPr>
            <w:tcW w:w="1414" w:type="dxa"/>
            <w:shd w:val="clear" w:color="auto" w:fill="auto"/>
            <w:noWrap/>
          </w:tcPr>
          <w:p w:rsidR="00F762E0" w:rsidRPr="003E115F" w:rsidRDefault="00F762E0" w:rsidP="00D15A00">
            <w:pPr>
              <w:keepLines/>
              <w:spacing w:before="40" w:after="40" w:line="200" w:lineRule="atLeast"/>
              <w:jc w:val="center"/>
              <w:rPr>
                <w:rFonts w:asciiTheme="minorHAnsi" w:eastAsia="Times New Roman" w:hAnsiTheme="minorHAnsi"/>
                <w:iCs/>
                <w:szCs w:val="17"/>
              </w:rPr>
            </w:pPr>
          </w:p>
        </w:tc>
        <w:tc>
          <w:tcPr>
            <w:tcW w:w="236" w:type="dxa"/>
            <w:shd w:val="clear" w:color="auto" w:fill="auto"/>
          </w:tcPr>
          <w:p w:rsidR="00F762E0" w:rsidRPr="003E115F" w:rsidRDefault="00F762E0" w:rsidP="00D15A00">
            <w:pPr>
              <w:keepLines/>
              <w:spacing w:before="40" w:after="40" w:line="200" w:lineRule="atLeast"/>
              <w:jc w:val="center"/>
              <w:rPr>
                <w:rFonts w:asciiTheme="minorHAnsi" w:eastAsia="Times New Roman" w:hAnsiTheme="minorHAnsi"/>
                <w:iCs/>
                <w:szCs w:val="17"/>
              </w:rPr>
            </w:pPr>
          </w:p>
        </w:tc>
        <w:tc>
          <w:tcPr>
            <w:tcW w:w="1363" w:type="dxa"/>
            <w:shd w:val="clear" w:color="auto" w:fill="auto"/>
            <w:noWrap/>
          </w:tcPr>
          <w:p w:rsidR="00F762E0" w:rsidRPr="003E115F" w:rsidRDefault="00F762E0" w:rsidP="00D15A00">
            <w:pPr>
              <w:keepLines/>
              <w:spacing w:before="40" w:after="40" w:line="200" w:lineRule="atLeast"/>
              <w:jc w:val="center"/>
              <w:rPr>
                <w:rFonts w:asciiTheme="minorHAnsi" w:eastAsia="Times New Roman" w:hAnsiTheme="minorHAnsi"/>
                <w:iCs/>
                <w:szCs w:val="17"/>
              </w:rPr>
            </w:pPr>
          </w:p>
        </w:tc>
      </w:tr>
      <w:tr w:rsidR="00F762E0" w:rsidRPr="003B0793" w:rsidTr="001D4B7D">
        <w:trPr>
          <w:cnfStyle w:val="000000010000" w:firstRow="0" w:lastRow="0" w:firstColumn="0" w:lastColumn="0" w:oddVBand="0" w:evenVBand="0" w:oddHBand="0" w:evenHBand="1" w:firstRowFirstColumn="0" w:firstRowLastColumn="0" w:lastRowFirstColumn="0" w:lastRowLastColumn="0"/>
        </w:trPr>
        <w:tc>
          <w:tcPr>
            <w:tcW w:w="3638" w:type="dxa"/>
          </w:tcPr>
          <w:p w:rsidR="00F762E0" w:rsidRPr="003B0793" w:rsidRDefault="00F762E0" w:rsidP="00D15A00">
            <w:pPr>
              <w:keepLines/>
              <w:spacing w:before="40" w:after="40" w:line="200" w:lineRule="atLeast"/>
              <w:rPr>
                <w:rFonts w:eastAsia="Times New Roman"/>
                <w:iCs/>
                <w:szCs w:val="17"/>
              </w:rPr>
            </w:pPr>
            <w:r>
              <w:rPr>
                <w:rFonts w:eastAsia="Times New Roman"/>
                <w:iCs/>
                <w:szCs w:val="17"/>
              </w:rPr>
              <w:t>Gender equality and women’s empowerment</w:t>
            </w:r>
          </w:p>
        </w:tc>
        <w:tc>
          <w:tcPr>
            <w:tcW w:w="3091" w:type="dxa"/>
            <w:shd w:val="clear" w:color="auto" w:fill="auto"/>
          </w:tcPr>
          <w:p w:rsidR="00F762E0" w:rsidRPr="003E115F" w:rsidRDefault="00F762E0" w:rsidP="00A63C49">
            <w:pPr>
              <w:keepLines/>
              <w:spacing w:before="40" w:after="40" w:line="200" w:lineRule="atLeast"/>
              <w:jc w:val="center"/>
              <w:rPr>
                <w:rFonts w:asciiTheme="minorHAnsi" w:eastAsia="Times New Roman" w:hAnsiTheme="minorHAnsi"/>
                <w:iCs/>
                <w:szCs w:val="17"/>
              </w:rPr>
            </w:pPr>
            <w:r w:rsidRPr="003E115F">
              <w:rPr>
                <w:rFonts w:asciiTheme="minorHAnsi" w:eastAsia="Times New Roman" w:hAnsiTheme="minorHAnsi"/>
                <w:iCs/>
                <w:szCs w:val="17"/>
              </w:rPr>
              <w:t>Cross cutting</w:t>
            </w:r>
          </w:p>
        </w:tc>
        <w:tc>
          <w:tcPr>
            <w:tcW w:w="1414" w:type="dxa"/>
            <w:shd w:val="clear" w:color="auto" w:fill="E36C0A"/>
            <w:noWrap/>
          </w:tcPr>
          <w:p w:rsidR="00F762E0" w:rsidRPr="003E115F" w:rsidRDefault="00F762E0" w:rsidP="00A63C49">
            <w:pPr>
              <w:keepLines/>
              <w:spacing w:before="40" w:after="40" w:line="200" w:lineRule="atLeast"/>
              <w:jc w:val="center"/>
              <w:rPr>
                <w:rFonts w:asciiTheme="minorHAnsi" w:eastAsia="Times New Roman" w:hAnsiTheme="minorHAnsi"/>
                <w:iCs/>
                <w:szCs w:val="17"/>
                <w:lang w:eastAsia="en-US"/>
              </w:rPr>
            </w:pPr>
            <w:r w:rsidRPr="003E115F">
              <w:rPr>
                <w:rFonts w:asciiTheme="minorHAnsi" w:eastAsia="Times New Roman" w:hAnsiTheme="minorHAnsi"/>
                <w:iCs/>
                <w:szCs w:val="17"/>
                <w:lang w:eastAsia="en-US"/>
              </w:rPr>
              <w:t>Amber</w:t>
            </w:r>
          </w:p>
        </w:tc>
        <w:tc>
          <w:tcPr>
            <w:tcW w:w="236" w:type="dxa"/>
          </w:tcPr>
          <w:p w:rsidR="00F762E0" w:rsidRPr="003E115F" w:rsidRDefault="00F762E0" w:rsidP="00D15A00">
            <w:pPr>
              <w:keepLines/>
              <w:spacing w:before="40" w:after="40" w:line="200" w:lineRule="atLeast"/>
              <w:jc w:val="center"/>
              <w:rPr>
                <w:rFonts w:asciiTheme="minorHAnsi" w:eastAsia="Times New Roman" w:hAnsiTheme="minorHAnsi"/>
                <w:iCs/>
                <w:szCs w:val="17"/>
              </w:rPr>
            </w:pPr>
          </w:p>
        </w:tc>
        <w:tc>
          <w:tcPr>
            <w:tcW w:w="1363" w:type="dxa"/>
            <w:shd w:val="clear" w:color="auto" w:fill="E36C0A"/>
            <w:noWrap/>
          </w:tcPr>
          <w:p w:rsidR="00F762E0" w:rsidRPr="003E115F" w:rsidRDefault="00F762E0" w:rsidP="00D15A00">
            <w:pPr>
              <w:keepLines/>
              <w:spacing w:before="40" w:after="40" w:line="200" w:lineRule="atLeast"/>
              <w:jc w:val="center"/>
              <w:rPr>
                <w:rFonts w:asciiTheme="minorHAnsi" w:eastAsia="Times New Roman" w:hAnsiTheme="minorHAnsi"/>
                <w:iCs/>
                <w:szCs w:val="17"/>
              </w:rPr>
            </w:pPr>
            <w:r w:rsidRPr="003E115F">
              <w:rPr>
                <w:rFonts w:asciiTheme="minorHAnsi" w:eastAsia="Times New Roman" w:hAnsiTheme="minorHAnsi"/>
                <w:iCs/>
                <w:szCs w:val="17"/>
              </w:rPr>
              <w:t>Amber</w:t>
            </w:r>
          </w:p>
        </w:tc>
      </w:tr>
      <w:tr w:rsidR="00F762E0" w:rsidRPr="003B0793" w:rsidTr="001D4B7D">
        <w:trPr>
          <w:cnfStyle w:val="000000010000" w:firstRow="0" w:lastRow="0" w:firstColumn="0" w:lastColumn="0" w:oddVBand="0" w:evenVBand="0" w:oddHBand="0" w:evenHBand="1" w:firstRowFirstColumn="0" w:firstRowLastColumn="0" w:lastRowFirstColumn="0" w:lastRowLastColumn="0"/>
        </w:trPr>
        <w:tc>
          <w:tcPr>
            <w:tcW w:w="3638" w:type="dxa"/>
          </w:tcPr>
          <w:p w:rsidR="00F762E0" w:rsidRPr="003B0793" w:rsidRDefault="00F762E0" w:rsidP="00D15A00">
            <w:pPr>
              <w:keepLines/>
              <w:spacing w:before="40" w:after="40" w:line="200" w:lineRule="atLeast"/>
              <w:rPr>
                <w:rFonts w:eastAsia="Times New Roman"/>
                <w:iCs/>
                <w:szCs w:val="17"/>
              </w:rPr>
            </w:pPr>
            <w:r>
              <w:rPr>
                <w:rFonts w:eastAsia="Times New Roman"/>
                <w:iCs/>
                <w:szCs w:val="17"/>
              </w:rPr>
              <w:t>Disability-inclusive development</w:t>
            </w:r>
          </w:p>
        </w:tc>
        <w:tc>
          <w:tcPr>
            <w:tcW w:w="3091" w:type="dxa"/>
            <w:shd w:val="clear" w:color="auto" w:fill="auto"/>
          </w:tcPr>
          <w:p w:rsidR="00F762E0" w:rsidRPr="003E115F" w:rsidRDefault="00F762E0" w:rsidP="00A63C49">
            <w:pPr>
              <w:keepLines/>
              <w:spacing w:before="40" w:after="40" w:line="200" w:lineRule="atLeast"/>
              <w:jc w:val="center"/>
              <w:rPr>
                <w:rFonts w:asciiTheme="minorHAnsi" w:eastAsia="Times New Roman" w:hAnsiTheme="minorHAnsi"/>
                <w:iCs/>
                <w:szCs w:val="17"/>
              </w:rPr>
            </w:pPr>
            <w:r w:rsidRPr="003E115F">
              <w:rPr>
                <w:rFonts w:asciiTheme="minorHAnsi" w:eastAsia="Times New Roman" w:hAnsiTheme="minorHAnsi"/>
                <w:iCs/>
                <w:szCs w:val="17"/>
              </w:rPr>
              <w:t>Cross cutting</w:t>
            </w:r>
          </w:p>
        </w:tc>
        <w:tc>
          <w:tcPr>
            <w:tcW w:w="1414" w:type="dxa"/>
            <w:shd w:val="clear" w:color="auto" w:fill="E36C0A"/>
            <w:noWrap/>
          </w:tcPr>
          <w:p w:rsidR="00F762E0" w:rsidRPr="003E115F" w:rsidRDefault="00F762E0" w:rsidP="00A63C49">
            <w:pPr>
              <w:keepLines/>
              <w:spacing w:before="40" w:after="40" w:line="200" w:lineRule="atLeast"/>
              <w:jc w:val="center"/>
              <w:rPr>
                <w:rFonts w:asciiTheme="minorHAnsi" w:eastAsia="Times New Roman" w:hAnsiTheme="minorHAnsi"/>
                <w:iCs/>
                <w:szCs w:val="17"/>
                <w:lang w:eastAsia="en-US"/>
              </w:rPr>
            </w:pPr>
            <w:r w:rsidRPr="003E115F">
              <w:rPr>
                <w:rFonts w:asciiTheme="minorHAnsi" w:eastAsia="Times New Roman" w:hAnsiTheme="minorHAnsi"/>
                <w:iCs/>
                <w:szCs w:val="17"/>
                <w:lang w:eastAsia="en-US"/>
              </w:rPr>
              <w:t>Amber</w:t>
            </w:r>
          </w:p>
        </w:tc>
        <w:tc>
          <w:tcPr>
            <w:tcW w:w="236" w:type="dxa"/>
          </w:tcPr>
          <w:p w:rsidR="00F762E0" w:rsidRPr="003E115F" w:rsidRDefault="00F762E0" w:rsidP="00D15A00">
            <w:pPr>
              <w:keepLines/>
              <w:spacing w:before="40" w:after="40" w:line="200" w:lineRule="atLeast"/>
              <w:jc w:val="center"/>
              <w:rPr>
                <w:rFonts w:asciiTheme="minorHAnsi" w:eastAsia="Times New Roman" w:hAnsiTheme="minorHAnsi"/>
                <w:iCs/>
                <w:szCs w:val="17"/>
              </w:rPr>
            </w:pPr>
          </w:p>
        </w:tc>
        <w:tc>
          <w:tcPr>
            <w:tcW w:w="1363" w:type="dxa"/>
            <w:shd w:val="clear" w:color="auto" w:fill="E36C0A"/>
            <w:noWrap/>
          </w:tcPr>
          <w:p w:rsidR="00F762E0" w:rsidRPr="003E115F" w:rsidRDefault="00F762E0" w:rsidP="00D15A00">
            <w:pPr>
              <w:keepLines/>
              <w:spacing w:before="40" w:after="40" w:line="200" w:lineRule="atLeast"/>
              <w:jc w:val="center"/>
              <w:rPr>
                <w:rFonts w:asciiTheme="minorHAnsi" w:eastAsia="Times New Roman" w:hAnsiTheme="minorHAnsi"/>
                <w:iCs/>
                <w:szCs w:val="17"/>
              </w:rPr>
            </w:pPr>
            <w:r w:rsidRPr="003E115F">
              <w:rPr>
                <w:rFonts w:asciiTheme="minorHAnsi" w:eastAsia="Times New Roman" w:hAnsiTheme="minorHAnsi"/>
                <w:iCs/>
                <w:szCs w:val="17"/>
              </w:rPr>
              <w:t>Amber</w:t>
            </w:r>
          </w:p>
        </w:tc>
      </w:tr>
      <w:tr w:rsidR="00F762E0" w:rsidRPr="003B0793" w:rsidTr="001D4B7D">
        <w:trPr>
          <w:cnfStyle w:val="000000010000" w:firstRow="0" w:lastRow="0" w:firstColumn="0" w:lastColumn="0" w:oddVBand="0" w:evenVBand="0" w:oddHBand="0" w:evenHBand="1" w:firstRowFirstColumn="0" w:firstRowLastColumn="0" w:lastRowFirstColumn="0" w:lastRowLastColumn="0"/>
        </w:trPr>
        <w:tc>
          <w:tcPr>
            <w:tcW w:w="3638" w:type="dxa"/>
          </w:tcPr>
          <w:p w:rsidR="00F762E0" w:rsidRDefault="00F762E0" w:rsidP="00D15A00">
            <w:pPr>
              <w:keepLines/>
              <w:spacing w:before="40" w:after="40" w:line="200" w:lineRule="atLeast"/>
              <w:rPr>
                <w:rFonts w:eastAsia="Times New Roman"/>
                <w:iCs/>
                <w:szCs w:val="17"/>
              </w:rPr>
            </w:pPr>
            <w:r>
              <w:rPr>
                <w:rFonts w:eastAsia="Times New Roman"/>
                <w:iCs/>
                <w:szCs w:val="17"/>
              </w:rPr>
              <w:t>Private sector development</w:t>
            </w:r>
          </w:p>
        </w:tc>
        <w:tc>
          <w:tcPr>
            <w:tcW w:w="3091" w:type="dxa"/>
            <w:shd w:val="clear" w:color="auto" w:fill="auto"/>
          </w:tcPr>
          <w:p w:rsidR="00F762E0" w:rsidRPr="003E115F" w:rsidRDefault="00F762E0" w:rsidP="00A63C49">
            <w:pPr>
              <w:keepLines/>
              <w:spacing w:before="40" w:after="40" w:line="200" w:lineRule="atLeast"/>
              <w:jc w:val="center"/>
              <w:rPr>
                <w:rFonts w:asciiTheme="minorHAnsi" w:eastAsia="Times New Roman" w:hAnsiTheme="minorHAnsi"/>
                <w:iCs/>
                <w:szCs w:val="17"/>
              </w:rPr>
            </w:pPr>
            <w:r w:rsidRPr="003E115F">
              <w:rPr>
                <w:rFonts w:asciiTheme="minorHAnsi" w:eastAsia="Times New Roman" w:hAnsiTheme="minorHAnsi"/>
                <w:iCs/>
                <w:szCs w:val="17"/>
              </w:rPr>
              <w:t>Enabling economic growth</w:t>
            </w:r>
          </w:p>
        </w:tc>
        <w:tc>
          <w:tcPr>
            <w:tcW w:w="1414" w:type="dxa"/>
            <w:shd w:val="clear" w:color="auto" w:fill="72AF2F"/>
            <w:noWrap/>
          </w:tcPr>
          <w:p w:rsidR="00F762E0" w:rsidRPr="003E115F" w:rsidRDefault="00F762E0" w:rsidP="00A63C49">
            <w:pPr>
              <w:keepLines/>
              <w:spacing w:before="40" w:after="40" w:line="200" w:lineRule="atLeast"/>
              <w:jc w:val="center"/>
              <w:rPr>
                <w:rFonts w:asciiTheme="minorHAnsi" w:eastAsia="Times New Roman" w:hAnsiTheme="minorHAnsi"/>
                <w:iCs/>
                <w:szCs w:val="17"/>
                <w:lang w:eastAsia="en-US"/>
              </w:rPr>
            </w:pPr>
            <w:r w:rsidRPr="003E115F">
              <w:rPr>
                <w:rFonts w:asciiTheme="minorHAnsi" w:eastAsia="Times New Roman" w:hAnsiTheme="minorHAnsi"/>
                <w:iCs/>
                <w:szCs w:val="17"/>
                <w:lang w:eastAsia="en-US"/>
              </w:rPr>
              <w:t>Green</w:t>
            </w:r>
          </w:p>
        </w:tc>
        <w:tc>
          <w:tcPr>
            <w:tcW w:w="236" w:type="dxa"/>
          </w:tcPr>
          <w:p w:rsidR="00F762E0" w:rsidRPr="003E115F" w:rsidRDefault="00F762E0" w:rsidP="00D15A00">
            <w:pPr>
              <w:keepLines/>
              <w:spacing w:before="40" w:after="40" w:line="200" w:lineRule="atLeast"/>
              <w:jc w:val="center"/>
              <w:rPr>
                <w:rFonts w:asciiTheme="minorHAnsi" w:eastAsia="Times New Roman" w:hAnsiTheme="minorHAnsi"/>
                <w:iCs/>
                <w:szCs w:val="17"/>
              </w:rPr>
            </w:pPr>
          </w:p>
        </w:tc>
        <w:tc>
          <w:tcPr>
            <w:tcW w:w="1363" w:type="dxa"/>
            <w:shd w:val="clear" w:color="auto" w:fill="72AF2F"/>
            <w:noWrap/>
          </w:tcPr>
          <w:p w:rsidR="00F762E0" w:rsidRPr="003E115F" w:rsidRDefault="00F762E0" w:rsidP="00D15A00">
            <w:pPr>
              <w:keepLines/>
              <w:spacing w:before="40" w:after="40" w:line="200" w:lineRule="atLeast"/>
              <w:jc w:val="center"/>
              <w:rPr>
                <w:rFonts w:asciiTheme="minorHAnsi" w:eastAsia="Times New Roman" w:hAnsiTheme="minorHAnsi"/>
                <w:iCs/>
                <w:szCs w:val="17"/>
              </w:rPr>
            </w:pPr>
            <w:r w:rsidRPr="003E115F">
              <w:rPr>
                <w:rFonts w:asciiTheme="minorHAnsi" w:eastAsia="Times New Roman" w:hAnsiTheme="minorHAnsi"/>
                <w:iCs/>
                <w:szCs w:val="17"/>
              </w:rPr>
              <w:t>Green</w:t>
            </w:r>
          </w:p>
        </w:tc>
      </w:tr>
      <w:tr w:rsidR="00F762E0" w:rsidRPr="003B0793" w:rsidTr="001D4B7D">
        <w:trPr>
          <w:cnfStyle w:val="000000010000" w:firstRow="0" w:lastRow="0" w:firstColumn="0" w:lastColumn="0" w:oddVBand="0" w:evenVBand="0" w:oddHBand="0" w:evenHBand="1" w:firstRowFirstColumn="0" w:firstRowLastColumn="0" w:lastRowFirstColumn="0" w:lastRowLastColumn="0"/>
        </w:trPr>
        <w:tc>
          <w:tcPr>
            <w:tcW w:w="3638" w:type="dxa"/>
          </w:tcPr>
          <w:p w:rsidR="00F762E0" w:rsidRPr="00E473D1" w:rsidRDefault="00F762E0" w:rsidP="00D15A00">
            <w:pPr>
              <w:keepLines/>
              <w:spacing w:before="40" w:after="40" w:line="200" w:lineRule="atLeast"/>
              <w:rPr>
                <w:rFonts w:eastAsia="Times New Roman"/>
                <w:iCs/>
                <w:szCs w:val="17"/>
                <w:u w:val="single"/>
              </w:rPr>
            </w:pPr>
            <w:r w:rsidRPr="00E473D1">
              <w:rPr>
                <w:rFonts w:eastAsia="Times New Roman"/>
                <w:iCs/>
                <w:szCs w:val="17"/>
                <w:u w:val="single"/>
              </w:rPr>
              <w:t>Additional assistance</w:t>
            </w:r>
          </w:p>
        </w:tc>
        <w:tc>
          <w:tcPr>
            <w:tcW w:w="3091" w:type="dxa"/>
            <w:shd w:val="clear" w:color="auto" w:fill="auto"/>
          </w:tcPr>
          <w:p w:rsidR="00F762E0" w:rsidRPr="003E115F" w:rsidRDefault="00F762E0" w:rsidP="00D15A00">
            <w:pPr>
              <w:keepLines/>
              <w:spacing w:before="40" w:after="40" w:line="200" w:lineRule="atLeast"/>
              <w:jc w:val="center"/>
              <w:rPr>
                <w:rFonts w:asciiTheme="minorHAnsi" w:eastAsia="Times New Roman" w:hAnsiTheme="minorHAnsi"/>
                <w:iCs/>
                <w:szCs w:val="17"/>
              </w:rPr>
            </w:pPr>
          </w:p>
        </w:tc>
        <w:tc>
          <w:tcPr>
            <w:tcW w:w="1414" w:type="dxa"/>
            <w:shd w:val="clear" w:color="auto" w:fill="auto"/>
            <w:noWrap/>
          </w:tcPr>
          <w:p w:rsidR="00F762E0" w:rsidRPr="003E115F" w:rsidRDefault="00F762E0" w:rsidP="00D15A00">
            <w:pPr>
              <w:keepLines/>
              <w:spacing w:before="40" w:after="40" w:line="200" w:lineRule="atLeast"/>
              <w:jc w:val="center"/>
              <w:rPr>
                <w:rFonts w:asciiTheme="minorHAnsi" w:eastAsia="Times New Roman" w:hAnsiTheme="minorHAnsi"/>
                <w:iCs/>
                <w:szCs w:val="17"/>
              </w:rPr>
            </w:pPr>
          </w:p>
        </w:tc>
        <w:tc>
          <w:tcPr>
            <w:tcW w:w="236" w:type="dxa"/>
            <w:shd w:val="clear" w:color="auto" w:fill="auto"/>
          </w:tcPr>
          <w:p w:rsidR="00F762E0" w:rsidRPr="003E115F" w:rsidRDefault="00F762E0" w:rsidP="00D15A00">
            <w:pPr>
              <w:keepLines/>
              <w:spacing w:before="40" w:after="40" w:line="200" w:lineRule="atLeast"/>
              <w:jc w:val="center"/>
              <w:rPr>
                <w:rFonts w:asciiTheme="minorHAnsi" w:eastAsia="Times New Roman" w:hAnsiTheme="minorHAnsi"/>
                <w:iCs/>
                <w:szCs w:val="17"/>
              </w:rPr>
            </w:pPr>
          </w:p>
        </w:tc>
        <w:tc>
          <w:tcPr>
            <w:tcW w:w="1363" w:type="dxa"/>
            <w:shd w:val="clear" w:color="auto" w:fill="auto"/>
            <w:noWrap/>
          </w:tcPr>
          <w:p w:rsidR="00F762E0" w:rsidRPr="003E115F" w:rsidRDefault="00F762E0" w:rsidP="00D15A00">
            <w:pPr>
              <w:keepLines/>
              <w:spacing w:before="40" w:after="40" w:line="200" w:lineRule="atLeast"/>
              <w:jc w:val="center"/>
              <w:rPr>
                <w:rFonts w:asciiTheme="minorHAnsi" w:eastAsia="Times New Roman" w:hAnsiTheme="minorHAnsi"/>
                <w:iCs/>
                <w:szCs w:val="17"/>
              </w:rPr>
            </w:pPr>
          </w:p>
        </w:tc>
      </w:tr>
      <w:tr w:rsidR="00F762E0" w:rsidRPr="003B0793" w:rsidTr="001D4B7D">
        <w:trPr>
          <w:cnfStyle w:val="000000010000" w:firstRow="0" w:lastRow="0" w:firstColumn="0" w:lastColumn="0" w:oddVBand="0" w:evenVBand="0" w:oddHBand="0" w:evenHBand="1" w:firstRowFirstColumn="0" w:firstRowLastColumn="0" w:lastRowFirstColumn="0" w:lastRowLastColumn="0"/>
        </w:trPr>
        <w:tc>
          <w:tcPr>
            <w:tcW w:w="3638" w:type="dxa"/>
          </w:tcPr>
          <w:p w:rsidR="00F762E0" w:rsidRDefault="00F762E0" w:rsidP="00D15A00">
            <w:pPr>
              <w:keepLines/>
              <w:spacing w:before="40" w:after="40" w:line="200" w:lineRule="atLeast"/>
              <w:rPr>
                <w:rFonts w:eastAsia="Times New Roman"/>
                <w:iCs/>
                <w:szCs w:val="17"/>
              </w:rPr>
            </w:pPr>
            <w:r>
              <w:rPr>
                <w:rFonts w:eastAsia="Times New Roman"/>
                <w:iCs/>
                <w:szCs w:val="17"/>
              </w:rPr>
              <w:t>Bougainville</w:t>
            </w:r>
          </w:p>
        </w:tc>
        <w:tc>
          <w:tcPr>
            <w:tcW w:w="3091" w:type="dxa"/>
            <w:shd w:val="clear" w:color="auto" w:fill="auto"/>
          </w:tcPr>
          <w:p w:rsidR="00F762E0" w:rsidRPr="003E115F" w:rsidRDefault="00F762E0" w:rsidP="00F762E0">
            <w:pPr>
              <w:keepLines/>
              <w:spacing w:before="40" w:after="40" w:line="200" w:lineRule="atLeast"/>
              <w:jc w:val="center"/>
              <w:rPr>
                <w:rFonts w:asciiTheme="minorHAnsi" w:eastAsia="Times New Roman" w:hAnsiTheme="minorHAnsi"/>
                <w:iCs/>
                <w:szCs w:val="17"/>
              </w:rPr>
            </w:pPr>
            <w:r w:rsidRPr="003E115F">
              <w:rPr>
                <w:rFonts w:asciiTheme="minorHAnsi" w:eastAsia="Times New Roman" w:hAnsiTheme="minorHAnsi"/>
                <w:iCs/>
                <w:szCs w:val="17"/>
              </w:rPr>
              <w:t>Autonomous Region of Bougainville</w:t>
            </w:r>
          </w:p>
        </w:tc>
        <w:tc>
          <w:tcPr>
            <w:tcW w:w="1414" w:type="dxa"/>
            <w:shd w:val="clear" w:color="auto" w:fill="auto"/>
            <w:noWrap/>
          </w:tcPr>
          <w:p w:rsidR="00F762E0" w:rsidRPr="003E115F" w:rsidRDefault="00F762E0" w:rsidP="00473A94">
            <w:pPr>
              <w:keepLines/>
              <w:spacing w:before="40" w:after="40" w:line="200" w:lineRule="atLeast"/>
              <w:rPr>
                <w:rFonts w:asciiTheme="minorHAnsi" w:eastAsia="Times New Roman" w:hAnsiTheme="minorHAnsi"/>
                <w:iCs/>
                <w:szCs w:val="17"/>
              </w:rPr>
            </w:pPr>
            <w:r w:rsidRPr="003E115F">
              <w:rPr>
                <w:rFonts w:asciiTheme="minorHAnsi" w:eastAsia="Times New Roman" w:hAnsiTheme="minorHAnsi"/>
                <w:iCs/>
                <w:szCs w:val="17"/>
              </w:rPr>
              <w:t>Not rated</w:t>
            </w:r>
          </w:p>
        </w:tc>
        <w:tc>
          <w:tcPr>
            <w:tcW w:w="236" w:type="dxa"/>
            <w:shd w:val="clear" w:color="auto" w:fill="auto"/>
          </w:tcPr>
          <w:p w:rsidR="00F762E0" w:rsidRPr="003E115F" w:rsidRDefault="00F762E0" w:rsidP="00D15A00">
            <w:pPr>
              <w:keepLines/>
              <w:spacing w:before="40" w:after="40" w:line="200" w:lineRule="atLeast"/>
              <w:jc w:val="center"/>
              <w:rPr>
                <w:rFonts w:asciiTheme="minorHAnsi" w:eastAsia="Times New Roman" w:hAnsiTheme="minorHAnsi"/>
                <w:iCs/>
                <w:szCs w:val="17"/>
              </w:rPr>
            </w:pPr>
          </w:p>
        </w:tc>
        <w:tc>
          <w:tcPr>
            <w:tcW w:w="1363" w:type="dxa"/>
            <w:shd w:val="clear" w:color="auto" w:fill="auto"/>
            <w:noWrap/>
          </w:tcPr>
          <w:p w:rsidR="00F762E0" w:rsidRPr="003E115F" w:rsidRDefault="00F762E0" w:rsidP="00473A94">
            <w:pPr>
              <w:keepLines/>
              <w:spacing w:before="40" w:after="40" w:line="200" w:lineRule="atLeast"/>
              <w:rPr>
                <w:rFonts w:asciiTheme="minorHAnsi" w:eastAsia="Times New Roman" w:hAnsiTheme="minorHAnsi"/>
                <w:iCs/>
                <w:szCs w:val="17"/>
              </w:rPr>
            </w:pPr>
            <w:r w:rsidRPr="003E115F">
              <w:rPr>
                <w:rFonts w:asciiTheme="minorHAnsi" w:eastAsia="Times New Roman" w:hAnsiTheme="minorHAnsi"/>
                <w:iCs/>
                <w:szCs w:val="17"/>
              </w:rPr>
              <w:t>Not rated</w:t>
            </w:r>
          </w:p>
        </w:tc>
      </w:tr>
    </w:tbl>
    <w:p w:rsidR="002A51CA" w:rsidRPr="007452E6" w:rsidRDefault="002A51CA" w:rsidP="003E115F">
      <w:pPr>
        <w:spacing w:after="0" w:line="180" w:lineRule="atLeast"/>
        <w:jc w:val="both"/>
        <w:rPr>
          <w:rFonts w:eastAsia="Times New Roman"/>
          <w:sz w:val="16"/>
          <w:szCs w:val="14"/>
        </w:rPr>
      </w:pPr>
      <w:r w:rsidRPr="003B0793">
        <w:rPr>
          <w:rFonts w:eastAsia="Times New Roman"/>
          <w:b/>
          <w:color w:val="72AF2F"/>
          <w:sz w:val="16"/>
          <w:szCs w:val="14"/>
        </w:rPr>
        <w:sym w:font="Webdings" w:char="F067"/>
      </w:r>
      <w:r w:rsidRPr="003B0793">
        <w:rPr>
          <w:rFonts w:eastAsia="Times New Roman"/>
          <w:b/>
          <w:sz w:val="16"/>
          <w:szCs w:val="14"/>
        </w:rPr>
        <w:t> </w:t>
      </w:r>
      <w:r w:rsidRPr="003B0793">
        <w:rPr>
          <w:rFonts w:eastAsia="Times New Roman"/>
          <w:b/>
          <w:sz w:val="16"/>
          <w:szCs w:val="14"/>
        </w:rPr>
        <w:t xml:space="preserve"> </w:t>
      </w:r>
      <w:r w:rsidRPr="007452E6">
        <w:rPr>
          <w:rFonts w:eastAsia="Times New Roman"/>
          <w:sz w:val="16"/>
          <w:szCs w:val="14"/>
        </w:rPr>
        <w:t>Green. Progress is as expected at this stage of implementation and it is likely that the objective will be achieved. Standard program management practices are sufficient.</w:t>
      </w:r>
    </w:p>
    <w:p w:rsidR="002A51CA" w:rsidRPr="007452E6" w:rsidRDefault="002A51CA" w:rsidP="003E115F">
      <w:pPr>
        <w:spacing w:before="0" w:after="0" w:line="180" w:lineRule="atLeast"/>
        <w:jc w:val="both"/>
        <w:rPr>
          <w:rFonts w:eastAsia="Times New Roman"/>
          <w:sz w:val="16"/>
          <w:szCs w:val="14"/>
        </w:rPr>
      </w:pPr>
      <w:r w:rsidRPr="007452E6">
        <w:rPr>
          <w:rFonts w:eastAsia="Times New Roman"/>
          <w:color w:val="E36C0A"/>
          <w:sz w:val="16"/>
          <w:szCs w:val="14"/>
        </w:rPr>
        <w:sym w:font="Webdings" w:char="F067"/>
      </w:r>
      <w:r w:rsidRPr="007452E6">
        <w:rPr>
          <w:rFonts w:eastAsia="Times New Roman"/>
          <w:sz w:val="16"/>
          <w:szCs w:val="14"/>
        </w:rPr>
        <w:t> </w:t>
      </w:r>
      <w:r w:rsidRPr="007452E6">
        <w:rPr>
          <w:rFonts w:eastAsia="Times New Roman"/>
          <w:sz w:val="16"/>
          <w:szCs w:val="14"/>
        </w:rPr>
        <w:t xml:space="preserve"> Amber. Progress is somewhat less than expected at this stage of implementation and restorative action will be necessary if the objective is to be achieved. Close performance monitoring is recommended.</w:t>
      </w:r>
    </w:p>
    <w:p w:rsidR="002A51CA" w:rsidRPr="007452E6" w:rsidRDefault="002A51CA" w:rsidP="003E115F">
      <w:pPr>
        <w:spacing w:before="0" w:after="0" w:line="180" w:lineRule="atLeast"/>
        <w:jc w:val="both"/>
        <w:rPr>
          <w:rFonts w:eastAsia="Times New Roman"/>
          <w:sz w:val="18"/>
          <w:szCs w:val="14"/>
        </w:rPr>
      </w:pPr>
      <w:r w:rsidRPr="007452E6">
        <w:rPr>
          <w:rFonts w:eastAsia="Times New Roman"/>
          <w:color w:val="FF0000"/>
          <w:sz w:val="16"/>
          <w:szCs w:val="14"/>
        </w:rPr>
        <w:sym w:font="Webdings" w:char="F067"/>
      </w:r>
      <w:r w:rsidRPr="007452E6">
        <w:rPr>
          <w:rFonts w:eastAsia="Times New Roman"/>
          <w:sz w:val="16"/>
          <w:szCs w:val="14"/>
        </w:rPr>
        <w:t> </w:t>
      </w:r>
      <w:r w:rsidRPr="007452E6">
        <w:rPr>
          <w:rFonts w:eastAsia="Times New Roman"/>
          <w:sz w:val="16"/>
          <w:szCs w:val="14"/>
        </w:rPr>
        <w:t xml:space="preserve"> Red. Progress is significantly less than expected at this stage of implementation and the objective is not likely to be met given available resources and priorities. Recasting the objective may be required.</w:t>
      </w:r>
    </w:p>
    <w:p w:rsidR="00445E3E" w:rsidRPr="00445E3E" w:rsidRDefault="000B62C6" w:rsidP="00445E3E">
      <w:pPr>
        <w:pStyle w:val="Heading3"/>
        <w:rPr>
          <w:sz w:val="38"/>
          <w:szCs w:val="38"/>
        </w:rPr>
      </w:pPr>
      <w:r w:rsidRPr="000B62C6">
        <w:rPr>
          <w:sz w:val="38"/>
          <w:szCs w:val="38"/>
        </w:rPr>
        <w:lastRenderedPageBreak/>
        <w:t>OUTCOME 1: HEALTH</w:t>
      </w:r>
    </w:p>
    <w:p w:rsidR="00445E3E" w:rsidRPr="00B6769E" w:rsidRDefault="00445E3E" w:rsidP="00445E3E">
      <w:pPr>
        <w:spacing w:after="120" w:line="280" w:lineRule="exact"/>
        <w:rPr>
          <w:rFonts w:eastAsia="Times New Roman"/>
          <w:szCs w:val="21"/>
        </w:rPr>
      </w:pPr>
      <w:r w:rsidRPr="00B6769E">
        <w:rPr>
          <w:rFonts w:eastAsia="Times New Roman"/>
          <w:szCs w:val="21"/>
        </w:rPr>
        <w:t xml:space="preserve">While Australian aid programs </w:t>
      </w:r>
      <w:r w:rsidR="008A61A7">
        <w:rPr>
          <w:rFonts w:eastAsia="Times New Roman"/>
          <w:szCs w:val="21"/>
        </w:rPr>
        <w:t xml:space="preserve">in the health sector </w:t>
      </w:r>
      <w:r w:rsidRPr="00B6769E">
        <w:rPr>
          <w:rFonts w:eastAsia="Times New Roman"/>
          <w:szCs w:val="21"/>
        </w:rPr>
        <w:t xml:space="preserve">have largely delivered on intended outputs, the </w:t>
      </w:r>
      <w:r w:rsidR="00B61298">
        <w:rPr>
          <w:rFonts w:eastAsia="Times New Roman"/>
          <w:szCs w:val="21"/>
        </w:rPr>
        <w:t>‘</w:t>
      </w:r>
      <w:r w:rsidRPr="00B6769E">
        <w:rPr>
          <w:rFonts w:eastAsia="Times New Roman"/>
          <w:szCs w:val="21"/>
        </w:rPr>
        <w:t>amber</w:t>
      </w:r>
      <w:r w:rsidR="00B61298">
        <w:rPr>
          <w:rFonts w:eastAsia="Times New Roman"/>
          <w:szCs w:val="21"/>
        </w:rPr>
        <w:t>’</w:t>
      </w:r>
      <w:r w:rsidRPr="00B6769E">
        <w:rPr>
          <w:rFonts w:eastAsia="Times New Roman"/>
          <w:szCs w:val="21"/>
        </w:rPr>
        <w:t xml:space="preserve"> rating reflects the fact that these programs are not of sufficient scale to impact on performance targets we share with PNG at the national level. The national health sector as a whole has not supported improved results against a number of key indicators, although there was notable variation in performance between some geographic regions, such as between provincial towns and rural communities.</w:t>
      </w:r>
      <w:r w:rsidR="000879D0" w:rsidRPr="00B6769E">
        <w:rPr>
          <w:rFonts w:eastAsia="Times New Roman"/>
          <w:szCs w:val="21"/>
        </w:rPr>
        <w:t xml:space="preserve"> </w:t>
      </w:r>
      <w:r w:rsidRPr="00B6769E">
        <w:rPr>
          <w:rFonts w:eastAsia="Times New Roman"/>
          <w:szCs w:val="21"/>
        </w:rPr>
        <w:t>Areas where PNG displayed improved performance at the national level included the emergency response to tuberc</w:t>
      </w:r>
      <w:r w:rsidR="00B61298">
        <w:rPr>
          <w:rFonts w:eastAsia="Times New Roman"/>
          <w:szCs w:val="21"/>
        </w:rPr>
        <w:t>ulosis (TB) in Western Province</w:t>
      </w:r>
      <w:r w:rsidRPr="00B6769E">
        <w:rPr>
          <w:rFonts w:eastAsia="Times New Roman"/>
          <w:szCs w:val="21"/>
        </w:rPr>
        <w:t xml:space="preserve">. PNG continued to make progress in its campaign against malaria. However, measles vaccine coverage for children under one year of age dropped from 63 per cent in 2014 to 39 per cent in 2015. The rate of skilled birth attendance worsened, and is off track at 37 per cent in 2015 (compared to 44 per cent in 2014). </w:t>
      </w:r>
      <w:r w:rsidR="00B61298">
        <w:rPr>
          <w:rFonts w:eastAsia="Times New Roman"/>
          <w:szCs w:val="21"/>
        </w:rPr>
        <w:t>PNG’s</w:t>
      </w:r>
      <w:r w:rsidRPr="00B6769E">
        <w:rPr>
          <w:rFonts w:eastAsia="Times New Roman"/>
          <w:szCs w:val="21"/>
        </w:rPr>
        <w:t xml:space="preserve"> National Health Plan </w:t>
      </w:r>
      <w:r w:rsidR="00526A54" w:rsidRPr="00B6769E">
        <w:rPr>
          <w:rFonts w:eastAsia="Times New Roman"/>
          <w:szCs w:val="21"/>
        </w:rPr>
        <w:t xml:space="preserve">mid-term review </w:t>
      </w:r>
      <w:r w:rsidRPr="00B6769E">
        <w:rPr>
          <w:rFonts w:eastAsia="Times New Roman"/>
          <w:szCs w:val="21"/>
        </w:rPr>
        <w:t xml:space="preserve">concluded the drivers of “sluggish” performance were </w:t>
      </w:r>
      <w:r w:rsidR="00EC47D9" w:rsidRPr="00B6769E">
        <w:rPr>
          <w:rFonts w:eastAsia="Times New Roman"/>
          <w:szCs w:val="21"/>
        </w:rPr>
        <w:t>the</w:t>
      </w:r>
      <w:r w:rsidR="0067220B" w:rsidRPr="00B6769E">
        <w:rPr>
          <w:rFonts w:eastAsia="Times New Roman"/>
          <w:szCs w:val="21"/>
        </w:rPr>
        <w:t xml:space="preserve"> </w:t>
      </w:r>
      <w:r w:rsidRPr="00B6769E">
        <w:rPr>
          <w:rFonts w:eastAsia="Times New Roman"/>
          <w:szCs w:val="21"/>
        </w:rPr>
        <w:t xml:space="preserve">lack of investment in workforce and poor prioritisation of financial resources.  </w:t>
      </w:r>
    </w:p>
    <w:p w:rsidR="00445E3E" w:rsidRPr="00B6769E" w:rsidRDefault="00B61298" w:rsidP="00445E3E">
      <w:pPr>
        <w:spacing w:after="120" w:line="280" w:lineRule="exact"/>
        <w:rPr>
          <w:rFonts w:eastAsia="Times New Roman"/>
          <w:szCs w:val="21"/>
        </w:rPr>
      </w:pPr>
      <w:r w:rsidRPr="00B6769E">
        <w:rPr>
          <w:noProof/>
          <w:sz w:val="24"/>
          <w:lang w:val="en-AU" w:eastAsia="en-AU"/>
        </w:rPr>
        <mc:AlternateContent>
          <mc:Choice Requires="wps">
            <w:drawing>
              <wp:anchor distT="0" distB="0" distL="114300" distR="114300" simplePos="0" relativeHeight="251702272" behindDoc="1" locked="0" layoutInCell="1" allowOverlap="1" wp14:anchorId="11ED1B9B" wp14:editId="5048BCC9">
                <wp:simplePos x="0" y="0"/>
                <wp:positionH relativeFrom="column">
                  <wp:posOffset>11430</wp:posOffset>
                </wp:positionH>
                <wp:positionV relativeFrom="paragraph">
                  <wp:posOffset>579755</wp:posOffset>
                </wp:positionV>
                <wp:extent cx="2472690" cy="3220085"/>
                <wp:effectExtent l="0" t="0" r="22860" b="18415"/>
                <wp:wrapTight wrapText="bothSides">
                  <wp:wrapPolygon edited="0">
                    <wp:start x="0" y="0"/>
                    <wp:lineTo x="0" y="21596"/>
                    <wp:lineTo x="21633" y="21596"/>
                    <wp:lineTo x="21633" y="0"/>
                    <wp:lineTo x="0" y="0"/>
                  </wp:wrapPolygon>
                </wp:wrapTight>
                <wp:docPr id="15" name="Text Box 2" descr="Australia joined with China and PNG to launch a trilateral agreement to improve malaria diagnosis within PNG by strengthening laboratory services and research. " title="Trilateral malaria diagnosis agree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3220085"/>
                        </a:xfrm>
                        <a:prstGeom prst="rect">
                          <a:avLst/>
                        </a:prstGeom>
                        <a:solidFill>
                          <a:sysClr val="window" lastClr="FFFFFF"/>
                        </a:solidFill>
                        <a:ln w="25400" cap="flat" cmpd="sng" algn="ctr">
                          <a:solidFill>
                            <a:srgbClr val="65C5B4"/>
                          </a:solidFill>
                          <a:prstDash val="solid"/>
                          <a:headEnd/>
                          <a:tailEnd/>
                        </a:ln>
                        <a:effectLst/>
                      </wps:spPr>
                      <wps:txbx>
                        <w:txbxContent>
                          <w:p w:rsidR="00B80664" w:rsidRDefault="00B80664" w:rsidP="0010576B">
                            <w:pPr>
                              <w:rPr>
                                <w:rFonts w:ascii="Franklin Gothic Book" w:hAnsi="Franklin Gothic Book"/>
                                <w:sz w:val="21"/>
                                <w:szCs w:val="21"/>
                              </w:rPr>
                            </w:pPr>
                            <w:r>
                              <w:rPr>
                                <w:rFonts w:ascii="Franklin Gothic Book" w:hAnsi="Franklin Gothic Book"/>
                                <w:noProof/>
                                <w:sz w:val="21"/>
                                <w:szCs w:val="21"/>
                                <w:lang w:val="en-AU" w:eastAsia="en-AU"/>
                              </w:rPr>
                              <w:drawing>
                                <wp:inline distT="0" distB="0" distL="0" distR="0">
                                  <wp:extent cx="2264410" cy="1509395"/>
                                  <wp:effectExtent l="0" t="0" r="2540" b="0"/>
                                  <wp:docPr id="1" name="Picture 1" descr="Australian High Commissioner to PNG H.E. Bruce Davis, PNG Minister for Health and HIV/AIDS Michael Malabag and China’s Ambassador to PNG H.E. Li Ruiyou launch the agreement." title="Trilateral malaria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 High Commission Mr Bruce Davis, Minister for Health &amp; HIVAIDS Michael Malabag and Chinese Ambassador Li Ruiyou.JPG"/>
                                          <pic:cNvPicPr/>
                                        </pic:nvPicPr>
                                        <pic:blipFill>
                                          <a:blip r:embed="rId20" cstate="screen">
                                            <a:extLst>
                                              <a:ext uri="{28A0092B-C50C-407E-A947-70E740481C1C}">
                                                <a14:useLocalDpi xmlns:a14="http://schemas.microsoft.com/office/drawing/2010/main"/>
                                              </a:ext>
                                            </a:extLst>
                                          </a:blip>
                                          <a:stretch>
                                            <a:fillRect/>
                                          </a:stretch>
                                        </pic:blipFill>
                                        <pic:spPr>
                                          <a:xfrm>
                                            <a:off x="0" y="0"/>
                                            <a:ext cx="2264410" cy="1509395"/>
                                          </a:xfrm>
                                          <a:prstGeom prst="rect">
                                            <a:avLst/>
                                          </a:prstGeom>
                                        </pic:spPr>
                                      </pic:pic>
                                    </a:graphicData>
                                  </a:graphic>
                                </wp:inline>
                              </w:drawing>
                            </w:r>
                          </w:p>
                          <w:p w:rsidR="00B80664" w:rsidRDefault="00B80664" w:rsidP="0010576B">
                            <w:pPr>
                              <w:rPr>
                                <w:rFonts w:ascii="Franklin Gothic Book" w:hAnsi="Franklin Gothic Book"/>
                                <w:sz w:val="21"/>
                                <w:szCs w:val="21"/>
                              </w:rPr>
                            </w:pPr>
                            <w:r w:rsidRPr="00BB42CE">
                              <w:rPr>
                                <w:rFonts w:ascii="Franklin Gothic Book" w:hAnsi="Franklin Gothic Book"/>
                                <w:sz w:val="21"/>
                                <w:szCs w:val="21"/>
                              </w:rPr>
                              <w:t xml:space="preserve">Australia joined with China and PNG to launch a trilateral agreement to improve malaria diagnosis within PNG by strengthening laboratory services and research. </w:t>
                            </w:r>
                          </w:p>
                          <w:p w:rsidR="00B80664" w:rsidRPr="00C52F8F" w:rsidRDefault="00B80664" w:rsidP="0010576B">
                            <w:pPr>
                              <w:rPr>
                                <w:rFonts w:ascii="Franklin Gothic Book" w:hAnsi="Franklin Gothic Book"/>
                                <w:sz w:val="16"/>
                                <w:szCs w:val="16"/>
                              </w:rPr>
                            </w:pPr>
                            <w:r>
                              <w:rPr>
                                <w:rFonts w:ascii="Franklin Gothic Book" w:hAnsi="Franklin Gothic Book"/>
                                <w:sz w:val="16"/>
                                <w:szCs w:val="16"/>
                              </w:rPr>
                              <w:t xml:space="preserve">Pictured above: Australian High Commissioner to PNG H.E. Bruce Davis, PNG Minister for Health and HIV/AIDS Michael </w:t>
                            </w:r>
                            <w:proofErr w:type="spellStart"/>
                            <w:r>
                              <w:rPr>
                                <w:rFonts w:ascii="Franklin Gothic Book" w:hAnsi="Franklin Gothic Book"/>
                                <w:sz w:val="16"/>
                                <w:szCs w:val="16"/>
                              </w:rPr>
                              <w:t>Malabag</w:t>
                            </w:r>
                            <w:proofErr w:type="spellEnd"/>
                            <w:r>
                              <w:rPr>
                                <w:rFonts w:ascii="Franklin Gothic Book" w:hAnsi="Franklin Gothic Book"/>
                                <w:sz w:val="16"/>
                                <w:szCs w:val="16"/>
                              </w:rPr>
                              <w:t xml:space="preserve"> and China’s Ambassador to PNG H.E. Li </w:t>
                            </w:r>
                            <w:proofErr w:type="spellStart"/>
                            <w:r>
                              <w:rPr>
                                <w:rFonts w:ascii="Franklin Gothic Book" w:hAnsi="Franklin Gothic Book"/>
                                <w:sz w:val="16"/>
                                <w:szCs w:val="16"/>
                              </w:rPr>
                              <w:t>Ruiyou</w:t>
                            </w:r>
                            <w:proofErr w:type="spellEnd"/>
                            <w:r>
                              <w:rPr>
                                <w:rFonts w:ascii="Franklin Gothic Book" w:hAnsi="Franklin Gothic Book"/>
                                <w:sz w:val="16"/>
                                <w:szCs w:val="16"/>
                              </w:rPr>
                              <w:t xml:space="preserve"> launch the agreement.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1ED1B9B" id="_x0000_t202" coordsize="21600,21600" o:spt="202" path="m,l,21600r21600,l21600,xe">
                <v:stroke joinstyle="miter"/>
                <v:path gradientshapeok="t" o:connecttype="rect"/>
              </v:shapetype>
              <v:shape id="Text Box 2" o:spid="_x0000_s1026" type="#_x0000_t202" alt="Title: Trilateral malaria diagnosis agreement - Description: Australia joined with China and PNG to launch a trilateral agreement to improve malaria diagnosis within PNG by strengthening laboratory services and research. " style="position:absolute;margin-left:.9pt;margin-top:45.65pt;width:194.7pt;height:253.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" fillcolor="window" strokecolor="#65c5b4" strokeweight="2pt">
                <v:textbox>
                  <w:txbxContent>
                    <w:p w:rsidR="00B80664" w:rsidRDefault="00B80664" w:rsidP="0010576B">
                      <w:pPr>
                        <w:rPr>
                          <w:rFonts w:ascii="Franklin Gothic Book" w:hAnsi="Franklin Gothic Book"/>
                          <w:sz w:val="21"/>
                          <w:szCs w:val="21"/>
                        </w:rPr>
                      </w:pPr>
                      <w:r>
                        <w:rPr>
                          <w:rFonts w:ascii="Franklin Gothic Book" w:hAnsi="Franklin Gothic Book"/>
                          <w:noProof/>
                          <w:sz w:val="21"/>
                          <w:szCs w:val="21"/>
                          <w:lang w:val="en-AU" w:eastAsia="en-AU"/>
                        </w:rPr>
                        <w:drawing>
                          <wp:inline distT="0" distB="0" distL="0" distR="0">
                            <wp:extent cx="2264410" cy="1509395"/>
                            <wp:effectExtent l="0" t="0" r="2540" b="0"/>
                            <wp:docPr id="1" name="Picture 1" descr="Australian High Commissioner to PNG H.E. Bruce Davis, PNG Minister for Health and HIV/AIDS Michael Malabag and China’s Ambassador to PNG H.E. Li Ruiyou launch the agreement." title="Trilateral malaria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 High Commission Mr Bruce Davis, Minister for Health &amp; HIVAIDS Michael Malabag and Chinese Ambassador Li Ruiyou.JPG"/>
                                    <pic:cNvPicPr/>
                                  </pic:nvPicPr>
                                  <pic:blipFill>
                                    <a:blip r:embed="rId21" cstate="screen">
                                      <a:extLst>
                                        <a:ext uri="{28A0092B-C50C-407E-A947-70E740481C1C}">
                                          <a14:useLocalDpi xmlns:a14="http://schemas.microsoft.com/office/drawing/2010/main"/>
                                        </a:ext>
                                      </a:extLst>
                                    </a:blip>
                                    <a:stretch>
                                      <a:fillRect/>
                                    </a:stretch>
                                  </pic:blipFill>
                                  <pic:spPr>
                                    <a:xfrm>
                                      <a:off x="0" y="0"/>
                                      <a:ext cx="2264410" cy="1509395"/>
                                    </a:xfrm>
                                    <a:prstGeom prst="rect">
                                      <a:avLst/>
                                    </a:prstGeom>
                                  </pic:spPr>
                                </pic:pic>
                              </a:graphicData>
                            </a:graphic>
                          </wp:inline>
                        </w:drawing>
                      </w:r>
                    </w:p>
                    <w:p w:rsidR="00B80664" w:rsidRDefault="00B80664" w:rsidP="0010576B">
                      <w:pPr>
                        <w:rPr>
                          <w:rFonts w:ascii="Franklin Gothic Book" w:hAnsi="Franklin Gothic Book"/>
                          <w:sz w:val="21"/>
                          <w:szCs w:val="21"/>
                        </w:rPr>
                      </w:pPr>
                      <w:r w:rsidRPr="00BB42CE">
                        <w:rPr>
                          <w:rFonts w:ascii="Franklin Gothic Book" w:hAnsi="Franklin Gothic Book"/>
                          <w:sz w:val="21"/>
                          <w:szCs w:val="21"/>
                        </w:rPr>
                        <w:t xml:space="preserve">Australia joined with China and PNG to launch a trilateral agreement to improve malaria diagnosis within PNG by strengthening laboratory services and research. </w:t>
                      </w:r>
                    </w:p>
                    <w:p w:rsidR="00B80664" w:rsidRPr="00C52F8F" w:rsidRDefault="00B80664" w:rsidP="0010576B">
                      <w:pPr>
                        <w:rPr>
                          <w:rFonts w:ascii="Franklin Gothic Book" w:hAnsi="Franklin Gothic Book"/>
                          <w:sz w:val="16"/>
                          <w:szCs w:val="16"/>
                        </w:rPr>
                      </w:pPr>
                      <w:r>
                        <w:rPr>
                          <w:rFonts w:ascii="Franklin Gothic Book" w:hAnsi="Franklin Gothic Book"/>
                          <w:sz w:val="16"/>
                          <w:szCs w:val="16"/>
                        </w:rPr>
                        <w:t xml:space="preserve">Pictured above: Australian High Commissioner to PNG H.E. Bruce Davis, PNG Minister for Health and HIV/AIDS Michael </w:t>
                      </w:r>
                      <w:proofErr w:type="spellStart"/>
                      <w:r>
                        <w:rPr>
                          <w:rFonts w:ascii="Franklin Gothic Book" w:hAnsi="Franklin Gothic Book"/>
                          <w:sz w:val="16"/>
                          <w:szCs w:val="16"/>
                        </w:rPr>
                        <w:t>Malabag</w:t>
                      </w:r>
                      <w:proofErr w:type="spellEnd"/>
                      <w:r>
                        <w:rPr>
                          <w:rFonts w:ascii="Franklin Gothic Book" w:hAnsi="Franklin Gothic Book"/>
                          <w:sz w:val="16"/>
                          <w:szCs w:val="16"/>
                        </w:rPr>
                        <w:t xml:space="preserve"> and China’s Ambassador to PNG H.E. Li </w:t>
                      </w:r>
                      <w:proofErr w:type="spellStart"/>
                      <w:r>
                        <w:rPr>
                          <w:rFonts w:ascii="Franklin Gothic Book" w:hAnsi="Franklin Gothic Book"/>
                          <w:sz w:val="16"/>
                          <w:szCs w:val="16"/>
                        </w:rPr>
                        <w:t>Ruiyou</w:t>
                      </w:r>
                      <w:proofErr w:type="spellEnd"/>
                      <w:r>
                        <w:rPr>
                          <w:rFonts w:ascii="Franklin Gothic Book" w:hAnsi="Franklin Gothic Book"/>
                          <w:sz w:val="16"/>
                          <w:szCs w:val="16"/>
                        </w:rPr>
                        <w:t xml:space="preserve"> launch the agreement.</w:t>
                      </w:r>
                    </w:p>
                  </w:txbxContent>
                </v:textbox>
                <w10:wrap type="tight"/>
              </v:shape>
            </w:pict>
          </mc:Fallback>
        </mc:AlternateContent>
      </w:r>
      <w:r w:rsidR="00445E3E" w:rsidRPr="00B6769E">
        <w:rPr>
          <w:rFonts w:eastAsia="Times New Roman"/>
          <w:szCs w:val="21"/>
        </w:rPr>
        <w:t xml:space="preserve">Australia and PNG’s shared health goal in the Aid Partnership is to strengthen the primary health care system, to improve maternal and child health and to reduce the burden of communicable diseases such as HIV, TB and malaria. We work closely and effectively with PNG national partners including the National Department of Health. Our health programs are implemented bilaterally with the </w:t>
      </w:r>
      <w:r w:rsidR="004D387E" w:rsidRPr="00B6769E">
        <w:rPr>
          <w:rFonts w:eastAsia="Times New Roman"/>
          <w:szCs w:val="21"/>
        </w:rPr>
        <w:t xml:space="preserve">PNG </w:t>
      </w:r>
      <w:r w:rsidR="00445E3E" w:rsidRPr="00B6769E">
        <w:rPr>
          <w:rFonts w:eastAsia="Times New Roman"/>
          <w:szCs w:val="21"/>
        </w:rPr>
        <w:t>Government and with development partners including the Asian Development Bank, World Health Organization, Global Fund, GAVI, the Vaccine Alliance, World Bank, non-government organisations, and the private sector.</w:t>
      </w:r>
    </w:p>
    <w:p w:rsidR="00445E3E" w:rsidRPr="00B6769E" w:rsidRDefault="009027B5" w:rsidP="00445E3E">
      <w:pPr>
        <w:spacing w:after="120" w:line="280" w:lineRule="exact"/>
        <w:rPr>
          <w:rFonts w:eastAsia="Times New Roman"/>
          <w:szCs w:val="21"/>
        </w:rPr>
      </w:pPr>
      <w:r>
        <w:rPr>
          <w:rFonts w:eastAsia="Times New Roman"/>
          <w:szCs w:val="21"/>
        </w:rPr>
        <w:t>In 2015-16</w:t>
      </w:r>
      <w:r w:rsidR="00445E3E" w:rsidRPr="00B6769E">
        <w:rPr>
          <w:rFonts w:eastAsia="Times New Roman"/>
          <w:szCs w:val="21"/>
        </w:rPr>
        <w:t xml:space="preserve"> Australia </w:t>
      </w:r>
      <w:r w:rsidR="00D86BAF">
        <w:rPr>
          <w:rFonts w:eastAsia="Times New Roman"/>
          <w:szCs w:val="21"/>
        </w:rPr>
        <w:t>invested approximately $11</w:t>
      </w:r>
      <w:r w:rsidR="00445E3E" w:rsidRPr="00B6769E">
        <w:rPr>
          <w:rFonts w:eastAsia="Times New Roman"/>
          <w:szCs w:val="21"/>
        </w:rPr>
        <w:t xml:space="preserve">0 million </w:t>
      </w:r>
      <w:r w:rsidR="00C0718C" w:rsidRPr="00B6769E">
        <w:rPr>
          <w:rFonts w:eastAsia="Times New Roman"/>
          <w:szCs w:val="21"/>
        </w:rPr>
        <w:t>(PGK241.3 million</w:t>
      </w:r>
      <w:r w:rsidR="008A61A7">
        <w:rPr>
          <w:rFonts w:eastAsia="Times New Roman"/>
          <w:szCs w:val="21"/>
        </w:rPr>
        <w:t>, including Joint Understanding commitments</w:t>
      </w:r>
      <w:r w:rsidR="00C0718C" w:rsidRPr="00B6769E">
        <w:rPr>
          <w:rFonts w:eastAsia="Times New Roman"/>
          <w:szCs w:val="21"/>
        </w:rPr>
        <w:t xml:space="preserve">) </w:t>
      </w:r>
      <w:r w:rsidR="00445E3E" w:rsidRPr="00B6769E">
        <w:rPr>
          <w:rFonts w:eastAsia="Times New Roman"/>
          <w:szCs w:val="21"/>
        </w:rPr>
        <w:t>toward health and HIV outcomes in PNG through investments in financing, procurement, capacity development and service delivery, multilateral partnerships</w:t>
      </w:r>
      <w:r w:rsidR="00047C83">
        <w:rPr>
          <w:rFonts w:eastAsia="Times New Roman"/>
          <w:szCs w:val="21"/>
        </w:rPr>
        <w:t xml:space="preserve">, </w:t>
      </w:r>
      <w:r w:rsidR="008A61A7">
        <w:rPr>
          <w:rFonts w:eastAsia="Times New Roman"/>
          <w:szCs w:val="21"/>
        </w:rPr>
        <w:t>infrastructure</w:t>
      </w:r>
      <w:r w:rsidR="00445E3E" w:rsidRPr="00B6769E">
        <w:rPr>
          <w:rFonts w:eastAsia="Times New Roman"/>
          <w:szCs w:val="21"/>
        </w:rPr>
        <w:t xml:space="preserve"> and in-country scholarships. </w:t>
      </w:r>
      <w:r w:rsidR="0097648B">
        <w:rPr>
          <w:rFonts w:eastAsia="Times New Roman"/>
          <w:szCs w:val="21"/>
        </w:rPr>
        <w:t xml:space="preserve">While </w:t>
      </w:r>
      <w:r w:rsidR="00445E3E" w:rsidRPr="00B6769E">
        <w:rPr>
          <w:rFonts w:eastAsia="Times New Roman"/>
          <w:szCs w:val="21"/>
        </w:rPr>
        <w:t xml:space="preserve">PNG’s health budget increased to PGK1.567 billion </w:t>
      </w:r>
      <w:r w:rsidR="000C6913" w:rsidRPr="00B6769E">
        <w:rPr>
          <w:rFonts w:eastAsia="Times New Roman"/>
          <w:szCs w:val="21"/>
        </w:rPr>
        <w:t xml:space="preserve">($646 million) </w:t>
      </w:r>
      <w:r w:rsidR="00445E3E" w:rsidRPr="00B6769E">
        <w:rPr>
          <w:rFonts w:eastAsia="Times New Roman"/>
          <w:szCs w:val="21"/>
        </w:rPr>
        <w:t xml:space="preserve">for 2016, </w:t>
      </w:r>
      <w:r w:rsidR="000C6913" w:rsidRPr="00B6769E">
        <w:rPr>
          <w:rFonts w:eastAsia="Times New Roman"/>
          <w:szCs w:val="21"/>
        </w:rPr>
        <w:t xml:space="preserve">many </w:t>
      </w:r>
      <w:r w:rsidR="00445E3E" w:rsidRPr="00B6769E">
        <w:rPr>
          <w:rFonts w:eastAsia="Times New Roman"/>
          <w:szCs w:val="21"/>
        </w:rPr>
        <w:t xml:space="preserve">key areas, such as delivery of rural health services, experienced reductions. In 2015, PNG released approximately </w:t>
      </w:r>
      <w:r w:rsidR="00CF5037" w:rsidRPr="00B6769E">
        <w:rPr>
          <w:rFonts w:eastAsia="Times New Roman"/>
          <w:szCs w:val="21"/>
        </w:rPr>
        <w:t>PG</w:t>
      </w:r>
      <w:r w:rsidR="00445E3E" w:rsidRPr="00B6769E">
        <w:rPr>
          <w:rFonts w:eastAsia="Times New Roman"/>
          <w:szCs w:val="21"/>
        </w:rPr>
        <w:t xml:space="preserve">K8 million </w:t>
      </w:r>
      <w:r w:rsidR="00CF5037" w:rsidRPr="00B6769E">
        <w:rPr>
          <w:rFonts w:eastAsia="Times New Roman"/>
          <w:szCs w:val="21"/>
        </w:rPr>
        <w:t xml:space="preserve">($3.3 million) </w:t>
      </w:r>
      <w:r w:rsidR="00445E3E" w:rsidRPr="00B6769E">
        <w:rPr>
          <w:rFonts w:eastAsia="Times New Roman"/>
          <w:szCs w:val="21"/>
        </w:rPr>
        <w:t xml:space="preserve">from a PGK40.3 million </w:t>
      </w:r>
      <w:r w:rsidR="00CF5037" w:rsidRPr="00B6769E">
        <w:rPr>
          <w:rFonts w:eastAsia="Times New Roman"/>
          <w:szCs w:val="21"/>
        </w:rPr>
        <w:t xml:space="preserve">($16.7 million) </w:t>
      </w:r>
      <w:r w:rsidR="00445E3E" w:rsidRPr="00B6769E">
        <w:rPr>
          <w:rFonts w:eastAsia="Times New Roman"/>
          <w:szCs w:val="21"/>
        </w:rPr>
        <w:t xml:space="preserve">commitment for the emergency TB response. </w:t>
      </w:r>
    </w:p>
    <w:p w:rsidR="00445E3E" w:rsidRDefault="00445E3E" w:rsidP="00445E3E">
      <w:pPr>
        <w:spacing w:after="120" w:line="280" w:lineRule="exact"/>
        <w:rPr>
          <w:rFonts w:eastAsia="Times New Roman"/>
          <w:szCs w:val="21"/>
        </w:rPr>
      </w:pPr>
      <w:r w:rsidRPr="00B6769E">
        <w:rPr>
          <w:rFonts w:eastAsia="Times New Roman"/>
          <w:szCs w:val="21"/>
        </w:rPr>
        <w:t xml:space="preserve">Australia’s aid program has directly contributed to strengthening PNG’s ability to deliver services. We continued to support PNG to address the critical shortfall of health workers and skills by </w:t>
      </w:r>
      <w:r w:rsidR="008A7EC1" w:rsidRPr="00B6769E">
        <w:rPr>
          <w:rFonts w:eastAsia="Times New Roman"/>
          <w:szCs w:val="21"/>
        </w:rPr>
        <w:t xml:space="preserve">offering </w:t>
      </w:r>
      <w:r w:rsidRPr="00B6769E">
        <w:rPr>
          <w:rFonts w:eastAsia="Times New Roman"/>
          <w:szCs w:val="21"/>
        </w:rPr>
        <w:t xml:space="preserve">a total of </w:t>
      </w:r>
      <w:r w:rsidR="008A7EC1" w:rsidRPr="00B6769E">
        <w:rPr>
          <w:rFonts w:eastAsia="Times New Roman"/>
          <w:szCs w:val="21"/>
        </w:rPr>
        <w:t>467</w:t>
      </w:r>
      <w:r w:rsidRPr="00B6769E">
        <w:rPr>
          <w:rFonts w:eastAsia="Times New Roman"/>
          <w:szCs w:val="21"/>
        </w:rPr>
        <w:t xml:space="preserve"> scholarships for nurses, midwives and community health workers in 2015. </w:t>
      </w:r>
      <w:r w:rsidR="008A61A7">
        <w:rPr>
          <w:rFonts w:eastAsia="Times New Roman"/>
          <w:szCs w:val="21"/>
        </w:rPr>
        <w:t>With our support, a</w:t>
      </w:r>
      <w:r w:rsidR="008A7EC1" w:rsidRPr="00B6769E">
        <w:rPr>
          <w:rFonts w:eastAsia="Times New Roman"/>
          <w:szCs w:val="21"/>
        </w:rPr>
        <w:t xml:space="preserve">lmost 700 Papua New Guineans have graduated with midwifery, nursing and community health work qualifications since 2013. </w:t>
      </w:r>
      <w:r w:rsidRPr="00B6769E">
        <w:rPr>
          <w:rFonts w:eastAsia="Times New Roman"/>
          <w:szCs w:val="21"/>
        </w:rPr>
        <w:t>Australian-funded clinical midwifery facilitators at all four midwifery schools provided training and mentoring to 365 practicing</w:t>
      </w:r>
      <w:r w:rsidR="008A61A7">
        <w:rPr>
          <w:rFonts w:eastAsia="Times New Roman"/>
          <w:szCs w:val="21"/>
        </w:rPr>
        <w:t xml:space="preserve"> and student midwives in 2015. Our t</w:t>
      </w:r>
      <w:r w:rsidRPr="00B6769E">
        <w:rPr>
          <w:rFonts w:eastAsia="Times New Roman"/>
          <w:szCs w:val="21"/>
        </w:rPr>
        <w:t>echnical support to the Nursing Council helped to demonstrate that there has been an increase in the overall number of nurses since 2009.</w:t>
      </w:r>
    </w:p>
    <w:p w:rsidR="00B61298" w:rsidRPr="00B6769E" w:rsidRDefault="00B61298" w:rsidP="00B61298">
      <w:pPr>
        <w:spacing w:after="120" w:line="280" w:lineRule="exact"/>
        <w:rPr>
          <w:rFonts w:eastAsia="Times New Roman"/>
          <w:szCs w:val="21"/>
        </w:rPr>
      </w:pPr>
      <w:r>
        <w:rPr>
          <w:rFonts w:eastAsia="Times New Roman"/>
          <w:szCs w:val="21"/>
        </w:rPr>
        <w:t>W</w:t>
      </w:r>
      <w:r w:rsidRPr="00B6769E">
        <w:rPr>
          <w:rFonts w:eastAsia="Times New Roman"/>
          <w:szCs w:val="21"/>
        </w:rPr>
        <w:t>hile Australian aid del</w:t>
      </w:r>
      <w:r w:rsidR="008A61A7">
        <w:rPr>
          <w:rFonts w:eastAsia="Times New Roman"/>
          <w:szCs w:val="21"/>
        </w:rPr>
        <w:t xml:space="preserve">ivered newly qualified midwives, </w:t>
      </w:r>
      <w:r w:rsidRPr="00B6769E">
        <w:rPr>
          <w:rFonts w:eastAsia="Times New Roman"/>
          <w:szCs w:val="21"/>
        </w:rPr>
        <w:t>family planning and HIV test</w:t>
      </w:r>
      <w:r>
        <w:rPr>
          <w:rFonts w:eastAsia="Times New Roman"/>
          <w:szCs w:val="21"/>
        </w:rPr>
        <w:t>ing for pregnant women, the</w:t>
      </w:r>
      <w:r w:rsidRPr="00B6769E">
        <w:rPr>
          <w:rFonts w:eastAsia="Times New Roman"/>
          <w:szCs w:val="21"/>
        </w:rPr>
        <w:t xml:space="preserve"> national indicators for skilled birth attendance and HIV treatment for pregnant women worsened. In the absence of Australian support we would expect national performance to be lower against the relevant indicators. </w:t>
      </w:r>
      <w:r>
        <w:rPr>
          <w:rFonts w:eastAsia="Times New Roman"/>
          <w:szCs w:val="21"/>
        </w:rPr>
        <w:t>T</w:t>
      </w:r>
      <w:r w:rsidRPr="00B6769E">
        <w:rPr>
          <w:rFonts w:eastAsia="Times New Roman"/>
          <w:szCs w:val="21"/>
        </w:rPr>
        <w:t xml:space="preserve">he </w:t>
      </w:r>
      <w:r w:rsidR="005075C7">
        <w:rPr>
          <w:rFonts w:eastAsia="Times New Roman"/>
          <w:szCs w:val="21"/>
        </w:rPr>
        <w:t>mid-term r</w:t>
      </w:r>
      <w:r w:rsidRPr="005075C7">
        <w:rPr>
          <w:rFonts w:eastAsia="Times New Roman"/>
          <w:szCs w:val="21"/>
        </w:rPr>
        <w:t xml:space="preserve">eview </w:t>
      </w:r>
      <w:r w:rsidR="005075C7">
        <w:rPr>
          <w:rFonts w:eastAsia="Times New Roman"/>
          <w:szCs w:val="21"/>
        </w:rPr>
        <w:t>of the</w:t>
      </w:r>
      <w:r w:rsidRPr="005075C7">
        <w:rPr>
          <w:rFonts w:eastAsia="Times New Roman"/>
          <w:szCs w:val="21"/>
        </w:rPr>
        <w:t xml:space="preserve"> National Health Plan </w:t>
      </w:r>
      <w:r w:rsidRPr="00B6769E">
        <w:rPr>
          <w:rFonts w:eastAsia="Times New Roman"/>
          <w:szCs w:val="21"/>
        </w:rPr>
        <w:t xml:space="preserve">noted that to meet national standards, PNG would require 600-800 midwives, but there are currently only around 500 practising midwives. Although Australia has supported the training of 400 new midwives since 2011, the review notes “this number has barely had an impact on the total stock of midwives for the country. Almost as many midwives have retired, moved out of midwifery, died or been retrenched during this period”. </w:t>
      </w:r>
    </w:p>
    <w:p w:rsidR="00445E3E" w:rsidRPr="00B6769E" w:rsidRDefault="00445E3E" w:rsidP="00445E3E">
      <w:pPr>
        <w:spacing w:after="120" w:line="280" w:lineRule="exact"/>
        <w:rPr>
          <w:rFonts w:eastAsia="Times New Roman"/>
          <w:szCs w:val="21"/>
        </w:rPr>
      </w:pPr>
      <w:r w:rsidRPr="00B6769E">
        <w:rPr>
          <w:rFonts w:eastAsia="Times New Roman"/>
          <w:szCs w:val="21"/>
        </w:rPr>
        <w:lastRenderedPageBreak/>
        <w:t xml:space="preserve">New infrastructure projects included staff accommodation at </w:t>
      </w:r>
      <w:proofErr w:type="spellStart"/>
      <w:r w:rsidRPr="00B6769E">
        <w:rPr>
          <w:rFonts w:eastAsia="Times New Roman"/>
          <w:szCs w:val="21"/>
        </w:rPr>
        <w:t>Lorengau</w:t>
      </w:r>
      <w:proofErr w:type="spellEnd"/>
      <w:r w:rsidRPr="00B6769E">
        <w:rPr>
          <w:rFonts w:eastAsia="Times New Roman"/>
          <w:szCs w:val="21"/>
        </w:rPr>
        <w:t xml:space="preserve"> Hospital in Manus Province. The Rural Primary Health Service Delivery Program (delivered by the Asian Development Bank and half funded by Australia) is on track for the upgrade of 32 community health posts by 2019, with 14 tendered for construction to date. At the PNG-Australia Ministerial Forum in March 2016, it was agreed that Australia would proceed with the redevelopment of the </w:t>
      </w:r>
      <w:proofErr w:type="spellStart"/>
      <w:r w:rsidRPr="00B6769E">
        <w:rPr>
          <w:rFonts w:eastAsia="Times New Roman"/>
          <w:szCs w:val="21"/>
        </w:rPr>
        <w:t>Lae</w:t>
      </w:r>
      <w:proofErr w:type="spellEnd"/>
      <w:r w:rsidRPr="00B6769E">
        <w:rPr>
          <w:rFonts w:eastAsia="Times New Roman"/>
          <w:szCs w:val="21"/>
        </w:rPr>
        <w:t xml:space="preserve"> ANGAU Memorial Hospital using Australian funding while PNG pursued options for its co-financing commitment. We are proceeding to implementation based on comprehensive planning and site preparation undertaken to date, and capital works are scheduled to commence in 2017. In the interim, we are funding an expansive program of health infrastructure upgrades, valued at approximately $32 million</w:t>
      </w:r>
      <w:r w:rsidR="00C0718C" w:rsidRPr="00B6769E">
        <w:rPr>
          <w:rFonts w:eastAsia="Times New Roman"/>
          <w:szCs w:val="21"/>
        </w:rPr>
        <w:t xml:space="preserve"> (PGK77.2 million)</w:t>
      </w:r>
      <w:r w:rsidRPr="00B6769E">
        <w:rPr>
          <w:rFonts w:eastAsia="Times New Roman"/>
          <w:szCs w:val="21"/>
        </w:rPr>
        <w:t xml:space="preserve">. This includes the redevelopment of the </w:t>
      </w:r>
      <w:proofErr w:type="spellStart"/>
      <w:r w:rsidRPr="00B6769E">
        <w:rPr>
          <w:rFonts w:eastAsia="Times New Roman"/>
          <w:szCs w:val="21"/>
        </w:rPr>
        <w:t>Lae</w:t>
      </w:r>
      <w:proofErr w:type="spellEnd"/>
      <w:r w:rsidRPr="00B6769E">
        <w:rPr>
          <w:rFonts w:eastAsia="Times New Roman"/>
          <w:szCs w:val="21"/>
        </w:rPr>
        <w:t xml:space="preserve"> School of Nursing on the ANGAU campus, and grants to district health facilities to reduce the burden on the hospital.</w:t>
      </w:r>
    </w:p>
    <w:p w:rsidR="00445E3E" w:rsidRPr="00B6769E" w:rsidRDefault="009027B5" w:rsidP="00445E3E">
      <w:pPr>
        <w:spacing w:after="120" w:line="280" w:lineRule="exact"/>
        <w:rPr>
          <w:rFonts w:eastAsia="Times New Roman"/>
          <w:szCs w:val="21"/>
        </w:rPr>
      </w:pPr>
      <w:r>
        <w:rPr>
          <w:rFonts w:eastAsia="Times New Roman"/>
          <w:szCs w:val="21"/>
        </w:rPr>
        <w:t>In 2015</w:t>
      </w:r>
      <w:r w:rsidR="00A22624" w:rsidRPr="00B6769E">
        <w:rPr>
          <w:rFonts w:eastAsia="Times New Roman"/>
          <w:szCs w:val="21"/>
        </w:rPr>
        <w:t xml:space="preserve"> </w:t>
      </w:r>
      <w:r w:rsidR="009A3109" w:rsidRPr="00B6769E">
        <w:rPr>
          <w:rFonts w:eastAsia="Times New Roman"/>
          <w:szCs w:val="21"/>
        </w:rPr>
        <w:t>Australia</w:t>
      </w:r>
      <w:r w:rsidR="0067220B" w:rsidRPr="00B6769E">
        <w:rPr>
          <w:rFonts w:eastAsia="Times New Roman"/>
          <w:szCs w:val="21"/>
        </w:rPr>
        <w:t xml:space="preserve"> supported PNG’s Health Service Improvement Program to provide predictable and targeted funding to provinces and to improve public financial management. </w:t>
      </w:r>
      <w:r w:rsidR="00A22624" w:rsidRPr="00B6769E">
        <w:rPr>
          <w:rFonts w:eastAsia="Times New Roman"/>
          <w:szCs w:val="21"/>
        </w:rPr>
        <w:t xml:space="preserve">The program </w:t>
      </w:r>
      <w:r w:rsidR="008A7EC1" w:rsidRPr="00B6769E">
        <w:rPr>
          <w:rFonts w:eastAsia="Times New Roman"/>
          <w:szCs w:val="21"/>
        </w:rPr>
        <w:t>made funding available</w:t>
      </w:r>
      <w:r w:rsidR="00A22624" w:rsidRPr="00B6769E">
        <w:rPr>
          <w:rFonts w:eastAsia="Times New Roman"/>
          <w:szCs w:val="21"/>
        </w:rPr>
        <w:t xml:space="preserve"> </w:t>
      </w:r>
      <w:r w:rsidR="008A7EC1" w:rsidRPr="00B6769E">
        <w:rPr>
          <w:rFonts w:eastAsia="Times New Roman"/>
          <w:szCs w:val="21"/>
        </w:rPr>
        <w:t xml:space="preserve">for </w:t>
      </w:r>
      <w:r w:rsidR="00A22624" w:rsidRPr="00B6769E">
        <w:rPr>
          <w:rFonts w:eastAsia="Times New Roman"/>
          <w:szCs w:val="21"/>
        </w:rPr>
        <w:t>infrastructure</w:t>
      </w:r>
      <w:r w:rsidR="00E37B96" w:rsidRPr="00B6769E">
        <w:rPr>
          <w:rFonts w:eastAsia="Times New Roman"/>
          <w:szCs w:val="21"/>
        </w:rPr>
        <w:t xml:space="preserve"> in disadvantaged districts </w:t>
      </w:r>
      <w:r w:rsidR="00A22624" w:rsidRPr="00B6769E">
        <w:rPr>
          <w:rFonts w:eastAsia="Times New Roman"/>
          <w:szCs w:val="21"/>
        </w:rPr>
        <w:t xml:space="preserve">and emergency obstetric retrievals </w:t>
      </w:r>
      <w:r w:rsidR="008A7EC1" w:rsidRPr="00B6769E">
        <w:rPr>
          <w:rFonts w:eastAsia="Times New Roman"/>
          <w:szCs w:val="21"/>
        </w:rPr>
        <w:t>in all</w:t>
      </w:r>
      <w:r w:rsidR="00E37B96" w:rsidRPr="00B6769E">
        <w:rPr>
          <w:rFonts w:eastAsia="Times New Roman"/>
          <w:szCs w:val="21"/>
        </w:rPr>
        <w:t xml:space="preserve"> provinces</w:t>
      </w:r>
      <w:r w:rsidR="00A22624" w:rsidRPr="00B6769E">
        <w:rPr>
          <w:rFonts w:eastAsia="Times New Roman"/>
          <w:szCs w:val="21"/>
        </w:rPr>
        <w:t xml:space="preserve">. </w:t>
      </w:r>
      <w:r w:rsidR="008A7EC1" w:rsidRPr="00B6769E">
        <w:rPr>
          <w:rFonts w:eastAsia="Times New Roman"/>
          <w:szCs w:val="21"/>
        </w:rPr>
        <w:t>T</w:t>
      </w:r>
      <w:r w:rsidR="00E37B96" w:rsidRPr="00B6769E">
        <w:rPr>
          <w:rFonts w:eastAsia="Times New Roman"/>
          <w:szCs w:val="21"/>
        </w:rPr>
        <w:t>he capacity to efficiently expense funding in some provinces remained</w:t>
      </w:r>
      <w:r w:rsidR="00A22624" w:rsidRPr="00B6769E">
        <w:rPr>
          <w:rFonts w:eastAsia="Times New Roman"/>
          <w:szCs w:val="21"/>
        </w:rPr>
        <w:t xml:space="preserve"> low</w:t>
      </w:r>
      <w:r w:rsidR="008A7EC1" w:rsidRPr="00B6769E">
        <w:rPr>
          <w:rFonts w:eastAsia="Times New Roman"/>
          <w:szCs w:val="21"/>
        </w:rPr>
        <w:t>,</w:t>
      </w:r>
      <w:r w:rsidR="00A22624" w:rsidRPr="00B6769E">
        <w:rPr>
          <w:rFonts w:eastAsia="Times New Roman"/>
          <w:szCs w:val="21"/>
        </w:rPr>
        <w:t xml:space="preserve"> </w:t>
      </w:r>
      <w:r w:rsidR="0037066E" w:rsidRPr="00B6769E">
        <w:rPr>
          <w:rFonts w:eastAsia="Times New Roman"/>
          <w:szCs w:val="21"/>
        </w:rPr>
        <w:t xml:space="preserve">which </w:t>
      </w:r>
      <w:r w:rsidR="009B14F6">
        <w:rPr>
          <w:rFonts w:eastAsia="Times New Roman"/>
          <w:szCs w:val="21"/>
        </w:rPr>
        <w:t xml:space="preserve">limited their use of </w:t>
      </w:r>
      <w:r w:rsidR="008A7EC1" w:rsidRPr="00B6769E">
        <w:rPr>
          <w:rFonts w:eastAsia="Times New Roman"/>
          <w:szCs w:val="21"/>
        </w:rPr>
        <w:t>funding and constrained program outcomes</w:t>
      </w:r>
      <w:r w:rsidR="00A22624" w:rsidRPr="00B6769E">
        <w:rPr>
          <w:rFonts w:eastAsia="Times New Roman"/>
          <w:szCs w:val="21"/>
        </w:rPr>
        <w:t xml:space="preserve">. </w:t>
      </w:r>
      <w:r w:rsidR="00445E3E" w:rsidRPr="00B6769E">
        <w:rPr>
          <w:rFonts w:eastAsia="Times New Roman"/>
          <w:szCs w:val="21"/>
        </w:rPr>
        <w:t xml:space="preserve">With our support, the World Bank </w:t>
      </w:r>
      <w:r w:rsidR="009B14F6">
        <w:rPr>
          <w:rFonts w:eastAsia="Times New Roman"/>
          <w:szCs w:val="21"/>
        </w:rPr>
        <w:t>provided</w:t>
      </w:r>
      <w:r w:rsidR="00445E3E" w:rsidRPr="00B6769E">
        <w:rPr>
          <w:rFonts w:eastAsia="Times New Roman"/>
          <w:szCs w:val="21"/>
        </w:rPr>
        <w:t xml:space="preserve"> the National Department of Health </w:t>
      </w:r>
      <w:r w:rsidR="009B14F6">
        <w:rPr>
          <w:rFonts w:eastAsia="Times New Roman"/>
          <w:szCs w:val="21"/>
        </w:rPr>
        <w:t>with</w:t>
      </w:r>
      <w:r w:rsidR="00445E3E" w:rsidRPr="00B6769E">
        <w:rPr>
          <w:rFonts w:eastAsia="Times New Roman"/>
          <w:szCs w:val="21"/>
        </w:rPr>
        <w:t xml:space="preserve"> evidence-based analysis on critical funding gaps and constraints in the delivery of services.</w:t>
      </w:r>
    </w:p>
    <w:p w:rsidR="00285150" w:rsidRPr="00B6769E" w:rsidRDefault="00445E3E" w:rsidP="00445E3E">
      <w:pPr>
        <w:spacing w:after="120" w:line="280" w:lineRule="exact"/>
        <w:rPr>
          <w:rFonts w:eastAsia="Times New Roman"/>
          <w:szCs w:val="21"/>
        </w:rPr>
      </w:pPr>
      <w:r w:rsidRPr="00B6769E">
        <w:rPr>
          <w:rFonts w:eastAsia="Times New Roman"/>
          <w:szCs w:val="21"/>
        </w:rPr>
        <w:t xml:space="preserve">Australia’s investments in the TB response in Western Province contributed to improving treatment and care at Daru General Hospital. Better clinical management of drug-resistant TB cases has led to an increase of people staying on treatment from around 40 per cent in 2011 to more than 97 per cent by 2016. The percentage of patients dying from drug-resistant-TB in Daru has nearly halved since 2013, to 6.4 per cent in 2015. </w:t>
      </w:r>
      <w:r w:rsidR="00B61298">
        <w:rPr>
          <w:rFonts w:eastAsia="Times New Roman"/>
          <w:szCs w:val="21"/>
        </w:rPr>
        <w:t>In addition to our ongoing support, Australia will continue</w:t>
      </w:r>
      <w:r w:rsidRPr="00B6769E">
        <w:rPr>
          <w:rFonts w:eastAsia="Times New Roman"/>
          <w:szCs w:val="21"/>
        </w:rPr>
        <w:t xml:space="preserve"> to encourage PNG to seek new sources of external funding</w:t>
      </w:r>
      <w:r w:rsidR="00B61298">
        <w:rPr>
          <w:rFonts w:eastAsia="Times New Roman"/>
          <w:szCs w:val="21"/>
        </w:rPr>
        <w:t xml:space="preserve"> for the TB response</w:t>
      </w:r>
      <w:r w:rsidRPr="00B6769E">
        <w:rPr>
          <w:rFonts w:eastAsia="Times New Roman"/>
          <w:szCs w:val="21"/>
        </w:rPr>
        <w:t xml:space="preserve">.  </w:t>
      </w:r>
    </w:p>
    <w:p w:rsidR="00445E3E" w:rsidRPr="00B6769E" w:rsidRDefault="00766316" w:rsidP="00445E3E">
      <w:pPr>
        <w:spacing w:after="120" w:line="280" w:lineRule="exact"/>
        <w:rPr>
          <w:rFonts w:eastAsia="Times New Roman"/>
          <w:szCs w:val="21"/>
        </w:rPr>
      </w:pPr>
      <w:r>
        <w:rPr>
          <w:rFonts w:eastAsia="Times New Roman"/>
          <w:szCs w:val="21"/>
        </w:rPr>
        <w:t>Australia continued to assist PNG to address</w:t>
      </w:r>
      <w:r w:rsidR="00445E3E" w:rsidRPr="00B6769E">
        <w:rPr>
          <w:rFonts w:eastAsia="Times New Roman"/>
          <w:szCs w:val="21"/>
        </w:rPr>
        <w:t xml:space="preserve"> key health issues </w:t>
      </w:r>
      <w:r>
        <w:rPr>
          <w:rFonts w:eastAsia="Times New Roman"/>
          <w:szCs w:val="21"/>
        </w:rPr>
        <w:t>including preventing the transmission of HIV</w:t>
      </w:r>
      <w:r w:rsidR="000B718F" w:rsidRPr="00B6769E">
        <w:rPr>
          <w:rFonts w:eastAsia="Times New Roman"/>
          <w:szCs w:val="21"/>
        </w:rPr>
        <w:t xml:space="preserve">. We supported the </w:t>
      </w:r>
      <w:r w:rsidR="00445E3E" w:rsidRPr="00B6769E">
        <w:rPr>
          <w:rFonts w:eastAsia="Times New Roman"/>
          <w:szCs w:val="21"/>
        </w:rPr>
        <w:t xml:space="preserve">distribution of 4.8 million condoms, HIV testing for more than 115,000 people (including 22,000 pregnant women) and anti-retroviral therapy for </w:t>
      </w:r>
      <w:r w:rsidR="001B1F1E">
        <w:rPr>
          <w:rFonts w:eastAsia="Times New Roman"/>
          <w:szCs w:val="21"/>
        </w:rPr>
        <w:t>11,0</w:t>
      </w:r>
      <w:r w:rsidR="00445E3E" w:rsidRPr="00B6769E">
        <w:rPr>
          <w:rFonts w:eastAsia="Times New Roman"/>
          <w:szCs w:val="21"/>
        </w:rPr>
        <w:t>00 HIV positive people</w:t>
      </w:r>
      <w:r w:rsidR="009B14F6">
        <w:rPr>
          <w:rFonts w:eastAsia="Times New Roman"/>
          <w:szCs w:val="21"/>
        </w:rPr>
        <w:t xml:space="preserve"> in 2015</w:t>
      </w:r>
      <w:r w:rsidR="00445E3E" w:rsidRPr="00B6769E">
        <w:rPr>
          <w:rFonts w:eastAsia="Times New Roman"/>
          <w:szCs w:val="21"/>
        </w:rPr>
        <w:t xml:space="preserve">. Our support for people most at risk of HIV increased from 5,800 people in 2014 to nearly 11,000 by December 2015, consistent with our approach of maintaining our focus on most-at-risk populations while investments in HIV progressively shift to PNG Government responsibility. </w:t>
      </w:r>
      <w:r w:rsidR="009B14F6">
        <w:rPr>
          <w:rFonts w:eastAsia="Times New Roman"/>
          <w:szCs w:val="21"/>
        </w:rPr>
        <w:t>Our</w:t>
      </w:r>
      <w:r w:rsidR="009B14F6" w:rsidRPr="00B6769E">
        <w:rPr>
          <w:rFonts w:eastAsia="Times New Roman"/>
          <w:szCs w:val="21"/>
        </w:rPr>
        <w:t xml:space="preserve"> </w:t>
      </w:r>
      <w:r w:rsidR="00445E3E" w:rsidRPr="00B6769E">
        <w:rPr>
          <w:rFonts w:eastAsia="Times New Roman"/>
          <w:szCs w:val="21"/>
        </w:rPr>
        <w:t xml:space="preserve">health investments contributed to gender equality, with our support to Marie Stopes International and the NGO </w:t>
      </w:r>
      <w:proofErr w:type="spellStart"/>
      <w:r w:rsidR="00445E3E" w:rsidRPr="00B6769E">
        <w:rPr>
          <w:rFonts w:eastAsia="Times New Roman"/>
          <w:szCs w:val="21"/>
        </w:rPr>
        <w:t>Susu</w:t>
      </w:r>
      <w:proofErr w:type="spellEnd"/>
      <w:r w:rsidR="00445E3E" w:rsidRPr="00B6769E">
        <w:rPr>
          <w:rFonts w:eastAsia="Times New Roman"/>
          <w:szCs w:val="21"/>
        </w:rPr>
        <w:t xml:space="preserve"> Mamas contributing to 2,734 women accessing rural outreach services, 28,344 women attending urban health services and the delivery of 14,368 long acting and permanent methods of family planning in 2015. </w:t>
      </w:r>
      <w:r w:rsidR="00022F3D" w:rsidRPr="00B6769E">
        <w:rPr>
          <w:rFonts w:eastAsia="Times New Roman"/>
          <w:szCs w:val="21"/>
        </w:rPr>
        <w:t xml:space="preserve">Our assistance to the PNG Development Law Association provided legal assistance to survivors of family and sexual violence and counselling for sexual assault. </w:t>
      </w:r>
      <w:r w:rsidR="00445E3E" w:rsidRPr="00B6769E">
        <w:rPr>
          <w:rFonts w:eastAsia="Times New Roman"/>
          <w:szCs w:val="21"/>
        </w:rPr>
        <w:t>In a first-of-a-kind partnership,</w:t>
      </w:r>
      <w:r w:rsidR="00964BB5">
        <w:rPr>
          <w:rFonts w:eastAsia="Times New Roman"/>
          <w:szCs w:val="21"/>
        </w:rPr>
        <w:t xml:space="preserve"> </w:t>
      </w:r>
      <w:r w:rsidR="00964BB5" w:rsidRPr="00B6769E">
        <w:rPr>
          <w:rFonts w:eastAsia="Times New Roman"/>
          <w:szCs w:val="21"/>
        </w:rPr>
        <w:t xml:space="preserve">in January 2016 </w:t>
      </w:r>
      <w:r w:rsidR="00445E3E" w:rsidRPr="00B6769E">
        <w:rPr>
          <w:rFonts w:eastAsia="Times New Roman"/>
          <w:szCs w:val="21"/>
        </w:rPr>
        <w:t xml:space="preserve">Australia joined with China and PNG to launch a trilateral agreement to improve malaria diagnosis within PNG by strengthening laboratory services and research. </w:t>
      </w:r>
    </w:p>
    <w:p w:rsidR="00445E3E" w:rsidRPr="00B6769E" w:rsidRDefault="00445E3E" w:rsidP="00445E3E">
      <w:pPr>
        <w:spacing w:after="120" w:line="280" w:lineRule="exact"/>
        <w:rPr>
          <w:rFonts w:eastAsia="Times New Roman"/>
          <w:i/>
          <w:szCs w:val="21"/>
        </w:rPr>
      </w:pPr>
      <w:r w:rsidRPr="00B6769E">
        <w:rPr>
          <w:rFonts w:eastAsia="Times New Roman"/>
          <w:i/>
          <w:szCs w:val="21"/>
        </w:rPr>
        <w:t>Outlook</w:t>
      </w:r>
    </w:p>
    <w:p w:rsidR="00445E3E" w:rsidRPr="00B6769E" w:rsidRDefault="00445E3E" w:rsidP="0069377C">
      <w:pPr>
        <w:spacing w:after="120" w:line="280" w:lineRule="exact"/>
        <w:rPr>
          <w:rFonts w:eastAsia="Times New Roman"/>
          <w:szCs w:val="21"/>
        </w:rPr>
      </w:pPr>
      <w:r w:rsidRPr="00B6769E">
        <w:rPr>
          <w:rFonts w:eastAsia="Times New Roman"/>
          <w:szCs w:val="21"/>
        </w:rPr>
        <w:t xml:space="preserve">In line with </w:t>
      </w:r>
      <w:r w:rsidR="00766316">
        <w:rPr>
          <w:rFonts w:eastAsia="Times New Roman"/>
          <w:szCs w:val="21"/>
        </w:rPr>
        <w:t>PNG’s</w:t>
      </w:r>
      <w:r w:rsidRPr="00B6769E">
        <w:rPr>
          <w:rFonts w:eastAsia="Times New Roman"/>
          <w:szCs w:val="21"/>
        </w:rPr>
        <w:t xml:space="preserve"> </w:t>
      </w:r>
      <w:r w:rsidRPr="00B6769E">
        <w:rPr>
          <w:rFonts w:eastAsia="Times New Roman"/>
          <w:i/>
          <w:szCs w:val="21"/>
        </w:rPr>
        <w:t>National Health Plan 2011-2020</w:t>
      </w:r>
      <w:r w:rsidRPr="00B6769E">
        <w:rPr>
          <w:rFonts w:eastAsia="Times New Roman"/>
          <w:szCs w:val="21"/>
        </w:rPr>
        <w:t xml:space="preserve">, Australia’s focus will remain on strengthening the primary health care system to improve maternal and child health, and to reduce the burden of </w:t>
      </w:r>
      <w:r w:rsidR="00C80C8A" w:rsidRPr="00B6769E">
        <w:rPr>
          <w:rFonts w:eastAsia="Times New Roman"/>
          <w:szCs w:val="21"/>
        </w:rPr>
        <w:t>infectious diseases</w:t>
      </w:r>
      <w:r w:rsidRPr="00B6769E">
        <w:rPr>
          <w:rFonts w:eastAsia="Times New Roman"/>
          <w:szCs w:val="21"/>
        </w:rPr>
        <w:t xml:space="preserve"> and family and sexual violence.</w:t>
      </w:r>
      <w:r w:rsidR="000B718F" w:rsidRPr="00B6769E">
        <w:rPr>
          <w:rFonts w:eastAsia="Times New Roman"/>
          <w:szCs w:val="21"/>
        </w:rPr>
        <w:t xml:space="preserve"> While the program has delivered results as expected, it needs to refocus monitoring and evaluation to look beyond activity outputs an</w:t>
      </w:r>
      <w:r w:rsidR="00EB148F" w:rsidRPr="00B6769E">
        <w:rPr>
          <w:rFonts w:eastAsia="Times New Roman"/>
          <w:szCs w:val="21"/>
        </w:rPr>
        <w:t>d</w:t>
      </w:r>
      <w:r w:rsidR="000B718F" w:rsidRPr="00B6769E">
        <w:rPr>
          <w:rFonts w:eastAsia="Times New Roman"/>
          <w:szCs w:val="21"/>
        </w:rPr>
        <w:t xml:space="preserve"> to track the impact of investments on health outcomes and health policy.</w:t>
      </w:r>
      <w:r w:rsidRPr="00B6769E">
        <w:rPr>
          <w:rFonts w:eastAsia="Times New Roman"/>
          <w:szCs w:val="21"/>
        </w:rPr>
        <w:t xml:space="preserve"> A mid-term review of the Health </w:t>
      </w:r>
      <w:r w:rsidR="00EB148F" w:rsidRPr="00B6769E">
        <w:rPr>
          <w:rFonts w:eastAsia="Times New Roman"/>
          <w:szCs w:val="21"/>
        </w:rPr>
        <w:t>Capacity Development and Service Delivery program</w:t>
      </w:r>
      <w:r w:rsidRPr="00B6769E">
        <w:rPr>
          <w:rFonts w:eastAsia="Times New Roman"/>
          <w:szCs w:val="21"/>
        </w:rPr>
        <w:t xml:space="preserve"> and a sector investment plan will inform future investment in areas including health financing and public financial management. In recognition that it is the PNG Government’s responsibility to adequately resource and manage a responsive and sustainable health system, Australia is moving towards supporting the development of core public health capacity and away from direct support to service delivery. However, reduced PNG Government funding to the health sector combined with decentralisation is likely to increase the pressure on district administrat</w:t>
      </w:r>
      <w:r w:rsidR="00766316">
        <w:rPr>
          <w:rFonts w:eastAsia="Times New Roman"/>
          <w:szCs w:val="21"/>
        </w:rPr>
        <w:t>ions to deliver health services</w:t>
      </w:r>
      <w:r w:rsidRPr="00B6769E">
        <w:rPr>
          <w:rFonts w:eastAsia="Times New Roman"/>
          <w:szCs w:val="21"/>
        </w:rPr>
        <w:t>.</w:t>
      </w:r>
      <w:r w:rsidR="000B718F" w:rsidRPr="00B6769E">
        <w:rPr>
          <w:rFonts w:eastAsia="Times New Roman"/>
          <w:szCs w:val="21"/>
        </w:rPr>
        <w:t xml:space="preserve"> </w:t>
      </w:r>
    </w:p>
    <w:p w:rsidR="00DF4E14" w:rsidRPr="000B62C6" w:rsidRDefault="000B62C6" w:rsidP="000B62C6">
      <w:pPr>
        <w:pStyle w:val="Heading3"/>
        <w:rPr>
          <w:sz w:val="38"/>
          <w:szCs w:val="38"/>
        </w:rPr>
      </w:pPr>
      <w:r w:rsidRPr="000B62C6">
        <w:rPr>
          <w:sz w:val="38"/>
          <w:szCs w:val="38"/>
        </w:rPr>
        <w:lastRenderedPageBreak/>
        <w:t xml:space="preserve">OUTCOME 2: EDUCATION </w:t>
      </w:r>
    </w:p>
    <w:p w:rsidR="00766316" w:rsidRPr="00B6769E" w:rsidRDefault="00B169A8" w:rsidP="00766316">
      <w:pPr>
        <w:spacing w:after="120" w:line="280" w:lineRule="exact"/>
      </w:pPr>
      <w:r w:rsidRPr="00B6769E">
        <w:t xml:space="preserve">Australia’s PNG education program, as agreed in the Aid Partnership, is moving towards a greater focus on </w:t>
      </w:r>
      <w:r w:rsidR="00087948">
        <w:t xml:space="preserve">the </w:t>
      </w:r>
      <w:r w:rsidRPr="00B6769E">
        <w:t>quality</w:t>
      </w:r>
      <w:r w:rsidR="00087948">
        <w:t xml:space="preserve"> of education</w:t>
      </w:r>
      <w:r w:rsidRPr="00B6769E">
        <w:t xml:space="preserve">, the technical and vocational education and training (TVET) sector and provincial level assistance. </w:t>
      </w:r>
      <w:r w:rsidR="00766316" w:rsidRPr="00B6769E">
        <w:t>Under the previous Partnership for Development, Australia and PNG agreed to pursue significant measurable progress towards the achievement of Universal Basic Education. While progress against outcomes has been slower than anticipated, there have been measurable gains in a year when PNG’s education funding was severely impacted by its budget deficit. In 2015-16, the Australia Awards program continued to support more than 1</w:t>
      </w:r>
      <w:r w:rsidR="00766316">
        <w:t>,</w:t>
      </w:r>
      <w:r w:rsidR="00766316" w:rsidRPr="00B6769E">
        <w:t>160 students to study in Australia and in PNG</w:t>
      </w:r>
      <w:r w:rsidR="00766316">
        <w:t xml:space="preserve">. We more than </w:t>
      </w:r>
      <w:r w:rsidR="00766316" w:rsidRPr="00B6769E">
        <w:t>doubled the numb</w:t>
      </w:r>
      <w:r w:rsidR="00766316">
        <w:t>er of active Australia Awards a</w:t>
      </w:r>
      <w:r w:rsidR="00766316" w:rsidRPr="00B6769E">
        <w:t xml:space="preserve">lumni, many of whom contribute to the economic growth and prosperity of PNG. In other areas, our assistance helped the PNG Government to achieve incremental improvements in net enrolment rates and the gender parity index in schools. This, and the fact that our </w:t>
      </w:r>
      <w:r w:rsidR="00766316" w:rsidRPr="00B6769E">
        <w:rPr>
          <w:rFonts w:eastAsia="Times New Roman"/>
        </w:rPr>
        <w:t>programs are not of sufficient relative scale to impact on the performance targets we share with PNG at the national level,</w:t>
      </w:r>
      <w:r w:rsidR="00766316" w:rsidRPr="00B6769E">
        <w:t xml:space="preserve"> is reflected in the </w:t>
      </w:r>
      <w:r w:rsidR="00766316">
        <w:t>‘</w:t>
      </w:r>
      <w:r w:rsidR="00766316" w:rsidRPr="00B6769E">
        <w:t>amber</w:t>
      </w:r>
      <w:r w:rsidR="00766316">
        <w:t>’</w:t>
      </w:r>
      <w:r w:rsidR="00766316" w:rsidRPr="00B6769E">
        <w:t xml:space="preserve"> rating.</w:t>
      </w:r>
    </w:p>
    <w:p w:rsidR="00431C48" w:rsidRPr="00B6769E" w:rsidRDefault="00766316" w:rsidP="00B169A8">
      <w:pPr>
        <w:spacing w:after="120" w:line="280" w:lineRule="exact"/>
      </w:pPr>
      <w:r w:rsidRPr="00B6769E">
        <w:rPr>
          <w:noProof/>
          <w:lang w:val="en-AU" w:eastAsia="en-AU"/>
        </w:rPr>
        <mc:AlternateContent>
          <mc:Choice Requires="wps">
            <w:drawing>
              <wp:anchor distT="0" distB="0" distL="114300" distR="114300" simplePos="0" relativeHeight="251700224" behindDoc="1" locked="0" layoutInCell="1" allowOverlap="1" wp14:anchorId="5FE42A4C" wp14:editId="4F378E22">
                <wp:simplePos x="0" y="0"/>
                <wp:positionH relativeFrom="column">
                  <wp:posOffset>3175</wp:posOffset>
                </wp:positionH>
                <wp:positionV relativeFrom="paragraph">
                  <wp:posOffset>403225</wp:posOffset>
                </wp:positionV>
                <wp:extent cx="2472690" cy="2917825"/>
                <wp:effectExtent l="0" t="0" r="22860" b="15875"/>
                <wp:wrapTight wrapText="bothSides">
                  <wp:wrapPolygon edited="0">
                    <wp:start x="0" y="0"/>
                    <wp:lineTo x="0" y="21576"/>
                    <wp:lineTo x="21633" y="21576"/>
                    <wp:lineTo x="21633"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917825"/>
                        </a:xfrm>
                        <a:prstGeom prst="rect">
                          <a:avLst/>
                        </a:prstGeom>
                        <a:solidFill>
                          <a:sysClr val="window" lastClr="FFFFFF"/>
                        </a:solidFill>
                        <a:ln w="25400" cap="flat" cmpd="sng" algn="ctr">
                          <a:solidFill>
                            <a:srgbClr val="65C5B4"/>
                          </a:solidFill>
                          <a:prstDash val="solid"/>
                          <a:headEnd/>
                          <a:tailEnd/>
                        </a:ln>
                        <a:effectLst/>
                      </wps:spPr>
                      <wps:txbx>
                        <w:txbxContent>
                          <w:p w:rsidR="00B80664" w:rsidRDefault="00B80664" w:rsidP="0010576B">
                            <w:pPr>
                              <w:rPr>
                                <w:rFonts w:ascii="Franklin Gothic Book" w:hAnsi="Franklin Gothic Book"/>
                                <w:sz w:val="21"/>
                                <w:szCs w:val="21"/>
                              </w:rPr>
                            </w:pPr>
                            <w:r>
                              <w:rPr>
                                <w:rFonts w:ascii="Franklin Gothic Book" w:hAnsi="Franklin Gothic Book"/>
                                <w:noProof/>
                                <w:sz w:val="21"/>
                                <w:szCs w:val="21"/>
                                <w:lang w:val="en-AU" w:eastAsia="en-AU"/>
                              </w:rPr>
                              <w:drawing>
                                <wp:inline distT="0" distB="0" distL="0" distR="0">
                                  <wp:extent cx="2264410" cy="1509395"/>
                                  <wp:effectExtent l="0" t="0" r="2540" b="0"/>
                                  <wp:docPr id="9" name="Picture 9" descr="Minister for Foreign Affairs Julie Bishop opening new classrooms at Kilakila Primary School in Port Moresby in November 2015." title="Classroom op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 Bishop beams after unveiling a plaque to signify the opening of the Kilakila Primary School building package in Port Moresby.JPG"/>
                                          <pic:cNvPicPr/>
                                        </pic:nvPicPr>
                                        <pic:blipFill>
                                          <a:blip r:embed="rId22" cstate="screen">
                                            <a:extLst>
                                              <a:ext uri="{28A0092B-C50C-407E-A947-70E740481C1C}">
                                                <a14:useLocalDpi xmlns:a14="http://schemas.microsoft.com/office/drawing/2010/main"/>
                                              </a:ext>
                                            </a:extLst>
                                          </a:blip>
                                          <a:stretch>
                                            <a:fillRect/>
                                          </a:stretch>
                                        </pic:blipFill>
                                        <pic:spPr>
                                          <a:xfrm>
                                            <a:off x="0" y="0"/>
                                            <a:ext cx="2264410" cy="1509395"/>
                                          </a:xfrm>
                                          <a:prstGeom prst="rect">
                                            <a:avLst/>
                                          </a:prstGeom>
                                        </pic:spPr>
                                      </pic:pic>
                                    </a:graphicData>
                                  </a:graphic>
                                </wp:inline>
                              </w:drawing>
                            </w:r>
                          </w:p>
                          <w:p w:rsidR="00B80664" w:rsidRDefault="00B80664" w:rsidP="0010576B">
                            <w:pPr>
                              <w:rPr>
                                <w:rFonts w:ascii="Franklin Gothic Book" w:hAnsi="Franklin Gothic Book"/>
                                <w:sz w:val="21"/>
                                <w:szCs w:val="21"/>
                              </w:rPr>
                            </w:pPr>
                            <w:r w:rsidRPr="00B6769E">
                              <w:rPr>
                                <w:rFonts w:ascii="Franklin Gothic Book" w:hAnsi="Franklin Gothic Book"/>
                                <w:sz w:val="21"/>
                                <w:szCs w:val="21"/>
                              </w:rPr>
                              <w:t xml:space="preserve">Australia </w:t>
                            </w:r>
                            <w:r>
                              <w:rPr>
                                <w:rFonts w:ascii="Franklin Gothic Book" w:hAnsi="Franklin Gothic Book"/>
                                <w:sz w:val="21"/>
                                <w:szCs w:val="21"/>
                              </w:rPr>
                              <w:t>completed</w:t>
                            </w:r>
                            <w:r w:rsidRPr="00B6769E">
                              <w:rPr>
                                <w:rFonts w:ascii="Franklin Gothic Book" w:hAnsi="Franklin Gothic Book"/>
                                <w:sz w:val="21"/>
                                <w:szCs w:val="21"/>
                              </w:rPr>
                              <w:t xml:space="preserve"> 150 classrooms, 55 teachers’ houses and 57 ablution blocks, benefiting more than 5000 girls and boys.</w:t>
                            </w:r>
                          </w:p>
                          <w:p w:rsidR="00B80664" w:rsidRPr="00997DC9" w:rsidRDefault="00B80664" w:rsidP="0010576B">
                            <w:pPr>
                              <w:rPr>
                                <w:rFonts w:ascii="Franklin Gothic Book" w:hAnsi="Franklin Gothic Book"/>
                                <w:sz w:val="16"/>
                                <w:szCs w:val="16"/>
                              </w:rPr>
                            </w:pPr>
                            <w:r>
                              <w:rPr>
                                <w:rFonts w:ascii="Franklin Gothic Book" w:hAnsi="Franklin Gothic Book"/>
                                <w:sz w:val="16"/>
                                <w:szCs w:val="16"/>
                              </w:rPr>
                              <w:t xml:space="preserve">Pictured above: Minister for Foreign Affairs Julie Bishop opening new classrooms at </w:t>
                            </w:r>
                            <w:proofErr w:type="spellStart"/>
                            <w:r>
                              <w:rPr>
                                <w:rFonts w:ascii="Franklin Gothic Book" w:hAnsi="Franklin Gothic Book"/>
                                <w:sz w:val="16"/>
                                <w:szCs w:val="16"/>
                              </w:rPr>
                              <w:t>Kilakila</w:t>
                            </w:r>
                            <w:proofErr w:type="spellEnd"/>
                            <w:r>
                              <w:rPr>
                                <w:rFonts w:ascii="Franklin Gothic Book" w:hAnsi="Franklin Gothic Book"/>
                                <w:sz w:val="16"/>
                                <w:szCs w:val="16"/>
                              </w:rPr>
                              <w:t xml:space="preserve"> Primary School in Port Moresby in November 2015.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FE42A4C" id="_x0000_s1027" type="#_x0000_t202" style="position:absolute;margin-left:.25pt;margin-top:31.75pt;width:194.7pt;height:229.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" fillcolor="window" strokecolor="#65c5b4" strokeweight="2pt">
                <v:textbox>
                  <w:txbxContent>
                    <w:p w:rsidR="00B80664" w:rsidRDefault="00B80664" w:rsidP="0010576B">
                      <w:pPr>
                        <w:rPr>
                          <w:rFonts w:ascii="Franklin Gothic Book" w:hAnsi="Franklin Gothic Book"/>
                          <w:sz w:val="21"/>
                          <w:szCs w:val="21"/>
                        </w:rPr>
                      </w:pPr>
                      <w:r>
                        <w:rPr>
                          <w:rFonts w:ascii="Franklin Gothic Book" w:hAnsi="Franklin Gothic Book"/>
                          <w:noProof/>
                          <w:sz w:val="21"/>
                          <w:szCs w:val="21"/>
                          <w:lang w:val="en-AU" w:eastAsia="en-AU"/>
                        </w:rPr>
                        <w:drawing>
                          <wp:inline distT="0" distB="0" distL="0" distR="0">
                            <wp:extent cx="2264410" cy="1509395"/>
                            <wp:effectExtent l="0" t="0" r="2540" b="0"/>
                            <wp:docPr id="9" name="Picture 9" descr="Minister for Foreign Affairs Julie Bishop opening new classrooms at Kilakila Primary School in Port Moresby in November 2015." title="Classroom op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 Bishop beams after unveiling a plaque to signify the opening of the Kilakila Primary School building package in Port Moresby.JPG"/>
                                    <pic:cNvPicPr/>
                                  </pic:nvPicPr>
                                  <pic:blipFill>
                                    <a:blip r:embed="rId23" cstate="screen">
                                      <a:extLst>
                                        <a:ext uri="{28A0092B-C50C-407E-A947-70E740481C1C}">
                                          <a14:useLocalDpi xmlns:a14="http://schemas.microsoft.com/office/drawing/2010/main"/>
                                        </a:ext>
                                      </a:extLst>
                                    </a:blip>
                                    <a:stretch>
                                      <a:fillRect/>
                                    </a:stretch>
                                  </pic:blipFill>
                                  <pic:spPr>
                                    <a:xfrm>
                                      <a:off x="0" y="0"/>
                                      <a:ext cx="2264410" cy="1509395"/>
                                    </a:xfrm>
                                    <a:prstGeom prst="rect">
                                      <a:avLst/>
                                    </a:prstGeom>
                                  </pic:spPr>
                                </pic:pic>
                              </a:graphicData>
                            </a:graphic>
                          </wp:inline>
                        </w:drawing>
                      </w:r>
                    </w:p>
                    <w:p w:rsidR="00B80664" w:rsidRDefault="00B80664" w:rsidP="0010576B">
                      <w:pPr>
                        <w:rPr>
                          <w:rFonts w:ascii="Franklin Gothic Book" w:hAnsi="Franklin Gothic Book"/>
                          <w:sz w:val="21"/>
                          <w:szCs w:val="21"/>
                        </w:rPr>
                      </w:pPr>
                      <w:r w:rsidRPr="00B6769E">
                        <w:rPr>
                          <w:rFonts w:ascii="Franklin Gothic Book" w:hAnsi="Franklin Gothic Book"/>
                          <w:sz w:val="21"/>
                          <w:szCs w:val="21"/>
                        </w:rPr>
                        <w:t xml:space="preserve">Australia </w:t>
                      </w:r>
                      <w:r>
                        <w:rPr>
                          <w:rFonts w:ascii="Franklin Gothic Book" w:hAnsi="Franklin Gothic Book"/>
                          <w:sz w:val="21"/>
                          <w:szCs w:val="21"/>
                        </w:rPr>
                        <w:t>completed</w:t>
                      </w:r>
                      <w:r w:rsidRPr="00B6769E">
                        <w:rPr>
                          <w:rFonts w:ascii="Franklin Gothic Book" w:hAnsi="Franklin Gothic Book"/>
                          <w:sz w:val="21"/>
                          <w:szCs w:val="21"/>
                        </w:rPr>
                        <w:t xml:space="preserve"> 150 classrooms, 55 teachers’ houses and 57 ablution blocks, benefiting more than 5000 girls and boys.</w:t>
                      </w:r>
                    </w:p>
                    <w:p w:rsidR="00B80664" w:rsidRPr="00997DC9" w:rsidRDefault="00B80664" w:rsidP="0010576B">
                      <w:pPr>
                        <w:rPr>
                          <w:rFonts w:ascii="Franklin Gothic Book" w:hAnsi="Franklin Gothic Book"/>
                          <w:sz w:val="16"/>
                          <w:szCs w:val="16"/>
                        </w:rPr>
                      </w:pPr>
                      <w:r>
                        <w:rPr>
                          <w:rFonts w:ascii="Franklin Gothic Book" w:hAnsi="Franklin Gothic Book"/>
                          <w:sz w:val="16"/>
                          <w:szCs w:val="16"/>
                        </w:rPr>
                        <w:t xml:space="preserve">Pictured above: Minister for Foreign Affairs Julie Bishop opening new classrooms at </w:t>
                      </w:r>
                      <w:proofErr w:type="spellStart"/>
                      <w:r>
                        <w:rPr>
                          <w:rFonts w:ascii="Franklin Gothic Book" w:hAnsi="Franklin Gothic Book"/>
                          <w:sz w:val="16"/>
                          <w:szCs w:val="16"/>
                        </w:rPr>
                        <w:t>Kilakila</w:t>
                      </w:r>
                      <w:proofErr w:type="spellEnd"/>
                      <w:r>
                        <w:rPr>
                          <w:rFonts w:ascii="Franklin Gothic Book" w:hAnsi="Franklin Gothic Book"/>
                          <w:sz w:val="16"/>
                          <w:szCs w:val="16"/>
                        </w:rPr>
                        <w:t xml:space="preserve"> Primary School in Port Moresby in November 2015.</w:t>
                      </w:r>
                    </w:p>
                  </w:txbxContent>
                </v:textbox>
                <w10:wrap type="tight"/>
              </v:shape>
            </w:pict>
          </mc:Fallback>
        </mc:AlternateContent>
      </w:r>
      <w:r w:rsidR="00B169A8" w:rsidRPr="00B6769E">
        <w:t>The PNG Government allocates approximately nine per cent of the national budget to education, with a significant proportion of this allocated to school fee subsidies.  Australia is the largest donor to the education sector, supporting early childhood, basic, secondary, technical and higher education.  In 2015, we contributed AU$65 million (</w:t>
      </w:r>
      <w:r w:rsidR="006D6E7F" w:rsidRPr="00B6769E">
        <w:t xml:space="preserve">PGK157 million) – </w:t>
      </w:r>
      <w:r w:rsidR="00B169A8" w:rsidRPr="00B6769E">
        <w:t xml:space="preserve">around eight per cent of the total education </w:t>
      </w:r>
      <w:r w:rsidR="006D6E7F" w:rsidRPr="00B6769E">
        <w:t>budget –</w:t>
      </w:r>
      <w:r w:rsidR="00B169A8" w:rsidRPr="00B6769E">
        <w:t xml:space="preserve"> toward basic and higher education activities ($34.6 million</w:t>
      </w:r>
      <w:r w:rsidR="006D6E7F" w:rsidRPr="00B6769E">
        <w:t xml:space="preserve"> or approximately PGK83.7 million</w:t>
      </w:r>
      <w:r w:rsidR="00B169A8" w:rsidRPr="00B6769E">
        <w:t>) and Australia Awards ($30.4 million</w:t>
      </w:r>
      <w:r w:rsidR="006D6E7F" w:rsidRPr="00B6769E">
        <w:t xml:space="preserve"> or approximately PGK73.5 million</w:t>
      </w:r>
      <w:r w:rsidR="00B169A8" w:rsidRPr="00B6769E">
        <w:t xml:space="preserve">) to support better access to school, improved quality of education and stronger </w:t>
      </w:r>
      <w:r w:rsidR="009B14F6" w:rsidRPr="00B6769E">
        <w:t>employability for young people.</w:t>
      </w:r>
    </w:p>
    <w:p w:rsidR="00A21D61" w:rsidRPr="00B6769E" w:rsidRDefault="00A21D61" w:rsidP="00A21D61">
      <w:pPr>
        <w:spacing w:after="120" w:line="280" w:lineRule="exact"/>
      </w:pPr>
      <w:r w:rsidRPr="00B6769E">
        <w:t xml:space="preserve">Increased school enrolments continued to generate demand for additional school resources. An additional 133,000 girls and boys enrolled in school, against our </w:t>
      </w:r>
      <w:r w:rsidR="009F2572" w:rsidRPr="00B6769E">
        <w:t xml:space="preserve">AIP </w:t>
      </w:r>
      <w:r w:rsidRPr="00B6769E">
        <w:t xml:space="preserve">performance benchmark of 155,000.  </w:t>
      </w:r>
      <w:r w:rsidR="00DB485D" w:rsidRPr="00B6769E">
        <w:t xml:space="preserve">The basic net enrolment rate increased from 84.2 per cent for 2014 to 88.4 per cent per cent in 2015, exceeding </w:t>
      </w:r>
      <w:r w:rsidR="009F2572" w:rsidRPr="00B6769E">
        <w:t>our target</w:t>
      </w:r>
      <w:r w:rsidR="00DB485D" w:rsidRPr="00B6769E">
        <w:t xml:space="preserve"> of 80 per cent for 2015-16. </w:t>
      </w:r>
    </w:p>
    <w:p w:rsidR="00A21D61" w:rsidRPr="009B14F6" w:rsidRDefault="00A21D61" w:rsidP="00087948">
      <w:pPr>
        <w:spacing w:after="120" w:line="280" w:lineRule="exact"/>
      </w:pPr>
      <w:r w:rsidRPr="00B6769E">
        <w:t>Australia contributed to greater access to school by completing 150 classrooms, 55 teachers’ houses and 57 ablution blocks in line with PNG Government specifications in 2015-16. This has benefitted more than 5</w:t>
      </w:r>
      <w:r w:rsidR="00087948">
        <w:t>,</w:t>
      </w:r>
      <w:r w:rsidRPr="00B6769E">
        <w:t>000 girls and boys</w:t>
      </w:r>
      <w:r w:rsidR="005662C7" w:rsidRPr="00B6769E">
        <w:t xml:space="preserve"> </w:t>
      </w:r>
      <w:r w:rsidR="00B169A8" w:rsidRPr="00B6769E">
        <w:t xml:space="preserve">and has exceed the </w:t>
      </w:r>
      <w:r w:rsidR="009F2572" w:rsidRPr="00B6769E">
        <w:t>performance benchmark</w:t>
      </w:r>
      <w:r w:rsidR="00B169A8" w:rsidRPr="00B6769E">
        <w:t xml:space="preserve"> of 30 new or refurbished buildings as noted in outcome 3.1 in Annex B.</w:t>
      </w:r>
    </w:p>
    <w:p w:rsidR="00A21D61" w:rsidRPr="00B6769E" w:rsidRDefault="00A21D61" w:rsidP="00A21D61">
      <w:pPr>
        <w:spacing w:after="120" w:line="280" w:lineRule="exact"/>
      </w:pPr>
      <w:r w:rsidRPr="00B6769E">
        <w:t xml:space="preserve">There has been </w:t>
      </w:r>
      <w:r w:rsidR="00B169A8" w:rsidRPr="00B6769E">
        <w:t xml:space="preserve">some </w:t>
      </w:r>
      <w:r w:rsidRPr="00B6769E">
        <w:t xml:space="preserve">progress in increasing the proportion of girls enrolling in basic education in relation to boys, with the gender parity index </w:t>
      </w:r>
      <w:r w:rsidR="00B169A8" w:rsidRPr="00B6769E">
        <w:t xml:space="preserve">in 2015 </w:t>
      </w:r>
      <w:r w:rsidRPr="00B6769E">
        <w:t>of 0.</w:t>
      </w:r>
      <w:r w:rsidR="00B169A8" w:rsidRPr="00B6769E">
        <w:t>89</w:t>
      </w:r>
      <w:r w:rsidRPr="00B6769E">
        <w:t xml:space="preserve"> compared with </w:t>
      </w:r>
      <w:r w:rsidR="00B169A8" w:rsidRPr="00B6769E">
        <w:t>0.88</w:t>
      </w:r>
      <w:r w:rsidRPr="00B6769E">
        <w:t xml:space="preserve"> in </w:t>
      </w:r>
      <w:r w:rsidR="00B169A8" w:rsidRPr="00B6769E">
        <w:t>2014</w:t>
      </w:r>
      <w:r w:rsidRPr="00B6769E">
        <w:t xml:space="preserve">. </w:t>
      </w:r>
      <w:r w:rsidR="00B169A8" w:rsidRPr="00B6769E">
        <w:t xml:space="preserve">Girls still drop out of school earlier than boys, due to a range of factors in and outside the school system, and the imbalance grows as they progress in the schooling system. Despite this, our efforts contributed to an increase in the </w:t>
      </w:r>
      <w:r w:rsidR="005249D1" w:rsidRPr="00B6769E">
        <w:t>gross enrolment rate (</w:t>
      </w:r>
      <w:r w:rsidR="00B169A8" w:rsidRPr="00B6769E">
        <w:t>GER</w:t>
      </w:r>
      <w:r w:rsidR="005249D1" w:rsidRPr="00B6769E">
        <w:t>)</w:t>
      </w:r>
      <w:r w:rsidR="00B169A8" w:rsidRPr="00B6769E">
        <w:t xml:space="preserve"> for girls </w:t>
      </w:r>
      <w:r w:rsidR="00DB485D" w:rsidRPr="00B6769E">
        <w:t xml:space="preserve">in primary </w:t>
      </w:r>
      <w:r w:rsidR="00B169A8" w:rsidRPr="00B6769E">
        <w:t xml:space="preserve">to 82 per cent, exceeding our </w:t>
      </w:r>
      <w:r w:rsidR="00795470" w:rsidRPr="00B6769E">
        <w:t>AIP benchmark</w:t>
      </w:r>
      <w:r w:rsidR="00B169A8" w:rsidRPr="00B6769E">
        <w:t xml:space="preserve"> of 80.5 per cent for girls under Outcome 3.3 in Annex B.  The GER for boys </w:t>
      </w:r>
      <w:r w:rsidR="00DB485D" w:rsidRPr="00B6769E">
        <w:t xml:space="preserve">in primary </w:t>
      </w:r>
      <w:r w:rsidR="00B169A8" w:rsidRPr="00B6769E">
        <w:t>reached 92.4 per cent in 2015, falling just short of our target of 93 per cent.</w:t>
      </w:r>
    </w:p>
    <w:p w:rsidR="00A21D61" w:rsidRPr="00B6769E" w:rsidRDefault="00A21D61" w:rsidP="00087948">
      <w:pPr>
        <w:spacing w:after="120" w:line="280" w:lineRule="exact"/>
      </w:pPr>
      <w:r w:rsidRPr="00B6769E">
        <w:t xml:space="preserve">Australia provided ablution blocks in schools and </w:t>
      </w:r>
      <w:r w:rsidR="005F0D8F" w:rsidRPr="005F0D8F">
        <w:t xml:space="preserve">hygiene behaviour </w:t>
      </w:r>
      <w:r w:rsidRPr="00B6769E">
        <w:t xml:space="preserve">training to address barriers to girls remaining in school. We also assisted PNG to assess its gender inclusion policies and practices in teacher colleges. With </w:t>
      </w:r>
      <w:r w:rsidR="00D45CC8" w:rsidRPr="00B6769E">
        <w:t>our</w:t>
      </w:r>
      <w:r w:rsidRPr="00B6769E">
        <w:t xml:space="preserve"> assistance, 40 elementary trainers graduated with a Bachelor of Early Childhood from the Queensland University of Technology, equipping them to support PNG’s new elementary teacher training requirements.  </w:t>
      </w:r>
    </w:p>
    <w:p w:rsidR="00A21D61" w:rsidRPr="00B6769E" w:rsidRDefault="00A21D61" w:rsidP="00A21D61">
      <w:pPr>
        <w:spacing w:after="120" w:line="280" w:lineRule="exact"/>
      </w:pPr>
      <w:r w:rsidRPr="00B6769E">
        <w:lastRenderedPageBreak/>
        <w:t>In the higher education and TVET sectors, Australia supported more than 1</w:t>
      </w:r>
      <w:r w:rsidR="00087948">
        <w:t>,</w:t>
      </w:r>
      <w:r w:rsidRPr="00B6769E">
        <w:t>100 awardees to study in Australia and in PNG</w:t>
      </w:r>
      <w:r w:rsidR="008B0D1B" w:rsidRPr="00B6769E">
        <w:t xml:space="preserve"> in 2016</w:t>
      </w:r>
      <w:r w:rsidRPr="00B6769E">
        <w:t xml:space="preserve">, with a focus on ensuring that women have equal opportunity to study. </w:t>
      </w:r>
      <w:r w:rsidR="000A4678" w:rsidRPr="00B6769E">
        <w:t xml:space="preserve">PNG is one of the largest scholarship programs globally for the Australian Government. Our investment is focussed on ensuring that women have equal opportunity to study and for the past three years we have met a target of 50 per cent of scholarships being awarded to women.  </w:t>
      </w:r>
      <w:r w:rsidRPr="00B6769E">
        <w:t xml:space="preserve"> </w:t>
      </w:r>
    </w:p>
    <w:p w:rsidR="000A4678" w:rsidRPr="00B6769E" w:rsidRDefault="000A4678" w:rsidP="000A4678">
      <w:pPr>
        <w:spacing w:after="120" w:line="280" w:lineRule="exact"/>
      </w:pPr>
      <w:r w:rsidRPr="00B6769E">
        <w:t>The Australia Awards progra</w:t>
      </w:r>
      <w:r w:rsidR="00795470" w:rsidRPr="00B6769E">
        <w:t>m develops skills and knowledge;</w:t>
      </w:r>
      <w:r w:rsidRPr="00B6769E">
        <w:t xml:space="preserve"> builds enduring people-to-people,</w:t>
      </w:r>
      <w:r w:rsidR="00795470" w:rsidRPr="00B6769E">
        <w:t xml:space="preserve"> country and professional links;</w:t>
      </w:r>
      <w:r w:rsidRPr="00B6769E">
        <w:t xml:space="preserve"> and influences positive change. Our investment in scholarships has contributed to building a qualified PNG workforce, filling critical human resource gaps (particularly in the rural health workforce) and supported good leadership in the public and private sector.  </w:t>
      </w:r>
      <w:r w:rsidR="00977D91" w:rsidRPr="00B6769E">
        <w:t>A 2013 tracer study of alumni found awardees are in more senior roles and have greater influence in their professions and communities.</w:t>
      </w:r>
    </w:p>
    <w:p w:rsidR="000A4678" w:rsidRPr="009B14F6" w:rsidRDefault="000A4678" w:rsidP="00DB485D">
      <w:pPr>
        <w:spacing w:after="120" w:line="280" w:lineRule="exact"/>
      </w:pPr>
      <w:r w:rsidRPr="009B14F6">
        <w:t xml:space="preserve">We offered Australia Awards to 458 Papua New Guineans to study in 2016 to improve their qualifications in a range of fields in both PNG and Australia. Sixty three per cent (287) were awarded to women. Five per cent (11 women and 11 men) identified with having a disability. </w:t>
      </w:r>
    </w:p>
    <w:p w:rsidR="00DB485D" w:rsidRPr="009B14F6" w:rsidRDefault="00441D7F" w:rsidP="00B6769E">
      <w:pPr>
        <w:pStyle w:val="ListParagraph"/>
        <w:numPr>
          <w:ilvl w:val="0"/>
          <w:numId w:val="49"/>
        </w:numPr>
        <w:spacing w:after="120" w:line="280" w:lineRule="exact"/>
      </w:pPr>
      <w:r>
        <w:t xml:space="preserve">We offered </w:t>
      </w:r>
      <w:r w:rsidR="00DB485D" w:rsidRPr="00B6769E">
        <w:t xml:space="preserve">124 </w:t>
      </w:r>
      <w:r>
        <w:t xml:space="preserve">Awards </w:t>
      </w:r>
      <w:r w:rsidR="00DB485D" w:rsidRPr="00B6769E">
        <w:t>for study in Australia, primarily at Masters level across a vari</w:t>
      </w:r>
      <w:r>
        <w:t>ety of sectors. Nine awardees (three women and six</w:t>
      </w:r>
      <w:r w:rsidR="00DB485D" w:rsidRPr="00B6769E">
        <w:t xml:space="preserve"> men) identified as having a disability. Sixty five (52 per cent) were women. Fifty (43 </w:t>
      </w:r>
      <w:r w:rsidR="00ED4B92">
        <w:t>per cent) were public servants</w:t>
      </w:r>
      <w:r w:rsidR="00795470" w:rsidRPr="00B6769E">
        <w:t>,</w:t>
      </w:r>
      <w:r w:rsidR="00DB485D" w:rsidRPr="00B6769E">
        <w:t xml:space="preserve"> offered places to study in core skill areas supported by PNG. </w:t>
      </w:r>
    </w:p>
    <w:p w:rsidR="000A4678" w:rsidRPr="00B6769E" w:rsidRDefault="00795470" w:rsidP="00B6769E">
      <w:pPr>
        <w:pStyle w:val="ListParagraph"/>
        <w:numPr>
          <w:ilvl w:val="0"/>
          <w:numId w:val="49"/>
        </w:numPr>
        <w:spacing w:after="120" w:line="280" w:lineRule="exact"/>
      </w:pPr>
      <w:r w:rsidRPr="00B6769E">
        <w:t xml:space="preserve">We offered </w:t>
      </w:r>
      <w:r w:rsidR="000A4678" w:rsidRPr="00B6769E">
        <w:t xml:space="preserve">334 </w:t>
      </w:r>
      <w:r w:rsidR="000A4678" w:rsidRPr="009B14F6">
        <w:t xml:space="preserve">places to study </w:t>
      </w:r>
      <w:r w:rsidR="000A4678" w:rsidRPr="00B6769E">
        <w:t>in PNG to help address critical rural workforce gaps</w:t>
      </w:r>
      <w:r w:rsidR="00441D7F">
        <w:t xml:space="preserve"> in PNG</w:t>
      </w:r>
      <w:r w:rsidR="000A4678" w:rsidRPr="00B6769E">
        <w:t xml:space="preserve">. </w:t>
      </w:r>
      <w:r w:rsidRPr="00B6769E">
        <w:t>People</w:t>
      </w:r>
      <w:r w:rsidR="000A4678" w:rsidRPr="00B6769E">
        <w:t xml:space="preserve"> were offered </w:t>
      </w:r>
      <w:r w:rsidRPr="00B6769E">
        <w:t>opportunities to study for</w:t>
      </w:r>
      <w:r w:rsidR="000A4678" w:rsidRPr="00B6769E">
        <w:t xml:space="preserve"> </w:t>
      </w:r>
      <w:r w:rsidR="000A4678" w:rsidRPr="009B14F6">
        <w:t xml:space="preserve">midwifery (15 per cent), community health (35 per cent), nursing (35 per cent) and teacher qualifications (15 per cent). </w:t>
      </w:r>
      <w:r w:rsidR="000A4678" w:rsidRPr="00B6769E">
        <w:t>Thirteen</w:t>
      </w:r>
      <w:r w:rsidR="000A4678" w:rsidRPr="009B14F6">
        <w:t xml:space="preserve"> awardees </w:t>
      </w:r>
      <w:r w:rsidR="000A4678" w:rsidRPr="00B6769E">
        <w:t>(</w:t>
      </w:r>
      <w:r w:rsidR="00441D7F">
        <w:t>five men and eight</w:t>
      </w:r>
      <w:r w:rsidR="000A4678" w:rsidRPr="009B14F6">
        <w:t xml:space="preserve"> women</w:t>
      </w:r>
      <w:r w:rsidR="000A4678" w:rsidRPr="00B6769E">
        <w:t>)</w:t>
      </w:r>
      <w:r w:rsidR="000A4678" w:rsidRPr="009B14F6">
        <w:t xml:space="preserve"> identified as having a disability. </w:t>
      </w:r>
      <w:r w:rsidR="000A4678" w:rsidRPr="00B6769E">
        <w:t xml:space="preserve">Sixty six per cent (222) were women.  </w:t>
      </w:r>
    </w:p>
    <w:p w:rsidR="00795470" w:rsidRPr="00B6769E" w:rsidRDefault="007A4F65" w:rsidP="000A4678">
      <w:pPr>
        <w:spacing w:after="120" w:line="280" w:lineRule="exact"/>
      </w:pPr>
      <w:r w:rsidRPr="00B6769E">
        <w:t xml:space="preserve">The </w:t>
      </w:r>
      <w:r w:rsidR="000A4678" w:rsidRPr="00B6769E">
        <w:t xml:space="preserve">PNG Fellowship short course program delivered 57 awards to leaders from the public sector, health and education training institutions; and project and middle managers across 12 provinces. Participants included 51 public servants, 42 women and 15 to men. Participants received an Australian qualification.  </w:t>
      </w:r>
    </w:p>
    <w:p w:rsidR="007A4F65" w:rsidRPr="00B6769E" w:rsidRDefault="000A4678" w:rsidP="000A4678">
      <w:pPr>
        <w:spacing w:after="120" w:line="280" w:lineRule="exact"/>
      </w:pPr>
      <w:r w:rsidRPr="00B6769E">
        <w:t xml:space="preserve">Membership of the PNG-Australia Alumni Association increased </w:t>
      </w:r>
      <w:r w:rsidR="00795470" w:rsidRPr="00B6769E">
        <w:t>to</w:t>
      </w:r>
      <w:r w:rsidRPr="00B6769E">
        <w:t xml:space="preserve"> 700 in 2015, an increase of 110 per cent </w:t>
      </w:r>
      <w:r w:rsidR="007A4F65" w:rsidRPr="00B6769E">
        <w:t>since</w:t>
      </w:r>
      <w:r w:rsidRPr="00B6769E">
        <w:t xml:space="preserve"> 2014.  </w:t>
      </w:r>
      <w:r w:rsidR="00795470" w:rsidRPr="00B6769E">
        <w:t xml:space="preserve">There are now seven provincial chapters, with three more soon to launch. </w:t>
      </w:r>
      <w:r w:rsidRPr="00B6769E">
        <w:t xml:space="preserve">The Association, funded by Australia, successfully held more than 50 events in 2015 including 21 professional development workshops and a leadership dialogue engaging with business and government leaders. This represents a doubling of activities since 2014 and 700 per cent increase since 2012. </w:t>
      </w:r>
    </w:p>
    <w:p w:rsidR="000A4678" w:rsidRPr="00B6769E" w:rsidRDefault="00864A81" w:rsidP="000A4678">
      <w:pPr>
        <w:spacing w:after="120" w:line="280" w:lineRule="exact"/>
      </w:pPr>
      <w:r>
        <w:t>T</w:t>
      </w:r>
      <w:r w:rsidR="007A4F65" w:rsidRPr="00B6769E">
        <w:t xml:space="preserve">he Australia Awards </w:t>
      </w:r>
      <w:r w:rsidR="00514F9E">
        <w:t xml:space="preserve">program </w:t>
      </w:r>
      <w:r w:rsidR="007A4F65" w:rsidRPr="00B6769E">
        <w:t xml:space="preserve">provided </w:t>
      </w:r>
      <w:r w:rsidR="000A4678" w:rsidRPr="00B6769E">
        <w:t>eight small grants across six provinces targeting alumn</w:t>
      </w:r>
      <w:r w:rsidR="00AE667F">
        <w:t>i,</w:t>
      </w:r>
      <w:r w:rsidR="007A4F65" w:rsidRPr="00B6769E">
        <w:t xml:space="preserve"> </w:t>
      </w:r>
      <w:r w:rsidR="00913B54" w:rsidRPr="00B6769E">
        <w:t>Australia Awards Pacific Scholarships g</w:t>
      </w:r>
      <w:r w:rsidR="00AE667F">
        <w:t>raduates,</w:t>
      </w:r>
      <w:r w:rsidR="007A4F65" w:rsidRPr="00B6769E">
        <w:t xml:space="preserve"> people with d</w:t>
      </w:r>
      <w:r w:rsidR="00AE667F">
        <w:t>isabilities and</w:t>
      </w:r>
      <w:r w:rsidR="000A4678" w:rsidRPr="00B6769E">
        <w:t xml:space="preserve"> people in remote areas</w:t>
      </w:r>
      <w:r w:rsidR="00AE667F">
        <w:t>. The grants aimed to strengthen</w:t>
      </w:r>
      <w:r w:rsidR="000A4678" w:rsidRPr="00B6769E">
        <w:t xml:space="preserve"> professional </w:t>
      </w:r>
      <w:r w:rsidR="00AE667F">
        <w:t>skills and advance development objectives</w:t>
      </w:r>
      <w:r w:rsidR="000A4678" w:rsidRPr="00B6769E">
        <w:t xml:space="preserve">. Australia Awards Fellowships awarded 10 multilateral </w:t>
      </w:r>
      <w:r w:rsidR="007A4F65" w:rsidRPr="00B6769E">
        <w:t xml:space="preserve">grants </w:t>
      </w:r>
      <w:r w:rsidR="000A4678" w:rsidRPr="00B6769E">
        <w:t>(involving 135</w:t>
      </w:r>
      <w:r w:rsidR="007A4F65" w:rsidRPr="00B6769E">
        <w:t xml:space="preserve"> fellows including PNG fellows) and two</w:t>
      </w:r>
      <w:r w:rsidR="000A4678" w:rsidRPr="00B6769E">
        <w:t xml:space="preserve"> bilateral </w:t>
      </w:r>
      <w:r w:rsidR="007A4F65" w:rsidRPr="00B6769E">
        <w:t xml:space="preserve">grants </w:t>
      </w:r>
      <w:r w:rsidR="000A4678" w:rsidRPr="00B6769E">
        <w:t xml:space="preserve">(involving 16 PNG fellows). Priority areas were </w:t>
      </w:r>
      <w:r w:rsidR="007A4F65" w:rsidRPr="00B6769E">
        <w:t>health, education,</w:t>
      </w:r>
      <w:r w:rsidR="000A4678" w:rsidRPr="00B6769E">
        <w:t xml:space="preserve"> humanitarian assistance, disaster risk r</w:t>
      </w:r>
      <w:r w:rsidR="007A4F65" w:rsidRPr="00B6769E">
        <w:t xml:space="preserve">eduction and social protection, </w:t>
      </w:r>
      <w:r w:rsidR="000A4678" w:rsidRPr="00B6769E">
        <w:t>gender equality and empowering women and girls.</w:t>
      </w:r>
    </w:p>
    <w:p w:rsidR="00A21D61" w:rsidRPr="00B6769E" w:rsidRDefault="009027B5" w:rsidP="00A21D61">
      <w:pPr>
        <w:spacing w:after="120" w:line="280" w:lineRule="exact"/>
      </w:pPr>
      <w:r>
        <w:t>In 2015-16</w:t>
      </w:r>
      <w:r w:rsidR="00864A81">
        <w:t xml:space="preserve"> t</w:t>
      </w:r>
      <w:r w:rsidR="00A21D61" w:rsidRPr="00B6769E">
        <w:t>he PNG Government continued to embark on ambitious education reform</w:t>
      </w:r>
      <w:r w:rsidR="00AE667F">
        <w:t xml:space="preserve"> to address access and quality and</w:t>
      </w:r>
      <w:r w:rsidR="007A2257" w:rsidRPr="00B6769E">
        <w:t xml:space="preserve"> financing and management of institutions. </w:t>
      </w:r>
      <w:r w:rsidR="00A21D61" w:rsidRPr="00B6769E">
        <w:t xml:space="preserve">In support of this, </w:t>
      </w:r>
      <w:r w:rsidR="00913B54" w:rsidRPr="00B6769E">
        <w:t>through</w:t>
      </w:r>
      <w:r w:rsidR="00A21D61" w:rsidRPr="00B6769E">
        <w:t xml:space="preserve"> advisory </w:t>
      </w:r>
      <w:r w:rsidR="00154377" w:rsidRPr="00B6769E">
        <w:t xml:space="preserve">support </w:t>
      </w:r>
      <w:r w:rsidR="00913B54" w:rsidRPr="00B6769E">
        <w:t xml:space="preserve">we assisted </w:t>
      </w:r>
      <w:r w:rsidR="00A21D61" w:rsidRPr="00B6769E">
        <w:t xml:space="preserve">PNG </w:t>
      </w:r>
      <w:r w:rsidR="00285150" w:rsidRPr="00B6769E">
        <w:t>G</w:t>
      </w:r>
      <w:r w:rsidR="00A21D61" w:rsidRPr="00B6769E">
        <w:t xml:space="preserve">overnment counterparts to: </w:t>
      </w:r>
    </w:p>
    <w:p w:rsidR="00A21D61" w:rsidRDefault="00A21D61" w:rsidP="00B6769E">
      <w:pPr>
        <w:pStyle w:val="ListParagraph"/>
        <w:numPr>
          <w:ilvl w:val="0"/>
          <w:numId w:val="50"/>
        </w:numPr>
        <w:spacing w:after="120" w:line="280" w:lineRule="exact"/>
      </w:pPr>
      <w:r w:rsidRPr="00B6769E">
        <w:t>improve the accuracy of enrolment data and distribution of tuition fee free (TFF) funds to schools</w:t>
      </w:r>
      <w:r w:rsidR="00913B54" w:rsidRPr="00B6769E">
        <w:t xml:space="preserve"> by supporting</w:t>
      </w:r>
      <w:r w:rsidRPr="00B6769E">
        <w:t xml:space="preserve"> the </w:t>
      </w:r>
      <w:r w:rsidR="00991C83" w:rsidRPr="00B6769E">
        <w:t xml:space="preserve">National </w:t>
      </w:r>
      <w:r w:rsidR="00154377" w:rsidRPr="00B6769E">
        <w:t>Department of Education’s</w:t>
      </w:r>
      <w:r w:rsidRPr="00B6769E">
        <w:t xml:space="preserve"> information and communications technology and education management information systems </w:t>
      </w:r>
      <w:r w:rsidR="00913B54" w:rsidRPr="00B6769E">
        <w:t xml:space="preserve">to provide </w:t>
      </w:r>
      <w:r w:rsidRPr="00B6769E">
        <w:t>robust national data to inform payments to schools</w:t>
      </w:r>
    </w:p>
    <w:p w:rsidR="00766316" w:rsidRDefault="00766316" w:rsidP="00766316">
      <w:pPr>
        <w:spacing w:after="120" w:line="280" w:lineRule="exact"/>
      </w:pPr>
    </w:p>
    <w:p w:rsidR="00766316" w:rsidRPr="00B6769E" w:rsidRDefault="00766316" w:rsidP="00766316">
      <w:pPr>
        <w:spacing w:after="120" w:line="280" w:lineRule="exact"/>
      </w:pPr>
    </w:p>
    <w:p w:rsidR="00913B54" w:rsidRPr="00B6769E" w:rsidRDefault="00A21D61">
      <w:pPr>
        <w:pStyle w:val="ListParagraph"/>
        <w:numPr>
          <w:ilvl w:val="0"/>
          <w:numId w:val="50"/>
        </w:numPr>
        <w:spacing w:after="120" w:line="280" w:lineRule="exact"/>
      </w:pPr>
      <w:r w:rsidRPr="00B6769E">
        <w:lastRenderedPageBreak/>
        <w:t>implement</w:t>
      </w:r>
      <w:r w:rsidR="007A2257" w:rsidRPr="00B6769E">
        <w:t xml:space="preserve">, update and draft key policies and regulations to strengthen quality assurance processes at post-secondary level as well as the policy and management of national skills standards. Our assistance included the update of </w:t>
      </w:r>
      <w:r w:rsidRPr="00B6769E">
        <w:t>the policy framework for quality assurance in higher education and TVET</w:t>
      </w:r>
      <w:r w:rsidR="007A2257" w:rsidRPr="00B6769E">
        <w:t xml:space="preserve">. </w:t>
      </w:r>
      <w:r w:rsidRPr="00B6769E">
        <w:t xml:space="preserve"> </w:t>
      </w:r>
      <w:r w:rsidR="007A2257" w:rsidRPr="00B6769E">
        <w:t xml:space="preserve">We helped </w:t>
      </w:r>
      <w:r w:rsidR="00913B54" w:rsidRPr="009B14F6">
        <w:t>the Department of Higher Education, Re</w:t>
      </w:r>
      <w:r w:rsidR="007A2257" w:rsidRPr="00B6769E">
        <w:t xml:space="preserve">search, Science and Technology to develop </w:t>
      </w:r>
      <w:r w:rsidR="007A2257" w:rsidRPr="009B14F6">
        <w:t xml:space="preserve">its </w:t>
      </w:r>
      <w:r w:rsidRPr="009B14F6">
        <w:t>first strategic/corporate plan</w:t>
      </w:r>
      <w:r w:rsidR="007A2257" w:rsidRPr="00B6769E">
        <w:t xml:space="preserve"> and we helped to </w:t>
      </w:r>
      <w:r w:rsidR="00913B54" w:rsidRPr="00B6769E">
        <w:t xml:space="preserve">prepare </w:t>
      </w:r>
      <w:r w:rsidRPr="00B6769E">
        <w:t xml:space="preserve">a higher education </w:t>
      </w:r>
      <w:r w:rsidR="00913B54" w:rsidRPr="00B6769E">
        <w:t>g</w:t>
      </w:r>
      <w:r w:rsidRPr="00B6769E">
        <w:t xml:space="preserve">overnance </w:t>
      </w:r>
      <w:r w:rsidR="00913B54" w:rsidRPr="00B6769E">
        <w:t>m</w:t>
      </w:r>
      <w:r w:rsidRPr="00B6769E">
        <w:t xml:space="preserve">anual to support implementation of the </w:t>
      </w:r>
      <w:r w:rsidRPr="00B6769E">
        <w:rPr>
          <w:i/>
        </w:rPr>
        <w:t>Higher Education Act</w:t>
      </w:r>
    </w:p>
    <w:p w:rsidR="00A21D61" w:rsidRPr="009B14F6" w:rsidRDefault="00A21D61">
      <w:pPr>
        <w:pStyle w:val="ListParagraph"/>
        <w:numPr>
          <w:ilvl w:val="0"/>
          <w:numId w:val="50"/>
        </w:numPr>
        <w:spacing w:after="120" w:line="280" w:lineRule="exact"/>
      </w:pPr>
      <w:r w:rsidRPr="00B6769E">
        <w:t>updat</w:t>
      </w:r>
      <w:r w:rsidR="00913B54" w:rsidRPr="00B6769E">
        <w:t xml:space="preserve">e </w:t>
      </w:r>
      <w:r w:rsidRPr="00B6769E">
        <w:t xml:space="preserve">the </w:t>
      </w:r>
      <w:r w:rsidRPr="00B6769E">
        <w:rPr>
          <w:i/>
        </w:rPr>
        <w:t>National Training Policy 1989</w:t>
      </w:r>
      <w:r w:rsidR="007A2257" w:rsidRPr="00B6769E">
        <w:t xml:space="preserve"> and </w:t>
      </w:r>
      <w:r w:rsidR="00913B54" w:rsidRPr="009B14F6">
        <w:t xml:space="preserve">draft </w:t>
      </w:r>
      <w:r w:rsidRPr="009B14F6">
        <w:t xml:space="preserve">the </w:t>
      </w:r>
      <w:r w:rsidRPr="00B6769E">
        <w:rPr>
          <w:i/>
        </w:rPr>
        <w:t>National Training Council (Amendment) Act 2016</w:t>
      </w:r>
      <w:r w:rsidRPr="009B14F6">
        <w:t xml:space="preserve"> and </w:t>
      </w:r>
      <w:r w:rsidRPr="00AE667F">
        <w:rPr>
          <w:i/>
        </w:rPr>
        <w:t>National Training Council Regulations 2016</w:t>
      </w:r>
      <w:r w:rsidRPr="009B14F6">
        <w:t xml:space="preserve"> </w:t>
      </w:r>
    </w:p>
    <w:p w:rsidR="00A21D61" w:rsidRPr="00B6769E" w:rsidRDefault="00A21D61" w:rsidP="007A2257">
      <w:pPr>
        <w:pStyle w:val="ListParagraph"/>
        <w:numPr>
          <w:ilvl w:val="0"/>
          <w:numId w:val="50"/>
        </w:numPr>
        <w:spacing w:after="120" w:line="280" w:lineRule="exact"/>
      </w:pPr>
      <w:r w:rsidRPr="00B6769E">
        <w:t xml:space="preserve">develop the </w:t>
      </w:r>
      <w:r w:rsidRPr="00B6769E">
        <w:rPr>
          <w:i/>
        </w:rPr>
        <w:t>Autonomous Region of Bougainville Education Plan</w:t>
      </w:r>
      <w:r w:rsidR="00AE667F">
        <w:rPr>
          <w:i/>
        </w:rPr>
        <w:t>,</w:t>
      </w:r>
      <w:r w:rsidRPr="00B6769E">
        <w:t xml:space="preserve"> </w:t>
      </w:r>
      <w:r w:rsidR="00AE667F">
        <w:t>with</w:t>
      </w:r>
      <w:r w:rsidRPr="00B6769E">
        <w:t xml:space="preserve"> education governance documents approved by the Education Board</w:t>
      </w:r>
      <w:r w:rsidR="007A2257" w:rsidRPr="00B6769E">
        <w:t xml:space="preserve"> </w:t>
      </w:r>
      <w:r w:rsidR="00AE667F">
        <w:t>to</w:t>
      </w:r>
      <w:r w:rsidR="007A2257" w:rsidRPr="00B6769E">
        <w:t xml:space="preserve"> strengthen management, resourcing and planning at the school level</w:t>
      </w:r>
      <w:r w:rsidRPr="00B6769E">
        <w:t>.</w:t>
      </w:r>
    </w:p>
    <w:p w:rsidR="00A21D61" w:rsidRPr="00B6769E" w:rsidRDefault="00913B54" w:rsidP="00A21D61">
      <w:pPr>
        <w:spacing w:after="120" w:line="280" w:lineRule="exact"/>
      </w:pPr>
      <w:r w:rsidRPr="00B6769E">
        <w:t xml:space="preserve">In higher education, </w:t>
      </w:r>
      <w:r w:rsidR="00A21D61" w:rsidRPr="00B6769E">
        <w:t xml:space="preserve">Australia and PNG agreed to refocus our priorities in </w:t>
      </w:r>
      <w:r w:rsidR="0018148A">
        <w:t xml:space="preserve">the </w:t>
      </w:r>
      <w:r w:rsidR="00A21D61" w:rsidRPr="00B6769E">
        <w:t xml:space="preserve">Aid Partnership commitments to support four focus areas in 2016-2017: quality reforms; facility upgrades; improved management and efficiency; and scholarships and twinning partnerships. </w:t>
      </w:r>
    </w:p>
    <w:p w:rsidR="00991C83" w:rsidRPr="00B6769E" w:rsidRDefault="00EC30DD" w:rsidP="00A21D61">
      <w:pPr>
        <w:spacing w:after="120" w:line="280" w:lineRule="exact"/>
      </w:pPr>
      <w:r w:rsidRPr="00B6769E">
        <w:t xml:space="preserve">Continued investment in a skilled and technically qualified workforce is important to ensure PNG makes the most of opportunities presented by its economic growth. </w:t>
      </w:r>
      <w:r w:rsidR="009027B5">
        <w:t>In 2015</w:t>
      </w:r>
      <w:r w:rsidR="00A21D61" w:rsidRPr="00B6769E">
        <w:t xml:space="preserve"> </w:t>
      </w:r>
      <w:r w:rsidR="00991C83" w:rsidRPr="00B6769E">
        <w:t xml:space="preserve">we </w:t>
      </w:r>
      <w:r w:rsidR="00A21D61" w:rsidRPr="00B6769E">
        <w:t>explore</w:t>
      </w:r>
      <w:r w:rsidR="00991C83" w:rsidRPr="00B6769E">
        <w:t>d</w:t>
      </w:r>
      <w:r w:rsidR="00A21D61" w:rsidRPr="00B6769E">
        <w:t xml:space="preserve"> with institutions, government and the private sector in PNG how high quality TVET education could be delivered sustainably. </w:t>
      </w:r>
      <w:r w:rsidR="00991C83" w:rsidRPr="00B6769E">
        <w:t xml:space="preserve">Our consultations with the private sector increased through the Australia-PNG Business Council, </w:t>
      </w:r>
      <w:proofErr w:type="spellStart"/>
      <w:r w:rsidR="00991C83" w:rsidRPr="00B6769E">
        <w:t>Lae</w:t>
      </w:r>
      <w:proofErr w:type="spellEnd"/>
      <w:r w:rsidR="00991C83" w:rsidRPr="00B6769E">
        <w:t xml:space="preserve"> Polytechnic Centre of Excellence Reference Group and the Australia Awards and New Colombo Plan programs. In 2016, Exxon Mobil offered to fund seven scholarships through the Australia Awards program, and </w:t>
      </w:r>
      <w:proofErr w:type="spellStart"/>
      <w:r w:rsidR="00991C83" w:rsidRPr="00B6769E">
        <w:t>OilSearch</w:t>
      </w:r>
      <w:proofErr w:type="spellEnd"/>
      <w:r w:rsidR="00991C83" w:rsidRPr="00B6769E">
        <w:t xml:space="preserve"> three scholarships. In 2016, General Electric and </w:t>
      </w:r>
      <w:proofErr w:type="spellStart"/>
      <w:r w:rsidR="00991C83" w:rsidRPr="00B6769E">
        <w:t>OilSearch</w:t>
      </w:r>
      <w:proofErr w:type="spellEnd"/>
      <w:r w:rsidR="00991C83" w:rsidRPr="00B6769E">
        <w:t xml:space="preserve"> offered to host students for internships through the New Colombo Plan. We supported students at the National Polytechnic Institute in </w:t>
      </w:r>
      <w:proofErr w:type="spellStart"/>
      <w:r w:rsidR="00991C83" w:rsidRPr="00B6769E">
        <w:t>Lae</w:t>
      </w:r>
      <w:proofErr w:type="spellEnd"/>
      <w:r w:rsidR="00991C83" w:rsidRPr="00B6769E">
        <w:t xml:space="preserve"> (NPI) to study </w:t>
      </w:r>
      <w:r w:rsidR="001110F5">
        <w:t xml:space="preserve">for </w:t>
      </w:r>
      <w:r w:rsidR="00991C83" w:rsidRPr="00B6769E">
        <w:t>an Australian Certificate level III in metal fabrication and welding and two NPI trainers to deliver the course.</w:t>
      </w:r>
    </w:p>
    <w:p w:rsidR="00991C83" w:rsidRPr="00B6769E" w:rsidRDefault="00EC30DD" w:rsidP="00991C83">
      <w:pPr>
        <w:spacing w:after="120" w:line="280" w:lineRule="exact"/>
      </w:pPr>
      <w:r w:rsidRPr="009B14F6">
        <w:t xml:space="preserve">A total of 286 students graduated from the Australia Pacific Technical College </w:t>
      </w:r>
      <w:r w:rsidRPr="00B6769E">
        <w:t xml:space="preserve">(APTC) </w:t>
      </w:r>
      <w:r w:rsidRPr="009B14F6">
        <w:t>in Port Moresby, with 38 per cent going on to be employed in the private sector and 33 per cent in the public sector.</w:t>
      </w:r>
      <w:r w:rsidRPr="00B6769E">
        <w:t xml:space="preserve"> The APTC is currently Australia’s major investment in TVET across the Pacific. </w:t>
      </w:r>
    </w:p>
    <w:p w:rsidR="00D45CC8" w:rsidRPr="00B6769E" w:rsidRDefault="00D45CC8" w:rsidP="00A21D61">
      <w:pPr>
        <w:spacing w:after="120" w:line="280" w:lineRule="exact"/>
        <w:rPr>
          <w:i/>
        </w:rPr>
      </w:pPr>
      <w:r w:rsidRPr="00B6769E">
        <w:rPr>
          <w:i/>
        </w:rPr>
        <w:t>Outlook</w:t>
      </w:r>
    </w:p>
    <w:p w:rsidR="00DB485D" w:rsidRPr="00B6769E" w:rsidRDefault="00DB485D" w:rsidP="00DB485D">
      <w:pPr>
        <w:spacing w:after="120" w:line="280" w:lineRule="exact"/>
      </w:pPr>
      <w:r w:rsidRPr="00B6769E">
        <w:t>Given the current fiscal climate, PNG will continue to face a financial challenge to achieve the goal of free quality education for all.  While Australia’s contribution remains modest in comparison to the financial gap, careful targeting of future Australian investments will build upon the trend of incremental improvement seen in recent years.</w:t>
      </w:r>
    </w:p>
    <w:p w:rsidR="00DF4E14" w:rsidRPr="00B6769E" w:rsidRDefault="009027B5" w:rsidP="00DB485D">
      <w:pPr>
        <w:spacing w:after="120" w:line="280" w:lineRule="exact"/>
      </w:pPr>
      <w:r>
        <w:t>In 2016</w:t>
      </w:r>
      <w:r w:rsidR="00DB485D" w:rsidRPr="00B6769E">
        <w:t xml:space="preserve"> Australia will develop a five year sector investment plan which will guide our support to PNG to implement reforms in the education sector.  </w:t>
      </w:r>
      <w:r w:rsidR="001C3020" w:rsidRPr="00B6769E">
        <w:t>We</w:t>
      </w:r>
      <w:r w:rsidR="00DB485D" w:rsidRPr="00B6769E">
        <w:t xml:space="preserve"> will support </w:t>
      </w:r>
      <w:r w:rsidR="001C3020" w:rsidRPr="00B6769E">
        <w:t>PNG</w:t>
      </w:r>
      <w:r w:rsidR="00DB485D" w:rsidRPr="00B6769E">
        <w:t xml:space="preserve"> to strengthen </w:t>
      </w:r>
      <w:r w:rsidR="001C3020" w:rsidRPr="00B6769E">
        <w:t>its</w:t>
      </w:r>
      <w:r w:rsidR="00DB485D" w:rsidRPr="00B6769E">
        <w:t xml:space="preserve"> education system to adequately prepare its population to take advantage of employment and leadership opportunities.  This will include targeted support to education fin</w:t>
      </w:r>
      <w:r w:rsidR="001C3020" w:rsidRPr="00B6769E">
        <w:t>ancing and financial management;</w:t>
      </w:r>
      <w:r w:rsidR="00DB485D" w:rsidRPr="00B6769E">
        <w:t xml:space="preserve"> impr</w:t>
      </w:r>
      <w:r w:rsidR="001C3020" w:rsidRPr="00B6769E">
        <w:t>oved quality of basic education;</w:t>
      </w:r>
      <w:r w:rsidR="00DB485D" w:rsidRPr="00B6769E">
        <w:t xml:space="preserve"> support for institutional linkages</w:t>
      </w:r>
      <w:r w:rsidR="001C3020" w:rsidRPr="00B6769E">
        <w:t>;</w:t>
      </w:r>
      <w:r w:rsidR="00DB485D" w:rsidRPr="00B6769E">
        <w:t xml:space="preserve"> and quality improvements to tertiary training which meet employ</w:t>
      </w:r>
      <w:r w:rsidR="00597511">
        <w:t xml:space="preserve">ment and human resource demands, </w:t>
      </w:r>
      <w:r w:rsidR="001C3020" w:rsidRPr="00B6769E">
        <w:t>involve</w:t>
      </w:r>
      <w:r w:rsidR="00DB485D" w:rsidRPr="00B6769E">
        <w:t xml:space="preserve"> greater enga</w:t>
      </w:r>
      <w:r w:rsidR="001C3020" w:rsidRPr="00B6769E">
        <w:t>gement at the subnational level</w:t>
      </w:r>
      <w:r w:rsidR="00597511">
        <w:t xml:space="preserve"> and further develop</w:t>
      </w:r>
      <w:r w:rsidR="00DB485D" w:rsidRPr="00B6769E">
        <w:t xml:space="preserve"> private-public sector partnerships.</w:t>
      </w:r>
    </w:p>
    <w:p w:rsidR="00D23032" w:rsidRPr="000B62C6" w:rsidRDefault="00D23032" w:rsidP="000B62C6">
      <w:pPr>
        <w:pStyle w:val="Heading3"/>
        <w:rPr>
          <w:rFonts w:eastAsia="Times New Roman"/>
          <w:sz w:val="38"/>
          <w:szCs w:val="38"/>
        </w:rPr>
      </w:pPr>
      <w:r w:rsidRPr="000B62C6">
        <w:rPr>
          <w:rFonts w:eastAsia="Times New Roman"/>
          <w:sz w:val="38"/>
          <w:szCs w:val="38"/>
        </w:rPr>
        <w:t>OUTCOME 3: IMPROVED LAW AND JUSTICE SERVICES</w:t>
      </w:r>
    </w:p>
    <w:p w:rsidR="00463CDB" w:rsidRDefault="00AA4BC8" w:rsidP="00AA4BC8">
      <w:pPr>
        <w:spacing w:after="120" w:line="280" w:lineRule="exact"/>
        <w:rPr>
          <w:szCs w:val="21"/>
        </w:rPr>
      </w:pPr>
      <w:r w:rsidRPr="00B6769E">
        <w:rPr>
          <w:szCs w:val="21"/>
        </w:rPr>
        <w:t xml:space="preserve">PNG’s long-term goal for the justice sector is ‘a just, safe and secure society for all’. Law and justice is a priority sector under PNG’s </w:t>
      </w:r>
      <w:r w:rsidRPr="00B6769E">
        <w:rPr>
          <w:i/>
          <w:szCs w:val="21"/>
        </w:rPr>
        <w:t>Mid-Term Development Plan 2 (2016-2017)</w:t>
      </w:r>
      <w:r w:rsidRPr="00B6769E">
        <w:rPr>
          <w:szCs w:val="21"/>
        </w:rPr>
        <w:t xml:space="preserve"> and the Aid Partnership shared objective is to help achieve PNG’s strategic goal of providing a safe, secure and just society for all. </w:t>
      </w:r>
    </w:p>
    <w:p w:rsidR="00463CDB" w:rsidRDefault="00463CDB" w:rsidP="00AA4BC8">
      <w:pPr>
        <w:spacing w:after="120" w:line="280" w:lineRule="exact"/>
        <w:rPr>
          <w:szCs w:val="21"/>
        </w:rPr>
      </w:pPr>
    </w:p>
    <w:p w:rsidR="00766316" w:rsidRPr="00B6769E" w:rsidRDefault="00766316" w:rsidP="00766316">
      <w:pPr>
        <w:spacing w:after="120" w:line="280" w:lineRule="exact"/>
        <w:rPr>
          <w:szCs w:val="21"/>
        </w:rPr>
      </w:pPr>
      <w:r w:rsidRPr="00B6769E">
        <w:rPr>
          <w:szCs w:val="21"/>
        </w:rPr>
        <w:lastRenderedPageBreak/>
        <w:t xml:space="preserve">Australia’s assistance supports our shared interest in stability in PNG. While programs are delivering against effectiveness and efficiency criteria, progress against law and justice objectives has been rated as </w:t>
      </w:r>
      <w:r>
        <w:rPr>
          <w:szCs w:val="21"/>
        </w:rPr>
        <w:t>‘a</w:t>
      </w:r>
      <w:r w:rsidRPr="00B6769E">
        <w:rPr>
          <w:szCs w:val="21"/>
        </w:rPr>
        <w:t>mber</w:t>
      </w:r>
      <w:r>
        <w:rPr>
          <w:szCs w:val="21"/>
        </w:rPr>
        <w:t>’</w:t>
      </w:r>
      <w:r w:rsidRPr="00B6769E">
        <w:rPr>
          <w:szCs w:val="21"/>
        </w:rPr>
        <w:t xml:space="preserve"> because data from PNG Government agencies is not yet available to measure progress against many benchmarks and it continues to be difficult to attribute outcomes to specific Australian interventions. The sector continues to face many challenges, including chronic underfunding, low community trust and difficulties in coordination which affect the delivery of programs.</w:t>
      </w:r>
    </w:p>
    <w:p w:rsidR="00AA4BC8" w:rsidRPr="00B6769E" w:rsidRDefault="00AA4BC8" w:rsidP="00AA4BC8">
      <w:pPr>
        <w:spacing w:after="120" w:line="280" w:lineRule="exact"/>
        <w:rPr>
          <w:szCs w:val="21"/>
        </w:rPr>
      </w:pPr>
      <w:r w:rsidRPr="00B6769E">
        <w:rPr>
          <w:szCs w:val="21"/>
        </w:rPr>
        <w:t xml:space="preserve">Our five priorities under the </w:t>
      </w:r>
      <w:r w:rsidR="001C3020" w:rsidRPr="00B6769E">
        <w:rPr>
          <w:szCs w:val="21"/>
        </w:rPr>
        <w:t xml:space="preserve">Aid </w:t>
      </w:r>
      <w:r w:rsidRPr="00B6769E">
        <w:rPr>
          <w:szCs w:val="21"/>
        </w:rPr>
        <w:t>Partnership</w:t>
      </w:r>
      <w:r w:rsidR="001C3020" w:rsidRPr="00B6769E">
        <w:rPr>
          <w:szCs w:val="21"/>
        </w:rPr>
        <w:t>’s</w:t>
      </w:r>
      <w:r w:rsidRPr="00B6769E">
        <w:rPr>
          <w:szCs w:val="21"/>
        </w:rPr>
        <w:t xml:space="preserve"> </w:t>
      </w:r>
      <w:r w:rsidR="005D5622" w:rsidRPr="00B6769E">
        <w:rPr>
          <w:szCs w:val="21"/>
        </w:rPr>
        <w:t xml:space="preserve">Law and Justice schedule </w:t>
      </w:r>
      <w:r w:rsidRPr="00B6769E">
        <w:rPr>
          <w:szCs w:val="21"/>
        </w:rPr>
        <w:t>are increasing community safety and security; addressing family and sexual violence; providing effective law and justice services; combating corruption</w:t>
      </w:r>
      <w:r w:rsidR="001C3020" w:rsidRPr="00B6769E">
        <w:rPr>
          <w:szCs w:val="21"/>
        </w:rPr>
        <w:t>;</w:t>
      </w:r>
      <w:r w:rsidRPr="00B6769E">
        <w:rPr>
          <w:szCs w:val="21"/>
        </w:rPr>
        <w:t xml:space="preserve"> and building police capacity. </w:t>
      </w:r>
      <w:r w:rsidR="001C3020" w:rsidRPr="00B6769E">
        <w:rPr>
          <w:szCs w:val="21"/>
        </w:rPr>
        <w:t xml:space="preserve">We provide </w:t>
      </w:r>
      <w:r w:rsidRPr="00B6769E">
        <w:rPr>
          <w:szCs w:val="21"/>
        </w:rPr>
        <w:t>assistance through complementary programs delivered by the Department of Foreign Affairs and Trade (DFAT), the Australian Federal Police (AFP), Attorney-General’s Department (AGD) and Australian Transaction Reports and Analysis Centre (AUSTRAC).</w:t>
      </w:r>
    </w:p>
    <w:p w:rsidR="00AA4BC8" w:rsidRPr="00B6769E" w:rsidRDefault="00AA4BC8" w:rsidP="00AA4BC8">
      <w:pPr>
        <w:spacing w:after="120" w:line="280" w:lineRule="exact"/>
        <w:rPr>
          <w:szCs w:val="21"/>
        </w:rPr>
      </w:pPr>
      <w:r w:rsidRPr="00B6769E">
        <w:rPr>
          <w:szCs w:val="21"/>
        </w:rPr>
        <w:t xml:space="preserve">The 2015-16 year was a period of transition for our support to the sector. The changes to Australian advisory assistance reshaped the role of AGD officials working through the </w:t>
      </w:r>
      <w:proofErr w:type="spellStart"/>
      <w:r w:rsidRPr="00B6769E">
        <w:rPr>
          <w:szCs w:val="21"/>
        </w:rPr>
        <w:t>Strongim</w:t>
      </w:r>
      <w:proofErr w:type="spellEnd"/>
      <w:r w:rsidRPr="00B6769E">
        <w:rPr>
          <w:szCs w:val="21"/>
        </w:rPr>
        <w:t xml:space="preserve"> </w:t>
      </w:r>
      <w:proofErr w:type="spellStart"/>
      <w:r w:rsidRPr="00B6769E">
        <w:rPr>
          <w:szCs w:val="21"/>
        </w:rPr>
        <w:t>Gavman</w:t>
      </w:r>
      <w:proofErr w:type="spellEnd"/>
      <w:r w:rsidRPr="00B6769E">
        <w:rPr>
          <w:szCs w:val="21"/>
        </w:rPr>
        <w:t xml:space="preserve"> Program (see Outcome 5 for more details). At the same time, the DFAT-managed PNG-Australia Law and Justice Partnership concluded in December 2015 and the new Justice Services and Stability for Development (JSS4D) program commenced in January 2016.  There were delays to the planning and approval for new activities under JSS4D as a result of changes to governance structures to reflect the PNG Government’s new Development Cooperation Policy.  </w:t>
      </w:r>
    </w:p>
    <w:p w:rsidR="0010576B" w:rsidRPr="00B6769E" w:rsidRDefault="00463CDB" w:rsidP="00AA4BC8">
      <w:pPr>
        <w:spacing w:after="120" w:line="280" w:lineRule="exact"/>
        <w:rPr>
          <w:szCs w:val="21"/>
        </w:rPr>
      </w:pPr>
      <w:r w:rsidRPr="00B6769E">
        <w:rPr>
          <w:noProof/>
          <w:sz w:val="24"/>
          <w:lang w:val="en-AU" w:eastAsia="en-AU"/>
        </w:rPr>
        <mc:AlternateContent>
          <mc:Choice Requires="wps">
            <w:drawing>
              <wp:anchor distT="0" distB="0" distL="114300" distR="114300" simplePos="0" relativeHeight="251698176" behindDoc="1" locked="0" layoutInCell="1" allowOverlap="1" wp14:anchorId="4711CAEA" wp14:editId="10A25132">
                <wp:simplePos x="0" y="0"/>
                <wp:positionH relativeFrom="column">
                  <wp:posOffset>11430</wp:posOffset>
                </wp:positionH>
                <wp:positionV relativeFrom="paragraph">
                  <wp:posOffset>619125</wp:posOffset>
                </wp:positionV>
                <wp:extent cx="2472690" cy="810895"/>
                <wp:effectExtent l="0" t="0" r="22860" b="27305"/>
                <wp:wrapTight wrapText="bothSides">
                  <wp:wrapPolygon edited="0">
                    <wp:start x="0" y="0"/>
                    <wp:lineTo x="0" y="21820"/>
                    <wp:lineTo x="21633" y="21820"/>
                    <wp:lineTo x="21633"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810895"/>
                        </a:xfrm>
                        <a:prstGeom prst="rect">
                          <a:avLst/>
                        </a:prstGeom>
                        <a:solidFill>
                          <a:sysClr val="window" lastClr="FFFFFF"/>
                        </a:solidFill>
                        <a:ln w="25400" cap="flat" cmpd="sng" algn="ctr">
                          <a:solidFill>
                            <a:srgbClr val="65C5B4"/>
                          </a:solidFill>
                          <a:prstDash val="solid"/>
                          <a:headEnd/>
                          <a:tailEnd/>
                        </a:ln>
                        <a:effectLst/>
                      </wps:spPr>
                      <wps:txbx>
                        <w:txbxContent>
                          <w:p w:rsidR="00B80664" w:rsidRPr="00B6769E" w:rsidRDefault="00B80664" w:rsidP="0010576B">
                            <w:pPr>
                              <w:rPr>
                                <w:rFonts w:ascii="Franklin Gothic Book" w:hAnsi="Franklin Gothic Book"/>
                                <w:sz w:val="21"/>
                                <w:szCs w:val="21"/>
                              </w:rPr>
                            </w:pPr>
                            <w:r w:rsidRPr="00B6769E">
                              <w:rPr>
                                <w:rFonts w:ascii="Franklin Gothic Book" w:hAnsi="Franklin Gothic Book"/>
                                <w:sz w:val="21"/>
                                <w:szCs w:val="21"/>
                              </w:rPr>
                              <w:t>Australia supported training for 1,881 police officers (364 women), including for eight of the 12 officers promoted to Assistant Commissioner in 2015.</w:t>
                            </w:r>
                          </w:p>
                          <w:p w:rsidR="00B80664" w:rsidRPr="00D4602F" w:rsidRDefault="00B80664" w:rsidP="0010576B"/>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711CAEA" id="_x0000_s1028" type="#_x0000_t202" style="position:absolute;margin-left:.9pt;margin-top:48.75pt;width:194.7pt;height:63.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" fillcolor="window" strokecolor="#65c5b4" strokeweight="2pt">
                <v:textbox>
                  <w:txbxContent>
                    <w:p w:rsidR="00B80664" w:rsidRPr="00B6769E" w:rsidRDefault="00B80664" w:rsidP="0010576B">
                      <w:pPr>
                        <w:rPr>
                          <w:rFonts w:ascii="Franklin Gothic Book" w:hAnsi="Franklin Gothic Book"/>
                          <w:sz w:val="21"/>
                          <w:szCs w:val="21"/>
                        </w:rPr>
                      </w:pPr>
                      <w:r w:rsidRPr="00B6769E">
                        <w:rPr>
                          <w:rFonts w:ascii="Franklin Gothic Book" w:hAnsi="Franklin Gothic Book"/>
                          <w:sz w:val="21"/>
                          <w:szCs w:val="21"/>
                        </w:rPr>
                        <w:t>Australia supported training for 1,881 police officers (364 women), including for eight of the 12 officers promoted to Assistant Commissioner in 2015.</w:t>
                      </w:r>
                    </w:p>
                    <w:p w:rsidR="00B80664" w:rsidRPr="00D4602F" w:rsidRDefault="00B80664" w:rsidP="0010576B"/>
                  </w:txbxContent>
                </v:textbox>
                <w10:wrap type="tight"/>
              </v:shape>
            </w:pict>
          </mc:Fallback>
        </mc:AlternateContent>
      </w:r>
      <w:r w:rsidR="009027B5">
        <w:rPr>
          <w:szCs w:val="21"/>
        </w:rPr>
        <w:t>In 2015-16</w:t>
      </w:r>
      <w:r w:rsidR="00AA4BC8" w:rsidRPr="00B6769E">
        <w:rPr>
          <w:szCs w:val="21"/>
        </w:rPr>
        <w:t xml:space="preserve"> Australia invested approximately $83.5 million </w:t>
      </w:r>
      <w:r w:rsidR="00446CF8" w:rsidRPr="00B6769E">
        <w:rPr>
          <w:szCs w:val="21"/>
        </w:rPr>
        <w:t>(PGK201.9 million</w:t>
      </w:r>
      <w:r w:rsidR="001C3020" w:rsidRPr="00B6769E">
        <w:rPr>
          <w:szCs w:val="21"/>
        </w:rPr>
        <w:t>)</w:t>
      </w:r>
      <w:r w:rsidR="00446CF8" w:rsidRPr="00B6769E">
        <w:rPr>
          <w:szCs w:val="21"/>
        </w:rPr>
        <w:t xml:space="preserve"> </w:t>
      </w:r>
      <w:r w:rsidR="00AA4BC8" w:rsidRPr="00B6769E">
        <w:rPr>
          <w:szCs w:val="21"/>
        </w:rPr>
        <w:t xml:space="preserve">in the law and justice sector, including support </w:t>
      </w:r>
      <w:r w:rsidR="00047C83">
        <w:rPr>
          <w:szCs w:val="21"/>
        </w:rPr>
        <w:t xml:space="preserve">through other government departments and </w:t>
      </w:r>
      <w:r w:rsidR="00AA4BC8" w:rsidRPr="00B6769E">
        <w:rPr>
          <w:szCs w:val="21"/>
        </w:rPr>
        <w:t xml:space="preserve">in Bougainville </w:t>
      </w:r>
      <w:r w:rsidR="005D5622" w:rsidRPr="00B6769E">
        <w:rPr>
          <w:szCs w:val="21"/>
        </w:rPr>
        <w:t xml:space="preserve">(see pages </w:t>
      </w:r>
      <w:r w:rsidR="00C60711">
        <w:rPr>
          <w:szCs w:val="21"/>
        </w:rPr>
        <w:t>21</w:t>
      </w:r>
      <w:r w:rsidR="005D5622" w:rsidRPr="00B6769E">
        <w:rPr>
          <w:szCs w:val="21"/>
        </w:rPr>
        <w:t>-</w:t>
      </w:r>
      <w:r w:rsidR="00852EC3" w:rsidRPr="00B6769E">
        <w:rPr>
          <w:szCs w:val="21"/>
        </w:rPr>
        <w:t>23</w:t>
      </w:r>
      <w:r w:rsidR="005D5622" w:rsidRPr="00B6769E">
        <w:rPr>
          <w:szCs w:val="21"/>
        </w:rPr>
        <w:t>)</w:t>
      </w:r>
      <w:r w:rsidR="00AA4BC8" w:rsidRPr="00B6769E">
        <w:rPr>
          <w:szCs w:val="21"/>
        </w:rPr>
        <w:t>. The PNG Government’s total law and justice sector budget was approximately $530 million (</w:t>
      </w:r>
      <w:r w:rsidR="001C3020" w:rsidRPr="00B6769E">
        <w:rPr>
          <w:szCs w:val="21"/>
        </w:rPr>
        <w:t>PG</w:t>
      </w:r>
      <w:r w:rsidR="00AA4BC8" w:rsidRPr="00B6769E">
        <w:rPr>
          <w:szCs w:val="21"/>
        </w:rPr>
        <w:t>K1,</w:t>
      </w:r>
      <w:r w:rsidR="001C3020" w:rsidRPr="00B6769E">
        <w:rPr>
          <w:szCs w:val="21"/>
        </w:rPr>
        <w:t>281</w:t>
      </w:r>
      <w:r w:rsidR="00AA4BC8" w:rsidRPr="00B6769E">
        <w:rPr>
          <w:szCs w:val="21"/>
        </w:rPr>
        <w:t xml:space="preserve"> million) in 2015. </w:t>
      </w:r>
      <w:r w:rsidR="00945BC8" w:rsidRPr="00B6769E">
        <w:rPr>
          <w:szCs w:val="21"/>
        </w:rPr>
        <w:t xml:space="preserve">Our </w:t>
      </w:r>
      <w:r w:rsidR="00AA4BC8" w:rsidRPr="00B6769E">
        <w:rPr>
          <w:szCs w:val="21"/>
        </w:rPr>
        <w:t>support contributed to some notable areas of progress</w:t>
      </w:r>
      <w:r w:rsidR="005D5622" w:rsidRPr="00B6769E">
        <w:rPr>
          <w:szCs w:val="21"/>
        </w:rPr>
        <w:t xml:space="preserve"> towards the five objectives in the Aid Partnership schedule</w:t>
      </w:r>
      <w:r w:rsidR="00AA4BC8" w:rsidRPr="00B6769E">
        <w:rPr>
          <w:szCs w:val="21"/>
        </w:rPr>
        <w:t>.</w:t>
      </w:r>
    </w:p>
    <w:p w:rsidR="00C004B9" w:rsidRPr="00B6769E" w:rsidRDefault="00AA4BC8" w:rsidP="00AA4BC8">
      <w:pPr>
        <w:spacing w:after="120" w:line="280" w:lineRule="exact"/>
        <w:rPr>
          <w:szCs w:val="21"/>
        </w:rPr>
      </w:pPr>
      <w:r w:rsidRPr="00B6769E">
        <w:rPr>
          <w:szCs w:val="21"/>
        </w:rPr>
        <w:t>With Australian assistance, PNG law and justice agencies built capacity by improving professional and managerial skills and deep</w:t>
      </w:r>
      <w:r w:rsidR="00331474" w:rsidRPr="00B6769E">
        <w:rPr>
          <w:szCs w:val="21"/>
        </w:rPr>
        <w:t>en</w:t>
      </w:r>
      <w:r w:rsidRPr="00B6769E">
        <w:rPr>
          <w:szCs w:val="21"/>
        </w:rPr>
        <w:t xml:space="preserve">ing institutional relationships with Australian peers. In 2015, </w:t>
      </w:r>
      <w:r w:rsidR="00122135" w:rsidRPr="00B6769E">
        <w:rPr>
          <w:szCs w:val="21"/>
        </w:rPr>
        <w:t xml:space="preserve">the </w:t>
      </w:r>
      <w:r w:rsidRPr="00B6769E">
        <w:rPr>
          <w:szCs w:val="21"/>
        </w:rPr>
        <w:t>AGD supported 11 adviser positions in PNG law and justice agencies. After the changes to advisory positions requested by the PNG Government, five positions continued in 2016 in the Office of the Public Prosecutor, supporting individual and organisational capacity and prosecutions in important areas including corruption and family and sexual violence.</w:t>
      </w:r>
    </w:p>
    <w:p w:rsidR="00AA4BC8" w:rsidRPr="00B6769E" w:rsidRDefault="00AA4BC8" w:rsidP="00AA4BC8">
      <w:pPr>
        <w:spacing w:after="120" w:line="280" w:lineRule="exact"/>
        <w:rPr>
          <w:szCs w:val="21"/>
        </w:rPr>
      </w:pPr>
      <w:r w:rsidRPr="00B6769E">
        <w:rPr>
          <w:szCs w:val="21"/>
        </w:rPr>
        <w:t xml:space="preserve">The AFP worked with the </w:t>
      </w:r>
      <w:r w:rsidR="00945BC8" w:rsidRPr="00B6769E">
        <w:rPr>
          <w:szCs w:val="21"/>
        </w:rPr>
        <w:t>Royal Papua New Guinea Constabulary (</w:t>
      </w:r>
      <w:r w:rsidRPr="00B6769E">
        <w:rPr>
          <w:szCs w:val="21"/>
        </w:rPr>
        <w:t>RPNGC</w:t>
      </w:r>
      <w:r w:rsidR="00945BC8" w:rsidRPr="00B6769E">
        <w:rPr>
          <w:szCs w:val="21"/>
        </w:rPr>
        <w:t>)</w:t>
      </w:r>
      <w:r w:rsidRPr="00B6769E">
        <w:rPr>
          <w:szCs w:val="21"/>
        </w:rPr>
        <w:t xml:space="preserve"> to establish a Brief Adjudication Unit in the National Capital District to improve the quality of briefs submitted for prosecution. </w:t>
      </w:r>
      <w:r w:rsidR="00945BC8" w:rsidRPr="00B6769E">
        <w:rPr>
          <w:szCs w:val="21"/>
        </w:rPr>
        <w:t>Following this</w:t>
      </w:r>
      <w:r w:rsidRPr="00B6769E">
        <w:rPr>
          <w:szCs w:val="21"/>
        </w:rPr>
        <w:t xml:space="preserve">, the Unit increased the number of matters progressing to the National Court from 18 in 2014 to 117 in 2015. In addition to police specific training, another 2,056 law and justice officials (29 per cent women) benefitted from ongoing technical, legal and leadership training through Australian funded courses for the law and justice sector. </w:t>
      </w:r>
    </w:p>
    <w:p w:rsidR="00AA4BC8" w:rsidRPr="00B6769E" w:rsidRDefault="00AA4BC8" w:rsidP="00AA4BC8">
      <w:pPr>
        <w:spacing w:after="120" w:line="280" w:lineRule="exact"/>
        <w:rPr>
          <w:szCs w:val="21"/>
        </w:rPr>
      </w:pPr>
      <w:r w:rsidRPr="00B6769E">
        <w:rPr>
          <w:szCs w:val="21"/>
        </w:rPr>
        <w:t>In addition to infrastructure rolled out in Bougainville, Australia su</w:t>
      </w:r>
      <w:r w:rsidR="009027B5">
        <w:rPr>
          <w:szCs w:val="21"/>
        </w:rPr>
        <w:t>pported priority infrastructure</w:t>
      </w:r>
      <w:r w:rsidRPr="00B6769E">
        <w:rPr>
          <w:szCs w:val="21"/>
        </w:rPr>
        <w:t xml:space="preserve"> including by </w:t>
      </w:r>
      <w:r w:rsidR="00945BC8" w:rsidRPr="00B6769E">
        <w:rPr>
          <w:szCs w:val="21"/>
        </w:rPr>
        <w:t xml:space="preserve">the </w:t>
      </w:r>
      <w:r w:rsidRPr="00B6769E">
        <w:rPr>
          <w:szCs w:val="21"/>
        </w:rPr>
        <w:t>transport</w:t>
      </w:r>
      <w:r w:rsidR="00945BC8" w:rsidRPr="00B6769E">
        <w:rPr>
          <w:szCs w:val="21"/>
        </w:rPr>
        <w:t>ation</w:t>
      </w:r>
      <w:r w:rsidRPr="00B6769E">
        <w:rPr>
          <w:szCs w:val="21"/>
        </w:rPr>
        <w:t xml:space="preserve"> and instal</w:t>
      </w:r>
      <w:r w:rsidR="00945BC8" w:rsidRPr="00B6769E">
        <w:rPr>
          <w:szCs w:val="21"/>
        </w:rPr>
        <w:t>lation of</w:t>
      </w:r>
      <w:r w:rsidRPr="00B6769E">
        <w:rPr>
          <w:szCs w:val="21"/>
        </w:rPr>
        <w:t xml:space="preserve"> prefabricated accommodation gifted by Exxon Mobil for police housing in </w:t>
      </w:r>
      <w:proofErr w:type="spellStart"/>
      <w:r w:rsidRPr="00B6769E">
        <w:rPr>
          <w:szCs w:val="21"/>
        </w:rPr>
        <w:t>Lae</w:t>
      </w:r>
      <w:proofErr w:type="spellEnd"/>
      <w:r w:rsidRPr="00B6769E">
        <w:rPr>
          <w:szCs w:val="21"/>
        </w:rPr>
        <w:t xml:space="preserve"> and accommodation at Bomana Police Training College. We established the </w:t>
      </w:r>
      <w:proofErr w:type="spellStart"/>
      <w:r w:rsidRPr="00B6769E">
        <w:rPr>
          <w:szCs w:val="21"/>
        </w:rPr>
        <w:t>Popondetta</w:t>
      </w:r>
      <w:proofErr w:type="spellEnd"/>
      <w:r w:rsidRPr="00B6769E">
        <w:rPr>
          <w:szCs w:val="21"/>
        </w:rPr>
        <w:t xml:space="preserve"> Juvenile Holding Cells and commenced the new Manus Provincial Police Headquarters. Together with refurbishment and enhancements to other existing facilities, such as the </w:t>
      </w:r>
      <w:proofErr w:type="spellStart"/>
      <w:r w:rsidRPr="00B6769E">
        <w:rPr>
          <w:szCs w:val="21"/>
        </w:rPr>
        <w:t>Badili</w:t>
      </w:r>
      <w:proofErr w:type="spellEnd"/>
      <w:r w:rsidRPr="00B6769E">
        <w:rPr>
          <w:szCs w:val="21"/>
        </w:rPr>
        <w:t xml:space="preserve"> Police station and Bomana Police College in Port Moresby, these projects helped meet critical infrastructure needs and enable increased access to law and justice services. </w:t>
      </w:r>
    </w:p>
    <w:p w:rsidR="00463CDB" w:rsidRDefault="00463CDB" w:rsidP="00AA4BC8">
      <w:pPr>
        <w:spacing w:after="120" w:line="280" w:lineRule="exact"/>
        <w:rPr>
          <w:szCs w:val="21"/>
        </w:rPr>
      </w:pPr>
    </w:p>
    <w:p w:rsidR="00463CDB" w:rsidRDefault="00463CDB" w:rsidP="00AA4BC8">
      <w:pPr>
        <w:spacing w:after="120" w:line="280" w:lineRule="exact"/>
        <w:rPr>
          <w:szCs w:val="21"/>
        </w:rPr>
      </w:pPr>
    </w:p>
    <w:p w:rsidR="00463CDB" w:rsidRDefault="00463CDB" w:rsidP="00AA4BC8">
      <w:pPr>
        <w:spacing w:after="120" w:line="280" w:lineRule="exact"/>
        <w:rPr>
          <w:szCs w:val="21"/>
        </w:rPr>
      </w:pPr>
    </w:p>
    <w:p w:rsidR="00AA4BC8" w:rsidRPr="00B6769E" w:rsidRDefault="00273DD5" w:rsidP="00AA4BC8">
      <w:pPr>
        <w:spacing w:after="120" w:line="280" w:lineRule="exact"/>
        <w:rPr>
          <w:szCs w:val="21"/>
        </w:rPr>
      </w:pPr>
      <w:r>
        <w:rPr>
          <w:szCs w:val="21"/>
        </w:rPr>
        <w:t>T</w:t>
      </w:r>
      <w:r w:rsidR="00AA4BC8" w:rsidRPr="00B6769E">
        <w:rPr>
          <w:szCs w:val="21"/>
        </w:rPr>
        <w:t xml:space="preserve">he AFP deployed 77 personnel (including unsworn civilian staff and contractors) to Port Moresby and </w:t>
      </w:r>
      <w:proofErr w:type="spellStart"/>
      <w:r w:rsidR="00AA4BC8" w:rsidRPr="00B6769E">
        <w:rPr>
          <w:szCs w:val="21"/>
        </w:rPr>
        <w:t>Lae</w:t>
      </w:r>
      <w:proofErr w:type="spellEnd"/>
      <w:r w:rsidR="00AA4BC8" w:rsidRPr="00B6769E">
        <w:rPr>
          <w:szCs w:val="21"/>
        </w:rPr>
        <w:t xml:space="preserve"> to work closely with counterparts </w:t>
      </w:r>
      <w:r w:rsidR="00122135" w:rsidRPr="00B6769E">
        <w:rPr>
          <w:szCs w:val="21"/>
        </w:rPr>
        <w:t xml:space="preserve">in the RPNGC </w:t>
      </w:r>
      <w:r w:rsidR="00AA4BC8" w:rsidRPr="00B6769E">
        <w:rPr>
          <w:szCs w:val="21"/>
        </w:rPr>
        <w:t>to improve police capacity, including seven officers in the Major Events/</w:t>
      </w:r>
      <w:r w:rsidR="00945BC8" w:rsidRPr="00B6769E">
        <w:rPr>
          <w:szCs w:val="21"/>
        </w:rPr>
        <w:t>Asia-Pacific Economic Cooperation (</w:t>
      </w:r>
      <w:r w:rsidR="00AA4BC8" w:rsidRPr="00B6769E">
        <w:rPr>
          <w:szCs w:val="21"/>
        </w:rPr>
        <w:t>APEC</w:t>
      </w:r>
      <w:r w:rsidR="00945BC8" w:rsidRPr="00B6769E">
        <w:rPr>
          <w:szCs w:val="21"/>
        </w:rPr>
        <w:t>)</w:t>
      </w:r>
      <w:r w:rsidR="00AA4BC8" w:rsidRPr="00B6769E">
        <w:rPr>
          <w:szCs w:val="21"/>
        </w:rPr>
        <w:t xml:space="preserve"> team on capability development activities in the lead up to APEC in PNG in 2018.  Australia supported training for 1,881 police officers (364 women), including for eight of the 12 officers promoted to the rank of Assistant Commissioner in 2015.  The revised curriculum for Bomana Police Training College, developed with AFP support, was </w:t>
      </w:r>
      <w:r w:rsidR="0026143B" w:rsidRPr="00B6769E">
        <w:rPr>
          <w:szCs w:val="21"/>
        </w:rPr>
        <w:t>finalised</w:t>
      </w:r>
      <w:r w:rsidR="00AA4BC8" w:rsidRPr="00B6769E">
        <w:rPr>
          <w:szCs w:val="21"/>
        </w:rPr>
        <w:t xml:space="preserve"> in April 2016.  This curriculum and other support helped the 546 recruits (89 women) that graduated from the College in </w:t>
      </w:r>
      <w:r w:rsidR="00734482">
        <w:rPr>
          <w:szCs w:val="21"/>
        </w:rPr>
        <w:t xml:space="preserve">   </w:t>
      </w:r>
      <w:r w:rsidR="00AA4BC8" w:rsidRPr="00B6769E">
        <w:rPr>
          <w:szCs w:val="21"/>
        </w:rPr>
        <w:t xml:space="preserve">2015-16, building on the 560 graduates in 2014-15 (83 women). </w:t>
      </w:r>
      <w:r w:rsidR="005D5622" w:rsidRPr="00B6769E">
        <w:rPr>
          <w:szCs w:val="21"/>
        </w:rPr>
        <w:t xml:space="preserve">Australia supported the UN Office of the High Commissioner for Human Rights to develop and deliver human rights training for the RPNGC.  </w:t>
      </w:r>
      <w:r w:rsidR="00AA4BC8" w:rsidRPr="00B6769E">
        <w:rPr>
          <w:szCs w:val="21"/>
        </w:rPr>
        <w:t xml:space="preserve"> </w:t>
      </w:r>
    </w:p>
    <w:p w:rsidR="00AA4BC8" w:rsidRPr="00B6769E" w:rsidRDefault="00AA4BC8" w:rsidP="00AA4BC8">
      <w:pPr>
        <w:spacing w:after="120" w:line="280" w:lineRule="exact"/>
        <w:rPr>
          <w:szCs w:val="21"/>
        </w:rPr>
      </w:pPr>
      <w:r w:rsidRPr="00B6769E">
        <w:rPr>
          <w:szCs w:val="21"/>
        </w:rPr>
        <w:t xml:space="preserve">Australia helped </w:t>
      </w:r>
      <w:r w:rsidR="00273DD5">
        <w:rPr>
          <w:szCs w:val="21"/>
        </w:rPr>
        <w:t>victims</w:t>
      </w:r>
      <w:r w:rsidRPr="00B6769E">
        <w:rPr>
          <w:szCs w:val="21"/>
        </w:rPr>
        <w:t xml:space="preserve"> of violence </w:t>
      </w:r>
      <w:r w:rsidR="00273DD5">
        <w:rPr>
          <w:szCs w:val="21"/>
        </w:rPr>
        <w:t xml:space="preserve">to </w:t>
      </w:r>
      <w:r w:rsidRPr="00B6769E">
        <w:rPr>
          <w:szCs w:val="21"/>
        </w:rPr>
        <w:t xml:space="preserve">receive improved access to justice and protection. In 2015-16 </w:t>
      </w:r>
      <w:r w:rsidR="00945BC8" w:rsidRPr="00B6769E">
        <w:rPr>
          <w:szCs w:val="21"/>
        </w:rPr>
        <w:t xml:space="preserve">we </w:t>
      </w:r>
      <w:r w:rsidR="00C004B9" w:rsidRPr="00B6769E">
        <w:rPr>
          <w:szCs w:val="21"/>
        </w:rPr>
        <w:t>helped open</w:t>
      </w:r>
      <w:r w:rsidRPr="00B6769E">
        <w:rPr>
          <w:szCs w:val="21"/>
        </w:rPr>
        <w:t xml:space="preserve"> two new Family and Sexual Violence Units (FSVUs) in Daru (Western Province) and </w:t>
      </w:r>
      <w:proofErr w:type="spellStart"/>
      <w:r w:rsidRPr="00B6769E">
        <w:rPr>
          <w:szCs w:val="21"/>
        </w:rPr>
        <w:t>Kerema</w:t>
      </w:r>
      <w:proofErr w:type="spellEnd"/>
      <w:r w:rsidRPr="00B6769E">
        <w:rPr>
          <w:szCs w:val="21"/>
        </w:rPr>
        <w:t xml:space="preserve"> (Gulf Province). This </w:t>
      </w:r>
      <w:r w:rsidR="00C004B9" w:rsidRPr="00B6769E">
        <w:rPr>
          <w:szCs w:val="21"/>
        </w:rPr>
        <w:t xml:space="preserve">brought </w:t>
      </w:r>
      <w:r w:rsidRPr="00B6769E">
        <w:rPr>
          <w:szCs w:val="21"/>
        </w:rPr>
        <w:t xml:space="preserve">the total number of FSVUs in police stations across the country to 17, plus four Family and Sexual Violence Desks. Since 2009, over 40,000 cases of violence have been reported to </w:t>
      </w:r>
      <w:r w:rsidR="00945BC8" w:rsidRPr="00B6769E">
        <w:rPr>
          <w:szCs w:val="21"/>
        </w:rPr>
        <w:t>established Units and Desks</w:t>
      </w:r>
      <w:r w:rsidRPr="00B6769E">
        <w:rPr>
          <w:szCs w:val="21"/>
        </w:rPr>
        <w:t xml:space="preserve">, mostly involving women and children. An evaluation of FSVUs in 2015 </w:t>
      </w:r>
      <w:r w:rsidR="00C004B9" w:rsidRPr="00B6769E">
        <w:rPr>
          <w:szCs w:val="21"/>
        </w:rPr>
        <w:t xml:space="preserve">highlighted the need for </w:t>
      </w:r>
      <w:r w:rsidRPr="00B6769E">
        <w:rPr>
          <w:szCs w:val="21"/>
        </w:rPr>
        <w:t xml:space="preserve">further RPNGC reform, increased resourcing and better targeted donor support for FSVUs to ensure survivors receive appropriate services. The evaluation will help guide the RPNGC’s approach to family and sexual violence and </w:t>
      </w:r>
      <w:r w:rsidR="00945BC8" w:rsidRPr="00B6769E">
        <w:rPr>
          <w:szCs w:val="21"/>
        </w:rPr>
        <w:t xml:space="preserve">our </w:t>
      </w:r>
      <w:r w:rsidRPr="00B6769E">
        <w:rPr>
          <w:szCs w:val="21"/>
        </w:rPr>
        <w:t xml:space="preserve">future support. Australia’s </w:t>
      </w:r>
      <w:r w:rsidR="00945BC8" w:rsidRPr="00B6769E">
        <w:rPr>
          <w:szCs w:val="21"/>
        </w:rPr>
        <w:t xml:space="preserve">assistance </w:t>
      </w:r>
      <w:r w:rsidRPr="00B6769E">
        <w:rPr>
          <w:szCs w:val="21"/>
        </w:rPr>
        <w:t>has also helped</w:t>
      </w:r>
      <w:r w:rsidR="00C004B9" w:rsidRPr="00B6769E">
        <w:rPr>
          <w:szCs w:val="21"/>
        </w:rPr>
        <w:t xml:space="preserve"> to</w:t>
      </w:r>
      <w:r w:rsidRPr="00B6769E">
        <w:rPr>
          <w:szCs w:val="21"/>
        </w:rPr>
        <w:t xml:space="preserve"> develop and </w:t>
      </w:r>
      <w:r w:rsidR="0026143B" w:rsidRPr="00B6769E">
        <w:rPr>
          <w:szCs w:val="21"/>
        </w:rPr>
        <w:t>distribute</w:t>
      </w:r>
      <w:r w:rsidRPr="00B6769E">
        <w:rPr>
          <w:szCs w:val="21"/>
        </w:rPr>
        <w:t xml:space="preserve"> family and sexual violence referral guidelines to better connect survivors to services.</w:t>
      </w:r>
    </w:p>
    <w:p w:rsidR="008F703A" w:rsidRPr="00B6769E" w:rsidRDefault="00AA4BC8" w:rsidP="00AA4BC8">
      <w:pPr>
        <w:spacing w:after="120" w:line="280" w:lineRule="exact"/>
        <w:rPr>
          <w:szCs w:val="21"/>
        </w:rPr>
      </w:pPr>
      <w:r w:rsidRPr="00B6769E">
        <w:rPr>
          <w:szCs w:val="21"/>
        </w:rPr>
        <w:t xml:space="preserve">To complement this work, other officials working in law and justice were trained on the PNG </w:t>
      </w:r>
      <w:r w:rsidRPr="00734482">
        <w:rPr>
          <w:i/>
          <w:szCs w:val="21"/>
        </w:rPr>
        <w:t>Family Protection Act</w:t>
      </w:r>
      <w:r w:rsidRPr="00B6769E">
        <w:rPr>
          <w:szCs w:val="21"/>
        </w:rPr>
        <w:t xml:space="preserve"> and related procedures, such as Interim Protection Orders. </w:t>
      </w:r>
      <w:r w:rsidR="0026143B" w:rsidRPr="00B6769E">
        <w:rPr>
          <w:szCs w:val="21"/>
        </w:rPr>
        <w:t>Indicators suggest because of the training</w:t>
      </w:r>
      <w:r w:rsidR="00692D9B" w:rsidRPr="00B6769E">
        <w:rPr>
          <w:szCs w:val="21"/>
        </w:rPr>
        <w:t>,</w:t>
      </w:r>
      <w:r w:rsidR="0026143B" w:rsidRPr="00B6769E" w:rsidDel="0026143B">
        <w:rPr>
          <w:szCs w:val="21"/>
        </w:rPr>
        <w:t xml:space="preserve"> </w:t>
      </w:r>
      <w:r w:rsidRPr="00B6769E">
        <w:rPr>
          <w:szCs w:val="21"/>
        </w:rPr>
        <w:t xml:space="preserve">the completed Interim Protection Orders increased </w:t>
      </w:r>
      <w:r w:rsidR="00273DD5">
        <w:rPr>
          <w:szCs w:val="21"/>
        </w:rPr>
        <w:t xml:space="preserve">by nearly 20 per cent </w:t>
      </w:r>
      <w:r w:rsidRPr="00B6769E">
        <w:rPr>
          <w:szCs w:val="21"/>
        </w:rPr>
        <w:t>to 1,495</w:t>
      </w:r>
      <w:r w:rsidR="0026143B" w:rsidRPr="00B6769E">
        <w:rPr>
          <w:szCs w:val="21"/>
        </w:rPr>
        <w:t xml:space="preserve"> in 2015</w:t>
      </w:r>
      <w:r w:rsidRPr="00B6769E">
        <w:rPr>
          <w:szCs w:val="21"/>
        </w:rPr>
        <w:t xml:space="preserve"> (1,256 in 2014).  The AGD and the AFP continue</w:t>
      </w:r>
      <w:r w:rsidR="00734482">
        <w:rPr>
          <w:szCs w:val="21"/>
        </w:rPr>
        <w:t>d</w:t>
      </w:r>
      <w:r w:rsidRPr="00B6769E">
        <w:rPr>
          <w:szCs w:val="21"/>
        </w:rPr>
        <w:t xml:space="preserve"> to work with PNG counterparts to address barriers</w:t>
      </w:r>
      <w:r w:rsidR="005D5622" w:rsidRPr="00B6769E">
        <w:rPr>
          <w:szCs w:val="21"/>
        </w:rPr>
        <w:t xml:space="preserve"> to obtaining convictions for FSV offences</w:t>
      </w:r>
      <w:r w:rsidRPr="00B6769E">
        <w:rPr>
          <w:szCs w:val="21"/>
        </w:rPr>
        <w:t xml:space="preserve">, including workshops on assisting child victims and witnesses throughout the legal process. </w:t>
      </w:r>
    </w:p>
    <w:p w:rsidR="00692D9B" w:rsidRPr="00B6769E" w:rsidRDefault="00AA4BC8" w:rsidP="00AA4BC8">
      <w:pPr>
        <w:spacing w:after="120" w:line="280" w:lineRule="exact"/>
        <w:rPr>
          <w:szCs w:val="21"/>
        </w:rPr>
      </w:pPr>
      <w:r w:rsidRPr="00B6769E">
        <w:rPr>
          <w:szCs w:val="21"/>
        </w:rPr>
        <w:t xml:space="preserve">Australia supported PNG with key legal reforms including drafting the </w:t>
      </w:r>
      <w:r w:rsidRPr="00B6769E">
        <w:rPr>
          <w:i/>
          <w:szCs w:val="21"/>
        </w:rPr>
        <w:t>Family Protection Act</w:t>
      </w:r>
      <w:r w:rsidRPr="00B6769E">
        <w:rPr>
          <w:szCs w:val="21"/>
        </w:rPr>
        <w:t xml:space="preserve"> regulations and funding a </w:t>
      </w:r>
      <w:r w:rsidR="00692D9B" w:rsidRPr="00B6769E">
        <w:rPr>
          <w:szCs w:val="21"/>
        </w:rPr>
        <w:t>c</w:t>
      </w:r>
      <w:r w:rsidRPr="00B6769E">
        <w:rPr>
          <w:szCs w:val="21"/>
        </w:rPr>
        <w:t xml:space="preserve">hild </w:t>
      </w:r>
      <w:r w:rsidR="00692D9B" w:rsidRPr="00B6769E">
        <w:rPr>
          <w:szCs w:val="21"/>
        </w:rPr>
        <w:t>p</w:t>
      </w:r>
      <w:r w:rsidRPr="00B6769E">
        <w:rPr>
          <w:szCs w:val="21"/>
        </w:rPr>
        <w:t xml:space="preserve">rotection </w:t>
      </w:r>
      <w:r w:rsidR="00692D9B" w:rsidRPr="00B6769E">
        <w:rPr>
          <w:szCs w:val="21"/>
        </w:rPr>
        <w:t>o</w:t>
      </w:r>
      <w:r w:rsidRPr="00B6769E">
        <w:rPr>
          <w:szCs w:val="21"/>
        </w:rPr>
        <w:t xml:space="preserve">fficer (through UNICEF) to work with PNG counterparts on the implementation of the child protection </w:t>
      </w:r>
      <w:proofErr w:type="spellStart"/>
      <w:r w:rsidRPr="00B6769E">
        <w:rPr>
          <w:i/>
          <w:szCs w:val="21"/>
        </w:rPr>
        <w:t>Lukautim</w:t>
      </w:r>
      <w:proofErr w:type="spellEnd"/>
      <w:r w:rsidRPr="00B6769E">
        <w:rPr>
          <w:i/>
          <w:szCs w:val="21"/>
        </w:rPr>
        <w:t xml:space="preserve"> </w:t>
      </w:r>
      <w:proofErr w:type="spellStart"/>
      <w:r w:rsidRPr="00B6769E">
        <w:rPr>
          <w:i/>
          <w:szCs w:val="21"/>
        </w:rPr>
        <w:t>Pikinini</w:t>
      </w:r>
      <w:proofErr w:type="spellEnd"/>
      <w:r w:rsidRPr="00B6769E">
        <w:rPr>
          <w:i/>
          <w:szCs w:val="21"/>
        </w:rPr>
        <w:t xml:space="preserve"> Act</w:t>
      </w:r>
      <w:r w:rsidRPr="00B6769E">
        <w:rPr>
          <w:szCs w:val="21"/>
        </w:rPr>
        <w:t xml:space="preserve">. We assisted law and justice agencies to increase the proportion of women employees in law and justice agencies through implementation of the PNG Government’s Gender Equity and Social Inclusion policy.  </w:t>
      </w:r>
      <w:r w:rsidR="0026143B" w:rsidRPr="00B6769E">
        <w:rPr>
          <w:szCs w:val="21"/>
        </w:rPr>
        <w:t>We also supported PNG’s participation in the United Nations Human Rights Council Universal Periodic Review of its human rights in May 2016.</w:t>
      </w:r>
    </w:p>
    <w:p w:rsidR="00AA4BC8" w:rsidRPr="00B6769E" w:rsidRDefault="009027B5" w:rsidP="00AA4BC8">
      <w:pPr>
        <w:spacing w:after="120" w:line="280" w:lineRule="exact"/>
        <w:rPr>
          <w:szCs w:val="21"/>
        </w:rPr>
      </w:pPr>
      <w:r>
        <w:rPr>
          <w:szCs w:val="21"/>
        </w:rPr>
        <w:t>In early 2016</w:t>
      </w:r>
      <w:r w:rsidR="00AA4BC8" w:rsidRPr="00B6769E">
        <w:rPr>
          <w:szCs w:val="21"/>
        </w:rPr>
        <w:t xml:space="preserve"> Australia renewed an innovative partnership with Exxon-Mobil for a </w:t>
      </w:r>
      <w:r w:rsidR="00692D9B" w:rsidRPr="00B6769E">
        <w:rPr>
          <w:szCs w:val="21"/>
        </w:rPr>
        <w:t>c</w:t>
      </w:r>
      <w:r w:rsidR="00AA4BC8" w:rsidRPr="00B6769E">
        <w:rPr>
          <w:szCs w:val="21"/>
        </w:rPr>
        <w:t xml:space="preserve">ommunity </w:t>
      </w:r>
      <w:r w:rsidR="00692D9B" w:rsidRPr="00B6769E">
        <w:rPr>
          <w:szCs w:val="21"/>
        </w:rPr>
        <w:t>s</w:t>
      </w:r>
      <w:r w:rsidR="00AA4BC8" w:rsidRPr="00B6769E">
        <w:rPr>
          <w:szCs w:val="21"/>
        </w:rPr>
        <w:t xml:space="preserve">afety </w:t>
      </w:r>
      <w:r w:rsidR="00692D9B" w:rsidRPr="00B6769E">
        <w:rPr>
          <w:szCs w:val="21"/>
        </w:rPr>
        <w:t>a</w:t>
      </w:r>
      <w:r w:rsidR="00AA4BC8" w:rsidRPr="00B6769E">
        <w:rPr>
          <w:szCs w:val="21"/>
        </w:rPr>
        <w:t>dviser in Hela Province who helps to facilitate the delivery of more effective law and justice services. We helped to train 507 Village Court officials on up-to-date information and practices, contributing to a total of 2,142 officials trained by the program (12.5 per cent women)</w:t>
      </w:r>
      <w:r w:rsidR="00BA5540" w:rsidRPr="00B6769E">
        <w:rPr>
          <w:szCs w:val="21"/>
        </w:rPr>
        <w:t xml:space="preserve">, </w:t>
      </w:r>
      <w:r w:rsidR="00AA4BC8" w:rsidRPr="00B6769E">
        <w:rPr>
          <w:szCs w:val="21"/>
        </w:rPr>
        <w:t xml:space="preserve">covering 42 per cent of Village Courts (194) in 461 target locations in PNG. </w:t>
      </w:r>
      <w:r w:rsidR="00852EC3" w:rsidRPr="00B6769E">
        <w:rPr>
          <w:szCs w:val="21"/>
        </w:rPr>
        <w:t xml:space="preserve">Many of these officials had not received training in a decade. </w:t>
      </w:r>
      <w:r w:rsidR="0010576B" w:rsidRPr="00B6769E">
        <w:rPr>
          <w:szCs w:val="21"/>
        </w:rPr>
        <w:t>T</w:t>
      </w:r>
      <w:r w:rsidR="00AA4BC8" w:rsidRPr="00B6769E">
        <w:rPr>
          <w:szCs w:val="21"/>
        </w:rPr>
        <w:t xml:space="preserve">his has provided access to better standards of justice for more than one million PNG citizens in those locations.  An evaluation of the courses </w:t>
      </w:r>
      <w:r w:rsidR="00852EC3" w:rsidRPr="00B6769E">
        <w:rPr>
          <w:szCs w:val="21"/>
        </w:rPr>
        <w:t xml:space="preserve">indicated the training provided </w:t>
      </w:r>
      <w:r w:rsidR="00AA4BC8" w:rsidRPr="00B6769E">
        <w:rPr>
          <w:szCs w:val="21"/>
        </w:rPr>
        <w:t xml:space="preserve">participants </w:t>
      </w:r>
      <w:r w:rsidR="00852EC3" w:rsidRPr="00B6769E">
        <w:rPr>
          <w:szCs w:val="21"/>
        </w:rPr>
        <w:t xml:space="preserve">with </w:t>
      </w:r>
      <w:r w:rsidR="00AA4BC8" w:rsidRPr="00B6769E">
        <w:rPr>
          <w:szCs w:val="21"/>
        </w:rPr>
        <w:t>a better understanding of their roles and responsibilities</w:t>
      </w:r>
      <w:r w:rsidR="00692D9B" w:rsidRPr="00B6769E">
        <w:rPr>
          <w:szCs w:val="21"/>
        </w:rPr>
        <w:t>. A</w:t>
      </w:r>
      <w:r w:rsidR="00AA4BC8" w:rsidRPr="00B6769E">
        <w:rPr>
          <w:szCs w:val="21"/>
        </w:rPr>
        <w:t>fter the training</w:t>
      </w:r>
      <w:r w:rsidR="001B5879" w:rsidRPr="00B6769E">
        <w:rPr>
          <w:szCs w:val="21"/>
        </w:rPr>
        <w:t>,</w:t>
      </w:r>
      <w:r w:rsidR="00AA4BC8" w:rsidRPr="00B6769E">
        <w:rPr>
          <w:szCs w:val="21"/>
        </w:rPr>
        <w:t xml:space="preserve"> more people accessed Village Courts (68 per cent of respondents in 2014</w:t>
      </w:r>
      <w:r w:rsidR="00734482">
        <w:rPr>
          <w:szCs w:val="21"/>
        </w:rPr>
        <w:t>,</w:t>
      </w:r>
      <w:r w:rsidR="00AA4BC8" w:rsidRPr="00B6769E">
        <w:rPr>
          <w:szCs w:val="21"/>
        </w:rPr>
        <w:t xml:space="preserve"> up to 87 per cent in 2015) and satisfaction had slightly improved (51.5 per cent in 2014 to 54.5 per cent in 2015). </w:t>
      </w:r>
      <w:r w:rsidR="007A2257" w:rsidRPr="00B6769E">
        <w:rPr>
          <w:szCs w:val="21"/>
        </w:rPr>
        <w:t xml:space="preserve">We </w:t>
      </w:r>
      <w:r w:rsidR="00AA4BC8" w:rsidRPr="00B6769E">
        <w:rPr>
          <w:szCs w:val="21"/>
        </w:rPr>
        <w:t xml:space="preserve">also supported the establishment of </w:t>
      </w:r>
      <w:r w:rsidR="00692D9B" w:rsidRPr="00B6769E">
        <w:rPr>
          <w:szCs w:val="21"/>
        </w:rPr>
        <w:t>p</w:t>
      </w:r>
      <w:r w:rsidR="00AA4BC8" w:rsidRPr="00B6769E">
        <w:rPr>
          <w:szCs w:val="21"/>
        </w:rPr>
        <w:t xml:space="preserve">rovincial </w:t>
      </w:r>
      <w:r w:rsidR="00692D9B" w:rsidRPr="00B6769E">
        <w:rPr>
          <w:szCs w:val="21"/>
        </w:rPr>
        <w:t>l</w:t>
      </w:r>
      <w:r w:rsidR="00AA4BC8" w:rsidRPr="00B6769E">
        <w:rPr>
          <w:szCs w:val="21"/>
        </w:rPr>
        <w:t xml:space="preserve">and </w:t>
      </w:r>
      <w:r w:rsidR="00692D9B" w:rsidRPr="00B6769E">
        <w:rPr>
          <w:szCs w:val="21"/>
        </w:rPr>
        <w:t>di</w:t>
      </w:r>
      <w:r w:rsidR="00AA4BC8" w:rsidRPr="00B6769E">
        <w:rPr>
          <w:szCs w:val="21"/>
        </w:rPr>
        <w:t xml:space="preserve">spute </w:t>
      </w:r>
      <w:r w:rsidR="00692D9B" w:rsidRPr="00B6769E">
        <w:rPr>
          <w:szCs w:val="21"/>
        </w:rPr>
        <w:t>c</w:t>
      </w:r>
      <w:r w:rsidR="00AA4BC8" w:rsidRPr="00B6769E">
        <w:rPr>
          <w:szCs w:val="21"/>
        </w:rPr>
        <w:t xml:space="preserve">ommittees in the priority provinces to help improve mediation of land disputes. </w:t>
      </w:r>
      <w:r w:rsidR="00852EC3" w:rsidRPr="00B6769E">
        <w:rPr>
          <w:szCs w:val="21"/>
        </w:rPr>
        <w:t xml:space="preserve">The community safety pillar of the program is designed to provide better access to justice for people in the priority provinces. </w:t>
      </w:r>
      <w:r w:rsidR="00BA5540" w:rsidRPr="00B6769E">
        <w:rPr>
          <w:szCs w:val="21"/>
        </w:rPr>
        <w:t>Despite the achievements</w:t>
      </w:r>
      <w:r w:rsidR="00852EC3" w:rsidRPr="00B6769E">
        <w:rPr>
          <w:szCs w:val="21"/>
        </w:rPr>
        <w:t xml:space="preserve"> outlined above</w:t>
      </w:r>
      <w:r w:rsidR="00BA5540" w:rsidRPr="00B6769E">
        <w:rPr>
          <w:szCs w:val="21"/>
        </w:rPr>
        <w:t>, for many people</w:t>
      </w:r>
      <w:r w:rsidR="00C7782B">
        <w:rPr>
          <w:szCs w:val="21"/>
        </w:rPr>
        <w:t>,</w:t>
      </w:r>
      <w:r w:rsidR="00BA5540" w:rsidRPr="00B6769E">
        <w:rPr>
          <w:szCs w:val="21"/>
        </w:rPr>
        <w:t xml:space="preserve"> geographic isolation and cost remain barriers to accessing legal services.</w:t>
      </w:r>
    </w:p>
    <w:p w:rsidR="00463CDB" w:rsidRDefault="00463CDB" w:rsidP="00AA4BC8">
      <w:pPr>
        <w:spacing w:after="120" w:line="280" w:lineRule="exact"/>
        <w:rPr>
          <w:szCs w:val="21"/>
        </w:rPr>
      </w:pPr>
    </w:p>
    <w:p w:rsidR="00463CDB" w:rsidRDefault="00463CDB" w:rsidP="00AA4BC8">
      <w:pPr>
        <w:spacing w:after="120" w:line="280" w:lineRule="exact"/>
        <w:rPr>
          <w:szCs w:val="21"/>
        </w:rPr>
      </w:pPr>
    </w:p>
    <w:p w:rsidR="00463CDB" w:rsidRDefault="00463CDB" w:rsidP="00AA4BC8">
      <w:pPr>
        <w:spacing w:after="120" w:line="280" w:lineRule="exact"/>
        <w:rPr>
          <w:szCs w:val="21"/>
        </w:rPr>
      </w:pPr>
    </w:p>
    <w:p w:rsidR="00331474" w:rsidRPr="00B6769E" w:rsidRDefault="00331474" w:rsidP="00AA4BC8">
      <w:pPr>
        <w:spacing w:after="120" w:line="280" w:lineRule="exact"/>
        <w:rPr>
          <w:szCs w:val="21"/>
        </w:rPr>
      </w:pPr>
      <w:r w:rsidRPr="00B6769E">
        <w:rPr>
          <w:szCs w:val="21"/>
        </w:rPr>
        <w:lastRenderedPageBreak/>
        <w:t>Australia continued its strong support for PNG-led efforts to address corruption, including through the DFAT-funded AGD-AUSTRAC Combating Corruption program</w:t>
      </w:r>
      <w:r w:rsidR="00734482">
        <w:rPr>
          <w:szCs w:val="21"/>
        </w:rPr>
        <w:t>. The program aims to strengthen</w:t>
      </w:r>
      <w:r w:rsidRPr="00B6769E">
        <w:rPr>
          <w:szCs w:val="21"/>
        </w:rPr>
        <w:t xml:space="preserve"> financial systems against money laundering, corrupt a</w:t>
      </w:r>
      <w:r w:rsidR="00734482">
        <w:rPr>
          <w:szCs w:val="21"/>
        </w:rPr>
        <w:t>ctivity and terrorist financing, and assist</w:t>
      </w:r>
      <w:r w:rsidRPr="00B6769E">
        <w:rPr>
          <w:szCs w:val="21"/>
        </w:rPr>
        <w:t xml:space="preserve"> PNG in recovering proceeds of crime.  Supported by Australia, PNG made substantial progress in 2015-16</w:t>
      </w:r>
      <w:r w:rsidR="00852EC3" w:rsidRPr="00B6769E">
        <w:rPr>
          <w:szCs w:val="21"/>
        </w:rPr>
        <w:t>, passing</w:t>
      </w:r>
      <w:r w:rsidRPr="00B6769E">
        <w:rPr>
          <w:szCs w:val="21"/>
        </w:rPr>
        <w:t xml:space="preserve"> a suite of laws to establish a comprehensive anti-money laundering and counter terrori</w:t>
      </w:r>
      <w:r w:rsidR="00692D9B" w:rsidRPr="00B6769E">
        <w:rPr>
          <w:szCs w:val="21"/>
        </w:rPr>
        <w:t xml:space="preserve">st financing (AML/CTF) system. </w:t>
      </w:r>
      <w:r w:rsidRPr="00B6769E">
        <w:rPr>
          <w:szCs w:val="21"/>
        </w:rPr>
        <w:t xml:space="preserve">These laws established a new financial sanctions regime, a new AML/CTF regulatory regime for financial institutions and other entities, </w:t>
      </w:r>
      <w:r w:rsidR="00692D9B" w:rsidRPr="00B6769E">
        <w:rPr>
          <w:szCs w:val="21"/>
        </w:rPr>
        <w:t xml:space="preserve">and </w:t>
      </w:r>
      <w:r w:rsidRPr="00B6769E">
        <w:rPr>
          <w:szCs w:val="21"/>
        </w:rPr>
        <w:t>strengthened money laundering offences a</w:t>
      </w:r>
      <w:r w:rsidR="00692D9B" w:rsidRPr="00B6769E">
        <w:rPr>
          <w:szCs w:val="21"/>
        </w:rPr>
        <w:t xml:space="preserve">nd proceeds of crime measures. </w:t>
      </w:r>
      <w:r w:rsidRPr="00B6769E">
        <w:rPr>
          <w:szCs w:val="21"/>
        </w:rPr>
        <w:t>As a result of these reforms, in June 2016 the Financial Action Task Force removed PNG f</w:t>
      </w:r>
      <w:r w:rsidR="00692D9B" w:rsidRPr="00B6769E">
        <w:rPr>
          <w:szCs w:val="21"/>
        </w:rPr>
        <w:t xml:space="preserve">rom its ‘grey list’. </w:t>
      </w:r>
      <w:r w:rsidRPr="00B6769E">
        <w:rPr>
          <w:szCs w:val="21"/>
        </w:rPr>
        <w:t xml:space="preserve">Australia is assisting PNG to increase inter-agency co-operation and implement the new laws. </w:t>
      </w:r>
    </w:p>
    <w:p w:rsidR="00AA4BC8" w:rsidRPr="00B6769E" w:rsidRDefault="007A2257" w:rsidP="00AA4BC8">
      <w:pPr>
        <w:spacing w:after="120" w:line="280" w:lineRule="exact"/>
        <w:rPr>
          <w:szCs w:val="21"/>
        </w:rPr>
      </w:pPr>
      <w:r w:rsidRPr="00B6769E">
        <w:rPr>
          <w:szCs w:val="21"/>
        </w:rPr>
        <w:t>Our s</w:t>
      </w:r>
      <w:r w:rsidR="00AA4BC8" w:rsidRPr="00B6769E">
        <w:rPr>
          <w:szCs w:val="21"/>
        </w:rPr>
        <w:t xml:space="preserve">upport for Transparency International PNG (TIPNG) and its work on improving accountability and transparency continued. Australia’s Commonwealth Ombudsman continued to support the PNG Ombudsman Commission through its longstanding twinning arrangement to strengthen systems and capacity to oversee governance and leadership of the public service and the PNG Government. Australia also supported the Ombudsman Commission to continue its work with the RPNGC to improve coordination and collaboration on internal investigations into police misconduct. The AFP, TIPNG and the Ombudsman Commission delivered four corruption and internal investigation training programs to RPNGC and Ombudsman officers. </w:t>
      </w:r>
    </w:p>
    <w:p w:rsidR="00AA4BC8" w:rsidRPr="00B6769E" w:rsidRDefault="00AA4BC8" w:rsidP="00AA4BC8">
      <w:pPr>
        <w:spacing w:after="120" w:line="280" w:lineRule="exact"/>
        <w:rPr>
          <w:i/>
          <w:szCs w:val="21"/>
        </w:rPr>
      </w:pPr>
      <w:r w:rsidRPr="00B6769E">
        <w:rPr>
          <w:i/>
          <w:szCs w:val="21"/>
        </w:rPr>
        <w:t>Outlook</w:t>
      </w:r>
    </w:p>
    <w:p w:rsidR="00692D9B" w:rsidRPr="00B6769E" w:rsidRDefault="00AA4BC8" w:rsidP="00AA4BC8">
      <w:pPr>
        <w:spacing w:after="120" w:line="280" w:lineRule="exact"/>
        <w:rPr>
          <w:szCs w:val="21"/>
        </w:rPr>
      </w:pPr>
      <w:r w:rsidRPr="00B6769E">
        <w:rPr>
          <w:szCs w:val="21"/>
        </w:rPr>
        <w:t xml:space="preserve">High rates of crime persist and the community and businesses have low levels of trust in the police and legal processes. Realisation of long-term improvement in these areas will require the sustained commitment and investment of both PNG and Australia over decades. Australia’s assistance alone cannot bring about these changes. Improvement is likely to be an incremental process and achievements fairly modest. Numbers of police, judicial and other law and justice officials per capita remain very low by international standards and increasingly limited resources will continue to exacerbate these issues. The PNG Government’s budget constraints can be expected to limit the ability of agencies to deliver core services.  PNG’s decentralisation agenda could see further resources move away from national agencies. </w:t>
      </w:r>
      <w:r w:rsidR="004B06EE" w:rsidRPr="00B6769E">
        <w:rPr>
          <w:szCs w:val="21"/>
        </w:rPr>
        <w:t>Law and justice agencies will play a role in ensuring the safe and secure delivery of elections next year</w:t>
      </w:r>
      <w:r w:rsidR="00886EDC">
        <w:rPr>
          <w:szCs w:val="21"/>
        </w:rPr>
        <w:t>,</w:t>
      </w:r>
      <w:r w:rsidR="004B06EE" w:rsidRPr="00B6769E">
        <w:rPr>
          <w:szCs w:val="21"/>
        </w:rPr>
        <w:t xml:space="preserve"> which will require extra funding and attention, and the sector is working on responding to the recent findings </w:t>
      </w:r>
      <w:r w:rsidR="006C0452" w:rsidRPr="00B6769E">
        <w:rPr>
          <w:szCs w:val="21"/>
        </w:rPr>
        <w:t xml:space="preserve">from </w:t>
      </w:r>
      <w:r w:rsidR="004B06EE" w:rsidRPr="00B6769E">
        <w:rPr>
          <w:szCs w:val="21"/>
        </w:rPr>
        <w:t xml:space="preserve">the Universal Periodic Review into </w:t>
      </w:r>
      <w:r w:rsidR="006C0452" w:rsidRPr="00B6769E">
        <w:rPr>
          <w:szCs w:val="21"/>
        </w:rPr>
        <w:t>h</w:t>
      </w:r>
      <w:r w:rsidR="004B06EE" w:rsidRPr="00B6769E">
        <w:rPr>
          <w:szCs w:val="21"/>
        </w:rPr>
        <w:t xml:space="preserve">uman </w:t>
      </w:r>
      <w:r w:rsidR="006C0452" w:rsidRPr="00B6769E">
        <w:rPr>
          <w:szCs w:val="21"/>
        </w:rPr>
        <w:t>r</w:t>
      </w:r>
      <w:r w:rsidR="004B06EE" w:rsidRPr="00B6769E">
        <w:rPr>
          <w:szCs w:val="21"/>
        </w:rPr>
        <w:t xml:space="preserve">ights in PNG.  Following recent successes in anti-money laundering, </w:t>
      </w:r>
      <w:r w:rsidR="006C0452" w:rsidRPr="00B6769E">
        <w:rPr>
          <w:szCs w:val="21"/>
        </w:rPr>
        <w:t>the focus will be</w:t>
      </w:r>
      <w:r w:rsidR="004B06EE" w:rsidRPr="00B6769E">
        <w:rPr>
          <w:szCs w:val="21"/>
        </w:rPr>
        <w:t xml:space="preserve"> to ensure new systems and legislation </w:t>
      </w:r>
      <w:r w:rsidR="006C0452" w:rsidRPr="00B6769E">
        <w:rPr>
          <w:szCs w:val="21"/>
        </w:rPr>
        <w:t>are</w:t>
      </w:r>
      <w:r w:rsidR="004B06EE" w:rsidRPr="00B6769E">
        <w:rPr>
          <w:szCs w:val="21"/>
        </w:rPr>
        <w:t xml:space="preserve"> implemented and enforced. </w:t>
      </w:r>
      <w:r w:rsidRPr="00B6769E">
        <w:rPr>
          <w:szCs w:val="21"/>
        </w:rPr>
        <w:t xml:space="preserve">A </w:t>
      </w:r>
      <w:r w:rsidR="006C0452" w:rsidRPr="00B6769E">
        <w:rPr>
          <w:szCs w:val="21"/>
        </w:rPr>
        <w:t xml:space="preserve">challenge to </w:t>
      </w:r>
      <w:r w:rsidR="00945BC8" w:rsidRPr="00B6769E">
        <w:rPr>
          <w:szCs w:val="21"/>
        </w:rPr>
        <w:t>implementing</w:t>
      </w:r>
      <w:r w:rsidRPr="00B6769E">
        <w:rPr>
          <w:szCs w:val="21"/>
        </w:rPr>
        <w:t xml:space="preserve"> Australia’s assistance will be to </w:t>
      </w:r>
      <w:r w:rsidR="00945BC8" w:rsidRPr="00B6769E">
        <w:rPr>
          <w:szCs w:val="21"/>
        </w:rPr>
        <w:t xml:space="preserve">set </w:t>
      </w:r>
      <w:r w:rsidRPr="00B6769E">
        <w:rPr>
          <w:szCs w:val="21"/>
        </w:rPr>
        <w:t>strategic priorities in a timely and coordinated fashion.</w:t>
      </w:r>
    </w:p>
    <w:p w:rsidR="00426227" w:rsidRPr="000B62C6" w:rsidRDefault="00426227" w:rsidP="000B62C6">
      <w:pPr>
        <w:pStyle w:val="Heading3"/>
        <w:rPr>
          <w:rFonts w:eastAsia="Times New Roman"/>
          <w:sz w:val="38"/>
          <w:szCs w:val="38"/>
        </w:rPr>
      </w:pPr>
      <w:r w:rsidRPr="000B62C6">
        <w:rPr>
          <w:rFonts w:eastAsia="Times New Roman"/>
          <w:sz w:val="38"/>
          <w:szCs w:val="38"/>
        </w:rPr>
        <w:t>OUTCOME 4: TRANSPORT</w:t>
      </w:r>
    </w:p>
    <w:p w:rsidR="008F291D" w:rsidRPr="00B6769E" w:rsidRDefault="00E27026" w:rsidP="003115CA">
      <w:pPr>
        <w:spacing w:after="120" w:line="280" w:lineRule="exact"/>
        <w:rPr>
          <w:szCs w:val="21"/>
        </w:rPr>
      </w:pPr>
      <w:r w:rsidRPr="00B6769E">
        <w:rPr>
          <w:szCs w:val="21"/>
        </w:rPr>
        <w:t>Australia’s support to PNG’s transport sector is part of a 20 year strategy to strengthen the sector</w:t>
      </w:r>
      <w:r w:rsidR="00621914">
        <w:rPr>
          <w:szCs w:val="21"/>
        </w:rPr>
        <w:t>’s</w:t>
      </w:r>
      <w:r w:rsidRPr="00B6769E">
        <w:rPr>
          <w:szCs w:val="21"/>
        </w:rPr>
        <w:t xml:space="preserve"> </w:t>
      </w:r>
      <w:r w:rsidR="00621914">
        <w:rPr>
          <w:szCs w:val="21"/>
        </w:rPr>
        <w:t>contribution</w:t>
      </w:r>
      <w:r w:rsidRPr="00B6769E">
        <w:rPr>
          <w:szCs w:val="21"/>
        </w:rPr>
        <w:t xml:space="preserve"> to PNG’s development. </w:t>
      </w:r>
      <w:r w:rsidR="009D3729" w:rsidRPr="00B6769E">
        <w:rPr>
          <w:szCs w:val="21"/>
        </w:rPr>
        <w:t xml:space="preserve">It is also a key component of Australia’s aid for trade investments in PNG. The transport infrastructure program’s </w:t>
      </w:r>
      <w:r w:rsidR="00621914">
        <w:rPr>
          <w:szCs w:val="21"/>
        </w:rPr>
        <w:t>‘</w:t>
      </w:r>
      <w:r w:rsidR="009D3729" w:rsidRPr="00B6769E">
        <w:rPr>
          <w:szCs w:val="21"/>
        </w:rPr>
        <w:t>green</w:t>
      </w:r>
      <w:r w:rsidR="00621914">
        <w:rPr>
          <w:szCs w:val="21"/>
        </w:rPr>
        <w:t>’</w:t>
      </w:r>
      <w:r w:rsidR="009D3729" w:rsidRPr="00B6769E">
        <w:rPr>
          <w:szCs w:val="21"/>
        </w:rPr>
        <w:t xml:space="preserve"> rating reflected the successful delivery of a range of high impact projects and capacity building during 2015.</w:t>
      </w:r>
    </w:p>
    <w:p w:rsidR="008F291D" w:rsidRPr="00B6769E" w:rsidRDefault="00585C15" w:rsidP="003115CA">
      <w:pPr>
        <w:spacing w:after="120" w:line="280" w:lineRule="exact"/>
        <w:rPr>
          <w:szCs w:val="21"/>
        </w:rPr>
      </w:pPr>
      <w:r w:rsidRPr="00B6769E">
        <w:rPr>
          <w:szCs w:val="21"/>
        </w:rPr>
        <w:t xml:space="preserve">Properly planned and prioritised maintenance and rehabilitation of existing transport infrastructure underpins PNG’s economic and social development. </w:t>
      </w:r>
      <w:r w:rsidR="00C26172" w:rsidRPr="00B6769E">
        <w:rPr>
          <w:szCs w:val="21"/>
        </w:rPr>
        <w:t xml:space="preserve">Transport infrastructure </w:t>
      </w:r>
      <w:r w:rsidR="00215195" w:rsidRPr="00B6769E">
        <w:rPr>
          <w:szCs w:val="21"/>
        </w:rPr>
        <w:t>provides access to trade and employment opportunities, and to health and education services</w:t>
      </w:r>
      <w:r w:rsidR="00C26172" w:rsidRPr="00B6769E">
        <w:rPr>
          <w:szCs w:val="21"/>
        </w:rPr>
        <w:t xml:space="preserve">. </w:t>
      </w:r>
      <w:r w:rsidR="008F291D" w:rsidRPr="00B6769E">
        <w:rPr>
          <w:szCs w:val="21"/>
        </w:rPr>
        <w:t>During 2015</w:t>
      </w:r>
      <w:r w:rsidR="00E9590B" w:rsidRPr="00B6769E">
        <w:rPr>
          <w:szCs w:val="21"/>
        </w:rPr>
        <w:t>-16</w:t>
      </w:r>
      <w:r w:rsidR="008F291D" w:rsidRPr="00B6769E">
        <w:rPr>
          <w:szCs w:val="21"/>
        </w:rPr>
        <w:t xml:space="preserve"> Australian support to PNG’s transport sector was valued at $</w:t>
      </w:r>
      <w:r w:rsidR="00E9590B" w:rsidRPr="00B6769E">
        <w:rPr>
          <w:szCs w:val="21"/>
        </w:rPr>
        <w:t>70</w:t>
      </w:r>
      <w:r w:rsidR="008F291D" w:rsidRPr="00B6769E">
        <w:rPr>
          <w:szCs w:val="21"/>
        </w:rPr>
        <w:t xml:space="preserve"> million (PGK</w:t>
      </w:r>
      <w:r w:rsidR="00E9590B" w:rsidRPr="00B6769E">
        <w:rPr>
          <w:szCs w:val="21"/>
        </w:rPr>
        <w:t>163</w:t>
      </w:r>
      <w:r w:rsidR="008F291D" w:rsidRPr="00B6769E">
        <w:rPr>
          <w:szCs w:val="21"/>
        </w:rPr>
        <w:t xml:space="preserve"> million). </w:t>
      </w:r>
      <w:r w:rsidR="00F464FA" w:rsidRPr="00B6769E">
        <w:rPr>
          <w:szCs w:val="21"/>
        </w:rPr>
        <w:t xml:space="preserve"> </w:t>
      </w:r>
      <w:r w:rsidR="00474D68" w:rsidRPr="00B6769E">
        <w:rPr>
          <w:szCs w:val="21"/>
        </w:rPr>
        <w:t>Our</w:t>
      </w:r>
      <w:r w:rsidR="008F291D" w:rsidRPr="00B6769E">
        <w:rPr>
          <w:szCs w:val="21"/>
        </w:rPr>
        <w:t xml:space="preserve"> support covered three main components: land transport; aviation and maritime safety and security; and agency performance and accountability. </w:t>
      </w:r>
      <w:r w:rsidR="009D3729" w:rsidRPr="00B6769E">
        <w:rPr>
          <w:szCs w:val="21"/>
        </w:rPr>
        <w:t>Australia’s transport strategy</w:t>
      </w:r>
      <w:r w:rsidR="00126651" w:rsidRPr="00B6769E">
        <w:rPr>
          <w:szCs w:val="21"/>
        </w:rPr>
        <w:t xml:space="preserve"> </w:t>
      </w:r>
      <w:r w:rsidR="008F291D" w:rsidRPr="00B6769E">
        <w:rPr>
          <w:szCs w:val="21"/>
        </w:rPr>
        <w:t>directly supports the PNG</w:t>
      </w:r>
      <w:r w:rsidR="00126651" w:rsidRPr="00B6769E">
        <w:rPr>
          <w:szCs w:val="21"/>
        </w:rPr>
        <w:t xml:space="preserve"> Government’s</w:t>
      </w:r>
      <w:r w:rsidR="008F291D" w:rsidRPr="00B6769E">
        <w:rPr>
          <w:szCs w:val="21"/>
        </w:rPr>
        <w:t xml:space="preserve"> priorities as set out in the </w:t>
      </w:r>
      <w:r w:rsidR="008F291D" w:rsidRPr="00B6769E">
        <w:rPr>
          <w:i/>
          <w:szCs w:val="21"/>
        </w:rPr>
        <w:t>National Transport Strategy 2011-2030</w:t>
      </w:r>
      <w:r w:rsidR="008F291D" w:rsidRPr="00B6769E">
        <w:rPr>
          <w:szCs w:val="21"/>
        </w:rPr>
        <w:t xml:space="preserve"> and </w:t>
      </w:r>
      <w:r w:rsidR="008F291D" w:rsidRPr="00B6769E">
        <w:rPr>
          <w:i/>
          <w:szCs w:val="21"/>
        </w:rPr>
        <w:t xml:space="preserve">Medium Term Transport Plan </w:t>
      </w:r>
      <w:r w:rsidR="00800FAC" w:rsidRPr="00B6769E">
        <w:rPr>
          <w:i/>
          <w:szCs w:val="21"/>
        </w:rPr>
        <w:t>2</w:t>
      </w:r>
      <w:r w:rsidR="00800FAC" w:rsidRPr="00B6769E">
        <w:rPr>
          <w:szCs w:val="21"/>
        </w:rPr>
        <w:t xml:space="preserve"> </w:t>
      </w:r>
      <w:r w:rsidR="008F291D" w:rsidRPr="00B6769E">
        <w:rPr>
          <w:szCs w:val="21"/>
        </w:rPr>
        <w:t>and is guided by the objectives agreed in the Aid Partnership.</w:t>
      </w:r>
    </w:p>
    <w:p w:rsidR="00463CDB" w:rsidRDefault="00463CDB" w:rsidP="003115CA">
      <w:pPr>
        <w:spacing w:after="120" w:line="280" w:lineRule="exact"/>
        <w:rPr>
          <w:szCs w:val="21"/>
        </w:rPr>
      </w:pPr>
    </w:p>
    <w:p w:rsidR="008F291D" w:rsidRPr="00B6769E" w:rsidRDefault="009027B5" w:rsidP="003115CA">
      <w:pPr>
        <w:spacing w:after="120" w:line="280" w:lineRule="exact"/>
        <w:rPr>
          <w:szCs w:val="21"/>
        </w:rPr>
      </w:pPr>
      <w:r>
        <w:rPr>
          <w:szCs w:val="21"/>
        </w:rPr>
        <w:lastRenderedPageBreak/>
        <w:t>During 2015</w:t>
      </w:r>
      <w:r w:rsidR="008F291D" w:rsidRPr="00B6769E">
        <w:rPr>
          <w:szCs w:val="21"/>
        </w:rPr>
        <w:t xml:space="preserve"> Australia funded the maintenance and upgrading of </w:t>
      </w:r>
      <w:r w:rsidR="00CF1113" w:rsidRPr="00B6769E">
        <w:rPr>
          <w:szCs w:val="21"/>
        </w:rPr>
        <w:t xml:space="preserve">approximately </w:t>
      </w:r>
      <w:r w:rsidR="008F291D" w:rsidRPr="00B6769E">
        <w:rPr>
          <w:szCs w:val="21"/>
        </w:rPr>
        <w:t xml:space="preserve">1,400 km of PNG’s </w:t>
      </w:r>
      <w:r w:rsidR="00293AA8" w:rsidRPr="00B6769E">
        <w:rPr>
          <w:szCs w:val="21"/>
        </w:rPr>
        <w:t xml:space="preserve">8,700 km </w:t>
      </w:r>
      <w:r w:rsidR="00CF1113" w:rsidRPr="00B6769E">
        <w:rPr>
          <w:szCs w:val="21"/>
        </w:rPr>
        <w:t xml:space="preserve">national </w:t>
      </w:r>
      <w:r w:rsidR="008F291D" w:rsidRPr="00B6769E">
        <w:rPr>
          <w:szCs w:val="21"/>
        </w:rPr>
        <w:t xml:space="preserve">road network. This was lower than the 2,125 km maintained in 2014, </w:t>
      </w:r>
      <w:r w:rsidR="009D3729" w:rsidRPr="00B6769E">
        <w:rPr>
          <w:szCs w:val="21"/>
        </w:rPr>
        <w:t>reflecting the agreement under</w:t>
      </w:r>
      <w:r w:rsidR="009C56DF" w:rsidRPr="00B6769E">
        <w:rPr>
          <w:szCs w:val="21"/>
        </w:rPr>
        <w:t xml:space="preserve"> the Aid Partnership </w:t>
      </w:r>
      <w:r w:rsidR="009D3729" w:rsidRPr="00B6769E">
        <w:rPr>
          <w:szCs w:val="21"/>
        </w:rPr>
        <w:t xml:space="preserve">to transition towards the delivery of </w:t>
      </w:r>
      <w:r w:rsidR="008F291D" w:rsidRPr="00B6769E">
        <w:rPr>
          <w:szCs w:val="21"/>
        </w:rPr>
        <w:t xml:space="preserve">larger, more complex projects. Key areas of focus </w:t>
      </w:r>
      <w:r w:rsidR="00474D68" w:rsidRPr="00B6769E">
        <w:rPr>
          <w:szCs w:val="21"/>
        </w:rPr>
        <w:t>included</w:t>
      </w:r>
      <w:r w:rsidR="008F291D" w:rsidRPr="00B6769E">
        <w:rPr>
          <w:szCs w:val="21"/>
        </w:rPr>
        <w:t xml:space="preserve"> the construction of four bridges in Oro Province</w:t>
      </w:r>
      <w:r w:rsidR="009C56DF" w:rsidRPr="00B6769E">
        <w:rPr>
          <w:szCs w:val="21"/>
        </w:rPr>
        <w:t xml:space="preserve">, which will improve access to social services and contribute </w:t>
      </w:r>
      <w:r w:rsidR="009D3729" w:rsidRPr="00B6769E">
        <w:rPr>
          <w:szCs w:val="21"/>
        </w:rPr>
        <w:t>to economic growth for around 9</w:t>
      </w:r>
      <w:r w:rsidR="009C56DF" w:rsidRPr="00B6769E">
        <w:rPr>
          <w:szCs w:val="21"/>
        </w:rPr>
        <w:t>0,000 people;</w:t>
      </w:r>
      <w:r w:rsidR="008F291D" w:rsidRPr="00B6769E">
        <w:rPr>
          <w:szCs w:val="21"/>
        </w:rPr>
        <w:t xml:space="preserve"> </w:t>
      </w:r>
      <w:r w:rsidR="00E11C75" w:rsidRPr="00B6769E">
        <w:rPr>
          <w:szCs w:val="21"/>
        </w:rPr>
        <w:t xml:space="preserve">ongoing </w:t>
      </w:r>
      <w:r w:rsidR="008F291D" w:rsidRPr="00B6769E">
        <w:rPr>
          <w:szCs w:val="21"/>
        </w:rPr>
        <w:t>road maintenance in Bougainville</w:t>
      </w:r>
      <w:r w:rsidR="009C56DF" w:rsidRPr="00B6769E">
        <w:rPr>
          <w:szCs w:val="21"/>
        </w:rPr>
        <w:t>;</w:t>
      </w:r>
      <w:r w:rsidR="008F291D" w:rsidRPr="00B6769E">
        <w:rPr>
          <w:szCs w:val="21"/>
        </w:rPr>
        <w:t xml:space="preserve"> and a long term maintenance contract in the Eastern Highlands. A scoping study to upgrade the </w:t>
      </w:r>
      <w:proofErr w:type="spellStart"/>
      <w:r w:rsidR="008F291D" w:rsidRPr="00B6769E">
        <w:rPr>
          <w:szCs w:val="21"/>
        </w:rPr>
        <w:t>Ramu</w:t>
      </w:r>
      <w:proofErr w:type="spellEnd"/>
      <w:r w:rsidR="008F291D" w:rsidRPr="00B6769E">
        <w:rPr>
          <w:szCs w:val="21"/>
        </w:rPr>
        <w:t xml:space="preserve"> Highway under the Joint Understanding</w:t>
      </w:r>
      <w:r w:rsidR="008F291D" w:rsidRPr="00B6769E">
        <w:rPr>
          <w:i/>
          <w:szCs w:val="21"/>
        </w:rPr>
        <w:t xml:space="preserve"> </w:t>
      </w:r>
      <w:r w:rsidR="008F291D" w:rsidRPr="00B6769E">
        <w:rPr>
          <w:szCs w:val="21"/>
        </w:rPr>
        <w:t xml:space="preserve">was completed in late 2015. Substantial progress was </w:t>
      </w:r>
      <w:r w:rsidR="00E11C75" w:rsidRPr="00B6769E">
        <w:rPr>
          <w:szCs w:val="21"/>
        </w:rPr>
        <w:t xml:space="preserve">also </w:t>
      </w:r>
      <w:r w:rsidR="008F291D" w:rsidRPr="00B6769E">
        <w:rPr>
          <w:szCs w:val="21"/>
        </w:rPr>
        <w:t xml:space="preserve">achieved on the upgrade and sealing of the road from </w:t>
      </w:r>
      <w:proofErr w:type="spellStart"/>
      <w:r w:rsidR="008F291D" w:rsidRPr="00B6769E">
        <w:rPr>
          <w:szCs w:val="21"/>
        </w:rPr>
        <w:t>Momote</w:t>
      </w:r>
      <w:proofErr w:type="spellEnd"/>
      <w:r w:rsidR="008F291D" w:rsidRPr="00B6769E">
        <w:rPr>
          <w:szCs w:val="21"/>
        </w:rPr>
        <w:t xml:space="preserve"> Airport to </w:t>
      </w:r>
      <w:proofErr w:type="spellStart"/>
      <w:r w:rsidR="008F291D" w:rsidRPr="00B6769E">
        <w:rPr>
          <w:szCs w:val="21"/>
        </w:rPr>
        <w:t>Lorengau</w:t>
      </w:r>
      <w:proofErr w:type="spellEnd"/>
      <w:r w:rsidR="008F291D" w:rsidRPr="00B6769E">
        <w:rPr>
          <w:szCs w:val="21"/>
        </w:rPr>
        <w:t xml:space="preserve"> Market in Manus Province which is on schedule for completion in late 2016. </w:t>
      </w:r>
    </w:p>
    <w:p w:rsidR="008F291D" w:rsidRPr="00B6769E" w:rsidRDefault="00936377" w:rsidP="003115CA">
      <w:pPr>
        <w:spacing w:after="120" w:line="280" w:lineRule="exact"/>
        <w:rPr>
          <w:szCs w:val="21"/>
        </w:rPr>
      </w:pPr>
      <w:r w:rsidRPr="00B6769E">
        <w:rPr>
          <w:noProof/>
          <w:sz w:val="24"/>
          <w:lang w:val="en-AU" w:eastAsia="en-AU"/>
        </w:rPr>
        <mc:AlternateContent>
          <mc:Choice Requires="wps">
            <w:drawing>
              <wp:anchor distT="0" distB="0" distL="114300" distR="114300" simplePos="0" relativeHeight="251696128" behindDoc="1" locked="0" layoutInCell="1" allowOverlap="1" wp14:anchorId="495EAEA2" wp14:editId="505E5C9C">
                <wp:simplePos x="0" y="0"/>
                <wp:positionH relativeFrom="column">
                  <wp:posOffset>3175</wp:posOffset>
                </wp:positionH>
                <wp:positionV relativeFrom="paragraph">
                  <wp:posOffset>416560</wp:posOffset>
                </wp:positionV>
                <wp:extent cx="2472690" cy="1144905"/>
                <wp:effectExtent l="0" t="0" r="22860" b="17145"/>
                <wp:wrapTight wrapText="bothSides">
                  <wp:wrapPolygon edited="0">
                    <wp:start x="0" y="0"/>
                    <wp:lineTo x="0" y="21564"/>
                    <wp:lineTo x="21633" y="21564"/>
                    <wp:lineTo x="21633"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1144905"/>
                        </a:xfrm>
                        <a:prstGeom prst="rect">
                          <a:avLst/>
                        </a:prstGeom>
                        <a:solidFill>
                          <a:sysClr val="window" lastClr="FFFFFF"/>
                        </a:solidFill>
                        <a:ln w="25400" cap="flat" cmpd="sng" algn="ctr">
                          <a:solidFill>
                            <a:srgbClr val="65C5B4"/>
                          </a:solidFill>
                          <a:prstDash val="solid"/>
                          <a:headEnd/>
                          <a:tailEnd/>
                        </a:ln>
                        <a:effectLst/>
                      </wps:spPr>
                      <wps:txbx>
                        <w:txbxContent>
                          <w:p w:rsidR="00B80664" w:rsidRPr="00065B59" w:rsidRDefault="00B80664" w:rsidP="008D09F0">
                            <w:pPr>
                              <w:rPr>
                                <w:rFonts w:ascii="Franklin Gothic Book" w:hAnsi="Franklin Gothic Book"/>
                                <w:sz w:val="21"/>
                                <w:szCs w:val="21"/>
                              </w:rPr>
                            </w:pPr>
                            <w:r w:rsidRPr="00065B59">
                              <w:rPr>
                                <w:rFonts w:ascii="Franklin Gothic Book" w:hAnsi="Franklin Gothic Book"/>
                                <w:sz w:val="21"/>
                                <w:szCs w:val="21"/>
                              </w:rPr>
                              <w:t>Our maintenance of around 400</w:t>
                            </w:r>
                            <w:r>
                              <w:rPr>
                                <w:rFonts w:ascii="Franklin Gothic Book" w:hAnsi="Franklin Gothic Book"/>
                                <w:sz w:val="21"/>
                                <w:szCs w:val="21"/>
                              </w:rPr>
                              <w:t xml:space="preserve"> </w:t>
                            </w:r>
                            <w:r w:rsidRPr="00065B59">
                              <w:rPr>
                                <w:rFonts w:ascii="Franklin Gothic Book" w:hAnsi="Franklin Gothic Book"/>
                                <w:sz w:val="21"/>
                                <w:szCs w:val="21"/>
                              </w:rPr>
                              <w:t>km of Bougainville’s road network directly employed about 10,000 locals in 2015, ensuring strong local support for road works and injecting much needed money into the economy.</w:t>
                            </w:r>
                          </w:p>
                          <w:p w:rsidR="00B80664" w:rsidRPr="00D4602F" w:rsidRDefault="00B80664" w:rsidP="008D09F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95EAEA2" id="_x0000_s1029" type="#_x0000_t202" style="position:absolute;margin-left:.25pt;margin-top:32.8pt;width:194.7pt;height:90.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" fillcolor="window" strokecolor="#65c5b4" strokeweight="2pt">
                <v:textbox>
                  <w:txbxContent>
                    <w:p w:rsidR="00B80664" w:rsidRPr="00065B59" w:rsidRDefault="00B80664" w:rsidP="008D09F0">
                      <w:pPr>
                        <w:rPr>
                          <w:rFonts w:ascii="Franklin Gothic Book" w:hAnsi="Franklin Gothic Book"/>
                          <w:sz w:val="21"/>
                          <w:szCs w:val="21"/>
                        </w:rPr>
                      </w:pPr>
                      <w:r w:rsidRPr="00065B59">
                        <w:rPr>
                          <w:rFonts w:ascii="Franklin Gothic Book" w:hAnsi="Franklin Gothic Book"/>
                          <w:sz w:val="21"/>
                          <w:szCs w:val="21"/>
                        </w:rPr>
                        <w:t>Our maintenance of around 400</w:t>
                      </w:r>
                      <w:r>
                        <w:rPr>
                          <w:rFonts w:ascii="Franklin Gothic Book" w:hAnsi="Franklin Gothic Book"/>
                          <w:sz w:val="21"/>
                          <w:szCs w:val="21"/>
                        </w:rPr>
                        <w:t xml:space="preserve"> </w:t>
                      </w:r>
                      <w:r w:rsidRPr="00065B59">
                        <w:rPr>
                          <w:rFonts w:ascii="Franklin Gothic Book" w:hAnsi="Franklin Gothic Book"/>
                          <w:sz w:val="21"/>
                          <w:szCs w:val="21"/>
                        </w:rPr>
                        <w:t>km of Bougainville’s road network directly employed about 10,000 locals in 2015, ensuring strong local support for road works and injecting much needed money into the economy.</w:t>
                      </w:r>
                    </w:p>
                    <w:p w:rsidR="00B80664" w:rsidRPr="00D4602F" w:rsidRDefault="00B80664" w:rsidP="008D09F0"/>
                  </w:txbxContent>
                </v:textbox>
                <w10:wrap type="tight"/>
              </v:shape>
            </w:pict>
          </mc:Fallback>
        </mc:AlternateContent>
      </w:r>
      <w:r w:rsidR="008F291D" w:rsidRPr="00B6769E">
        <w:rPr>
          <w:rFonts w:cstheme="minorHAnsi"/>
          <w:szCs w:val="21"/>
          <w:lang w:val="en-AU"/>
        </w:rPr>
        <w:t>Australian support for improved road asset management systems enabled PNG to upgrade asset databases with quality assured information on the condition of the road network</w:t>
      </w:r>
      <w:r w:rsidR="008F291D" w:rsidRPr="00B6769E">
        <w:rPr>
          <w:szCs w:val="21"/>
        </w:rPr>
        <w:t xml:space="preserve">. PNG’s Department of Works used the system to inform </w:t>
      </w:r>
      <w:r w:rsidR="008463E0" w:rsidRPr="00B6769E">
        <w:rPr>
          <w:szCs w:val="21"/>
        </w:rPr>
        <w:t xml:space="preserve">a more targeted and coordinated </w:t>
      </w:r>
      <w:r w:rsidR="00E11C75" w:rsidRPr="00B6769E">
        <w:rPr>
          <w:szCs w:val="21"/>
        </w:rPr>
        <w:t>2017 budget submission</w:t>
      </w:r>
      <w:r w:rsidR="008F291D" w:rsidRPr="00B6769E">
        <w:rPr>
          <w:szCs w:val="21"/>
        </w:rPr>
        <w:t xml:space="preserve">. The system has also allowed PNG to commence development of a multi-year asset management strategy, which will help to improve the targeting of PNG’s limited resources towards priority projects. The work undertaken to improve PNG’s road asset management system </w:t>
      </w:r>
      <w:r w:rsidR="00CE624D" w:rsidRPr="00B6769E">
        <w:rPr>
          <w:szCs w:val="21"/>
        </w:rPr>
        <w:t xml:space="preserve">indicates progress </w:t>
      </w:r>
      <w:r w:rsidR="00FA4AA4" w:rsidRPr="00B6769E">
        <w:rPr>
          <w:szCs w:val="21"/>
        </w:rPr>
        <w:t>towards</w:t>
      </w:r>
      <w:r w:rsidR="00EF55DF" w:rsidRPr="00B6769E">
        <w:rPr>
          <w:szCs w:val="21"/>
        </w:rPr>
        <w:t xml:space="preserve"> improved planning of infrastructure</w:t>
      </w:r>
      <w:r w:rsidRPr="00B6769E">
        <w:rPr>
          <w:szCs w:val="21"/>
        </w:rPr>
        <w:t>,</w:t>
      </w:r>
      <w:r w:rsidR="00FA4AA4" w:rsidRPr="00B6769E">
        <w:rPr>
          <w:szCs w:val="21"/>
        </w:rPr>
        <w:t xml:space="preserve"> in line with targets in the Aid Partnership</w:t>
      </w:r>
      <w:r w:rsidR="00EF55DF" w:rsidRPr="00B6769E">
        <w:rPr>
          <w:szCs w:val="21"/>
        </w:rPr>
        <w:t>. This</w:t>
      </w:r>
      <w:r w:rsidR="00CE624D" w:rsidRPr="00B6769E">
        <w:rPr>
          <w:szCs w:val="21"/>
        </w:rPr>
        <w:t xml:space="preserve"> </w:t>
      </w:r>
      <w:r w:rsidR="00FA4AA4" w:rsidRPr="00B6769E">
        <w:rPr>
          <w:szCs w:val="21"/>
        </w:rPr>
        <w:t xml:space="preserve">reflects the success of the program’s efforts to improve agency performance, which </w:t>
      </w:r>
      <w:r w:rsidR="008F291D" w:rsidRPr="00B6769E">
        <w:rPr>
          <w:szCs w:val="21"/>
        </w:rPr>
        <w:t>has been underpinned by Australia’s strong focus on sectoral governance and capacity building</w:t>
      </w:r>
      <w:r w:rsidR="00EF55DF" w:rsidRPr="00B6769E">
        <w:rPr>
          <w:szCs w:val="21"/>
        </w:rPr>
        <w:t>.</w:t>
      </w:r>
      <w:r w:rsidR="009C56DF" w:rsidRPr="00B6769E">
        <w:rPr>
          <w:szCs w:val="21"/>
        </w:rPr>
        <w:t xml:space="preserve">   </w:t>
      </w:r>
      <w:r w:rsidR="008F291D" w:rsidRPr="00B6769E">
        <w:rPr>
          <w:szCs w:val="21"/>
        </w:rPr>
        <w:t xml:space="preserve"> </w:t>
      </w:r>
    </w:p>
    <w:p w:rsidR="008F703A" w:rsidRPr="001110F5" w:rsidRDefault="008F291D" w:rsidP="00B6769E">
      <w:pPr>
        <w:pStyle w:val="AfterFirstPara"/>
        <w:numPr>
          <w:ilvl w:val="0"/>
          <w:numId w:val="0"/>
        </w:numPr>
        <w:spacing w:line="280" w:lineRule="exact"/>
        <w:rPr>
          <w:color w:val="495965" w:themeColor="text2"/>
          <w:sz w:val="28"/>
        </w:rPr>
      </w:pPr>
      <w:r w:rsidRPr="001110F5">
        <w:rPr>
          <w:rFonts w:asciiTheme="minorHAnsi" w:hAnsiTheme="minorHAnsi"/>
          <w:color w:val="495965" w:themeColor="text2"/>
          <w:sz w:val="22"/>
          <w:szCs w:val="21"/>
        </w:rPr>
        <w:t xml:space="preserve">The program has also supported PNG to improve its compliance against international standards in aviation and maritime safety and security. </w:t>
      </w:r>
      <w:r w:rsidR="00E27026" w:rsidRPr="001110F5">
        <w:rPr>
          <w:rFonts w:asciiTheme="minorHAnsi" w:hAnsiTheme="minorHAnsi"/>
          <w:color w:val="495965" w:themeColor="text2"/>
          <w:sz w:val="22"/>
          <w:szCs w:val="21"/>
        </w:rPr>
        <w:t>With respect to aviation safety, Australia funded a project to introduce satellite navigation capability at 31 airports across PNG; the introduction of a new very high frequency telecommunication system to better monitor domestic and international flights; and support for upgrades to PNG’s air traffic management systems.</w:t>
      </w:r>
      <w:r w:rsidR="00E27026" w:rsidRPr="001110F5">
        <w:rPr>
          <w:rFonts w:asciiTheme="minorHAnsi" w:hAnsiTheme="minorHAnsi" w:cstheme="minorHAnsi"/>
          <w:color w:val="495965" w:themeColor="text2"/>
          <w:sz w:val="22"/>
          <w:szCs w:val="21"/>
          <w:lang w:val="en-AU"/>
        </w:rPr>
        <w:t xml:space="preserve"> </w:t>
      </w:r>
      <w:r w:rsidR="00E27026" w:rsidRPr="001110F5" w:rsidDel="00A21EB3">
        <w:rPr>
          <w:rFonts w:asciiTheme="minorHAnsi" w:hAnsiTheme="minorHAnsi"/>
          <w:color w:val="495965" w:themeColor="text2"/>
          <w:sz w:val="22"/>
          <w:szCs w:val="21"/>
        </w:rPr>
        <w:t xml:space="preserve"> </w:t>
      </w:r>
      <w:r w:rsidRPr="001110F5">
        <w:rPr>
          <w:rFonts w:asciiTheme="minorHAnsi" w:hAnsiTheme="minorHAnsi"/>
          <w:color w:val="495965" w:themeColor="text2"/>
          <w:sz w:val="22"/>
          <w:szCs w:val="21"/>
        </w:rPr>
        <w:t xml:space="preserve">With </w:t>
      </w:r>
      <w:r w:rsidR="00E27026" w:rsidRPr="001110F5">
        <w:rPr>
          <w:rFonts w:asciiTheme="minorHAnsi" w:hAnsiTheme="minorHAnsi"/>
          <w:color w:val="495965" w:themeColor="text2"/>
          <w:sz w:val="22"/>
          <w:szCs w:val="21"/>
        </w:rPr>
        <w:t xml:space="preserve">respect to maritime safety, in May 2016 PNG launched </w:t>
      </w:r>
      <w:r w:rsidRPr="001110F5">
        <w:rPr>
          <w:rFonts w:asciiTheme="minorHAnsi" w:hAnsiTheme="minorHAnsi"/>
          <w:color w:val="495965" w:themeColor="text2"/>
          <w:sz w:val="22"/>
          <w:szCs w:val="21"/>
        </w:rPr>
        <w:t>a new K8.9 million Global Maritime Distress and Safety System</w:t>
      </w:r>
      <w:r w:rsidR="00E27026" w:rsidRPr="001110F5">
        <w:rPr>
          <w:rFonts w:asciiTheme="minorHAnsi" w:hAnsiTheme="minorHAnsi"/>
          <w:color w:val="495965" w:themeColor="text2"/>
          <w:sz w:val="22"/>
          <w:szCs w:val="21"/>
        </w:rPr>
        <w:t>. Developed with Australia’s support, the system</w:t>
      </w:r>
      <w:r w:rsidRPr="001110F5">
        <w:rPr>
          <w:rFonts w:asciiTheme="minorHAnsi" w:hAnsiTheme="minorHAnsi"/>
          <w:color w:val="495965" w:themeColor="text2"/>
          <w:sz w:val="22"/>
          <w:szCs w:val="21"/>
        </w:rPr>
        <w:t xml:space="preserve"> will improve radio network coverage across all of PNG’s waters. </w:t>
      </w:r>
    </w:p>
    <w:p w:rsidR="002861E8" w:rsidRPr="00B6769E" w:rsidRDefault="008F291D" w:rsidP="003115CA">
      <w:pPr>
        <w:spacing w:after="120" w:line="280" w:lineRule="exact"/>
        <w:rPr>
          <w:szCs w:val="21"/>
        </w:rPr>
      </w:pPr>
      <w:r w:rsidRPr="00B6769E">
        <w:rPr>
          <w:szCs w:val="21"/>
        </w:rPr>
        <w:t>Gender was also a strong foc</w:t>
      </w:r>
      <w:r w:rsidR="00474D68" w:rsidRPr="00B6769E">
        <w:rPr>
          <w:szCs w:val="21"/>
        </w:rPr>
        <w:t xml:space="preserve">us for the </w:t>
      </w:r>
      <w:r w:rsidR="00621914">
        <w:rPr>
          <w:szCs w:val="21"/>
        </w:rPr>
        <w:t xml:space="preserve">transport </w:t>
      </w:r>
      <w:r w:rsidR="00474D68" w:rsidRPr="00B6769E">
        <w:rPr>
          <w:szCs w:val="21"/>
        </w:rPr>
        <w:t xml:space="preserve">program. </w:t>
      </w:r>
      <w:r w:rsidR="00936377" w:rsidRPr="00B6769E">
        <w:rPr>
          <w:szCs w:val="21"/>
        </w:rPr>
        <w:t>W</w:t>
      </w:r>
      <w:r w:rsidR="00474D68" w:rsidRPr="00B6769E">
        <w:rPr>
          <w:szCs w:val="21"/>
        </w:rPr>
        <w:t>e updated</w:t>
      </w:r>
      <w:r w:rsidRPr="00B6769E">
        <w:rPr>
          <w:szCs w:val="21"/>
        </w:rPr>
        <w:t xml:space="preserve"> </w:t>
      </w:r>
      <w:r w:rsidR="00BC279A">
        <w:rPr>
          <w:szCs w:val="21"/>
        </w:rPr>
        <w:t xml:space="preserve">the </w:t>
      </w:r>
      <w:r w:rsidRPr="00B6769E">
        <w:rPr>
          <w:szCs w:val="21"/>
        </w:rPr>
        <w:t xml:space="preserve">Aid Partnership </w:t>
      </w:r>
      <w:r w:rsidR="00936377" w:rsidRPr="00B6769E">
        <w:rPr>
          <w:szCs w:val="21"/>
        </w:rPr>
        <w:t xml:space="preserve">transport schedule </w:t>
      </w:r>
      <w:r w:rsidRPr="00B6769E">
        <w:rPr>
          <w:szCs w:val="21"/>
        </w:rPr>
        <w:t xml:space="preserve">to include a target to increase the inclusion of women in the planning, design and delivery of transport infrastructure. In 2015-16, the program supported PNG transport agencies to implement PNG’s Gender Equity and Social Inclusion Policy, including by sponsoring a female transport official to undertake an accelerated executive development program. This culminated in </w:t>
      </w:r>
      <w:r w:rsidR="00101C75" w:rsidRPr="00B6769E">
        <w:rPr>
          <w:szCs w:val="21"/>
        </w:rPr>
        <w:t xml:space="preserve">the official’s </w:t>
      </w:r>
      <w:r w:rsidRPr="00B6769E">
        <w:rPr>
          <w:szCs w:val="21"/>
        </w:rPr>
        <w:t xml:space="preserve">selection for a leadership role </w:t>
      </w:r>
      <w:r w:rsidR="002861E8" w:rsidRPr="00B6769E">
        <w:rPr>
          <w:szCs w:val="21"/>
        </w:rPr>
        <w:t>at</w:t>
      </w:r>
      <w:r w:rsidRPr="00B6769E">
        <w:rPr>
          <w:szCs w:val="21"/>
        </w:rPr>
        <w:t xml:space="preserve"> the 42</w:t>
      </w:r>
      <w:r w:rsidRPr="00B6769E">
        <w:rPr>
          <w:szCs w:val="21"/>
          <w:vertAlign w:val="superscript"/>
        </w:rPr>
        <w:t>nd</w:t>
      </w:r>
      <w:r w:rsidRPr="00B6769E">
        <w:rPr>
          <w:szCs w:val="21"/>
        </w:rPr>
        <w:t xml:space="preserve"> APEC Transportation Working Group meeting in PNG in early 2016</w:t>
      </w:r>
      <w:r w:rsidR="00CE624D" w:rsidRPr="00B6769E">
        <w:rPr>
          <w:szCs w:val="21"/>
        </w:rPr>
        <w:t>, indicating progress against the Aid Partnership benchmark</w:t>
      </w:r>
      <w:r w:rsidRPr="00B6769E">
        <w:rPr>
          <w:szCs w:val="21"/>
        </w:rPr>
        <w:t xml:space="preserve">.  </w:t>
      </w:r>
    </w:p>
    <w:p w:rsidR="008463E0" w:rsidRPr="00B6769E" w:rsidRDefault="008463E0" w:rsidP="003115CA">
      <w:pPr>
        <w:spacing w:after="120" w:line="280" w:lineRule="exact"/>
        <w:rPr>
          <w:szCs w:val="21"/>
        </w:rPr>
      </w:pPr>
      <w:r w:rsidRPr="00B6769E">
        <w:rPr>
          <w:i/>
          <w:szCs w:val="21"/>
        </w:rPr>
        <w:t>Outlook</w:t>
      </w:r>
    </w:p>
    <w:p w:rsidR="008F291D" w:rsidRPr="00B6769E" w:rsidRDefault="008F291D" w:rsidP="003115CA">
      <w:pPr>
        <w:spacing w:after="120" w:line="280" w:lineRule="exact"/>
        <w:rPr>
          <w:szCs w:val="21"/>
        </w:rPr>
      </w:pPr>
      <w:r w:rsidRPr="00B6769E">
        <w:rPr>
          <w:szCs w:val="21"/>
        </w:rPr>
        <w:t xml:space="preserve">While the program has achieved a number of objectives during 2015, </w:t>
      </w:r>
      <w:r w:rsidR="00187006" w:rsidRPr="00B6769E">
        <w:rPr>
          <w:szCs w:val="21"/>
        </w:rPr>
        <w:t xml:space="preserve">the </w:t>
      </w:r>
      <w:r w:rsidRPr="00B6769E">
        <w:rPr>
          <w:szCs w:val="21"/>
        </w:rPr>
        <w:t>2016</w:t>
      </w:r>
      <w:r w:rsidR="00187006" w:rsidRPr="00B6769E">
        <w:rPr>
          <w:szCs w:val="21"/>
        </w:rPr>
        <w:t xml:space="preserve"> year</w:t>
      </w:r>
      <w:r w:rsidRPr="00B6769E">
        <w:rPr>
          <w:szCs w:val="21"/>
        </w:rPr>
        <w:t xml:space="preserve"> is likely to be challenging for the transport sector overall due to PNG’s budget constraints. </w:t>
      </w:r>
      <w:r w:rsidR="00F464FA" w:rsidRPr="00B6769E">
        <w:rPr>
          <w:szCs w:val="21"/>
        </w:rPr>
        <w:t xml:space="preserve">In 2016, the PNG Government appropriated PGK1.21 billion </w:t>
      </w:r>
      <w:r w:rsidR="007C2C70" w:rsidRPr="00B6769E">
        <w:rPr>
          <w:szCs w:val="21"/>
        </w:rPr>
        <w:t xml:space="preserve">($421.9 million) </w:t>
      </w:r>
      <w:r w:rsidR="00F464FA" w:rsidRPr="00B6769E">
        <w:rPr>
          <w:szCs w:val="21"/>
        </w:rPr>
        <w:t xml:space="preserve">to the PNG transport sector in its annual budget, a decrease of approximately 18 per cent from the 2015 budget.  </w:t>
      </w:r>
      <w:r w:rsidRPr="00B6769E">
        <w:rPr>
          <w:szCs w:val="21"/>
        </w:rPr>
        <w:t xml:space="preserve">This will challenge the objectives PNG has set for itself in the sector, in particular its goal to reinstate 75 per cent of its overall national road network to a ‘good’ condition. To support PNG in addressing this financing gap, </w:t>
      </w:r>
      <w:r w:rsidR="002861E8" w:rsidRPr="00B6769E">
        <w:rPr>
          <w:szCs w:val="21"/>
        </w:rPr>
        <w:t>Australia’s</w:t>
      </w:r>
      <w:r w:rsidRPr="00B6769E">
        <w:rPr>
          <w:szCs w:val="21"/>
        </w:rPr>
        <w:t xml:space="preserve"> advisory support will increasingly focus on infrastructure financing, including efforts to promote stronger private sector engagement. Improved efficiency in the allocation of resources towards priority projects is also required. While coordination within the transport sector is strong, this will necessitate closer engagement with central agencies and the PNG National Executive Council to ensure this translates into funding for priority projects. </w:t>
      </w:r>
    </w:p>
    <w:p w:rsidR="00AA4B2F" w:rsidRPr="000B62C6" w:rsidRDefault="00762179" w:rsidP="000B62C6">
      <w:pPr>
        <w:pStyle w:val="Heading3"/>
        <w:rPr>
          <w:rFonts w:eastAsia="Times New Roman"/>
          <w:sz w:val="38"/>
          <w:szCs w:val="38"/>
        </w:rPr>
      </w:pPr>
      <w:r w:rsidRPr="000B62C6">
        <w:rPr>
          <w:rFonts w:eastAsia="Times New Roman"/>
          <w:sz w:val="38"/>
          <w:szCs w:val="38"/>
        </w:rPr>
        <w:lastRenderedPageBreak/>
        <w:t xml:space="preserve">OUTCOME 5: </w:t>
      </w:r>
      <w:r w:rsidR="000A1C89" w:rsidRPr="000B62C6">
        <w:rPr>
          <w:rFonts w:eastAsia="Times New Roman"/>
          <w:sz w:val="38"/>
          <w:szCs w:val="38"/>
        </w:rPr>
        <w:t xml:space="preserve">STRENGTHENED </w:t>
      </w:r>
      <w:r w:rsidRPr="000B62C6">
        <w:rPr>
          <w:rFonts w:eastAsia="Times New Roman"/>
          <w:sz w:val="38"/>
          <w:szCs w:val="38"/>
        </w:rPr>
        <w:t>GOVERNANCE</w:t>
      </w:r>
    </w:p>
    <w:p w:rsidR="005A735B" w:rsidRPr="00B6769E" w:rsidRDefault="005A735B"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Nearly all Australian aid activities include components aimed at improving governance either directly or indirectly. During 2015-16, Australian support for strengthened governance in PNG (totalling approximately $81.63 million</w:t>
      </w:r>
      <w:r w:rsidR="00892571" w:rsidRPr="00B6769E">
        <w:rPr>
          <w:rFonts w:asciiTheme="minorHAnsi" w:hAnsiTheme="minorHAnsi"/>
          <w:color w:val="495965" w:themeColor="text2"/>
          <w:sz w:val="22"/>
        </w:rPr>
        <w:t xml:space="preserve"> or PGK196.1 million</w:t>
      </w:r>
      <w:r w:rsidRPr="00B6769E">
        <w:rPr>
          <w:rFonts w:asciiTheme="minorHAnsi" w:hAnsiTheme="minorHAnsi"/>
          <w:color w:val="495965" w:themeColor="text2"/>
          <w:sz w:val="22"/>
        </w:rPr>
        <w:t xml:space="preserve">) was delivered through: the Economic Public Sector Program; Provincial and Local Level Government Program; Electoral Support Program; the Pacific Leadership and Governance Precinct; </w:t>
      </w:r>
      <w:proofErr w:type="spellStart"/>
      <w:r w:rsidRPr="00B6769E">
        <w:rPr>
          <w:rFonts w:asciiTheme="minorHAnsi" w:hAnsiTheme="minorHAnsi"/>
          <w:color w:val="495965" w:themeColor="text2"/>
          <w:sz w:val="22"/>
        </w:rPr>
        <w:t>Strongim</w:t>
      </w:r>
      <w:proofErr w:type="spellEnd"/>
      <w:r w:rsidRPr="00B6769E">
        <w:rPr>
          <w:rFonts w:asciiTheme="minorHAnsi" w:hAnsiTheme="minorHAnsi"/>
          <w:color w:val="495965" w:themeColor="text2"/>
          <w:sz w:val="22"/>
        </w:rPr>
        <w:t xml:space="preserve"> </w:t>
      </w:r>
      <w:proofErr w:type="spellStart"/>
      <w:r w:rsidRPr="00B6769E">
        <w:rPr>
          <w:rFonts w:asciiTheme="minorHAnsi" w:hAnsiTheme="minorHAnsi"/>
          <w:color w:val="495965" w:themeColor="text2"/>
          <w:sz w:val="22"/>
        </w:rPr>
        <w:t>Pipol</w:t>
      </w:r>
      <w:proofErr w:type="spellEnd"/>
      <w:r w:rsidRPr="00B6769E">
        <w:rPr>
          <w:rFonts w:asciiTheme="minorHAnsi" w:hAnsiTheme="minorHAnsi"/>
          <w:color w:val="495965" w:themeColor="text2"/>
          <w:sz w:val="22"/>
        </w:rPr>
        <w:t xml:space="preserve"> </w:t>
      </w:r>
      <w:proofErr w:type="spellStart"/>
      <w:r w:rsidRPr="00B6769E">
        <w:rPr>
          <w:rFonts w:asciiTheme="minorHAnsi" w:hAnsiTheme="minorHAnsi"/>
          <w:color w:val="495965" w:themeColor="text2"/>
          <w:sz w:val="22"/>
        </w:rPr>
        <w:t>Strongim</w:t>
      </w:r>
      <w:proofErr w:type="spellEnd"/>
      <w:r w:rsidRPr="00B6769E">
        <w:rPr>
          <w:rFonts w:asciiTheme="minorHAnsi" w:hAnsiTheme="minorHAnsi"/>
          <w:color w:val="495965" w:themeColor="text2"/>
          <w:sz w:val="22"/>
        </w:rPr>
        <w:t xml:space="preserve"> </w:t>
      </w:r>
      <w:proofErr w:type="spellStart"/>
      <w:r w:rsidRPr="00B6769E">
        <w:rPr>
          <w:rFonts w:asciiTheme="minorHAnsi" w:hAnsiTheme="minorHAnsi"/>
          <w:color w:val="495965" w:themeColor="text2"/>
          <w:sz w:val="22"/>
        </w:rPr>
        <w:t>Nesen</w:t>
      </w:r>
      <w:proofErr w:type="spellEnd"/>
      <w:r w:rsidR="001F0CE8" w:rsidRPr="00B6769E">
        <w:rPr>
          <w:rFonts w:asciiTheme="minorHAnsi" w:hAnsiTheme="minorHAnsi"/>
          <w:color w:val="495965" w:themeColor="text2"/>
          <w:sz w:val="22"/>
        </w:rPr>
        <w:t xml:space="preserve"> (SPSN)</w:t>
      </w:r>
      <w:r w:rsidRPr="00B6769E">
        <w:rPr>
          <w:rFonts w:asciiTheme="minorHAnsi" w:hAnsiTheme="minorHAnsi"/>
          <w:color w:val="495965" w:themeColor="text2"/>
          <w:sz w:val="22"/>
        </w:rPr>
        <w:t>; Church Partnership Program</w:t>
      </w:r>
      <w:r w:rsidR="001F0CE8" w:rsidRPr="00B6769E">
        <w:rPr>
          <w:rFonts w:asciiTheme="minorHAnsi" w:hAnsiTheme="minorHAnsi"/>
          <w:color w:val="495965" w:themeColor="text2"/>
          <w:sz w:val="22"/>
        </w:rPr>
        <w:t xml:space="preserve"> (CPP)</w:t>
      </w:r>
      <w:r w:rsidRPr="00B6769E">
        <w:rPr>
          <w:rFonts w:asciiTheme="minorHAnsi" w:hAnsiTheme="minorHAnsi"/>
          <w:color w:val="495965" w:themeColor="text2"/>
          <w:sz w:val="22"/>
        </w:rPr>
        <w:t>; Kokoda Initiative; twinning between PNG and Australian departments</w:t>
      </w:r>
      <w:r w:rsidR="001F0CE8" w:rsidRPr="00B6769E">
        <w:rPr>
          <w:rFonts w:asciiTheme="minorHAnsi" w:hAnsiTheme="minorHAnsi"/>
          <w:color w:val="495965" w:themeColor="text2"/>
          <w:sz w:val="22"/>
        </w:rPr>
        <w:t>;</w:t>
      </w:r>
      <w:r w:rsidRPr="00B6769E">
        <w:rPr>
          <w:rFonts w:asciiTheme="minorHAnsi" w:hAnsiTheme="minorHAnsi"/>
          <w:color w:val="495965" w:themeColor="text2"/>
          <w:sz w:val="22"/>
        </w:rPr>
        <w:t xml:space="preserve"> and the </w:t>
      </w:r>
      <w:proofErr w:type="spellStart"/>
      <w:r w:rsidRPr="00B6769E">
        <w:rPr>
          <w:rFonts w:asciiTheme="minorHAnsi" w:hAnsiTheme="minorHAnsi"/>
          <w:color w:val="495965" w:themeColor="text2"/>
          <w:sz w:val="22"/>
        </w:rPr>
        <w:t>Strongim</w:t>
      </w:r>
      <w:proofErr w:type="spellEnd"/>
      <w:r w:rsidRPr="00B6769E">
        <w:rPr>
          <w:rFonts w:asciiTheme="minorHAnsi" w:hAnsiTheme="minorHAnsi"/>
          <w:color w:val="495965" w:themeColor="text2"/>
          <w:sz w:val="22"/>
        </w:rPr>
        <w:t xml:space="preserve"> </w:t>
      </w:r>
      <w:proofErr w:type="spellStart"/>
      <w:r w:rsidRPr="00B6769E">
        <w:rPr>
          <w:rFonts w:asciiTheme="minorHAnsi" w:hAnsiTheme="minorHAnsi"/>
          <w:color w:val="495965" w:themeColor="text2"/>
          <w:sz w:val="22"/>
        </w:rPr>
        <w:t>Gavman</w:t>
      </w:r>
      <w:proofErr w:type="spellEnd"/>
      <w:r w:rsidRPr="00B6769E">
        <w:rPr>
          <w:rFonts w:asciiTheme="minorHAnsi" w:hAnsiTheme="minorHAnsi"/>
          <w:color w:val="495965" w:themeColor="text2"/>
          <w:sz w:val="22"/>
        </w:rPr>
        <w:t xml:space="preserve"> Program</w:t>
      </w:r>
      <w:r w:rsidR="001F0CE8" w:rsidRPr="00B6769E">
        <w:rPr>
          <w:rFonts w:asciiTheme="minorHAnsi" w:hAnsiTheme="minorHAnsi"/>
          <w:color w:val="495965" w:themeColor="text2"/>
          <w:sz w:val="22"/>
        </w:rPr>
        <w:t xml:space="preserve"> (SGP)</w:t>
      </w:r>
      <w:r w:rsidRPr="00B6769E">
        <w:rPr>
          <w:rFonts w:asciiTheme="minorHAnsi" w:hAnsiTheme="minorHAnsi"/>
          <w:color w:val="495965" w:themeColor="text2"/>
          <w:sz w:val="22"/>
        </w:rPr>
        <w:t>. Many of the programs transitioned on 30 June 2016 to a new facility to consolidate our governance investments.</w:t>
      </w:r>
    </w:p>
    <w:p w:rsidR="005A735B" w:rsidRPr="00B6769E" w:rsidRDefault="00621914" w:rsidP="00CD131A">
      <w:pPr>
        <w:pStyle w:val="BodyText"/>
        <w:spacing w:before="120" w:after="120"/>
        <w:rPr>
          <w:rFonts w:asciiTheme="minorHAnsi" w:hAnsiTheme="minorHAnsi"/>
          <w:color w:val="495965" w:themeColor="text2"/>
          <w:sz w:val="22"/>
        </w:rPr>
      </w:pPr>
      <w:r w:rsidRPr="00B6769E">
        <w:rPr>
          <w:rFonts w:asciiTheme="minorHAnsi" w:hAnsiTheme="minorHAnsi"/>
          <w:noProof/>
          <w:sz w:val="22"/>
        </w:rPr>
        <mc:AlternateContent>
          <mc:Choice Requires="wps">
            <w:drawing>
              <wp:anchor distT="0" distB="0" distL="114300" distR="114300" simplePos="0" relativeHeight="251694080" behindDoc="1" locked="0" layoutInCell="1" allowOverlap="1" wp14:anchorId="16D9582C" wp14:editId="2B183BBE">
                <wp:simplePos x="0" y="0"/>
                <wp:positionH relativeFrom="column">
                  <wp:posOffset>10795</wp:posOffset>
                </wp:positionH>
                <wp:positionV relativeFrom="paragraph">
                  <wp:posOffset>488315</wp:posOffset>
                </wp:positionV>
                <wp:extent cx="2472690" cy="993775"/>
                <wp:effectExtent l="0" t="0" r="22860" b="15875"/>
                <wp:wrapTight wrapText="bothSides">
                  <wp:wrapPolygon edited="0">
                    <wp:start x="0" y="0"/>
                    <wp:lineTo x="0" y="21531"/>
                    <wp:lineTo x="21633" y="21531"/>
                    <wp:lineTo x="21633"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993775"/>
                        </a:xfrm>
                        <a:prstGeom prst="rect">
                          <a:avLst/>
                        </a:prstGeom>
                        <a:solidFill>
                          <a:sysClr val="window" lastClr="FFFFFF"/>
                        </a:solidFill>
                        <a:ln w="25400" cap="flat" cmpd="sng" algn="ctr">
                          <a:solidFill>
                            <a:srgbClr val="65C5B4"/>
                          </a:solidFill>
                          <a:prstDash val="solid"/>
                          <a:headEnd/>
                          <a:tailEnd/>
                        </a:ln>
                        <a:effectLst/>
                      </wps:spPr>
                      <wps:txbx>
                        <w:txbxContent>
                          <w:p w:rsidR="00B80664" w:rsidRPr="00065B59" w:rsidRDefault="00B80664" w:rsidP="008D09F0">
                            <w:pPr>
                              <w:rPr>
                                <w:rFonts w:ascii="Franklin Gothic Book" w:hAnsi="Franklin Gothic Book"/>
                                <w:sz w:val="21"/>
                                <w:szCs w:val="21"/>
                              </w:rPr>
                            </w:pPr>
                            <w:r w:rsidRPr="00065B59">
                              <w:rPr>
                                <w:rFonts w:ascii="Franklin Gothic Book" w:hAnsi="Franklin Gothic Book"/>
                                <w:sz w:val="21"/>
                                <w:szCs w:val="21"/>
                              </w:rPr>
                              <w:t xml:space="preserve">With Australia’s support, the </w:t>
                            </w:r>
                            <w:proofErr w:type="spellStart"/>
                            <w:r w:rsidRPr="00065B59">
                              <w:rPr>
                                <w:rFonts w:ascii="Franklin Gothic Book" w:hAnsi="Franklin Gothic Book"/>
                                <w:sz w:val="21"/>
                                <w:szCs w:val="21"/>
                              </w:rPr>
                              <w:t>Tanim</w:t>
                            </w:r>
                            <w:proofErr w:type="spellEnd"/>
                            <w:r w:rsidRPr="00065B59">
                              <w:rPr>
                                <w:rFonts w:ascii="Franklin Gothic Book" w:hAnsi="Franklin Gothic Book"/>
                                <w:sz w:val="21"/>
                                <w:szCs w:val="21"/>
                              </w:rPr>
                              <w:t xml:space="preserve"> </w:t>
                            </w:r>
                            <w:proofErr w:type="spellStart"/>
                            <w:r w:rsidRPr="00065B59">
                              <w:rPr>
                                <w:rFonts w:ascii="Franklin Gothic Book" w:hAnsi="Franklin Gothic Book"/>
                                <w:sz w:val="21"/>
                                <w:szCs w:val="21"/>
                              </w:rPr>
                              <w:t>Graun</w:t>
                            </w:r>
                            <w:proofErr w:type="spellEnd"/>
                            <w:r w:rsidRPr="00065B59">
                              <w:rPr>
                                <w:rFonts w:ascii="Franklin Gothic Book" w:hAnsi="Franklin Gothic Book"/>
                                <w:sz w:val="21"/>
                                <w:szCs w:val="21"/>
                              </w:rPr>
                              <w:t xml:space="preserve"> Q&amp;A TV program screened a series of public policy debates to a viewing audience of 1.5 million people in 2015-16.</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6D9582C" id="_x0000_s1030" type="#_x0000_t202" style="position:absolute;margin-left:.85pt;margin-top:38.45pt;width:194.7pt;height:78.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" fillcolor="window" strokecolor="#65c5b4" strokeweight="2pt">
                <v:textbox>
                  <w:txbxContent>
                    <w:p w:rsidR="00B80664" w:rsidRPr="00065B59" w:rsidRDefault="00B80664" w:rsidP="008D09F0">
                      <w:pPr>
                        <w:rPr>
                          <w:rFonts w:ascii="Franklin Gothic Book" w:hAnsi="Franklin Gothic Book"/>
                          <w:sz w:val="21"/>
                          <w:szCs w:val="21"/>
                        </w:rPr>
                      </w:pPr>
                      <w:r w:rsidRPr="00065B59">
                        <w:rPr>
                          <w:rFonts w:ascii="Franklin Gothic Book" w:hAnsi="Franklin Gothic Book"/>
                          <w:sz w:val="21"/>
                          <w:szCs w:val="21"/>
                        </w:rPr>
                        <w:t xml:space="preserve">With Australia’s support, the </w:t>
                      </w:r>
                      <w:proofErr w:type="spellStart"/>
                      <w:r w:rsidRPr="00065B59">
                        <w:rPr>
                          <w:rFonts w:ascii="Franklin Gothic Book" w:hAnsi="Franklin Gothic Book"/>
                          <w:sz w:val="21"/>
                          <w:szCs w:val="21"/>
                        </w:rPr>
                        <w:t>Tanim</w:t>
                      </w:r>
                      <w:proofErr w:type="spellEnd"/>
                      <w:r w:rsidRPr="00065B59">
                        <w:rPr>
                          <w:rFonts w:ascii="Franklin Gothic Book" w:hAnsi="Franklin Gothic Book"/>
                          <w:sz w:val="21"/>
                          <w:szCs w:val="21"/>
                        </w:rPr>
                        <w:t xml:space="preserve"> </w:t>
                      </w:r>
                      <w:proofErr w:type="spellStart"/>
                      <w:r w:rsidRPr="00065B59">
                        <w:rPr>
                          <w:rFonts w:ascii="Franklin Gothic Book" w:hAnsi="Franklin Gothic Book"/>
                          <w:sz w:val="21"/>
                          <w:szCs w:val="21"/>
                        </w:rPr>
                        <w:t>Graun</w:t>
                      </w:r>
                      <w:proofErr w:type="spellEnd"/>
                      <w:r w:rsidRPr="00065B59">
                        <w:rPr>
                          <w:rFonts w:ascii="Franklin Gothic Book" w:hAnsi="Franklin Gothic Book"/>
                          <w:sz w:val="21"/>
                          <w:szCs w:val="21"/>
                        </w:rPr>
                        <w:t xml:space="preserve"> Q&amp;A TV program screened a series of public policy debates to a viewing audience of 1.5 million people in 2015-16.</w:t>
                      </w:r>
                    </w:p>
                  </w:txbxContent>
                </v:textbox>
                <w10:wrap type="tight"/>
              </v:shape>
            </w:pict>
          </mc:Fallback>
        </mc:AlternateContent>
      </w:r>
      <w:r w:rsidR="00832C0D" w:rsidRPr="00832C0D">
        <w:rPr>
          <w:rFonts w:asciiTheme="minorHAnsi" w:hAnsiTheme="minorHAnsi"/>
          <w:color w:val="495965" w:themeColor="text2"/>
          <w:sz w:val="22"/>
        </w:rPr>
        <w:t xml:space="preserve"> </w:t>
      </w:r>
      <w:r w:rsidR="00832C0D">
        <w:rPr>
          <w:rFonts w:asciiTheme="minorHAnsi" w:hAnsiTheme="minorHAnsi"/>
          <w:color w:val="495965" w:themeColor="text2"/>
          <w:sz w:val="22"/>
        </w:rPr>
        <w:t>The ‘amber’ rating for the g</w:t>
      </w:r>
      <w:r w:rsidR="00832C0D" w:rsidRPr="00B6769E">
        <w:rPr>
          <w:rFonts w:asciiTheme="minorHAnsi" w:hAnsiTheme="minorHAnsi"/>
          <w:color w:val="495965" w:themeColor="text2"/>
          <w:sz w:val="22"/>
        </w:rPr>
        <w:t xml:space="preserve">overnance outcome largely reflects Final Aid Quality Check (FAQC) reports, which indicate investments have performed adequately, with some significant achievements, but overall have achieved some of their original goals. </w:t>
      </w:r>
      <w:r w:rsidR="00832C0D" w:rsidRPr="00CC5813">
        <w:rPr>
          <w:rFonts w:asciiTheme="minorHAnsi" w:hAnsiTheme="minorHAnsi"/>
          <w:color w:val="495965" w:themeColor="text2"/>
          <w:sz w:val="22"/>
        </w:rPr>
        <w:t xml:space="preserve">While relevant and in most cases effective, investments required improvement in areas including efficiency, monitoring and evaluation, and sustainability. </w:t>
      </w:r>
      <w:r w:rsidR="00832C0D" w:rsidRPr="00B6769E">
        <w:rPr>
          <w:rFonts w:asciiTheme="minorHAnsi" w:hAnsiTheme="minorHAnsi"/>
          <w:color w:val="495965" w:themeColor="text2"/>
          <w:sz w:val="22"/>
        </w:rPr>
        <w:t xml:space="preserve">This is due in part to programs evolving with shifts in PNG and Australian policy, such as the </w:t>
      </w:r>
      <w:r w:rsidR="00832C0D">
        <w:rPr>
          <w:rFonts w:asciiTheme="minorHAnsi" w:hAnsiTheme="minorHAnsi"/>
          <w:color w:val="495965" w:themeColor="text2"/>
          <w:sz w:val="22"/>
        </w:rPr>
        <w:t>focus</w:t>
      </w:r>
      <w:r w:rsidR="00832C0D" w:rsidRPr="00B6769E">
        <w:rPr>
          <w:rFonts w:asciiTheme="minorHAnsi" w:hAnsiTheme="minorHAnsi"/>
          <w:color w:val="495965" w:themeColor="text2"/>
          <w:sz w:val="22"/>
        </w:rPr>
        <w:t xml:space="preserve"> since 2015 on district engagement. Support was delivered in a complex environment, as PNG continued to face challenges including poor accountability for public expenditure and service delivery outcomes, and a lack of service delivery and revenue collection capacity. Worldwide Governance Indicators point to flat or small changes in three of six measures – perceptions of governance effectiveness, rule of law and control of corruption – between 2004 and 2014.</w:t>
      </w:r>
      <w:r w:rsidR="005A735B" w:rsidRPr="00B6769E">
        <w:rPr>
          <w:rFonts w:asciiTheme="minorHAnsi" w:hAnsiTheme="minorHAnsi"/>
          <w:color w:val="495965" w:themeColor="text2"/>
          <w:sz w:val="22"/>
        </w:rPr>
        <w:t xml:space="preserve">   </w:t>
      </w:r>
    </w:p>
    <w:p w:rsidR="008F703A" w:rsidRPr="001110F5" w:rsidRDefault="005A735B" w:rsidP="00CD131A">
      <w:pPr>
        <w:pStyle w:val="BodyText"/>
        <w:spacing w:before="120" w:after="120"/>
        <w:rPr>
          <w:rFonts w:asciiTheme="minorHAnsi" w:hAnsiTheme="minorHAnsi"/>
          <w:color w:val="495965" w:themeColor="text2"/>
          <w:sz w:val="22"/>
        </w:rPr>
      </w:pPr>
      <w:r w:rsidRPr="001110F5">
        <w:rPr>
          <w:rFonts w:asciiTheme="minorHAnsi" w:hAnsiTheme="minorHAnsi"/>
          <w:color w:val="495965" w:themeColor="text2"/>
          <w:sz w:val="22"/>
        </w:rPr>
        <w:t xml:space="preserve">‘Effective governance’ is the shared goal of PNG’s governance priorities as set out in its planning architecture including </w:t>
      </w:r>
      <w:r w:rsidRPr="00BC279A">
        <w:rPr>
          <w:rFonts w:asciiTheme="minorHAnsi" w:hAnsiTheme="minorHAnsi"/>
          <w:i/>
          <w:color w:val="495965" w:themeColor="text2"/>
          <w:sz w:val="22"/>
        </w:rPr>
        <w:t>Vision 2050</w:t>
      </w:r>
      <w:r w:rsidRPr="001110F5">
        <w:rPr>
          <w:rFonts w:asciiTheme="minorHAnsi" w:hAnsiTheme="minorHAnsi"/>
          <w:color w:val="495965" w:themeColor="text2"/>
          <w:sz w:val="22"/>
        </w:rPr>
        <w:t xml:space="preserve"> and the </w:t>
      </w:r>
      <w:r w:rsidRPr="00BC279A">
        <w:rPr>
          <w:rFonts w:asciiTheme="minorHAnsi" w:hAnsiTheme="minorHAnsi"/>
          <w:i/>
          <w:color w:val="495965" w:themeColor="text2"/>
          <w:sz w:val="22"/>
        </w:rPr>
        <w:t>Medium Term Development Plan 2 2016-2017</w:t>
      </w:r>
      <w:r w:rsidRPr="001110F5">
        <w:rPr>
          <w:rFonts w:asciiTheme="minorHAnsi" w:hAnsiTheme="minorHAnsi"/>
          <w:color w:val="495965" w:themeColor="text2"/>
          <w:sz w:val="22"/>
        </w:rPr>
        <w:t>. Our Aid Partnership objectives are to su</w:t>
      </w:r>
      <w:r w:rsidR="00A67FA8">
        <w:rPr>
          <w:rFonts w:asciiTheme="minorHAnsi" w:hAnsiTheme="minorHAnsi"/>
          <w:color w:val="495965" w:themeColor="text2"/>
          <w:sz w:val="22"/>
        </w:rPr>
        <w:t>pport core government functions,</w:t>
      </w:r>
      <w:r w:rsidRPr="001110F5">
        <w:rPr>
          <w:rFonts w:asciiTheme="minorHAnsi" w:hAnsiTheme="minorHAnsi"/>
          <w:color w:val="495965" w:themeColor="text2"/>
          <w:sz w:val="22"/>
        </w:rPr>
        <w:t xml:space="preserve"> private sector development (see separate cross-cutting section on page </w:t>
      </w:r>
      <w:r w:rsidR="00482536">
        <w:rPr>
          <w:rFonts w:asciiTheme="minorHAnsi" w:hAnsiTheme="minorHAnsi"/>
          <w:color w:val="495965" w:themeColor="text2"/>
          <w:sz w:val="22"/>
        </w:rPr>
        <w:t>20</w:t>
      </w:r>
      <w:r w:rsidR="00A67FA8">
        <w:rPr>
          <w:rFonts w:asciiTheme="minorHAnsi" w:hAnsiTheme="minorHAnsi"/>
          <w:color w:val="495965" w:themeColor="text2"/>
          <w:sz w:val="22"/>
        </w:rPr>
        <w:t>), civil society and community</w:t>
      </w:r>
      <w:r w:rsidRPr="001110F5">
        <w:rPr>
          <w:rFonts w:asciiTheme="minorHAnsi" w:hAnsiTheme="minorHAnsi"/>
          <w:color w:val="495965" w:themeColor="text2"/>
          <w:sz w:val="22"/>
        </w:rPr>
        <w:t xml:space="preserve"> and leadership and coalitions. The progress against these objectives is set out below.</w:t>
      </w:r>
    </w:p>
    <w:p w:rsidR="005A735B" w:rsidRPr="00B6769E" w:rsidRDefault="005A735B"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Australia provided high level technical advice to key national agencies such as the Department of Provincial and Local-level Government Affairs (DPLGA) to deliver on PNG’s high-profile decentralisation priorities, including implementation of the District Development Authority (DDA) Act. A significant achievement has been supporting DPLGA’s lead role in developing Provincial Service Del</w:t>
      </w:r>
      <w:r w:rsidR="00A67FA8">
        <w:rPr>
          <w:rFonts w:asciiTheme="minorHAnsi" w:hAnsiTheme="minorHAnsi"/>
          <w:color w:val="495965" w:themeColor="text2"/>
          <w:sz w:val="22"/>
        </w:rPr>
        <w:t>ivery Functional Determinations, which are</w:t>
      </w:r>
      <w:r w:rsidRPr="00B6769E">
        <w:rPr>
          <w:rFonts w:asciiTheme="minorHAnsi" w:hAnsiTheme="minorHAnsi"/>
          <w:color w:val="495965" w:themeColor="text2"/>
          <w:sz w:val="22"/>
        </w:rPr>
        <w:t xml:space="preserve"> the key instruments that will give effect to the DDA Act </w:t>
      </w:r>
      <w:r w:rsidR="00AB5381">
        <w:rPr>
          <w:rFonts w:asciiTheme="minorHAnsi" w:hAnsiTheme="minorHAnsi"/>
          <w:color w:val="495965" w:themeColor="text2"/>
          <w:sz w:val="22"/>
        </w:rPr>
        <w:t>by describing the functions of provincial governments, local level g</w:t>
      </w:r>
      <w:r w:rsidRPr="00B6769E">
        <w:rPr>
          <w:rFonts w:asciiTheme="minorHAnsi" w:hAnsiTheme="minorHAnsi"/>
          <w:color w:val="495965" w:themeColor="text2"/>
          <w:sz w:val="22"/>
        </w:rPr>
        <w:t xml:space="preserve">overnments and DDAs. Our assistance to the National Economic and Fiscal Commission helped to deliver provincial and district expenditure review and cost of service studies to inform the national budget, which is critical in determining the level of funding required to deliver basic services in a given area of PNG.  </w:t>
      </w:r>
    </w:p>
    <w:p w:rsidR="00053903" w:rsidRDefault="005A735B"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Also at the sub-national level, Australia provided technical assistance in six agreed districts through the employment of highly skilled and experienced Papua New Guinean advisers. The advisors supported the establishment of DDAs in those districts and implementation of the DDA approach on the ground. </w:t>
      </w:r>
      <w:r w:rsidR="004A745B">
        <w:rPr>
          <w:rFonts w:asciiTheme="minorHAnsi" w:hAnsiTheme="minorHAnsi"/>
          <w:color w:val="495965" w:themeColor="text2"/>
          <w:sz w:val="22"/>
        </w:rPr>
        <w:t>T</w:t>
      </w:r>
      <w:r w:rsidRPr="00B6769E">
        <w:rPr>
          <w:rFonts w:asciiTheme="minorHAnsi" w:hAnsiTheme="minorHAnsi"/>
          <w:color w:val="495965" w:themeColor="text2"/>
          <w:sz w:val="22"/>
        </w:rPr>
        <w:t xml:space="preserve">heir sophisticated understanding of opportunities and challenges at the district level – and these can vary district to district – is helping to shape Australia’s increasing support for PNG’s decentralisation agenda into the future.  Australia also tested innovative approaches to accountability </w:t>
      </w:r>
      <w:r w:rsidR="007F16F5" w:rsidRPr="00B6769E">
        <w:rPr>
          <w:rFonts w:asciiTheme="minorHAnsi" w:hAnsiTheme="minorHAnsi"/>
          <w:color w:val="495965" w:themeColor="text2"/>
          <w:sz w:val="22"/>
        </w:rPr>
        <w:t xml:space="preserve">at the national and district levels. </w:t>
      </w:r>
    </w:p>
    <w:p w:rsidR="00CD131A" w:rsidRDefault="00CD131A" w:rsidP="00CD131A">
      <w:pPr>
        <w:pStyle w:val="BodyText"/>
        <w:spacing w:before="120" w:after="120"/>
        <w:rPr>
          <w:rFonts w:asciiTheme="minorHAnsi" w:hAnsiTheme="minorHAnsi"/>
          <w:color w:val="495965" w:themeColor="text2"/>
          <w:sz w:val="22"/>
        </w:rPr>
      </w:pPr>
    </w:p>
    <w:p w:rsidR="00CD131A" w:rsidRDefault="00CD131A" w:rsidP="00CD131A">
      <w:pPr>
        <w:pStyle w:val="BodyText"/>
        <w:spacing w:before="120" w:after="120"/>
        <w:rPr>
          <w:rFonts w:asciiTheme="minorHAnsi" w:hAnsiTheme="minorHAnsi"/>
          <w:color w:val="495965" w:themeColor="text2"/>
          <w:sz w:val="22"/>
        </w:rPr>
      </w:pPr>
    </w:p>
    <w:p w:rsidR="00CD131A" w:rsidRDefault="00CD131A" w:rsidP="00CD131A">
      <w:pPr>
        <w:pStyle w:val="BodyText"/>
        <w:spacing w:before="120" w:after="120"/>
        <w:rPr>
          <w:rFonts w:asciiTheme="minorHAnsi" w:hAnsiTheme="minorHAnsi"/>
          <w:color w:val="495965" w:themeColor="text2"/>
          <w:sz w:val="22"/>
        </w:rPr>
      </w:pPr>
    </w:p>
    <w:p w:rsidR="00CD131A" w:rsidRDefault="00CD131A" w:rsidP="00CD131A">
      <w:pPr>
        <w:pStyle w:val="BodyText"/>
        <w:spacing w:before="120" w:after="120"/>
        <w:rPr>
          <w:rFonts w:asciiTheme="minorHAnsi" w:hAnsiTheme="minorHAnsi"/>
          <w:color w:val="495965" w:themeColor="text2"/>
          <w:sz w:val="22"/>
        </w:rPr>
      </w:pPr>
    </w:p>
    <w:p w:rsidR="00CD131A" w:rsidRDefault="00CD131A" w:rsidP="00CD131A">
      <w:pPr>
        <w:pStyle w:val="BodyText"/>
        <w:spacing w:before="120" w:after="120"/>
        <w:rPr>
          <w:rFonts w:asciiTheme="minorHAnsi" w:hAnsiTheme="minorHAnsi"/>
          <w:color w:val="495965" w:themeColor="text2"/>
          <w:sz w:val="22"/>
        </w:rPr>
      </w:pPr>
    </w:p>
    <w:p w:rsidR="005A735B" w:rsidRPr="00B6769E" w:rsidRDefault="007F16F5"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A pilot activity showed that Papua New Guineans are willing to use mobile phones to express their views on service delivery at the local level through public opinion surveys. Public servants also demonstrated a willingness to speak out against corruption through the Phones </w:t>
      </w:r>
      <w:r w:rsidR="001F0CE8" w:rsidRPr="00B6769E">
        <w:rPr>
          <w:rFonts w:asciiTheme="minorHAnsi" w:hAnsiTheme="minorHAnsi"/>
          <w:color w:val="495965" w:themeColor="text2"/>
          <w:sz w:val="22"/>
        </w:rPr>
        <w:t xml:space="preserve">Against Corruption </w:t>
      </w:r>
      <w:r w:rsidR="005F59A6">
        <w:rPr>
          <w:rFonts w:asciiTheme="minorHAnsi" w:hAnsiTheme="minorHAnsi"/>
          <w:color w:val="495965" w:themeColor="text2"/>
          <w:sz w:val="22"/>
        </w:rPr>
        <w:t>project</w:t>
      </w:r>
      <w:r w:rsidR="001F0CE8" w:rsidRPr="00B6769E">
        <w:rPr>
          <w:rFonts w:asciiTheme="minorHAnsi" w:hAnsiTheme="minorHAnsi"/>
          <w:color w:val="495965" w:themeColor="text2"/>
          <w:sz w:val="22"/>
        </w:rPr>
        <w:t xml:space="preserve">. </w:t>
      </w:r>
      <w:r w:rsidRPr="00B6769E">
        <w:rPr>
          <w:rFonts w:asciiTheme="minorHAnsi" w:hAnsiTheme="minorHAnsi"/>
          <w:color w:val="495965" w:themeColor="text2"/>
          <w:sz w:val="22"/>
        </w:rPr>
        <w:t xml:space="preserve">Under this </w:t>
      </w:r>
      <w:r w:rsidR="005F59A6">
        <w:rPr>
          <w:rFonts w:asciiTheme="minorHAnsi" w:hAnsiTheme="minorHAnsi"/>
          <w:color w:val="495965" w:themeColor="text2"/>
          <w:sz w:val="22"/>
        </w:rPr>
        <w:t>project,</w:t>
      </w:r>
      <w:r w:rsidRPr="00B6769E">
        <w:rPr>
          <w:rFonts w:asciiTheme="minorHAnsi" w:hAnsiTheme="minorHAnsi"/>
          <w:color w:val="495965" w:themeColor="text2"/>
          <w:sz w:val="22"/>
        </w:rPr>
        <w:t xml:space="preserve"> funded by Australia and delivered by the </w:t>
      </w:r>
      <w:r w:rsidR="001F0CE8" w:rsidRPr="00B6769E">
        <w:rPr>
          <w:rFonts w:asciiTheme="minorHAnsi" w:hAnsiTheme="minorHAnsi"/>
          <w:color w:val="495965" w:themeColor="text2"/>
          <w:sz w:val="22"/>
        </w:rPr>
        <w:t>United Nations Development Programme</w:t>
      </w:r>
      <w:r w:rsidRPr="00B6769E">
        <w:rPr>
          <w:rFonts w:asciiTheme="minorHAnsi" w:hAnsiTheme="minorHAnsi"/>
          <w:color w:val="495965" w:themeColor="text2"/>
          <w:sz w:val="22"/>
        </w:rPr>
        <w:t xml:space="preserve"> and </w:t>
      </w:r>
      <w:r w:rsidR="001F0CE8" w:rsidRPr="00B6769E">
        <w:rPr>
          <w:rFonts w:asciiTheme="minorHAnsi" w:hAnsiTheme="minorHAnsi"/>
          <w:color w:val="495965" w:themeColor="text2"/>
          <w:sz w:val="22"/>
        </w:rPr>
        <w:t xml:space="preserve">the </w:t>
      </w:r>
      <w:r w:rsidRPr="00B6769E">
        <w:rPr>
          <w:rFonts w:asciiTheme="minorHAnsi" w:hAnsiTheme="minorHAnsi"/>
          <w:color w:val="495965" w:themeColor="text2"/>
          <w:sz w:val="22"/>
        </w:rPr>
        <w:t>PNG Department of Finance, more than 21,753 SMS</w:t>
      </w:r>
      <w:r w:rsidR="001F0CE8" w:rsidRPr="00B6769E">
        <w:rPr>
          <w:rFonts w:asciiTheme="minorHAnsi" w:hAnsiTheme="minorHAnsi"/>
          <w:color w:val="495965" w:themeColor="text2"/>
          <w:sz w:val="22"/>
        </w:rPr>
        <w:t xml:space="preserve"> messages</w:t>
      </w:r>
      <w:r w:rsidRPr="00B6769E">
        <w:rPr>
          <w:rFonts w:asciiTheme="minorHAnsi" w:hAnsiTheme="minorHAnsi"/>
          <w:color w:val="495965" w:themeColor="text2"/>
          <w:sz w:val="22"/>
        </w:rPr>
        <w:t xml:space="preserve"> were received from 6,157 different users by December 2015. Two public officials have been arrested for fund mismanagement of more than US$2 million</w:t>
      </w:r>
      <w:r w:rsidR="001F0CE8" w:rsidRPr="00B6769E">
        <w:rPr>
          <w:rFonts w:asciiTheme="minorHAnsi" w:hAnsiTheme="minorHAnsi"/>
          <w:color w:val="495965" w:themeColor="text2"/>
          <w:sz w:val="22"/>
        </w:rPr>
        <w:t xml:space="preserve"> (PGK6.3 million)</w:t>
      </w:r>
      <w:r w:rsidRPr="00B6769E">
        <w:rPr>
          <w:rFonts w:asciiTheme="minorHAnsi" w:hAnsiTheme="minorHAnsi"/>
          <w:color w:val="495965" w:themeColor="text2"/>
          <w:sz w:val="22"/>
        </w:rPr>
        <w:t>. Five more are waiting for court decisions, and approximately other 250 cases are being investigated.</w:t>
      </w:r>
      <w:r w:rsidR="006E53F8" w:rsidRPr="00B6769E">
        <w:rPr>
          <w:rStyle w:val="FootnoteReference"/>
          <w:rFonts w:asciiTheme="minorHAnsi" w:hAnsiTheme="minorHAnsi"/>
          <w:color w:val="495965" w:themeColor="text2"/>
          <w:sz w:val="22"/>
        </w:rPr>
        <w:footnoteReference w:id="9"/>
      </w:r>
    </w:p>
    <w:p w:rsidR="005A735B" w:rsidRPr="00B6769E" w:rsidRDefault="005A735B"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Australia supported PNG’s preparations to host APEC </w:t>
      </w:r>
      <w:r w:rsidR="00176C2F">
        <w:rPr>
          <w:rFonts w:asciiTheme="minorHAnsi" w:hAnsiTheme="minorHAnsi"/>
          <w:color w:val="495965" w:themeColor="text2"/>
          <w:sz w:val="22"/>
        </w:rPr>
        <w:t>2018</w:t>
      </w:r>
      <w:r w:rsidRPr="00B6769E">
        <w:rPr>
          <w:rFonts w:asciiTheme="minorHAnsi" w:hAnsiTheme="minorHAnsi"/>
          <w:color w:val="495965" w:themeColor="text2"/>
          <w:sz w:val="22"/>
        </w:rPr>
        <w:t xml:space="preserve"> through the placement of two PNG Government interns at the APEC Secretariat in Singapore.  The internships provided a broad overview of the </w:t>
      </w:r>
      <w:r w:rsidR="00176C2F">
        <w:rPr>
          <w:rFonts w:asciiTheme="minorHAnsi" w:hAnsiTheme="minorHAnsi"/>
          <w:color w:val="495965" w:themeColor="text2"/>
          <w:sz w:val="22"/>
        </w:rPr>
        <w:t>areas</w:t>
      </w:r>
      <w:r w:rsidRPr="00B6769E">
        <w:rPr>
          <w:rFonts w:asciiTheme="minorHAnsi" w:hAnsiTheme="minorHAnsi"/>
          <w:color w:val="495965" w:themeColor="text2"/>
          <w:sz w:val="22"/>
        </w:rPr>
        <w:t xml:space="preserve"> that PNG </w:t>
      </w:r>
      <w:r w:rsidR="00176C2F">
        <w:rPr>
          <w:rFonts w:asciiTheme="minorHAnsi" w:hAnsiTheme="minorHAnsi"/>
          <w:color w:val="495965" w:themeColor="text2"/>
          <w:sz w:val="22"/>
        </w:rPr>
        <w:t xml:space="preserve">could develop and implement as </w:t>
      </w:r>
      <w:r w:rsidRPr="00B6769E">
        <w:rPr>
          <w:rFonts w:asciiTheme="minorHAnsi" w:hAnsiTheme="minorHAnsi"/>
          <w:color w:val="495965" w:themeColor="text2"/>
          <w:sz w:val="22"/>
        </w:rPr>
        <w:t xml:space="preserve">APEC </w:t>
      </w:r>
      <w:r w:rsidR="00176C2F">
        <w:rPr>
          <w:rFonts w:asciiTheme="minorHAnsi" w:hAnsiTheme="minorHAnsi"/>
          <w:color w:val="495965" w:themeColor="text2"/>
          <w:sz w:val="22"/>
        </w:rPr>
        <w:t>2018 Chair</w:t>
      </w:r>
      <w:r w:rsidRPr="00B6769E">
        <w:rPr>
          <w:rFonts w:asciiTheme="minorHAnsi" w:hAnsiTheme="minorHAnsi"/>
          <w:color w:val="495965" w:themeColor="text2"/>
          <w:sz w:val="22"/>
        </w:rPr>
        <w:t xml:space="preserve">. Our electoral support increased ahead of the 2017 PNG elections. Our engagement with the PNG Electoral Commission assisted to </w:t>
      </w:r>
      <w:r w:rsidR="004A745B">
        <w:rPr>
          <w:rFonts w:asciiTheme="minorHAnsi" w:hAnsiTheme="minorHAnsi"/>
          <w:color w:val="495965" w:themeColor="text2"/>
          <w:sz w:val="22"/>
        </w:rPr>
        <w:t xml:space="preserve">cleanse the electoral roll, which included removing duplicate entries, </w:t>
      </w:r>
      <w:r w:rsidRPr="00B6769E">
        <w:rPr>
          <w:rFonts w:asciiTheme="minorHAnsi" w:hAnsiTheme="minorHAnsi"/>
          <w:color w:val="495965" w:themeColor="text2"/>
          <w:sz w:val="22"/>
        </w:rPr>
        <w:t xml:space="preserve">and map critical focus areas for election delivery in 2017. </w:t>
      </w:r>
    </w:p>
    <w:p w:rsidR="005A735B" w:rsidRPr="00B6769E" w:rsidRDefault="005A735B"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In response to the PNG Government’s new regulations on the employment of foreign advisers in PNG, Australia made changes to the SGP in 2015-16. Fifteen adviser positions in the PNG departments of Finance, Transport, Treasury, and Justice and Attorney-General ended on 31 December 2015. Seventeen SGP advisers working in technical and operational roles continue to work in PNG agencies. Australia worked with PNG through a Joint Working Group to discuss future advisory support, including donor coordination. We maintained institutional linkages between Australian and PNG Government departments through twinning arrangements. </w:t>
      </w:r>
      <w:r w:rsidR="001F5C0F" w:rsidRPr="00B6769E">
        <w:rPr>
          <w:rFonts w:asciiTheme="minorHAnsi" w:hAnsiTheme="minorHAnsi"/>
          <w:color w:val="495965" w:themeColor="text2"/>
          <w:sz w:val="22"/>
        </w:rPr>
        <w:t>For example, the Australian Bureau of Statistics</w:t>
      </w:r>
      <w:r w:rsidR="001F0CE8" w:rsidRPr="00B6769E">
        <w:rPr>
          <w:rFonts w:asciiTheme="minorHAnsi" w:hAnsiTheme="minorHAnsi"/>
          <w:color w:val="495965" w:themeColor="text2"/>
          <w:sz w:val="22"/>
        </w:rPr>
        <w:t xml:space="preserve"> assisted </w:t>
      </w:r>
      <w:r w:rsidR="001F5C0F" w:rsidRPr="00B6769E">
        <w:rPr>
          <w:rFonts w:asciiTheme="minorHAnsi" w:hAnsiTheme="minorHAnsi"/>
          <w:color w:val="495965" w:themeColor="text2"/>
          <w:sz w:val="22"/>
        </w:rPr>
        <w:t>the PNG Nati</w:t>
      </w:r>
      <w:r w:rsidR="001F0CE8" w:rsidRPr="00B6769E">
        <w:rPr>
          <w:rFonts w:asciiTheme="minorHAnsi" w:hAnsiTheme="minorHAnsi"/>
          <w:color w:val="495965" w:themeColor="text2"/>
          <w:sz w:val="22"/>
        </w:rPr>
        <w:t>onal Statistical Office to release</w:t>
      </w:r>
      <w:r w:rsidR="001F5C0F" w:rsidRPr="00B6769E">
        <w:rPr>
          <w:rFonts w:asciiTheme="minorHAnsi" w:hAnsiTheme="minorHAnsi"/>
          <w:color w:val="495965" w:themeColor="text2"/>
          <w:sz w:val="22"/>
        </w:rPr>
        <w:t xml:space="preserve"> the PNG Gross Domestic Product estimates 2006-2013</w:t>
      </w:r>
      <w:r w:rsidR="001F0CE8" w:rsidRPr="00B6769E">
        <w:rPr>
          <w:rFonts w:asciiTheme="minorHAnsi" w:hAnsiTheme="minorHAnsi"/>
          <w:color w:val="495965" w:themeColor="text2"/>
          <w:sz w:val="22"/>
        </w:rPr>
        <w:t xml:space="preserve"> in March 2016</w:t>
      </w:r>
      <w:r w:rsidR="001F5C0F" w:rsidRPr="00B6769E">
        <w:rPr>
          <w:rFonts w:asciiTheme="minorHAnsi" w:hAnsiTheme="minorHAnsi"/>
          <w:color w:val="495965" w:themeColor="text2"/>
          <w:sz w:val="22"/>
        </w:rPr>
        <w:t xml:space="preserve">. </w:t>
      </w:r>
      <w:r w:rsidRPr="00B6769E">
        <w:rPr>
          <w:rFonts w:asciiTheme="minorHAnsi" w:hAnsiTheme="minorHAnsi"/>
          <w:color w:val="495965" w:themeColor="text2"/>
          <w:sz w:val="22"/>
        </w:rPr>
        <w:t xml:space="preserve">More than 100 technical advisers, who work under contract for the broader Australian aid program, are continuing in their roles </w:t>
      </w:r>
      <w:r w:rsidR="004A745B">
        <w:rPr>
          <w:rFonts w:asciiTheme="minorHAnsi" w:hAnsiTheme="minorHAnsi"/>
          <w:color w:val="495965" w:themeColor="text2"/>
          <w:sz w:val="22"/>
        </w:rPr>
        <w:t>and are signing code of conduct agreements</w:t>
      </w:r>
      <w:r w:rsidRPr="00B6769E">
        <w:rPr>
          <w:rFonts w:asciiTheme="minorHAnsi" w:hAnsiTheme="minorHAnsi"/>
          <w:color w:val="495965" w:themeColor="text2"/>
          <w:sz w:val="22"/>
        </w:rPr>
        <w:t xml:space="preserve"> with PNG counterpart agencies.  </w:t>
      </w:r>
    </w:p>
    <w:p w:rsidR="008F703A" w:rsidRPr="001110F5" w:rsidRDefault="002A2D1A" w:rsidP="00CD131A">
      <w:pPr>
        <w:pStyle w:val="BodyText"/>
        <w:spacing w:before="120" w:after="120"/>
        <w:rPr>
          <w:rFonts w:asciiTheme="minorHAnsi" w:hAnsiTheme="minorHAnsi"/>
          <w:color w:val="495965" w:themeColor="text2"/>
          <w:sz w:val="22"/>
        </w:rPr>
      </w:pPr>
      <w:r w:rsidRPr="001110F5">
        <w:rPr>
          <w:rFonts w:asciiTheme="minorHAnsi" w:hAnsiTheme="minorHAnsi"/>
          <w:color w:val="495965" w:themeColor="text2"/>
          <w:sz w:val="22"/>
        </w:rPr>
        <w:t>A key investment in governance is the</w:t>
      </w:r>
      <w:r w:rsidR="005A735B" w:rsidRPr="001110F5">
        <w:rPr>
          <w:rFonts w:asciiTheme="minorHAnsi" w:hAnsiTheme="minorHAnsi"/>
          <w:color w:val="495965" w:themeColor="text2"/>
          <w:sz w:val="22"/>
        </w:rPr>
        <w:t xml:space="preserve"> Pacific Leadership and Governance Precinct, </w:t>
      </w:r>
      <w:r w:rsidR="00FD64CA" w:rsidRPr="001110F5">
        <w:rPr>
          <w:rFonts w:asciiTheme="minorHAnsi" w:hAnsiTheme="minorHAnsi"/>
          <w:color w:val="495965" w:themeColor="text2"/>
          <w:sz w:val="22"/>
        </w:rPr>
        <w:t xml:space="preserve">targeting future bureaucratic and political leaders. The Precinct supports </w:t>
      </w:r>
      <w:r w:rsidR="005A735B" w:rsidRPr="001110F5">
        <w:rPr>
          <w:rFonts w:asciiTheme="minorHAnsi" w:hAnsiTheme="minorHAnsi"/>
          <w:color w:val="495965" w:themeColor="text2"/>
          <w:sz w:val="22"/>
        </w:rPr>
        <w:t xml:space="preserve">the PNG Government’s ambitious program of leadership renewal within its public service at the national, provincial and district levels. Working with the key partners, the University of PNG and the PNG Institute of Public Administration, the Precinct performed as expected in 2015-16. It </w:t>
      </w:r>
      <w:r w:rsidR="00B26421">
        <w:rPr>
          <w:rFonts w:asciiTheme="minorHAnsi" w:hAnsiTheme="minorHAnsi"/>
          <w:color w:val="495965" w:themeColor="text2"/>
          <w:sz w:val="22"/>
        </w:rPr>
        <w:t xml:space="preserve">has delivered courses to more than 1,100 PNG students since February 2015. </w:t>
      </w:r>
      <w:r w:rsidR="005A735B" w:rsidRPr="001110F5">
        <w:rPr>
          <w:rFonts w:asciiTheme="minorHAnsi" w:hAnsiTheme="minorHAnsi"/>
          <w:color w:val="495965" w:themeColor="text2"/>
          <w:sz w:val="22"/>
        </w:rPr>
        <w:t>Of these, 170 also completed four diploma courses. Design concepts for new Precinct buildings were approved and tenders for construction began to be awarded in 2016. Across the total Australian aid program we trained 2,640 women and 4,051 men in the public service in core skills (6,691 total), against the performance benchmark of 6,680 for 2015-16.</w:t>
      </w:r>
    </w:p>
    <w:p w:rsidR="00053903" w:rsidRDefault="009027B5" w:rsidP="00CD131A">
      <w:pPr>
        <w:pStyle w:val="BodyText"/>
        <w:spacing w:before="120" w:after="120"/>
        <w:rPr>
          <w:rFonts w:asciiTheme="minorHAnsi" w:hAnsiTheme="minorHAnsi"/>
          <w:color w:val="495965" w:themeColor="text2"/>
          <w:sz w:val="22"/>
        </w:rPr>
      </w:pPr>
      <w:r>
        <w:rPr>
          <w:rFonts w:asciiTheme="minorHAnsi" w:hAnsiTheme="minorHAnsi"/>
          <w:color w:val="495965" w:themeColor="text2"/>
          <w:sz w:val="22"/>
        </w:rPr>
        <w:t>In 2015-16</w:t>
      </w:r>
      <w:r w:rsidR="005A735B" w:rsidRPr="00B6769E">
        <w:rPr>
          <w:rFonts w:asciiTheme="minorHAnsi" w:hAnsiTheme="minorHAnsi"/>
          <w:color w:val="495965" w:themeColor="text2"/>
          <w:sz w:val="22"/>
        </w:rPr>
        <w:t xml:space="preserve"> SPSN completed the delivery of projects and focused on monitoring and evaluation of the impact of activities. The nation-wide partnership aimed to enable civil society, together with the state and others, to better meet the needs and priorities of men, women and children in communities across PNG. It </w:t>
      </w:r>
      <w:r w:rsidR="004A745B">
        <w:rPr>
          <w:rFonts w:asciiTheme="minorHAnsi" w:hAnsiTheme="minorHAnsi"/>
          <w:color w:val="495965" w:themeColor="text2"/>
          <w:sz w:val="22"/>
        </w:rPr>
        <w:t>delivered</w:t>
      </w:r>
      <w:r w:rsidR="001F5C0F" w:rsidRPr="00B6769E">
        <w:rPr>
          <w:rFonts w:asciiTheme="minorHAnsi" w:hAnsiTheme="minorHAnsi"/>
          <w:color w:val="495965" w:themeColor="text2"/>
          <w:sz w:val="22"/>
        </w:rPr>
        <w:t xml:space="preserve"> </w:t>
      </w:r>
      <w:r w:rsidR="005A735B" w:rsidRPr="00B6769E">
        <w:rPr>
          <w:rFonts w:asciiTheme="minorHAnsi" w:hAnsiTheme="minorHAnsi"/>
          <w:color w:val="495965" w:themeColor="text2"/>
          <w:sz w:val="22"/>
        </w:rPr>
        <w:t xml:space="preserve">positive outcomes, benefiting more than 92,000 people and involving more than 400 civil society organisations and 300 grants in 87 districts since 2009. The implementation and monitoring of the wide spread of projects </w:t>
      </w:r>
      <w:r w:rsidR="004A745B">
        <w:rPr>
          <w:rFonts w:asciiTheme="minorHAnsi" w:hAnsiTheme="minorHAnsi"/>
          <w:color w:val="495965" w:themeColor="text2"/>
          <w:sz w:val="22"/>
        </w:rPr>
        <w:t>has been</w:t>
      </w:r>
      <w:r w:rsidR="005A735B" w:rsidRPr="00B6769E">
        <w:rPr>
          <w:rFonts w:asciiTheme="minorHAnsi" w:hAnsiTheme="minorHAnsi"/>
          <w:color w:val="495965" w:themeColor="text2"/>
          <w:sz w:val="22"/>
        </w:rPr>
        <w:t xml:space="preserve"> a challenge</w:t>
      </w:r>
      <w:r w:rsidR="004A745B">
        <w:rPr>
          <w:rFonts w:asciiTheme="minorHAnsi" w:hAnsiTheme="minorHAnsi"/>
          <w:color w:val="495965" w:themeColor="text2"/>
          <w:sz w:val="22"/>
        </w:rPr>
        <w:t>,</w:t>
      </w:r>
      <w:r w:rsidR="005A735B" w:rsidRPr="00B6769E">
        <w:rPr>
          <w:rFonts w:asciiTheme="minorHAnsi" w:hAnsiTheme="minorHAnsi"/>
          <w:color w:val="495965" w:themeColor="text2"/>
          <w:sz w:val="22"/>
        </w:rPr>
        <w:t xml:space="preserve"> </w:t>
      </w:r>
      <w:r w:rsidR="004A745B">
        <w:rPr>
          <w:rFonts w:asciiTheme="minorHAnsi" w:hAnsiTheme="minorHAnsi"/>
          <w:color w:val="495965" w:themeColor="text2"/>
          <w:sz w:val="22"/>
        </w:rPr>
        <w:t xml:space="preserve">with </w:t>
      </w:r>
      <w:r w:rsidR="005A735B" w:rsidRPr="00B6769E">
        <w:rPr>
          <w:rFonts w:asciiTheme="minorHAnsi" w:hAnsiTheme="minorHAnsi"/>
          <w:color w:val="495965" w:themeColor="text2"/>
          <w:sz w:val="22"/>
        </w:rPr>
        <w:t>mixed success in capacity building</w:t>
      </w:r>
      <w:r w:rsidR="004A745B">
        <w:rPr>
          <w:rFonts w:asciiTheme="minorHAnsi" w:hAnsiTheme="minorHAnsi"/>
          <w:color w:val="495965" w:themeColor="text2"/>
          <w:sz w:val="22"/>
        </w:rPr>
        <w:t>.</w:t>
      </w:r>
      <w:r w:rsidR="00CD131A">
        <w:rPr>
          <w:rFonts w:asciiTheme="minorHAnsi" w:hAnsiTheme="minorHAnsi"/>
          <w:color w:val="495965" w:themeColor="text2"/>
          <w:sz w:val="22"/>
        </w:rPr>
        <w:t xml:space="preserve">   </w:t>
      </w:r>
    </w:p>
    <w:p w:rsidR="00CD131A" w:rsidRDefault="00CD131A" w:rsidP="00CD131A">
      <w:pPr>
        <w:pStyle w:val="BodyText"/>
        <w:spacing w:before="120" w:after="120"/>
        <w:rPr>
          <w:rFonts w:asciiTheme="minorHAnsi" w:hAnsiTheme="minorHAnsi"/>
          <w:color w:val="495965" w:themeColor="text2"/>
          <w:sz w:val="22"/>
        </w:rPr>
      </w:pPr>
    </w:p>
    <w:p w:rsidR="00CD131A" w:rsidRDefault="00CD131A" w:rsidP="00CD131A">
      <w:pPr>
        <w:pStyle w:val="BodyText"/>
        <w:spacing w:before="120" w:after="120"/>
        <w:rPr>
          <w:rFonts w:asciiTheme="minorHAnsi" w:hAnsiTheme="minorHAnsi"/>
          <w:color w:val="495965" w:themeColor="text2"/>
          <w:sz w:val="22"/>
        </w:rPr>
      </w:pPr>
    </w:p>
    <w:p w:rsidR="00CD131A" w:rsidRDefault="00CD131A" w:rsidP="00CD131A">
      <w:pPr>
        <w:pStyle w:val="BodyText"/>
        <w:spacing w:before="120" w:after="120"/>
        <w:rPr>
          <w:rFonts w:asciiTheme="minorHAnsi" w:hAnsiTheme="minorHAnsi"/>
          <w:color w:val="495965" w:themeColor="text2"/>
          <w:sz w:val="22"/>
        </w:rPr>
      </w:pPr>
    </w:p>
    <w:p w:rsidR="00B26421" w:rsidRDefault="00B26421" w:rsidP="00CD131A">
      <w:pPr>
        <w:pStyle w:val="BodyText"/>
        <w:spacing w:before="120" w:after="120"/>
        <w:rPr>
          <w:rFonts w:asciiTheme="minorHAnsi" w:hAnsiTheme="minorHAnsi"/>
          <w:color w:val="495965" w:themeColor="text2"/>
          <w:sz w:val="22"/>
        </w:rPr>
      </w:pPr>
    </w:p>
    <w:p w:rsidR="00CD131A" w:rsidRDefault="00CD131A" w:rsidP="00CD131A">
      <w:pPr>
        <w:pStyle w:val="BodyText"/>
        <w:spacing w:before="120" w:after="120"/>
        <w:rPr>
          <w:rFonts w:asciiTheme="minorHAnsi" w:hAnsiTheme="minorHAnsi"/>
          <w:color w:val="495965" w:themeColor="text2"/>
          <w:sz w:val="22"/>
        </w:rPr>
      </w:pPr>
    </w:p>
    <w:p w:rsidR="005A735B" w:rsidRPr="00B6769E" w:rsidRDefault="005A735B"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lastRenderedPageBreak/>
        <w:t xml:space="preserve">The </w:t>
      </w:r>
      <w:r w:rsidR="00C11172" w:rsidRPr="00B6769E">
        <w:rPr>
          <w:rFonts w:asciiTheme="minorHAnsi" w:hAnsiTheme="minorHAnsi"/>
          <w:color w:val="495965" w:themeColor="text2"/>
          <w:sz w:val="22"/>
        </w:rPr>
        <w:t>CPP</w:t>
      </w:r>
      <w:r w:rsidRPr="00B6769E">
        <w:rPr>
          <w:rFonts w:asciiTheme="minorHAnsi" w:hAnsiTheme="minorHAnsi"/>
          <w:color w:val="495965" w:themeColor="text2"/>
          <w:sz w:val="22"/>
        </w:rPr>
        <w:t xml:space="preserve"> largely </w:t>
      </w:r>
      <w:r w:rsidR="00AE79E5" w:rsidRPr="00B6769E">
        <w:rPr>
          <w:rFonts w:asciiTheme="minorHAnsi" w:hAnsiTheme="minorHAnsi"/>
          <w:color w:val="495965" w:themeColor="text2"/>
          <w:sz w:val="22"/>
        </w:rPr>
        <w:t>delivered its intended results to strengthen</w:t>
      </w:r>
      <w:r w:rsidR="007E3858" w:rsidRPr="00B6769E">
        <w:rPr>
          <w:rFonts w:asciiTheme="minorHAnsi" w:hAnsiTheme="minorHAnsi"/>
          <w:color w:val="495965" w:themeColor="text2"/>
          <w:sz w:val="22"/>
        </w:rPr>
        <w:t xml:space="preserve"> the capacity of PNG’s seven mainline churches </w:t>
      </w:r>
      <w:r w:rsidRPr="00B6769E">
        <w:rPr>
          <w:rFonts w:asciiTheme="minorHAnsi" w:hAnsiTheme="minorHAnsi"/>
          <w:color w:val="495965" w:themeColor="text2"/>
          <w:sz w:val="22"/>
        </w:rPr>
        <w:t>for effective service delivery and to give a voice to poor and marginalised communities across the country. The PNG Government modelled its own Church-State Partnership on the program, raising the level of engagement between church leaders and government ministers responsible for basic service delivery. A number of key projects were delivered under the Kokoda Initiative in 2015-16. We completed 36 health and education facilities and a further 36 water and sanitation facilities to communities along the Kokoda Track. Moreover, we supported PNG Government agencies – including the Kokoda Track Authority and Conservation Environment Protection Authority – to regulate the trekking industry and protect the environment through funding and technical and advisory assistance.</w:t>
      </w:r>
      <w:r w:rsidR="00EC3996" w:rsidRPr="00B6769E">
        <w:rPr>
          <w:rFonts w:asciiTheme="minorHAnsi" w:hAnsiTheme="minorHAnsi"/>
          <w:color w:val="495965" w:themeColor="text2"/>
          <w:sz w:val="22"/>
        </w:rPr>
        <w:t xml:space="preserve"> </w:t>
      </w:r>
    </w:p>
    <w:p w:rsidR="005A735B" w:rsidRPr="00B6769E" w:rsidRDefault="005A735B" w:rsidP="00CD131A">
      <w:pPr>
        <w:pStyle w:val="BodyText"/>
        <w:spacing w:before="120" w:after="120"/>
        <w:rPr>
          <w:rFonts w:asciiTheme="minorHAnsi" w:hAnsiTheme="minorHAnsi"/>
          <w:i/>
          <w:color w:val="495965" w:themeColor="text2"/>
          <w:sz w:val="22"/>
        </w:rPr>
      </w:pPr>
      <w:r w:rsidRPr="00B6769E">
        <w:rPr>
          <w:rFonts w:asciiTheme="minorHAnsi" w:hAnsiTheme="minorHAnsi"/>
          <w:i/>
          <w:color w:val="495965" w:themeColor="text2"/>
          <w:sz w:val="22"/>
        </w:rPr>
        <w:t>Outlook</w:t>
      </w:r>
    </w:p>
    <w:p w:rsidR="00176C2F" w:rsidRDefault="009027B5" w:rsidP="00CD131A">
      <w:pPr>
        <w:pStyle w:val="BodyText"/>
        <w:spacing w:before="120" w:after="120"/>
        <w:rPr>
          <w:rFonts w:asciiTheme="minorHAnsi" w:hAnsiTheme="minorHAnsi"/>
          <w:color w:val="495965" w:themeColor="text2"/>
          <w:sz w:val="22"/>
        </w:rPr>
      </w:pPr>
      <w:r>
        <w:rPr>
          <w:rFonts w:asciiTheme="minorHAnsi" w:hAnsiTheme="minorHAnsi"/>
          <w:color w:val="495965" w:themeColor="text2"/>
          <w:sz w:val="22"/>
        </w:rPr>
        <w:t>In 2016-17</w:t>
      </w:r>
      <w:r w:rsidR="005A735B" w:rsidRPr="00B6769E">
        <w:rPr>
          <w:rFonts w:asciiTheme="minorHAnsi" w:hAnsiTheme="minorHAnsi"/>
          <w:color w:val="495965" w:themeColor="text2"/>
          <w:sz w:val="22"/>
        </w:rPr>
        <w:t xml:space="preserve"> additional Australian support for PNG’s elections will focus on the operational aspect of election delivery including logistics. We will prepare a new design of the Kokoda Initiative</w:t>
      </w:r>
      <w:r w:rsidR="007E3858" w:rsidRPr="00B6769E">
        <w:rPr>
          <w:rFonts w:asciiTheme="minorHAnsi" w:hAnsiTheme="minorHAnsi"/>
          <w:sz w:val="22"/>
        </w:rPr>
        <w:t xml:space="preserve"> </w:t>
      </w:r>
      <w:r w:rsidR="007E3858" w:rsidRPr="00B6769E">
        <w:rPr>
          <w:rFonts w:asciiTheme="minorHAnsi" w:hAnsiTheme="minorHAnsi"/>
          <w:color w:val="495965" w:themeColor="text2"/>
          <w:sz w:val="22"/>
        </w:rPr>
        <w:t>that will better and more flexibly respond to the development priorities of Kokoda Track communities, protect the environment and the cultural and historical heritage of the region and further strengthen the capacity of PNG’s Kokoda Track Authority to keep the track open and safe</w:t>
      </w:r>
      <w:r w:rsidR="005A735B" w:rsidRPr="00B6769E">
        <w:rPr>
          <w:rFonts w:asciiTheme="minorHAnsi" w:hAnsiTheme="minorHAnsi"/>
          <w:color w:val="495965" w:themeColor="text2"/>
          <w:sz w:val="22"/>
        </w:rPr>
        <w:t xml:space="preserve">. From 1 July 2016, a new PNG Governance Facility began delivery of most of our support under one flexible arrangement (whereas previously governance programs were delivered by a range of contractors). This new approach to consolidate the governance program and improve value for money and effectiveness was developed with the PNG Government in 2015-16. A Strategic Management Committee, co-chaired by senior PNG and Australian officials, will provide strong joint ownership and strategic direction on programming decisions. </w:t>
      </w:r>
    </w:p>
    <w:p w:rsidR="008C1441" w:rsidRDefault="008C1441" w:rsidP="00CD131A">
      <w:pPr>
        <w:pStyle w:val="BodyText"/>
        <w:spacing w:before="120" w:after="120"/>
        <w:rPr>
          <w:rFonts w:asciiTheme="minorHAnsi" w:hAnsiTheme="minorHAnsi"/>
          <w:color w:val="495965" w:themeColor="text2"/>
          <w:sz w:val="22"/>
        </w:rPr>
      </w:pPr>
    </w:p>
    <w:p w:rsidR="008C1441" w:rsidRPr="00075606" w:rsidRDefault="008C1441" w:rsidP="008C1441">
      <w:pPr>
        <w:pStyle w:val="Heading2"/>
        <w:rPr>
          <w:rFonts w:eastAsia="Times New Roman"/>
        </w:rPr>
      </w:pPr>
      <w:r w:rsidRPr="00075606">
        <w:rPr>
          <w:rFonts w:eastAsia="Times New Roman"/>
        </w:rPr>
        <w:t>CROSS-CUTTING ISSUES</w:t>
      </w:r>
    </w:p>
    <w:p w:rsidR="008F7CC9" w:rsidRPr="000B62C6" w:rsidRDefault="008F7CC9" w:rsidP="008C1441">
      <w:pPr>
        <w:pStyle w:val="Heading3"/>
        <w:spacing w:before="0"/>
        <w:rPr>
          <w:rFonts w:eastAsia="Times New Roman"/>
          <w:sz w:val="38"/>
          <w:szCs w:val="38"/>
        </w:rPr>
      </w:pPr>
      <w:r w:rsidRPr="000B62C6">
        <w:rPr>
          <w:rFonts w:eastAsia="Times New Roman"/>
          <w:sz w:val="38"/>
          <w:szCs w:val="38"/>
        </w:rPr>
        <w:t>GENDER EQUALITY AND WOMEN’S EMPOWERMENT</w:t>
      </w:r>
    </w:p>
    <w:p w:rsidR="00DD3E78" w:rsidRPr="00B6769E" w:rsidRDefault="00DD3E78"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This objective was rated </w:t>
      </w:r>
      <w:r w:rsidR="008C1441">
        <w:rPr>
          <w:rFonts w:asciiTheme="minorHAnsi" w:hAnsiTheme="minorHAnsi"/>
          <w:color w:val="495965" w:themeColor="text2"/>
          <w:sz w:val="22"/>
        </w:rPr>
        <w:t>‘</w:t>
      </w:r>
      <w:r w:rsidRPr="00B6769E">
        <w:rPr>
          <w:rFonts w:asciiTheme="minorHAnsi" w:hAnsiTheme="minorHAnsi"/>
          <w:color w:val="495965" w:themeColor="text2"/>
          <w:sz w:val="22"/>
        </w:rPr>
        <w:t>amber</w:t>
      </w:r>
      <w:r w:rsidR="008C1441">
        <w:rPr>
          <w:rFonts w:asciiTheme="minorHAnsi" w:hAnsiTheme="minorHAnsi"/>
          <w:color w:val="495965" w:themeColor="text2"/>
          <w:sz w:val="22"/>
        </w:rPr>
        <w:t>’</w:t>
      </w:r>
      <w:r w:rsidRPr="00B6769E">
        <w:rPr>
          <w:rFonts w:asciiTheme="minorHAnsi" w:hAnsiTheme="minorHAnsi"/>
          <w:color w:val="495965" w:themeColor="text2"/>
          <w:sz w:val="22"/>
        </w:rPr>
        <w:t xml:space="preserve"> because although some progress has been made, </w:t>
      </w:r>
      <w:r w:rsidR="005F7C5C" w:rsidRPr="00B6769E">
        <w:rPr>
          <w:rFonts w:asciiTheme="minorHAnsi" w:hAnsiTheme="minorHAnsi"/>
          <w:color w:val="495965" w:themeColor="text2"/>
          <w:sz w:val="22"/>
        </w:rPr>
        <w:t xml:space="preserve">there was </w:t>
      </w:r>
      <w:r w:rsidRPr="00B6769E">
        <w:rPr>
          <w:rFonts w:asciiTheme="minorHAnsi" w:hAnsiTheme="minorHAnsi"/>
          <w:color w:val="495965" w:themeColor="text2"/>
          <w:sz w:val="22"/>
        </w:rPr>
        <w:t xml:space="preserve">still room to leverage more outcomes from </w:t>
      </w:r>
      <w:r w:rsidR="00AE79E5" w:rsidRPr="00B6769E">
        <w:rPr>
          <w:rFonts w:asciiTheme="minorHAnsi" w:hAnsiTheme="minorHAnsi"/>
          <w:color w:val="495965" w:themeColor="text2"/>
          <w:sz w:val="22"/>
        </w:rPr>
        <w:t xml:space="preserve">Australia’s </w:t>
      </w:r>
      <w:r w:rsidRPr="00B6769E">
        <w:rPr>
          <w:rFonts w:asciiTheme="minorHAnsi" w:hAnsiTheme="minorHAnsi"/>
          <w:color w:val="495965" w:themeColor="text2"/>
          <w:sz w:val="22"/>
        </w:rPr>
        <w:t xml:space="preserve">large mainstream investments and through diplomatic engagement. Eighty five per cent of </w:t>
      </w:r>
      <w:r w:rsidR="00503CA2" w:rsidRPr="00B6769E">
        <w:rPr>
          <w:rFonts w:asciiTheme="minorHAnsi" w:hAnsiTheme="minorHAnsi"/>
          <w:color w:val="495965" w:themeColor="text2"/>
          <w:sz w:val="22"/>
        </w:rPr>
        <w:t xml:space="preserve">Australian </w:t>
      </w:r>
      <w:r w:rsidRPr="00B6769E">
        <w:rPr>
          <w:rFonts w:asciiTheme="minorHAnsi" w:hAnsiTheme="minorHAnsi"/>
          <w:color w:val="495965" w:themeColor="text2"/>
          <w:sz w:val="22"/>
        </w:rPr>
        <w:t xml:space="preserve">investments effectively addressed gender at implementation in 2015-16, exceeding the 80 per cent target in </w:t>
      </w:r>
      <w:r w:rsidRPr="00B6769E">
        <w:rPr>
          <w:rFonts w:asciiTheme="minorHAnsi" w:hAnsiTheme="minorHAnsi"/>
          <w:i/>
          <w:color w:val="495965" w:themeColor="text2"/>
          <w:sz w:val="22"/>
        </w:rPr>
        <w:t>Making Performance Count: enhancing the accountability and effectiveness of Australian aid</w:t>
      </w:r>
      <w:r w:rsidR="00DB6E5C">
        <w:rPr>
          <w:rFonts w:asciiTheme="minorHAnsi" w:hAnsiTheme="minorHAnsi"/>
          <w:color w:val="495965" w:themeColor="text2"/>
          <w:sz w:val="22"/>
        </w:rPr>
        <w:t xml:space="preserve">. However, this represents a reduction of </w:t>
      </w:r>
      <w:r w:rsidRPr="00B6769E">
        <w:rPr>
          <w:rFonts w:asciiTheme="minorHAnsi" w:hAnsiTheme="minorHAnsi"/>
          <w:color w:val="495965" w:themeColor="text2"/>
          <w:sz w:val="22"/>
        </w:rPr>
        <w:t xml:space="preserve">ten percentage points </w:t>
      </w:r>
      <w:r w:rsidR="00DB6E5C">
        <w:rPr>
          <w:rFonts w:asciiTheme="minorHAnsi" w:hAnsiTheme="minorHAnsi"/>
          <w:color w:val="495965" w:themeColor="text2"/>
          <w:sz w:val="22"/>
        </w:rPr>
        <w:t>from</w:t>
      </w:r>
      <w:r w:rsidRPr="00B6769E">
        <w:rPr>
          <w:rFonts w:asciiTheme="minorHAnsi" w:hAnsiTheme="minorHAnsi"/>
          <w:color w:val="495965" w:themeColor="text2"/>
          <w:sz w:val="22"/>
        </w:rPr>
        <w:t xml:space="preserve"> 2014-15, reflecting a decline in collecting data and reporting on targets and the need to strengthen coordination, learning and advocacy</w:t>
      </w:r>
      <w:r w:rsidR="00C26172" w:rsidRPr="00B6769E">
        <w:rPr>
          <w:rStyle w:val="FootnoteReference"/>
          <w:rFonts w:asciiTheme="minorHAnsi" w:hAnsiTheme="minorHAnsi"/>
          <w:color w:val="495965" w:themeColor="text2"/>
          <w:sz w:val="22"/>
          <w:szCs w:val="21"/>
        </w:rPr>
        <w:footnoteReference w:id="10"/>
      </w:r>
      <w:r w:rsidRPr="00B6769E">
        <w:rPr>
          <w:rFonts w:asciiTheme="minorHAnsi" w:hAnsiTheme="minorHAnsi"/>
          <w:color w:val="495965" w:themeColor="text2"/>
          <w:sz w:val="22"/>
        </w:rPr>
        <w:t xml:space="preserve">.   </w:t>
      </w:r>
    </w:p>
    <w:p w:rsidR="005F7C5C" w:rsidRPr="00B6769E" w:rsidRDefault="005F7C5C"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The Australian Government recognises that gender equality and women’s empowerment are essential to PNG’s economic and human development and are critical cross-cutting issues for Australia’s engagement in PNG.  The </w:t>
      </w:r>
      <w:r w:rsidR="008463E0" w:rsidRPr="00B6769E">
        <w:rPr>
          <w:rFonts w:asciiTheme="minorHAnsi" w:hAnsiTheme="minorHAnsi"/>
          <w:color w:val="495965" w:themeColor="text2"/>
          <w:sz w:val="22"/>
        </w:rPr>
        <w:t>PNG Government’s</w:t>
      </w:r>
      <w:r w:rsidRPr="00B6769E">
        <w:rPr>
          <w:rFonts w:asciiTheme="minorHAnsi" w:hAnsiTheme="minorHAnsi"/>
          <w:color w:val="495965" w:themeColor="text2"/>
          <w:sz w:val="22"/>
        </w:rPr>
        <w:t xml:space="preserve"> policy documents also recognise gender and social inclusion as important development priorities.  The Aid Partnership commits both governments to “work together to promote gender equality and women’s empowerment and increase efforts to address Family and Sexu</w:t>
      </w:r>
      <w:r w:rsidR="005912ED">
        <w:rPr>
          <w:rFonts w:asciiTheme="minorHAnsi" w:hAnsiTheme="minorHAnsi"/>
          <w:color w:val="495965" w:themeColor="text2"/>
          <w:sz w:val="22"/>
        </w:rPr>
        <w:t>al Violence in Papua New Guinea</w:t>
      </w:r>
      <w:r w:rsidRPr="00B6769E">
        <w:rPr>
          <w:rFonts w:asciiTheme="minorHAnsi" w:hAnsiTheme="minorHAnsi"/>
          <w:color w:val="495965" w:themeColor="text2"/>
          <w:sz w:val="22"/>
        </w:rPr>
        <w:t>”</w:t>
      </w:r>
      <w:r w:rsidR="005912ED">
        <w:rPr>
          <w:rFonts w:asciiTheme="minorHAnsi" w:hAnsiTheme="minorHAnsi"/>
          <w:color w:val="495965" w:themeColor="text2"/>
          <w:sz w:val="22"/>
        </w:rPr>
        <w:t>.</w:t>
      </w:r>
      <w:r w:rsidRPr="00B6769E">
        <w:rPr>
          <w:rFonts w:asciiTheme="minorHAnsi" w:hAnsiTheme="minorHAnsi"/>
          <w:color w:val="495965" w:themeColor="text2"/>
          <w:sz w:val="22"/>
        </w:rPr>
        <w:t xml:space="preserve"> Specifically it includes the commitment, “where possible, schedules will seek opportunities to better improve the lives of women and girls in </w:t>
      </w:r>
      <w:r w:rsidR="00892977" w:rsidRPr="00B6769E">
        <w:rPr>
          <w:rFonts w:asciiTheme="minorHAnsi" w:hAnsiTheme="minorHAnsi"/>
          <w:color w:val="495965" w:themeColor="text2"/>
          <w:sz w:val="22"/>
        </w:rPr>
        <w:t>PNG</w:t>
      </w:r>
      <w:r w:rsidRPr="00B6769E">
        <w:rPr>
          <w:rFonts w:asciiTheme="minorHAnsi" w:hAnsiTheme="minorHAnsi"/>
          <w:color w:val="495965" w:themeColor="text2"/>
          <w:sz w:val="22"/>
        </w:rPr>
        <w:t xml:space="preserve">”. </w:t>
      </w:r>
      <w:r w:rsidR="00892977" w:rsidRPr="00B6769E">
        <w:rPr>
          <w:rFonts w:asciiTheme="minorHAnsi" w:hAnsiTheme="minorHAnsi"/>
          <w:color w:val="495965" w:themeColor="text2"/>
          <w:sz w:val="22"/>
        </w:rPr>
        <w:t>E</w:t>
      </w:r>
      <w:r w:rsidRPr="00B6769E">
        <w:rPr>
          <w:rFonts w:asciiTheme="minorHAnsi" w:hAnsiTheme="minorHAnsi"/>
          <w:color w:val="495965" w:themeColor="text2"/>
          <w:sz w:val="22"/>
        </w:rPr>
        <w:t xml:space="preserve">ach of </w:t>
      </w:r>
      <w:r w:rsidR="008463E0" w:rsidRPr="00B6769E">
        <w:rPr>
          <w:rFonts w:asciiTheme="minorHAnsi" w:hAnsiTheme="minorHAnsi"/>
          <w:color w:val="495965" w:themeColor="text2"/>
          <w:sz w:val="22"/>
        </w:rPr>
        <w:t xml:space="preserve">the </w:t>
      </w:r>
      <w:r w:rsidRPr="00B6769E">
        <w:rPr>
          <w:rFonts w:asciiTheme="minorHAnsi" w:hAnsiTheme="minorHAnsi"/>
          <w:color w:val="495965" w:themeColor="text2"/>
          <w:sz w:val="22"/>
        </w:rPr>
        <w:t xml:space="preserve">five schedules under the </w:t>
      </w:r>
      <w:r w:rsidR="009F5022">
        <w:rPr>
          <w:rFonts w:asciiTheme="minorHAnsi" w:hAnsiTheme="minorHAnsi"/>
          <w:color w:val="495965" w:themeColor="text2"/>
          <w:sz w:val="22"/>
        </w:rPr>
        <w:t>Aid Partnership</w:t>
      </w:r>
      <w:r w:rsidR="00DF3350" w:rsidRPr="00B6769E">
        <w:rPr>
          <w:rFonts w:asciiTheme="minorHAnsi" w:hAnsiTheme="minorHAnsi"/>
          <w:color w:val="495965" w:themeColor="text2"/>
          <w:sz w:val="22"/>
        </w:rPr>
        <w:t xml:space="preserve"> includes</w:t>
      </w:r>
      <w:r w:rsidRPr="00B6769E">
        <w:rPr>
          <w:rFonts w:asciiTheme="minorHAnsi" w:hAnsiTheme="minorHAnsi"/>
          <w:color w:val="495965" w:themeColor="text2"/>
          <w:sz w:val="22"/>
        </w:rPr>
        <w:t xml:space="preserve"> specific gender targets – in the case of the transport sector, for the first time.</w:t>
      </w:r>
    </w:p>
    <w:p w:rsidR="008C1441" w:rsidRDefault="008C1441" w:rsidP="00CD131A">
      <w:pPr>
        <w:pStyle w:val="BodyText"/>
        <w:spacing w:before="120" w:after="120"/>
        <w:rPr>
          <w:rFonts w:asciiTheme="minorHAnsi" w:hAnsiTheme="minorHAnsi"/>
          <w:color w:val="495965" w:themeColor="text2"/>
          <w:sz w:val="22"/>
        </w:rPr>
      </w:pPr>
    </w:p>
    <w:p w:rsidR="008C1441" w:rsidRDefault="008C1441" w:rsidP="00CD131A">
      <w:pPr>
        <w:pStyle w:val="BodyText"/>
        <w:spacing w:before="120" w:after="120"/>
        <w:rPr>
          <w:rFonts w:asciiTheme="minorHAnsi" w:hAnsiTheme="minorHAnsi"/>
          <w:color w:val="495965" w:themeColor="text2"/>
          <w:sz w:val="22"/>
        </w:rPr>
      </w:pPr>
    </w:p>
    <w:p w:rsidR="008C1441" w:rsidRDefault="008C1441" w:rsidP="00CD131A">
      <w:pPr>
        <w:pStyle w:val="BodyText"/>
        <w:spacing w:before="120" w:after="120"/>
        <w:rPr>
          <w:rFonts w:asciiTheme="minorHAnsi" w:hAnsiTheme="minorHAnsi"/>
          <w:color w:val="495965" w:themeColor="text2"/>
          <w:sz w:val="22"/>
        </w:rPr>
      </w:pPr>
    </w:p>
    <w:p w:rsidR="005F7C5C" w:rsidRPr="00B6769E" w:rsidRDefault="00C26172"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lastRenderedPageBreak/>
        <w:t>DFAT’s</w:t>
      </w:r>
      <w:r w:rsidR="005F7C5C" w:rsidRPr="00B6769E">
        <w:rPr>
          <w:rFonts w:asciiTheme="minorHAnsi" w:hAnsiTheme="minorHAnsi"/>
          <w:color w:val="495965" w:themeColor="text2"/>
          <w:sz w:val="22"/>
        </w:rPr>
        <w:t xml:space="preserve"> </w:t>
      </w:r>
      <w:r w:rsidR="005F7C5C" w:rsidRPr="00B6769E">
        <w:rPr>
          <w:rFonts w:asciiTheme="minorHAnsi" w:hAnsiTheme="minorHAnsi"/>
          <w:i/>
          <w:color w:val="495965" w:themeColor="text2"/>
          <w:sz w:val="22"/>
        </w:rPr>
        <w:t>Gender Equality and Women’s Empowerment Strategy</w:t>
      </w:r>
      <w:r w:rsidR="005F7C5C" w:rsidRPr="00B6769E">
        <w:rPr>
          <w:rFonts w:asciiTheme="minorHAnsi" w:hAnsiTheme="minorHAnsi"/>
          <w:color w:val="495965" w:themeColor="text2"/>
          <w:sz w:val="22"/>
        </w:rPr>
        <w:t>, released in February 2016, identifies three priorities for Austra</w:t>
      </w:r>
      <w:r w:rsidR="00474D68" w:rsidRPr="00B6769E">
        <w:rPr>
          <w:rFonts w:asciiTheme="minorHAnsi" w:hAnsiTheme="minorHAnsi"/>
          <w:color w:val="495965" w:themeColor="text2"/>
          <w:sz w:val="22"/>
        </w:rPr>
        <w:t>lia’s work on gender equality: e</w:t>
      </w:r>
      <w:r w:rsidR="005F7C5C" w:rsidRPr="00B6769E">
        <w:rPr>
          <w:rFonts w:asciiTheme="minorHAnsi" w:hAnsiTheme="minorHAnsi"/>
          <w:color w:val="495965" w:themeColor="text2"/>
          <w:sz w:val="22"/>
        </w:rPr>
        <w:t xml:space="preserve">nhancing women’s voice in decision-making, leadership, and peace-building; promoting women’s economic empowerment; and ending violence against women and girls and increasing access to support services. These pillars are incorporated into the Australian High Commission’s </w:t>
      </w:r>
      <w:r w:rsidR="005F7C5C" w:rsidRPr="00B6769E">
        <w:rPr>
          <w:rFonts w:asciiTheme="minorHAnsi" w:hAnsiTheme="minorHAnsi"/>
          <w:i/>
          <w:color w:val="495965" w:themeColor="text2"/>
          <w:sz w:val="22"/>
        </w:rPr>
        <w:t>Gender Action Plan for PNG 2015-2020</w:t>
      </w:r>
      <w:r w:rsidR="005F7C5C" w:rsidRPr="00B6769E">
        <w:rPr>
          <w:rFonts w:asciiTheme="minorHAnsi" w:hAnsiTheme="minorHAnsi"/>
          <w:color w:val="495965" w:themeColor="text2"/>
          <w:sz w:val="22"/>
        </w:rPr>
        <w:t xml:space="preserve">, which provides an over-arching framework for engagement and investment in gender equality and performance targets for aid investments. The </w:t>
      </w:r>
      <w:r w:rsidR="005F7C5C" w:rsidRPr="00B6769E">
        <w:rPr>
          <w:rFonts w:asciiTheme="minorHAnsi" w:hAnsiTheme="minorHAnsi"/>
          <w:i/>
          <w:color w:val="495965" w:themeColor="text2"/>
          <w:sz w:val="22"/>
        </w:rPr>
        <w:t>Pacific Women PNG Second Country Plan</w:t>
      </w:r>
      <w:r w:rsidR="005F7C5C" w:rsidRPr="00B6769E">
        <w:rPr>
          <w:rFonts w:asciiTheme="minorHAnsi" w:hAnsiTheme="minorHAnsi"/>
          <w:color w:val="495965" w:themeColor="text2"/>
          <w:sz w:val="22"/>
        </w:rPr>
        <w:t xml:space="preserve"> (2014-19) and the </w:t>
      </w:r>
      <w:r w:rsidR="005F7C5C" w:rsidRPr="00B6769E">
        <w:rPr>
          <w:rFonts w:asciiTheme="minorHAnsi" w:hAnsiTheme="minorHAnsi"/>
          <w:i/>
          <w:color w:val="495965" w:themeColor="text2"/>
          <w:sz w:val="22"/>
        </w:rPr>
        <w:t>Bougainville Gender Investment Plan</w:t>
      </w:r>
      <w:r w:rsidR="005F7C5C" w:rsidRPr="00B6769E">
        <w:rPr>
          <w:rFonts w:asciiTheme="minorHAnsi" w:hAnsiTheme="minorHAnsi"/>
          <w:color w:val="495965" w:themeColor="text2"/>
          <w:sz w:val="22"/>
        </w:rPr>
        <w:t xml:space="preserve"> (2014-19) also provide guidance. </w:t>
      </w:r>
    </w:p>
    <w:p w:rsidR="005F7C5C" w:rsidRPr="00B6769E" w:rsidRDefault="00CC6064" w:rsidP="00CD131A">
      <w:pPr>
        <w:pStyle w:val="BodyText"/>
        <w:spacing w:before="120" w:after="120"/>
        <w:rPr>
          <w:rFonts w:asciiTheme="minorHAnsi" w:hAnsiTheme="minorHAnsi"/>
          <w:color w:val="495965" w:themeColor="text2"/>
          <w:sz w:val="22"/>
        </w:rPr>
      </w:pPr>
      <w:r w:rsidRPr="00B6769E">
        <w:rPr>
          <w:rFonts w:asciiTheme="minorHAnsi" w:hAnsiTheme="minorHAnsi"/>
          <w:noProof/>
          <w:sz w:val="22"/>
        </w:rPr>
        <mc:AlternateContent>
          <mc:Choice Requires="wps">
            <w:drawing>
              <wp:anchor distT="0" distB="0" distL="114300" distR="114300" simplePos="0" relativeHeight="251692032" behindDoc="1" locked="0" layoutInCell="1" allowOverlap="1" wp14:anchorId="6E28BEDE" wp14:editId="2C2F4B4D">
                <wp:simplePos x="0" y="0"/>
                <wp:positionH relativeFrom="column">
                  <wp:posOffset>3175</wp:posOffset>
                </wp:positionH>
                <wp:positionV relativeFrom="paragraph">
                  <wp:posOffset>1111250</wp:posOffset>
                </wp:positionV>
                <wp:extent cx="2472690" cy="3084830"/>
                <wp:effectExtent l="0" t="0" r="22860" b="20320"/>
                <wp:wrapTight wrapText="bothSides">
                  <wp:wrapPolygon edited="0">
                    <wp:start x="0" y="0"/>
                    <wp:lineTo x="0" y="21609"/>
                    <wp:lineTo x="21633" y="21609"/>
                    <wp:lineTo x="21633"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3084830"/>
                        </a:xfrm>
                        <a:prstGeom prst="rect">
                          <a:avLst/>
                        </a:prstGeom>
                        <a:solidFill>
                          <a:sysClr val="window" lastClr="FFFFFF"/>
                        </a:solidFill>
                        <a:ln w="25400" cap="flat" cmpd="sng" algn="ctr">
                          <a:solidFill>
                            <a:srgbClr val="65C5B4"/>
                          </a:solidFill>
                          <a:prstDash val="solid"/>
                          <a:headEnd/>
                          <a:tailEnd/>
                        </a:ln>
                        <a:effectLst/>
                      </wps:spPr>
                      <wps:txbx>
                        <w:txbxContent>
                          <w:p w:rsidR="00B80664" w:rsidRDefault="00B80664" w:rsidP="00CC6064">
                            <w:pPr>
                              <w:rPr>
                                <w:rFonts w:ascii="Franklin Gothic Book" w:eastAsia="Times New Roman" w:hAnsi="Franklin Gothic Book" w:cs="Times New Roman"/>
                                <w:sz w:val="21"/>
                                <w:szCs w:val="21"/>
                                <w:lang w:val="en-AU" w:eastAsia="en-AU"/>
                              </w:rPr>
                            </w:pPr>
                            <w:r>
                              <w:rPr>
                                <w:rFonts w:ascii="Franklin Gothic Book" w:eastAsia="Times New Roman" w:hAnsi="Franklin Gothic Book" w:cs="Times New Roman"/>
                                <w:noProof/>
                                <w:sz w:val="21"/>
                                <w:szCs w:val="21"/>
                                <w:lang w:val="en-AU" w:eastAsia="en-AU"/>
                              </w:rPr>
                              <w:drawing>
                                <wp:inline distT="0" distB="0" distL="0" distR="0">
                                  <wp:extent cx="2264410" cy="1532255"/>
                                  <wp:effectExtent l="0" t="0" r="2540" b="0"/>
                                  <wp:docPr id="18" name="Picture 18" descr="Representatives of UN Women and the Australian High Commission PNG launch the second Meri Seif bus in Port Moresby in February 2016." title="Meri Seif bus la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_UN Representative Katherine Webster &amp; AHC representative Winnifred Oraka  launching the bus.JPG"/>
                                          <pic:cNvPicPr/>
                                        </pic:nvPicPr>
                                        <pic:blipFill>
                                          <a:blip r:embed="rId24" cstate="screen">
                                            <a:extLst>
                                              <a:ext uri="{28A0092B-C50C-407E-A947-70E740481C1C}">
                                                <a14:useLocalDpi xmlns:a14="http://schemas.microsoft.com/office/drawing/2010/main"/>
                                              </a:ext>
                                            </a:extLst>
                                          </a:blip>
                                          <a:stretch>
                                            <a:fillRect/>
                                          </a:stretch>
                                        </pic:blipFill>
                                        <pic:spPr>
                                          <a:xfrm>
                                            <a:off x="0" y="0"/>
                                            <a:ext cx="2264410" cy="1532255"/>
                                          </a:xfrm>
                                          <a:prstGeom prst="rect">
                                            <a:avLst/>
                                          </a:prstGeom>
                                        </pic:spPr>
                                      </pic:pic>
                                    </a:graphicData>
                                  </a:graphic>
                                </wp:inline>
                              </w:drawing>
                            </w:r>
                          </w:p>
                          <w:p w:rsidR="00B80664" w:rsidRPr="00065B59" w:rsidRDefault="00B80664" w:rsidP="00CC6064">
                            <w:pPr>
                              <w:rPr>
                                <w:rFonts w:ascii="Franklin Gothic Book" w:hAnsi="Franklin Gothic Book"/>
                                <w:sz w:val="21"/>
                                <w:szCs w:val="21"/>
                              </w:rPr>
                            </w:pPr>
                            <w:r w:rsidRPr="00065B59">
                              <w:rPr>
                                <w:rFonts w:ascii="Franklin Gothic Book" w:eastAsia="Times New Roman" w:hAnsi="Franklin Gothic Book" w:cs="Times New Roman"/>
                                <w:sz w:val="21"/>
                                <w:szCs w:val="21"/>
                                <w:lang w:val="en-AU" w:eastAsia="en-AU"/>
                              </w:rPr>
                              <w:t xml:space="preserve">In Port Moresby, Australia supported two Meri </w:t>
                            </w:r>
                            <w:proofErr w:type="spellStart"/>
                            <w:r w:rsidRPr="00065B59">
                              <w:rPr>
                                <w:rFonts w:ascii="Franklin Gothic Book" w:eastAsia="Times New Roman" w:hAnsi="Franklin Gothic Book" w:cs="Times New Roman"/>
                                <w:sz w:val="21"/>
                                <w:szCs w:val="21"/>
                                <w:lang w:val="en-AU" w:eastAsia="en-AU"/>
                              </w:rPr>
                              <w:t>Seif</w:t>
                            </w:r>
                            <w:proofErr w:type="spellEnd"/>
                            <w:r w:rsidRPr="00065B59">
                              <w:rPr>
                                <w:rFonts w:ascii="Franklin Gothic Book" w:eastAsia="Times New Roman" w:hAnsi="Franklin Gothic Book" w:cs="Times New Roman"/>
                                <w:sz w:val="21"/>
                                <w:szCs w:val="21"/>
                                <w:lang w:val="en-AU" w:eastAsia="en-AU"/>
                              </w:rPr>
                              <w:t xml:space="preserve"> buses that provide safe and free transport for women and girls to access markets, the central business district and hospital.</w:t>
                            </w:r>
                          </w:p>
                          <w:p w:rsidR="00B80664" w:rsidRPr="00DF5C64" w:rsidRDefault="00B80664" w:rsidP="00CC6064">
                            <w:pPr>
                              <w:rPr>
                                <w:sz w:val="16"/>
                                <w:szCs w:val="16"/>
                              </w:rPr>
                            </w:pPr>
                            <w:r>
                              <w:rPr>
                                <w:sz w:val="16"/>
                                <w:szCs w:val="16"/>
                              </w:rPr>
                              <w:t xml:space="preserve">Pictured above: Representatives of UN Women and the Australian High Commission PNG launch the second Meri </w:t>
                            </w:r>
                            <w:proofErr w:type="spellStart"/>
                            <w:r>
                              <w:rPr>
                                <w:sz w:val="16"/>
                                <w:szCs w:val="16"/>
                              </w:rPr>
                              <w:t>Seif</w:t>
                            </w:r>
                            <w:proofErr w:type="spellEnd"/>
                            <w:r>
                              <w:rPr>
                                <w:sz w:val="16"/>
                                <w:szCs w:val="16"/>
                              </w:rPr>
                              <w:t xml:space="preserve"> bus in Port Moresby in February 2016.</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E28BEDE" id="_x0000_s1031" type="#_x0000_t202" style="position:absolute;margin-left:.25pt;margin-top:87.5pt;width:194.7pt;height:242.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" fillcolor="window" strokecolor="#65c5b4" strokeweight="2pt">
                <v:textbox>
                  <w:txbxContent>
                    <w:p w:rsidR="00B80664" w:rsidRDefault="00B80664" w:rsidP="00CC6064">
                      <w:pPr>
                        <w:rPr>
                          <w:rFonts w:ascii="Franklin Gothic Book" w:eastAsia="Times New Roman" w:hAnsi="Franklin Gothic Book" w:cs="Times New Roman"/>
                          <w:sz w:val="21"/>
                          <w:szCs w:val="21"/>
                          <w:lang w:val="en-AU" w:eastAsia="en-AU"/>
                        </w:rPr>
                      </w:pPr>
                      <w:r>
                        <w:rPr>
                          <w:rFonts w:ascii="Franklin Gothic Book" w:eastAsia="Times New Roman" w:hAnsi="Franklin Gothic Book" w:cs="Times New Roman"/>
                          <w:noProof/>
                          <w:sz w:val="21"/>
                          <w:szCs w:val="21"/>
                          <w:lang w:val="en-AU" w:eastAsia="en-AU"/>
                        </w:rPr>
                        <w:drawing>
                          <wp:inline distT="0" distB="0" distL="0" distR="0">
                            <wp:extent cx="2264410" cy="1532255"/>
                            <wp:effectExtent l="0" t="0" r="2540" b="0"/>
                            <wp:docPr id="18" name="Picture 18" descr="Representatives of UN Women and the Australian High Commission PNG launch the second Meri Seif bus in Port Moresby in February 2016." title="Meri Seif bus la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_UN Representative Katherine Webster &amp; AHC representative Winnifred Oraka  launching the bus.JPG"/>
                                    <pic:cNvPicPr/>
                                  </pic:nvPicPr>
                                  <pic:blipFill>
                                    <a:blip r:embed="rId25" cstate="screen">
                                      <a:extLst>
                                        <a:ext uri="{28A0092B-C50C-407E-A947-70E740481C1C}">
                                          <a14:useLocalDpi xmlns:a14="http://schemas.microsoft.com/office/drawing/2010/main"/>
                                        </a:ext>
                                      </a:extLst>
                                    </a:blip>
                                    <a:stretch>
                                      <a:fillRect/>
                                    </a:stretch>
                                  </pic:blipFill>
                                  <pic:spPr>
                                    <a:xfrm>
                                      <a:off x="0" y="0"/>
                                      <a:ext cx="2264410" cy="1532255"/>
                                    </a:xfrm>
                                    <a:prstGeom prst="rect">
                                      <a:avLst/>
                                    </a:prstGeom>
                                  </pic:spPr>
                                </pic:pic>
                              </a:graphicData>
                            </a:graphic>
                          </wp:inline>
                        </w:drawing>
                      </w:r>
                    </w:p>
                    <w:p w:rsidR="00B80664" w:rsidRPr="00065B59" w:rsidRDefault="00B80664" w:rsidP="00CC6064">
                      <w:pPr>
                        <w:rPr>
                          <w:rFonts w:ascii="Franklin Gothic Book" w:hAnsi="Franklin Gothic Book"/>
                          <w:sz w:val="21"/>
                          <w:szCs w:val="21"/>
                        </w:rPr>
                      </w:pPr>
                      <w:r w:rsidRPr="00065B59">
                        <w:rPr>
                          <w:rFonts w:ascii="Franklin Gothic Book" w:eastAsia="Times New Roman" w:hAnsi="Franklin Gothic Book" w:cs="Times New Roman"/>
                          <w:sz w:val="21"/>
                          <w:szCs w:val="21"/>
                          <w:lang w:val="en-AU" w:eastAsia="en-AU"/>
                        </w:rPr>
                        <w:t xml:space="preserve">In Port Moresby, Australia supported two Meri </w:t>
                      </w:r>
                      <w:proofErr w:type="spellStart"/>
                      <w:r w:rsidRPr="00065B59">
                        <w:rPr>
                          <w:rFonts w:ascii="Franklin Gothic Book" w:eastAsia="Times New Roman" w:hAnsi="Franklin Gothic Book" w:cs="Times New Roman"/>
                          <w:sz w:val="21"/>
                          <w:szCs w:val="21"/>
                          <w:lang w:val="en-AU" w:eastAsia="en-AU"/>
                        </w:rPr>
                        <w:t>Seif</w:t>
                      </w:r>
                      <w:proofErr w:type="spellEnd"/>
                      <w:r w:rsidRPr="00065B59">
                        <w:rPr>
                          <w:rFonts w:ascii="Franklin Gothic Book" w:eastAsia="Times New Roman" w:hAnsi="Franklin Gothic Book" w:cs="Times New Roman"/>
                          <w:sz w:val="21"/>
                          <w:szCs w:val="21"/>
                          <w:lang w:val="en-AU" w:eastAsia="en-AU"/>
                        </w:rPr>
                        <w:t xml:space="preserve"> buses that provide safe and free transport for women and girls to access markets, the central business district and hospital.</w:t>
                      </w:r>
                    </w:p>
                    <w:p w:rsidR="00B80664" w:rsidRPr="00DF5C64" w:rsidRDefault="00B80664" w:rsidP="00CC6064">
                      <w:pPr>
                        <w:rPr>
                          <w:sz w:val="16"/>
                          <w:szCs w:val="16"/>
                        </w:rPr>
                      </w:pPr>
                      <w:r>
                        <w:rPr>
                          <w:sz w:val="16"/>
                          <w:szCs w:val="16"/>
                        </w:rPr>
                        <w:t xml:space="preserve">Pictured above: Representatives of UN Women and the Australian High Commission PNG launch the second Meri </w:t>
                      </w:r>
                      <w:proofErr w:type="spellStart"/>
                      <w:r>
                        <w:rPr>
                          <w:sz w:val="16"/>
                          <w:szCs w:val="16"/>
                        </w:rPr>
                        <w:t>Seif</w:t>
                      </w:r>
                      <w:proofErr w:type="spellEnd"/>
                      <w:r>
                        <w:rPr>
                          <w:sz w:val="16"/>
                          <w:szCs w:val="16"/>
                        </w:rPr>
                        <w:t xml:space="preserve"> bus in Port Moresby in February 2016.</w:t>
                      </w:r>
                    </w:p>
                  </w:txbxContent>
                </v:textbox>
                <w10:wrap type="tight"/>
              </v:shape>
            </w:pict>
          </mc:Fallback>
        </mc:AlternateContent>
      </w:r>
      <w:r w:rsidR="005F7C5C" w:rsidRPr="00B6769E">
        <w:rPr>
          <w:rFonts w:asciiTheme="minorHAnsi" w:hAnsiTheme="minorHAnsi"/>
          <w:color w:val="495965" w:themeColor="text2"/>
          <w:sz w:val="22"/>
        </w:rPr>
        <w:t xml:space="preserve">Australia supported women’s leadership by assisting PNG to implement the National Public Service Gender Equity and Social Inclusion (GESI) policy. </w:t>
      </w:r>
      <w:r w:rsidR="00503CA2" w:rsidRPr="00B6769E">
        <w:rPr>
          <w:rFonts w:asciiTheme="minorHAnsi" w:hAnsiTheme="minorHAnsi"/>
          <w:color w:val="495965" w:themeColor="text2"/>
          <w:sz w:val="22"/>
        </w:rPr>
        <w:t>Our</w:t>
      </w:r>
      <w:r w:rsidR="005F7C5C" w:rsidRPr="00B6769E">
        <w:rPr>
          <w:rFonts w:asciiTheme="minorHAnsi" w:hAnsiTheme="minorHAnsi"/>
          <w:color w:val="495965" w:themeColor="text2"/>
          <w:sz w:val="22"/>
        </w:rPr>
        <w:t xml:space="preserve"> assistance included a GESI toolbox for government agencies, GESI focal points within those agencies, awareness and training</w:t>
      </w:r>
      <w:r w:rsidR="00503CA2" w:rsidRPr="00B6769E">
        <w:rPr>
          <w:rFonts w:asciiTheme="minorHAnsi" w:hAnsiTheme="minorHAnsi"/>
          <w:color w:val="495965" w:themeColor="text2"/>
          <w:sz w:val="22"/>
        </w:rPr>
        <w:t>, funding for agency activities</w:t>
      </w:r>
      <w:r w:rsidR="005F7C5C" w:rsidRPr="00B6769E">
        <w:rPr>
          <w:rFonts w:asciiTheme="minorHAnsi" w:hAnsiTheme="minorHAnsi"/>
          <w:color w:val="495965" w:themeColor="text2"/>
          <w:sz w:val="22"/>
        </w:rPr>
        <w:t xml:space="preserve"> and gender help desks. In Bougainville, </w:t>
      </w:r>
      <w:r w:rsidR="00503CA2" w:rsidRPr="00B6769E">
        <w:rPr>
          <w:rFonts w:asciiTheme="minorHAnsi" w:hAnsiTheme="minorHAnsi"/>
          <w:color w:val="495965" w:themeColor="text2"/>
          <w:sz w:val="22"/>
        </w:rPr>
        <w:t>we</w:t>
      </w:r>
      <w:r w:rsidR="005F7C5C" w:rsidRPr="00B6769E">
        <w:rPr>
          <w:rFonts w:asciiTheme="minorHAnsi" w:hAnsiTheme="minorHAnsi"/>
          <w:color w:val="495965" w:themeColor="text2"/>
          <w:sz w:val="22"/>
        </w:rPr>
        <w:t xml:space="preserve"> supported women’s local leadership through a program that provided women with skills and knowledge to actively participate in </w:t>
      </w:r>
      <w:r w:rsidR="00913869">
        <w:rPr>
          <w:rFonts w:asciiTheme="minorHAnsi" w:hAnsiTheme="minorHAnsi"/>
          <w:color w:val="495965" w:themeColor="text2"/>
          <w:sz w:val="22"/>
        </w:rPr>
        <w:t xml:space="preserve">the </w:t>
      </w:r>
      <w:r w:rsidR="005F7C5C" w:rsidRPr="00B6769E">
        <w:rPr>
          <w:rFonts w:asciiTheme="minorHAnsi" w:hAnsiTheme="minorHAnsi"/>
          <w:color w:val="495965" w:themeColor="text2"/>
          <w:sz w:val="22"/>
        </w:rPr>
        <w:t>planning and delivery of 39 community development projects. Twenty</w:t>
      </w:r>
      <w:r w:rsidR="00913869">
        <w:rPr>
          <w:rFonts w:asciiTheme="minorHAnsi" w:hAnsiTheme="minorHAnsi"/>
          <w:color w:val="495965" w:themeColor="text2"/>
          <w:sz w:val="22"/>
        </w:rPr>
        <w:t xml:space="preserve"> of the 31 women who stood for p</w:t>
      </w:r>
      <w:r w:rsidR="005F7C5C" w:rsidRPr="00B6769E">
        <w:rPr>
          <w:rFonts w:asciiTheme="minorHAnsi" w:hAnsiTheme="minorHAnsi"/>
          <w:color w:val="495965" w:themeColor="text2"/>
          <w:sz w:val="22"/>
        </w:rPr>
        <w:t xml:space="preserve">arliament in </w:t>
      </w:r>
      <w:r w:rsidR="00913869">
        <w:rPr>
          <w:rFonts w:asciiTheme="minorHAnsi" w:hAnsiTheme="minorHAnsi"/>
          <w:color w:val="495965" w:themeColor="text2"/>
          <w:sz w:val="22"/>
        </w:rPr>
        <w:t xml:space="preserve">the </w:t>
      </w:r>
      <w:r w:rsidR="00503CA2" w:rsidRPr="00B6769E">
        <w:rPr>
          <w:rFonts w:asciiTheme="minorHAnsi" w:hAnsiTheme="minorHAnsi"/>
          <w:color w:val="495965" w:themeColor="text2"/>
          <w:sz w:val="22"/>
        </w:rPr>
        <w:t>Autonomous Bougainville Government</w:t>
      </w:r>
      <w:r w:rsidR="005F7C5C" w:rsidRPr="00B6769E">
        <w:rPr>
          <w:rFonts w:asciiTheme="minorHAnsi" w:hAnsiTheme="minorHAnsi"/>
          <w:color w:val="495965" w:themeColor="text2"/>
          <w:sz w:val="22"/>
        </w:rPr>
        <w:t xml:space="preserve"> elections</w:t>
      </w:r>
      <w:r w:rsidR="00913869">
        <w:rPr>
          <w:rFonts w:asciiTheme="minorHAnsi" w:hAnsiTheme="minorHAnsi"/>
          <w:color w:val="495965" w:themeColor="text2"/>
          <w:sz w:val="22"/>
        </w:rPr>
        <w:t xml:space="preserve"> in 2015</w:t>
      </w:r>
      <w:r w:rsidR="005F7C5C" w:rsidRPr="00B6769E">
        <w:rPr>
          <w:rFonts w:asciiTheme="minorHAnsi" w:hAnsiTheme="minorHAnsi"/>
          <w:color w:val="495965" w:themeColor="text2"/>
          <w:sz w:val="22"/>
        </w:rPr>
        <w:t xml:space="preserve"> identified as being actively involved in this program. They gained credibility as leaders at </w:t>
      </w:r>
      <w:r w:rsidR="00913869">
        <w:rPr>
          <w:rFonts w:asciiTheme="minorHAnsi" w:hAnsiTheme="minorHAnsi"/>
          <w:color w:val="495965" w:themeColor="text2"/>
          <w:sz w:val="22"/>
        </w:rPr>
        <w:t xml:space="preserve">the </w:t>
      </w:r>
      <w:r w:rsidR="005F7C5C" w:rsidRPr="00B6769E">
        <w:rPr>
          <w:rFonts w:asciiTheme="minorHAnsi" w:hAnsiTheme="minorHAnsi"/>
          <w:color w:val="495965" w:themeColor="text2"/>
          <w:sz w:val="22"/>
        </w:rPr>
        <w:t>local level and this gave them the co</w:t>
      </w:r>
      <w:r w:rsidR="00913869">
        <w:rPr>
          <w:rFonts w:asciiTheme="minorHAnsi" w:hAnsiTheme="minorHAnsi"/>
          <w:color w:val="495965" w:themeColor="text2"/>
          <w:sz w:val="22"/>
        </w:rPr>
        <w:t>nfidence to run for p</w:t>
      </w:r>
      <w:r w:rsidR="005F7C5C" w:rsidRPr="00B6769E">
        <w:rPr>
          <w:rFonts w:asciiTheme="minorHAnsi" w:hAnsiTheme="minorHAnsi"/>
          <w:color w:val="495965" w:themeColor="text2"/>
          <w:sz w:val="22"/>
        </w:rPr>
        <w:t xml:space="preserve">arliament.  </w:t>
      </w:r>
    </w:p>
    <w:p w:rsidR="005F7C5C" w:rsidRPr="00B6769E" w:rsidRDefault="005F7C5C"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Australia’s investment in women’s economic empowerment included working with the coffee industry to improve the capacity of women farmers to participate in and benefit from farming. In 2015, women represented 43 per cent of participants in extension services (514 people), up from five per cent when th</w:t>
      </w:r>
      <w:r w:rsidR="00DF3350" w:rsidRPr="00B6769E">
        <w:rPr>
          <w:rFonts w:asciiTheme="minorHAnsi" w:hAnsiTheme="minorHAnsi"/>
          <w:color w:val="495965" w:themeColor="text2"/>
          <w:sz w:val="22"/>
        </w:rPr>
        <w:t xml:space="preserve">e program commenced in 2013. </w:t>
      </w:r>
      <w:r w:rsidRPr="00B6769E">
        <w:rPr>
          <w:rFonts w:asciiTheme="minorHAnsi" w:hAnsiTheme="minorHAnsi"/>
          <w:color w:val="495965" w:themeColor="text2"/>
          <w:sz w:val="22"/>
        </w:rPr>
        <w:t xml:space="preserve">Through Australian support, the Microfinance Expansion </w:t>
      </w:r>
      <w:r w:rsidR="00913869">
        <w:rPr>
          <w:rFonts w:asciiTheme="minorHAnsi" w:hAnsiTheme="minorHAnsi"/>
          <w:color w:val="495965" w:themeColor="text2"/>
          <w:sz w:val="22"/>
        </w:rPr>
        <w:t>Project</w:t>
      </w:r>
      <w:r w:rsidRPr="00B6769E">
        <w:rPr>
          <w:rFonts w:asciiTheme="minorHAnsi" w:hAnsiTheme="minorHAnsi"/>
          <w:color w:val="495965" w:themeColor="text2"/>
          <w:sz w:val="22"/>
        </w:rPr>
        <w:t xml:space="preserve"> has provided financial literacy training to 43,063 women and 48,256 men. The Business Coalition for Women, funded by Australia and comprising over 50 successful businesses</w:t>
      </w:r>
      <w:r w:rsidR="00503CA2" w:rsidRPr="00B6769E">
        <w:rPr>
          <w:rFonts w:asciiTheme="minorHAnsi" w:hAnsiTheme="minorHAnsi"/>
          <w:color w:val="495965" w:themeColor="text2"/>
          <w:sz w:val="22"/>
        </w:rPr>
        <w:t>,</w:t>
      </w:r>
      <w:r w:rsidRPr="00B6769E">
        <w:rPr>
          <w:rFonts w:asciiTheme="minorHAnsi" w:hAnsiTheme="minorHAnsi"/>
          <w:color w:val="495965" w:themeColor="text2"/>
          <w:sz w:val="22"/>
        </w:rPr>
        <w:t xml:space="preserve"> developed an executive leadership course for women in the private sector. This course has sold out each time it has been run. Businesses pay </w:t>
      </w:r>
      <w:r w:rsidR="001F759C" w:rsidRPr="00B6769E">
        <w:rPr>
          <w:rFonts w:asciiTheme="minorHAnsi" w:hAnsiTheme="minorHAnsi"/>
          <w:color w:val="495965" w:themeColor="text2"/>
          <w:sz w:val="22"/>
        </w:rPr>
        <w:t>PG</w:t>
      </w:r>
      <w:r w:rsidRPr="00B6769E">
        <w:rPr>
          <w:rFonts w:asciiTheme="minorHAnsi" w:hAnsiTheme="minorHAnsi"/>
          <w:color w:val="495965" w:themeColor="text2"/>
          <w:sz w:val="22"/>
        </w:rPr>
        <w:t xml:space="preserve">K12,000 </w:t>
      </w:r>
      <w:r w:rsidR="001F759C" w:rsidRPr="00B6769E">
        <w:rPr>
          <w:rFonts w:asciiTheme="minorHAnsi" w:hAnsiTheme="minorHAnsi"/>
          <w:color w:val="495965" w:themeColor="text2"/>
          <w:sz w:val="22"/>
        </w:rPr>
        <w:t xml:space="preserve">($4,800) </w:t>
      </w:r>
      <w:r w:rsidRPr="00B6769E">
        <w:rPr>
          <w:rFonts w:asciiTheme="minorHAnsi" w:hAnsiTheme="minorHAnsi"/>
          <w:color w:val="495965" w:themeColor="text2"/>
          <w:sz w:val="22"/>
        </w:rPr>
        <w:t>per participant which is a measure of the demand for such training.</w:t>
      </w:r>
    </w:p>
    <w:p w:rsidR="005F7C5C" w:rsidRDefault="005F7C5C"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In addition to our support </w:t>
      </w:r>
      <w:r w:rsidR="00503CA2" w:rsidRPr="00B6769E">
        <w:rPr>
          <w:rFonts w:asciiTheme="minorHAnsi" w:hAnsiTheme="minorHAnsi"/>
          <w:color w:val="495965" w:themeColor="text2"/>
          <w:sz w:val="22"/>
        </w:rPr>
        <w:t>through PNG’s</w:t>
      </w:r>
      <w:r w:rsidR="00913869">
        <w:rPr>
          <w:rFonts w:asciiTheme="minorHAnsi" w:hAnsiTheme="minorHAnsi"/>
          <w:color w:val="495965" w:themeColor="text2"/>
          <w:sz w:val="22"/>
        </w:rPr>
        <w:t xml:space="preserve"> law and j</w:t>
      </w:r>
      <w:r w:rsidRPr="00B6769E">
        <w:rPr>
          <w:rFonts w:asciiTheme="minorHAnsi" w:hAnsiTheme="minorHAnsi"/>
          <w:color w:val="495965" w:themeColor="text2"/>
          <w:sz w:val="22"/>
        </w:rPr>
        <w:t xml:space="preserve">ustice </w:t>
      </w:r>
      <w:r w:rsidR="00503CA2" w:rsidRPr="00B6769E">
        <w:rPr>
          <w:rFonts w:asciiTheme="minorHAnsi" w:hAnsiTheme="minorHAnsi"/>
          <w:color w:val="495965" w:themeColor="text2"/>
          <w:sz w:val="22"/>
        </w:rPr>
        <w:t>sector</w:t>
      </w:r>
      <w:r w:rsidRPr="00B6769E">
        <w:rPr>
          <w:rFonts w:asciiTheme="minorHAnsi" w:hAnsiTheme="minorHAnsi"/>
          <w:color w:val="495965" w:themeColor="text2"/>
          <w:sz w:val="22"/>
        </w:rPr>
        <w:t xml:space="preserve">, Australia has supported a number of targeted measures to address the multi-dimensional aspects of family and sexual violence prevention and response.  The Business Coalition for Women has developed a full suite of policies, training and tools to cost the impact of violence and to help businesses address violence against women. The Coalition assessed the costs to three businesses of gender-based violence using this tool (launched by </w:t>
      </w:r>
      <w:r w:rsidR="00503CA2" w:rsidRPr="00B6769E">
        <w:rPr>
          <w:rFonts w:asciiTheme="minorHAnsi" w:hAnsiTheme="minorHAnsi"/>
          <w:color w:val="495965" w:themeColor="text2"/>
          <w:sz w:val="22"/>
        </w:rPr>
        <w:t>Australia’s</w:t>
      </w:r>
      <w:r w:rsidRPr="00B6769E">
        <w:rPr>
          <w:rFonts w:asciiTheme="minorHAnsi" w:hAnsiTheme="minorHAnsi"/>
          <w:color w:val="495965" w:themeColor="text2"/>
          <w:sz w:val="22"/>
        </w:rPr>
        <w:t xml:space="preserve"> Ambassador </w:t>
      </w:r>
      <w:r w:rsidR="00913869">
        <w:rPr>
          <w:rFonts w:asciiTheme="minorHAnsi" w:hAnsiTheme="minorHAnsi"/>
          <w:color w:val="495965" w:themeColor="text2"/>
          <w:sz w:val="22"/>
        </w:rPr>
        <w:t>for</w:t>
      </w:r>
      <w:r w:rsidRPr="00B6769E">
        <w:rPr>
          <w:rFonts w:asciiTheme="minorHAnsi" w:hAnsiTheme="minorHAnsi"/>
          <w:color w:val="495965" w:themeColor="text2"/>
          <w:sz w:val="22"/>
        </w:rPr>
        <w:t xml:space="preserve"> Women and Girls during her visit in 2015</w:t>
      </w:r>
      <w:r w:rsidR="00503CA2" w:rsidRPr="00B6769E">
        <w:rPr>
          <w:rFonts w:asciiTheme="minorHAnsi" w:hAnsiTheme="minorHAnsi"/>
          <w:color w:val="495965" w:themeColor="text2"/>
          <w:sz w:val="22"/>
        </w:rPr>
        <w:t>)</w:t>
      </w:r>
      <w:r w:rsidRPr="00B6769E">
        <w:rPr>
          <w:rFonts w:asciiTheme="minorHAnsi" w:hAnsiTheme="minorHAnsi"/>
          <w:color w:val="495965" w:themeColor="text2"/>
          <w:sz w:val="22"/>
        </w:rPr>
        <w:t>. The a</w:t>
      </w:r>
      <w:r w:rsidR="00913869">
        <w:rPr>
          <w:rFonts w:asciiTheme="minorHAnsi" w:hAnsiTheme="minorHAnsi"/>
          <w:color w:val="495965" w:themeColor="text2"/>
          <w:sz w:val="22"/>
        </w:rPr>
        <w:t>ssessment found that on average</w:t>
      </w:r>
      <w:r w:rsidRPr="00B6769E">
        <w:rPr>
          <w:rFonts w:asciiTheme="minorHAnsi" w:hAnsiTheme="minorHAnsi"/>
          <w:color w:val="495965" w:themeColor="text2"/>
          <w:sz w:val="22"/>
        </w:rPr>
        <w:t xml:space="preserve"> each staff member loses over 11 days of work each year as a result of the impacts of gender-based violence. The PNG Government’s Family and Sexual Violence Action Committee finalised and launched Referral Pathway Guidelines, which were drafted with Australia’s assistance, to improve the coordination and quality of services available to survivors of violence.  </w:t>
      </w:r>
      <w:r w:rsidR="008C0B8E">
        <w:rPr>
          <w:rFonts w:asciiTheme="minorHAnsi" w:hAnsiTheme="minorHAnsi"/>
          <w:color w:val="495965" w:themeColor="text2"/>
          <w:sz w:val="22"/>
        </w:rPr>
        <w:t>We supported</w:t>
      </w:r>
      <w:r w:rsidR="008C0B8E" w:rsidRPr="008C0B8E">
        <w:rPr>
          <w:rFonts w:asciiTheme="minorHAnsi" w:hAnsiTheme="minorHAnsi"/>
          <w:color w:val="495965" w:themeColor="text2"/>
          <w:sz w:val="22"/>
        </w:rPr>
        <w:t xml:space="preserve"> more than 1,500 survivors of family and sexual violence to access services such as counselling; case management; and in some</w:t>
      </w:r>
      <w:r w:rsidR="00CB101E">
        <w:rPr>
          <w:rFonts w:asciiTheme="minorHAnsi" w:hAnsiTheme="minorHAnsi"/>
          <w:color w:val="495965" w:themeColor="text2"/>
          <w:sz w:val="22"/>
        </w:rPr>
        <w:t xml:space="preserve"> circumstances in the Highlands</w:t>
      </w:r>
      <w:r w:rsidR="008C0B8E" w:rsidRPr="008C0B8E">
        <w:rPr>
          <w:rFonts w:asciiTheme="minorHAnsi" w:hAnsiTheme="minorHAnsi"/>
          <w:color w:val="495965" w:themeColor="text2"/>
          <w:sz w:val="22"/>
        </w:rPr>
        <w:t xml:space="preserve"> repatriation and reintegration for those who experienced or were at risk of sorcery-related or extreme violence.</w:t>
      </w:r>
      <w:r w:rsidR="008C0B8E">
        <w:rPr>
          <w:rFonts w:asciiTheme="minorHAnsi" w:hAnsiTheme="minorHAnsi"/>
          <w:color w:val="495965" w:themeColor="text2"/>
          <w:sz w:val="22"/>
        </w:rPr>
        <w:t xml:space="preserve"> </w:t>
      </w:r>
    </w:p>
    <w:p w:rsidR="00C93E68" w:rsidRDefault="00C93E68" w:rsidP="00CD131A">
      <w:pPr>
        <w:pStyle w:val="BodyText"/>
        <w:spacing w:before="120" w:after="120"/>
        <w:rPr>
          <w:rFonts w:asciiTheme="minorHAnsi" w:hAnsiTheme="minorHAnsi"/>
          <w:color w:val="495965" w:themeColor="text2"/>
          <w:sz w:val="22"/>
        </w:rPr>
      </w:pPr>
    </w:p>
    <w:p w:rsidR="00C93E68" w:rsidRDefault="00C93E68" w:rsidP="00CD131A">
      <w:pPr>
        <w:pStyle w:val="BodyText"/>
        <w:spacing w:before="120" w:after="120"/>
        <w:rPr>
          <w:rFonts w:asciiTheme="minorHAnsi" w:hAnsiTheme="minorHAnsi"/>
          <w:color w:val="495965" w:themeColor="text2"/>
          <w:sz w:val="22"/>
        </w:rPr>
      </w:pPr>
    </w:p>
    <w:p w:rsidR="00C93E68" w:rsidRDefault="00C93E68" w:rsidP="00CD131A">
      <w:pPr>
        <w:pStyle w:val="BodyText"/>
        <w:spacing w:before="120" w:after="120"/>
        <w:rPr>
          <w:rFonts w:asciiTheme="minorHAnsi" w:hAnsiTheme="minorHAnsi"/>
          <w:color w:val="495965" w:themeColor="text2"/>
          <w:sz w:val="22"/>
        </w:rPr>
      </w:pPr>
    </w:p>
    <w:p w:rsidR="00C93E68" w:rsidRPr="00B6769E" w:rsidRDefault="00C93E68" w:rsidP="00CD131A">
      <w:pPr>
        <w:pStyle w:val="BodyText"/>
        <w:spacing w:before="120" w:after="120"/>
        <w:rPr>
          <w:rFonts w:asciiTheme="minorHAnsi" w:hAnsiTheme="minorHAnsi"/>
          <w:color w:val="495965" w:themeColor="text2"/>
          <w:sz w:val="22"/>
        </w:rPr>
      </w:pPr>
    </w:p>
    <w:p w:rsidR="00DF3350" w:rsidRPr="00B6769E" w:rsidRDefault="00DF3350" w:rsidP="00CD131A">
      <w:pPr>
        <w:pStyle w:val="BodyText"/>
        <w:spacing w:before="120" w:after="120"/>
        <w:rPr>
          <w:rFonts w:asciiTheme="minorHAnsi" w:hAnsiTheme="minorHAnsi"/>
          <w:i/>
          <w:color w:val="495965" w:themeColor="text2"/>
          <w:sz w:val="22"/>
        </w:rPr>
      </w:pPr>
      <w:r w:rsidRPr="00B6769E">
        <w:rPr>
          <w:rFonts w:asciiTheme="minorHAnsi" w:hAnsiTheme="minorHAnsi"/>
          <w:i/>
          <w:color w:val="495965" w:themeColor="text2"/>
          <w:sz w:val="22"/>
        </w:rPr>
        <w:lastRenderedPageBreak/>
        <w:t>Outlook</w:t>
      </w:r>
    </w:p>
    <w:p w:rsidR="005F7C5C" w:rsidRPr="00B6769E" w:rsidRDefault="005F7C5C"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Gender indicators in PNG remain low. PNG has a 2015 Gender-Related Development Index (GDI) of 158 (out of 188), meaning women are severely lagging behind men in three basic dimensions of human development - health, education and command over economic resources. Demand continues to outstrip supply of quality services, particularly in relation to support provided to survivors of violence and, above all, in remote and rural areas and for women and girls with disabilities. Despite positive legal and policy developments, the PNG </w:t>
      </w:r>
      <w:r w:rsidR="00372BA2" w:rsidRPr="00B6769E">
        <w:rPr>
          <w:rFonts w:asciiTheme="minorHAnsi" w:hAnsiTheme="minorHAnsi"/>
          <w:color w:val="495965" w:themeColor="text2"/>
          <w:sz w:val="22"/>
        </w:rPr>
        <w:t xml:space="preserve">Government </w:t>
      </w:r>
      <w:r w:rsidRPr="00B6769E">
        <w:rPr>
          <w:rFonts w:asciiTheme="minorHAnsi" w:hAnsiTheme="minorHAnsi"/>
          <w:color w:val="495965" w:themeColor="text2"/>
          <w:sz w:val="22"/>
        </w:rPr>
        <w:t xml:space="preserve">has dedicated limited funding to addressing women’s equality and services. The constrained economic environment in PNG is likely to further limit the availability of resources. </w:t>
      </w:r>
    </w:p>
    <w:p w:rsidR="008C0B8E" w:rsidRDefault="005F7C5C"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While gender has become a key focus within many Australian aid investments, the annual report on the </w:t>
      </w:r>
      <w:r w:rsidR="00AE79E5" w:rsidRPr="00B6769E">
        <w:rPr>
          <w:rFonts w:asciiTheme="minorHAnsi" w:hAnsiTheme="minorHAnsi"/>
          <w:color w:val="495965" w:themeColor="text2"/>
          <w:sz w:val="22"/>
        </w:rPr>
        <w:t>G</w:t>
      </w:r>
      <w:r w:rsidRPr="00B6769E">
        <w:rPr>
          <w:rFonts w:asciiTheme="minorHAnsi" w:hAnsiTheme="minorHAnsi"/>
          <w:color w:val="495965" w:themeColor="text2"/>
          <w:sz w:val="22"/>
        </w:rPr>
        <w:t xml:space="preserve">ender </w:t>
      </w:r>
      <w:r w:rsidR="00AE79E5" w:rsidRPr="00B6769E">
        <w:rPr>
          <w:rFonts w:asciiTheme="minorHAnsi" w:hAnsiTheme="minorHAnsi"/>
          <w:color w:val="495965" w:themeColor="text2"/>
          <w:sz w:val="22"/>
        </w:rPr>
        <w:t>A</w:t>
      </w:r>
      <w:r w:rsidRPr="00B6769E">
        <w:rPr>
          <w:rFonts w:asciiTheme="minorHAnsi" w:hAnsiTheme="minorHAnsi"/>
          <w:color w:val="495965" w:themeColor="text2"/>
          <w:sz w:val="22"/>
        </w:rPr>
        <w:t xml:space="preserve">ction </w:t>
      </w:r>
      <w:r w:rsidR="00AE79E5" w:rsidRPr="00B6769E">
        <w:rPr>
          <w:rFonts w:asciiTheme="minorHAnsi" w:hAnsiTheme="minorHAnsi"/>
          <w:color w:val="495965" w:themeColor="text2"/>
          <w:sz w:val="22"/>
        </w:rPr>
        <w:t>P</w:t>
      </w:r>
      <w:r w:rsidRPr="00B6769E">
        <w:rPr>
          <w:rFonts w:asciiTheme="minorHAnsi" w:hAnsiTheme="minorHAnsi"/>
          <w:color w:val="495965" w:themeColor="text2"/>
          <w:sz w:val="22"/>
        </w:rPr>
        <w:t xml:space="preserve">lan indicated a greater effort was needed to collaborate, learn and advocate. Monitoring and evaluating the impact of gender investments remains a challenge. A number of sectors did not have adequate data collection and reporting systems to effectively report progress against agreed targets. This will be a focus of management </w:t>
      </w:r>
      <w:r w:rsidR="00CB101E">
        <w:rPr>
          <w:rFonts w:asciiTheme="minorHAnsi" w:hAnsiTheme="minorHAnsi"/>
          <w:color w:val="495965" w:themeColor="text2"/>
          <w:sz w:val="22"/>
        </w:rPr>
        <w:t>responses</w:t>
      </w:r>
      <w:r w:rsidRPr="00B6769E">
        <w:rPr>
          <w:rFonts w:asciiTheme="minorHAnsi" w:hAnsiTheme="minorHAnsi"/>
          <w:color w:val="495965" w:themeColor="text2"/>
          <w:sz w:val="22"/>
        </w:rPr>
        <w:t xml:space="preserve">. </w:t>
      </w:r>
    </w:p>
    <w:p w:rsidR="005F7C5C" w:rsidRPr="00B6769E" w:rsidRDefault="005F7C5C"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Australian sectoral programs are providing large numbers of training programs on a range of skill and knowledge areas to promote women’s participation and economic advancement. More research is needed to see if this training translates into more income and control over assets for women. Research funded through Pacific Women in PNG indicates that increasing women’s income does not necessarily lead to greater bargaining power within the household which is necessary to produce empowerment for women, control over resources and reduced violence. </w:t>
      </w:r>
    </w:p>
    <w:p w:rsidR="00DD3E78" w:rsidRPr="00B6769E" w:rsidRDefault="005F7C5C"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The design of</w:t>
      </w:r>
      <w:r w:rsidR="00DF3350" w:rsidRPr="00B6769E">
        <w:rPr>
          <w:rFonts w:asciiTheme="minorHAnsi" w:hAnsiTheme="minorHAnsi"/>
          <w:color w:val="495965" w:themeColor="text2"/>
          <w:sz w:val="22"/>
        </w:rPr>
        <w:t xml:space="preserve"> a </w:t>
      </w:r>
      <w:r w:rsidRPr="00B6769E">
        <w:rPr>
          <w:rFonts w:asciiTheme="minorHAnsi" w:hAnsiTheme="minorHAnsi"/>
          <w:color w:val="495965" w:themeColor="text2"/>
          <w:sz w:val="22"/>
        </w:rPr>
        <w:t xml:space="preserve">women in leadership program under the Pacific Women </w:t>
      </w:r>
      <w:r w:rsidR="005F59A6">
        <w:rPr>
          <w:rFonts w:asciiTheme="minorHAnsi" w:hAnsiTheme="minorHAnsi"/>
          <w:color w:val="495965" w:themeColor="text2"/>
          <w:sz w:val="22"/>
        </w:rPr>
        <w:t>program</w:t>
      </w:r>
      <w:r w:rsidRPr="00B6769E">
        <w:rPr>
          <w:rFonts w:asciiTheme="minorHAnsi" w:hAnsiTheme="minorHAnsi"/>
          <w:color w:val="495965" w:themeColor="text2"/>
          <w:sz w:val="22"/>
        </w:rPr>
        <w:t xml:space="preserve"> has been slower than expected. Implementation is now expected to begin ahead of the national elec</w:t>
      </w:r>
      <w:r w:rsidR="00DF3350" w:rsidRPr="00B6769E">
        <w:rPr>
          <w:rFonts w:asciiTheme="minorHAnsi" w:hAnsiTheme="minorHAnsi"/>
          <w:color w:val="495965" w:themeColor="text2"/>
          <w:sz w:val="22"/>
        </w:rPr>
        <w:t xml:space="preserve">tion in 2017. </w:t>
      </w:r>
      <w:r w:rsidR="00AE79E5" w:rsidRPr="00B6769E">
        <w:rPr>
          <w:rFonts w:asciiTheme="minorHAnsi" w:hAnsiTheme="minorHAnsi"/>
          <w:color w:val="495965" w:themeColor="text2"/>
          <w:sz w:val="22"/>
        </w:rPr>
        <w:t>W</w:t>
      </w:r>
      <w:r w:rsidRPr="00B6769E">
        <w:rPr>
          <w:rFonts w:asciiTheme="minorHAnsi" w:hAnsiTheme="minorHAnsi"/>
          <w:color w:val="495965" w:themeColor="text2"/>
          <w:sz w:val="22"/>
        </w:rPr>
        <w:t xml:space="preserve">omen’s representation on district and ward councils, although mandated by law, remains low. In advance of the </w:t>
      </w:r>
      <w:r w:rsidR="00CB101E">
        <w:rPr>
          <w:rFonts w:asciiTheme="minorHAnsi" w:hAnsiTheme="minorHAnsi"/>
          <w:color w:val="495965" w:themeColor="text2"/>
          <w:sz w:val="22"/>
        </w:rPr>
        <w:t xml:space="preserve">2017 elections, </w:t>
      </w:r>
      <w:r w:rsidRPr="00B6769E">
        <w:rPr>
          <w:rFonts w:asciiTheme="minorHAnsi" w:hAnsiTheme="minorHAnsi"/>
          <w:color w:val="495965" w:themeColor="text2"/>
          <w:sz w:val="22"/>
        </w:rPr>
        <w:t xml:space="preserve">the program will need to target investments to support women leaders at </w:t>
      </w:r>
      <w:r w:rsidR="00CB101E">
        <w:rPr>
          <w:rFonts w:asciiTheme="minorHAnsi" w:hAnsiTheme="minorHAnsi"/>
          <w:color w:val="495965" w:themeColor="text2"/>
          <w:sz w:val="22"/>
        </w:rPr>
        <w:t xml:space="preserve">the </w:t>
      </w:r>
      <w:r w:rsidRPr="00B6769E">
        <w:rPr>
          <w:rFonts w:asciiTheme="minorHAnsi" w:hAnsiTheme="minorHAnsi"/>
          <w:color w:val="495965" w:themeColor="text2"/>
          <w:sz w:val="22"/>
        </w:rPr>
        <w:t>local level upwards.</w:t>
      </w:r>
    </w:p>
    <w:p w:rsidR="00861259" w:rsidRPr="000B62C6" w:rsidRDefault="00DF4E14" w:rsidP="000B62C6">
      <w:pPr>
        <w:pStyle w:val="Heading3"/>
        <w:rPr>
          <w:rFonts w:eastAsia="Times New Roman"/>
          <w:sz w:val="38"/>
          <w:szCs w:val="38"/>
        </w:rPr>
      </w:pPr>
      <w:r w:rsidRPr="000B62C6">
        <w:rPr>
          <w:rFonts w:eastAsia="Times New Roman"/>
          <w:sz w:val="38"/>
          <w:szCs w:val="38"/>
        </w:rPr>
        <w:t>DISABILITY-INCLUSIVE DEVELOPMENT</w:t>
      </w:r>
    </w:p>
    <w:p w:rsidR="00370710" w:rsidRPr="00B6769E" w:rsidRDefault="009A0EE1"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While progress continued in addressing disability inclusive development, more needs to be done to mainstream disability </w:t>
      </w:r>
      <w:r w:rsidR="003E11D5" w:rsidRPr="00B6769E">
        <w:rPr>
          <w:rFonts w:asciiTheme="minorHAnsi" w:hAnsiTheme="minorHAnsi"/>
          <w:color w:val="495965" w:themeColor="text2"/>
          <w:sz w:val="22"/>
        </w:rPr>
        <w:t xml:space="preserve">responses </w:t>
      </w:r>
      <w:r w:rsidRPr="00B6769E">
        <w:rPr>
          <w:rFonts w:asciiTheme="minorHAnsi" w:hAnsiTheme="minorHAnsi"/>
          <w:color w:val="495965" w:themeColor="text2"/>
          <w:sz w:val="22"/>
        </w:rPr>
        <w:t>throughout investments</w:t>
      </w:r>
      <w:r w:rsidR="000D142C">
        <w:rPr>
          <w:rFonts w:asciiTheme="minorHAnsi" w:hAnsiTheme="minorHAnsi"/>
          <w:color w:val="495965" w:themeColor="text2"/>
          <w:sz w:val="22"/>
        </w:rPr>
        <w:t>, as indicated by the ‘amber’ rating</w:t>
      </w:r>
      <w:r w:rsidRPr="00B6769E">
        <w:rPr>
          <w:rFonts w:asciiTheme="minorHAnsi" w:hAnsiTheme="minorHAnsi"/>
          <w:color w:val="495965" w:themeColor="text2"/>
          <w:sz w:val="22"/>
        </w:rPr>
        <w:t xml:space="preserve">.  </w:t>
      </w:r>
      <w:r w:rsidR="00370710" w:rsidRPr="00B6769E">
        <w:rPr>
          <w:rFonts w:asciiTheme="minorHAnsi" w:hAnsiTheme="minorHAnsi"/>
          <w:color w:val="495965" w:themeColor="text2"/>
          <w:sz w:val="22"/>
        </w:rPr>
        <w:t>Australia delivers assistance through sector programs and</w:t>
      </w:r>
      <w:r w:rsidR="004027D7" w:rsidRPr="00B6769E">
        <w:rPr>
          <w:rFonts w:asciiTheme="minorHAnsi" w:hAnsiTheme="minorHAnsi"/>
          <w:color w:val="495965" w:themeColor="text2"/>
          <w:sz w:val="22"/>
        </w:rPr>
        <w:t xml:space="preserve"> the </w:t>
      </w:r>
      <w:r w:rsidR="004F559F" w:rsidRPr="00B6769E">
        <w:rPr>
          <w:rFonts w:asciiTheme="minorHAnsi" w:hAnsiTheme="minorHAnsi"/>
          <w:color w:val="495965" w:themeColor="text2"/>
          <w:sz w:val="22"/>
        </w:rPr>
        <w:t>SPSN</w:t>
      </w:r>
      <w:r w:rsidR="004027D7" w:rsidRPr="00B6769E">
        <w:rPr>
          <w:rFonts w:asciiTheme="minorHAnsi" w:hAnsiTheme="minorHAnsi"/>
          <w:color w:val="495965" w:themeColor="text2"/>
          <w:sz w:val="22"/>
        </w:rPr>
        <w:t xml:space="preserve"> </w:t>
      </w:r>
      <w:r w:rsidR="00762179" w:rsidRPr="00B6769E">
        <w:rPr>
          <w:rFonts w:asciiTheme="minorHAnsi" w:hAnsiTheme="minorHAnsi"/>
          <w:color w:val="495965" w:themeColor="text2"/>
          <w:sz w:val="22"/>
        </w:rPr>
        <w:t>p</w:t>
      </w:r>
      <w:r w:rsidR="004027D7" w:rsidRPr="00B6769E">
        <w:rPr>
          <w:rFonts w:asciiTheme="minorHAnsi" w:hAnsiTheme="minorHAnsi"/>
          <w:color w:val="495965" w:themeColor="text2"/>
          <w:sz w:val="22"/>
        </w:rPr>
        <w:t>rogram</w:t>
      </w:r>
      <w:r w:rsidR="004F559F" w:rsidRPr="00B6769E">
        <w:rPr>
          <w:rFonts w:asciiTheme="minorHAnsi" w:hAnsiTheme="minorHAnsi"/>
          <w:color w:val="495965" w:themeColor="text2"/>
          <w:sz w:val="22"/>
        </w:rPr>
        <w:t xml:space="preserve"> (see Outcome 5 for more information)</w:t>
      </w:r>
      <w:r w:rsidR="00370710" w:rsidRPr="00B6769E">
        <w:rPr>
          <w:rFonts w:asciiTheme="minorHAnsi" w:hAnsiTheme="minorHAnsi"/>
          <w:color w:val="495965" w:themeColor="text2"/>
          <w:sz w:val="22"/>
        </w:rPr>
        <w:t xml:space="preserve">, which concluded on 30 June 2016. Through SPSN, Australia provided </w:t>
      </w:r>
      <w:r w:rsidR="004027D7" w:rsidRPr="00B6769E">
        <w:rPr>
          <w:rFonts w:asciiTheme="minorHAnsi" w:hAnsiTheme="minorHAnsi"/>
          <w:color w:val="495965" w:themeColor="text2"/>
          <w:sz w:val="22"/>
        </w:rPr>
        <w:t>$2.4 million</w:t>
      </w:r>
      <w:r w:rsidR="000836F7" w:rsidRPr="00B6769E">
        <w:rPr>
          <w:rFonts w:asciiTheme="minorHAnsi" w:hAnsiTheme="minorHAnsi"/>
          <w:color w:val="495965" w:themeColor="text2"/>
          <w:sz w:val="22"/>
        </w:rPr>
        <w:t xml:space="preserve"> (PGK5.8 million)</w:t>
      </w:r>
      <w:r w:rsidR="004027D7" w:rsidRPr="00B6769E">
        <w:rPr>
          <w:rFonts w:asciiTheme="minorHAnsi" w:hAnsiTheme="minorHAnsi"/>
          <w:color w:val="495965" w:themeColor="text2"/>
          <w:sz w:val="22"/>
        </w:rPr>
        <w:t xml:space="preserve"> in </w:t>
      </w:r>
      <w:r w:rsidR="001F0D6D" w:rsidRPr="00B6769E">
        <w:rPr>
          <w:rFonts w:asciiTheme="minorHAnsi" w:hAnsiTheme="minorHAnsi"/>
          <w:color w:val="495965" w:themeColor="text2"/>
          <w:sz w:val="22"/>
        </w:rPr>
        <w:t xml:space="preserve">small grants in 2015-16 supporting gender and disability networks to advocate on behalf their constituents and to engage on the practical implementation of </w:t>
      </w:r>
      <w:r w:rsidR="004F559F" w:rsidRPr="00B6769E">
        <w:rPr>
          <w:rFonts w:asciiTheme="minorHAnsi" w:hAnsiTheme="minorHAnsi"/>
          <w:color w:val="495965" w:themeColor="text2"/>
          <w:sz w:val="22"/>
        </w:rPr>
        <w:t xml:space="preserve">PNG </w:t>
      </w:r>
      <w:r w:rsidR="001F0D6D" w:rsidRPr="00B6769E">
        <w:rPr>
          <w:rFonts w:asciiTheme="minorHAnsi" w:hAnsiTheme="minorHAnsi"/>
          <w:color w:val="495965" w:themeColor="text2"/>
          <w:sz w:val="22"/>
        </w:rPr>
        <w:t>Government policy focused on social inclusion</w:t>
      </w:r>
      <w:r w:rsidR="004027D7" w:rsidRPr="00B6769E">
        <w:rPr>
          <w:rFonts w:asciiTheme="minorHAnsi" w:hAnsiTheme="minorHAnsi"/>
          <w:color w:val="495965" w:themeColor="text2"/>
          <w:sz w:val="22"/>
        </w:rPr>
        <w:t>. Achievements included:</w:t>
      </w:r>
    </w:p>
    <w:p w:rsidR="004027D7" w:rsidRPr="00B6769E" w:rsidRDefault="004027D7" w:rsidP="00CD131A">
      <w:pPr>
        <w:pStyle w:val="BodyText"/>
        <w:numPr>
          <w:ilvl w:val="0"/>
          <w:numId w:val="48"/>
        </w:numPr>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the development of an advocacy strategy and plan to support the work of the PNG Assembly for Disabled People over the next 10 years, and enhance </w:t>
      </w:r>
      <w:r w:rsidR="004F559F" w:rsidRPr="00B6769E">
        <w:rPr>
          <w:rFonts w:asciiTheme="minorHAnsi" w:hAnsiTheme="minorHAnsi"/>
          <w:color w:val="495965" w:themeColor="text2"/>
          <w:sz w:val="22"/>
        </w:rPr>
        <w:t>its</w:t>
      </w:r>
      <w:r w:rsidRPr="00B6769E">
        <w:rPr>
          <w:rFonts w:asciiTheme="minorHAnsi" w:hAnsiTheme="minorHAnsi"/>
          <w:color w:val="495965" w:themeColor="text2"/>
          <w:sz w:val="22"/>
        </w:rPr>
        <w:t xml:space="preserve"> capacity as </w:t>
      </w:r>
      <w:r w:rsidR="004F559F" w:rsidRPr="00B6769E">
        <w:rPr>
          <w:rFonts w:asciiTheme="minorHAnsi" w:hAnsiTheme="minorHAnsi"/>
          <w:color w:val="495965" w:themeColor="text2"/>
          <w:sz w:val="22"/>
        </w:rPr>
        <w:t>an advocate</w:t>
      </w:r>
      <w:r w:rsidRPr="00B6769E">
        <w:rPr>
          <w:rFonts w:asciiTheme="minorHAnsi" w:hAnsiTheme="minorHAnsi"/>
          <w:color w:val="495965" w:themeColor="text2"/>
          <w:sz w:val="22"/>
        </w:rPr>
        <w:t xml:space="preserve"> for the implementation of </w:t>
      </w:r>
      <w:r w:rsidR="00370710" w:rsidRPr="00B6769E">
        <w:rPr>
          <w:rFonts w:asciiTheme="minorHAnsi" w:hAnsiTheme="minorHAnsi"/>
          <w:color w:val="495965" w:themeColor="text2"/>
          <w:sz w:val="22"/>
        </w:rPr>
        <w:t>PNG’s</w:t>
      </w:r>
      <w:r w:rsidRPr="00B6769E">
        <w:rPr>
          <w:rFonts w:asciiTheme="minorHAnsi" w:hAnsiTheme="minorHAnsi"/>
          <w:color w:val="495965" w:themeColor="text2"/>
          <w:sz w:val="22"/>
        </w:rPr>
        <w:t xml:space="preserve"> National Policy on Disability</w:t>
      </w:r>
      <w:r w:rsidR="00370710" w:rsidRPr="00B6769E">
        <w:rPr>
          <w:rFonts w:asciiTheme="minorHAnsi" w:hAnsiTheme="minorHAnsi"/>
          <w:color w:val="495965" w:themeColor="text2"/>
          <w:sz w:val="22"/>
        </w:rPr>
        <w:t>. Through the Assembly, people with disability are working with the Constitutional Law Re</w:t>
      </w:r>
      <w:r w:rsidR="001A10FD">
        <w:rPr>
          <w:rFonts w:asciiTheme="minorHAnsi" w:hAnsiTheme="minorHAnsi"/>
          <w:color w:val="495965" w:themeColor="text2"/>
          <w:sz w:val="22"/>
        </w:rPr>
        <w:t xml:space="preserve">form Commission in pursuit of </w:t>
      </w:r>
      <w:r w:rsidR="00370710" w:rsidRPr="00B6769E">
        <w:rPr>
          <w:rFonts w:asciiTheme="minorHAnsi" w:hAnsiTheme="minorHAnsi"/>
          <w:color w:val="495965" w:themeColor="text2"/>
          <w:sz w:val="22"/>
        </w:rPr>
        <w:t>disability specific legislation, as recommended under the National Policy on Disability.</w:t>
      </w:r>
    </w:p>
    <w:p w:rsidR="004027D7" w:rsidRPr="00B6769E" w:rsidRDefault="00370710" w:rsidP="00CD131A">
      <w:pPr>
        <w:pStyle w:val="BodyText"/>
        <w:numPr>
          <w:ilvl w:val="0"/>
          <w:numId w:val="48"/>
        </w:numPr>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the </w:t>
      </w:r>
      <w:r w:rsidR="004027D7" w:rsidRPr="00B6769E">
        <w:rPr>
          <w:rFonts w:asciiTheme="minorHAnsi" w:hAnsiTheme="minorHAnsi"/>
          <w:color w:val="495965" w:themeColor="text2"/>
          <w:sz w:val="22"/>
        </w:rPr>
        <w:t>Department for Community Development and Religion (</w:t>
      </w:r>
      <w:r w:rsidRPr="00B6769E">
        <w:rPr>
          <w:rFonts w:asciiTheme="minorHAnsi" w:hAnsiTheme="minorHAnsi"/>
          <w:color w:val="495965" w:themeColor="text2"/>
          <w:sz w:val="22"/>
        </w:rPr>
        <w:t xml:space="preserve">the mandated agency for social inclusion) increasing </w:t>
      </w:r>
      <w:r w:rsidR="004027D7" w:rsidRPr="00B6769E">
        <w:rPr>
          <w:rFonts w:asciiTheme="minorHAnsi" w:hAnsiTheme="minorHAnsi"/>
          <w:color w:val="495965" w:themeColor="text2"/>
          <w:sz w:val="22"/>
        </w:rPr>
        <w:t xml:space="preserve">its counterpart-funding support to disability inclusive activities including </w:t>
      </w:r>
      <w:r w:rsidRPr="00B6769E">
        <w:rPr>
          <w:rFonts w:asciiTheme="minorHAnsi" w:hAnsiTheme="minorHAnsi"/>
          <w:color w:val="495965" w:themeColor="text2"/>
          <w:sz w:val="22"/>
        </w:rPr>
        <w:t>a</w:t>
      </w:r>
      <w:r w:rsidR="004027D7" w:rsidRPr="00B6769E">
        <w:rPr>
          <w:rFonts w:asciiTheme="minorHAnsi" w:hAnsiTheme="minorHAnsi"/>
          <w:color w:val="495965" w:themeColor="text2"/>
          <w:sz w:val="22"/>
        </w:rPr>
        <w:t xml:space="preserve"> data collection project which improved </w:t>
      </w:r>
      <w:r w:rsidRPr="00B6769E">
        <w:rPr>
          <w:rFonts w:asciiTheme="minorHAnsi" w:hAnsiTheme="minorHAnsi"/>
          <w:color w:val="495965" w:themeColor="text2"/>
          <w:sz w:val="22"/>
        </w:rPr>
        <w:t>PNG’s</w:t>
      </w:r>
      <w:r w:rsidR="004027D7" w:rsidRPr="00B6769E">
        <w:rPr>
          <w:rFonts w:asciiTheme="minorHAnsi" w:hAnsiTheme="minorHAnsi"/>
          <w:color w:val="495965" w:themeColor="text2"/>
          <w:sz w:val="22"/>
        </w:rPr>
        <w:t xml:space="preserve"> registration </w:t>
      </w:r>
      <w:r w:rsidRPr="00B6769E">
        <w:rPr>
          <w:rFonts w:asciiTheme="minorHAnsi" w:hAnsiTheme="minorHAnsi"/>
          <w:color w:val="495965" w:themeColor="text2"/>
          <w:sz w:val="22"/>
        </w:rPr>
        <w:t>of disabled people</w:t>
      </w:r>
    </w:p>
    <w:p w:rsidR="004027D7" w:rsidRPr="00B6769E" w:rsidRDefault="004027D7" w:rsidP="00CD131A">
      <w:pPr>
        <w:pStyle w:val="BodyText"/>
        <w:numPr>
          <w:ilvl w:val="0"/>
          <w:numId w:val="48"/>
        </w:numPr>
        <w:spacing w:before="120" w:after="120"/>
        <w:rPr>
          <w:rFonts w:asciiTheme="minorHAnsi" w:hAnsiTheme="minorHAnsi"/>
          <w:color w:val="495965" w:themeColor="text2"/>
          <w:sz w:val="22"/>
        </w:rPr>
      </w:pPr>
      <w:r w:rsidRPr="00B6769E">
        <w:rPr>
          <w:rFonts w:asciiTheme="minorHAnsi" w:hAnsiTheme="minorHAnsi"/>
          <w:color w:val="495965" w:themeColor="text2"/>
          <w:sz w:val="22"/>
        </w:rPr>
        <w:t>increased access to disability support services for people with disabilities l</w:t>
      </w:r>
      <w:r w:rsidR="00370710" w:rsidRPr="00B6769E">
        <w:rPr>
          <w:rFonts w:asciiTheme="minorHAnsi" w:hAnsiTheme="minorHAnsi"/>
          <w:color w:val="495965" w:themeColor="text2"/>
          <w:sz w:val="22"/>
        </w:rPr>
        <w:t xml:space="preserve">iving in rural and remote areas through the delivery of assistive devices to 8,750 people (39 per cent women). </w:t>
      </w:r>
    </w:p>
    <w:p w:rsidR="00C93E68" w:rsidRDefault="00C93E68" w:rsidP="00CD131A">
      <w:pPr>
        <w:pStyle w:val="BodyText"/>
        <w:spacing w:before="120" w:after="120"/>
        <w:rPr>
          <w:rFonts w:asciiTheme="minorHAnsi" w:hAnsiTheme="minorHAnsi"/>
          <w:color w:val="495965" w:themeColor="text2"/>
          <w:sz w:val="22"/>
        </w:rPr>
      </w:pPr>
    </w:p>
    <w:p w:rsidR="00B21F50" w:rsidRPr="001110F5" w:rsidRDefault="00370710" w:rsidP="00CD131A">
      <w:pPr>
        <w:pStyle w:val="BodyText"/>
        <w:spacing w:before="120" w:after="120"/>
        <w:rPr>
          <w:rFonts w:asciiTheme="minorHAnsi" w:hAnsiTheme="minorHAnsi"/>
          <w:i/>
          <w:color w:val="495965" w:themeColor="text2"/>
          <w:sz w:val="22"/>
        </w:rPr>
      </w:pPr>
      <w:r w:rsidRPr="001110F5">
        <w:rPr>
          <w:rFonts w:asciiTheme="minorHAnsi" w:hAnsiTheme="minorHAnsi"/>
          <w:color w:val="495965" w:themeColor="text2"/>
          <w:sz w:val="22"/>
        </w:rPr>
        <w:lastRenderedPageBreak/>
        <w:t xml:space="preserve">Disability-specific measures delivered through sectoral programs included </w:t>
      </w:r>
      <w:r w:rsidR="00346213" w:rsidRPr="001110F5">
        <w:rPr>
          <w:rFonts w:asciiTheme="minorHAnsi" w:hAnsiTheme="minorHAnsi"/>
          <w:color w:val="495965" w:themeColor="text2"/>
          <w:sz w:val="22"/>
        </w:rPr>
        <w:t xml:space="preserve">four braille embossing machines delivered to regional educational locations around PNG. </w:t>
      </w:r>
      <w:r w:rsidR="00372BA2" w:rsidRPr="001110F5">
        <w:rPr>
          <w:rFonts w:asciiTheme="minorHAnsi" w:hAnsiTheme="minorHAnsi"/>
          <w:color w:val="495965" w:themeColor="text2"/>
          <w:sz w:val="22"/>
        </w:rPr>
        <w:t>The 150 c</w:t>
      </w:r>
      <w:r w:rsidR="00456B72" w:rsidRPr="001110F5">
        <w:rPr>
          <w:rFonts w:asciiTheme="minorHAnsi" w:hAnsiTheme="minorHAnsi"/>
          <w:color w:val="495965" w:themeColor="text2"/>
          <w:sz w:val="22"/>
        </w:rPr>
        <w:t xml:space="preserve">lassrooms completed in 2015-16 included ramps and other design features to enable access for children with disability. </w:t>
      </w:r>
      <w:r w:rsidR="00372BA2" w:rsidRPr="001110F5">
        <w:rPr>
          <w:rFonts w:asciiTheme="minorHAnsi" w:hAnsiTheme="minorHAnsi"/>
          <w:color w:val="495965" w:themeColor="text2"/>
          <w:sz w:val="22"/>
        </w:rPr>
        <w:t>Twenty two</w:t>
      </w:r>
      <w:r w:rsidR="00456B72" w:rsidRPr="001110F5">
        <w:rPr>
          <w:rFonts w:asciiTheme="minorHAnsi" w:hAnsiTheme="minorHAnsi"/>
          <w:color w:val="495965" w:themeColor="text2"/>
          <w:sz w:val="22"/>
        </w:rPr>
        <w:t xml:space="preserve"> Australia Awards </w:t>
      </w:r>
      <w:r w:rsidR="00372BA2" w:rsidRPr="001110F5">
        <w:rPr>
          <w:rFonts w:asciiTheme="minorHAnsi" w:hAnsiTheme="minorHAnsi"/>
          <w:color w:val="495965" w:themeColor="text2"/>
          <w:sz w:val="22"/>
        </w:rPr>
        <w:t>were offered to people</w:t>
      </w:r>
      <w:r w:rsidR="00456B72" w:rsidRPr="001110F5">
        <w:rPr>
          <w:rFonts w:asciiTheme="minorHAnsi" w:hAnsiTheme="minorHAnsi"/>
          <w:color w:val="495965" w:themeColor="text2"/>
          <w:sz w:val="22"/>
        </w:rPr>
        <w:t xml:space="preserve"> living with disabili</w:t>
      </w:r>
      <w:r w:rsidR="00372BA2" w:rsidRPr="001110F5">
        <w:rPr>
          <w:rFonts w:asciiTheme="minorHAnsi" w:hAnsiTheme="minorHAnsi"/>
          <w:color w:val="495965" w:themeColor="text2"/>
          <w:sz w:val="22"/>
        </w:rPr>
        <w:t>ty in 2015-16</w:t>
      </w:r>
      <w:r w:rsidR="00456B72" w:rsidRPr="001110F5">
        <w:rPr>
          <w:rFonts w:asciiTheme="minorHAnsi" w:hAnsiTheme="minorHAnsi"/>
          <w:color w:val="495965" w:themeColor="text2"/>
          <w:sz w:val="22"/>
        </w:rPr>
        <w:t xml:space="preserve">, with the program providing support for equipment and other aids </w:t>
      </w:r>
      <w:r w:rsidR="00372BA2" w:rsidRPr="001110F5">
        <w:rPr>
          <w:rFonts w:asciiTheme="minorHAnsi" w:hAnsiTheme="minorHAnsi"/>
          <w:color w:val="495965" w:themeColor="text2"/>
          <w:sz w:val="22"/>
        </w:rPr>
        <w:t>to reduce the barriers to study in</w:t>
      </w:r>
      <w:r w:rsidR="00456B72" w:rsidRPr="001110F5">
        <w:rPr>
          <w:rFonts w:asciiTheme="minorHAnsi" w:hAnsiTheme="minorHAnsi"/>
          <w:color w:val="495965" w:themeColor="text2"/>
          <w:sz w:val="22"/>
        </w:rPr>
        <w:t xml:space="preserve"> Australia. Health infrastructure incorporated disability access into scoping, design and construction. </w:t>
      </w:r>
      <w:r w:rsidR="00423E2F" w:rsidRPr="001110F5">
        <w:rPr>
          <w:rFonts w:asciiTheme="minorHAnsi" w:hAnsiTheme="minorHAnsi"/>
          <w:color w:val="495965" w:themeColor="text2"/>
          <w:sz w:val="22"/>
        </w:rPr>
        <w:t>Our</w:t>
      </w:r>
      <w:r w:rsidR="00456B72" w:rsidRPr="001110F5">
        <w:rPr>
          <w:rFonts w:asciiTheme="minorHAnsi" w:hAnsiTheme="minorHAnsi"/>
          <w:color w:val="495965" w:themeColor="text2"/>
          <w:sz w:val="22"/>
        </w:rPr>
        <w:t xml:space="preserve"> s</w:t>
      </w:r>
      <w:r w:rsidR="00372BA2" w:rsidRPr="001110F5">
        <w:rPr>
          <w:rFonts w:asciiTheme="minorHAnsi" w:hAnsiTheme="minorHAnsi"/>
          <w:color w:val="495965" w:themeColor="text2"/>
          <w:sz w:val="22"/>
        </w:rPr>
        <w:t xml:space="preserve">ports for development programs </w:t>
      </w:r>
      <w:r w:rsidR="00456B72" w:rsidRPr="001110F5">
        <w:rPr>
          <w:rFonts w:asciiTheme="minorHAnsi" w:hAnsiTheme="minorHAnsi"/>
          <w:color w:val="495965" w:themeColor="text2"/>
          <w:sz w:val="22"/>
        </w:rPr>
        <w:t xml:space="preserve">regularly included </w:t>
      </w:r>
      <w:r w:rsidR="00372BA2" w:rsidRPr="001110F5">
        <w:rPr>
          <w:rFonts w:asciiTheme="minorHAnsi" w:hAnsiTheme="minorHAnsi"/>
          <w:color w:val="495965" w:themeColor="text2"/>
          <w:sz w:val="22"/>
        </w:rPr>
        <w:t xml:space="preserve">people with disability </w:t>
      </w:r>
      <w:r w:rsidR="00456B72" w:rsidRPr="001110F5">
        <w:rPr>
          <w:rFonts w:asciiTheme="minorHAnsi" w:hAnsiTheme="minorHAnsi"/>
          <w:color w:val="495965" w:themeColor="text2"/>
          <w:sz w:val="22"/>
        </w:rPr>
        <w:t xml:space="preserve">in cricket, football and other activities </w:t>
      </w:r>
      <w:r w:rsidR="00372BA2" w:rsidRPr="001110F5">
        <w:rPr>
          <w:rFonts w:asciiTheme="minorHAnsi" w:hAnsiTheme="minorHAnsi"/>
          <w:color w:val="495965" w:themeColor="text2"/>
          <w:sz w:val="22"/>
        </w:rPr>
        <w:t>to</w:t>
      </w:r>
      <w:r w:rsidR="00456B72" w:rsidRPr="001110F5">
        <w:rPr>
          <w:rFonts w:asciiTheme="minorHAnsi" w:hAnsiTheme="minorHAnsi"/>
          <w:color w:val="495965" w:themeColor="text2"/>
          <w:sz w:val="22"/>
        </w:rPr>
        <w:t xml:space="preserve"> improve their quality of life and increase their participation in the community.  </w:t>
      </w:r>
      <w:r w:rsidR="00447962" w:rsidRPr="001110F5">
        <w:rPr>
          <w:rFonts w:asciiTheme="minorHAnsi" w:hAnsiTheme="minorHAnsi"/>
          <w:color w:val="495965" w:themeColor="text2"/>
          <w:sz w:val="22"/>
        </w:rPr>
        <w:t>Through a partnership with DFAT, CBM Australia provided technical support and broader capacity development to Australian High Commission officials in December 2015 to improve disability-inclusive programming.</w:t>
      </w:r>
    </w:p>
    <w:p w:rsidR="004F559F" w:rsidRPr="00B6769E" w:rsidRDefault="004F559F" w:rsidP="00CD131A">
      <w:pPr>
        <w:pStyle w:val="BodyText"/>
        <w:spacing w:before="120" w:after="120"/>
        <w:rPr>
          <w:rFonts w:asciiTheme="minorHAnsi" w:hAnsiTheme="minorHAnsi"/>
          <w:color w:val="495965" w:themeColor="text2"/>
          <w:sz w:val="22"/>
        </w:rPr>
      </w:pPr>
      <w:r w:rsidRPr="00B6769E">
        <w:rPr>
          <w:rFonts w:asciiTheme="minorHAnsi" w:hAnsiTheme="minorHAnsi"/>
          <w:i/>
          <w:color w:val="495965" w:themeColor="text2"/>
          <w:sz w:val="22"/>
        </w:rPr>
        <w:t>Outlook</w:t>
      </w:r>
    </w:p>
    <w:p w:rsidR="009A0EE1" w:rsidRPr="00B6769E" w:rsidRDefault="003B73BA"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A lack of funding, accessible infrastructure, and capacity within the PNG Department for Religion, Youth and Community Development remain as key challenges for achieving di</w:t>
      </w:r>
      <w:r w:rsidR="000D142C">
        <w:rPr>
          <w:rFonts w:asciiTheme="minorHAnsi" w:hAnsiTheme="minorHAnsi"/>
          <w:color w:val="495965" w:themeColor="text2"/>
          <w:sz w:val="22"/>
        </w:rPr>
        <w:t xml:space="preserve">sability-inclusive development. </w:t>
      </w:r>
      <w:r w:rsidRPr="00B6769E">
        <w:rPr>
          <w:rFonts w:asciiTheme="minorHAnsi" w:hAnsiTheme="minorHAnsi"/>
          <w:color w:val="495965" w:themeColor="text2"/>
          <w:sz w:val="22"/>
        </w:rPr>
        <w:t>Australia will continue to implement</w:t>
      </w:r>
      <w:r w:rsidR="001A10FD">
        <w:rPr>
          <w:rFonts w:asciiTheme="minorHAnsi" w:hAnsiTheme="minorHAnsi"/>
          <w:color w:val="495965" w:themeColor="text2"/>
          <w:sz w:val="22"/>
        </w:rPr>
        <w:t xml:space="preserve"> disability inclusive</w:t>
      </w:r>
      <w:r w:rsidRPr="00B6769E">
        <w:rPr>
          <w:rFonts w:asciiTheme="minorHAnsi" w:hAnsiTheme="minorHAnsi"/>
          <w:color w:val="495965" w:themeColor="text2"/>
          <w:sz w:val="22"/>
        </w:rPr>
        <w:t xml:space="preserve"> activities through sectoral p</w:t>
      </w:r>
      <w:r w:rsidR="00A133CD" w:rsidRPr="00B6769E">
        <w:rPr>
          <w:rFonts w:asciiTheme="minorHAnsi" w:hAnsiTheme="minorHAnsi"/>
          <w:color w:val="495965" w:themeColor="text2"/>
          <w:sz w:val="22"/>
        </w:rPr>
        <w:t>rograms, the PNG Governance Facility</w:t>
      </w:r>
      <w:r w:rsidR="004F559F" w:rsidRPr="00B6769E">
        <w:rPr>
          <w:rFonts w:asciiTheme="minorHAnsi" w:hAnsiTheme="minorHAnsi"/>
          <w:color w:val="495965" w:themeColor="text2"/>
          <w:sz w:val="22"/>
        </w:rPr>
        <w:t xml:space="preserve"> (replacing SPSN activities)</w:t>
      </w:r>
      <w:r w:rsidR="00A133CD" w:rsidRPr="00B6769E">
        <w:rPr>
          <w:rFonts w:asciiTheme="minorHAnsi" w:hAnsiTheme="minorHAnsi"/>
          <w:color w:val="495965" w:themeColor="text2"/>
          <w:sz w:val="22"/>
        </w:rPr>
        <w:t>,</w:t>
      </w:r>
      <w:r w:rsidRPr="00B6769E">
        <w:rPr>
          <w:rFonts w:asciiTheme="minorHAnsi" w:hAnsiTheme="minorHAnsi"/>
          <w:color w:val="495965" w:themeColor="text2"/>
          <w:sz w:val="22"/>
        </w:rPr>
        <w:t xml:space="preserve"> and</w:t>
      </w:r>
      <w:r w:rsidR="00A133CD" w:rsidRPr="00B6769E">
        <w:rPr>
          <w:rFonts w:asciiTheme="minorHAnsi" w:hAnsiTheme="minorHAnsi"/>
          <w:color w:val="495965" w:themeColor="text2"/>
          <w:sz w:val="22"/>
        </w:rPr>
        <w:t xml:space="preserve"> by</w:t>
      </w:r>
      <w:r w:rsidRPr="00B6769E">
        <w:rPr>
          <w:rFonts w:asciiTheme="minorHAnsi" w:hAnsiTheme="minorHAnsi"/>
          <w:color w:val="495965" w:themeColor="text2"/>
          <w:sz w:val="22"/>
        </w:rPr>
        <w:t xml:space="preserve"> ensuring </w:t>
      </w:r>
      <w:r w:rsidR="00447962" w:rsidRPr="00B6769E">
        <w:rPr>
          <w:rFonts w:asciiTheme="minorHAnsi" w:hAnsiTheme="minorHAnsi"/>
          <w:color w:val="495965" w:themeColor="text2"/>
          <w:sz w:val="22"/>
        </w:rPr>
        <w:t>programs and delivery partners</w:t>
      </w:r>
      <w:r w:rsidRPr="00B6769E">
        <w:rPr>
          <w:rFonts w:asciiTheme="minorHAnsi" w:hAnsiTheme="minorHAnsi"/>
          <w:color w:val="495965" w:themeColor="text2"/>
          <w:sz w:val="22"/>
        </w:rPr>
        <w:t xml:space="preserve"> </w:t>
      </w:r>
      <w:r w:rsidR="00447962" w:rsidRPr="00B6769E">
        <w:rPr>
          <w:rFonts w:asciiTheme="minorHAnsi" w:hAnsiTheme="minorHAnsi"/>
          <w:color w:val="495965" w:themeColor="text2"/>
          <w:sz w:val="22"/>
        </w:rPr>
        <w:t>comply with</w:t>
      </w:r>
      <w:r w:rsidRPr="00B6769E">
        <w:rPr>
          <w:rFonts w:asciiTheme="minorHAnsi" w:hAnsiTheme="minorHAnsi"/>
          <w:color w:val="495965" w:themeColor="text2"/>
          <w:sz w:val="22"/>
        </w:rPr>
        <w:t xml:space="preserve"> policies including </w:t>
      </w:r>
      <w:r w:rsidR="009A0EE1" w:rsidRPr="00B6769E">
        <w:rPr>
          <w:rFonts w:asciiTheme="minorHAnsi" w:hAnsiTheme="minorHAnsi"/>
          <w:i/>
          <w:color w:val="495965" w:themeColor="text2"/>
          <w:sz w:val="22"/>
        </w:rPr>
        <w:t>Development for All 2015–2020: Strategy for strengthening disability-inclusive developme</w:t>
      </w:r>
      <w:r w:rsidRPr="00B6769E">
        <w:rPr>
          <w:rFonts w:asciiTheme="minorHAnsi" w:hAnsiTheme="minorHAnsi"/>
          <w:i/>
          <w:color w:val="495965" w:themeColor="text2"/>
          <w:sz w:val="22"/>
        </w:rPr>
        <w:t xml:space="preserve">nt in Australia’s aid program </w:t>
      </w:r>
      <w:r w:rsidRPr="00B6769E">
        <w:rPr>
          <w:rFonts w:asciiTheme="minorHAnsi" w:hAnsiTheme="minorHAnsi"/>
          <w:color w:val="495965" w:themeColor="text2"/>
          <w:sz w:val="22"/>
        </w:rPr>
        <w:t xml:space="preserve">and the </w:t>
      </w:r>
      <w:r w:rsidR="001A10FD">
        <w:rPr>
          <w:rFonts w:asciiTheme="minorHAnsi" w:hAnsiTheme="minorHAnsi"/>
          <w:i/>
          <w:color w:val="495965" w:themeColor="text2"/>
          <w:sz w:val="22"/>
        </w:rPr>
        <w:t>Accessibility design guide: u</w:t>
      </w:r>
      <w:r w:rsidRPr="00B6769E">
        <w:rPr>
          <w:rFonts w:asciiTheme="minorHAnsi" w:hAnsiTheme="minorHAnsi"/>
          <w:i/>
          <w:color w:val="495965" w:themeColor="text2"/>
          <w:sz w:val="22"/>
        </w:rPr>
        <w:t>niversal design principles for Australia’s aid program</w:t>
      </w:r>
      <w:r w:rsidRPr="00B6769E">
        <w:rPr>
          <w:rFonts w:asciiTheme="minorHAnsi" w:hAnsiTheme="minorHAnsi"/>
          <w:color w:val="495965" w:themeColor="text2"/>
          <w:sz w:val="22"/>
        </w:rPr>
        <w:t xml:space="preserve">.  </w:t>
      </w:r>
    </w:p>
    <w:p w:rsidR="00861259" w:rsidRPr="00AA1AAF" w:rsidRDefault="00D23032" w:rsidP="00AA1AAF">
      <w:pPr>
        <w:pStyle w:val="Heading3"/>
        <w:rPr>
          <w:rFonts w:eastAsia="Times New Roman"/>
          <w:sz w:val="38"/>
          <w:szCs w:val="38"/>
        </w:rPr>
      </w:pPr>
      <w:r w:rsidRPr="00AA1AAF">
        <w:rPr>
          <w:rFonts w:eastAsia="Times New Roman"/>
          <w:sz w:val="38"/>
          <w:szCs w:val="38"/>
        </w:rPr>
        <w:t>PRIVATE SECTOR DEVELOPMENT</w:t>
      </w:r>
    </w:p>
    <w:p w:rsidR="0046409F" w:rsidRPr="00B6769E" w:rsidRDefault="0046409F"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Despite its sustained period of high economic growth, PNG has not yet harnessed the full potential of the private sector to promote broad-based, inclusive growth. The country’s </w:t>
      </w:r>
      <w:r w:rsidR="00423E2F" w:rsidRPr="00B6769E">
        <w:rPr>
          <w:rFonts w:asciiTheme="minorHAnsi" w:hAnsiTheme="minorHAnsi"/>
          <w:color w:val="495965" w:themeColor="text2"/>
          <w:sz w:val="22"/>
        </w:rPr>
        <w:t>economy</w:t>
      </w:r>
      <w:r w:rsidRPr="00B6769E">
        <w:rPr>
          <w:rFonts w:asciiTheme="minorHAnsi" w:hAnsiTheme="minorHAnsi"/>
          <w:color w:val="495965" w:themeColor="text2"/>
          <w:sz w:val="22"/>
        </w:rPr>
        <w:t xml:space="preserve"> is heavily dependent on the mining and petroleum sectors and needs to broaden </w:t>
      </w:r>
      <w:r w:rsidR="000D142C">
        <w:rPr>
          <w:rFonts w:asciiTheme="minorHAnsi" w:hAnsiTheme="minorHAnsi"/>
          <w:color w:val="495965" w:themeColor="text2"/>
          <w:sz w:val="22"/>
        </w:rPr>
        <w:t xml:space="preserve">its economic base </w:t>
      </w:r>
      <w:r w:rsidRPr="00B6769E">
        <w:rPr>
          <w:rFonts w:asciiTheme="minorHAnsi" w:hAnsiTheme="minorHAnsi"/>
          <w:color w:val="495965" w:themeColor="text2"/>
          <w:sz w:val="22"/>
        </w:rPr>
        <w:t xml:space="preserve">if it is to withstand future price shocks and ensure greater inclusion. </w:t>
      </w:r>
      <w:r w:rsidR="00423E2F" w:rsidRPr="00B6769E">
        <w:rPr>
          <w:rFonts w:asciiTheme="minorHAnsi" w:hAnsiTheme="minorHAnsi"/>
          <w:color w:val="495965" w:themeColor="text2"/>
          <w:sz w:val="22"/>
        </w:rPr>
        <w:t>The cost of doing business in PNG remains high a</w:t>
      </w:r>
      <w:r w:rsidR="001A10FD">
        <w:rPr>
          <w:rFonts w:asciiTheme="minorHAnsi" w:hAnsiTheme="minorHAnsi"/>
          <w:color w:val="495965" w:themeColor="text2"/>
          <w:sz w:val="22"/>
        </w:rPr>
        <w:t>nd deters greater investment. I</w:t>
      </w:r>
      <w:r w:rsidRPr="00B6769E">
        <w:rPr>
          <w:rFonts w:asciiTheme="minorHAnsi" w:hAnsiTheme="minorHAnsi"/>
          <w:color w:val="495965" w:themeColor="text2"/>
          <w:sz w:val="22"/>
        </w:rPr>
        <w:t>n the World Bank’s 2016 Doing Business report, PNG ranked 145 out of 189 economies surveyed (</w:t>
      </w:r>
      <w:r w:rsidR="00F94E19" w:rsidRPr="00B6769E">
        <w:rPr>
          <w:rFonts w:asciiTheme="minorHAnsi" w:hAnsiTheme="minorHAnsi"/>
          <w:color w:val="495965" w:themeColor="text2"/>
          <w:sz w:val="22"/>
        </w:rPr>
        <w:t>141 in 2015</w:t>
      </w:r>
      <w:r w:rsidR="001A10FD">
        <w:rPr>
          <w:rFonts w:asciiTheme="minorHAnsi" w:hAnsiTheme="minorHAnsi"/>
          <w:color w:val="495965" w:themeColor="text2"/>
          <w:sz w:val="22"/>
        </w:rPr>
        <w:t>).</w:t>
      </w:r>
      <w:r w:rsidR="00F94E19" w:rsidRPr="00B6769E">
        <w:rPr>
          <w:rFonts w:asciiTheme="minorHAnsi" w:hAnsiTheme="minorHAnsi"/>
          <w:color w:val="495965" w:themeColor="text2"/>
          <w:sz w:val="22"/>
        </w:rPr>
        <w:t xml:space="preserve"> </w:t>
      </w:r>
      <w:r w:rsidR="001A10FD">
        <w:rPr>
          <w:rFonts w:asciiTheme="minorHAnsi" w:hAnsiTheme="minorHAnsi"/>
          <w:color w:val="495965" w:themeColor="text2"/>
          <w:sz w:val="22"/>
        </w:rPr>
        <w:t>A l</w:t>
      </w:r>
      <w:r w:rsidRPr="00B6769E">
        <w:rPr>
          <w:rFonts w:asciiTheme="minorHAnsi" w:hAnsiTheme="minorHAnsi"/>
          <w:color w:val="495965" w:themeColor="text2"/>
          <w:sz w:val="22"/>
        </w:rPr>
        <w:t xml:space="preserve">ower </w:t>
      </w:r>
      <w:r w:rsidR="001A10FD">
        <w:rPr>
          <w:rFonts w:asciiTheme="minorHAnsi" w:hAnsiTheme="minorHAnsi"/>
          <w:color w:val="495965" w:themeColor="text2"/>
          <w:sz w:val="22"/>
        </w:rPr>
        <w:t>ranking in the report indicates higher costs</w:t>
      </w:r>
      <w:r w:rsidRPr="00B6769E">
        <w:rPr>
          <w:rFonts w:asciiTheme="minorHAnsi" w:hAnsiTheme="minorHAnsi"/>
          <w:color w:val="495965" w:themeColor="text2"/>
          <w:sz w:val="22"/>
        </w:rPr>
        <w:t>. PNG also rated poorly in the category of ‘enforcing contracts’ (169 out of 189</w:t>
      </w:r>
      <w:r w:rsidR="00F94E19" w:rsidRPr="00B6769E">
        <w:rPr>
          <w:rFonts w:asciiTheme="minorHAnsi" w:hAnsiTheme="minorHAnsi"/>
          <w:color w:val="495965" w:themeColor="text2"/>
          <w:sz w:val="22"/>
        </w:rPr>
        <w:t>, no change from 2015</w:t>
      </w:r>
      <w:r w:rsidRPr="00B6769E">
        <w:rPr>
          <w:rFonts w:asciiTheme="minorHAnsi" w:hAnsiTheme="minorHAnsi"/>
          <w:color w:val="495965" w:themeColor="text2"/>
          <w:sz w:val="22"/>
        </w:rPr>
        <w:t xml:space="preserve">). </w:t>
      </w:r>
    </w:p>
    <w:p w:rsidR="00666FF5" w:rsidRDefault="000D142C" w:rsidP="00CD131A">
      <w:pPr>
        <w:pStyle w:val="BodyText"/>
        <w:spacing w:before="120" w:after="120"/>
        <w:rPr>
          <w:rFonts w:asciiTheme="minorHAnsi" w:hAnsiTheme="minorHAnsi"/>
          <w:color w:val="495965" w:themeColor="text2"/>
          <w:sz w:val="22"/>
        </w:rPr>
      </w:pPr>
      <w:r>
        <w:rPr>
          <w:rFonts w:asciiTheme="minorHAnsi" w:hAnsiTheme="minorHAnsi"/>
          <w:color w:val="495965" w:themeColor="text2"/>
          <w:sz w:val="22"/>
        </w:rPr>
        <w:t>Twenty eight per cent of Australia’s</w:t>
      </w:r>
      <w:r w:rsidR="00423E2F" w:rsidRPr="00B6769E">
        <w:rPr>
          <w:rFonts w:asciiTheme="minorHAnsi" w:hAnsiTheme="minorHAnsi"/>
          <w:color w:val="495965" w:themeColor="text2"/>
          <w:sz w:val="22"/>
        </w:rPr>
        <w:t xml:space="preserve"> PNG</w:t>
      </w:r>
      <w:r w:rsidR="0046409F" w:rsidRPr="00B6769E">
        <w:rPr>
          <w:rFonts w:asciiTheme="minorHAnsi" w:hAnsiTheme="minorHAnsi"/>
          <w:color w:val="495965" w:themeColor="text2"/>
          <w:sz w:val="22"/>
        </w:rPr>
        <w:t xml:space="preserve"> aid budget </w:t>
      </w:r>
      <w:r>
        <w:rPr>
          <w:rFonts w:asciiTheme="minorHAnsi" w:hAnsiTheme="minorHAnsi"/>
          <w:color w:val="495965" w:themeColor="text2"/>
          <w:sz w:val="22"/>
        </w:rPr>
        <w:t>for 2015-16 was allocated to</w:t>
      </w:r>
      <w:r w:rsidR="0046409F" w:rsidRPr="00B6769E">
        <w:rPr>
          <w:rFonts w:asciiTheme="minorHAnsi" w:hAnsiTheme="minorHAnsi"/>
          <w:color w:val="495965" w:themeColor="text2"/>
          <w:sz w:val="22"/>
        </w:rPr>
        <w:t xml:space="preserve"> aid for trade</w:t>
      </w:r>
      <w:r w:rsidR="00423E2F" w:rsidRPr="00B6769E">
        <w:rPr>
          <w:rFonts w:asciiTheme="minorHAnsi" w:hAnsiTheme="minorHAnsi"/>
          <w:color w:val="495965" w:themeColor="text2"/>
          <w:sz w:val="22"/>
        </w:rPr>
        <w:t xml:space="preserve"> and pr</w:t>
      </w:r>
      <w:r>
        <w:rPr>
          <w:rFonts w:asciiTheme="minorHAnsi" w:hAnsiTheme="minorHAnsi"/>
          <w:color w:val="495965" w:themeColor="text2"/>
          <w:sz w:val="22"/>
        </w:rPr>
        <w:t>ivate sector investments. This wa</w:t>
      </w:r>
      <w:r w:rsidR="00423E2F" w:rsidRPr="00B6769E">
        <w:rPr>
          <w:rFonts w:asciiTheme="minorHAnsi" w:hAnsiTheme="minorHAnsi"/>
          <w:color w:val="495965" w:themeColor="text2"/>
          <w:sz w:val="22"/>
        </w:rPr>
        <w:t>s</w:t>
      </w:r>
      <w:r w:rsidR="0046409F" w:rsidRPr="00B6769E">
        <w:rPr>
          <w:rFonts w:asciiTheme="minorHAnsi" w:hAnsiTheme="minorHAnsi"/>
          <w:color w:val="495965" w:themeColor="text2"/>
          <w:sz w:val="22"/>
        </w:rPr>
        <w:t xml:space="preserve"> </w:t>
      </w:r>
      <w:r>
        <w:rPr>
          <w:rFonts w:asciiTheme="minorHAnsi" w:hAnsiTheme="minorHAnsi"/>
          <w:color w:val="495965" w:themeColor="text2"/>
          <w:sz w:val="22"/>
        </w:rPr>
        <w:t xml:space="preserve">up from 20 per cent in 2014-15 and meets </w:t>
      </w:r>
      <w:r w:rsidR="0046409F" w:rsidRPr="00B6769E">
        <w:rPr>
          <w:rFonts w:asciiTheme="minorHAnsi" w:hAnsiTheme="minorHAnsi"/>
          <w:color w:val="495965" w:themeColor="text2"/>
          <w:sz w:val="22"/>
        </w:rPr>
        <w:t>the perform</w:t>
      </w:r>
      <w:r w:rsidR="00423E2F" w:rsidRPr="00B6769E">
        <w:rPr>
          <w:rFonts w:asciiTheme="minorHAnsi" w:hAnsiTheme="minorHAnsi"/>
          <w:color w:val="495965" w:themeColor="text2"/>
          <w:sz w:val="22"/>
        </w:rPr>
        <w:t>ance benchmark of 28 per cent for</w:t>
      </w:r>
      <w:r w:rsidR="0046409F" w:rsidRPr="00B6769E">
        <w:rPr>
          <w:rFonts w:asciiTheme="minorHAnsi" w:hAnsiTheme="minorHAnsi"/>
          <w:color w:val="495965" w:themeColor="text2"/>
          <w:sz w:val="22"/>
        </w:rPr>
        <w:t xml:space="preserve"> 2015-16.  </w:t>
      </w:r>
      <w:r>
        <w:rPr>
          <w:rFonts w:asciiTheme="minorHAnsi" w:hAnsiTheme="minorHAnsi"/>
          <w:color w:val="495965" w:themeColor="text2"/>
          <w:sz w:val="22"/>
        </w:rPr>
        <w:t xml:space="preserve">The ‘green’ rating reflects this achievement and the performance of projects described below. </w:t>
      </w:r>
      <w:r w:rsidR="0046409F" w:rsidRPr="00B6769E">
        <w:rPr>
          <w:rFonts w:asciiTheme="minorHAnsi" w:hAnsiTheme="minorHAnsi"/>
          <w:color w:val="495965" w:themeColor="text2"/>
          <w:sz w:val="22"/>
        </w:rPr>
        <w:t xml:space="preserve">By 2017, </w:t>
      </w:r>
      <w:r w:rsidR="00423E2F" w:rsidRPr="00B6769E">
        <w:rPr>
          <w:rFonts w:asciiTheme="minorHAnsi" w:hAnsiTheme="minorHAnsi"/>
          <w:color w:val="495965" w:themeColor="text2"/>
          <w:sz w:val="22"/>
        </w:rPr>
        <w:t>we aim</w:t>
      </w:r>
      <w:r w:rsidR="0046409F" w:rsidRPr="00B6769E">
        <w:rPr>
          <w:rFonts w:asciiTheme="minorHAnsi" w:hAnsiTheme="minorHAnsi"/>
          <w:color w:val="495965" w:themeColor="text2"/>
          <w:sz w:val="22"/>
        </w:rPr>
        <w:t xml:space="preserve"> to allocate 50 per cent of the bilateral aid budget to infrastructure, and 30 per cent to aid for trade and private sector activities. </w:t>
      </w:r>
    </w:p>
    <w:p w:rsidR="00666FF5" w:rsidRDefault="00666FF5" w:rsidP="00CD131A">
      <w:pPr>
        <w:pStyle w:val="BodyText"/>
        <w:spacing w:before="120" w:after="120"/>
        <w:rPr>
          <w:rFonts w:asciiTheme="minorHAnsi" w:hAnsiTheme="minorHAnsi"/>
          <w:color w:val="495965" w:themeColor="text2"/>
          <w:sz w:val="22"/>
        </w:rPr>
      </w:pPr>
      <w:r w:rsidRPr="00B6769E">
        <w:rPr>
          <w:rFonts w:asciiTheme="minorHAnsi" w:hAnsiTheme="minorHAnsi"/>
          <w:noProof/>
          <w:sz w:val="22"/>
        </w:rPr>
        <mc:AlternateContent>
          <mc:Choice Requires="wps">
            <w:drawing>
              <wp:anchor distT="0" distB="0" distL="114300" distR="114300" simplePos="0" relativeHeight="251704320" behindDoc="1" locked="0" layoutInCell="1" allowOverlap="1" wp14:anchorId="03581599" wp14:editId="654136E4">
                <wp:simplePos x="0" y="0"/>
                <wp:positionH relativeFrom="column">
                  <wp:posOffset>19050</wp:posOffset>
                </wp:positionH>
                <wp:positionV relativeFrom="paragraph">
                  <wp:posOffset>73660</wp:posOffset>
                </wp:positionV>
                <wp:extent cx="2472690" cy="715010"/>
                <wp:effectExtent l="0" t="0" r="22860" b="27940"/>
                <wp:wrapTight wrapText="bothSides">
                  <wp:wrapPolygon edited="0">
                    <wp:start x="0" y="0"/>
                    <wp:lineTo x="0" y="21869"/>
                    <wp:lineTo x="21633" y="21869"/>
                    <wp:lineTo x="21633"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715010"/>
                        </a:xfrm>
                        <a:prstGeom prst="rect">
                          <a:avLst/>
                        </a:prstGeom>
                        <a:solidFill>
                          <a:sysClr val="window" lastClr="FFFFFF"/>
                        </a:solidFill>
                        <a:ln w="25400" cap="flat" cmpd="sng" algn="ctr">
                          <a:solidFill>
                            <a:srgbClr val="65C5B4"/>
                          </a:solidFill>
                          <a:prstDash val="solid"/>
                          <a:headEnd/>
                          <a:tailEnd/>
                        </a:ln>
                        <a:effectLst/>
                      </wps:spPr>
                      <wps:txbx>
                        <w:txbxContent>
                          <w:p w:rsidR="00B80664" w:rsidRPr="00065B59" w:rsidRDefault="00B80664" w:rsidP="00666FF5">
                            <w:pPr>
                              <w:rPr>
                                <w:sz w:val="21"/>
                                <w:szCs w:val="21"/>
                              </w:rPr>
                            </w:pPr>
                            <w:r w:rsidRPr="00065B59">
                              <w:rPr>
                                <w:rFonts w:ascii="Franklin Gothic Book" w:hAnsi="Franklin Gothic Book"/>
                                <w:sz w:val="21"/>
                                <w:szCs w:val="21"/>
                              </w:rPr>
                              <w:t xml:space="preserve">The Microfinance Expansion Project delivered financial education training to more than 85,000 people nationwide.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3581599" id="_x0000_s1032" type="#_x0000_t202" style="position:absolute;margin-left:1.5pt;margin-top:5.8pt;width:194.7pt;height:56.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" fillcolor="window" strokecolor="#65c5b4" strokeweight="2pt">
                <v:textbox>
                  <w:txbxContent>
                    <w:p w:rsidR="00B80664" w:rsidRPr="00065B59" w:rsidRDefault="00B80664" w:rsidP="00666FF5">
                      <w:pPr>
                        <w:rPr>
                          <w:sz w:val="21"/>
                          <w:szCs w:val="21"/>
                        </w:rPr>
                      </w:pPr>
                      <w:r w:rsidRPr="00065B59">
                        <w:rPr>
                          <w:rFonts w:ascii="Franklin Gothic Book" w:hAnsi="Franklin Gothic Book"/>
                          <w:sz w:val="21"/>
                          <w:szCs w:val="21"/>
                        </w:rPr>
                        <w:t xml:space="preserve">The Microfinance Expansion Project delivered financial education training to more than 85,000 people nationwide. </w:t>
                      </w:r>
                    </w:p>
                  </w:txbxContent>
                </v:textbox>
                <w10:wrap type="tight"/>
              </v:shape>
            </w:pict>
          </mc:Fallback>
        </mc:AlternateContent>
      </w:r>
      <w:r w:rsidR="0046409F" w:rsidRPr="00B6769E">
        <w:rPr>
          <w:rFonts w:asciiTheme="minorHAnsi" w:hAnsiTheme="minorHAnsi"/>
          <w:color w:val="495965" w:themeColor="text2"/>
          <w:sz w:val="22"/>
        </w:rPr>
        <w:t xml:space="preserve">In scaling up aid for trade, Australia is targeting country-specific constraints to participation in trade.  Areas of focus include governance and regulatory impediments, trade facilitation, infrastructure (including energy and mining), private sector development, </w:t>
      </w:r>
      <w:proofErr w:type="spellStart"/>
      <w:r w:rsidR="0046409F" w:rsidRPr="00B6769E">
        <w:rPr>
          <w:rFonts w:asciiTheme="minorHAnsi" w:hAnsiTheme="minorHAnsi"/>
          <w:color w:val="495965" w:themeColor="text2"/>
          <w:sz w:val="22"/>
        </w:rPr>
        <w:t>ag</w:t>
      </w:r>
      <w:r w:rsidR="00423E2F" w:rsidRPr="00B6769E">
        <w:rPr>
          <w:rFonts w:asciiTheme="minorHAnsi" w:hAnsiTheme="minorHAnsi"/>
          <w:color w:val="495965" w:themeColor="text2"/>
          <w:sz w:val="22"/>
        </w:rPr>
        <w:t>ri</w:t>
      </w:r>
      <w:proofErr w:type="spellEnd"/>
      <w:r w:rsidR="00423E2F" w:rsidRPr="00B6769E">
        <w:rPr>
          <w:rFonts w:asciiTheme="minorHAnsi" w:hAnsiTheme="minorHAnsi"/>
          <w:color w:val="495965" w:themeColor="text2"/>
          <w:sz w:val="22"/>
        </w:rPr>
        <w:t xml:space="preserve">-food, fisheries, </w:t>
      </w:r>
      <w:r w:rsidR="00372BA2" w:rsidRPr="00B6769E">
        <w:rPr>
          <w:rFonts w:asciiTheme="minorHAnsi" w:hAnsiTheme="minorHAnsi"/>
          <w:color w:val="495965" w:themeColor="text2"/>
          <w:sz w:val="22"/>
        </w:rPr>
        <w:t>services</w:t>
      </w:r>
      <w:r w:rsidR="0046409F" w:rsidRPr="00B6769E">
        <w:rPr>
          <w:rFonts w:asciiTheme="minorHAnsi" w:hAnsiTheme="minorHAnsi"/>
          <w:color w:val="495965" w:themeColor="text2"/>
          <w:sz w:val="22"/>
        </w:rPr>
        <w:t xml:space="preserve"> and empowering women to engage in economic activities.  The private sector, multilateral development banks and other donors will be important partners in the delivery of aid for trade outcomes. </w:t>
      </w:r>
    </w:p>
    <w:p w:rsidR="0046409F" w:rsidRPr="00B6769E" w:rsidRDefault="0046409F"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Aid for trade is an important lever to meet the </w:t>
      </w:r>
      <w:r w:rsidR="00423E2F" w:rsidRPr="00B6769E">
        <w:rPr>
          <w:rFonts w:asciiTheme="minorHAnsi" w:hAnsiTheme="minorHAnsi"/>
          <w:color w:val="495965" w:themeColor="text2"/>
          <w:sz w:val="22"/>
        </w:rPr>
        <w:t xml:space="preserve">Australian </w:t>
      </w:r>
      <w:r w:rsidRPr="00B6769E">
        <w:rPr>
          <w:rFonts w:asciiTheme="minorHAnsi" w:hAnsiTheme="minorHAnsi"/>
          <w:color w:val="495965" w:themeColor="text2"/>
          <w:sz w:val="22"/>
        </w:rPr>
        <w:t xml:space="preserve">Government’s broader economic diplomacy objectives.  In 2015, </w:t>
      </w:r>
      <w:r w:rsidR="00423E2F" w:rsidRPr="00B6769E">
        <w:rPr>
          <w:rFonts w:asciiTheme="minorHAnsi" w:hAnsiTheme="minorHAnsi"/>
          <w:color w:val="495965" w:themeColor="text2"/>
          <w:sz w:val="22"/>
        </w:rPr>
        <w:t>we</w:t>
      </w:r>
      <w:r w:rsidRPr="00B6769E">
        <w:rPr>
          <w:rFonts w:asciiTheme="minorHAnsi" w:hAnsiTheme="minorHAnsi"/>
          <w:color w:val="495965" w:themeColor="text2"/>
          <w:sz w:val="22"/>
        </w:rPr>
        <w:t xml:space="preserve"> worked closely with the </w:t>
      </w:r>
      <w:r w:rsidR="00423E2F" w:rsidRPr="00B6769E">
        <w:rPr>
          <w:rFonts w:asciiTheme="minorHAnsi" w:hAnsiTheme="minorHAnsi"/>
          <w:color w:val="495965" w:themeColor="text2"/>
          <w:sz w:val="22"/>
        </w:rPr>
        <w:t xml:space="preserve">PNG </w:t>
      </w:r>
      <w:r w:rsidRPr="00B6769E">
        <w:rPr>
          <w:rFonts w:asciiTheme="minorHAnsi" w:hAnsiTheme="minorHAnsi"/>
          <w:color w:val="495965" w:themeColor="text2"/>
          <w:sz w:val="22"/>
        </w:rPr>
        <w:t xml:space="preserve">Government to develop the PNG Private Sector Development Framework. The Framework operates on four pillars of cooperation, including: the business enabling environment; agriculture, rural development, markets and trade; innovation and partnerships; and financial inclusion.  </w:t>
      </w:r>
    </w:p>
    <w:p w:rsidR="00C93E68" w:rsidRDefault="00C93E68" w:rsidP="00CD131A">
      <w:pPr>
        <w:pStyle w:val="BodyText"/>
        <w:spacing w:before="120" w:after="120"/>
        <w:rPr>
          <w:rFonts w:asciiTheme="minorHAnsi" w:hAnsiTheme="minorHAnsi"/>
          <w:color w:val="495965" w:themeColor="text2"/>
          <w:sz w:val="22"/>
        </w:rPr>
      </w:pPr>
    </w:p>
    <w:p w:rsidR="00666FF5" w:rsidRDefault="0046409F"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lastRenderedPageBreak/>
        <w:t xml:space="preserve">The Microfinance Expansion Project delivered financial education training to more than 85,000 people (48 per cent women) nationwide through partnerships with regional non-government organisations, </w:t>
      </w:r>
      <w:proofErr w:type="spellStart"/>
      <w:r w:rsidRPr="00B6769E">
        <w:rPr>
          <w:rFonts w:asciiTheme="minorHAnsi" w:hAnsiTheme="minorHAnsi"/>
          <w:color w:val="495965" w:themeColor="text2"/>
          <w:sz w:val="22"/>
        </w:rPr>
        <w:t>microbanks</w:t>
      </w:r>
      <w:proofErr w:type="spellEnd"/>
      <w:r w:rsidRPr="00B6769E">
        <w:rPr>
          <w:rFonts w:asciiTheme="minorHAnsi" w:hAnsiTheme="minorHAnsi"/>
          <w:color w:val="495965" w:themeColor="text2"/>
          <w:sz w:val="22"/>
        </w:rPr>
        <w:t xml:space="preserve"> an</w:t>
      </w:r>
      <w:r w:rsidR="00423E2F" w:rsidRPr="00B6769E">
        <w:rPr>
          <w:rFonts w:asciiTheme="minorHAnsi" w:hAnsiTheme="minorHAnsi"/>
          <w:color w:val="495965" w:themeColor="text2"/>
          <w:sz w:val="22"/>
        </w:rPr>
        <w:t>d faith based organisations. Through the</w:t>
      </w:r>
      <w:r w:rsidRPr="00B6769E">
        <w:rPr>
          <w:rFonts w:asciiTheme="minorHAnsi" w:hAnsiTheme="minorHAnsi"/>
          <w:color w:val="495965" w:themeColor="text2"/>
          <w:sz w:val="22"/>
        </w:rPr>
        <w:t xml:space="preserve"> proje</w:t>
      </w:r>
      <w:r w:rsidR="00423E2F" w:rsidRPr="00B6769E">
        <w:rPr>
          <w:rFonts w:asciiTheme="minorHAnsi" w:hAnsiTheme="minorHAnsi"/>
          <w:color w:val="495965" w:themeColor="text2"/>
          <w:sz w:val="22"/>
        </w:rPr>
        <w:t xml:space="preserve">ct, more than </w:t>
      </w:r>
      <w:r w:rsidR="00F94E19" w:rsidRPr="00B6769E">
        <w:rPr>
          <w:rFonts w:asciiTheme="minorHAnsi" w:hAnsiTheme="minorHAnsi"/>
          <w:color w:val="495965" w:themeColor="text2"/>
          <w:sz w:val="22"/>
        </w:rPr>
        <w:t xml:space="preserve">35,000 </w:t>
      </w:r>
      <w:r w:rsidR="00423E2F" w:rsidRPr="00B6769E">
        <w:rPr>
          <w:rFonts w:asciiTheme="minorHAnsi" w:hAnsiTheme="minorHAnsi"/>
          <w:color w:val="495965" w:themeColor="text2"/>
          <w:sz w:val="22"/>
        </w:rPr>
        <w:t>poor men and women increased</w:t>
      </w:r>
      <w:r w:rsidRPr="00B6769E">
        <w:rPr>
          <w:rFonts w:asciiTheme="minorHAnsi" w:hAnsiTheme="minorHAnsi"/>
          <w:color w:val="495965" w:themeColor="text2"/>
          <w:sz w:val="22"/>
        </w:rPr>
        <w:t xml:space="preserve"> their access to financial services in 2015-16 (84 per cent women), above the performance benchmark of 30,000. The project established </w:t>
      </w:r>
      <w:r w:rsidR="00423E2F" w:rsidRPr="00B6769E">
        <w:rPr>
          <w:rFonts w:asciiTheme="minorHAnsi" w:hAnsiTheme="minorHAnsi"/>
          <w:color w:val="495965" w:themeColor="text2"/>
          <w:sz w:val="22"/>
        </w:rPr>
        <w:t>a</w:t>
      </w:r>
      <w:r w:rsidRPr="00B6769E">
        <w:rPr>
          <w:rFonts w:asciiTheme="minorHAnsi" w:hAnsiTheme="minorHAnsi"/>
          <w:color w:val="495965" w:themeColor="text2"/>
          <w:sz w:val="22"/>
        </w:rPr>
        <w:t xml:space="preserve"> Centre of Excellence</w:t>
      </w:r>
      <w:r w:rsidR="00372BA2" w:rsidRPr="00B6769E">
        <w:rPr>
          <w:rFonts w:asciiTheme="minorHAnsi" w:hAnsiTheme="minorHAnsi"/>
          <w:color w:val="495965" w:themeColor="text2"/>
          <w:sz w:val="22"/>
        </w:rPr>
        <w:t xml:space="preserve"> in Financial Inclusion Centre, a risk share f</w:t>
      </w:r>
      <w:r w:rsidRPr="00B6769E">
        <w:rPr>
          <w:rFonts w:asciiTheme="minorHAnsi" w:hAnsiTheme="minorHAnsi"/>
          <w:color w:val="495965" w:themeColor="text2"/>
          <w:sz w:val="22"/>
        </w:rPr>
        <w:t>acility (a mechanism to encourage l</w:t>
      </w:r>
      <w:r w:rsidR="00372BA2" w:rsidRPr="00B6769E">
        <w:rPr>
          <w:rFonts w:asciiTheme="minorHAnsi" w:hAnsiTheme="minorHAnsi"/>
          <w:color w:val="495965" w:themeColor="text2"/>
          <w:sz w:val="22"/>
        </w:rPr>
        <w:t xml:space="preserve">ending to business), </w:t>
      </w:r>
      <w:r w:rsidR="00423E2F" w:rsidRPr="00B6769E">
        <w:rPr>
          <w:rFonts w:asciiTheme="minorHAnsi" w:hAnsiTheme="minorHAnsi"/>
          <w:color w:val="495965" w:themeColor="text2"/>
          <w:sz w:val="22"/>
        </w:rPr>
        <w:t>a</w:t>
      </w:r>
      <w:r w:rsidR="00372BA2" w:rsidRPr="00B6769E">
        <w:rPr>
          <w:rFonts w:asciiTheme="minorHAnsi" w:hAnsiTheme="minorHAnsi"/>
          <w:color w:val="495965" w:themeColor="text2"/>
          <w:sz w:val="22"/>
        </w:rPr>
        <w:t xml:space="preserve"> women's m</w:t>
      </w:r>
      <w:r w:rsidRPr="00B6769E">
        <w:rPr>
          <w:rFonts w:asciiTheme="minorHAnsi" w:hAnsiTheme="minorHAnsi"/>
          <w:color w:val="495965" w:themeColor="text2"/>
          <w:sz w:val="22"/>
        </w:rPr>
        <w:t>icro-bank, microfinance industry standards and PNG's first women-only lending product. The project is currently working with its partner financial institutions to build their capacity, expand their footprint and deliver financial services to a predo</w:t>
      </w:r>
      <w:r w:rsidR="001A10FD">
        <w:rPr>
          <w:rFonts w:asciiTheme="minorHAnsi" w:hAnsiTheme="minorHAnsi"/>
          <w:color w:val="495965" w:themeColor="text2"/>
          <w:sz w:val="22"/>
        </w:rPr>
        <w:t>minantly rural population</w:t>
      </w:r>
      <w:r w:rsidRPr="00B6769E">
        <w:rPr>
          <w:rFonts w:asciiTheme="minorHAnsi" w:hAnsiTheme="minorHAnsi"/>
          <w:color w:val="495965" w:themeColor="text2"/>
          <w:sz w:val="22"/>
        </w:rPr>
        <w:t xml:space="preserve">. </w:t>
      </w:r>
    </w:p>
    <w:p w:rsidR="00666FF5" w:rsidRDefault="0046409F" w:rsidP="00CD131A">
      <w:pPr>
        <w:pStyle w:val="BodyText"/>
        <w:spacing w:before="120" w:after="120"/>
        <w:rPr>
          <w:rFonts w:asciiTheme="minorHAnsi" w:hAnsiTheme="minorHAnsi"/>
          <w:color w:val="495965" w:themeColor="text2"/>
          <w:sz w:val="22"/>
        </w:rPr>
      </w:pPr>
      <w:r w:rsidRPr="001110F5">
        <w:rPr>
          <w:rFonts w:asciiTheme="minorHAnsi" w:hAnsiTheme="minorHAnsi"/>
          <w:color w:val="495965" w:themeColor="text2"/>
          <w:sz w:val="22"/>
        </w:rPr>
        <w:t xml:space="preserve">Australia supported an entrepreneurship pilot, the </w:t>
      </w:r>
      <w:proofErr w:type="spellStart"/>
      <w:r w:rsidRPr="001110F5">
        <w:rPr>
          <w:rFonts w:asciiTheme="minorHAnsi" w:hAnsiTheme="minorHAnsi"/>
          <w:color w:val="495965" w:themeColor="text2"/>
          <w:sz w:val="22"/>
        </w:rPr>
        <w:t>Kumul</w:t>
      </w:r>
      <w:proofErr w:type="spellEnd"/>
      <w:r w:rsidRPr="001110F5">
        <w:rPr>
          <w:rFonts w:asciiTheme="minorHAnsi" w:hAnsiTheme="minorHAnsi"/>
          <w:color w:val="495965" w:themeColor="text2"/>
          <w:sz w:val="22"/>
        </w:rPr>
        <w:t xml:space="preserve"> Game Changers </w:t>
      </w:r>
      <w:r w:rsidR="005F59A6">
        <w:rPr>
          <w:rFonts w:asciiTheme="minorHAnsi" w:hAnsiTheme="minorHAnsi"/>
          <w:color w:val="495965" w:themeColor="text2"/>
          <w:sz w:val="22"/>
        </w:rPr>
        <w:t>project</w:t>
      </w:r>
      <w:r w:rsidRPr="001110F5">
        <w:rPr>
          <w:rFonts w:asciiTheme="minorHAnsi" w:hAnsiTheme="minorHAnsi"/>
          <w:color w:val="495965" w:themeColor="text2"/>
          <w:sz w:val="22"/>
        </w:rPr>
        <w:t>, aimed at unleashing creative solutions to development challenges. Over 40 per cent of the finalists in the business innovation start-up competition were women. One finalist has established himself in Silicon Valley</w:t>
      </w:r>
      <w:r w:rsidR="000A78AB" w:rsidRPr="001110F5">
        <w:rPr>
          <w:rFonts w:asciiTheme="minorHAnsi" w:hAnsiTheme="minorHAnsi"/>
          <w:color w:val="495965" w:themeColor="text2"/>
          <w:sz w:val="22"/>
        </w:rPr>
        <w:t>.</w:t>
      </w:r>
    </w:p>
    <w:p w:rsidR="0046409F" w:rsidRPr="00B6769E" w:rsidRDefault="0046409F"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Australia continues to have a strong focus of support for rural livelihoods through an enhanced DFAT-Australian Centre for International Agricultural Research (ACIAR) partnership that includes a focus on developing markets in the agriculture sector. A new ACIAR program aims to foster private sector-led development in agriculture, increase agricultural productive capacity and improve access to market for farmers in PNG</w:t>
      </w:r>
      <w:r w:rsidR="00D17BCD">
        <w:rPr>
          <w:rFonts w:asciiTheme="minorHAnsi" w:hAnsiTheme="minorHAnsi"/>
          <w:color w:val="495965" w:themeColor="text2"/>
          <w:sz w:val="22"/>
        </w:rPr>
        <w:t xml:space="preserve">, including in </w:t>
      </w:r>
      <w:r w:rsidRPr="00B6769E">
        <w:rPr>
          <w:rFonts w:asciiTheme="minorHAnsi" w:hAnsiTheme="minorHAnsi"/>
          <w:color w:val="495965" w:themeColor="text2"/>
          <w:sz w:val="22"/>
        </w:rPr>
        <w:t xml:space="preserve">Bougainville, particularly women farmers.  By working in innovative ways with women’s groups and the private sector, both of which will lead various aspects of the program, </w:t>
      </w:r>
      <w:r w:rsidR="00DA447E" w:rsidRPr="00B6769E">
        <w:rPr>
          <w:rFonts w:asciiTheme="minorHAnsi" w:hAnsiTheme="minorHAnsi"/>
          <w:color w:val="495965" w:themeColor="text2"/>
          <w:sz w:val="22"/>
        </w:rPr>
        <w:t>we are</w:t>
      </w:r>
      <w:r w:rsidR="00423E2F" w:rsidRPr="00B6769E">
        <w:rPr>
          <w:rFonts w:asciiTheme="minorHAnsi" w:hAnsiTheme="minorHAnsi"/>
          <w:color w:val="495965" w:themeColor="text2"/>
          <w:sz w:val="22"/>
        </w:rPr>
        <w:t xml:space="preserve"> seeking to develop </w:t>
      </w:r>
      <w:r w:rsidRPr="00B6769E">
        <w:rPr>
          <w:rFonts w:asciiTheme="minorHAnsi" w:hAnsiTheme="minorHAnsi"/>
          <w:color w:val="495965" w:themeColor="text2"/>
          <w:sz w:val="22"/>
        </w:rPr>
        <w:t>new approach</w:t>
      </w:r>
      <w:r w:rsidR="00423E2F" w:rsidRPr="00B6769E">
        <w:rPr>
          <w:rFonts w:asciiTheme="minorHAnsi" w:hAnsiTheme="minorHAnsi"/>
          <w:color w:val="495965" w:themeColor="text2"/>
          <w:sz w:val="22"/>
        </w:rPr>
        <w:t>es</w:t>
      </w:r>
      <w:r w:rsidRPr="00B6769E">
        <w:rPr>
          <w:rFonts w:asciiTheme="minorHAnsi" w:hAnsiTheme="minorHAnsi"/>
          <w:color w:val="495965" w:themeColor="text2"/>
          <w:sz w:val="22"/>
        </w:rPr>
        <w:t xml:space="preserve"> to translating small-scale impacts of agricultural and forestry research for development into larger scale development outcomes in PNG. </w:t>
      </w:r>
    </w:p>
    <w:p w:rsidR="001A7D42" w:rsidRPr="00B6769E" w:rsidRDefault="0046409F"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Australia continued to strengthen PNG’s capacity to deal with cross-border trade issues</w:t>
      </w:r>
      <w:r w:rsidR="00C1434E">
        <w:rPr>
          <w:rFonts w:asciiTheme="minorHAnsi" w:hAnsiTheme="minorHAnsi"/>
          <w:color w:val="495965" w:themeColor="text2"/>
          <w:sz w:val="22"/>
        </w:rPr>
        <w:t>,</w:t>
      </w:r>
      <w:r w:rsidRPr="00B6769E">
        <w:rPr>
          <w:rFonts w:asciiTheme="minorHAnsi" w:hAnsiTheme="minorHAnsi"/>
          <w:color w:val="495965" w:themeColor="text2"/>
          <w:sz w:val="22"/>
        </w:rPr>
        <w:t xml:space="preserve"> </w:t>
      </w:r>
      <w:r w:rsidR="00372BA2" w:rsidRPr="00B6769E">
        <w:rPr>
          <w:rFonts w:asciiTheme="minorHAnsi" w:hAnsiTheme="minorHAnsi"/>
          <w:color w:val="495965" w:themeColor="text2"/>
          <w:sz w:val="22"/>
        </w:rPr>
        <w:t>such as quarantine and customs</w:t>
      </w:r>
      <w:r w:rsidR="00C1434E">
        <w:rPr>
          <w:rFonts w:asciiTheme="minorHAnsi" w:hAnsiTheme="minorHAnsi"/>
          <w:color w:val="495965" w:themeColor="text2"/>
          <w:sz w:val="22"/>
        </w:rPr>
        <w:t>,</w:t>
      </w:r>
      <w:r w:rsidR="00372BA2" w:rsidRPr="00B6769E">
        <w:rPr>
          <w:rFonts w:asciiTheme="minorHAnsi" w:hAnsiTheme="minorHAnsi"/>
          <w:color w:val="495965" w:themeColor="text2"/>
          <w:sz w:val="22"/>
        </w:rPr>
        <w:t xml:space="preserve"> to improve </w:t>
      </w:r>
      <w:r w:rsidRPr="00B6769E">
        <w:rPr>
          <w:rFonts w:asciiTheme="minorHAnsi" w:hAnsiTheme="minorHAnsi"/>
          <w:color w:val="495965" w:themeColor="text2"/>
          <w:sz w:val="22"/>
        </w:rPr>
        <w:t>PNG</w:t>
      </w:r>
      <w:r w:rsidR="00372BA2" w:rsidRPr="00B6769E">
        <w:rPr>
          <w:rFonts w:asciiTheme="minorHAnsi" w:hAnsiTheme="minorHAnsi"/>
          <w:color w:val="495965" w:themeColor="text2"/>
          <w:sz w:val="22"/>
        </w:rPr>
        <w:t>’s</w:t>
      </w:r>
      <w:r w:rsidRPr="00B6769E">
        <w:rPr>
          <w:rFonts w:asciiTheme="minorHAnsi" w:hAnsiTheme="minorHAnsi"/>
          <w:color w:val="495965" w:themeColor="text2"/>
          <w:sz w:val="22"/>
        </w:rPr>
        <w:t xml:space="preserve"> access</w:t>
      </w:r>
      <w:r w:rsidR="00372BA2" w:rsidRPr="00B6769E">
        <w:rPr>
          <w:rFonts w:asciiTheme="minorHAnsi" w:hAnsiTheme="minorHAnsi"/>
          <w:color w:val="495965" w:themeColor="text2"/>
          <w:sz w:val="22"/>
        </w:rPr>
        <w:t xml:space="preserve"> to</w:t>
      </w:r>
      <w:r w:rsidRPr="00B6769E">
        <w:rPr>
          <w:rFonts w:asciiTheme="minorHAnsi" w:hAnsiTheme="minorHAnsi"/>
          <w:color w:val="495965" w:themeColor="text2"/>
          <w:sz w:val="22"/>
        </w:rPr>
        <w:t xml:space="preserve"> international markets. The Pacific Horticultural and Agricultural Market Access program began in PNG in late-2015. Since then it has supported the agriculture industry to re-establish export markets for coconuts to Australia at an approximate wholesale margin greater than </w:t>
      </w:r>
      <w:r w:rsidR="0026318C">
        <w:rPr>
          <w:rFonts w:asciiTheme="minorHAnsi" w:hAnsiTheme="minorHAnsi"/>
          <w:color w:val="495965" w:themeColor="text2"/>
          <w:sz w:val="22"/>
        </w:rPr>
        <w:t xml:space="preserve">         100 </w:t>
      </w:r>
      <w:r w:rsidRPr="00B6769E">
        <w:rPr>
          <w:rFonts w:asciiTheme="minorHAnsi" w:hAnsiTheme="minorHAnsi"/>
          <w:color w:val="495965" w:themeColor="text2"/>
          <w:sz w:val="22"/>
        </w:rPr>
        <w:t xml:space="preserve">per cent of the local market price. </w:t>
      </w:r>
    </w:p>
    <w:p w:rsidR="0046409F" w:rsidRPr="00B6769E" w:rsidRDefault="00FF5B4B"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The</w:t>
      </w:r>
      <w:r w:rsidR="0046409F" w:rsidRPr="00B6769E">
        <w:rPr>
          <w:rFonts w:asciiTheme="minorHAnsi" w:hAnsiTheme="minorHAnsi"/>
          <w:color w:val="495965" w:themeColor="text2"/>
          <w:sz w:val="22"/>
        </w:rPr>
        <w:t xml:space="preserve"> Market Development Facility (MDF) was launched in PNG during 2015. The goal of the MDF is to sustainably increase employment and incomes for poor women and men in rur</w:t>
      </w:r>
      <w:r w:rsidR="00767CB6">
        <w:rPr>
          <w:rFonts w:asciiTheme="minorHAnsi" w:hAnsiTheme="minorHAnsi"/>
          <w:color w:val="495965" w:themeColor="text2"/>
          <w:sz w:val="22"/>
        </w:rPr>
        <w:t>al and peri-</w:t>
      </w:r>
      <w:r w:rsidR="0046409F" w:rsidRPr="00B6769E">
        <w:rPr>
          <w:rFonts w:asciiTheme="minorHAnsi" w:hAnsiTheme="minorHAnsi"/>
          <w:color w:val="495965" w:themeColor="text2"/>
          <w:sz w:val="22"/>
        </w:rPr>
        <w:t xml:space="preserve">urban areas. The MDF is designed to </w:t>
      </w:r>
      <w:r w:rsidR="00C14A42" w:rsidRPr="00B6769E">
        <w:rPr>
          <w:rFonts w:asciiTheme="minorHAnsi" w:hAnsiTheme="minorHAnsi"/>
          <w:color w:val="495965" w:themeColor="text2"/>
          <w:sz w:val="22"/>
        </w:rPr>
        <w:t xml:space="preserve">address the impediments poor </w:t>
      </w:r>
      <w:r w:rsidR="00C36556">
        <w:rPr>
          <w:rFonts w:asciiTheme="minorHAnsi" w:hAnsiTheme="minorHAnsi"/>
          <w:color w:val="495965" w:themeColor="text2"/>
          <w:sz w:val="22"/>
        </w:rPr>
        <w:t xml:space="preserve">people </w:t>
      </w:r>
      <w:r w:rsidR="00C14A42" w:rsidRPr="00B6769E">
        <w:rPr>
          <w:rFonts w:asciiTheme="minorHAnsi" w:hAnsiTheme="minorHAnsi"/>
          <w:color w:val="495965" w:themeColor="text2"/>
          <w:sz w:val="22"/>
        </w:rPr>
        <w:t xml:space="preserve">face in accessing </w:t>
      </w:r>
      <w:r w:rsidR="0046409F" w:rsidRPr="00B6769E">
        <w:rPr>
          <w:rFonts w:asciiTheme="minorHAnsi" w:hAnsiTheme="minorHAnsi"/>
          <w:color w:val="495965" w:themeColor="text2"/>
          <w:sz w:val="22"/>
        </w:rPr>
        <w:t xml:space="preserve">market </w:t>
      </w:r>
      <w:r w:rsidR="007B4473">
        <w:rPr>
          <w:rFonts w:asciiTheme="minorHAnsi" w:hAnsiTheme="minorHAnsi"/>
          <w:color w:val="495965" w:themeColor="text2"/>
          <w:sz w:val="22"/>
        </w:rPr>
        <w:t>opportunities. The MDF</w:t>
      </w:r>
      <w:r w:rsidR="00C14A42" w:rsidRPr="00B6769E">
        <w:rPr>
          <w:rFonts w:asciiTheme="minorHAnsi" w:hAnsiTheme="minorHAnsi"/>
          <w:color w:val="495965" w:themeColor="text2"/>
          <w:sz w:val="22"/>
        </w:rPr>
        <w:t xml:space="preserve"> </w:t>
      </w:r>
      <w:r w:rsidR="007B4473">
        <w:rPr>
          <w:rFonts w:asciiTheme="minorHAnsi" w:hAnsiTheme="minorHAnsi"/>
          <w:color w:val="495965" w:themeColor="text2"/>
          <w:sz w:val="22"/>
        </w:rPr>
        <w:t>has established</w:t>
      </w:r>
      <w:r w:rsidR="00C14A42" w:rsidRPr="00B6769E">
        <w:rPr>
          <w:rFonts w:asciiTheme="minorHAnsi" w:hAnsiTheme="minorHAnsi"/>
          <w:color w:val="495965" w:themeColor="text2"/>
          <w:sz w:val="22"/>
        </w:rPr>
        <w:t xml:space="preserve"> partnerships with private enterprises to identify profitable business opportunities that benefit the poor. </w:t>
      </w:r>
      <w:r w:rsidR="00C34FD2" w:rsidRPr="00B6769E">
        <w:rPr>
          <w:rFonts w:asciiTheme="minorHAnsi" w:hAnsiTheme="minorHAnsi"/>
          <w:color w:val="495965" w:themeColor="text2"/>
          <w:sz w:val="22"/>
        </w:rPr>
        <w:t xml:space="preserve">A recent example </w:t>
      </w:r>
      <w:r w:rsidR="00DA447E" w:rsidRPr="00B6769E">
        <w:rPr>
          <w:rFonts w:asciiTheme="minorHAnsi" w:hAnsiTheme="minorHAnsi"/>
          <w:color w:val="495965" w:themeColor="text2"/>
          <w:sz w:val="22"/>
        </w:rPr>
        <w:t>is the MDF’s</w:t>
      </w:r>
      <w:r w:rsidR="00C34FD2" w:rsidRPr="00B6769E">
        <w:rPr>
          <w:rFonts w:asciiTheme="minorHAnsi" w:hAnsiTheme="minorHAnsi"/>
          <w:color w:val="495965" w:themeColor="text2"/>
          <w:sz w:val="22"/>
        </w:rPr>
        <w:t xml:space="preserve"> agreement with local tourism web based booking operator, Village Huts</w:t>
      </w:r>
      <w:r w:rsidR="00DA447E" w:rsidRPr="00B6769E">
        <w:rPr>
          <w:rFonts w:asciiTheme="minorHAnsi" w:hAnsiTheme="minorHAnsi"/>
          <w:color w:val="495965" w:themeColor="text2"/>
          <w:sz w:val="22"/>
        </w:rPr>
        <w:t xml:space="preserve">, </w:t>
      </w:r>
      <w:r w:rsidR="00C34FD2" w:rsidRPr="00B6769E">
        <w:rPr>
          <w:rFonts w:asciiTheme="minorHAnsi" w:hAnsiTheme="minorHAnsi"/>
          <w:color w:val="495965" w:themeColor="text2"/>
          <w:sz w:val="22"/>
        </w:rPr>
        <w:t>to expand its tours and village stays into new rural areas and improve existing services through a quality assurance accreditation scheme.</w:t>
      </w:r>
    </w:p>
    <w:p w:rsidR="00FF5B4B" w:rsidRPr="00B6769E" w:rsidRDefault="00FF5B4B" w:rsidP="00CD131A">
      <w:pPr>
        <w:pStyle w:val="BodyText"/>
        <w:spacing w:before="120" w:after="120"/>
        <w:rPr>
          <w:rFonts w:asciiTheme="minorHAnsi" w:hAnsiTheme="minorHAnsi"/>
          <w:color w:val="495965" w:themeColor="text2"/>
          <w:sz w:val="22"/>
        </w:rPr>
      </w:pPr>
      <w:r w:rsidRPr="00B6769E">
        <w:rPr>
          <w:rFonts w:asciiTheme="minorHAnsi" w:hAnsiTheme="minorHAnsi"/>
          <w:i/>
          <w:color w:val="495965" w:themeColor="text2"/>
          <w:sz w:val="22"/>
        </w:rPr>
        <w:t>Outlook</w:t>
      </w:r>
    </w:p>
    <w:p w:rsidR="00F96336" w:rsidRPr="00B6769E" w:rsidRDefault="0046409F"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Key risks to private sector development and economic growth are the challenges of maintaining a stable and attractive business investment climate.</w:t>
      </w:r>
      <w:r w:rsidR="00896918" w:rsidRPr="00B6769E">
        <w:rPr>
          <w:rFonts w:asciiTheme="minorHAnsi" w:hAnsiTheme="minorHAnsi"/>
          <w:color w:val="495965" w:themeColor="text2"/>
          <w:sz w:val="22"/>
        </w:rPr>
        <w:t xml:space="preserve">  PNG economic and fiscal policies directly impact</w:t>
      </w:r>
      <w:r w:rsidRPr="00B6769E">
        <w:rPr>
          <w:rFonts w:asciiTheme="minorHAnsi" w:hAnsiTheme="minorHAnsi"/>
          <w:color w:val="495965" w:themeColor="text2"/>
          <w:sz w:val="22"/>
        </w:rPr>
        <w:t xml:space="preserve"> on the willingness </w:t>
      </w:r>
      <w:r w:rsidR="00102F68" w:rsidRPr="00B6769E">
        <w:rPr>
          <w:rFonts w:asciiTheme="minorHAnsi" w:hAnsiTheme="minorHAnsi"/>
          <w:color w:val="495965" w:themeColor="text2"/>
          <w:sz w:val="22"/>
        </w:rPr>
        <w:t>of the private sector to invest</w:t>
      </w:r>
      <w:r w:rsidR="001D2DD9">
        <w:rPr>
          <w:rFonts w:asciiTheme="minorHAnsi" w:hAnsiTheme="minorHAnsi"/>
          <w:color w:val="495965" w:themeColor="text2"/>
          <w:sz w:val="22"/>
        </w:rPr>
        <w:t>,</w:t>
      </w:r>
      <w:r w:rsidR="004D0580">
        <w:rPr>
          <w:rFonts w:asciiTheme="minorHAnsi" w:hAnsiTheme="minorHAnsi"/>
          <w:color w:val="495965" w:themeColor="text2"/>
          <w:sz w:val="22"/>
        </w:rPr>
        <w:t xml:space="preserve"> and </w:t>
      </w:r>
      <w:r w:rsidRPr="00B6769E">
        <w:rPr>
          <w:rFonts w:asciiTheme="minorHAnsi" w:hAnsiTheme="minorHAnsi"/>
          <w:color w:val="495965" w:themeColor="text2"/>
          <w:sz w:val="22"/>
        </w:rPr>
        <w:t>the job creation and public revenues that flow from economic growth.</w:t>
      </w:r>
    </w:p>
    <w:p w:rsidR="00F96336" w:rsidRPr="00AA1AAF" w:rsidRDefault="00F96336" w:rsidP="00AA1AAF">
      <w:pPr>
        <w:pStyle w:val="Heading3"/>
        <w:rPr>
          <w:rFonts w:eastAsia="Times New Roman"/>
          <w:sz w:val="38"/>
          <w:szCs w:val="38"/>
        </w:rPr>
      </w:pPr>
      <w:r w:rsidRPr="00AA1AAF">
        <w:rPr>
          <w:rFonts w:eastAsia="Times New Roman"/>
          <w:sz w:val="38"/>
          <w:szCs w:val="38"/>
        </w:rPr>
        <w:t>AUTONOMOUS REGION OF BOUGAINVILLE</w:t>
      </w:r>
    </w:p>
    <w:p w:rsidR="00546FCC" w:rsidRPr="00B6769E" w:rsidRDefault="00637DE6"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T</w:t>
      </w:r>
      <w:r w:rsidR="00546FCC" w:rsidRPr="00B6769E">
        <w:rPr>
          <w:rFonts w:asciiTheme="minorHAnsi" w:hAnsiTheme="minorHAnsi"/>
          <w:color w:val="495965" w:themeColor="text2"/>
          <w:sz w:val="22"/>
        </w:rPr>
        <w:t xml:space="preserve">he focus of Australia's </w:t>
      </w:r>
      <w:r w:rsidR="00F84ABF">
        <w:rPr>
          <w:rFonts w:asciiTheme="minorHAnsi" w:hAnsiTheme="minorHAnsi"/>
          <w:color w:val="495965" w:themeColor="text2"/>
          <w:sz w:val="22"/>
        </w:rPr>
        <w:t>development assistance</w:t>
      </w:r>
      <w:r w:rsidR="00546FCC" w:rsidRPr="00B6769E">
        <w:rPr>
          <w:rFonts w:asciiTheme="minorHAnsi" w:hAnsiTheme="minorHAnsi"/>
          <w:color w:val="495965" w:themeColor="text2"/>
          <w:sz w:val="22"/>
        </w:rPr>
        <w:t xml:space="preserve"> in Bougainville is to enhance stability </w:t>
      </w:r>
      <w:r w:rsidR="00891183" w:rsidRPr="00B6769E">
        <w:rPr>
          <w:rFonts w:asciiTheme="minorHAnsi" w:hAnsiTheme="minorHAnsi"/>
          <w:color w:val="495965" w:themeColor="text2"/>
          <w:sz w:val="22"/>
        </w:rPr>
        <w:t>and support development as Bougainville moves through the final stages of the peace process</w:t>
      </w:r>
      <w:r w:rsidR="00F84ABF">
        <w:rPr>
          <w:rFonts w:asciiTheme="minorHAnsi" w:hAnsiTheme="minorHAnsi"/>
          <w:color w:val="495965" w:themeColor="text2"/>
          <w:sz w:val="22"/>
        </w:rPr>
        <w:t xml:space="preserve">. Australia </w:t>
      </w:r>
      <w:r w:rsidR="00546FCC" w:rsidRPr="00B6769E">
        <w:rPr>
          <w:rFonts w:asciiTheme="minorHAnsi" w:hAnsiTheme="minorHAnsi"/>
          <w:color w:val="495965" w:themeColor="text2"/>
          <w:sz w:val="22"/>
        </w:rPr>
        <w:t>supports the shared PNG and Autonomous Bougainville Government (ABG) priorities of stability, security,</w:t>
      </w:r>
      <w:r w:rsidR="00B727C9" w:rsidRPr="00B6769E">
        <w:rPr>
          <w:rFonts w:asciiTheme="minorHAnsi" w:hAnsiTheme="minorHAnsi"/>
          <w:color w:val="495965" w:themeColor="text2"/>
          <w:sz w:val="22"/>
        </w:rPr>
        <w:t xml:space="preserve"> and</w:t>
      </w:r>
      <w:r w:rsidR="00546FCC" w:rsidRPr="00B6769E">
        <w:rPr>
          <w:rFonts w:asciiTheme="minorHAnsi" w:hAnsiTheme="minorHAnsi"/>
          <w:color w:val="495965" w:themeColor="text2"/>
          <w:sz w:val="22"/>
        </w:rPr>
        <w:t xml:space="preserve"> economic and social development. Aust</w:t>
      </w:r>
      <w:r w:rsidR="0014247A" w:rsidRPr="00B6769E">
        <w:rPr>
          <w:rFonts w:asciiTheme="minorHAnsi" w:hAnsiTheme="minorHAnsi"/>
          <w:color w:val="495965" w:themeColor="text2"/>
          <w:sz w:val="22"/>
        </w:rPr>
        <w:t>ralia's main objectives are to</w:t>
      </w:r>
      <w:r w:rsidR="008816E5" w:rsidRPr="00B6769E">
        <w:rPr>
          <w:rFonts w:asciiTheme="minorHAnsi" w:hAnsiTheme="minorHAnsi"/>
          <w:color w:val="495965" w:themeColor="text2"/>
          <w:sz w:val="22"/>
        </w:rPr>
        <w:t>:</w:t>
      </w:r>
      <w:r w:rsidR="0014247A" w:rsidRPr="00B6769E">
        <w:rPr>
          <w:rFonts w:asciiTheme="minorHAnsi" w:hAnsiTheme="minorHAnsi"/>
          <w:color w:val="495965" w:themeColor="text2"/>
          <w:sz w:val="22"/>
        </w:rPr>
        <w:t xml:space="preserve"> </w:t>
      </w:r>
      <w:r w:rsidR="00546FCC" w:rsidRPr="00B6769E">
        <w:rPr>
          <w:rFonts w:asciiTheme="minorHAnsi" w:hAnsiTheme="minorHAnsi"/>
          <w:color w:val="495965" w:themeColor="text2"/>
          <w:sz w:val="22"/>
        </w:rPr>
        <w:t>improve the performance of the ABG and PNG Government in delivering autonomy and responsive governance</w:t>
      </w:r>
      <w:r w:rsidR="0014247A" w:rsidRPr="00B6769E">
        <w:rPr>
          <w:rFonts w:asciiTheme="minorHAnsi" w:hAnsiTheme="minorHAnsi"/>
          <w:color w:val="495965" w:themeColor="text2"/>
          <w:sz w:val="22"/>
        </w:rPr>
        <w:t xml:space="preserve">; </w:t>
      </w:r>
      <w:r w:rsidR="00546FCC" w:rsidRPr="00B6769E">
        <w:rPr>
          <w:rFonts w:asciiTheme="minorHAnsi" w:hAnsiTheme="minorHAnsi"/>
          <w:color w:val="495965" w:themeColor="text2"/>
          <w:sz w:val="22"/>
        </w:rPr>
        <w:t xml:space="preserve">strengthen peace, stability and community </w:t>
      </w:r>
      <w:r w:rsidR="009F1F48" w:rsidRPr="00B6769E">
        <w:rPr>
          <w:rFonts w:asciiTheme="minorHAnsi" w:hAnsiTheme="minorHAnsi"/>
          <w:color w:val="495965" w:themeColor="text2"/>
          <w:sz w:val="22"/>
        </w:rPr>
        <w:t>cohesion;</w:t>
      </w:r>
      <w:r w:rsidR="0014247A" w:rsidRPr="00B6769E">
        <w:rPr>
          <w:rFonts w:asciiTheme="minorHAnsi" w:hAnsiTheme="minorHAnsi"/>
          <w:color w:val="495965" w:themeColor="text2"/>
          <w:sz w:val="22"/>
        </w:rPr>
        <w:t xml:space="preserve"> </w:t>
      </w:r>
      <w:r w:rsidR="00546FCC" w:rsidRPr="00B6769E">
        <w:rPr>
          <w:rFonts w:asciiTheme="minorHAnsi" w:hAnsiTheme="minorHAnsi"/>
          <w:color w:val="495965" w:themeColor="text2"/>
          <w:sz w:val="22"/>
        </w:rPr>
        <w:t>achieve sustainable and inclusive economic development</w:t>
      </w:r>
      <w:r w:rsidR="0014247A" w:rsidRPr="00B6769E">
        <w:rPr>
          <w:rFonts w:asciiTheme="minorHAnsi" w:hAnsiTheme="minorHAnsi"/>
          <w:color w:val="495965" w:themeColor="text2"/>
          <w:sz w:val="22"/>
        </w:rPr>
        <w:t xml:space="preserve">; and </w:t>
      </w:r>
      <w:r w:rsidR="00546FCC" w:rsidRPr="00B6769E">
        <w:rPr>
          <w:rFonts w:asciiTheme="minorHAnsi" w:hAnsiTheme="minorHAnsi"/>
          <w:color w:val="495965" w:themeColor="text2"/>
          <w:sz w:val="22"/>
        </w:rPr>
        <w:t>improve delivery of basic social services.</w:t>
      </w:r>
      <w:r w:rsidR="00944DAD" w:rsidRPr="00B6769E">
        <w:rPr>
          <w:rFonts w:asciiTheme="minorHAnsi" w:hAnsiTheme="minorHAnsi"/>
          <w:color w:val="495965" w:themeColor="text2"/>
          <w:sz w:val="22"/>
        </w:rPr>
        <w:t xml:space="preserve"> </w:t>
      </w:r>
      <w:r w:rsidR="00546FCC" w:rsidRPr="00B6769E">
        <w:rPr>
          <w:rFonts w:asciiTheme="minorHAnsi" w:hAnsiTheme="minorHAnsi"/>
          <w:color w:val="495965" w:themeColor="text2"/>
          <w:sz w:val="22"/>
        </w:rPr>
        <w:t xml:space="preserve">Empowering women and youth are cross-cutting priorities. </w:t>
      </w:r>
      <w:r w:rsidR="008816E5" w:rsidRPr="00B6769E">
        <w:rPr>
          <w:rFonts w:asciiTheme="minorHAnsi" w:hAnsiTheme="minorHAnsi"/>
          <w:color w:val="495965" w:themeColor="text2"/>
          <w:sz w:val="22"/>
        </w:rPr>
        <w:t>We also assist</w:t>
      </w:r>
      <w:r w:rsidR="00546FCC" w:rsidRPr="00B6769E">
        <w:rPr>
          <w:rFonts w:asciiTheme="minorHAnsi" w:hAnsiTheme="minorHAnsi"/>
          <w:color w:val="495965" w:themeColor="text2"/>
          <w:sz w:val="22"/>
        </w:rPr>
        <w:t xml:space="preserve"> the ABG to improve its transparency, accountability and communications to build the confidence of </w:t>
      </w:r>
      <w:proofErr w:type="spellStart"/>
      <w:r w:rsidR="00546FCC" w:rsidRPr="00B6769E">
        <w:rPr>
          <w:rFonts w:asciiTheme="minorHAnsi" w:hAnsiTheme="minorHAnsi"/>
          <w:color w:val="495965" w:themeColor="text2"/>
          <w:sz w:val="22"/>
        </w:rPr>
        <w:t>Bougainvilleans</w:t>
      </w:r>
      <w:proofErr w:type="spellEnd"/>
      <w:r w:rsidR="00546FCC" w:rsidRPr="00B6769E">
        <w:rPr>
          <w:rFonts w:asciiTheme="minorHAnsi" w:hAnsiTheme="minorHAnsi"/>
          <w:color w:val="495965" w:themeColor="text2"/>
          <w:sz w:val="22"/>
        </w:rPr>
        <w:t xml:space="preserve"> in the ABG.</w:t>
      </w:r>
    </w:p>
    <w:p w:rsidR="00935000" w:rsidRPr="001110F5" w:rsidRDefault="00891183" w:rsidP="00CD131A">
      <w:pPr>
        <w:pStyle w:val="BodyText"/>
        <w:spacing w:before="120" w:after="120"/>
        <w:rPr>
          <w:rFonts w:asciiTheme="minorHAnsi" w:hAnsiTheme="minorHAnsi"/>
          <w:color w:val="495965" w:themeColor="text2"/>
          <w:sz w:val="22"/>
        </w:rPr>
      </w:pPr>
      <w:r w:rsidRPr="001110F5">
        <w:rPr>
          <w:rFonts w:asciiTheme="minorHAnsi" w:hAnsiTheme="minorHAnsi"/>
          <w:color w:val="495965" w:themeColor="text2"/>
          <w:sz w:val="22"/>
        </w:rPr>
        <w:lastRenderedPageBreak/>
        <w:t>Consistent with Australia’s agreement with the PNG Government to increase Australia’s aid contribution to Bougainville as a proportion of total aid to PNG</w:t>
      </w:r>
      <w:r w:rsidR="00546FCC" w:rsidRPr="001110F5">
        <w:rPr>
          <w:rFonts w:asciiTheme="minorHAnsi" w:hAnsiTheme="minorHAnsi"/>
          <w:color w:val="495965" w:themeColor="text2"/>
          <w:sz w:val="22"/>
        </w:rPr>
        <w:t xml:space="preserve">, Australia delivered around $47.4 million </w:t>
      </w:r>
      <w:r w:rsidR="00B727C9" w:rsidRPr="001110F5">
        <w:rPr>
          <w:rFonts w:asciiTheme="minorHAnsi" w:hAnsiTheme="minorHAnsi"/>
          <w:color w:val="495965" w:themeColor="text2"/>
          <w:sz w:val="22"/>
        </w:rPr>
        <w:t xml:space="preserve">(PGK114.6 million) </w:t>
      </w:r>
      <w:r w:rsidR="00546FCC" w:rsidRPr="001110F5">
        <w:rPr>
          <w:rFonts w:asciiTheme="minorHAnsi" w:hAnsiTheme="minorHAnsi"/>
          <w:color w:val="495965" w:themeColor="text2"/>
          <w:sz w:val="22"/>
        </w:rPr>
        <w:t xml:space="preserve">in assistance in 2015-16, an increase of $1.9 million </w:t>
      </w:r>
      <w:r w:rsidR="00B727C9" w:rsidRPr="001110F5">
        <w:rPr>
          <w:rFonts w:asciiTheme="minorHAnsi" w:hAnsiTheme="minorHAnsi"/>
          <w:color w:val="495965" w:themeColor="text2"/>
          <w:sz w:val="22"/>
        </w:rPr>
        <w:t xml:space="preserve">(PGK4.6 million) </w:t>
      </w:r>
      <w:r w:rsidR="00546FCC" w:rsidRPr="001110F5">
        <w:rPr>
          <w:rFonts w:asciiTheme="minorHAnsi" w:hAnsiTheme="minorHAnsi"/>
          <w:color w:val="495965" w:themeColor="text2"/>
          <w:sz w:val="22"/>
        </w:rPr>
        <w:t xml:space="preserve">on 2014-15. </w:t>
      </w:r>
      <w:r w:rsidR="00C77F73" w:rsidRPr="001110F5">
        <w:rPr>
          <w:rFonts w:asciiTheme="minorHAnsi" w:hAnsiTheme="minorHAnsi"/>
          <w:color w:val="495965" w:themeColor="text2"/>
          <w:sz w:val="22"/>
        </w:rPr>
        <w:t>Around</w:t>
      </w:r>
      <w:r w:rsidR="008816E5" w:rsidRPr="001110F5">
        <w:rPr>
          <w:rFonts w:asciiTheme="minorHAnsi" w:hAnsiTheme="minorHAnsi"/>
          <w:color w:val="495965" w:themeColor="text2"/>
          <w:sz w:val="22"/>
        </w:rPr>
        <w:t xml:space="preserve"> 60</w:t>
      </w:r>
      <w:r w:rsidR="00546FCC" w:rsidRPr="001110F5">
        <w:rPr>
          <w:rFonts w:asciiTheme="minorHAnsi" w:hAnsiTheme="minorHAnsi"/>
          <w:color w:val="495965" w:themeColor="text2"/>
          <w:sz w:val="22"/>
        </w:rPr>
        <w:t xml:space="preserve"> per cent of </w:t>
      </w:r>
      <w:r w:rsidR="00C77F73" w:rsidRPr="001110F5">
        <w:rPr>
          <w:rFonts w:asciiTheme="minorHAnsi" w:hAnsiTheme="minorHAnsi"/>
          <w:color w:val="495965" w:themeColor="text2"/>
          <w:sz w:val="22"/>
        </w:rPr>
        <w:t xml:space="preserve">this figure comprises </w:t>
      </w:r>
      <w:r w:rsidR="00546FCC" w:rsidRPr="001110F5">
        <w:rPr>
          <w:rFonts w:asciiTheme="minorHAnsi" w:hAnsiTheme="minorHAnsi"/>
          <w:color w:val="495965" w:themeColor="text2"/>
          <w:sz w:val="22"/>
        </w:rPr>
        <w:t xml:space="preserve">Australia's support through </w:t>
      </w:r>
      <w:r w:rsidRPr="001110F5">
        <w:rPr>
          <w:rFonts w:asciiTheme="minorHAnsi" w:hAnsiTheme="minorHAnsi"/>
          <w:color w:val="495965" w:themeColor="text2"/>
          <w:sz w:val="22"/>
        </w:rPr>
        <w:t>PNG-wide</w:t>
      </w:r>
      <w:r w:rsidR="00546FCC" w:rsidRPr="001110F5">
        <w:rPr>
          <w:rFonts w:asciiTheme="minorHAnsi" w:hAnsiTheme="minorHAnsi"/>
          <w:color w:val="495965" w:themeColor="text2"/>
          <w:sz w:val="22"/>
        </w:rPr>
        <w:t xml:space="preserve"> programs in the areas of health, law and justice, transport infrastructure and education</w:t>
      </w:r>
      <w:r w:rsidR="00C77F73" w:rsidRPr="001110F5">
        <w:rPr>
          <w:rFonts w:asciiTheme="minorHAnsi" w:hAnsiTheme="minorHAnsi"/>
          <w:color w:val="495965" w:themeColor="text2"/>
          <w:sz w:val="22"/>
        </w:rPr>
        <w:t>, as described in this report</w:t>
      </w:r>
      <w:r w:rsidR="00546FCC" w:rsidRPr="001110F5">
        <w:rPr>
          <w:rFonts w:asciiTheme="minorHAnsi" w:hAnsiTheme="minorHAnsi"/>
          <w:color w:val="495965" w:themeColor="text2"/>
          <w:sz w:val="22"/>
        </w:rPr>
        <w:t xml:space="preserve">. The remaining 40 per cent was </w:t>
      </w:r>
      <w:r w:rsidR="003F759C">
        <w:rPr>
          <w:rFonts w:asciiTheme="minorHAnsi" w:hAnsiTheme="minorHAnsi"/>
          <w:color w:val="495965" w:themeColor="text2"/>
          <w:sz w:val="22"/>
        </w:rPr>
        <w:t xml:space="preserve">delivered through </w:t>
      </w:r>
      <w:r w:rsidRPr="001110F5">
        <w:rPr>
          <w:rFonts w:asciiTheme="minorHAnsi" w:hAnsiTheme="minorHAnsi"/>
          <w:color w:val="495965" w:themeColor="text2"/>
          <w:sz w:val="22"/>
        </w:rPr>
        <w:t>dedicated Bougainville program</w:t>
      </w:r>
      <w:r w:rsidR="003F759C">
        <w:rPr>
          <w:rFonts w:asciiTheme="minorHAnsi" w:hAnsiTheme="minorHAnsi"/>
          <w:color w:val="495965" w:themeColor="text2"/>
          <w:sz w:val="22"/>
        </w:rPr>
        <w:t>s</w:t>
      </w:r>
      <w:r w:rsidRPr="001110F5">
        <w:rPr>
          <w:rFonts w:asciiTheme="minorHAnsi" w:hAnsiTheme="minorHAnsi"/>
          <w:color w:val="495965" w:themeColor="text2"/>
          <w:sz w:val="22"/>
        </w:rPr>
        <w:t xml:space="preserve"> </w:t>
      </w:r>
      <w:r w:rsidR="00546FCC" w:rsidRPr="001110F5">
        <w:rPr>
          <w:rFonts w:asciiTheme="minorHAnsi" w:hAnsiTheme="minorHAnsi"/>
          <w:color w:val="495965" w:themeColor="text2"/>
          <w:sz w:val="22"/>
        </w:rPr>
        <w:t>aimed at improved governance, economic development, gender</w:t>
      </w:r>
      <w:r w:rsidR="00102F68" w:rsidRPr="001110F5">
        <w:rPr>
          <w:rFonts w:asciiTheme="minorHAnsi" w:hAnsiTheme="minorHAnsi"/>
          <w:color w:val="495965" w:themeColor="text2"/>
          <w:sz w:val="22"/>
        </w:rPr>
        <w:t xml:space="preserve"> equality</w:t>
      </w:r>
      <w:r w:rsidR="00546FCC" w:rsidRPr="001110F5">
        <w:rPr>
          <w:rFonts w:asciiTheme="minorHAnsi" w:hAnsiTheme="minorHAnsi"/>
          <w:color w:val="495965" w:themeColor="text2"/>
          <w:sz w:val="22"/>
        </w:rPr>
        <w:t>, youth and pe</w:t>
      </w:r>
      <w:r w:rsidR="00EE6A53" w:rsidRPr="001110F5">
        <w:rPr>
          <w:rFonts w:asciiTheme="minorHAnsi" w:hAnsiTheme="minorHAnsi"/>
          <w:color w:val="495965" w:themeColor="text2"/>
          <w:sz w:val="22"/>
        </w:rPr>
        <w:t xml:space="preserve">ace building. </w:t>
      </w:r>
    </w:p>
    <w:p w:rsidR="00546FCC" w:rsidRPr="00B6769E" w:rsidRDefault="00546FCC"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Through the Governance and Implementation Fund (GIF), which is co-funded with New Zealand, Australia provided comprehensive technical advice and project based support to key ABG departments. Outcomes in 2015-16 included the development of the Act relating to the formulation of Bougainville's community (local-level) government. The Act will bring reform to community governance, including a requirement for each government to have one male and one female member. Elections may be held in November 2016. </w:t>
      </w:r>
      <w:r w:rsidR="008816E5" w:rsidRPr="00B6769E">
        <w:rPr>
          <w:rFonts w:asciiTheme="minorHAnsi" w:hAnsiTheme="minorHAnsi"/>
          <w:color w:val="495965" w:themeColor="text2"/>
          <w:sz w:val="22"/>
        </w:rPr>
        <w:t>We also</w:t>
      </w:r>
      <w:r w:rsidRPr="00B6769E">
        <w:rPr>
          <w:rFonts w:asciiTheme="minorHAnsi" w:hAnsiTheme="minorHAnsi"/>
          <w:color w:val="495965" w:themeColor="text2"/>
          <w:sz w:val="22"/>
        </w:rPr>
        <w:t xml:space="preserve"> assisted the ABG to complete and launch comprehensive infrastructure profiles for Bougainville's 13 districts. The profiles map current land use and infrastructure and budgetary information, as a basis for districts to plan their infrastructure priorities for </w:t>
      </w:r>
      <w:r w:rsidR="001A10FD">
        <w:rPr>
          <w:rFonts w:asciiTheme="minorHAnsi" w:hAnsiTheme="minorHAnsi"/>
          <w:color w:val="495965" w:themeColor="text2"/>
          <w:sz w:val="22"/>
        </w:rPr>
        <w:t xml:space="preserve">the </w:t>
      </w:r>
      <w:r w:rsidRPr="00B6769E">
        <w:rPr>
          <w:rFonts w:asciiTheme="minorHAnsi" w:hAnsiTheme="minorHAnsi"/>
          <w:color w:val="495965" w:themeColor="text2"/>
          <w:sz w:val="22"/>
        </w:rPr>
        <w:t>coming year</w:t>
      </w:r>
      <w:r w:rsidR="006422A1" w:rsidRPr="00B6769E">
        <w:rPr>
          <w:rFonts w:asciiTheme="minorHAnsi" w:hAnsiTheme="minorHAnsi"/>
          <w:color w:val="495965" w:themeColor="text2"/>
          <w:sz w:val="22"/>
        </w:rPr>
        <w:t xml:space="preserve"> and beyond</w:t>
      </w:r>
      <w:r w:rsidRPr="00B6769E">
        <w:rPr>
          <w:rFonts w:asciiTheme="minorHAnsi" w:hAnsiTheme="minorHAnsi"/>
          <w:color w:val="495965" w:themeColor="text2"/>
          <w:sz w:val="22"/>
        </w:rPr>
        <w:t xml:space="preserve">. </w:t>
      </w:r>
    </w:p>
    <w:p w:rsidR="00546FCC" w:rsidRPr="00B6769E" w:rsidRDefault="00666FF5" w:rsidP="00CD131A">
      <w:pPr>
        <w:pStyle w:val="BodyText"/>
        <w:spacing w:before="120" w:after="120"/>
        <w:rPr>
          <w:rFonts w:asciiTheme="minorHAnsi" w:hAnsiTheme="minorHAnsi"/>
          <w:color w:val="495965" w:themeColor="text2"/>
          <w:sz w:val="22"/>
        </w:rPr>
      </w:pPr>
      <w:r w:rsidRPr="00B6769E">
        <w:rPr>
          <w:rFonts w:asciiTheme="minorHAnsi" w:hAnsiTheme="minorHAnsi"/>
          <w:noProof/>
          <w:sz w:val="24"/>
        </w:rPr>
        <mc:AlternateContent>
          <mc:Choice Requires="wps">
            <w:drawing>
              <wp:anchor distT="0" distB="0" distL="114300" distR="114300" simplePos="0" relativeHeight="251706368" behindDoc="1" locked="0" layoutInCell="1" allowOverlap="1" wp14:anchorId="5CA9FF07" wp14:editId="00A98BC9">
                <wp:simplePos x="0" y="0"/>
                <wp:positionH relativeFrom="column">
                  <wp:posOffset>19050</wp:posOffset>
                </wp:positionH>
                <wp:positionV relativeFrom="paragraph">
                  <wp:posOffset>410845</wp:posOffset>
                </wp:positionV>
                <wp:extent cx="2472690" cy="786765"/>
                <wp:effectExtent l="0" t="0" r="22860" b="13335"/>
                <wp:wrapTight wrapText="bothSides">
                  <wp:wrapPolygon edited="0">
                    <wp:start x="0" y="0"/>
                    <wp:lineTo x="0" y="21443"/>
                    <wp:lineTo x="21633" y="21443"/>
                    <wp:lineTo x="21633"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786765"/>
                        </a:xfrm>
                        <a:prstGeom prst="rect">
                          <a:avLst/>
                        </a:prstGeom>
                        <a:solidFill>
                          <a:sysClr val="window" lastClr="FFFFFF"/>
                        </a:solidFill>
                        <a:ln w="25400" cap="flat" cmpd="sng" algn="ctr">
                          <a:solidFill>
                            <a:srgbClr val="65C5B4"/>
                          </a:solidFill>
                          <a:prstDash val="solid"/>
                          <a:headEnd/>
                          <a:tailEnd/>
                        </a:ln>
                        <a:effectLst/>
                      </wps:spPr>
                      <wps:txbx>
                        <w:txbxContent>
                          <w:p w:rsidR="00B80664" w:rsidRPr="00065B59" w:rsidRDefault="00B80664" w:rsidP="00666FF5">
                            <w:pPr>
                              <w:rPr>
                                <w:sz w:val="21"/>
                                <w:szCs w:val="21"/>
                              </w:rPr>
                            </w:pPr>
                            <w:r w:rsidRPr="00065B59">
                              <w:rPr>
                                <w:rFonts w:ascii="Franklin Gothic Book" w:hAnsi="Franklin Gothic Book"/>
                                <w:sz w:val="21"/>
                                <w:szCs w:val="21"/>
                              </w:rPr>
                              <w:t xml:space="preserve">We assisted 40 </w:t>
                            </w:r>
                            <w:proofErr w:type="spellStart"/>
                            <w:r w:rsidRPr="00065B59">
                              <w:rPr>
                                <w:rFonts w:ascii="Franklin Gothic Book" w:hAnsi="Franklin Gothic Book"/>
                                <w:sz w:val="21"/>
                                <w:szCs w:val="21"/>
                              </w:rPr>
                              <w:t>Bougainvilleans</w:t>
                            </w:r>
                            <w:proofErr w:type="spellEnd"/>
                            <w:r w:rsidRPr="00065B59">
                              <w:rPr>
                                <w:rFonts w:ascii="Franklin Gothic Book" w:hAnsi="Franklin Gothic Book"/>
                                <w:sz w:val="21"/>
                                <w:szCs w:val="21"/>
                              </w:rPr>
                              <w:t>, including 16 women, to graduate from a program which qualified them for police entry-level training.</w:t>
                            </w:r>
                            <w:r w:rsidRPr="00065B59" w:rsidDel="00CC6064">
                              <w:rPr>
                                <w:rFonts w:ascii="Franklin Gothic Book" w:hAnsi="Franklin Gothic Book"/>
                                <w:sz w:val="21"/>
                                <w:szCs w:val="21"/>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CA9FF07" id="_x0000_s1033" type="#_x0000_t202" style="position:absolute;margin-left:1.5pt;margin-top:32.35pt;width:194.7pt;height:61.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" fillcolor="window" strokecolor="#65c5b4" strokeweight="2pt">
                <v:textbox>
                  <w:txbxContent>
                    <w:p w:rsidR="00B80664" w:rsidRPr="00065B59" w:rsidRDefault="00B80664" w:rsidP="00666FF5">
                      <w:pPr>
                        <w:rPr>
                          <w:sz w:val="21"/>
                          <w:szCs w:val="21"/>
                        </w:rPr>
                      </w:pPr>
                      <w:r w:rsidRPr="00065B59">
                        <w:rPr>
                          <w:rFonts w:ascii="Franklin Gothic Book" w:hAnsi="Franklin Gothic Book"/>
                          <w:sz w:val="21"/>
                          <w:szCs w:val="21"/>
                        </w:rPr>
                        <w:t xml:space="preserve">We assisted 40 </w:t>
                      </w:r>
                      <w:proofErr w:type="spellStart"/>
                      <w:r w:rsidRPr="00065B59">
                        <w:rPr>
                          <w:rFonts w:ascii="Franklin Gothic Book" w:hAnsi="Franklin Gothic Book"/>
                          <w:sz w:val="21"/>
                          <w:szCs w:val="21"/>
                        </w:rPr>
                        <w:t>Bougainvilleans</w:t>
                      </w:r>
                      <w:proofErr w:type="spellEnd"/>
                      <w:r w:rsidRPr="00065B59">
                        <w:rPr>
                          <w:rFonts w:ascii="Franklin Gothic Book" w:hAnsi="Franklin Gothic Book"/>
                          <w:sz w:val="21"/>
                          <w:szCs w:val="21"/>
                        </w:rPr>
                        <w:t xml:space="preserve">, including 16 women, to graduate from a </w:t>
                      </w:r>
                      <w:proofErr w:type="gramStart"/>
                      <w:r w:rsidRPr="00065B59">
                        <w:rPr>
                          <w:rFonts w:ascii="Franklin Gothic Book" w:hAnsi="Franklin Gothic Book"/>
                          <w:sz w:val="21"/>
                          <w:szCs w:val="21"/>
                        </w:rPr>
                        <w:t>program which</w:t>
                      </w:r>
                      <w:proofErr w:type="gramEnd"/>
                      <w:r w:rsidRPr="00065B59">
                        <w:rPr>
                          <w:rFonts w:ascii="Franklin Gothic Book" w:hAnsi="Franklin Gothic Book"/>
                          <w:sz w:val="21"/>
                          <w:szCs w:val="21"/>
                        </w:rPr>
                        <w:t xml:space="preserve"> qualified them for police entry-level training.</w:t>
                      </w:r>
                      <w:r w:rsidRPr="00065B59" w:rsidDel="00CC6064">
                        <w:rPr>
                          <w:rFonts w:ascii="Franklin Gothic Book" w:hAnsi="Franklin Gothic Book"/>
                          <w:sz w:val="21"/>
                          <w:szCs w:val="21"/>
                        </w:rPr>
                        <w:t xml:space="preserve"> </w:t>
                      </w:r>
                    </w:p>
                  </w:txbxContent>
                </v:textbox>
                <w10:wrap type="tight"/>
              </v:shape>
            </w:pict>
          </mc:Fallback>
        </mc:AlternateContent>
      </w:r>
      <w:r w:rsidR="00546FCC" w:rsidRPr="00B6769E">
        <w:rPr>
          <w:rFonts w:asciiTheme="minorHAnsi" w:hAnsiTheme="minorHAnsi"/>
          <w:color w:val="495965" w:themeColor="text2"/>
          <w:sz w:val="22"/>
        </w:rPr>
        <w:t>Australia supported peace</w:t>
      </w:r>
      <w:r w:rsidR="001A10FD">
        <w:rPr>
          <w:rFonts w:asciiTheme="minorHAnsi" w:hAnsiTheme="minorHAnsi"/>
          <w:color w:val="495965" w:themeColor="text2"/>
          <w:sz w:val="22"/>
        </w:rPr>
        <w:t xml:space="preserve"> </w:t>
      </w:r>
      <w:r w:rsidR="00546FCC" w:rsidRPr="00B6769E">
        <w:rPr>
          <w:rFonts w:asciiTheme="minorHAnsi" w:hAnsiTheme="minorHAnsi"/>
          <w:color w:val="495965" w:themeColor="text2"/>
          <w:sz w:val="22"/>
        </w:rPr>
        <w:t>building through the Bougainville Peace B</w:t>
      </w:r>
      <w:r w:rsidR="00891077">
        <w:rPr>
          <w:rFonts w:asciiTheme="minorHAnsi" w:hAnsiTheme="minorHAnsi"/>
          <w:color w:val="495965" w:themeColor="text2"/>
          <w:sz w:val="22"/>
        </w:rPr>
        <w:t>uilding Program (BPBP), which is</w:t>
      </w:r>
      <w:r w:rsidR="00546FCC" w:rsidRPr="00B6769E">
        <w:rPr>
          <w:rFonts w:asciiTheme="minorHAnsi" w:hAnsiTheme="minorHAnsi"/>
          <w:color w:val="495965" w:themeColor="text2"/>
          <w:sz w:val="22"/>
        </w:rPr>
        <w:t xml:space="preserve"> co-funded by Australia and the ABG. The program focuses on community and traditional approaches to reconciling issues and grievances stemming from the Bougainville crisis. The program's successes included important reconciliations in </w:t>
      </w:r>
      <w:r w:rsidR="00B727C9" w:rsidRPr="00B6769E">
        <w:rPr>
          <w:rFonts w:asciiTheme="minorHAnsi" w:hAnsiTheme="minorHAnsi"/>
          <w:color w:val="495965" w:themeColor="text2"/>
          <w:sz w:val="22"/>
        </w:rPr>
        <w:t>C</w:t>
      </w:r>
      <w:r w:rsidR="00546FCC" w:rsidRPr="00B6769E">
        <w:rPr>
          <w:rFonts w:asciiTheme="minorHAnsi" w:hAnsiTheme="minorHAnsi"/>
          <w:color w:val="495965" w:themeColor="text2"/>
          <w:sz w:val="22"/>
        </w:rPr>
        <w:t xml:space="preserve">entral and </w:t>
      </w:r>
      <w:r w:rsidR="00B727C9" w:rsidRPr="00B6769E">
        <w:rPr>
          <w:rFonts w:asciiTheme="minorHAnsi" w:hAnsiTheme="minorHAnsi"/>
          <w:color w:val="495965" w:themeColor="text2"/>
          <w:sz w:val="22"/>
        </w:rPr>
        <w:t>S</w:t>
      </w:r>
      <w:r w:rsidR="00546FCC" w:rsidRPr="00B6769E">
        <w:rPr>
          <w:rFonts w:asciiTheme="minorHAnsi" w:hAnsiTheme="minorHAnsi"/>
          <w:color w:val="495965" w:themeColor="text2"/>
          <w:sz w:val="22"/>
        </w:rPr>
        <w:t xml:space="preserve">outh </w:t>
      </w:r>
      <w:r w:rsidR="009F1F48" w:rsidRPr="00B6769E">
        <w:rPr>
          <w:rFonts w:asciiTheme="minorHAnsi" w:hAnsiTheme="minorHAnsi"/>
          <w:color w:val="495965" w:themeColor="text2"/>
          <w:sz w:val="22"/>
        </w:rPr>
        <w:t xml:space="preserve">Bougainville. </w:t>
      </w:r>
      <w:r w:rsidR="00546FCC" w:rsidRPr="00B6769E">
        <w:rPr>
          <w:rFonts w:asciiTheme="minorHAnsi" w:hAnsiTheme="minorHAnsi"/>
          <w:color w:val="495965" w:themeColor="text2"/>
          <w:sz w:val="22"/>
        </w:rPr>
        <w:t xml:space="preserve">The program strengthened the ABG's capacity to undertake peace building work by training a cadre of mediators as a resource for districts to move ahead with </w:t>
      </w:r>
      <w:r w:rsidR="006422A1" w:rsidRPr="00B6769E">
        <w:rPr>
          <w:rFonts w:asciiTheme="minorHAnsi" w:hAnsiTheme="minorHAnsi"/>
          <w:color w:val="495965" w:themeColor="text2"/>
          <w:sz w:val="22"/>
        </w:rPr>
        <w:t xml:space="preserve">local-level </w:t>
      </w:r>
      <w:r w:rsidR="00546FCC" w:rsidRPr="00B6769E">
        <w:rPr>
          <w:rFonts w:asciiTheme="minorHAnsi" w:hAnsiTheme="minorHAnsi"/>
          <w:color w:val="495965" w:themeColor="text2"/>
          <w:sz w:val="22"/>
        </w:rPr>
        <w:t xml:space="preserve">reconciliations. </w:t>
      </w:r>
      <w:r w:rsidR="006422A1" w:rsidRPr="00B6769E">
        <w:rPr>
          <w:rFonts w:asciiTheme="minorHAnsi" w:hAnsiTheme="minorHAnsi"/>
          <w:color w:val="495965" w:themeColor="text2"/>
          <w:sz w:val="22"/>
        </w:rPr>
        <w:t xml:space="preserve">This support is improving communities’ ability to resolve low-level disputes and </w:t>
      </w:r>
      <w:r w:rsidR="00D966AF">
        <w:rPr>
          <w:rFonts w:asciiTheme="minorHAnsi" w:hAnsiTheme="minorHAnsi"/>
          <w:color w:val="495965" w:themeColor="text2"/>
          <w:sz w:val="22"/>
        </w:rPr>
        <w:t xml:space="preserve">is </w:t>
      </w:r>
      <w:r w:rsidR="006422A1" w:rsidRPr="00B6769E">
        <w:rPr>
          <w:rFonts w:asciiTheme="minorHAnsi" w:hAnsiTheme="minorHAnsi"/>
          <w:color w:val="495965" w:themeColor="text2"/>
          <w:sz w:val="22"/>
        </w:rPr>
        <w:t xml:space="preserve">bolstering stability more broadly. </w:t>
      </w:r>
      <w:r w:rsidR="00D966AF">
        <w:rPr>
          <w:rFonts w:asciiTheme="minorHAnsi" w:hAnsiTheme="minorHAnsi"/>
          <w:color w:val="495965" w:themeColor="text2"/>
          <w:sz w:val="22"/>
        </w:rPr>
        <w:t>In May 2016</w:t>
      </w:r>
      <w:r w:rsidR="00546FCC" w:rsidRPr="00B6769E">
        <w:rPr>
          <w:rFonts w:asciiTheme="minorHAnsi" w:hAnsiTheme="minorHAnsi"/>
          <w:color w:val="495965" w:themeColor="text2"/>
          <w:sz w:val="22"/>
        </w:rPr>
        <w:t xml:space="preserve"> </w:t>
      </w:r>
      <w:r w:rsidR="008816E5" w:rsidRPr="00B6769E">
        <w:rPr>
          <w:rFonts w:asciiTheme="minorHAnsi" w:hAnsiTheme="minorHAnsi"/>
          <w:color w:val="495965" w:themeColor="text2"/>
          <w:sz w:val="22"/>
        </w:rPr>
        <w:t>we</w:t>
      </w:r>
      <w:r w:rsidR="00546FCC" w:rsidRPr="00B6769E">
        <w:rPr>
          <w:rFonts w:asciiTheme="minorHAnsi" w:hAnsiTheme="minorHAnsi"/>
          <w:color w:val="495965" w:themeColor="text2"/>
          <w:sz w:val="22"/>
        </w:rPr>
        <w:t xml:space="preserve"> commissioned an independent review of </w:t>
      </w:r>
      <w:r w:rsidR="00D966AF">
        <w:rPr>
          <w:rFonts w:asciiTheme="minorHAnsi" w:hAnsiTheme="minorHAnsi"/>
          <w:color w:val="495965" w:themeColor="text2"/>
          <w:sz w:val="22"/>
        </w:rPr>
        <w:t xml:space="preserve">the </w:t>
      </w:r>
      <w:r w:rsidR="00546FCC" w:rsidRPr="00B6769E">
        <w:rPr>
          <w:rFonts w:asciiTheme="minorHAnsi" w:hAnsiTheme="minorHAnsi"/>
          <w:color w:val="495965" w:themeColor="text2"/>
          <w:sz w:val="22"/>
        </w:rPr>
        <w:t xml:space="preserve">BPBP which will reshape elements of the program, in consultation with the ABG and stakeholders.  </w:t>
      </w:r>
    </w:p>
    <w:p w:rsidR="00546FCC" w:rsidRPr="00B6769E" w:rsidRDefault="00546FCC"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Australian assistance in the law and justice sector helped the ABG to </w:t>
      </w:r>
      <w:r w:rsidR="00891183" w:rsidRPr="00B6769E">
        <w:rPr>
          <w:rFonts w:asciiTheme="minorHAnsi" w:hAnsiTheme="minorHAnsi"/>
          <w:color w:val="495965" w:themeColor="text2"/>
          <w:sz w:val="22"/>
        </w:rPr>
        <w:t>develop</w:t>
      </w:r>
      <w:r w:rsidRPr="00B6769E">
        <w:rPr>
          <w:rFonts w:asciiTheme="minorHAnsi" w:hAnsiTheme="minorHAnsi"/>
          <w:color w:val="495965" w:themeColor="text2"/>
          <w:sz w:val="22"/>
        </w:rPr>
        <w:t xml:space="preserve"> the </w:t>
      </w:r>
      <w:r w:rsidRPr="00B6769E">
        <w:rPr>
          <w:rFonts w:asciiTheme="minorHAnsi" w:hAnsiTheme="minorHAnsi"/>
          <w:i/>
          <w:color w:val="495965" w:themeColor="text2"/>
          <w:sz w:val="22"/>
        </w:rPr>
        <w:t>Bougainville Law and Justice Mid Term Development Plan</w:t>
      </w:r>
      <w:r w:rsidRPr="00B6769E">
        <w:rPr>
          <w:rFonts w:asciiTheme="minorHAnsi" w:hAnsiTheme="minorHAnsi"/>
          <w:color w:val="495965" w:themeColor="text2"/>
          <w:sz w:val="22"/>
        </w:rPr>
        <w:t>. The plan provides a unifying framework for sector development. We assisted the ABG and PNG to re-est</w:t>
      </w:r>
      <w:r w:rsidR="006422A1" w:rsidRPr="00B6769E">
        <w:rPr>
          <w:rFonts w:asciiTheme="minorHAnsi" w:hAnsiTheme="minorHAnsi"/>
          <w:color w:val="495965" w:themeColor="text2"/>
          <w:sz w:val="22"/>
        </w:rPr>
        <w:t>ablish magisterial services in S</w:t>
      </w:r>
      <w:r w:rsidRPr="00B6769E">
        <w:rPr>
          <w:rFonts w:asciiTheme="minorHAnsi" w:hAnsiTheme="minorHAnsi"/>
          <w:color w:val="495965" w:themeColor="text2"/>
          <w:sz w:val="22"/>
        </w:rPr>
        <w:t>outh Bougainville an</w:t>
      </w:r>
      <w:r w:rsidR="006422A1" w:rsidRPr="00B6769E">
        <w:rPr>
          <w:rFonts w:asciiTheme="minorHAnsi" w:hAnsiTheme="minorHAnsi"/>
          <w:color w:val="495965" w:themeColor="text2"/>
          <w:sz w:val="22"/>
        </w:rPr>
        <w:t>d public solicitor services in C</w:t>
      </w:r>
      <w:r w:rsidRPr="00B6769E">
        <w:rPr>
          <w:rFonts w:asciiTheme="minorHAnsi" w:hAnsiTheme="minorHAnsi"/>
          <w:color w:val="495965" w:themeColor="text2"/>
          <w:sz w:val="22"/>
        </w:rPr>
        <w:t xml:space="preserve">entral Bougainville. We continued to construct a juvenile rehabilitation centre and we assisted 40 young </w:t>
      </w:r>
      <w:proofErr w:type="spellStart"/>
      <w:r w:rsidRPr="00B6769E">
        <w:rPr>
          <w:rFonts w:asciiTheme="minorHAnsi" w:hAnsiTheme="minorHAnsi"/>
          <w:color w:val="495965" w:themeColor="text2"/>
          <w:sz w:val="22"/>
        </w:rPr>
        <w:t>Bougainvilleans</w:t>
      </w:r>
      <w:proofErr w:type="spellEnd"/>
      <w:r w:rsidRPr="00B6769E">
        <w:rPr>
          <w:rFonts w:asciiTheme="minorHAnsi" w:hAnsiTheme="minorHAnsi"/>
          <w:color w:val="495965" w:themeColor="text2"/>
          <w:sz w:val="22"/>
        </w:rPr>
        <w:t xml:space="preserve">, including 16 women, to graduate from a program which qualified them for police entry-level training.  Twenty three continued to entry level training and graduated as probationary officers in the reporting period. The remaining 17 started their training in June 2016. </w:t>
      </w:r>
      <w:r w:rsidR="006422A1" w:rsidRPr="00B6769E">
        <w:rPr>
          <w:rFonts w:asciiTheme="minorHAnsi" w:hAnsiTheme="minorHAnsi"/>
          <w:color w:val="495965" w:themeColor="text2"/>
          <w:sz w:val="22"/>
        </w:rPr>
        <w:t xml:space="preserve">This innovative program has boosted historically low numbers of </w:t>
      </w:r>
      <w:proofErr w:type="spellStart"/>
      <w:r w:rsidR="006422A1" w:rsidRPr="00B6769E">
        <w:rPr>
          <w:rFonts w:asciiTheme="minorHAnsi" w:hAnsiTheme="minorHAnsi"/>
          <w:color w:val="495965" w:themeColor="text2"/>
          <w:sz w:val="22"/>
        </w:rPr>
        <w:t>Bougainvilleans</w:t>
      </w:r>
      <w:proofErr w:type="spellEnd"/>
      <w:r w:rsidR="006422A1" w:rsidRPr="00B6769E">
        <w:rPr>
          <w:rFonts w:asciiTheme="minorHAnsi" w:hAnsiTheme="minorHAnsi"/>
          <w:color w:val="495965" w:themeColor="text2"/>
          <w:sz w:val="22"/>
        </w:rPr>
        <w:t xml:space="preserve"> in policing.</w:t>
      </w:r>
    </w:p>
    <w:p w:rsidR="00546FCC" w:rsidRPr="00B6769E" w:rsidRDefault="009027B5" w:rsidP="00CD131A">
      <w:pPr>
        <w:pStyle w:val="BodyText"/>
        <w:spacing w:before="120" w:after="120"/>
        <w:rPr>
          <w:rFonts w:asciiTheme="minorHAnsi" w:hAnsiTheme="minorHAnsi"/>
          <w:color w:val="495965" w:themeColor="text2"/>
          <w:sz w:val="22"/>
        </w:rPr>
      </w:pPr>
      <w:r>
        <w:rPr>
          <w:rFonts w:asciiTheme="minorHAnsi" w:hAnsiTheme="minorHAnsi"/>
          <w:color w:val="495965" w:themeColor="text2"/>
          <w:sz w:val="22"/>
        </w:rPr>
        <w:t>In 2015-16</w:t>
      </w:r>
      <w:r w:rsidR="00546FCC" w:rsidRPr="00B6769E">
        <w:rPr>
          <w:rFonts w:asciiTheme="minorHAnsi" w:hAnsiTheme="minorHAnsi"/>
          <w:color w:val="495965" w:themeColor="text2"/>
          <w:sz w:val="22"/>
        </w:rPr>
        <w:t xml:space="preserve"> Australia increased support to sustainable and inclusive economic development. </w:t>
      </w:r>
      <w:r w:rsidR="008816E5" w:rsidRPr="00B6769E">
        <w:rPr>
          <w:rFonts w:asciiTheme="minorHAnsi" w:hAnsiTheme="minorHAnsi"/>
          <w:color w:val="495965" w:themeColor="text2"/>
          <w:sz w:val="22"/>
        </w:rPr>
        <w:t>Recognising that economic participation bolsters stability, o</w:t>
      </w:r>
      <w:r w:rsidR="00546FCC" w:rsidRPr="00B6769E">
        <w:rPr>
          <w:rFonts w:asciiTheme="minorHAnsi" w:hAnsiTheme="minorHAnsi"/>
          <w:color w:val="495965" w:themeColor="text2"/>
          <w:sz w:val="22"/>
        </w:rPr>
        <w:t>ur assistance focussed on improving primary industry production, the investment climate, busin</w:t>
      </w:r>
      <w:r w:rsidR="008816E5" w:rsidRPr="00B6769E">
        <w:rPr>
          <w:rFonts w:asciiTheme="minorHAnsi" w:hAnsiTheme="minorHAnsi"/>
          <w:color w:val="495965" w:themeColor="text2"/>
          <w:sz w:val="22"/>
        </w:rPr>
        <w:t>ess environment and trade links</w:t>
      </w:r>
      <w:r w:rsidR="00546FCC" w:rsidRPr="00B6769E">
        <w:rPr>
          <w:rFonts w:asciiTheme="minorHAnsi" w:hAnsiTheme="minorHAnsi"/>
          <w:color w:val="495965" w:themeColor="text2"/>
          <w:sz w:val="22"/>
        </w:rPr>
        <w:t xml:space="preserve">. We provided value chain diagnostics in cocoa and coconut to help inform the ABG's industry plans. Australia launched two new programs to support economic opportunities for farmers, develop the cocoa value chain and improve management strategies for cocoa and food security. </w:t>
      </w:r>
    </w:p>
    <w:p w:rsidR="00FF4B1D" w:rsidRPr="00B6769E" w:rsidRDefault="00FF4B1D"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In the transport sector, Australia helped the ABG to maintain about 400</w:t>
      </w:r>
      <w:r w:rsidR="009C1AB8" w:rsidRPr="00B6769E">
        <w:rPr>
          <w:rFonts w:asciiTheme="minorHAnsi" w:hAnsiTheme="minorHAnsi"/>
          <w:color w:val="495965" w:themeColor="text2"/>
          <w:sz w:val="22"/>
        </w:rPr>
        <w:t xml:space="preserve"> </w:t>
      </w:r>
      <w:r w:rsidRPr="00B6769E">
        <w:rPr>
          <w:rFonts w:asciiTheme="minorHAnsi" w:hAnsiTheme="minorHAnsi"/>
          <w:color w:val="495965" w:themeColor="text2"/>
          <w:sz w:val="22"/>
        </w:rPr>
        <w:t xml:space="preserve">km of Bougainville’s road network. About 80 per cent of Bougainville’s population, schools and health facilities are in close proximity to the core road network that Australia </w:t>
      </w:r>
      <w:r w:rsidR="005B3192">
        <w:rPr>
          <w:rFonts w:asciiTheme="minorHAnsi" w:hAnsiTheme="minorHAnsi"/>
          <w:color w:val="495965" w:themeColor="text2"/>
          <w:sz w:val="22"/>
        </w:rPr>
        <w:t>helps to maintain</w:t>
      </w:r>
      <w:r w:rsidRPr="00B6769E">
        <w:rPr>
          <w:rFonts w:asciiTheme="minorHAnsi" w:hAnsiTheme="minorHAnsi"/>
          <w:color w:val="495965" w:themeColor="text2"/>
          <w:sz w:val="22"/>
        </w:rPr>
        <w:t xml:space="preserve">. </w:t>
      </w:r>
      <w:r w:rsidR="008816E5" w:rsidRPr="00B6769E">
        <w:rPr>
          <w:rFonts w:asciiTheme="minorHAnsi" w:hAnsiTheme="minorHAnsi"/>
          <w:color w:val="495965" w:themeColor="text2"/>
          <w:sz w:val="22"/>
        </w:rPr>
        <w:t>We</w:t>
      </w:r>
      <w:r w:rsidRPr="00B6769E">
        <w:rPr>
          <w:rFonts w:asciiTheme="minorHAnsi" w:hAnsiTheme="minorHAnsi"/>
          <w:color w:val="495965" w:themeColor="text2"/>
          <w:sz w:val="22"/>
        </w:rPr>
        <w:t xml:space="preserve"> also supported </w:t>
      </w:r>
      <w:r w:rsidR="00D966AF">
        <w:rPr>
          <w:rFonts w:asciiTheme="minorHAnsi" w:hAnsiTheme="minorHAnsi"/>
          <w:color w:val="495965" w:themeColor="text2"/>
          <w:sz w:val="22"/>
        </w:rPr>
        <w:t xml:space="preserve">the </w:t>
      </w:r>
      <w:r w:rsidRPr="00B6769E">
        <w:rPr>
          <w:rFonts w:asciiTheme="minorHAnsi" w:hAnsiTheme="minorHAnsi"/>
          <w:color w:val="495965" w:themeColor="text2"/>
          <w:sz w:val="22"/>
        </w:rPr>
        <w:t>sealing of eight town r</w:t>
      </w:r>
      <w:r w:rsidR="00BC4085" w:rsidRPr="00B6769E">
        <w:rPr>
          <w:rFonts w:asciiTheme="minorHAnsi" w:hAnsiTheme="minorHAnsi"/>
          <w:color w:val="495965" w:themeColor="text2"/>
          <w:sz w:val="22"/>
        </w:rPr>
        <w:t xml:space="preserve">oads in the township of </w:t>
      </w:r>
      <w:proofErr w:type="spellStart"/>
      <w:r w:rsidR="00BC4085" w:rsidRPr="00B6769E">
        <w:rPr>
          <w:rFonts w:asciiTheme="minorHAnsi" w:hAnsiTheme="minorHAnsi"/>
          <w:color w:val="495965" w:themeColor="text2"/>
          <w:sz w:val="22"/>
        </w:rPr>
        <w:t>Arawa</w:t>
      </w:r>
      <w:proofErr w:type="spellEnd"/>
      <w:r w:rsidR="00BC4085" w:rsidRPr="00B6769E">
        <w:rPr>
          <w:rFonts w:asciiTheme="minorHAnsi" w:hAnsiTheme="minorHAnsi"/>
          <w:color w:val="495965" w:themeColor="text2"/>
          <w:sz w:val="22"/>
        </w:rPr>
        <w:t>, C</w:t>
      </w:r>
      <w:r w:rsidRPr="00B6769E">
        <w:rPr>
          <w:rFonts w:asciiTheme="minorHAnsi" w:hAnsiTheme="minorHAnsi"/>
          <w:color w:val="495965" w:themeColor="text2"/>
          <w:sz w:val="22"/>
        </w:rPr>
        <w:t>entral Boug</w:t>
      </w:r>
      <w:r w:rsidR="002952EE">
        <w:rPr>
          <w:rFonts w:asciiTheme="minorHAnsi" w:hAnsiTheme="minorHAnsi"/>
          <w:color w:val="495965" w:themeColor="text2"/>
          <w:sz w:val="22"/>
        </w:rPr>
        <w:t>ainville –</w:t>
      </w:r>
      <w:r w:rsidRPr="00B6769E">
        <w:rPr>
          <w:rFonts w:asciiTheme="minorHAnsi" w:hAnsiTheme="minorHAnsi"/>
          <w:color w:val="495965" w:themeColor="text2"/>
          <w:sz w:val="22"/>
        </w:rPr>
        <w:t xml:space="preserve"> including 9.7</w:t>
      </w:r>
      <w:r w:rsidR="00BC4085" w:rsidRPr="00B6769E">
        <w:rPr>
          <w:rFonts w:asciiTheme="minorHAnsi" w:hAnsiTheme="minorHAnsi"/>
          <w:color w:val="495965" w:themeColor="text2"/>
          <w:sz w:val="22"/>
        </w:rPr>
        <w:t xml:space="preserve"> </w:t>
      </w:r>
      <w:r w:rsidRPr="00B6769E">
        <w:rPr>
          <w:rFonts w:asciiTheme="minorHAnsi" w:hAnsiTheme="minorHAnsi"/>
          <w:color w:val="495965" w:themeColor="text2"/>
          <w:sz w:val="22"/>
        </w:rPr>
        <w:t>km to Kieta Port</w:t>
      </w:r>
      <w:r w:rsidR="002952EE">
        <w:rPr>
          <w:rFonts w:asciiTheme="minorHAnsi" w:hAnsiTheme="minorHAnsi"/>
          <w:color w:val="495965" w:themeColor="text2"/>
          <w:sz w:val="22"/>
        </w:rPr>
        <w:t xml:space="preserve"> –</w:t>
      </w:r>
      <w:r w:rsidRPr="00B6769E">
        <w:rPr>
          <w:rFonts w:asciiTheme="minorHAnsi" w:hAnsiTheme="minorHAnsi"/>
          <w:color w:val="495965" w:themeColor="text2"/>
          <w:sz w:val="22"/>
        </w:rPr>
        <w:t xml:space="preserve"> in order to connect population centres and promote improved trade connectivity and economic growth. </w:t>
      </w:r>
    </w:p>
    <w:p w:rsidR="00C93E68" w:rsidRDefault="00C93E68" w:rsidP="00CD131A">
      <w:pPr>
        <w:pStyle w:val="BodyText"/>
        <w:spacing w:before="120" w:after="120"/>
        <w:rPr>
          <w:rFonts w:asciiTheme="minorHAnsi" w:hAnsiTheme="minorHAnsi"/>
          <w:color w:val="495965" w:themeColor="text2"/>
          <w:sz w:val="22"/>
        </w:rPr>
      </w:pPr>
    </w:p>
    <w:p w:rsidR="00666FF5" w:rsidRDefault="00546FCC"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lastRenderedPageBreak/>
        <w:t xml:space="preserve">Investing in education is essential to improve Bougainville’s human capacity. Support to the education sector helped the ABG to finalise a five year education plan. Forty four </w:t>
      </w:r>
      <w:proofErr w:type="spellStart"/>
      <w:r w:rsidRPr="00B6769E">
        <w:rPr>
          <w:rFonts w:asciiTheme="minorHAnsi" w:hAnsiTheme="minorHAnsi"/>
          <w:color w:val="495965" w:themeColor="text2"/>
          <w:sz w:val="22"/>
        </w:rPr>
        <w:t>Bougainvilleans</w:t>
      </w:r>
      <w:proofErr w:type="spellEnd"/>
      <w:r w:rsidRPr="00B6769E">
        <w:rPr>
          <w:rFonts w:asciiTheme="minorHAnsi" w:hAnsiTheme="minorHAnsi"/>
          <w:color w:val="495965" w:themeColor="text2"/>
          <w:sz w:val="22"/>
        </w:rPr>
        <w:t xml:space="preserve"> benefited from Australia Awards in PNG and Australia. We funded the establishment of the Bougainville chapter of the PNG Australia Alumni Association. In health, </w:t>
      </w:r>
      <w:r w:rsidR="00A41253" w:rsidRPr="00B6769E">
        <w:rPr>
          <w:rFonts w:asciiTheme="minorHAnsi" w:hAnsiTheme="minorHAnsi"/>
          <w:color w:val="495965" w:themeColor="text2"/>
          <w:sz w:val="22"/>
        </w:rPr>
        <w:t>we</w:t>
      </w:r>
      <w:r w:rsidRPr="00B6769E">
        <w:rPr>
          <w:rFonts w:asciiTheme="minorHAnsi" w:hAnsiTheme="minorHAnsi"/>
          <w:color w:val="495965" w:themeColor="text2"/>
          <w:sz w:val="22"/>
        </w:rPr>
        <w:t xml:space="preserve"> continued to assist the ABG to progress key public health programs and reforms. Our technical assistance helped the Department of Health to develop a new workforce structure, </w:t>
      </w:r>
      <w:r w:rsidR="005B3192">
        <w:rPr>
          <w:rFonts w:asciiTheme="minorHAnsi" w:hAnsiTheme="minorHAnsi"/>
          <w:color w:val="495965" w:themeColor="text2"/>
          <w:sz w:val="22"/>
        </w:rPr>
        <w:t xml:space="preserve">the </w:t>
      </w:r>
      <w:r w:rsidRPr="00B6769E">
        <w:rPr>
          <w:rFonts w:asciiTheme="minorHAnsi" w:hAnsiTheme="minorHAnsi"/>
          <w:color w:val="495965" w:themeColor="text2"/>
          <w:sz w:val="22"/>
        </w:rPr>
        <w:t xml:space="preserve">Bougainville Health Administration Bill and </w:t>
      </w:r>
      <w:r w:rsidR="005B3192">
        <w:rPr>
          <w:rFonts w:asciiTheme="minorHAnsi" w:hAnsiTheme="minorHAnsi"/>
          <w:color w:val="495965" w:themeColor="text2"/>
          <w:sz w:val="22"/>
        </w:rPr>
        <w:t xml:space="preserve">a </w:t>
      </w:r>
      <w:r w:rsidRPr="00B6769E">
        <w:rPr>
          <w:rFonts w:asciiTheme="minorHAnsi" w:hAnsiTheme="minorHAnsi"/>
          <w:color w:val="495965" w:themeColor="text2"/>
          <w:sz w:val="22"/>
        </w:rPr>
        <w:t>mental health policy. With the Asian Development Bank, we b</w:t>
      </w:r>
      <w:r w:rsidR="005B3192">
        <w:rPr>
          <w:rFonts w:asciiTheme="minorHAnsi" w:hAnsiTheme="minorHAnsi"/>
          <w:color w:val="495965" w:themeColor="text2"/>
          <w:sz w:val="22"/>
        </w:rPr>
        <w:t>uilt new community health posts with associated</w:t>
      </w:r>
      <w:r w:rsidRPr="00B6769E">
        <w:rPr>
          <w:rFonts w:asciiTheme="minorHAnsi" w:hAnsiTheme="minorHAnsi"/>
          <w:color w:val="495965" w:themeColor="text2"/>
          <w:sz w:val="22"/>
        </w:rPr>
        <w:t xml:space="preserve"> staff housing and ablution </w:t>
      </w:r>
      <w:r w:rsidR="009C1AB8" w:rsidRPr="00B6769E">
        <w:rPr>
          <w:rFonts w:asciiTheme="minorHAnsi" w:hAnsiTheme="minorHAnsi"/>
          <w:color w:val="495965" w:themeColor="text2"/>
          <w:sz w:val="22"/>
        </w:rPr>
        <w:t xml:space="preserve">facilities </w:t>
      </w:r>
      <w:r w:rsidRPr="00B6769E">
        <w:rPr>
          <w:rFonts w:asciiTheme="minorHAnsi" w:hAnsiTheme="minorHAnsi"/>
          <w:color w:val="495965" w:themeColor="text2"/>
          <w:sz w:val="22"/>
        </w:rPr>
        <w:t xml:space="preserve">in </w:t>
      </w:r>
      <w:r w:rsidR="009C1AB8" w:rsidRPr="00B6769E">
        <w:rPr>
          <w:rFonts w:asciiTheme="minorHAnsi" w:hAnsiTheme="minorHAnsi"/>
          <w:color w:val="495965" w:themeColor="text2"/>
          <w:sz w:val="22"/>
        </w:rPr>
        <w:t>S</w:t>
      </w:r>
      <w:r w:rsidRPr="00B6769E">
        <w:rPr>
          <w:rFonts w:asciiTheme="minorHAnsi" w:hAnsiTheme="minorHAnsi"/>
          <w:color w:val="495965" w:themeColor="text2"/>
          <w:sz w:val="22"/>
        </w:rPr>
        <w:t xml:space="preserve">outh and </w:t>
      </w:r>
      <w:r w:rsidR="009C1AB8" w:rsidRPr="00B6769E">
        <w:rPr>
          <w:rFonts w:asciiTheme="minorHAnsi" w:hAnsiTheme="minorHAnsi"/>
          <w:color w:val="495965" w:themeColor="text2"/>
          <w:sz w:val="22"/>
        </w:rPr>
        <w:t>C</w:t>
      </w:r>
      <w:r w:rsidRPr="00B6769E">
        <w:rPr>
          <w:rFonts w:asciiTheme="minorHAnsi" w:hAnsiTheme="minorHAnsi"/>
          <w:color w:val="495965" w:themeColor="text2"/>
          <w:sz w:val="22"/>
        </w:rPr>
        <w:t>entral Bougainville. Sexual reproductive health programs and support for maternal</w:t>
      </w:r>
      <w:r w:rsidR="00C93E68">
        <w:rPr>
          <w:rFonts w:asciiTheme="minorHAnsi" w:hAnsiTheme="minorHAnsi"/>
          <w:color w:val="495965" w:themeColor="text2"/>
          <w:sz w:val="22"/>
        </w:rPr>
        <w:t xml:space="preserve"> health expanded to new sites. </w:t>
      </w:r>
    </w:p>
    <w:p w:rsidR="00F15D5E" w:rsidRPr="00B6769E" w:rsidRDefault="00546FCC"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 xml:space="preserve">Under our </w:t>
      </w:r>
      <w:r w:rsidRPr="00B6769E">
        <w:rPr>
          <w:rFonts w:asciiTheme="minorHAnsi" w:hAnsiTheme="minorHAnsi"/>
          <w:i/>
          <w:color w:val="495965" w:themeColor="text2"/>
          <w:sz w:val="22"/>
        </w:rPr>
        <w:t>Bougainville Gender Investment Plan (2014-19)</w:t>
      </w:r>
      <w:r w:rsidRPr="00B6769E">
        <w:rPr>
          <w:rFonts w:asciiTheme="minorHAnsi" w:hAnsiTheme="minorHAnsi"/>
          <w:color w:val="495965" w:themeColor="text2"/>
          <w:sz w:val="22"/>
        </w:rPr>
        <w:t xml:space="preserve"> we delivered grants and projects to improve women’s economic opportunities in cocoa farming and to support the Bougainville Women’s Federation to deliver programs to empower young women’s leadership skills and confidence. A grants program trained more than 1,400 young people in cocoa production, financial literacy and life skills.</w:t>
      </w:r>
    </w:p>
    <w:p w:rsidR="00D60AB1" w:rsidRPr="00B6769E" w:rsidRDefault="00D60AB1" w:rsidP="00CD131A">
      <w:pPr>
        <w:pStyle w:val="BodyText"/>
        <w:spacing w:before="120" w:after="120"/>
        <w:rPr>
          <w:rFonts w:asciiTheme="minorHAnsi" w:hAnsiTheme="minorHAnsi"/>
          <w:color w:val="495965" w:themeColor="text2"/>
          <w:sz w:val="22"/>
        </w:rPr>
      </w:pPr>
      <w:r w:rsidRPr="00B6769E">
        <w:rPr>
          <w:rFonts w:asciiTheme="minorHAnsi" w:hAnsiTheme="minorHAnsi"/>
          <w:i/>
          <w:color w:val="495965" w:themeColor="text2"/>
          <w:sz w:val="22"/>
        </w:rPr>
        <w:t>Outlook</w:t>
      </w:r>
    </w:p>
    <w:p w:rsidR="00F96336" w:rsidRDefault="00546FCC" w:rsidP="00CD131A">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The Autonomous Region of Bougainville continues to face constraints to economic growth and human development, including low government c</w:t>
      </w:r>
      <w:r w:rsidR="004251D1">
        <w:rPr>
          <w:rFonts w:asciiTheme="minorHAnsi" w:hAnsiTheme="minorHAnsi"/>
          <w:color w:val="495965" w:themeColor="text2"/>
          <w:sz w:val="22"/>
        </w:rPr>
        <w:t>apacity</w:t>
      </w:r>
      <w:r w:rsidRPr="00B6769E">
        <w:rPr>
          <w:rFonts w:asciiTheme="minorHAnsi" w:hAnsiTheme="minorHAnsi"/>
          <w:color w:val="495965" w:themeColor="text2"/>
          <w:sz w:val="22"/>
        </w:rPr>
        <w:t xml:space="preserve"> and additional challenges as a result </w:t>
      </w:r>
      <w:r w:rsidR="00D60AB1" w:rsidRPr="00B6769E">
        <w:rPr>
          <w:rFonts w:asciiTheme="minorHAnsi" w:hAnsiTheme="minorHAnsi"/>
          <w:color w:val="495965" w:themeColor="text2"/>
          <w:sz w:val="22"/>
        </w:rPr>
        <w:t>of its nine year (1988 to 1997</w:t>
      </w:r>
      <w:r w:rsidRPr="00B6769E">
        <w:rPr>
          <w:rFonts w:asciiTheme="minorHAnsi" w:hAnsiTheme="minorHAnsi"/>
          <w:color w:val="495965" w:themeColor="text2"/>
          <w:sz w:val="22"/>
        </w:rPr>
        <w:t xml:space="preserve">) civil conflict. </w:t>
      </w:r>
      <w:r w:rsidR="008816E5" w:rsidRPr="00B6769E">
        <w:rPr>
          <w:rFonts w:asciiTheme="minorHAnsi" w:hAnsiTheme="minorHAnsi"/>
          <w:color w:val="495965" w:themeColor="text2"/>
          <w:sz w:val="22"/>
        </w:rPr>
        <w:t>We</w:t>
      </w:r>
      <w:r w:rsidRPr="00B6769E">
        <w:rPr>
          <w:rFonts w:asciiTheme="minorHAnsi" w:hAnsiTheme="minorHAnsi"/>
          <w:color w:val="495965" w:themeColor="text2"/>
          <w:sz w:val="22"/>
        </w:rPr>
        <w:t xml:space="preserve"> will continue to reinforce our development assistance through diplomatic engagement and broader in</w:t>
      </w:r>
      <w:r w:rsidR="009027B5">
        <w:rPr>
          <w:rFonts w:asciiTheme="minorHAnsi" w:hAnsiTheme="minorHAnsi"/>
          <w:color w:val="495965" w:themeColor="text2"/>
          <w:sz w:val="22"/>
        </w:rPr>
        <w:t>ternational support. In 2016-17</w:t>
      </w:r>
      <w:r w:rsidRPr="00B6769E">
        <w:rPr>
          <w:rFonts w:asciiTheme="minorHAnsi" w:hAnsiTheme="minorHAnsi"/>
          <w:color w:val="495965" w:themeColor="text2"/>
          <w:sz w:val="22"/>
        </w:rPr>
        <w:t xml:space="preserve"> Australia will roll out significant industry assistance aimed at boosting sustainable cocoa production and other primary industries prioritised by the ABG. To build greater fiscal sustainability, we will assist the ABG with the draw-down of revenue generation powers and functions and continue to provide advisory support on public fina</w:t>
      </w:r>
      <w:r w:rsidR="003B2AE9" w:rsidRPr="00B6769E">
        <w:rPr>
          <w:rFonts w:asciiTheme="minorHAnsi" w:hAnsiTheme="minorHAnsi"/>
          <w:color w:val="495965" w:themeColor="text2"/>
          <w:sz w:val="22"/>
        </w:rPr>
        <w:t xml:space="preserve">ncial management and taxation. </w:t>
      </w:r>
      <w:r w:rsidRPr="00B6769E">
        <w:rPr>
          <w:rFonts w:asciiTheme="minorHAnsi" w:hAnsiTheme="minorHAnsi"/>
          <w:color w:val="495965" w:themeColor="text2"/>
          <w:sz w:val="22"/>
        </w:rPr>
        <w:t xml:space="preserve">In transport, Australia will continue our focus on maintaining priority assets and improving the ABG’s capacity to develop and maintain quality infrastructure. Our focus in education will be on building 20 prefabricated primary school kits and training up to 50 TVET teachers to complete an Australian qualification in training and assessment. In health, </w:t>
      </w:r>
      <w:r w:rsidR="00D60AB1" w:rsidRPr="00B6769E">
        <w:rPr>
          <w:rFonts w:asciiTheme="minorHAnsi" w:hAnsiTheme="minorHAnsi"/>
          <w:color w:val="495965" w:themeColor="text2"/>
          <w:sz w:val="22"/>
        </w:rPr>
        <w:t>w</w:t>
      </w:r>
      <w:r w:rsidR="008816E5" w:rsidRPr="00B6769E">
        <w:rPr>
          <w:rFonts w:asciiTheme="minorHAnsi" w:hAnsiTheme="minorHAnsi"/>
          <w:color w:val="495965" w:themeColor="text2"/>
          <w:sz w:val="22"/>
        </w:rPr>
        <w:t>e</w:t>
      </w:r>
      <w:r w:rsidRPr="00B6769E">
        <w:rPr>
          <w:rFonts w:asciiTheme="minorHAnsi" w:hAnsiTheme="minorHAnsi"/>
          <w:color w:val="495965" w:themeColor="text2"/>
          <w:sz w:val="22"/>
        </w:rPr>
        <w:t xml:space="preserve"> will focus on completing the upgrade </w:t>
      </w:r>
      <w:r w:rsidR="00A77175">
        <w:rPr>
          <w:rFonts w:asciiTheme="minorHAnsi" w:hAnsiTheme="minorHAnsi"/>
          <w:color w:val="495965" w:themeColor="text2"/>
          <w:sz w:val="22"/>
        </w:rPr>
        <w:t xml:space="preserve">of </w:t>
      </w:r>
      <w:proofErr w:type="spellStart"/>
      <w:r w:rsidR="00A77175">
        <w:rPr>
          <w:rFonts w:asciiTheme="minorHAnsi" w:hAnsiTheme="minorHAnsi"/>
          <w:color w:val="495965" w:themeColor="text2"/>
          <w:sz w:val="22"/>
        </w:rPr>
        <w:t>Arawa</w:t>
      </w:r>
      <w:proofErr w:type="spellEnd"/>
      <w:r w:rsidR="00A77175">
        <w:rPr>
          <w:rFonts w:asciiTheme="minorHAnsi" w:hAnsiTheme="minorHAnsi"/>
          <w:color w:val="495965" w:themeColor="text2"/>
          <w:sz w:val="22"/>
        </w:rPr>
        <w:t xml:space="preserve"> health centre and continuing our </w:t>
      </w:r>
      <w:r w:rsidRPr="00B6769E">
        <w:rPr>
          <w:rFonts w:asciiTheme="minorHAnsi" w:hAnsiTheme="minorHAnsi"/>
          <w:color w:val="495965" w:themeColor="text2"/>
          <w:sz w:val="22"/>
        </w:rPr>
        <w:t xml:space="preserve">dialogue with the ABG </w:t>
      </w:r>
      <w:r w:rsidR="00A77175">
        <w:rPr>
          <w:rFonts w:asciiTheme="minorHAnsi" w:hAnsiTheme="minorHAnsi"/>
          <w:color w:val="495965" w:themeColor="text2"/>
          <w:sz w:val="22"/>
        </w:rPr>
        <w:t>on</w:t>
      </w:r>
      <w:r w:rsidRPr="00B6769E">
        <w:rPr>
          <w:rFonts w:asciiTheme="minorHAnsi" w:hAnsiTheme="minorHAnsi"/>
          <w:color w:val="495965" w:themeColor="text2"/>
          <w:sz w:val="22"/>
        </w:rPr>
        <w:t xml:space="preserve"> their </w:t>
      </w:r>
      <w:r w:rsidR="00A77175">
        <w:rPr>
          <w:rFonts w:asciiTheme="minorHAnsi" w:hAnsiTheme="minorHAnsi"/>
          <w:color w:val="495965" w:themeColor="text2"/>
          <w:sz w:val="22"/>
        </w:rPr>
        <w:t xml:space="preserve">commitment of </w:t>
      </w:r>
      <w:r w:rsidRPr="00B6769E">
        <w:rPr>
          <w:rFonts w:asciiTheme="minorHAnsi" w:hAnsiTheme="minorHAnsi"/>
          <w:color w:val="495965" w:themeColor="text2"/>
          <w:sz w:val="22"/>
        </w:rPr>
        <w:t>funding for the procurement of medical equipment for the centre. We will continue to support the Bougainville Women’s Federation to take a stronger role in policy development and advocacy and we will help the ABG to introduce the PNG Government’s Gender Equity and Social Inclusion Policy in the public service.</w:t>
      </w:r>
    </w:p>
    <w:p w:rsidR="00666FF5" w:rsidRDefault="00666FF5" w:rsidP="000B62C6">
      <w:pPr>
        <w:pStyle w:val="BodyText"/>
        <w:rPr>
          <w:rFonts w:asciiTheme="minorHAnsi" w:hAnsiTheme="minorHAnsi"/>
          <w:color w:val="495965" w:themeColor="text2"/>
          <w:sz w:val="22"/>
        </w:rPr>
      </w:pPr>
    </w:p>
    <w:p w:rsidR="00666FF5" w:rsidRDefault="00666FF5" w:rsidP="000B62C6">
      <w:pPr>
        <w:pStyle w:val="BodyText"/>
        <w:rPr>
          <w:rFonts w:asciiTheme="minorHAnsi" w:hAnsiTheme="minorHAnsi"/>
          <w:color w:val="495965" w:themeColor="text2"/>
          <w:sz w:val="22"/>
        </w:rPr>
      </w:pPr>
    </w:p>
    <w:p w:rsidR="00666FF5" w:rsidRDefault="00666FF5" w:rsidP="000B62C6">
      <w:pPr>
        <w:pStyle w:val="BodyText"/>
        <w:rPr>
          <w:rFonts w:asciiTheme="minorHAnsi" w:hAnsiTheme="minorHAnsi"/>
          <w:color w:val="495965" w:themeColor="text2"/>
          <w:sz w:val="22"/>
        </w:rPr>
      </w:pPr>
    </w:p>
    <w:p w:rsidR="00666FF5" w:rsidRDefault="00666FF5" w:rsidP="000B62C6">
      <w:pPr>
        <w:pStyle w:val="BodyText"/>
        <w:rPr>
          <w:rFonts w:asciiTheme="minorHAnsi" w:hAnsiTheme="minorHAnsi"/>
          <w:color w:val="495965" w:themeColor="text2"/>
          <w:sz w:val="22"/>
        </w:rPr>
      </w:pPr>
    </w:p>
    <w:p w:rsidR="00666FF5" w:rsidRDefault="00666FF5" w:rsidP="000B62C6">
      <w:pPr>
        <w:pStyle w:val="BodyText"/>
        <w:rPr>
          <w:rFonts w:asciiTheme="minorHAnsi" w:hAnsiTheme="minorHAnsi"/>
          <w:color w:val="495965" w:themeColor="text2"/>
          <w:sz w:val="22"/>
        </w:rPr>
      </w:pPr>
    </w:p>
    <w:p w:rsidR="00666FF5" w:rsidRDefault="00666FF5" w:rsidP="000B62C6">
      <w:pPr>
        <w:pStyle w:val="BodyText"/>
        <w:rPr>
          <w:rFonts w:asciiTheme="minorHAnsi" w:hAnsiTheme="minorHAnsi"/>
          <w:color w:val="495965" w:themeColor="text2"/>
          <w:sz w:val="22"/>
        </w:rPr>
      </w:pPr>
    </w:p>
    <w:p w:rsidR="00666FF5" w:rsidRDefault="00666FF5" w:rsidP="000B62C6">
      <w:pPr>
        <w:pStyle w:val="BodyText"/>
        <w:rPr>
          <w:rFonts w:asciiTheme="minorHAnsi" w:hAnsiTheme="minorHAnsi"/>
          <w:color w:val="495965" w:themeColor="text2"/>
          <w:sz w:val="22"/>
        </w:rPr>
      </w:pPr>
    </w:p>
    <w:p w:rsidR="00666FF5" w:rsidRDefault="00666FF5" w:rsidP="000B62C6">
      <w:pPr>
        <w:pStyle w:val="BodyText"/>
        <w:rPr>
          <w:rFonts w:asciiTheme="minorHAnsi" w:hAnsiTheme="minorHAnsi"/>
          <w:color w:val="495965" w:themeColor="text2"/>
          <w:sz w:val="22"/>
        </w:rPr>
      </w:pPr>
    </w:p>
    <w:p w:rsidR="00666FF5" w:rsidRDefault="00666FF5" w:rsidP="000B62C6">
      <w:pPr>
        <w:pStyle w:val="BodyText"/>
        <w:rPr>
          <w:rFonts w:asciiTheme="minorHAnsi" w:hAnsiTheme="minorHAnsi"/>
          <w:color w:val="495965" w:themeColor="text2"/>
          <w:sz w:val="22"/>
        </w:rPr>
      </w:pPr>
    </w:p>
    <w:p w:rsidR="00666FF5" w:rsidRDefault="00666FF5" w:rsidP="000B62C6">
      <w:pPr>
        <w:pStyle w:val="BodyText"/>
        <w:rPr>
          <w:rFonts w:asciiTheme="minorHAnsi" w:hAnsiTheme="minorHAnsi"/>
          <w:color w:val="495965" w:themeColor="text2"/>
          <w:sz w:val="22"/>
        </w:rPr>
      </w:pPr>
    </w:p>
    <w:p w:rsidR="00666FF5" w:rsidRDefault="00666FF5" w:rsidP="000B62C6">
      <w:pPr>
        <w:pStyle w:val="BodyText"/>
        <w:rPr>
          <w:rFonts w:asciiTheme="minorHAnsi" w:hAnsiTheme="minorHAnsi"/>
          <w:color w:val="495965" w:themeColor="text2"/>
          <w:sz w:val="22"/>
        </w:rPr>
      </w:pPr>
    </w:p>
    <w:p w:rsidR="00666FF5" w:rsidRDefault="00666FF5" w:rsidP="000B62C6">
      <w:pPr>
        <w:pStyle w:val="BodyText"/>
        <w:rPr>
          <w:rFonts w:asciiTheme="minorHAnsi" w:hAnsiTheme="minorHAnsi"/>
          <w:color w:val="495965" w:themeColor="text2"/>
          <w:sz w:val="22"/>
        </w:rPr>
      </w:pPr>
    </w:p>
    <w:p w:rsidR="00666FF5" w:rsidRDefault="00666FF5" w:rsidP="000B62C6">
      <w:pPr>
        <w:pStyle w:val="BodyText"/>
        <w:rPr>
          <w:rFonts w:asciiTheme="minorHAnsi" w:hAnsiTheme="minorHAnsi"/>
          <w:color w:val="495965" w:themeColor="text2"/>
          <w:sz w:val="22"/>
        </w:rPr>
      </w:pPr>
    </w:p>
    <w:p w:rsidR="002A51CA" w:rsidRPr="000B62C6" w:rsidRDefault="002A51CA" w:rsidP="00AA1AAF">
      <w:pPr>
        <w:pStyle w:val="Heading2"/>
      </w:pPr>
      <w:r w:rsidRPr="000B62C6">
        <w:lastRenderedPageBreak/>
        <w:t>Performance Benchmarks</w:t>
      </w:r>
      <w:r w:rsidRPr="000B62C6">
        <w:tab/>
      </w:r>
    </w:p>
    <w:p w:rsidR="002A51CA" w:rsidRDefault="009624E6" w:rsidP="001110F5">
      <w:pPr>
        <w:pStyle w:val="BodyText"/>
        <w:spacing w:before="120" w:after="120"/>
        <w:rPr>
          <w:rFonts w:asciiTheme="minorHAnsi" w:hAnsiTheme="minorHAnsi"/>
          <w:color w:val="495965" w:themeColor="text2"/>
          <w:sz w:val="22"/>
        </w:rPr>
      </w:pPr>
      <w:r w:rsidRPr="00B6769E">
        <w:rPr>
          <w:rFonts w:asciiTheme="minorHAnsi" w:hAnsiTheme="minorHAnsi"/>
          <w:color w:val="495965" w:themeColor="text2"/>
          <w:sz w:val="22"/>
        </w:rPr>
        <w:t>The AIP identified 10 performance benchmarks for the PNG aid program in 2015-16.  An assessment of progress against each of these performance benchmarks is at Annex B. The program met the 2015-16 targets</w:t>
      </w:r>
      <w:r w:rsidR="00EC76BD" w:rsidRPr="00B6769E">
        <w:rPr>
          <w:rFonts w:asciiTheme="minorHAnsi" w:hAnsiTheme="minorHAnsi"/>
          <w:color w:val="495965" w:themeColor="text2"/>
          <w:sz w:val="22"/>
        </w:rPr>
        <w:t xml:space="preserve"> for </w:t>
      </w:r>
      <w:r w:rsidR="00B03D05">
        <w:rPr>
          <w:rFonts w:asciiTheme="minorHAnsi" w:hAnsiTheme="minorHAnsi"/>
          <w:color w:val="495965" w:themeColor="text2"/>
          <w:sz w:val="22"/>
        </w:rPr>
        <w:t>seven of the 10</w:t>
      </w:r>
      <w:r w:rsidR="00EC76BD" w:rsidRPr="00B6769E">
        <w:rPr>
          <w:rFonts w:asciiTheme="minorHAnsi" w:hAnsiTheme="minorHAnsi"/>
          <w:color w:val="495965" w:themeColor="text2"/>
          <w:sz w:val="22"/>
        </w:rPr>
        <w:t xml:space="preserve"> benchmarks. </w:t>
      </w:r>
      <w:r w:rsidRPr="00B6769E">
        <w:rPr>
          <w:rFonts w:asciiTheme="minorHAnsi" w:hAnsiTheme="minorHAnsi"/>
          <w:color w:val="495965" w:themeColor="text2"/>
          <w:sz w:val="22"/>
        </w:rPr>
        <w:t xml:space="preserve">Table 3 identifies </w:t>
      </w:r>
      <w:r w:rsidR="002A51CA" w:rsidRPr="00B6769E">
        <w:rPr>
          <w:rFonts w:asciiTheme="minorHAnsi" w:hAnsiTheme="minorHAnsi"/>
          <w:color w:val="495965" w:themeColor="text2"/>
          <w:sz w:val="22"/>
        </w:rPr>
        <w:t xml:space="preserve">benchmarks and targets for </w:t>
      </w:r>
      <w:r w:rsidR="00EC76BD" w:rsidRPr="00B6769E">
        <w:rPr>
          <w:rFonts w:asciiTheme="minorHAnsi" w:hAnsiTheme="minorHAnsi"/>
          <w:color w:val="495965" w:themeColor="text2"/>
          <w:sz w:val="22"/>
        </w:rPr>
        <w:t>2016-17</w:t>
      </w:r>
      <w:r w:rsidR="002A51CA" w:rsidRPr="00B6769E">
        <w:rPr>
          <w:rFonts w:asciiTheme="minorHAnsi" w:hAnsiTheme="minorHAnsi"/>
          <w:color w:val="495965" w:themeColor="text2"/>
          <w:sz w:val="22"/>
        </w:rPr>
        <w:t>.</w:t>
      </w:r>
    </w:p>
    <w:p w:rsidR="00CD131A" w:rsidRPr="00B6769E" w:rsidRDefault="00CD131A" w:rsidP="001110F5">
      <w:pPr>
        <w:pStyle w:val="BodyText"/>
        <w:spacing w:before="120" w:after="120"/>
        <w:rPr>
          <w:rFonts w:asciiTheme="minorHAnsi" w:hAnsiTheme="minorHAnsi"/>
          <w:color w:val="495965" w:themeColor="text2"/>
          <w:sz w:val="22"/>
        </w:rPr>
      </w:pPr>
    </w:p>
    <w:p w:rsidR="002A51CA" w:rsidRPr="00491F4B" w:rsidRDefault="009624E6" w:rsidP="000B62C6">
      <w:pPr>
        <w:pStyle w:val="BodyText"/>
        <w:rPr>
          <w:b/>
          <w:color w:val="495965" w:themeColor="text2"/>
          <w:sz w:val="24"/>
        </w:rPr>
      </w:pPr>
      <w:r w:rsidRPr="00491F4B">
        <w:rPr>
          <w:b/>
          <w:color w:val="495965" w:themeColor="text2"/>
          <w:sz w:val="24"/>
        </w:rPr>
        <w:t xml:space="preserve">Table 3: </w:t>
      </w:r>
      <w:r w:rsidR="002A51CA" w:rsidRPr="00491F4B">
        <w:rPr>
          <w:b/>
          <w:color w:val="495965" w:themeColor="text2"/>
          <w:sz w:val="24"/>
        </w:rPr>
        <w:t xml:space="preserve">Performance Benchmarks 2016-17 </w:t>
      </w:r>
    </w:p>
    <w:tbl>
      <w:tblPr>
        <w:tblStyle w:val="DFATTable"/>
        <w:tblW w:w="4874" w:type="pct"/>
        <w:tblLayout w:type="fixed"/>
        <w:tblLook w:val="04A0" w:firstRow="1" w:lastRow="0" w:firstColumn="1" w:lastColumn="0" w:noHBand="0" w:noVBand="1"/>
        <w:tblCaption w:val="Performance benchmarks 2016-17"/>
        <w:tblDescription w:val="Performance benchmarks for Australia's aid program in PNG in 2016-17"/>
      </w:tblPr>
      <w:tblGrid>
        <w:gridCol w:w="3018"/>
        <w:gridCol w:w="276"/>
        <w:gridCol w:w="4438"/>
        <w:gridCol w:w="1663"/>
      </w:tblGrid>
      <w:tr w:rsidR="009624E6" w:rsidRPr="001A4973" w:rsidTr="00EC76BD">
        <w:trPr>
          <w:trHeight w:val="331"/>
        </w:trPr>
        <w:tc>
          <w:tcPr>
            <w:tcW w:w="1606" w:type="pct"/>
            <w:tcBorders>
              <w:top w:val="single" w:sz="12" w:space="0" w:color="auto"/>
              <w:left w:val="nil"/>
              <w:bottom w:val="nil"/>
              <w:right w:val="nil"/>
            </w:tcBorders>
          </w:tcPr>
          <w:p w:rsidR="00847EDF" w:rsidRPr="00847EDF" w:rsidRDefault="00EC76BD" w:rsidP="00847EDF">
            <w:pPr>
              <w:pStyle w:val="Heading5"/>
              <w:outlineLvl w:val="4"/>
              <w:rPr>
                <w:rFonts w:asciiTheme="minorHAnsi" w:hAnsiTheme="minorHAnsi"/>
                <w:sz w:val="17"/>
                <w:szCs w:val="17"/>
              </w:rPr>
            </w:pPr>
            <w:r w:rsidRPr="001A4973">
              <w:rPr>
                <w:rFonts w:asciiTheme="minorHAnsi" w:hAnsiTheme="minorHAnsi"/>
                <w:sz w:val="17"/>
                <w:szCs w:val="17"/>
              </w:rPr>
              <w:t>Promoting Effective Governance</w:t>
            </w:r>
          </w:p>
        </w:tc>
        <w:tc>
          <w:tcPr>
            <w:tcW w:w="147" w:type="pct"/>
            <w:tcBorders>
              <w:top w:val="single" w:sz="12" w:space="0" w:color="auto"/>
              <w:left w:val="nil"/>
              <w:bottom w:val="nil"/>
              <w:right w:val="nil"/>
            </w:tcBorders>
          </w:tcPr>
          <w:p w:rsidR="009624E6" w:rsidRPr="001A4973" w:rsidRDefault="009624E6" w:rsidP="001A4973">
            <w:pPr>
              <w:pStyle w:val="Heading5"/>
              <w:outlineLvl w:val="4"/>
              <w:rPr>
                <w:rFonts w:asciiTheme="minorHAnsi" w:hAnsiTheme="minorHAnsi"/>
                <w:sz w:val="17"/>
                <w:szCs w:val="17"/>
              </w:rPr>
            </w:pPr>
          </w:p>
        </w:tc>
        <w:tc>
          <w:tcPr>
            <w:tcW w:w="3247" w:type="pct"/>
            <w:gridSpan w:val="2"/>
            <w:tcBorders>
              <w:top w:val="single" w:sz="12" w:space="0" w:color="auto"/>
              <w:left w:val="nil"/>
              <w:bottom w:val="nil"/>
              <w:right w:val="nil"/>
            </w:tcBorders>
            <w:hideMark/>
          </w:tcPr>
          <w:p w:rsidR="009624E6" w:rsidRPr="001A4973" w:rsidRDefault="009624E6" w:rsidP="001A4973">
            <w:pPr>
              <w:pStyle w:val="Heading5"/>
              <w:outlineLvl w:val="4"/>
              <w:rPr>
                <w:rFonts w:asciiTheme="minorHAnsi" w:hAnsiTheme="minorHAnsi"/>
                <w:sz w:val="17"/>
                <w:szCs w:val="17"/>
              </w:rPr>
            </w:pPr>
          </w:p>
        </w:tc>
      </w:tr>
      <w:tr w:rsidR="00EC76BD" w:rsidRPr="00CD131A" w:rsidTr="00EC76BD">
        <w:trPr>
          <w:trHeight w:val="984"/>
        </w:trPr>
        <w:tc>
          <w:tcPr>
            <w:tcW w:w="1606" w:type="pct"/>
            <w:tcBorders>
              <w:top w:val="nil"/>
              <w:left w:val="nil"/>
              <w:bottom w:val="nil"/>
              <w:right w:val="nil"/>
            </w:tcBorders>
            <w:hideMark/>
          </w:tcPr>
          <w:p w:rsidR="00EC76BD" w:rsidRPr="00CD131A" w:rsidRDefault="00EC76BD" w:rsidP="000B62C6">
            <w:pPr>
              <w:pStyle w:val="BodyText"/>
              <w:rPr>
                <w:rFonts w:asciiTheme="minorHAnsi" w:hAnsiTheme="minorHAnsi"/>
                <w:color w:val="495965" w:themeColor="text2"/>
                <w:sz w:val="17"/>
                <w:szCs w:val="17"/>
                <w:u w:val="single"/>
              </w:rPr>
            </w:pPr>
            <w:r w:rsidRPr="00CD131A">
              <w:rPr>
                <w:rFonts w:asciiTheme="minorHAnsi" w:hAnsiTheme="minorHAnsi"/>
                <w:color w:val="495965" w:themeColor="text2"/>
                <w:sz w:val="17"/>
                <w:szCs w:val="17"/>
                <w:u w:val="single"/>
              </w:rPr>
              <w:t>Outcome</w:t>
            </w:r>
          </w:p>
          <w:p w:rsidR="009624E6" w:rsidRPr="00CD131A" w:rsidRDefault="00EC76BD" w:rsidP="000B62C6">
            <w:pPr>
              <w:pStyle w:val="BodyText"/>
              <w:rPr>
                <w:rFonts w:asciiTheme="minorHAnsi" w:hAnsiTheme="minorHAnsi"/>
                <w:i/>
                <w:color w:val="495965" w:themeColor="text2"/>
                <w:sz w:val="17"/>
                <w:szCs w:val="17"/>
              </w:rPr>
            </w:pPr>
            <w:r w:rsidRPr="00CD131A">
              <w:rPr>
                <w:rFonts w:asciiTheme="minorHAnsi" w:hAnsiTheme="minorHAnsi"/>
                <w:color w:val="495965" w:themeColor="text2"/>
                <w:sz w:val="17"/>
                <w:szCs w:val="17"/>
              </w:rPr>
              <w:t>1.1: Improved services delivered by the public sector</w:t>
            </w:r>
          </w:p>
        </w:tc>
        <w:tc>
          <w:tcPr>
            <w:tcW w:w="2509" w:type="pct"/>
            <w:gridSpan w:val="2"/>
            <w:tcBorders>
              <w:top w:val="nil"/>
              <w:left w:val="nil"/>
              <w:bottom w:val="nil"/>
              <w:right w:val="nil"/>
            </w:tcBorders>
            <w:hideMark/>
          </w:tcPr>
          <w:p w:rsidR="00EC76BD" w:rsidRPr="00CD131A" w:rsidRDefault="00EC76BD" w:rsidP="000B62C6">
            <w:pPr>
              <w:pStyle w:val="BodyText"/>
              <w:rPr>
                <w:rFonts w:asciiTheme="minorHAnsi" w:hAnsiTheme="minorHAnsi"/>
                <w:color w:val="495965" w:themeColor="text2"/>
                <w:sz w:val="17"/>
                <w:szCs w:val="17"/>
                <w:u w:val="single"/>
                <w:lang w:eastAsia="en-US"/>
              </w:rPr>
            </w:pPr>
            <w:r w:rsidRPr="00CD131A">
              <w:rPr>
                <w:rFonts w:asciiTheme="minorHAnsi" w:hAnsiTheme="minorHAnsi"/>
                <w:color w:val="495965" w:themeColor="text2"/>
                <w:sz w:val="17"/>
                <w:szCs w:val="17"/>
                <w:u w:val="single"/>
                <w:lang w:eastAsia="en-US"/>
              </w:rPr>
              <w:t>Benchmark</w:t>
            </w:r>
          </w:p>
          <w:p w:rsidR="009624E6" w:rsidRPr="00CD131A" w:rsidRDefault="00EC76BD" w:rsidP="000B62C6">
            <w:pPr>
              <w:pStyle w:val="BodyText"/>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 xml:space="preserve">Number </w:t>
            </w:r>
            <w:r w:rsidR="008F047B">
              <w:rPr>
                <w:rFonts w:asciiTheme="minorHAnsi" w:hAnsiTheme="minorHAnsi"/>
                <w:i/>
                <w:color w:val="495965" w:themeColor="text2"/>
                <w:sz w:val="17"/>
                <w:szCs w:val="17"/>
                <w:lang w:eastAsia="en-US"/>
              </w:rPr>
              <w:t xml:space="preserve">of </w:t>
            </w:r>
            <w:r w:rsidRPr="00CD131A">
              <w:rPr>
                <w:rFonts w:asciiTheme="minorHAnsi" w:hAnsiTheme="minorHAnsi"/>
                <w:i/>
                <w:color w:val="495965" w:themeColor="text2"/>
                <w:sz w:val="17"/>
                <w:szCs w:val="17"/>
                <w:lang w:eastAsia="en-US"/>
              </w:rPr>
              <w:t xml:space="preserve">women and men in the public service trained in core skills*  </w:t>
            </w:r>
          </w:p>
        </w:tc>
        <w:tc>
          <w:tcPr>
            <w:tcW w:w="885" w:type="pct"/>
            <w:tcBorders>
              <w:top w:val="nil"/>
              <w:left w:val="nil"/>
              <w:bottom w:val="nil"/>
              <w:right w:val="nil"/>
            </w:tcBorders>
            <w:hideMark/>
          </w:tcPr>
          <w:p w:rsidR="00EC76BD" w:rsidRPr="00CD131A" w:rsidRDefault="00EC76BD" w:rsidP="008F047B">
            <w:pPr>
              <w:pStyle w:val="BodyText"/>
              <w:rPr>
                <w:rFonts w:asciiTheme="minorHAnsi" w:hAnsiTheme="minorHAnsi"/>
                <w:color w:val="495965" w:themeColor="text2"/>
                <w:sz w:val="17"/>
                <w:szCs w:val="17"/>
                <w:u w:val="single"/>
                <w:lang w:eastAsia="en-US"/>
              </w:rPr>
            </w:pPr>
            <w:r w:rsidRPr="00CD131A">
              <w:rPr>
                <w:rFonts w:asciiTheme="minorHAnsi" w:hAnsiTheme="minorHAnsi"/>
                <w:color w:val="495965" w:themeColor="text2"/>
                <w:sz w:val="17"/>
                <w:szCs w:val="17"/>
                <w:u w:val="single"/>
                <w:lang w:eastAsia="en-US"/>
              </w:rPr>
              <w:t>Target</w:t>
            </w:r>
          </w:p>
          <w:p w:rsidR="00EC76BD" w:rsidRPr="00CD131A" w:rsidRDefault="00EC76BD" w:rsidP="00EC76BD">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Women:  3,000</w:t>
            </w:r>
          </w:p>
          <w:p w:rsidR="00EC76BD" w:rsidRPr="00CD131A" w:rsidRDefault="00EC76BD" w:rsidP="00EC76BD">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Men:        4,000</w:t>
            </w:r>
          </w:p>
          <w:p w:rsidR="009624E6" w:rsidRPr="00CD131A" w:rsidRDefault="00EC76BD" w:rsidP="00EC76BD">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Total:       7,000</w:t>
            </w:r>
          </w:p>
          <w:p w:rsidR="00EC76BD" w:rsidRPr="00CD131A" w:rsidRDefault="00EC76BD" w:rsidP="00EC76BD">
            <w:pPr>
              <w:pStyle w:val="BodyText"/>
              <w:spacing w:after="0"/>
              <w:rPr>
                <w:rFonts w:asciiTheme="minorHAnsi" w:hAnsiTheme="minorHAnsi"/>
                <w:i/>
                <w:color w:val="495965" w:themeColor="text2"/>
                <w:sz w:val="17"/>
                <w:szCs w:val="17"/>
                <w:lang w:eastAsia="en-US"/>
              </w:rPr>
            </w:pPr>
          </w:p>
        </w:tc>
      </w:tr>
      <w:tr w:rsidR="00EC76BD" w:rsidRPr="00CD131A" w:rsidTr="00EC76BD">
        <w:trPr>
          <w:trHeight w:val="846"/>
        </w:trPr>
        <w:tc>
          <w:tcPr>
            <w:tcW w:w="1606" w:type="pct"/>
            <w:tcBorders>
              <w:top w:val="nil"/>
              <w:left w:val="nil"/>
              <w:bottom w:val="nil"/>
              <w:right w:val="nil"/>
            </w:tcBorders>
          </w:tcPr>
          <w:p w:rsidR="009624E6" w:rsidRPr="00CD131A" w:rsidRDefault="00EC76BD" w:rsidP="000B62C6">
            <w:pPr>
              <w:pStyle w:val="BodyText"/>
              <w:rPr>
                <w:rFonts w:asciiTheme="minorHAnsi" w:hAnsiTheme="minorHAnsi"/>
                <w:color w:val="495965" w:themeColor="text2"/>
                <w:sz w:val="17"/>
                <w:szCs w:val="17"/>
              </w:rPr>
            </w:pPr>
            <w:r w:rsidRPr="00CD131A">
              <w:rPr>
                <w:rFonts w:asciiTheme="minorHAnsi" w:hAnsiTheme="minorHAnsi"/>
                <w:color w:val="495965" w:themeColor="text2"/>
                <w:sz w:val="17"/>
                <w:szCs w:val="17"/>
              </w:rPr>
              <w:t>1.2: Improved law and justice services</w:t>
            </w:r>
          </w:p>
        </w:tc>
        <w:tc>
          <w:tcPr>
            <w:tcW w:w="2509" w:type="pct"/>
            <w:gridSpan w:val="2"/>
            <w:tcBorders>
              <w:top w:val="nil"/>
              <w:left w:val="nil"/>
              <w:bottom w:val="nil"/>
              <w:right w:val="nil"/>
            </w:tcBorders>
          </w:tcPr>
          <w:p w:rsidR="009624E6" w:rsidRPr="00CD131A" w:rsidRDefault="00EC76BD" w:rsidP="000B62C6">
            <w:pPr>
              <w:pStyle w:val="BodyText"/>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Number of survivors of violence receiving services, such as counselling**</w:t>
            </w:r>
          </w:p>
        </w:tc>
        <w:tc>
          <w:tcPr>
            <w:tcW w:w="885" w:type="pct"/>
            <w:tcBorders>
              <w:top w:val="nil"/>
              <w:left w:val="nil"/>
              <w:bottom w:val="nil"/>
              <w:right w:val="nil"/>
            </w:tcBorders>
          </w:tcPr>
          <w:p w:rsidR="00EC76BD" w:rsidRPr="00CD131A" w:rsidRDefault="00EC76BD" w:rsidP="00EC76BD">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Women:  15,000</w:t>
            </w:r>
          </w:p>
          <w:p w:rsidR="00EC76BD" w:rsidRPr="00CD131A" w:rsidRDefault="00EC76BD" w:rsidP="00EC76BD">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Males:      400</w:t>
            </w:r>
          </w:p>
          <w:p w:rsidR="00EC76BD" w:rsidRPr="00CD131A" w:rsidRDefault="00CD131A" w:rsidP="00EC76BD">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 xml:space="preserve">Total:       </w:t>
            </w:r>
            <w:r w:rsidR="00EC76BD" w:rsidRPr="00CD131A">
              <w:rPr>
                <w:rFonts w:asciiTheme="minorHAnsi" w:hAnsiTheme="minorHAnsi"/>
                <w:i/>
                <w:color w:val="495965" w:themeColor="text2"/>
                <w:sz w:val="17"/>
                <w:szCs w:val="17"/>
                <w:lang w:eastAsia="en-US"/>
              </w:rPr>
              <w:t>15,400</w:t>
            </w:r>
          </w:p>
          <w:p w:rsidR="00EC76BD" w:rsidRPr="00CD131A" w:rsidRDefault="00EC76BD" w:rsidP="00EC76BD">
            <w:pPr>
              <w:pStyle w:val="BodyText"/>
              <w:spacing w:after="0"/>
              <w:rPr>
                <w:rFonts w:asciiTheme="minorHAnsi" w:hAnsiTheme="minorHAnsi"/>
                <w:i/>
                <w:color w:val="495965" w:themeColor="text2"/>
                <w:sz w:val="17"/>
                <w:szCs w:val="17"/>
                <w:lang w:eastAsia="en-US"/>
              </w:rPr>
            </w:pPr>
          </w:p>
        </w:tc>
      </w:tr>
      <w:tr w:rsidR="00EC76BD" w:rsidRPr="00CD131A" w:rsidTr="00EC76BD">
        <w:trPr>
          <w:trHeight w:val="614"/>
        </w:trPr>
        <w:tc>
          <w:tcPr>
            <w:tcW w:w="1606" w:type="pct"/>
            <w:tcBorders>
              <w:top w:val="nil"/>
              <w:left w:val="nil"/>
              <w:bottom w:val="nil"/>
              <w:right w:val="nil"/>
            </w:tcBorders>
          </w:tcPr>
          <w:p w:rsidR="00EC76BD" w:rsidRPr="00CD131A" w:rsidRDefault="00EC76BD" w:rsidP="000B62C6">
            <w:pPr>
              <w:pStyle w:val="BodyText"/>
              <w:rPr>
                <w:rFonts w:asciiTheme="minorHAnsi" w:hAnsiTheme="minorHAnsi"/>
                <w:color w:val="495965" w:themeColor="text2"/>
                <w:sz w:val="17"/>
                <w:szCs w:val="17"/>
              </w:rPr>
            </w:pPr>
          </w:p>
        </w:tc>
        <w:tc>
          <w:tcPr>
            <w:tcW w:w="2509" w:type="pct"/>
            <w:gridSpan w:val="2"/>
            <w:tcBorders>
              <w:top w:val="nil"/>
              <w:left w:val="nil"/>
              <w:bottom w:val="nil"/>
              <w:right w:val="nil"/>
            </w:tcBorders>
          </w:tcPr>
          <w:p w:rsidR="00EC76BD" w:rsidRPr="00CD131A" w:rsidRDefault="00EC76BD" w:rsidP="000B62C6">
            <w:pPr>
              <w:pStyle w:val="BodyText"/>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Number of police and law and justice officials trained</w:t>
            </w:r>
          </w:p>
        </w:tc>
        <w:tc>
          <w:tcPr>
            <w:tcW w:w="885" w:type="pct"/>
            <w:tcBorders>
              <w:top w:val="nil"/>
              <w:left w:val="nil"/>
              <w:bottom w:val="nil"/>
              <w:right w:val="nil"/>
            </w:tcBorders>
          </w:tcPr>
          <w:p w:rsidR="00EC76BD" w:rsidRPr="00CD131A" w:rsidRDefault="00EC76BD" w:rsidP="00EC76BD">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Women:    1,300</w:t>
            </w:r>
          </w:p>
          <w:p w:rsidR="00EC76BD" w:rsidRPr="00CD131A" w:rsidRDefault="00EC76BD" w:rsidP="00EC76BD">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Men:          3,200</w:t>
            </w:r>
          </w:p>
          <w:p w:rsidR="00EC76BD" w:rsidRPr="00CD131A" w:rsidRDefault="00EC76BD" w:rsidP="00EC76BD">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Total:         4,500</w:t>
            </w:r>
          </w:p>
        </w:tc>
      </w:tr>
      <w:tr w:rsidR="00EC76BD" w:rsidRPr="00CD131A" w:rsidTr="00EC76BD">
        <w:trPr>
          <w:trHeight w:val="614"/>
        </w:trPr>
        <w:tc>
          <w:tcPr>
            <w:tcW w:w="1606" w:type="pct"/>
            <w:tcBorders>
              <w:top w:val="nil"/>
              <w:left w:val="nil"/>
              <w:bottom w:val="nil"/>
              <w:right w:val="nil"/>
            </w:tcBorders>
          </w:tcPr>
          <w:p w:rsidR="00EC76BD" w:rsidRPr="00CD131A" w:rsidRDefault="00EC76BD" w:rsidP="000B62C6">
            <w:pPr>
              <w:pStyle w:val="BodyText"/>
              <w:rPr>
                <w:rFonts w:asciiTheme="minorHAnsi" w:hAnsiTheme="minorHAnsi"/>
                <w:b/>
                <w:color w:val="495965" w:themeColor="text2"/>
                <w:sz w:val="17"/>
                <w:szCs w:val="17"/>
              </w:rPr>
            </w:pPr>
            <w:r w:rsidRPr="00CD131A">
              <w:rPr>
                <w:rFonts w:asciiTheme="minorHAnsi" w:hAnsiTheme="minorHAnsi"/>
                <w:b/>
                <w:color w:val="495965" w:themeColor="text2"/>
                <w:sz w:val="17"/>
                <w:szCs w:val="17"/>
              </w:rPr>
              <w:t>Enabling economic growth</w:t>
            </w:r>
          </w:p>
        </w:tc>
        <w:tc>
          <w:tcPr>
            <w:tcW w:w="2509" w:type="pct"/>
            <w:gridSpan w:val="2"/>
            <w:tcBorders>
              <w:top w:val="nil"/>
              <w:left w:val="nil"/>
              <w:bottom w:val="nil"/>
              <w:right w:val="nil"/>
            </w:tcBorders>
          </w:tcPr>
          <w:p w:rsidR="00EC76BD" w:rsidRPr="00CD131A" w:rsidRDefault="00EC76BD" w:rsidP="000B62C6">
            <w:pPr>
              <w:pStyle w:val="BodyText"/>
              <w:rPr>
                <w:rFonts w:asciiTheme="minorHAnsi" w:hAnsiTheme="minorHAnsi"/>
                <w:i/>
                <w:color w:val="495965" w:themeColor="text2"/>
                <w:sz w:val="17"/>
                <w:szCs w:val="17"/>
                <w:lang w:eastAsia="en-US"/>
              </w:rPr>
            </w:pPr>
          </w:p>
        </w:tc>
        <w:tc>
          <w:tcPr>
            <w:tcW w:w="885" w:type="pct"/>
            <w:tcBorders>
              <w:top w:val="nil"/>
              <w:left w:val="nil"/>
              <w:bottom w:val="nil"/>
              <w:right w:val="nil"/>
            </w:tcBorders>
          </w:tcPr>
          <w:p w:rsidR="00EC76BD" w:rsidRPr="00CD131A" w:rsidRDefault="00EC76BD" w:rsidP="000B62C6">
            <w:pPr>
              <w:pStyle w:val="BodyText"/>
              <w:rPr>
                <w:rFonts w:asciiTheme="minorHAnsi" w:hAnsiTheme="minorHAnsi"/>
                <w:i/>
                <w:color w:val="495965" w:themeColor="text2"/>
                <w:sz w:val="17"/>
                <w:szCs w:val="17"/>
                <w:lang w:eastAsia="en-US"/>
              </w:rPr>
            </w:pPr>
          </w:p>
        </w:tc>
      </w:tr>
      <w:tr w:rsidR="00EC76BD" w:rsidRPr="00CD131A" w:rsidTr="00EC76BD">
        <w:trPr>
          <w:trHeight w:val="614"/>
        </w:trPr>
        <w:tc>
          <w:tcPr>
            <w:tcW w:w="1606" w:type="pct"/>
            <w:tcBorders>
              <w:top w:val="nil"/>
              <w:left w:val="nil"/>
              <w:bottom w:val="nil"/>
              <w:right w:val="nil"/>
            </w:tcBorders>
          </w:tcPr>
          <w:p w:rsidR="00EC76BD" w:rsidRPr="00CD131A" w:rsidRDefault="00EC76BD" w:rsidP="000B62C6">
            <w:pPr>
              <w:pStyle w:val="BodyText"/>
              <w:rPr>
                <w:rFonts w:asciiTheme="minorHAnsi" w:hAnsiTheme="minorHAnsi"/>
                <w:color w:val="495965" w:themeColor="text2"/>
                <w:sz w:val="17"/>
                <w:szCs w:val="17"/>
              </w:rPr>
            </w:pPr>
            <w:r w:rsidRPr="00CD131A">
              <w:rPr>
                <w:rFonts w:asciiTheme="minorHAnsi" w:hAnsiTheme="minorHAnsi"/>
                <w:color w:val="495965" w:themeColor="text2"/>
                <w:sz w:val="17"/>
                <w:szCs w:val="17"/>
              </w:rPr>
              <w:t>2.1: Private sector plays a greater role in economic development</w:t>
            </w:r>
          </w:p>
        </w:tc>
        <w:tc>
          <w:tcPr>
            <w:tcW w:w="2509" w:type="pct"/>
            <w:gridSpan w:val="2"/>
            <w:tcBorders>
              <w:top w:val="nil"/>
              <w:left w:val="nil"/>
              <w:bottom w:val="nil"/>
              <w:right w:val="nil"/>
            </w:tcBorders>
          </w:tcPr>
          <w:p w:rsidR="00EC76BD" w:rsidRPr="00CD131A" w:rsidRDefault="00EC76BD" w:rsidP="000B62C6">
            <w:pPr>
              <w:pStyle w:val="BodyText"/>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Increase to 30 per cent of the aid program focused on private sector led growth and aid for trade***</w:t>
            </w:r>
          </w:p>
        </w:tc>
        <w:tc>
          <w:tcPr>
            <w:tcW w:w="885" w:type="pct"/>
            <w:tcBorders>
              <w:top w:val="nil"/>
              <w:left w:val="nil"/>
              <w:bottom w:val="nil"/>
              <w:right w:val="nil"/>
            </w:tcBorders>
          </w:tcPr>
          <w:p w:rsidR="00EC76BD" w:rsidRPr="00CD131A" w:rsidRDefault="00EC76BD" w:rsidP="000B62C6">
            <w:pPr>
              <w:pStyle w:val="BodyText"/>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29 per cent</w:t>
            </w:r>
          </w:p>
        </w:tc>
      </w:tr>
      <w:tr w:rsidR="00491F4B" w:rsidRPr="00CD131A" w:rsidTr="00491F4B">
        <w:trPr>
          <w:trHeight w:val="614"/>
        </w:trPr>
        <w:tc>
          <w:tcPr>
            <w:tcW w:w="1606" w:type="pct"/>
            <w:tcBorders>
              <w:top w:val="nil"/>
              <w:left w:val="nil"/>
              <w:bottom w:val="nil"/>
              <w:right w:val="nil"/>
            </w:tcBorders>
          </w:tcPr>
          <w:p w:rsidR="00491F4B" w:rsidRPr="00CD131A" w:rsidRDefault="00491F4B" w:rsidP="000B62C6">
            <w:pPr>
              <w:pStyle w:val="BodyText"/>
              <w:rPr>
                <w:rFonts w:asciiTheme="minorHAnsi" w:hAnsiTheme="minorHAnsi"/>
                <w:color w:val="495965" w:themeColor="text2"/>
                <w:sz w:val="17"/>
                <w:szCs w:val="17"/>
              </w:rPr>
            </w:pPr>
          </w:p>
        </w:tc>
        <w:tc>
          <w:tcPr>
            <w:tcW w:w="2509" w:type="pct"/>
            <w:gridSpan w:val="2"/>
            <w:tcBorders>
              <w:top w:val="nil"/>
              <w:left w:val="nil"/>
              <w:bottom w:val="nil"/>
              <w:right w:val="nil"/>
            </w:tcBorders>
          </w:tcPr>
          <w:p w:rsidR="00491F4B" w:rsidRPr="00CD131A" w:rsidRDefault="00491F4B" w:rsidP="000B62C6">
            <w:pPr>
              <w:pStyle w:val="BodyText"/>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 xml:space="preserve">Number of poor women and men who increase their access to financial services  </w:t>
            </w:r>
          </w:p>
        </w:tc>
        <w:tc>
          <w:tcPr>
            <w:tcW w:w="885" w:type="pct"/>
            <w:tcBorders>
              <w:top w:val="nil"/>
              <w:left w:val="nil"/>
              <w:bottom w:val="nil"/>
              <w:right w:val="nil"/>
            </w:tcBorders>
          </w:tcPr>
          <w:p w:rsidR="00491F4B" w:rsidRPr="00CD131A" w:rsidRDefault="00491F4B" w:rsidP="00491F4B">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Women:  16,000</w:t>
            </w:r>
          </w:p>
          <w:p w:rsidR="00491F4B" w:rsidRPr="00CD131A" w:rsidRDefault="00491F4B" w:rsidP="00491F4B">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Men:        24,000</w:t>
            </w:r>
          </w:p>
          <w:p w:rsidR="00491F4B" w:rsidRPr="00CD131A" w:rsidRDefault="00491F4B" w:rsidP="00491F4B">
            <w:pPr>
              <w:pStyle w:val="BodyText"/>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 xml:space="preserve">Total:       40,000       </w:t>
            </w:r>
          </w:p>
        </w:tc>
      </w:tr>
      <w:tr w:rsidR="00491F4B" w:rsidRPr="00CD131A" w:rsidTr="00491F4B">
        <w:trPr>
          <w:trHeight w:val="614"/>
        </w:trPr>
        <w:tc>
          <w:tcPr>
            <w:tcW w:w="1606" w:type="pct"/>
            <w:tcBorders>
              <w:top w:val="nil"/>
              <w:left w:val="nil"/>
              <w:bottom w:val="nil"/>
              <w:right w:val="nil"/>
            </w:tcBorders>
          </w:tcPr>
          <w:p w:rsidR="00491F4B" w:rsidRPr="00CD131A" w:rsidRDefault="00917635" w:rsidP="000B62C6">
            <w:pPr>
              <w:pStyle w:val="BodyText"/>
              <w:rPr>
                <w:rFonts w:asciiTheme="minorHAnsi" w:hAnsiTheme="minorHAnsi"/>
                <w:color w:val="495965" w:themeColor="text2"/>
                <w:sz w:val="17"/>
                <w:szCs w:val="17"/>
              </w:rPr>
            </w:pPr>
            <w:r w:rsidRPr="00CD131A">
              <w:rPr>
                <w:rFonts w:asciiTheme="minorHAnsi" w:hAnsiTheme="minorHAnsi"/>
                <w:color w:val="495965" w:themeColor="text2"/>
                <w:sz w:val="17"/>
                <w:szCs w:val="17"/>
              </w:rPr>
              <w:t>2.2: Improved road infrastructure increasingly connects producers with consumers</w:t>
            </w:r>
          </w:p>
        </w:tc>
        <w:tc>
          <w:tcPr>
            <w:tcW w:w="2509" w:type="pct"/>
            <w:gridSpan w:val="2"/>
            <w:tcBorders>
              <w:top w:val="nil"/>
              <w:left w:val="nil"/>
              <w:bottom w:val="nil"/>
              <w:right w:val="nil"/>
            </w:tcBorders>
          </w:tcPr>
          <w:p w:rsidR="00491F4B" w:rsidRPr="00CD131A" w:rsidRDefault="00917635" w:rsidP="000B62C6">
            <w:pPr>
              <w:pStyle w:val="BodyText"/>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Targeted investments contribute to sustained improvements in the national road network. (Assessed by distance (km) of roads that are subject to design/routine maintenance / periodic maintenance and rehabilitation)</w:t>
            </w:r>
          </w:p>
        </w:tc>
        <w:tc>
          <w:tcPr>
            <w:tcW w:w="885" w:type="pct"/>
            <w:tcBorders>
              <w:top w:val="nil"/>
              <w:left w:val="nil"/>
              <w:bottom w:val="nil"/>
              <w:right w:val="nil"/>
            </w:tcBorders>
          </w:tcPr>
          <w:p w:rsidR="00917635" w:rsidRPr="00CD131A" w:rsidRDefault="00917635" w:rsidP="00917635">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Routine:  700 km</w:t>
            </w:r>
          </w:p>
          <w:p w:rsidR="00917635" w:rsidRPr="00CD131A" w:rsidRDefault="00917635" w:rsidP="00917635">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Design:    125 km</w:t>
            </w:r>
          </w:p>
          <w:p w:rsidR="00917635" w:rsidRPr="00CD131A" w:rsidRDefault="00917635" w:rsidP="00917635">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 xml:space="preserve">Total:       825 km        </w:t>
            </w:r>
            <w:r w:rsidRPr="00CD131A">
              <w:rPr>
                <w:rFonts w:asciiTheme="minorHAnsi" w:hAnsiTheme="minorHAnsi"/>
                <w:i/>
                <w:color w:val="495965" w:themeColor="text2"/>
                <w:sz w:val="17"/>
                <w:szCs w:val="17"/>
                <w:lang w:eastAsia="en-US"/>
              </w:rPr>
              <w:tab/>
            </w:r>
          </w:p>
          <w:p w:rsidR="00491F4B" w:rsidRPr="00CD131A" w:rsidRDefault="00491F4B" w:rsidP="00917635">
            <w:pPr>
              <w:pStyle w:val="BodyText"/>
              <w:spacing w:after="0"/>
              <w:rPr>
                <w:rFonts w:asciiTheme="minorHAnsi" w:hAnsiTheme="minorHAnsi"/>
                <w:i/>
                <w:color w:val="495965" w:themeColor="text2"/>
                <w:sz w:val="17"/>
                <w:szCs w:val="17"/>
                <w:lang w:eastAsia="en-US"/>
              </w:rPr>
            </w:pPr>
          </w:p>
        </w:tc>
      </w:tr>
      <w:tr w:rsidR="00491F4B" w:rsidRPr="00CD131A" w:rsidTr="00491F4B">
        <w:trPr>
          <w:trHeight w:val="614"/>
        </w:trPr>
        <w:tc>
          <w:tcPr>
            <w:tcW w:w="1606" w:type="pct"/>
            <w:tcBorders>
              <w:top w:val="nil"/>
              <w:left w:val="nil"/>
              <w:bottom w:val="nil"/>
              <w:right w:val="nil"/>
            </w:tcBorders>
          </w:tcPr>
          <w:p w:rsidR="00491F4B" w:rsidRPr="00CD131A" w:rsidRDefault="00917635" w:rsidP="000B62C6">
            <w:pPr>
              <w:pStyle w:val="BodyText"/>
              <w:rPr>
                <w:rFonts w:asciiTheme="minorHAnsi" w:hAnsiTheme="minorHAnsi"/>
                <w:b/>
                <w:color w:val="495965" w:themeColor="text2"/>
                <w:sz w:val="17"/>
                <w:szCs w:val="17"/>
              </w:rPr>
            </w:pPr>
            <w:r w:rsidRPr="00CD131A">
              <w:rPr>
                <w:rFonts w:asciiTheme="minorHAnsi" w:hAnsiTheme="minorHAnsi"/>
                <w:b/>
                <w:color w:val="495965" w:themeColor="text2"/>
                <w:sz w:val="17"/>
                <w:szCs w:val="17"/>
              </w:rPr>
              <w:t>Enhancing human development</w:t>
            </w:r>
          </w:p>
        </w:tc>
        <w:tc>
          <w:tcPr>
            <w:tcW w:w="2509" w:type="pct"/>
            <w:gridSpan w:val="2"/>
            <w:tcBorders>
              <w:top w:val="nil"/>
              <w:left w:val="nil"/>
              <w:bottom w:val="nil"/>
              <w:right w:val="nil"/>
            </w:tcBorders>
          </w:tcPr>
          <w:p w:rsidR="00491F4B" w:rsidRPr="00CD131A" w:rsidRDefault="00491F4B" w:rsidP="000B62C6">
            <w:pPr>
              <w:pStyle w:val="BodyText"/>
              <w:rPr>
                <w:rFonts w:asciiTheme="minorHAnsi" w:hAnsiTheme="minorHAnsi"/>
                <w:i/>
                <w:color w:val="495965" w:themeColor="text2"/>
                <w:sz w:val="17"/>
                <w:szCs w:val="17"/>
                <w:lang w:eastAsia="en-US"/>
              </w:rPr>
            </w:pPr>
          </w:p>
        </w:tc>
        <w:tc>
          <w:tcPr>
            <w:tcW w:w="885" w:type="pct"/>
            <w:tcBorders>
              <w:top w:val="nil"/>
              <w:left w:val="nil"/>
              <w:bottom w:val="nil"/>
              <w:right w:val="nil"/>
            </w:tcBorders>
          </w:tcPr>
          <w:p w:rsidR="00491F4B" w:rsidRPr="00CD131A" w:rsidRDefault="00491F4B" w:rsidP="000B62C6">
            <w:pPr>
              <w:pStyle w:val="BodyText"/>
              <w:rPr>
                <w:rFonts w:asciiTheme="minorHAnsi" w:hAnsiTheme="minorHAnsi"/>
                <w:i/>
                <w:color w:val="495965" w:themeColor="text2"/>
                <w:sz w:val="17"/>
                <w:szCs w:val="17"/>
                <w:lang w:eastAsia="en-US"/>
              </w:rPr>
            </w:pPr>
          </w:p>
        </w:tc>
      </w:tr>
      <w:tr w:rsidR="00491F4B" w:rsidRPr="00CD131A" w:rsidTr="00491F4B">
        <w:trPr>
          <w:trHeight w:val="614"/>
        </w:trPr>
        <w:tc>
          <w:tcPr>
            <w:tcW w:w="1606" w:type="pct"/>
            <w:tcBorders>
              <w:top w:val="nil"/>
              <w:left w:val="nil"/>
              <w:bottom w:val="nil"/>
              <w:right w:val="nil"/>
            </w:tcBorders>
          </w:tcPr>
          <w:p w:rsidR="00491F4B" w:rsidRPr="00CD131A" w:rsidRDefault="00917635" w:rsidP="000B62C6">
            <w:pPr>
              <w:pStyle w:val="BodyText"/>
              <w:rPr>
                <w:rFonts w:asciiTheme="minorHAnsi" w:hAnsiTheme="minorHAnsi"/>
                <w:color w:val="495965" w:themeColor="text2"/>
                <w:sz w:val="17"/>
                <w:szCs w:val="17"/>
              </w:rPr>
            </w:pPr>
            <w:r w:rsidRPr="00CD131A">
              <w:rPr>
                <w:rFonts w:asciiTheme="minorHAnsi" w:hAnsiTheme="minorHAnsi"/>
                <w:color w:val="495965" w:themeColor="text2"/>
                <w:sz w:val="17"/>
                <w:szCs w:val="17"/>
              </w:rPr>
              <w:t xml:space="preserve">3.1: Improved infrastructure provides access to education  </w:t>
            </w:r>
          </w:p>
        </w:tc>
        <w:tc>
          <w:tcPr>
            <w:tcW w:w="2509" w:type="pct"/>
            <w:gridSpan w:val="2"/>
            <w:tcBorders>
              <w:top w:val="nil"/>
              <w:left w:val="nil"/>
              <w:bottom w:val="nil"/>
              <w:right w:val="nil"/>
            </w:tcBorders>
          </w:tcPr>
          <w:p w:rsidR="00491F4B" w:rsidRPr="00CD131A" w:rsidRDefault="00917635" w:rsidP="000B62C6">
            <w:pPr>
              <w:pStyle w:val="BodyText"/>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Number of school buildings constructed, maintained, refurbished or rehabilitated</w:t>
            </w:r>
          </w:p>
        </w:tc>
        <w:tc>
          <w:tcPr>
            <w:tcW w:w="885" w:type="pct"/>
            <w:tcBorders>
              <w:top w:val="nil"/>
              <w:left w:val="nil"/>
              <w:bottom w:val="nil"/>
              <w:right w:val="nil"/>
            </w:tcBorders>
          </w:tcPr>
          <w:p w:rsidR="00491F4B" w:rsidRDefault="00917635" w:rsidP="000B62C6">
            <w:pPr>
              <w:pStyle w:val="BodyText"/>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30</w:t>
            </w:r>
          </w:p>
          <w:p w:rsidR="00266B4B" w:rsidRDefault="00266B4B" w:rsidP="000B62C6">
            <w:pPr>
              <w:pStyle w:val="BodyText"/>
              <w:rPr>
                <w:rFonts w:asciiTheme="minorHAnsi" w:hAnsiTheme="minorHAnsi"/>
                <w:i/>
                <w:color w:val="495965" w:themeColor="text2"/>
                <w:sz w:val="17"/>
                <w:szCs w:val="17"/>
                <w:lang w:eastAsia="en-US"/>
              </w:rPr>
            </w:pPr>
          </w:p>
          <w:p w:rsidR="00266B4B" w:rsidRDefault="00266B4B" w:rsidP="000B62C6">
            <w:pPr>
              <w:pStyle w:val="BodyText"/>
              <w:rPr>
                <w:rFonts w:asciiTheme="minorHAnsi" w:hAnsiTheme="minorHAnsi"/>
                <w:i/>
                <w:color w:val="495965" w:themeColor="text2"/>
                <w:sz w:val="17"/>
                <w:szCs w:val="17"/>
                <w:lang w:eastAsia="en-US"/>
              </w:rPr>
            </w:pPr>
          </w:p>
          <w:p w:rsidR="00266B4B" w:rsidRDefault="00266B4B" w:rsidP="000B62C6">
            <w:pPr>
              <w:pStyle w:val="BodyText"/>
              <w:rPr>
                <w:rFonts w:asciiTheme="minorHAnsi" w:hAnsiTheme="minorHAnsi"/>
                <w:i/>
                <w:color w:val="495965" w:themeColor="text2"/>
                <w:sz w:val="17"/>
                <w:szCs w:val="17"/>
                <w:lang w:eastAsia="en-US"/>
              </w:rPr>
            </w:pPr>
          </w:p>
          <w:p w:rsidR="00266B4B" w:rsidRDefault="00266B4B" w:rsidP="000B62C6">
            <w:pPr>
              <w:pStyle w:val="BodyText"/>
              <w:rPr>
                <w:rFonts w:asciiTheme="minorHAnsi" w:hAnsiTheme="minorHAnsi"/>
                <w:i/>
                <w:color w:val="495965" w:themeColor="text2"/>
                <w:sz w:val="17"/>
                <w:szCs w:val="17"/>
                <w:lang w:eastAsia="en-US"/>
              </w:rPr>
            </w:pPr>
          </w:p>
          <w:p w:rsidR="00266B4B" w:rsidRDefault="00266B4B" w:rsidP="000B62C6">
            <w:pPr>
              <w:pStyle w:val="BodyText"/>
              <w:rPr>
                <w:rFonts w:asciiTheme="minorHAnsi" w:hAnsiTheme="minorHAnsi"/>
                <w:i/>
                <w:color w:val="495965" w:themeColor="text2"/>
                <w:sz w:val="17"/>
                <w:szCs w:val="17"/>
                <w:lang w:eastAsia="en-US"/>
              </w:rPr>
            </w:pPr>
          </w:p>
          <w:p w:rsidR="00266B4B" w:rsidRPr="00CD131A" w:rsidRDefault="00266B4B" w:rsidP="000B62C6">
            <w:pPr>
              <w:pStyle w:val="BodyText"/>
              <w:rPr>
                <w:rFonts w:asciiTheme="minorHAnsi" w:hAnsiTheme="minorHAnsi"/>
                <w:i/>
                <w:color w:val="495965" w:themeColor="text2"/>
                <w:sz w:val="17"/>
                <w:szCs w:val="17"/>
                <w:lang w:eastAsia="en-US"/>
              </w:rPr>
            </w:pPr>
          </w:p>
        </w:tc>
      </w:tr>
      <w:tr w:rsidR="00491F4B" w:rsidRPr="00CD131A" w:rsidTr="00917635">
        <w:trPr>
          <w:trHeight w:val="614"/>
        </w:trPr>
        <w:tc>
          <w:tcPr>
            <w:tcW w:w="1606" w:type="pct"/>
            <w:tcBorders>
              <w:top w:val="nil"/>
              <w:left w:val="nil"/>
              <w:bottom w:val="nil"/>
              <w:right w:val="nil"/>
            </w:tcBorders>
          </w:tcPr>
          <w:p w:rsidR="00491F4B" w:rsidRPr="00CD131A" w:rsidRDefault="00917635" w:rsidP="000B62C6">
            <w:pPr>
              <w:pStyle w:val="BodyText"/>
              <w:rPr>
                <w:rFonts w:asciiTheme="minorHAnsi" w:hAnsiTheme="minorHAnsi"/>
                <w:color w:val="495965" w:themeColor="text2"/>
                <w:sz w:val="17"/>
                <w:szCs w:val="17"/>
              </w:rPr>
            </w:pPr>
            <w:r w:rsidRPr="00CD131A">
              <w:rPr>
                <w:rFonts w:asciiTheme="minorHAnsi" w:hAnsiTheme="minorHAnsi"/>
                <w:color w:val="495965" w:themeColor="text2"/>
                <w:sz w:val="17"/>
                <w:szCs w:val="17"/>
              </w:rPr>
              <w:lastRenderedPageBreak/>
              <w:t>3.2: The quality of key services and access to education are improved</w:t>
            </w:r>
          </w:p>
        </w:tc>
        <w:tc>
          <w:tcPr>
            <w:tcW w:w="2509" w:type="pct"/>
            <w:gridSpan w:val="2"/>
            <w:tcBorders>
              <w:top w:val="nil"/>
              <w:left w:val="nil"/>
              <w:bottom w:val="nil"/>
              <w:right w:val="nil"/>
            </w:tcBorders>
          </w:tcPr>
          <w:p w:rsidR="00491F4B" w:rsidRPr="00CD131A" w:rsidRDefault="00917635" w:rsidP="000B62C6">
            <w:pPr>
              <w:pStyle w:val="BodyText"/>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Number of additional girls and boys enrolled in school</w:t>
            </w:r>
          </w:p>
        </w:tc>
        <w:tc>
          <w:tcPr>
            <w:tcW w:w="885" w:type="pct"/>
            <w:tcBorders>
              <w:top w:val="nil"/>
              <w:left w:val="nil"/>
              <w:bottom w:val="nil"/>
              <w:right w:val="nil"/>
            </w:tcBorders>
          </w:tcPr>
          <w:p w:rsidR="00917635" w:rsidRPr="00CD131A" w:rsidRDefault="00917635" w:rsidP="00917635">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Girls:</w:t>
            </w:r>
            <w:r w:rsidRPr="00CD131A">
              <w:rPr>
                <w:rFonts w:asciiTheme="minorHAnsi" w:hAnsiTheme="minorHAnsi"/>
                <w:i/>
                <w:color w:val="495965" w:themeColor="text2"/>
                <w:sz w:val="17"/>
                <w:szCs w:val="17"/>
                <w:lang w:eastAsia="en-US"/>
              </w:rPr>
              <w:tab/>
              <w:t>75,000</w:t>
            </w:r>
          </w:p>
          <w:p w:rsidR="00917635" w:rsidRPr="00CD131A" w:rsidRDefault="00917635" w:rsidP="00917635">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Boys:</w:t>
            </w:r>
            <w:r w:rsidRPr="00CD131A">
              <w:rPr>
                <w:rFonts w:asciiTheme="minorHAnsi" w:hAnsiTheme="minorHAnsi"/>
                <w:i/>
                <w:color w:val="495965" w:themeColor="text2"/>
                <w:sz w:val="17"/>
                <w:szCs w:val="17"/>
                <w:lang w:eastAsia="en-US"/>
              </w:rPr>
              <w:tab/>
              <w:t>84,500</w:t>
            </w:r>
          </w:p>
          <w:p w:rsidR="00491F4B" w:rsidRDefault="00917635" w:rsidP="00917635">
            <w:pPr>
              <w:pStyle w:val="BodyText"/>
              <w:spacing w:after="0"/>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 xml:space="preserve">Total:    </w:t>
            </w:r>
            <w:r w:rsidR="00847EDF">
              <w:rPr>
                <w:rFonts w:asciiTheme="minorHAnsi" w:hAnsiTheme="minorHAnsi"/>
                <w:i/>
                <w:color w:val="495965" w:themeColor="text2"/>
                <w:sz w:val="17"/>
                <w:szCs w:val="17"/>
                <w:lang w:eastAsia="en-US"/>
              </w:rPr>
              <w:t xml:space="preserve">  </w:t>
            </w:r>
            <w:r w:rsidRPr="00CD131A">
              <w:rPr>
                <w:rFonts w:asciiTheme="minorHAnsi" w:hAnsiTheme="minorHAnsi"/>
                <w:i/>
                <w:color w:val="495965" w:themeColor="text2"/>
                <w:sz w:val="17"/>
                <w:szCs w:val="17"/>
                <w:lang w:eastAsia="en-US"/>
              </w:rPr>
              <w:t>159,500</w:t>
            </w:r>
          </w:p>
          <w:p w:rsidR="00266B4B" w:rsidRPr="00CD131A" w:rsidRDefault="00266B4B" w:rsidP="00917635">
            <w:pPr>
              <w:pStyle w:val="BodyText"/>
              <w:spacing w:after="0"/>
              <w:rPr>
                <w:rFonts w:asciiTheme="minorHAnsi" w:hAnsiTheme="minorHAnsi"/>
                <w:i/>
                <w:color w:val="495965" w:themeColor="text2"/>
                <w:sz w:val="17"/>
                <w:szCs w:val="17"/>
                <w:lang w:eastAsia="en-US"/>
              </w:rPr>
            </w:pPr>
          </w:p>
        </w:tc>
      </w:tr>
      <w:tr w:rsidR="00917635" w:rsidRPr="00CD131A" w:rsidTr="00917635">
        <w:trPr>
          <w:trHeight w:val="614"/>
        </w:trPr>
        <w:tc>
          <w:tcPr>
            <w:tcW w:w="1606" w:type="pct"/>
            <w:tcBorders>
              <w:top w:val="nil"/>
              <w:left w:val="nil"/>
              <w:bottom w:val="nil"/>
              <w:right w:val="nil"/>
            </w:tcBorders>
          </w:tcPr>
          <w:p w:rsidR="00917635" w:rsidRPr="00CD131A" w:rsidRDefault="00917635" w:rsidP="000B62C6">
            <w:pPr>
              <w:pStyle w:val="BodyText"/>
              <w:rPr>
                <w:rFonts w:asciiTheme="minorHAnsi" w:hAnsiTheme="minorHAnsi"/>
                <w:color w:val="495965" w:themeColor="text2"/>
                <w:sz w:val="17"/>
                <w:szCs w:val="17"/>
              </w:rPr>
            </w:pPr>
          </w:p>
        </w:tc>
        <w:tc>
          <w:tcPr>
            <w:tcW w:w="2509" w:type="pct"/>
            <w:gridSpan w:val="2"/>
            <w:tcBorders>
              <w:top w:val="nil"/>
              <w:left w:val="nil"/>
              <w:bottom w:val="nil"/>
              <w:right w:val="nil"/>
            </w:tcBorders>
          </w:tcPr>
          <w:p w:rsidR="00917635" w:rsidRPr="00CD131A" w:rsidRDefault="00917635" w:rsidP="000B62C6">
            <w:pPr>
              <w:pStyle w:val="BodyText"/>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Improve Gross Enrolment Rate (GER) at Grade 5 (six years of schooling) for girls and boys, ensuring more girls in particular are reaching the upper primary education levels</w:t>
            </w:r>
          </w:p>
        </w:tc>
        <w:tc>
          <w:tcPr>
            <w:tcW w:w="885" w:type="pct"/>
            <w:tcBorders>
              <w:top w:val="nil"/>
              <w:left w:val="nil"/>
              <w:bottom w:val="nil"/>
              <w:right w:val="nil"/>
            </w:tcBorders>
          </w:tcPr>
          <w:p w:rsidR="00917635" w:rsidRPr="00CD131A" w:rsidRDefault="00CD131A" w:rsidP="00917635">
            <w:pPr>
              <w:pStyle w:val="BodyText"/>
              <w:rPr>
                <w:rFonts w:asciiTheme="minorHAnsi" w:hAnsiTheme="minorHAnsi"/>
                <w:i/>
                <w:color w:val="495965" w:themeColor="text2"/>
                <w:sz w:val="17"/>
                <w:szCs w:val="17"/>
                <w:lang w:eastAsia="en-US"/>
              </w:rPr>
            </w:pPr>
            <w:r>
              <w:rPr>
                <w:rFonts w:asciiTheme="minorHAnsi" w:hAnsiTheme="minorHAnsi"/>
                <w:i/>
                <w:color w:val="495965" w:themeColor="text2"/>
                <w:sz w:val="17"/>
                <w:szCs w:val="17"/>
                <w:lang w:eastAsia="en-US"/>
              </w:rPr>
              <w:t xml:space="preserve">Girls GER: </w:t>
            </w:r>
            <w:r w:rsidR="001565C2">
              <w:rPr>
                <w:rFonts w:asciiTheme="minorHAnsi" w:hAnsiTheme="minorHAnsi"/>
                <w:i/>
                <w:color w:val="495965" w:themeColor="text2"/>
                <w:sz w:val="17"/>
                <w:szCs w:val="17"/>
                <w:lang w:eastAsia="en-US"/>
              </w:rPr>
              <w:t xml:space="preserve">             81.0 </w:t>
            </w:r>
            <w:r>
              <w:rPr>
                <w:rFonts w:asciiTheme="minorHAnsi" w:hAnsiTheme="minorHAnsi"/>
                <w:i/>
                <w:color w:val="495965" w:themeColor="text2"/>
                <w:sz w:val="17"/>
                <w:szCs w:val="17"/>
                <w:lang w:eastAsia="en-US"/>
              </w:rPr>
              <w:t>per cent</w:t>
            </w:r>
          </w:p>
          <w:p w:rsidR="00917635" w:rsidRPr="00CD131A" w:rsidRDefault="00CD131A" w:rsidP="00917635">
            <w:pPr>
              <w:pStyle w:val="BodyText"/>
              <w:rPr>
                <w:rFonts w:asciiTheme="minorHAnsi" w:hAnsiTheme="minorHAnsi"/>
                <w:i/>
                <w:color w:val="495965" w:themeColor="text2"/>
                <w:sz w:val="17"/>
                <w:szCs w:val="17"/>
                <w:lang w:eastAsia="en-US"/>
              </w:rPr>
            </w:pPr>
            <w:r>
              <w:rPr>
                <w:rFonts w:asciiTheme="minorHAnsi" w:hAnsiTheme="minorHAnsi"/>
                <w:i/>
                <w:color w:val="495965" w:themeColor="text2"/>
                <w:sz w:val="17"/>
                <w:szCs w:val="17"/>
                <w:lang w:eastAsia="en-US"/>
              </w:rPr>
              <w:t xml:space="preserve">Boys GER: </w:t>
            </w:r>
            <w:r w:rsidR="001565C2">
              <w:rPr>
                <w:rFonts w:asciiTheme="minorHAnsi" w:hAnsiTheme="minorHAnsi"/>
                <w:i/>
                <w:color w:val="495965" w:themeColor="text2"/>
                <w:sz w:val="17"/>
                <w:szCs w:val="17"/>
                <w:lang w:eastAsia="en-US"/>
              </w:rPr>
              <w:t xml:space="preserve">             93.5 </w:t>
            </w:r>
            <w:r>
              <w:rPr>
                <w:rFonts w:asciiTheme="minorHAnsi" w:hAnsiTheme="minorHAnsi"/>
                <w:i/>
                <w:color w:val="495965" w:themeColor="text2"/>
                <w:sz w:val="17"/>
                <w:szCs w:val="17"/>
                <w:lang w:eastAsia="en-US"/>
              </w:rPr>
              <w:t>per cent</w:t>
            </w:r>
          </w:p>
        </w:tc>
      </w:tr>
      <w:tr w:rsidR="00917635" w:rsidRPr="00CD131A" w:rsidTr="00917635">
        <w:trPr>
          <w:trHeight w:val="614"/>
        </w:trPr>
        <w:tc>
          <w:tcPr>
            <w:tcW w:w="1606" w:type="pct"/>
            <w:tcBorders>
              <w:top w:val="nil"/>
              <w:left w:val="nil"/>
              <w:bottom w:val="nil"/>
              <w:right w:val="nil"/>
            </w:tcBorders>
          </w:tcPr>
          <w:p w:rsidR="00917635" w:rsidRPr="00CD131A" w:rsidRDefault="00917635" w:rsidP="000B62C6">
            <w:pPr>
              <w:pStyle w:val="BodyText"/>
              <w:rPr>
                <w:rFonts w:asciiTheme="minorHAnsi" w:hAnsiTheme="minorHAnsi"/>
                <w:color w:val="495965" w:themeColor="text2"/>
                <w:sz w:val="17"/>
                <w:szCs w:val="17"/>
              </w:rPr>
            </w:pPr>
            <w:r w:rsidRPr="00CD131A">
              <w:rPr>
                <w:rFonts w:asciiTheme="minorHAnsi" w:hAnsiTheme="minorHAnsi"/>
                <w:color w:val="495965" w:themeColor="text2"/>
                <w:sz w:val="17"/>
                <w:szCs w:val="17"/>
              </w:rPr>
              <w:t>3.3:  The quality of key services in health and HIV/AIDS are improved</w:t>
            </w:r>
          </w:p>
        </w:tc>
        <w:tc>
          <w:tcPr>
            <w:tcW w:w="2509" w:type="pct"/>
            <w:gridSpan w:val="2"/>
            <w:tcBorders>
              <w:top w:val="nil"/>
              <w:left w:val="nil"/>
              <w:bottom w:val="nil"/>
              <w:right w:val="nil"/>
            </w:tcBorders>
          </w:tcPr>
          <w:p w:rsidR="00917635" w:rsidRPr="00CD131A" w:rsidRDefault="00917635" w:rsidP="000B62C6">
            <w:pPr>
              <w:pStyle w:val="BodyText"/>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Number of additional births attended by a skilled birth attendant</w:t>
            </w:r>
          </w:p>
        </w:tc>
        <w:tc>
          <w:tcPr>
            <w:tcW w:w="885" w:type="pct"/>
            <w:tcBorders>
              <w:top w:val="nil"/>
              <w:left w:val="nil"/>
              <w:bottom w:val="nil"/>
              <w:right w:val="nil"/>
            </w:tcBorders>
          </w:tcPr>
          <w:p w:rsidR="00917635" w:rsidRPr="00CD131A" w:rsidRDefault="00917635" w:rsidP="000B62C6">
            <w:pPr>
              <w:pStyle w:val="BodyText"/>
              <w:rPr>
                <w:rFonts w:asciiTheme="minorHAnsi" w:hAnsiTheme="minorHAnsi"/>
                <w:i/>
                <w:color w:val="495965" w:themeColor="text2"/>
                <w:sz w:val="17"/>
                <w:szCs w:val="17"/>
                <w:lang w:eastAsia="en-US"/>
              </w:rPr>
            </w:pPr>
            <w:r w:rsidRPr="00CD131A">
              <w:rPr>
                <w:rFonts w:asciiTheme="minorHAnsi" w:hAnsiTheme="minorHAnsi"/>
                <w:i/>
                <w:color w:val="495965" w:themeColor="text2"/>
                <w:sz w:val="17"/>
                <w:szCs w:val="17"/>
                <w:lang w:eastAsia="en-US"/>
              </w:rPr>
              <w:t>9,500</w:t>
            </w:r>
          </w:p>
        </w:tc>
      </w:tr>
      <w:tr w:rsidR="00917635" w:rsidRPr="000B62C6" w:rsidTr="00917635">
        <w:trPr>
          <w:trHeight w:val="614"/>
        </w:trPr>
        <w:tc>
          <w:tcPr>
            <w:tcW w:w="5000" w:type="pct"/>
            <w:gridSpan w:val="4"/>
            <w:tcBorders>
              <w:top w:val="nil"/>
              <w:left w:val="nil"/>
              <w:bottom w:val="single" w:sz="12" w:space="0" w:color="auto"/>
              <w:right w:val="nil"/>
            </w:tcBorders>
          </w:tcPr>
          <w:p w:rsidR="00917635" w:rsidRPr="00917635" w:rsidRDefault="00917635" w:rsidP="00917635">
            <w:pPr>
              <w:pStyle w:val="BodyText"/>
              <w:spacing w:after="0" w:line="240" w:lineRule="auto"/>
              <w:rPr>
                <w:rFonts w:asciiTheme="minorHAnsi" w:hAnsiTheme="minorHAnsi"/>
                <w:i/>
                <w:color w:val="495965" w:themeColor="text2"/>
                <w:sz w:val="16"/>
                <w:szCs w:val="20"/>
                <w:lang w:eastAsia="en-US"/>
              </w:rPr>
            </w:pPr>
            <w:r w:rsidRPr="00917635">
              <w:rPr>
                <w:rFonts w:asciiTheme="minorHAnsi" w:hAnsiTheme="minorHAnsi"/>
                <w:i/>
                <w:color w:val="495965" w:themeColor="text2"/>
                <w:sz w:val="16"/>
                <w:szCs w:val="20"/>
                <w:lang w:eastAsia="en-US"/>
              </w:rPr>
              <w:t xml:space="preserve">* Excludes number of police and law and justice officials trained.      </w:t>
            </w:r>
          </w:p>
          <w:p w:rsidR="00917635" w:rsidRPr="00917635" w:rsidRDefault="00917635" w:rsidP="00917635">
            <w:pPr>
              <w:pStyle w:val="BodyText"/>
              <w:spacing w:after="0" w:line="240" w:lineRule="auto"/>
              <w:rPr>
                <w:rFonts w:asciiTheme="minorHAnsi" w:hAnsiTheme="minorHAnsi"/>
                <w:i/>
                <w:color w:val="495965" w:themeColor="text2"/>
                <w:sz w:val="16"/>
                <w:szCs w:val="20"/>
                <w:lang w:eastAsia="en-US"/>
              </w:rPr>
            </w:pPr>
            <w:r w:rsidRPr="00917635">
              <w:rPr>
                <w:rFonts w:asciiTheme="minorHAnsi" w:hAnsiTheme="minorHAnsi"/>
                <w:i/>
                <w:color w:val="495965" w:themeColor="text2"/>
                <w:sz w:val="16"/>
                <w:szCs w:val="20"/>
                <w:lang w:eastAsia="en-US"/>
              </w:rPr>
              <w:t>** These benchmarks reflect results from Australia’s programs across PNG, including in the Autonomous Region of Bougainville.</w:t>
            </w:r>
          </w:p>
          <w:p w:rsidR="00917635" w:rsidRDefault="00917635" w:rsidP="00917635">
            <w:pPr>
              <w:pStyle w:val="BodyText"/>
              <w:spacing w:after="0" w:line="240" w:lineRule="auto"/>
              <w:rPr>
                <w:rFonts w:asciiTheme="minorHAnsi" w:hAnsiTheme="minorHAnsi"/>
                <w:i/>
                <w:color w:val="495965" w:themeColor="text2"/>
                <w:sz w:val="16"/>
                <w:szCs w:val="20"/>
                <w:lang w:eastAsia="en-US"/>
              </w:rPr>
            </w:pPr>
            <w:r w:rsidRPr="00917635">
              <w:rPr>
                <w:rFonts w:asciiTheme="minorHAnsi" w:hAnsiTheme="minorHAnsi"/>
                <w:i/>
                <w:color w:val="495965" w:themeColor="text2"/>
                <w:sz w:val="16"/>
                <w:szCs w:val="20"/>
                <w:lang w:eastAsia="en-US"/>
              </w:rPr>
              <w:t xml:space="preserve">***This includes investments such as Education (Technical Vocational Education and Training); Education (Asia Pacific Technical College-PNG); Transport Sector Support Program (TSSPII); </w:t>
            </w:r>
            <w:r>
              <w:rPr>
                <w:rFonts w:asciiTheme="minorHAnsi" w:hAnsiTheme="minorHAnsi"/>
                <w:i/>
                <w:color w:val="495965" w:themeColor="text2"/>
                <w:sz w:val="16"/>
                <w:szCs w:val="20"/>
                <w:lang w:eastAsia="en-US"/>
              </w:rPr>
              <w:t>PNG Governance Facility</w:t>
            </w:r>
            <w:r w:rsidRPr="00917635">
              <w:rPr>
                <w:rFonts w:asciiTheme="minorHAnsi" w:hAnsiTheme="minorHAnsi"/>
                <w:i/>
                <w:color w:val="495965" w:themeColor="text2"/>
                <w:sz w:val="16"/>
                <w:szCs w:val="20"/>
                <w:lang w:eastAsia="en-US"/>
              </w:rPr>
              <w:t xml:space="preserve">; Private Sector and Rural Development </w:t>
            </w:r>
            <w:r w:rsidR="007452E6">
              <w:rPr>
                <w:rFonts w:asciiTheme="minorHAnsi" w:hAnsiTheme="minorHAnsi"/>
                <w:i/>
                <w:color w:val="495965" w:themeColor="text2"/>
                <w:sz w:val="16"/>
                <w:szCs w:val="20"/>
                <w:lang w:eastAsia="en-US"/>
              </w:rPr>
              <w:t>investments</w:t>
            </w:r>
            <w:r w:rsidRPr="00917635">
              <w:rPr>
                <w:rFonts w:asciiTheme="minorHAnsi" w:hAnsiTheme="minorHAnsi"/>
                <w:i/>
                <w:color w:val="495965" w:themeColor="text2"/>
                <w:sz w:val="16"/>
                <w:szCs w:val="20"/>
                <w:lang w:eastAsia="en-US"/>
              </w:rPr>
              <w:t xml:space="preserve">; Bougainville private sector development </w:t>
            </w:r>
            <w:r w:rsidR="007452E6">
              <w:rPr>
                <w:rFonts w:asciiTheme="minorHAnsi" w:hAnsiTheme="minorHAnsi"/>
                <w:i/>
                <w:color w:val="495965" w:themeColor="text2"/>
                <w:sz w:val="16"/>
                <w:szCs w:val="20"/>
                <w:lang w:eastAsia="en-US"/>
              </w:rPr>
              <w:t>investments</w:t>
            </w:r>
            <w:r w:rsidRPr="00917635">
              <w:rPr>
                <w:rFonts w:asciiTheme="minorHAnsi" w:hAnsiTheme="minorHAnsi"/>
                <w:i/>
                <w:color w:val="495965" w:themeColor="text2"/>
                <w:sz w:val="16"/>
                <w:szCs w:val="20"/>
                <w:lang w:eastAsia="en-US"/>
              </w:rPr>
              <w:t>; ACIAR investments; Gender investments (20% aid for trade); and Incentive Fund phase IV (30% aid for trade).</w:t>
            </w:r>
          </w:p>
          <w:p w:rsidR="00833E98" w:rsidRPr="000B62C6" w:rsidRDefault="00833E98" w:rsidP="00917635">
            <w:pPr>
              <w:pStyle w:val="BodyText"/>
              <w:spacing w:after="0" w:line="240" w:lineRule="auto"/>
              <w:rPr>
                <w:rFonts w:asciiTheme="minorHAnsi" w:hAnsiTheme="minorHAnsi"/>
                <w:i/>
                <w:color w:val="495965" w:themeColor="text2"/>
                <w:szCs w:val="20"/>
                <w:lang w:eastAsia="en-US"/>
              </w:rPr>
            </w:pPr>
          </w:p>
        </w:tc>
      </w:tr>
    </w:tbl>
    <w:p w:rsidR="002A51CA" w:rsidRDefault="002A51CA" w:rsidP="002A51CA">
      <w:pPr>
        <w:pStyle w:val="Heading2"/>
      </w:pPr>
      <w:r>
        <w:t>Mutual obligations</w:t>
      </w:r>
    </w:p>
    <w:p w:rsidR="00B3636F" w:rsidRDefault="00AF5E3E" w:rsidP="001110F5">
      <w:pPr>
        <w:spacing w:after="120" w:line="280" w:lineRule="exact"/>
      </w:pPr>
      <w:r>
        <w:t>M</w:t>
      </w:r>
      <w:r w:rsidR="00B3636F">
        <w:t xml:space="preserve">utual commitments between the Australian and </w:t>
      </w:r>
      <w:r>
        <w:t>PNG</w:t>
      </w:r>
      <w:r w:rsidR="00B3636F">
        <w:t xml:space="preserve"> governments were negotiated as part of the </w:t>
      </w:r>
      <w:r w:rsidR="009027B5">
        <w:t xml:space="preserve">          </w:t>
      </w:r>
      <w:r w:rsidR="00B3636F">
        <w:t xml:space="preserve">Aid Partnership, which was signed on 3 March 2016. The </w:t>
      </w:r>
      <w:r w:rsidR="009C1AB8">
        <w:t xml:space="preserve">Aid </w:t>
      </w:r>
      <w:r w:rsidR="00B3636F">
        <w:t xml:space="preserve">Partnership period is 1 January 2016 to </w:t>
      </w:r>
      <w:r w:rsidR="009027B5">
        <w:t xml:space="preserve">                  </w:t>
      </w:r>
      <w:r w:rsidR="00B3636F">
        <w:t xml:space="preserve">31 December 2017. </w:t>
      </w:r>
    </w:p>
    <w:p w:rsidR="00B21F50" w:rsidRPr="00A41253" w:rsidRDefault="00B3636F" w:rsidP="001110F5">
      <w:pPr>
        <w:spacing w:after="120" w:line="280" w:lineRule="exact"/>
      </w:pPr>
      <w:r>
        <w:t>The mutual commitments include</w:t>
      </w:r>
      <w:r w:rsidR="00AF5E3E">
        <w:t>: maintain a zero tolerance to fraud; work together to promote gender equality and women’s empowerment and address family and sexual violence; increase</w:t>
      </w:r>
      <w:r>
        <w:t xml:space="preserve"> </w:t>
      </w:r>
      <w:r w:rsidR="00AF5E3E">
        <w:t>efforts to address tuberculosis; strengthen</w:t>
      </w:r>
      <w:r>
        <w:t xml:space="preserve"> public service capabilities through the Pacific Leadership and Go</w:t>
      </w:r>
      <w:r w:rsidR="00AF5E3E">
        <w:t>vernance Precinct;</w:t>
      </w:r>
      <w:r w:rsidR="008F047B">
        <w:t xml:space="preserve"> and continue</w:t>
      </w:r>
      <w:r>
        <w:t xml:space="preserve"> </w:t>
      </w:r>
      <w:r w:rsidR="00AF5E3E">
        <w:t>to implement</w:t>
      </w:r>
      <w:r>
        <w:t xml:space="preserve"> the Joint Understanding. </w:t>
      </w:r>
      <w:r w:rsidR="00AF5E3E">
        <w:t xml:space="preserve">Australia also committed to confirming that its development assistance is consistent with PNG National Constitution National Goals and Directive Principles. </w:t>
      </w:r>
      <w:r>
        <w:t>Australia’s progress against these commitments</w:t>
      </w:r>
      <w:r w:rsidR="00AF5E3E">
        <w:t>,</w:t>
      </w:r>
      <w:r>
        <w:t xml:space="preserve"> </w:t>
      </w:r>
      <w:r w:rsidR="00AF5E3E">
        <w:t xml:space="preserve">where it relates to program outcomes, </w:t>
      </w:r>
      <w:r>
        <w:t xml:space="preserve">is reported </w:t>
      </w:r>
      <w:r w:rsidR="00106ABA">
        <w:t>above</w:t>
      </w:r>
      <w:r>
        <w:t>.</w:t>
      </w:r>
      <w:r w:rsidR="00AF5E3E">
        <w:t xml:space="preserve"> </w:t>
      </w:r>
      <w:r w:rsidR="003F52DD" w:rsidRPr="003F52DD">
        <w:t xml:space="preserve">In accordance with </w:t>
      </w:r>
      <w:r w:rsidR="003F52DD">
        <w:t>DFAT’s</w:t>
      </w:r>
      <w:r w:rsidR="003F52DD" w:rsidRPr="003F52DD">
        <w:t xml:space="preserve"> </w:t>
      </w:r>
      <w:r w:rsidR="003F52DD" w:rsidRPr="003F52DD">
        <w:rPr>
          <w:i/>
        </w:rPr>
        <w:t>Making Performance Count</w:t>
      </w:r>
      <w:r w:rsidR="003F52DD" w:rsidRPr="003F52DD">
        <w:t xml:space="preserve"> framework</w:t>
      </w:r>
      <w:r w:rsidR="003F52DD">
        <w:t>, Australia’s aid program in PNG</w:t>
      </w:r>
      <w:r w:rsidR="003F52DD" w:rsidRPr="003F52DD">
        <w:t xml:space="preserve"> </w:t>
      </w:r>
      <w:r w:rsidR="003F52DD">
        <w:t>has</w:t>
      </w:r>
      <w:r w:rsidR="003F52DD" w:rsidRPr="003F52DD">
        <w:t xml:space="preserve"> developed </w:t>
      </w:r>
      <w:r w:rsidR="003F52DD">
        <w:t xml:space="preserve">and implemented </w:t>
      </w:r>
      <w:r w:rsidR="003F52DD" w:rsidRPr="003F52DD">
        <w:t>fraud control and anti-corruption strategies to safeguard Australian aid funding and help address fraud and corruption risks.</w:t>
      </w:r>
    </w:p>
    <w:p w:rsidR="002A51CA" w:rsidRPr="002A51CA" w:rsidRDefault="002A51CA" w:rsidP="002A51CA">
      <w:pPr>
        <w:pStyle w:val="Heading2"/>
      </w:pPr>
      <w:r w:rsidRPr="002A51CA">
        <w:t xml:space="preserve">Program Quality and Partner Performance </w:t>
      </w:r>
    </w:p>
    <w:p w:rsidR="002A51CA" w:rsidRPr="002A51CA" w:rsidRDefault="002A51CA" w:rsidP="002A51CA">
      <w:pPr>
        <w:rPr>
          <w:b/>
          <w:lang w:eastAsia="zh-CN"/>
        </w:rPr>
      </w:pPr>
      <w:r w:rsidRPr="002A51CA">
        <w:rPr>
          <w:b/>
          <w:lang w:eastAsia="zh-CN"/>
        </w:rPr>
        <w:t>Overview</w:t>
      </w:r>
      <w:r w:rsidRPr="002A51CA">
        <w:rPr>
          <w:b/>
          <w:lang w:eastAsia="zh-CN"/>
        </w:rPr>
        <w:tab/>
      </w:r>
      <w:r w:rsidRPr="002A51CA">
        <w:rPr>
          <w:b/>
          <w:lang w:eastAsia="zh-CN"/>
        </w:rPr>
        <w:tab/>
      </w:r>
    </w:p>
    <w:p w:rsidR="009C1AB8" w:rsidRDefault="00435E81" w:rsidP="001110F5">
      <w:pPr>
        <w:spacing w:after="120" w:line="280" w:lineRule="exact"/>
        <w:rPr>
          <w:rFonts w:eastAsia="Times New Roman"/>
        </w:rPr>
      </w:pPr>
      <w:r w:rsidRPr="00435E81">
        <w:rPr>
          <w:rFonts w:eastAsia="Times New Roman"/>
        </w:rPr>
        <w:t xml:space="preserve">Australia’s continuing aid program pipeline in PNG is estimated to be $3.5 billion over the next four years.  The program currently has 36 significant aid investments valued at $3 million or more, 35 of which are valued at $10 million or more. The 36 investments are valued at $2.9 billion in total, representing 82 per cent of the continuing program. Australia’s aid to PNG is aligned with </w:t>
      </w:r>
      <w:r w:rsidR="00AC4333">
        <w:rPr>
          <w:rFonts w:eastAsia="Times New Roman"/>
        </w:rPr>
        <w:t>our</w:t>
      </w:r>
      <w:r w:rsidRPr="00435E81">
        <w:rPr>
          <w:rFonts w:eastAsia="Times New Roman"/>
        </w:rPr>
        <w:t xml:space="preserve"> performance framework, </w:t>
      </w:r>
      <w:r w:rsidRPr="00435E81">
        <w:rPr>
          <w:rFonts w:eastAsia="Times New Roman"/>
          <w:i/>
        </w:rPr>
        <w:t>Making Performance Count: enhancing the accountability and effectiveness of Australian aid</w:t>
      </w:r>
      <w:r w:rsidRPr="00435E81">
        <w:rPr>
          <w:rFonts w:eastAsia="Times New Roman"/>
        </w:rPr>
        <w:t xml:space="preserve">.  </w:t>
      </w:r>
    </w:p>
    <w:p w:rsidR="00435E81" w:rsidRPr="00435E81" w:rsidRDefault="00435E81" w:rsidP="001110F5">
      <w:pPr>
        <w:spacing w:after="120" w:line="280" w:lineRule="exact"/>
        <w:rPr>
          <w:rFonts w:eastAsia="Times New Roman"/>
        </w:rPr>
      </w:pPr>
      <w:r w:rsidRPr="00435E81">
        <w:rPr>
          <w:rFonts w:eastAsia="Times New Roman"/>
        </w:rPr>
        <w:t xml:space="preserve">Program performance and quality is assessed against the </w:t>
      </w:r>
      <w:r w:rsidRPr="00B6769E">
        <w:rPr>
          <w:rFonts w:eastAsia="Times New Roman"/>
          <w:i/>
        </w:rPr>
        <w:t>PNG Aid Investment Plan</w:t>
      </w:r>
      <w:r w:rsidRPr="00435E81">
        <w:rPr>
          <w:rFonts w:eastAsia="Times New Roman"/>
        </w:rPr>
        <w:t xml:space="preserve"> (program strategy); as well as program and sector-level objectives, benchmarks and mutual obligations outlined in the Aid Partnership and sectoral schedules. The performance of Australia’s assistance is reviewed and agreed annually with the PNG Government at bilateral development partnership talks. </w:t>
      </w:r>
    </w:p>
    <w:p w:rsidR="00CD131A" w:rsidRDefault="00CD131A" w:rsidP="001110F5">
      <w:pPr>
        <w:spacing w:after="120" w:line="280" w:lineRule="exact"/>
        <w:rPr>
          <w:rFonts w:eastAsia="Times New Roman"/>
        </w:rPr>
      </w:pPr>
    </w:p>
    <w:p w:rsidR="00CD131A" w:rsidRDefault="00CD131A" w:rsidP="001110F5">
      <w:pPr>
        <w:spacing w:after="120" w:line="280" w:lineRule="exact"/>
        <w:rPr>
          <w:rFonts w:eastAsia="Times New Roman"/>
        </w:rPr>
      </w:pPr>
    </w:p>
    <w:p w:rsidR="00CD131A" w:rsidRDefault="00CD131A" w:rsidP="001110F5">
      <w:pPr>
        <w:spacing w:after="120" w:line="280" w:lineRule="exact"/>
        <w:rPr>
          <w:rFonts w:eastAsia="Times New Roman"/>
        </w:rPr>
      </w:pPr>
    </w:p>
    <w:p w:rsidR="00666FF5" w:rsidRDefault="00435E81" w:rsidP="001110F5">
      <w:pPr>
        <w:spacing w:after="120" w:line="280" w:lineRule="exact"/>
        <w:rPr>
          <w:rFonts w:eastAsia="Times New Roman"/>
        </w:rPr>
      </w:pPr>
      <w:r w:rsidRPr="00435E81">
        <w:rPr>
          <w:rFonts w:eastAsia="Times New Roman"/>
        </w:rPr>
        <w:lastRenderedPageBreak/>
        <w:t>Investment Quality Reporting (IQR) is undertaken annually to review the performance of contractors, investments, sectors and the overarching program.  For the second time on record, in 2015-16 the PNG program achieved 100 per cent compliance on all quality processes.  The program completed 26 Aid Quality Checks (AQCs), 35 Partner Performance Assessments (PPAs) and four Sector Performance Reports (SPRs), which generated evidence-based assessments of progress and reviewed and updated management actions.  This APPR draws on these products.</w:t>
      </w:r>
      <w:r w:rsidR="009C1AB8">
        <w:rPr>
          <w:rFonts w:eastAsia="Times New Roman"/>
        </w:rPr>
        <w:t xml:space="preserve"> </w:t>
      </w:r>
      <w:r w:rsidRPr="00435E81">
        <w:rPr>
          <w:rFonts w:eastAsia="Times New Roman"/>
        </w:rPr>
        <w:t>This approach enabled us to better understand what works and what does not, and to inform decisions made by departmental staff and delegates.  Importantly, it provided evidence-based data to support the claim that Australia’s aid investments are largely working as intended, despite PNG development levels stagnating or declining across the priority s</w:t>
      </w:r>
      <w:r w:rsidR="00CD131A">
        <w:rPr>
          <w:rFonts w:eastAsia="Times New Roman"/>
        </w:rPr>
        <w:t xml:space="preserve">ectors. </w:t>
      </w:r>
    </w:p>
    <w:p w:rsidR="002A51CA" w:rsidRPr="003B0793" w:rsidRDefault="00435E81" w:rsidP="001110F5">
      <w:pPr>
        <w:spacing w:after="120" w:line="280" w:lineRule="exact"/>
        <w:rPr>
          <w:rFonts w:eastAsia="Times New Roman"/>
        </w:rPr>
      </w:pPr>
      <w:r w:rsidRPr="00435E81">
        <w:rPr>
          <w:rFonts w:eastAsia="Times New Roman"/>
        </w:rPr>
        <w:t xml:space="preserve">The management </w:t>
      </w:r>
      <w:r w:rsidR="00106ABA">
        <w:rPr>
          <w:rFonts w:eastAsia="Times New Roman"/>
        </w:rPr>
        <w:t>consequences</w:t>
      </w:r>
      <w:r w:rsidRPr="00435E81">
        <w:rPr>
          <w:rFonts w:eastAsia="Times New Roman"/>
        </w:rPr>
        <w:t xml:space="preserve"> identified in 2014-15 were examined during the IQR process. Reporting shows that management consequences were appropriately addressed in the investments that were on track in 2015-16. New m</w:t>
      </w:r>
      <w:r w:rsidR="00D67A51">
        <w:rPr>
          <w:rFonts w:eastAsia="Times New Roman"/>
        </w:rPr>
        <w:t>anagement consequences for 2016-</w:t>
      </w:r>
      <w:r w:rsidRPr="00435E81">
        <w:rPr>
          <w:rFonts w:eastAsia="Times New Roman"/>
        </w:rPr>
        <w:t>17 were established as an integral part of the process and were outlined in the SPRs that were produced and bel</w:t>
      </w:r>
      <w:r w:rsidR="000B3312">
        <w:rPr>
          <w:rFonts w:eastAsia="Times New Roman"/>
        </w:rPr>
        <w:t xml:space="preserve">ow </w:t>
      </w:r>
      <w:r w:rsidR="00D67A51">
        <w:rPr>
          <w:rFonts w:eastAsia="Times New Roman"/>
        </w:rPr>
        <w:t>in management responses</w:t>
      </w:r>
      <w:r w:rsidR="000B3312">
        <w:rPr>
          <w:rFonts w:eastAsia="Times New Roman"/>
        </w:rPr>
        <w:t xml:space="preserve">. </w:t>
      </w:r>
      <w:r w:rsidRPr="00435E81">
        <w:rPr>
          <w:rFonts w:eastAsia="Times New Roman"/>
        </w:rPr>
        <w:t>In 2015-16</w:t>
      </w:r>
      <w:r w:rsidR="00106ABA">
        <w:rPr>
          <w:rFonts w:eastAsia="Times New Roman"/>
        </w:rPr>
        <w:t>,</w:t>
      </w:r>
      <w:r w:rsidR="00AD3189">
        <w:rPr>
          <w:rFonts w:eastAsia="Times New Roman"/>
        </w:rPr>
        <w:t xml:space="preserve"> the law and j</w:t>
      </w:r>
      <w:r w:rsidRPr="00435E81">
        <w:rPr>
          <w:rFonts w:eastAsia="Times New Roman"/>
        </w:rPr>
        <w:t xml:space="preserve">ustice program successfully reviewed the performance of the Combatting Corruption Project to confirm progress and determine key lessons for future investments.  The PNG program has </w:t>
      </w:r>
      <w:r w:rsidR="00106ABA">
        <w:rPr>
          <w:rFonts w:eastAsia="Times New Roman"/>
        </w:rPr>
        <w:t>several</w:t>
      </w:r>
      <w:r w:rsidRPr="00435E81">
        <w:rPr>
          <w:rFonts w:eastAsia="Times New Roman"/>
        </w:rPr>
        <w:t xml:space="preserve"> health investment review/evaluation</w:t>
      </w:r>
      <w:r w:rsidR="00106ABA">
        <w:rPr>
          <w:rFonts w:eastAsia="Times New Roman"/>
        </w:rPr>
        <w:t>s</w:t>
      </w:r>
      <w:r w:rsidRPr="00435E81">
        <w:rPr>
          <w:rFonts w:eastAsia="Times New Roman"/>
        </w:rPr>
        <w:t xml:space="preserve"> scheduled to commence in 2016-17 (Annex C refers). We have also updated the four-year evaluation pipeline to appropriately resource reviews/evaluations over the life of the extant program. In 2016-17 several programs will prepare for mid-term reviews to be conducted in early 2017-18.</w:t>
      </w:r>
      <w:r w:rsidR="00D845CB">
        <w:rPr>
          <w:rFonts w:eastAsia="Times New Roman"/>
        </w:rPr>
        <w:t xml:space="preserve"> A list of evaluations completed in the reporting period and pipeline of evaluations</w:t>
      </w:r>
      <w:r w:rsidRPr="00435E81">
        <w:rPr>
          <w:rFonts w:eastAsia="Times New Roman"/>
        </w:rPr>
        <w:t xml:space="preserve"> </w:t>
      </w:r>
      <w:r w:rsidR="00D845CB">
        <w:rPr>
          <w:rFonts w:eastAsia="Times New Roman"/>
        </w:rPr>
        <w:t>in 2016-17 is included in</w:t>
      </w:r>
      <w:r w:rsidR="002A51CA" w:rsidRPr="003B0793">
        <w:rPr>
          <w:rFonts w:eastAsia="Times New Roman"/>
        </w:rPr>
        <w:t xml:space="preserve"> </w:t>
      </w:r>
      <w:r w:rsidR="002A51CA" w:rsidRPr="003B0793">
        <w:rPr>
          <w:rFonts w:eastAsia="Times New Roman"/>
          <w:b/>
        </w:rPr>
        <w:t>Annex C</w:t>
      </w:r>
      <w:r w:rsidR="002A51CA" w:rsidRPr="003B0793">
        <w:rPr>
          <w:rFonts w:eastAsia="Times New Roman"/>
        </w:rPr>
        <w:t xml:space="preserve">.  </w:t>
      </w:r>
    </w:p>
    <w:p w:rsidR="002A51CA" w:rsidRPr="002A51CA" w:rsidRDefault="002A51CA" w:rsidP="002A51CA">
      <w:pPr>
        <w:pStyle w:val="Heading2"/>
      </w:pPr>
      <w:r w:rsidRPr="002A51CA">
        <w:t>Anal</w:t>
      </w:r>
      <w:r w:rsidR="00D06398">
        <w:t>ysis of Aid Quality Checks (AQCs</w:t>
      </w:r>
      <w:r w:rsidRPr="002A51CA">
        <w:t>)</w:t>
      </w:r>
    </w:p>
    <w:p w:rsidR="00832C0D" w:rsidRPr="00D845CB" w:rsidRDefault="00832C0D" w:rsidP="00832C0D">
      <w:pPr>
        <w:spacing w:after="120" w:line="280" w:lineRule="exact"/>
        <w:rPr>
          <w:rFonts w:eastAsia="Times New Roman"/>
        </w:rPr>
      </w:pPr>
      <w:r w:rsidRPr="00D845CB">
        <w:rPr>
          <w:rFonts w:eastAsia="Times New Roman"/>
        </w:rPr>
        <w:t>In 2015-</w:t>
      </w:r>
      <w:r>
        <w:rPr>
          <w:rFonts w:eastAsia="Times New Roman"/>
        </w:rPr>
        <w:t xml:space="preserve">16 the PNG program completed </w:t>
      </w:r>
      <w:r w:rsidRPr="00D845CB">
        <w:rPr>
          <w:rFonts w:eastAsia="Times New Roman"/>
        </w:rPr>
        <w:t xml:space="preserve">Aid Quality Check (AQC) reports for 26 </w:t>
      </w:r>
      <w:r>
        <w:rPr>
          <w:rFonts w:eastAsia="Times New Roman"/>
        </w:rPr>
        <w:t>investments</w:t>
      </w:r>
      <w:r w:rsidRPr="00D845CB">
        <w:rPr>
          <w:rFonts w:eastAsia="Times New Roman"/>
        </w:rPr>
        <w:t xml:space="preserve">, which were independently moderated by DFAT’s Principal Specialist for Performance Management and Results and members of the PNG program. Australia’s investments are largely </w:t>
      </w:r>
      <w:r w:rsidR="00795D62">
        <w:rPr>
          <w:rFonts w:eastAsia="Times New Roman"/>
        </w:rPr>
        <w:t>delivering results</w:t>
      </w:r>
      <w:r w:rsidR="00795D62" w:rsidRPr="00D845CB">
        <w:rPr>
          <w:rFonts w:eastAsia="Times New Roman"/>
        </w:rPr>
        <w:t xml:space="preserve"> </w:t>
      </w:r>
      <w:r w:rsidR="00673AFB">
        <w:rPr>
          <w:rFonts w:eastAsia="Times New Roman"/>
        </w:rPr>
        <w:t>and working as</w:t>
      </w:r>
      <w:r w:rsidRPr="00D845CB">
        <w:rPr>
          <w:rFonts w:eastAsia="Times New Roman"/>
        </w:rPr>
        <w:t xml:space="preserve"> intended</w:t>
      </w:r>
      <w:r w:rsidR="00673AFB">
        <w:rPr>
          <w:rFonts w:eastAsia="Times New Roman"/>
        </w:rPr>
        <w:t xml:space="preserve">. </w:t>
      </w:r>
    </w:p>
    <w:p w:rsidR="00832C0D" w:rsidRDefault="00832C0D" w:rsidP="00832C0D">
      <w:pPr>
        <w:spacing w:after="120" w:line="280" w:lineRule="exact"/>
        <w:rPr>
          <w:rFonts w:eastAsia="Times New Roman"/>
        </w:rPr>
      </w:pPr>
      <w:r w:rsidRPr="00D845CB">
        <w:rPr>
          <w:rFonts w:eastAsia="Times New Roman"/>
        </w:rPr>
        <w:t xml:space="preserve">All investments reviewed were assessed to be relevant to </w:t>
      </w:r>
      <w:r w:rsidR="00673AFB">
        <w:rPr>
          <w:rFonts w:eastAsia="Times New Roman"/>
        </w:rPr>
        <w:t>Papua New Guinea’s</w:t>
      </w:r>
      <w:r w:rsidRPr="00D845CB">
        <w:rPr>
          <w:rFonts w:eastAsia="Times New Roman"/>
        </w:rPr>
        <w:t xml:space="preserve"> development context</w:t>
      </w:r>
      <w:r w:rsidR="00795D62">
        <w:rPr>
          <w:rFonts w:eastAsia="Times New Roman"/>
        </w:rPr>
        <w:t>,</w:t>
      </w:r>
      <w:r w:rsidR="00795D62" w:rsidRPr="004E5FEB">
        <w:rPr>
          <w:rFonts w:eastAsia="Times New Roman"/>
        </w:rPr>
        <w:t xml:space="preserve"> while promoting Australian interests overseas</w:t>
      </w:r>
      <w:r w:rsidRPr="00D845CB">
        <w:rPr>
          <w:rFonts w:eastAsia="Times New Roman"/>
        </w:rPr>
        <w:t xml:space="preserve">.  </w:t>
      </w:r>
      <w:r w:rsidR="00795D62" w:rsidRPr="004E5FEB">
        <w:rPr>
          <w:rFonts w:eastAsia="Times New Roman"/>
        </w:rPr>
        <w:t xml:space="preserve">Of the program’s 26 investments, relevance, effectiveness and meeting gender targets consistently achieved high ratings. </w:t>
      </w:r>
      <w:r w:rsidR="00673AFB">
        <w:rPr>
          <w:rFonts w:eastAsia="Times New Roman"/>
        </w:rPr>
        <w:t xml:space="preserve">On Gender, the </w:t>
      </w:r>
      <w:r w:rsidRPr="00D845CB">
        <w:rPr>
          <w:rFonts w:eastAsia="Times New Roman"/>
        </w:rPr>
        <w:t>PNG program continues to perform above the 80 per cent target</w:t>
      </w:r>
      <w:r w:rsidR="00673AFB">
        <w:rPr>
          <w:rFonts w:eastAsia="Times New Roman"/>
        </w:rPr>
        <w:t xml:space="preserve"> (at 85</w:t>
      </w:r>
      <w:r w:rsidR="0033733C">
        <w:rPr>
          <w:rFonts w:eastAsia="Times New Roman"/>
        </w:rPr>
        <w:t xml:space="preserve"> per cent</w:t>
      </w:r>
      <w:r w:rsidR="00673AFB">
        <w:rPr>
          <w:rFonts w:eastAsia="Times New Roman"/>
        </w:rPr>
        <w:t>)</w:t>
      </w:r>
      <w:r w:rsidRPr="00D845CB">
        <w:rPr>
          <w:rFonts w:eastAsia="Times New Roman"/>
        </w:rPr>
        <w:t xml:space="preserve">, </w:t>
      </w:r>
      <w:r w:rsidR="00AE7875">
        <w:rPr>
          <w:rFonts w:eastAsia="Times New Roman"/>
        </w:rPr>
        <w:t>in line with</w:t>
      </w:r>
      <w:r w:rsidR="00B80664">
        <w:rPr>
          <w:rFonts w:eastAsia="Times New Roman"/>
        </w:rPr>
        <w:t xml:space="preserve"> </w:t>
      </w:r>
      <w:r w:rsidRPr="00D845CB">
        <w:rPr>
          <w:rFonts w:eastAsia="Times New Roman"/>
        </w:rPr>
        <w:t>DFAT’s Gender Equality and Women’s Empowerment Strategy</w:t>
      </w:r>
      <w:r w:rsidR="00673AFB">
        <w:rPr>
          <w:rFonts w:eastAsia="Times New Roman"/>
        </w:rPr>
        <w:t xml:space="preserve">. However, gender ratings at the investment level have decreased since 2014-15. This </w:t>
      </w:r>
      <w:r w:rsidRPr="00D845CB">
        <w:rPr>
          <w:rFonts w:eastAsia="Times New Roman"/>
        </w:rPr>
        <w:t>w</w:t>
      </w:r>
      <w:r>
        <w:rPr>
          <w:rFonts w:eastAsia="Times New Roman"/>
        </w:rPr>
        <w:t>ill be actively addressed as a m</w:t>
      </w:r>
      <w:r w:rsidRPr="00D845CB">
        <w:rPr>
          <w:rFonts w:eastAsia="Times New Roman"/>
        </w:rPr>
        <w:t>ana</w:t>
      </w:r>
      <w:r>
        <w:rPr>
          <w:rFonts w:eastAsia="Times New Roman"/>
        </w:rPr>
        <w:t xml:space="preserve">gement consequence in 2016-17. </w:t>
      </w:r>
    </w:p>
    <w:p w:rsidR="00832C0D" w:rsidRDefault="00832C0D" w:rsidP="00832C0D">
      <w:pPr>
        <w:spacing w:after="120" w:line="280" w:lineRule="exact"/>
        <w:rPr>
          <w:rFonts w:eastAsia="Times New Roman"/>
        </w:rPr>
      </w:pPr>
      <w:r w:rsidRPr="00D845CB">
        <w:rPr>
          <w:rFonts w:eastAsia="Times New Roman"/>
        </w:rPr>
        <w:t xml:space="preserve">As shown at Annex D, </w:t>
      </w:r>
      <w:r w:rsidR="00AE7875" w:rsidRPr="004E5FEB">
        <w:rPr>
          <w:rFonts w:eastAsia="Times New Roman"/>
        </w:rPr>
        <w:t xml:space="preserve">half of the PNG program’s investments performed strongly over the reporting period.  Scholarships, Education, Health and HIV Multilateral Partnerships, Health Capacity Development and Service Delivery, the Law and Justice Partnership, Drought, Microfinance Expansion Project, Transport Sector Support Program, and the Gender equality/Gender Based Violence investments are all tracking well across the reporting criteria. </w:t>
      </w:r>
      <w:r w:rsidR="00AE7875">
        <w:rPr>
          <w:rFonts w:eastAsia="Times New Roman"/>
        </w:rPr>
        <w:t>I</w:t>
      </w:r>
      <w:r w:rsidRPr="00D845CB">
        <w:rPr>
          <w:rFonts w:eastAsia="Times New Roman"/>
        </w:rPr>
        <w:t xml:space="preserve">nvestments that performed less well in 2015-16 </w:t>
      </w:r>
      <w:r w:rsidR="00AE7875">
        <w:rPr>
          <w:rFonts w:eastAsia="Times New Roman"/>
        </w:rPr>
        <w:t>included</w:t>
      </w:r>
      <w:r w:rsidR="00AE7875" w:rsidRPr="00D845CB">
        <w:rPr>
          <w:rFonts w:eastAsia="Times New Roman"/>
        </w:rPr>
        <w:t xml:space="preserve"> </w:t>
      </w:r>
      <w:r w:rsidRPr="00D845CB">
        <w:rPr>
          <w:rFonts w:eastAsia="Times New Roman"/>
        </w:rPr>
        <w:t>the Kokoda Initiative, th</w:t>
      </w:r>
      <w:r>
        <w:rPr>
          <w:rFonts w:eastAsia="Times New Roman"/>
        </w:rPr>
        <w:t>e PNG Disaster Risk Management p</w:t>
      </w:r>
      <w:r w:rsidRPr="00D845CB">
        <w:rPr>
          <w:rFonts w:eastAsia="Times New Roman"/>
        </w:rPr>
        <w:t>rogram, the World Bank PNG Multi-Donor Trust Fund, the Church Partnerships P</w:t>
      </w:r>
      <w:r>
        <w:rPr>
          <w:rFonts w:eastAsia="Times New Roman"/>
        </w:rPr>
        <w:t>rogram, the Pacific Leadership and</w:t>
      </w:r>
      <w:r w:rsidRPr="00D845CB">
        <w:rPr>
          <w:rFonts w:eastAsia="Times New Roman"/>
        </w:rPr>
        <w:t xml:space="preserve"> Governance Precinct</w:t>
      </w:r>
      <w:r w:rsidR="00AE7875">
        <w:rPr>
          <w:rFonts w:eastAsia="Times New Roman"/>
        </w:rPr>
        <w:t xml:space="preserve">, </w:t>
      </w:r>
      <w:r w:rsidRPr="00D845CB">
        <w:rPr>
          <w:rFonts w:eastAsia="Times New Roman"/>
        </w:rPr>
        <w:t>Sports for Development</w:t>
      </w:r>
      <w:r w:rsidR="00AE7875">
        <w:rPr>
          <w:rFonts w:eastAsia="Times New Roman"/>
        </w:rPr>
        <w:t xml:space="preserve">, </w:t>
      </w:r>
      <w:proofErr w:type="spellStart"/>
      <w:r w:rsidR="00AE7875" w:rsidRPr="004E5FEB">
        <w:rPr>
          <w:rFonts w:eastAsia="Times New Roman"/>
        </w:rPr>
        <w:t>Strongim</w:t>
      </w:r>
      <w:proofErr w:type="spellEnd"/>
      <w:r w:rsidR="00AE7875" w:rsidRPr="004E5FEB">
        <w:rPr>
          <w:rFonts w:eastAsia="Times New Roman"/>
        </w:rPr>
        <w:t xml:space="preserve"> </w:t>
      </w:r>
      <w:proofErr w:type="spellStart"/>
      <w:r w:rsidR="00AE7875" w:rsidRPr="004E5FEB">
        <w:rPr>
          <w:rFonts w:eastAsia="Times New Roman"/>
        </w:rPr>
        <w:t>Pipol</w:t>
      </w:r>
      <w:proofErr w:type="spellEnd"/>
      <w:r w:rsidR="00AE7875" w:rsidRPr="004E5FEB">
        <w:rPr>
          <w:rFonts w:eastAsia="Times New Roman"/>
        </w:rPr>
        <w:t xml:space="preserve"> </w:t>
      </w:r>
      <w:proofErr w:type="spellStart"/>
      <w:r w:rsidR="00AE7875" w:rsidRPr="004E5FEB">
        <w:rPr>
          <w:rFonts w:eastAsia="Times New Roman"/>
        </w:rPr>
        <w:t>Strongim</w:t>
      </w:r>
      <w:proofErr w:type="spellEnd"/>
      <w:r w:rsidR="00AE7875" w:rsidRPr="004E5FEB">
        <w:rPr>
          <w:rFonts w:eastAsia="Times New Roman"/>
        </w:rPr>
        <w:t xml:space="preserve"> </w:t>
      </w:r>
      <w:proofErr w:type="spellStart"/>
      <w:r w:rsidR="00AE7875" w:rsidRPr="004E5FEB">
        <w:rPr>
          <w:rFonts w:eastAsia="Times New Roman"/>
        </w:rPr>
        <w:t>Nesen</w:t>
      </w:r>
      <w:proofErr w:type="spellEnd"/>
      <w:r w:rsidR="00AE7875" w:rsidRPr="004E5FEB">
        <w:rPr>
          <w:rFonts w:eastAsia="Times New Roman"/>
        </w:rPr>
        <w:t xml:space="preserve">, the Economic and Public Sector Program, and the </w:t>
      </w:r>
      <w:proofErr w:type="spellStart"/>
      <w:r w:rsidR="00AE7875" w:rsidRPr="004E5FEB">
        <w:rPr>
          <w:rFonts w:eastAsia="Times New Roman"/>
        </w:rPr>
        <w:t>Strongim</w:t>
      </w:r>
      <w:proofErr w:type="spellEnd"/>
      <w:r w:rsidR="00AE7875" w:rsidRPr="004E5FEB">
        <w:rPr>
          <w:rFonts w:eastAsia="Times New Roman"/>
        </w:rPr>
        <w:t xml:space="preserve"> </w:t>
      </w:r>
      <w:proofErr w:type="spellStart"/>
      <w:r w:rsidR="00AE7875" w:rsidRPr="004E5FEB">
        <w:rPr>
          <w:rFonts w:eastAsia="Times New Roman"/>
        </w:rPr>
        <w:t>Gavman</w:t>
      </w:r>
      <w:proofErr w:type="spellEnd"/>
      <w:r w:rsidR="00AE7875" w:rsidRPr="004E5FEB">
        <w:rPr>
          <w:rFonts w:eastAsia="Times New Roman"/>
        </w:rPr>
        <w:t xml:space="preserve"> Program</w:t>
      </w:r>
      <w:r w:rsidRPr="00D845CB">
        <w:rPr>
          <w:rFonts w:eastAsia="Times New Roman"/>
        </w:rPr>
        <w:t>. The Kokoda Initiative continues to implement recom</w:t>
      </w:r>
      <w:r>
        <w:rPr>
          <w:rFonts w:eastAsia="Times New Roman"/>
        </w:rPr>
        <w:t>mendations from the 2014 review</w:t>
      </w:r>
      <w:r w:rsidRPr="00D845CB">
        <w:rPr>
          <w:rFonts w:eastAsia="Times New Roman"/>
        </w:rPr>
        <w:t xml:space="preserve"> to strengthen community engagement and improve livelihood opportunities for local communities. The 2015-16 transfer of management responsibility to the Australian High Commission and a managing contractor has improved performance. Most investments continue to perform well in 2015-16. Most impressively, the Gender Equality/Gender Based Violence investment successfully commenced its keystone </w:t>
      </w:r>
      <w:r>
        <w:rPr>
          <w:rFonts w:eastAsia="Times New Roman"/>
        </w:rPr>
        <w:t>project</w:t>
      </w:r>
      <w:r w:rsidRPr="00D845CB">
        <w:rPr>
          <w:rFonts w:eastAsia="Times New Roman"/>
        </w:rPr>
        <w:t xml:space="preserve">, Pacific Women Shaping Pacific Development in PNG, which significantly improved performance. </w:t>
      </w:r>
      <w:r w:rsidRPr="003B0793">
        <w:rPr>
          <w:rFonts w:eastAsia="Times New Roman"/>
        </w:rPr>
        <w:t xml:space="preserve">A table of AQC ratings </w:t>
      </w:r>
      <w:r>
        <w:rPr>
          <w:rFonts w:eastAsia="Times New Roman"/>
        </w:rPr>
        <w:t>is</w:t>
      </w:r>
      <w:r w:rsidRPr="003B0793">
        <w:rPr>
          <w:rFonts w:eastAsia="Times New Roman"/>
        </w:rPr>
        <w:t xml:space="preserve"> in </w:t>
      </w:r>
      <w:r w:rsidRPr="003B0793">
        <w:rPr>
          <w:rFonts w:eastAsia="Times New Roman"/>
          <w:b/>
        </w:rPr>
        <w:t>Annex D</w:t>
      </w:r>
      <w:r>
        <w:rPr>
          <w:rFonts w:eastAsia="Times New Roman"/>
        </w:rPr>
        <w:t>.</w:t>
      </w:r>
    </w:p>
    <w:p w:rsidR="00700A18" w:rsidRPr="004E5FEB" w:rsidRDefault="00700A18" w:rsidP="004E5FEB">
      <w:pPr>
        <w:rPr>
          <w:rFonts w:ascii="Calibri" w:hAnsi="Calibri"/>
          <w:color w:val="44546A"/>
        </w:rPr>
      </w:pPr>
      <w:r>
        <w:rPr>
          <w:rFonts w:ascii="Calibri" w:hAnsi="Calibri"/>
          <w:color w:val="44546A"/>
        </w:rPr>
        <w:t>An ongoing challenge for program performance ratings has been establishing the clear links between inputs, outputs and higher-level outcomes with evidence-based data. Investing in quality design and Monitoring and Evaluation will be a priority.</w:t>
      </w:r>
    </w:p>
    <w:p w:rsidR="002A51CA" w:rsidRPr="002A51CA" w:rsidRDefault="002A51CA" w:rsidP="002A51CA">
      <w:pPr>
        <w:pStyle w:val="Heading2"/>
      </w:pPr>
      <w:r w:rsidRPr="002A51CA">
        <w:lastRenderedPageBreak/>
        <w:t>Performance of key delivery partners</w:t>
      </w:r>
    </w:p>
    <w:p w:rsidR="002A51CA" w:rsidRDefault="00D845CB" w:rsidP="000B3312">
      <w:pPr>
        <w:spacing w:after="120" w:line="280" w:lineRule="exact"/>
        <w:rPr>
          <w:rFonts w:ascii="Franklin Gothic Book" w:eastAsia="Times New Roman" w:hAnsi="Franklin Gothic Book"/>
          <w:sz w:val="21"/>
        </w:rPr>
      </w:pPr>
      <w:r>
        <w:t xml:space="preserve">In 2015-16 the PNG program wrote 35 </w:t>
      </w:r>
      <w:r w:rsidR="009027B5">
        <w:t>Partner Performance Assessment (</w:t>
      </w:r>
      <w:r>
        <w:t>PPA</w:t>
      </w:r>
      <w:r w:rsidR="009027B5">
        <w:t>)</w:t>
      </w:r>
      <w:r>
        <w:t xml:space="preserve"> reports on contractors, multilateral partners and NGOs for agreements/contracts valued at $3 million and over. Analysis indicates that managing contractors remain the most common and effective way of delivering Australian aid to PNG.  In 2015-16 approximately $289 mi</w:t>
      </w:r>
      <w:r w:rsidR="00F15D5E">
        <w:t>llion of the $404 million (</w:t>
      </w:r>
      <w:r>
        <w:t>71 per cent) of Australia’s total bilateral program was implemented through commercial suppliers. Analysis of the PPAs and the AQCs indicates that the performance of contractors continues to be of a ‘good’ standard. Isolated cases of underperformance in 2015-16 were proactively addressed. The performance and capacity of multilateral and NGO partners in PNG improved throughout 2015-16. Recognising the important role of multilaterals and NGOs, Australia continues to provide ongoing support and assistance to build the capacity of partners in PNG. National NGOs continue struggle to gain traction and often lack sufficient internal governance structures and fiduciary risk mitigation processes and procedures. As such, the PNG program continues to engage and support local NGOs via an intermediary, such as their Australian NGO par</w:t>
      </w:r>
      <w:r w:rsidR="00106ABA">
        <w:t>tner organisation, a reputable i</w:t>
      </w:r>
      <w:r>
        <w:t xml:space="preserve">nternational NGO or a managing contractor.  </w:t>
      </w:r>
    </w:p>
    <w:p w:rsidR="002A51CA" w:rsidRPr="002A51CA" w:rsidRDefault="002A51CA" w:rsidP="002A51CA">
      <w:pPr>
        <w:pStyle w:val="Heading2"/>
      </w:pPr>
      <w:r w:rsidRPr="002A51CA">
        <w:t>Risks</w:t>
      </w:r>
    </w:p>
    <w:p w:rsidR="002A51CA" w:rsidRPr="008C2F58" w:rsidRDefault="002A51CA" w:rsidP="002A51CA">
      <w:pPr>
        <w:rPr>
          <w:b/>
          <w:sz w:val="24"/>
        </w:rPr>
      </w:pPr>
      <w:r w:rsidRPr="008C2F58">
        <w:rPr>
          <w:b/>
          <w:sz w:val="24"/>
        </w:rPr>
        <w:t xml:space="preserve">Table 3 Management of </w:t>
      </w:r>
      <w:r w:rsidR="000A4E0D">
        <w:rPr>
          <w:b/>
          <w:sz w:val="24"/>
        </w:rPr>
        <w:t>key risks to achieving o</w:t>
      </w:r>
      <w:r w:rsidRPr="008C2F58">
        <w:rPr>
          <w:b/>
          <w:sz w:val="24"/>
        </w:rPr>
        <w:t>bjectives</w:t>
      </w:r>
    </w:p>
    <w:tbl>
      <w:tblPr>
        <w:tblStyle w:val="APPR"/>
        <w:tblW w:w="5000" w:type="pct"/>
        <w:tblBorders>
          <w:top w:val="single" w:sz="12" w:space="0" w:color="auto"/>
          <w:bottom w:val="single" w:sz="12" w:space="0" w:color="auto"/>
        </w:tblBorders>
        <w:tblLook w:val="0600" w:firstRow="0" w:lastRow="0" w:firstColumn="0" w:lastColumn="0" w:noHBand="1" w:noVBand="1"/>
        <w:tblCaption w:val="Management of key risks to achieving objectives"/>
        <w:tblDescription w:val="List of key risks to achieving objectives, actions to manage risks and what further actions will be taken."/>
      </w:tblPr>
      <w:tblGrid>
        <w:gridCol w:w="2247"/>
        <w:gridCol w:w="2485"/>
        <w:gridCol w:w="2560"/>
        <w:gridCol w:w="2346"/>
      </w:tblGrid>
      <w:tr w:rsidR="002A51CA" w:rsidRPr="00C61187" w:rsidTr="00706D4F">
        <w:tc>
          <w:tcPr>
            <w:tcW w:w="2205" w:type="dxa"/>
            <w:hideMark/>
          </w:tcPr>
          <w:p w:rsidR="002A51CA" w:rsidRPr="00B6769E" w:rsidRDefault="002A51CA" w:rsidP="00D15A00">
            <w:pPr>
              <w:keepLines/>
              <w:spacing w:before="80" w:after="80" w:line="200" w:lineRule="atLeast"/>
              <w:rPr>
                <w:rFonts w:asciiTheme="minorHAnsi" w:eastAsia="Times New Roman" w:hAnsiTheme="minorHAnsi"/>
                <w:b/>
                <w:iCs/>
                <w:sz w:val="18"/>
                <w:szCs w:val="18"/>
                <w:lang w:eastAsia="en-US"/>
              </w:rPr>
            </w:pPr>
            <w:r w:rsidRPr="00B6769E">
              <w:rPr>
                <w:rFonts w:eastAsia="Times New Roman"/>
                <w:b/>
                <w:iCs/>
                <w:sz w:val="18"/>
                <w:szCs w:val="18"/>
              </w:rPr>
              <w:t>Key risks</w:t>
            </w:r>
          </w:p>
        </w:tc>
        <w:tc>
          <w:tcPr>
            <w:tcW w:w="2457" w:type="dxa"/>
          </w:tcPr>
          <w:p w:rsidR="002A51CA" w:rsidRPr="00B6769E" w:rsidRDefault="002A51CA" w:rsidP="00D15A00">
            <w:pPr>
              <w:keepLines/>
              <w:spacing w:before="80" w:after="80" w:line="200" w:lineRule="atLeast"/>
              <w:rPr>
                <w:rFonts w:asciiTheme="minorHAnsi" w:eastAsia="Times New Roman" w:hAnsiTheme="minorHAnsi"/>
                <w:b/>
                <w:iCs/>
                <w:sz w:val="18"/>
                <w:szCs w:val="18"/>
                <w:lang w:eastAsia="en-US"/>
              </w:rPr>
            </w:pPr>
            <w:r w:rsidRPr="00B6769E">
              <w:rPr>
                <w:rFonts w:eastAsia="Times New Roman"/>
                <w:b/>
                <w:iCs/>
                <w:sz w:val="18"/>
                <w:szCs w:val="18"/>
              </w:rPr>
              <w:t>What actions were taken to manage the risks over the past year?</w:t>
            </w:r>
          </w:p>
        </w:tc>
        <w:tc>
          <w:tcPr>
            <w:tcW w:w="2532" w:type="dxa"/>
          </w:tcPr>
          <w:p w:rsidR="002A51CA" w:rsidRPr="00B6769E" w:rsidRDefault="002A51CA" w:rsidP="00D15A00">
            <w:pPr>
              <w:keepLines/>
              <w:spacing w:before="80" w:after="80" w:line="200" w:lineRule="atLeast"/>
              <w:rPr>
                <w:rFonts w:asciiTheme="minorHAnsi" w:eastAsia="Times New Roman" w:hAnsiTheme="minorHAnsi"/>
                <w:b/>
                <w:iCs/>
                <w:sz w:val="18"/>
                <w:szCs w:val="18"/>
                <w:lang w:eastAsia="en-US"/>
              </w:rPr>
            </w:pPr>
            <w:r w:rsidRPr="00B6769E">
              <w:rPr>
                <w:rFonts w:eastAsia="Times New Roman"/>
                <w:b/>
                <w:iCs/>
                <w:sz w:val="18"/>
                <w:szCs w:val="18"/>
              </w:rPr>
              <w:t>What further actions will be taken to manage the risks in the coming year?</w:t>
            </w:r>
          </w:p>
        </w:tc>
        <w:tc>
          <w:tcPr>
            <w:tcW w:w="2304" w:type="dxa"/>
          </w:tcPr>
          <w:p w:rsidR="002A51CA" w:rsidRPr="00B6769E" w:rsidRDefault="002A51CA" w:rsidP="00D15A00">
            <w:pPr>
              <w:keepLines/>
              <w:spacing w:before="80" w:after="80" w:line="200" w:lineRule="atLeast"/>
              <w:rPr>
                <w:rFonts w:asciiTheme="minorHAnsi" w:eastAsia="Times New Roman" w:hAnsiTheme="minorHAnsi"/>
                <w:b/>
                <w:iCs/>
                <w:sz w:val="18"/>
                <w:szCs w:val="18"/>
                <w:lang w:eastAsia="en-US"/>
              </w:rPr>
            </w:pPr>
            <w:r w:rsidRPr="00B6769E">
              <w:rPr>
                <w:rFonts w:eastAsia="Times New Roman"/>
                <w:b/>
                <w:iCs/>
                <w:sz w:val="18"/>
                <w:szCs w:val="18"/>
              </w:rPr>
              <w:t>For emerging/ongoing risks provide a Risk Rating (low, medium, high, very high)</w:t>
            </w:r>
          </w:p>
        </w:tc>
      </w:tr>
      <w:tr w:rsidR="003D636E" w:rsidRPr="00C61187" w:rsidTr="00706D4F">
        <w:tc>
          <w:tcPr>
            <w:tcW w:w="2205" w:type="dxa"/>
          </w:tcPr>
          <w:p w:rsidR="003D636E" w:rsidRPr="00A96692" w:rsidRDefault="003D636E" w:rsidP="00EB0B2C">
            <w:pPr>
              <w:keepLines/>
              <w:spacing w:before="80" w:after="80" w:line="200" w:lineRule="atLeast"/>
              <w:rPr>
                <w:rFonts w:asciiTheme="minorHAnsi" w:eastAsia="Times New Roman" w:hAnsiTheme="minorHAnsi"/>
                <w:iCs/>
                <w:sz w:val="16"/>
                <w:szCs w:val="16"/>
                <w:lang w:eastAsia="en-US"/>
              </w:rPr>
            </w:pPr>
            <w:r w:rsidRPr="00A96692">
              <w:rPr>
                <w:rFonts w:eastAsia="Times New Roman"/>
                <w:iCs/>
                <w:sz w:val="16"/>
                <w:szCs w:val="16"/>
              </w:rPr>
              <w:t>Increased cost of doing business in PNG due to a decrease in its macroeconomic stability</w:t>
            </w:r>
            <w:r w:rsidR="00866F51" w:rsidRPr="00A96692">
              <w:rPr>
                <w:rFonts w:eastAsia="Times New Roman"/>
                <w:iCs/>
                <w:sz w:val="16"/>
                <w:szCs w:val="16"/>
              </w:rPr>
              <w:t>.</w:t>
            </w:r>
            <w:r w:rsidR="00106ABA">
              <w:rPr>
                <w:rFonts w:asciiTheme="minorHAnsi" w:eastAsia="Times New Roman" w:hAnsiTheme="minorHAnsi"/>
                <w:iCs/>
                <w:sz w:val="16"/>
                <w:szCs w:val="16"/>
                <w:lang w:eastAsia="en-US"/>
              </w:rPr>
              <w:t xml:space="preserve"> </w:t>
            </w:r>
            <w:r w:rsidR="00866F51" w:rsidRPr="00A96692">
              <w:rPr>
                <w:rFonts w:eastAsia="Times New Roman"/>
                <w:iCs/>
                <w:sz w:val="16"/>
                <w:szCs w:val="16"/>
              </w:rPr>
              <w:t>PNG Government fails to progressively increase the level of recurrent budget funding for maintenance on national priority assets.</w:t>
            </w:r>
            <w:r w:rsidRPr="00A96692">
              <w:rPr>
                <w:rFonts w:eastAsia="Times New Roman"/>
                <w:iCs/>
                <w:sz w:val="16"/>
                <w:szCs w:val="16"/>
              </w:rPr>
              <w:t xml:space="preserve"> </w:t>
            </w:r>
          </w:p>
          <w:p w:rsidR="003D636E" w:rsidRPr="00B6769E" w:rsidRDefault="003D636E" w:rsidP="00EB0B2C">
            <w:pPr>
              <w:keepLines/>
              <w:spacing w:before="80" w:after="80" w:line="200" w:lineRule="atLeast"/>
              <w:rPr>
                <w:rFonts w:eastAsia="Times New Roman"/>
                <w:iCs/>
                <w:sz w:val="16"/>
                <w:szCs w:val="16"/>
                <w:lang w:eastAsia="en-US"/>
              </w:rPr>
            </w:pPr>
          </w:p>
        </w:tc>
        <w:tc>
          <w:tcPr>
            <w:tcW w:w="2457" w:type="dxa"/>
          </w:tcPr>
          <w:p w:rsidR="003D636E" w:rsidRPr="00A96692" w:rsidRDefault="003D636E" w:rsidP="00EB0B2C">
            <w:pPr>
              <w:keepLines/>
              <w:spacing w:before="80" w:after="80" w:line="200" w:lineRule="atLeast"/>
              <w:rPr>
                <w:rFonts w:asciiTheme="minorHAnsi" w:eastAsia="Times New Roman" w:hAnsiTheme="minorHAnsi"/>
                <w:iCs/>
                <w:sz w:val="16"/>
                <w:szCs w:val="16"/>
                <w:lang w:eastAsia="en-US"/>
              </w:rPr>
            </w:pPr>
            <w:r w:rsidRPr="00A96692">
              <w:rPr>
                <w:rFonts w:eastAsia="Times New Roman"/>
                <w:iCs/>
                <w:sz w:val="16"/>
                <w:szCs w:val="16"/>
              </w:rPr>
              <w:t xml:space="preserve">Adherence to the </w:t>
            </w:r>
            <w:r w:rsidR="007B3F01">
              <w:rPr>
                <w:rFonts w:eastAsia="Times New Roman"/>
                <w:iCs/>
                <w:sz w:val="16"/>
                <w:szCs w:val="16"/>
              </w:rPr>
              <w:t xml:space="preserve">Aid </w:t>
            </w:r>
            <w:r w:rsidRPr="00A96692">
              <w:rPr>
                <w:rFonts w:eastAsia="Times New Roman"/>
                <w:iCs/>
                <w:sz w:val="16"/>
                <w:szCs w:val="16"/>
              </w:rPr>
              <w:t>Partnership prior</w:t>
            </w:r>
            <w:r w:rsidR="00106ABA">
              <w:rPr>
                <w:rFonts w:eastAsia="Times New Roman"/>
                <w:iCs/>
                <w:sz w:val="16"/>
                <w:szCs w:val="16"/>
              </w:rPr>
              <w:t>ity to narrow the scope of work and broaden</w:t>
            </w:r>
            <w:r w:rsidRPr="00A96692">
              <w:rPr>
                <w:rFonts w:eastAsia="Times New Roman"/>
                <w:iCs/>
                <w:sz w:val="16"/>
                <w:szCs w:val="16"/>
              </w:rPr>
              <w:t xml:space="preserve"> the involvement of stakeholders (e.g. provincial actors)</w:t>
            </w:r>
            <w:r w:rsidR="007B3F01">
              <w:rPr>
                <w:rFonts w:eastAsia="Times New Roman"/>
                <w:iCs/>
                <w:sz w:val="16"/>
                <w:szCs w:val="16"/>
              </w:rPr>
              <w:t>.</w:t>
            </w:r>
          </w:p>
          <w:p w:rsidR="003D636E" w:rsidRPr="00A96692" w:rsidRDefault="003D636E" w:rsidP="007B3F01">
            <w:pPr>
              <w:keepLines/>
              <w:spacing w:before="80" w:after="80" w:line="200" w:lineRule="atLeast"/>
              <w:rPr>
                <w:rFonts w:asciiTheme="minorHAnsi" w:eastAsia="Times New Roman" w:hAnsiTheme="minorHAnsi"/>
                <w:iCs/>
                <w:sz w:val="16"/>
                <w:szCs w:val="16"/>
                <w:lang w:eastAsia="en-US"/>
              </w:rPr>
            </w:pPr>
            <w:r w:rsidRPr="00A96692">
              <w:rPr>
                <w:rFonts w:eastAsia="Times New Roman"/>
                <w:iCs/>
                <w:sz w:val="16"/>
                <w:szCs w:val="16"/>
              </w:rPr>
              <w:t>Clear communication from</w:t>
            </w:r>
            <w:r w:rsidR="007B3F01">
              <w:rPr>
                <w:rFonts w:eastAsia="Times New Roman"/>
                <w:iCs/>
                <w:sz w:val="16"/>
                <w:szCs w:val="16"/>
              </w:rPr>
              <w:t xml:space="preserve"> the</w:t>
            </w:r>
            <w:r w:rsidRPr="00A96692">
              <w:rPr>
                <w:rFonts w:eastAsia="Times New Roman"/>
                <w:iCs/>
                <w:sz w:val="16"/>
                <w:szCs w:val="16"/>
              </w:rPr>
              <w:t xml:space="preserve"> Australian High Commission</w:t>
            </w:r>
            <w:r w:rsidR="002F5AC0" w:rsidRPr="00B6769E">
              <w:rPr>
                <w:rFonts w:eastAsia="Times New Roman"/>
                <w:iCs/>
                <w:sz w:val="16"/>
                <w:szCs w:val="16"/>
              </w:rPr>
              <w:t xml:space="preserve"> (AHC)</w:t>
            </w:r>
            <w:r w:rsidRPr="00A96692">
              <w:rPr>
                <w:rFonts w:eastAsia="Times New Roman"/>
                <w:iCs/>
                <w:sz w:val="16"/>
                <w:szCs w:val="16"/>
              </w:rPr>
              <w:t xml:space="preserve"> </w:t>
            </w:r>
            <w:r w:rsidR="007B3F01">
              <w:rPr>
                <w:rFonts w:eastAsia="Times New Roman"/>
                <w:iCs/>
                <w:sz w:val="16"/>
                <w:szCs w:val="16"/>
              </w:rPr>
              <w:t>to</w:t>
            </w:r>
            <w:r w:rsidRPr="00A96692">
              <w:rPr>
                <w:rFonts w:eastAsia="Times New Roman"/>
                <w:iCs/>
                <w:sz w:val="16"/>
                <w:szCs w:val="16"/>
              </w:rPr>
              <w:t xml:space="preserve"> relevant stakeholders and media about Australia’s support for key impact projects.</w:t>
            </w:r>
          </w:p>
        </w:tc>
        <w:tc>
          <w:tcPr>
            <w:tcW w:w="2532" w:type="dxa"/>
          </w:tcPr>
          <w:p w:rsidR="003D636E" w:rsidRPr="00A96692" w:rsidRDefault="006D152D" w:rsidP="00EB0B2C">
            <w:pPr>
              <w:keepLines/>
              <w:spacing w:before="80" w:after="80" w:line="200" w:lineRule="atLeast"/>
              <w:rPr>
                <w:rFonts w:asciiTheme="minorHAnsi" w:eastAsia="Times New Roman" w:hAnsiTheme="minorHAnsi"/>
                <w:iCs/>
                <w:sz w:val="16"/>
                <w:szCs w:val="16"/>
                <w:lang w:eastAsia="en-US"/>
              </w:rPr>
            </w:pPr>
            <w:r>
              <w:rPr>
                <w:rFonts w:eastAsia="Times New Roman"/>
                <w:iCs/>
                <w:sz w:val="16"/>
                <w:szCs w:val="16"/>
              </w:rPr>
              <w:t>Identify</w:t>
            </w:r>
            <w:r w:rsidR="003D636E" w:rsidRPr="00A96692">
              <w:rPr>
                <w:rFonts w:eastAsia="Times New Roman"/>
                <w:iCs/>
                <w:sz w:val="16"/>
                <w:szCs w:val="16"/>
              </w:rPr>
              <w:t xml:space="preserve"> and </w:t>
            </w:r>
            <w:r>
              <w:rPr>
                <w:rFonts w:eastAsia="Times New Roman"/>
                <w:iCs/>
                <w:sz w:val="16"/>
                <w:szCs w:val="16"/>
              </w:rPr>
              <w:t>introduce</w:t>
            </w:r>
            <w:r w:rsidR="003D636E" w:rsidRPr="00A96692">
              <w:rPr>
                <w:rFonts w:eastAsia="Times New Roman"/>
                <w:iCs/>
                <w:sz w:val="16"/>
                <w:szCs w:val="16"/>
              </w:rPr>
              <w:t xml:space="preserve"> benchmarks and enter into negotiation with</w:t>
            </w:r>
            <w:r w:rsidR="007B3F01">
              <w:rPr>
                <w:rFonts w:eastAsia="Times New Roman"/>
                <w:iCs/>
                <w:sz w:val="16"/>
                <w:szCs w:val="16"/>
              </w:rPr>
              <w:t xml:space="preserve"> the</w:t>
            </w:r>
            <w:r w:rsidR="003D636E" w:rsidRPr="00A96692">
              <w:rPr>
                <w:rFonts w:eastAsia="Times New Roman"/>
                <w:iCs/>
                <w:sz w:val="16"/>
                <w:szCs w:val="16"/>
              </w:rPr>
              <w:t xml:space="preserve"> </w:t>
            </w:r>
            <w:r w:rsidR="00AC4333" w:rsidRPr="00A96692">
              <w:rPr>
                <w:rFonts w:eastAsia="Times New Roman"/>
                <w:iCs/>
                <w:sz w:val="16"/>
                <w:szCs w:val="16"/>
              </w:rPr>
              <w:t xml:space="preserve">PNG </w:t>
            </w:r>
            <w:r w:rsidR="003D636E" w:rsidRPr="00A96692">
              <w:rPr>
                <w:rFonts w:eastAsia="Times New Roman"/>
                <w:iCs/>
                <w:sz w:val="16"/>
                <w:szCs w:val="16"/>
              </w:rPr>
              <w:t>Government</w:t>
            </w:r>
            <w:r w:rsidR="007B3F01">
              <w:rPr>
                <w:rFonts w:eastAsia="Times New Roman"/>
                <w:iCs/>
                <w:sz w:val="16"/>
                <w:szCs w:val="16"/>
              </w:rPr>
              <w:t xml:space="preserve"> on</w:t>
            </w:r>
            <w:r w:rsidR="003D636E" w:rsidRPr="00A96692">
              <w:rPr>
                <w:rFonts w:eastAsia="Times New Roman"/>
                <w:iCs/>
                <w:sz w:val="16"/>
                <w:szCs w:val="16"/>
              </w:rPr>
              <w:t xml:space="preserve"> incentives for achieving these benchmarks.</w:t>
            </w:r>
          </w:p>
          <w:p w:rsidR="003D636E" w:rsidRPr="00A96692" w:rsidRDefault="002F5AC0" w:rsidP="007B3F01">
            <w:pPr>
              <w:keepLines/>
              <w:spacing w:before="80" w:after="80" w:line="200" w:lineRule="atLeast"/>
              <w:rPr>
                <w:rFonts w:asciiTheme="minorHAnsi" w:eastAsia="Times New Roman" w:hAnsiTheme="minorHAnsi"/>
                <w:iCs/>
                <w:sz w:val="16"/>
                <w:szCs w:val="16"/>
                <w:lang w:eastAsia="en-US"/>
              </w:rPr>
            </w:pPr>
            <w:r w:rsidRPr="00B6769E">
              <w:rPr>
                <w:rFonts w:eastAsia="Times New Roman"/>
                <w:iCs/>
                <w:sz w:val="16"/>
                <w:szCs w:val="16"/>
              </w:rPr>
              <w:t>AHC</w:t>
            </w:r>
            <w:r w:rsidR="003D636E" w:rsidRPr="00A96692">
              <w:rPr>
                <w:rFonts w:eastAsia="Times New Roman"/>
                <w:iCs/>
                <w:sz w:val="16"/>
                <w:szCs w:val="16"/>
              </w:rPr>
              <w:t xml:space="preserve"> will explore options fo</w:t>
            </w:r>
            <w:r w:rsidR="00992190">
              <w:rPr>
                <w:rFonts w:eastAsia="Times New Roman"/>
                <w:iCs/>
                <w:sz w:val="16"/>
                <w:szCs w:val="16"/>
              </w:rPr>
              <w:t xml:space="preserve">r transitional support </w:t>
            </w:r>
            <w:r w:rsidR="003D636E" w:rsidRPr="00A96692">
              <w:rPr>
                <w:rFonts w:eastAsia="Times New Roman"/>
                <w:iCs/>
                <w:sz w:val="16"/>
                <w:szCs w:val="16"/>
              </w:rPr>
              <w:t>throu</w:t>
            </w:r>
            <w:r w:rsidR="00992190">
              <w:rPr>
                <w:rFonts w:eastAsia="Times New Roman"/>
                <w:iCs/>
                <w:sz w:val="16"/>
                <w:szCs w:val="16"/>
              </w:rPr>
              <w:t>gh long term maintenance c</w:t>
            </w:r>
            <w:r w:rsidR="003D636E" w:rsidRPr="00A96692">
              <w:rPr>
                <w:rFonts w:eastAsia="Times New Roman"/>
                <w:iCs/>
                <w:sz w:val="16"/>
                <w:szCs w:val="16"/>
              </w:rPr>
              <w:t xml:space="preserve">ontracts, including potential </w:t>
            </w:r>
            <w:r w:rsidR="00AC4333" w:rsidRPr="00A96692">
              <w:rPr>
                <w:rFonts w:eastAsia="Times New Roman"/>
                <w:iCs/>
                <w:sz w:val="16"/>
                <w:szCs w:val="16"/>
              </w:rPr>
              <w:t xml:space="preserve">PNG </w:t>
            </w:r>
            <w:r w:rsidR="003D636E" w:rsidRPr="00A96692">
              <w:rPr>
                <w:rFonts w:eastAsia="Times New Roman"/>
                <w:iCs/>
                <w:sz w:val="16"/>
                <w:szCs w:val="16"/>
              </w:rPr>
              <w:t>Government co-contributions.</w:t>
            </w:r>
          </w:p>
        </w:tc>
        <w:tc>
          <w:tcPr>
            <w:tcW w:w="2304" w:type="dxa"/>
          </w:tcPr>
          <w:p w:rsidR="003D636E" w:rsidRPr="00A96692" w:rsidRDefault="003D636E" w:rsidP="00EB0B2C">
            <w:pPr>
              <w:keepLines/>
              <w:spacing w:before="80" w:after="80" w:line="200" w:lineRule="atLeast"/>
              <w:rPr>
                <w:rFonts w:asciiTheme="minorHAnsi" w:eastAsia="Times New Roman" w:hAnsiTheme="minorHAnsi"/>
                <w:iCs/>
                <w:sz w:val="16"/>
                <w:szCs w:val="16"/>
                <w:lang w:eastAsia="en-US"/>
              </w:rPr>
            </w:pPr>
            <w:r w:rsidRPr="00A96692">
              <w:rPr>
                <w:rFonts w:eastAsia="Times New Roman"/>
                <w:iCs/>
                <w:sz w:val="16"/>
                <w:szCs w:val="16"/>
              </w:rPr>
              <w:t>High</w:t>
            </w:r>
          </w:p>
        </w:tc>
      </w:tr>
      <w:tr w:rsidR="003D636E" w:rsidRPr="00C61187" w:rsidTr="00706D4F">
        <w:tc>
          <w:tcPr>
            <w:tcW w:w="2205" w:type="dxa"/>
          </w:tcPr>
          <w:p w:rsidR="003D636E" w:rsidRPr="00A96692" w:rsidRDefault="00866F51">
            <w:pPr>
              <w:keepLines/>
              <w:spacing w:before="80" w:after="80" w:line="200" w:lineRule="atLeast"/>
              <w:rPr>
                <w:rFonts w:asciiTheme="minorHAnsi" w:eastAsia="Times New Roman" w:hAnsiTheme="minorHAnsi"/>
                <w:iCs/>
                <w:sz w:val="16"/>
                <w:szCs w:val="16"/>
              </w:rPr>
            </w:pPr>
            <w:r w:rsidRPr="00A96692">
              <w:rPr>
                <w:rFonts w:eastAsia="Times New Roman"/>
                <w:iCs/>
                <w:sz w:val="16"/>
                <w:szCs w:val="16"/>
              </w:rPr>
              <w:t xml:space="preserve">The Pacific Leadership and Governance Precinct does not deliver expected results due to a </w:t>
            </w:r>
            <w:r w:rsidR="003D636E" w:rsidRPr="00A96692">
              <w:rPr>
                <w:rFonts w:eastAsia="Times New Roman"/>
                <w:iCs/>
                <w:sz w:val="16"/>
                <w:szCs w:val="16"/>
              </w:rPr>
              <w:t>diminishment of commitment of University of PNG stakeholders.</w:t>
            </w:r>
          </w:p>
        </w:tc>
        <w:tc>
          <w:tcPr>
            <w:tcW w:w="2457" w:type="dxa"/>
          </w:tcPr>
          <w:p w:rsidR="003D636E" w:rsidRPr="00A96692" w:rsidRDefault="003D636E" w:rsidP="00AC4333">
            <w:pPr>
              <w:spacing w:before="80" w:after="80" w:line="200" w:lineRule="atLeast"/>
              <w:rPr>
                <w:rFonts w:asciiTheme="minorHAnsi" w:hAnsiTheme="minorHAnsi"/>
                <w:sz w:val="16"/>
                <w:szCs w:val="16"/>
              </w:rPr>
            </w:pPr>
            <w:r w:rsidRPr="00A96692">
              <w:rPr>
                <w:sz w:val="16"/>
                <w:szCs w:val="16"/>
              </w:rPr>
              <w:t xml:space="preserve">Continued support to </w:t>
            </w:r>
            <w:r w:rsidR="00AC4333" w:rsidRPr="00A96692">
              <w:rPr>
                <w:sz w:val="16"/>
                <w:szCs w:val="16"/>
              </w:rPr>
              <w:t xml:space="preserve">PNG </w:t>
            </w:r>
            <w:r w:rsidRPr="00A96692">
              <w:rPr>
                <w:sz w:val="16"/>
                <w:szCs w:val="16"/>
              </w:rPr>
              <w:t>Government partners to build and maintain political and bureaucratic commitment through engagement by the Joint Oversight Group, University of PNG Project Steering Committee and through the Australian Foreign Minister, Australian High Commissioner and Min</w:t>
            </w:r>
            <w:r w:rsidR="00F03B40">
              <w:rPr>
                <w:sz w:val="16"/>
                <w:szCs w:val="16"/>
              </w:rPr>
              <w:t>ister Counsellors and embedded technical a</w:t>
            </w:r>
            <w:r w:rsidRPr="00A96692">
              <w:rPr>
                <w:sz w:val="16"/>
                <w:szCs w:val="16"/>
              </w:rPr>
              <w:t xml:space="preserve">dvisers within institutions. </w:t>
            </w:r>
          </w:p>
        </w:tc>
        <w:tc>
          <w:tcPr>
            <w:tcW w:w="2532" w:type="dxa"/>
          </w:tcPr>
          <w:p w:rsidR="003D636E" w:rsidRPr="00A96692" w:rsidRDefault="003D636E" w:rsidP="00EB0B2C">
            <w:pPr>
              <w:spacing w:before="80" w:after="80" w:line="200" w:lineRule="atLeast"/>
              <w:rPr>
                <w:rFonts w:asciiTheme="minorHAnsi" w:hAnsiTheme="minorHAnsi"/>
                <w:sz w:val="16"/>
                <w:szCs w:val="16"/>
              </w:rPr>
            </w:pPr>
            <w:r w:rsidRPr="00A96692">
              <w:rPr>
                <w:sz w:val="16"/>
                <w:szCs w:val="16"/>
              </w:rPr>
              <w:t>Manage expectations through regular upd</w:t>
            </w:r>
            <w:r w:rsidR="00F03B40">
              <w:rPr>
                <w:sz w:val="16"/>
                <w:szCs w:val="16"/>
              </w:rPr>
              <w:t>ates to the Foreign Minister’s o</w:t>
            </w:r>
            <w:r w:rsidRPr="00A96692">
              <w:rPr>
                <w:sz w:val="16"/>
                <w:szCs w:val="16"/>
              </w:rPr>
              <w:t xml:space="preserve">ffice. </w:t>
            </w:r>
          </w:p>
          <w:p w:rsidR="003D636E" w:rsidRPr="00A96692" w:rsidRDefault="003D636E" w:rsidP="00EB0B2C">
            <w:pPr>
              <w:spacing w:before="80" w:after="80" w:line="200" w:lineRule="atLeast"/>
              <w:rPr>
                <w:rFonts w:asciiTheme="minorHAnsi" w:hAnsiTheme="minorHAnsi"/>
                <w:sz w:val="16"/>
                <w:szCs w:val="16"/>
              </w:rPr>
            </w:pPr>
            <w:r w:rsidRPr="00A96692">
              <w:rPr>
                <w:sz w:val="16"/>
                <w:szCs w:val="16"/>
              </w:rPr>
              <w:t xml:space="preserve">Minimise the impact of the recent security developments (i.e. UPNG led student protests, termination of academic year) on the Precinct program through clear and continuous professional engagement with </w:t>
            </w:r>
            <w:r w:rsidR="00F03B40">
              <w:rPr>
                <w:sz w:val="16"/>
                <w:szCs w:val="16"/>
              </w:rPr>
              <w:t xml:space="preserve">the </w:t>
            </w:r>
            <w:r w:rsidRPr="00A96692">
              <w:rPr>
                <w:sz w:val="16"/>
                <w:szCs w:val="16"/>
              </w:rPr>
              <w:t>University of PNG’s senior management.</w:t>
            </w:r>
          </w:p>
          <w:p w:rsidR="003D636E" w:rsidRPr="00A96692" w:rsidRDefault="00992190" w:rsidP="00EB0B2C">
            <w:pPr>
              <w:spacing w:before="80" w:after="80" w:line="200" w:lineRule="atLeast"/>
              <w:rPr>
                <w:rFonts w:asciiTheme="minorHAnsi" w:hAnsiTheme="minorHAnsi"/>
                <w:sz w:val="16"/>
                <w:szCs w:val="16"/>
              </w:rPr>
            </w:pPr>
            <w:r>
              <w:rPr>
                <w:sz w:val="16"/>
                <w:szCs w:val="16"/>
              </w:rPr>
              <w:t>The g</w:t>
            </w:r>
            <w:r w:rsidR="003D636E" w:rsidRPr="00A96692">
              <w:rPr>
                <w:sz w:val="16"/>
                <w:szCs w:val="16"/>
              </w:rPr>
              <w:t>ender team plays a lead role in</w:t>
            </w:r>
            <w:r>
              <w:rPr>
                <w:sz w:val="16"/>
                <w:szCs w:val="16"/>
              </w:rPr>
              <w:t xml:space="preserve"> mainstreaming and advocacy of gender throughout the p</w:t>
            </w:r>
            <w:r w:rsidR="003D636E" w:rsidRPr="00A96692">
              <w:rPr>
                <w:sz w:val="16"/>
                <w:szCs w:val="16"/>
              </w:rPr>
              <w:t>rogram. Implemen</w:t>
            </w:r>
            <w:r>
              <w:rPr>
                <w:sz w:val="16"/>
                <w:szCs w:val="16"/>
              </w:rPr>
              <w:t>tation of gender equity and social i</w:t>
            </w:r>
            <w:r w:rsidR="003D636E" w:rsidRPr="00A96692">
              <w:rPr>
                <w:sz w:val="16"/>
                <w:szCs w:val="16"/>
              </w:rPr>
              <w:t>nclusion policies ensures that these issues are constantly addressed in the program.</w:t>
            </w:r>
          </w:p>
        </w:tc>
        <w:tc>
          <w:tcPr>
            <w:tcW w:w="2304" w:type="dxa"/>
          </w:tcPr>
          <w:p w:rsidR="003D636E" w:rsidRPr="00A96692" w:rsidRDefault="003D636E" w:rsidP="00EB0B2C">
            <w:pPr>
              <w:spacing w:before="80" w:after="80" w:line="200" w:lineRule="atLeast"/>
              <w:rPr>
                <w:rFonts w:asciiTheme="minorHAnsi" w:hAnsiTheme="minorHAnsi"/>
                <w:sz w:val="16"/>
                <w:szCs w:val="16"/>
              </w:rPr>
            </w:pPr>
            <w:r w:rsidRPr="00A96692">
              <w:rPr>
                <w:sz w:val="16"/>
                <w:szCs w:val="16"/>
              </w:rPr>
              <w:t>High</w:t>
            </w:r>
          </w:p>
        </w:tc>
      </w:tr>
    </w:tbl>
    <w:p w:rsidR="00706D4F" w:rsidRDefault="00706D4F">
      <w:r>
        <w:br w:type="page"/>
      </w:r>
    </w:p>
    <w:tbl>
      <w:tblPr>
        <w:tblStyle w:val="APPR"/>
        <w:tblW w:w="5000" w:type="pct"/>
        <w:tblBorders>
          <w:top w:val="single" w:sz="12" w:space="0" w:color="auto"/>
          <w:bottom w:val="single" w:sz="12" w:space="0" w:color="auto"/>
        </w:tblBorders>
        <w:tblLook w:val="0600" w:firstRow="0" w:lastRow="0" w:firstColumn="0" w:lastColumn="0" w:noHBand="1" w:noVBand="1"/>
        <w:tblCaption w:val="Management of key risks to achieving objectives"/>
        <w:tblDescription w:val="List of key risks to achieving objectives, actions to manage risks and what further actions will be taken."/>
      </w:tblPr>
      <w:tblGrid>
        <w:gridCol w:w="2247"/>
        <w:gridCol w:w="2485"/>
        <w:gridCol w:w="2560"/>
        <w:gridCol w:w="2346"/>
      </w:tblGrid>
      <w:tr w:rsidR="00383E31" w:rsidRPr="00C61187" w:rsidTr="00706D4F">
        <w:tc>
          <w:tcPr>
            <w:tcW w:w="2205" w:type="dxa"/>
          </w:tcPr>
          <w:p w:rsidR="00383E31" w:rsidRPr="00A96692" w:rsidRDefault="00F03B40" w:rsidP="006D152D">
            <w:pPr>
              <w:tabs>
                <w:tab w:val="left" w:pos="0"/>
                <w:tab w:val="left" w:pos="284"/>
              </w:tabs>
              <w:spacing w:before="80" w:after="80" w:line="200" w:lineRule="atLeast"/>
              <w:rPr>
                <w:rFonts w:asciiTheme="minorHAnsi" w:eastAsia="Times New Roman" w:hAnsiTheme="minorHAnsi"/>
                <w:sz w:val="16"/>
                <w:szCs w:val="16"/>
              </w:rPr>
            </w:pPr>
            <w:r>
              <w:rPr>
                <w:rFonts w:eastAsia="Times New Roman"/>
                <w:sz w:val="16"/>
                <w:szCs w:val="16"/>
              </w:rPr>
              <w:lastRenderedPageBreak/>
              <w:t>Perception by either g</w:t>
            </w:r>
            <w:r w:rsidR="00383E31" w:rsidRPr="00A96692">
              <w:rPr>
                <w:rFonts w:eastAsia="Times New Roman"/>
                <w:sz w:val="16"/>
                <w:szCs w:val="16"/>
              </w:rPr>
              <w:t xml:space="preserve">overnment (Australia or PNG) that they are failing to deliver on the Joint Understanding </w:t>
            </w:r>
            <w:r w:rsidR="006D152D" w:rsidRPr="00A96692">
              <w:rPr>
                <w:rFonts w:eastAsia="Times New Roman"/>
                <w:sz w:val="16"/>
                <w:szCs w:val="16"/>
              </w:rPr>
              <w:t xml:space="preserve">(JU) </w:t>
            </w:r>
            <w:r w:rsidR="00383E31" w:rsidRPr="00A96692">
              <w:rPr>
                <w:rFonts w:eastAsia="Times New Roman"/>
                <w:sz w:val="16"/>
                <w:szCs w:val="16"/>
              </w:rPr>
              <w:t>commitments</w:t>
            </w:r>
            <w:r w:rsidR="006D152D">
              <w:rPr>
                <w:rFonts w:eastAsia="Times New Roman"/>
                <w:sz w:val="16"/>
                <w:szCs w:val="16"/>
              </w:rPr>
              <w:t>.</w:t>
            </w:r>
            <w:r w:rsidR="00383E31" w:rsidRPr="00A96692">
              <w:rPr>
                <w:rFonts w:eastAsia="Times New Roman"/>
                <w:sz w:val="16"/>
                <w:szCs w:val="16"/>
              </w:rPr>
              <w:tab/>
            </w:r>
          </w:p>
        </w:tc>
        <w:tc>
          <w:tcPr>
            <w:tcW w:w="2457" w:type="dxa"/>
          </w:tcPr>
          <w:p w:rsidR="00383E31" w:rsidRPr="00A96692" w:rsidRDefault="00383E31" w:rsidP="00EB0B2C">
            <w:pPr>
              <w:keepLines/>
              <w:spacing w:before="80" w:after="80" w:line="200" w:lineRule="atLeast"/>
              <w:rPr>
                <w:rFonts w:asciiTheme="minorHAnsi" w:eastAsia="Times New Roman" w:hAnsiTheme="minorHAnsi"/>
                <w:iCs/>
                <w:sz w:val="16"/>
                <w:szCs w:val="16"/>
              </w:rPr>
            </w:pPr>
            <w:r w:rsidRPr="00A96692">
              <w:rPr>
                <w:rFonts w:eastAsia="Times New Roman"/>
                <w:iCs/>
                <w:sz w:val="16"/>
                <w:szCs w:val="16"/>
              </w:rPr>
              <w:t>Clear communication with different stakeholders about the extent of Australia’s support for</w:t>
            </w:r>
            <w:r w:rsidR="00F03B40">
              <w:rPr>
                <w:rFonts w:eastAsia="Times New Roman"/>
                <w:iCs/>
                <w:sz w:val="16"/>
                <w:szCs w:val="16"/>
              </w:rPr>
              <w:t xml:space="preserve"> the</w:t>
            </w:r>
            <w:r w:rsidRPr="00A96692">
              <w:rPr>
                <w:rFonts w:eastAsia="Times New Roman"/>
                <w:iCs/>
                <w:sz w:val="16"/>
                <w:szCs w:val="16"/>
              </w:rPr>
              <w:t xml:space="preserve"> JU.  </w:t>
            </w:r>
          </w:p>
          <w:p w:rsidR="00383E31" w:rsidRPr="00A96692" w:rsidRDefault="00383E31" w:rsidP="00EB0B2C">
            <w:pPr>
              <w:keepLines/>
              <w:spacing w:before="80" w:after="80" w:line="200" w:lineRule="atLeast"/>
              <w:rPr>
                <w:rFonts w:eastAsia="Times New Roman"/>
                <w:iCs/>
                <w:sz w:val="16"/>
                <w:szCs w:val="16"/>
              </w:rPr>
            </w:pPr>
            <w:r w:rsidRPr="00A96692">
              <w:rPr>
                <w:rFonts w:eastAsia="Times New Roman"/>
                <w:iCs/>
                <w:sz w:val="16"/>
                <w:szCs w:val="16"/>
              </w:rPr>
              <w:t xml:space="preserve">Dedicated JU oversight mechanisms at bilateral, DFAT and project levels.  </w:t>
            </w:r>
          </w:p>
        </w:tc>
        <w:tc>
          <w:tcPr>
            <w:tcW w:w="2532" w:type="dxa"/>
          </w:tcPr>
          <w:p w:rsidR="00383E31" w:rsidRPr="00A96692" w:rsidRDefault="00383E31" w:rsidP="00EB0B2C">
            <w:pPr>
              <w:keepLines/>
              <w:spacing w:before="80" w:after="80" w:line="200" w:lineRule="atLeast"/>
              <w:rPr>
                <w:rFonts w:asciiTheme="minorHAnsi" w:eastAsia="Times New Roman" w:hAnsiTheme="minorHAnsi"/>
                <w:iCs/>
                <w:sz w:val="16"/>
                <w:szCs w:val="16"/>
              </w:rPr>
            </w:pPr>
            <w:r w:rsidRPr="00A96692">
              <w:rPr>
                <w:rFonts w:eastAsia="Times New Roman"/>
                <w:iCs/>
                <w:sz w:val="16"/>
                <w:szCs w:val="16"/>
              </w:rPr>
              <w:t>Manage expectations through regular updates to stakeholders.</w:t>
            </w:r>
          </w:p>
          <w:p w:rsidR="00383E31" w:rsidRPr="00A96692" w:rsidRDefault="00383E31" w:rsidP="00EB0B2C">
            <w:pPr>
              <w:keepLines/>
              <w:spacing w:before="80" w:after="80" w:line="200" w:lineRule="atLeast"/>
              <w:rPr>
                <w:rFonts w:eastAsia="Times New Roman"/>
                <w:iCs/>
                <w:sz w:val="16"/>
                <w:szCs w:val="16"/>
              </w:rPr>
            </w:pPr>
            <w:r w:rsidRPr="00A96692">
              <w:rPr>
                <w:rFonts w:eastAsia="Times New Roman"/>
                <w:iCs/>
                <w:sz w:val="16"/>
                <w:szCs w:val="16"/>
              </w:rPr>
              <w:t>Senior post oversight and engagement with Chief Secretary to address bottlenecks and escalation where needed.</w:t>
            </w:r>
          </w:p>
        </w:tc>
        <w:tc>
          <w:tcPr>
            <w:tcW w:w="2304" w:type="dxa"/>
          </w:tcPr>
          <w:p w:rsidR="00383E31" w:rsidRPr="00A96692" w:rsidRDefault="003D636E" w:rsidP="00EB0B2C">
            <w:pPr>
              <w:keepLines/>
              <w:spacing w:before="80" w:after="80" w:line="200" w:lineRule="atLeast"/>
              <w:rPr>
                <w:rFonts w:eastAsia="Times New Roman"/>
                <w:iCs/>
                <w:sz w:val="16"/>
                <w:szCs w:val="16"/>
              </w:rPr>
            </w:pPr>
            <w:r w:rsidRPr="00A96692">
              <w:rPr>
                <w:rFonts w:eastAsia="Times New Roman"/>
                <w:iCs/>
                <w:sz w:val="16"/>
                <w:szCs w:val="16"/>
              </w:rPr>
              <w:t>High</w:t>
            </w:r>
          </w:p>
        </w:tc>
      </w:tr>
      <w:tr w:rsidR="008036DC" w:rsidRPr="00C61187" w:rsidTr="00706D4F">
        <w:tc>
          <w:tcPr>
            <w:tcW w:w="2205" w:type="dxa"/>
          </w:tcPr>
          <w:p w:rsidR="008036DC" w:rsidRPr="00A96692" w:rsidRDefault="008036DC" w:rsidP="008036DC">
            <w:pPr>
              <w:tabs>
                <w:tab w:val="left" w:pos="0"/>
                <w:tab w:val="left" w:pos="284"/>
              </w:tabs>
              <w:spacing w:before="80" w:after="80" w:line="200" w:lineRule="atLeast"/>
              <w:rPr>
                <w:rFonts w:asciiTheme="minorHAnsi" w:eastAsia="Times New Roman" w:hAnsiTheme="minorHAnsi"/>
                <w:sz w:val="16"/>
                <w:szCs w:val="16"/>
              </w:rPr>
            </w:pPr>
            <w:r w:rsidRPr="00A96692">
              <w:rPr>
                <w:rFonts w:eastAsia="Times New Roman"/>
                <w:sz w:val="16"/>
                <w:szCs w:val="16"/>
              </w:rPr>
              <w:t xml:space="preserve">*New Colombo Plan (NCP) </w:t>
            </w:r>
            <w:r w:rsidR="006D152D">
              <w:rPr>
                <w:rFonts w:eastAsia="Times New Roman"/>
                <w:sz w:val="16"/>
                <w:szCs w:val="16"/>
              </w:rPr>
              <w:t>visit</w:t>
            </w:r>
            <w:r w:rsidRPr="00A96692">
              <w:rPr>
                <w:rFonts w:eastAsia="Times New Roman"/>
                <w:sz w:val="16"/>
                <w:szCs w:val="16"/>
              </w:rPr>
              <w:t xml:space="preserve"> results in a consular case.</w:t>
            </w:r>
          </w:p>
          <w:p w:rsidR="008036DC" w:rsidRPr="00A96692" w:rsidRDefault="008036DC" w:rsidP="00F03B40">
            <w:pPr>
              <w:tabs>
                <w:tab w:val="left" w:pos="0"/>
                <w:tab w:val="left" w:pos="284"/>
              </w:tabs>
              <w:spacing w:before="80" w:after="80" w:line="200" w:lineRule="atLeast"/>
              <w:rPr>
                <w:rFonts w:eastAsia="Times New Roman"/>
                <w:sz w:val="16"/>
                <w:szCs w:val="16"/>
              </w:rPr>
            </w:pPr>
            <w:r w:rsidRPr="00A96692">
              <w:rPr>
                <w:rFonts w:eastAsia="Times New Roman"/>
                <w:sz w:val="16"/>
                <w:szCs w:val="16"/>
              </w:rPr>
              <w:t>*</w:t>
            </w:r>
            <w:r w:rsidRPr="00A96692">
              <w:rPr>
                <w:rFonts w:eastAsia="Times New Roman"/>
                <w:i/>
                <w:sz w:val="16"/>
                <w:szCs w:val="16"/>
              </w:rPr>
              <w:t xml:space="preserve">Under the NCP policy DFAT is not the responsible organisation for student welfare and safety. </w:t>
            </w:r>
            <w:r w:rsidR="002F5AC0" w:rsidRPr="00B6769E">
              <w:rPr>
                <w:rFonts w:eastAsia="Times New Roman"/>
                <w:i/>
                <w:sz w:val="16"/>
                <w:szCs w:val="16"/>
              </w:rPr>
              <w:t>Due to</w:t>
            </w:r>
            <w:r w:rsidR="002F5AC0" w:rsidRPr="00A96692">
              <w:rPr>
                <w:rFonts w:eastAsia="Times New Roman"/>
                <w:i/>
                <w:sz w:val="16"/>
                <w:szCs w:val="16"/>
              </w:rPr>
              <w:t xml:space="preserve"> </w:t>
            </w:r>
            <w:r w:rsidRPr="00A96692">
              <w:rPr>
                <w:rFonts w:eastAsia="Times New Roman"/>
                <w:i/>
                <w:sz w:val="16"/>
                <w:szCs w:val="16"/>
              </w:rPr>
              <w:t>the in-PNG security situation and the NCP</w:t>
            </w:r>
            <w:r w:rsidR="002F5AC0" w:rsidRPr="00B6769E">
              <w:rPr>
                <w:rFonts w:eastAsia="Times New Roman"/>
                <w:i/>
                <w:sz w:val="16"/>
                <w:szCs w:val="16"/>
              </w:rPr>
              <w:t xml:space="preserve">’s </w:t>
            </w:r>
            <w:r w:rsidRPr="00A96692">
              <w:rPr>
                <w:rFonts w:eastAsia="Times New Roman"/>
                <w:i/>
                <w:sz w:val="16"/>
                <w:szCs w:val="16"/>
              </w:rPr>
              <w:t>visib</w:t>
            </w:r>
            <w:r w:rsidR="002F5AC0" w:rsidRPr="00B6769E">
              <w:rPr>
                <w:rFonts w:eastAsia="Times New Roman"/>
                <w:i/>
                <w:sz w:val="16"/>
                <w:szCs w:val="16"/>
              </w:rPr>
              <w:t>ility</w:t>
            </w:r>
            <w:r w:rsidRPr="00A96692">
              <w:rPr>
                <w:rFonts w:eastAsia="Times New Roman"/>
                <w:i/>
                <w:sz w:val="16"/>
                <w:szCs w:val="16"/>
              </w:rPr>
              <w:t xml:space="preserve"> and link</w:t>
            </w:r>
            <w:r w:rsidR="002F5AC0" w:rsidRPr="00B6769E">
              <w:rPr>
                <w:rFonts w:eastAsia="Times New Roman"/>
                <w:i/>
                <w:sz w:val="16"/>
                <w:szCs w:val="16"/>
              </w:rPr>
              <w:t>s</w:t>
            </w:r>
            <w:r w:rsidRPr="00A96692">
              <w:rPr>
                <w:rFonts w:eastAsia="Times New Roman"/>
                <w:i/>
                <w:sz w:val="16"/>
                <w:szCs w:val="16"/>
              </w:rPr>
              <w:t xml:space="preserve"> to the Australian Government</w:t>
            </w:r>
            <w:r w:rsidR="002F5AC0" w:rsidRPr="00B6769E">
              <w:rPr>
                <w:rFonts w:eastAsia="Times New Roman"/>
                <w:i/>
                <w:sz w:val="16"/>
                <w:szCs w:val="16"/>
              </w:rPr>
              <w:t>,</w:t>
            </w:r>
            <w:r w:rsidRPr="00A96692">
              <w:rPr>
                <w:rFonts w:eastAsia="Times New Roman"/>
                <w:i/>
                <w:sz w:val="16"/>
                <w:szCs w:val="16"/>
              </w:rPr>
              <w:t xml:space="preserve"> the risk to </w:t>
            </w:r>
            <w:r w:rsidR="00F03B40">
              <w:rPr>
                <w:rFonts w:eastAsia="Times New Roman"/>
                <w:i/>
                <w:sz w:val="16"/>
                <w:szCs w:val="16"/>
              </w:rPr>
              <w:t>Australia’s</w:t>
            </w:r>
            <w:r w:rsidRPr="00A96692">
              <w:rPr>
                <w:rFonts w:eastAsia="Times New Roman"/>
                <w:i/>
                <w:sz w:val="16"/>
                <w:szCs w:val="16"/>
              </w:rPr>
              <w:t xml:space="preserve"> reputation is considered major, should a consular case occur.</w:t>
            </w:r>
          </w:p>
        </w:tc>
        <w:tc>
          <w:tcPr>
            <w:tcW w:w="2457" w:type="dxa"/>
          </w:tcPr>
          <w:p w:rsidR="008036DC" w:rsidRPr="00A96692" w:rsidRDefault="008036DC" w:rsidP="008036DC">
            <w:pPr>
              <w:keepLines/>
              <w:spacing w:before="80" w:after="80" w:line="200" w:lineRule="atLeast"/>
              <w:rPr>
                <w:rFonts w:asciiTheme="minorHAnsi" w:eastAsia="Times New Roman" w:hAnsiTheme="minorHAnsi"/>
                <w:iCs/>
                <w:sz w:val="16"/>
                <w:szCs w:val="16"/>
              </w:rPr>
            </w:pPr>
            <w:r w:rsidRPr="00A96692">
              <w:rPr>
                <w:rFonts w:eastAsia="Times New Roman"/>
                <w:iCs/>
                <w:sz w:val="16"/>
                <w:szCs w:val="16"/>
              </w:rPr>
              <w:t>Regular update meetings held with Counsellor, Education on all NCP activities.</w:t>
            </w:r>
          </w:p>
          <w:p w:rsidR="008036DC" w:rsidRPr="00A96692" w:rsidRDefault="008036DC" w:rsidP="008036DC">
            <w:pPr>
              <w:keepLines/>
              <w:spacing w:before="80" w:after="80" w:line="200" w:lineRule="atLeast"/>
              <w:rPr>
                <w:rFonts w:asciiTheme="minorHAnsi" w:eastAsia="Times New Roman" w:hAnsiTheme="minorHAnsi"/>
                <w:iCs/>
                <w:sz w:val="16"/>
                <w:szCs w:val="16"/>
              </w:rPr>
            </w:pPr>
          </w:p>
        </w:tc>
        <w:tc>
          <w:tcPr>
            <w:tcW w:w="2532" w:type="dxa"/>
          </w:tcPr>
          <w:p w:rsidR="008036DC" w:rsidRPr="00A96692" w:rsidRDefault="008036DC" w:rsidP="008036DC">
            <w:pPr>
              <w:keepLines/>
              <w:spacing w:before="80" w:after="80" w:line="200" w:lineRule="atLeast"/>
              <w:rPr>
                <w:rFonts w:asciiTheme="minorHAnsi" w:eastAsia="Times New Roman" w:hAnsiTheme="minorHAnsi"/>
                <w:iCs/>
                <w:sz w:val="16"/>
                <w:szCs w:val="16"/>
              </w:rPr>
            </w:pPr>
            <w:r w:rsidRPr="00A96692">
              <w:rPr>
                <w:rFonts w:eastAsia="Times New Roman"/>
                <w:iCs/>
                <w:sz w:val="16"/>
                <w:szCs w:val="16"/>
              </w:rPr>
              <w:t>Develop a handbook on what students can expect in PNG to assist them with their preparations.</w:t>
            </w:r>
          </w:p>
          <w:p w:rsidR="008036DC" w:rsidRPr="00A96692" w:rsidRDefault="008036DC" w:rsidP="008036DC">
            <w:pPr>
              <w:keepLines/>
              <w:spacing w:before="80" w:after="80" w:line="200" w:lineRule="atLeast"/>
              <w:rPr>
                <w:rFonts w:asciiTheme="minorHAnsi" w:eastAsia="Times New Roman" w:hAnsiTheme="minorHAnsi"/>
                <w:iCs/>
                <w:sz w:val="16"/>
                <w:szCs w:val="16"/>
              </w:rPr>
            </w:pPr>
            <w:r w:rsidRPr="00A96692">
              <w:rPr>
                <w:rFonts w:eastAsia="Times New Roman"/>
                <w:iCs/>
                <w:sz w:val="16"/>
                <w:szCs w:val="16"/>
              </w:rPr>
              <w:t>In close consultation w</w:t>
            </w:r>
            <w:r w:rsidR="00F03B40">
              <w:rPr>
                <w:rFonts w:eastAsia="Times New Roman"/>
                <w:iCs/>
                <w:sz w:val="16"/>
                <w:szCs w:val="16"/>
              </w:rPr>
              <w:t>ith the c</w:t>
            </w:r>
            <w:r w:rsidRPr="00A96692">
              <w:rPr>
                <w:rFonts w:eastAsia="Times New Roman"/>
                <w:iCs/>
                <w:sz w:val="16"/>
                <w:szCs w:val="16"/>
              </w:rPr>
              <w:t xml:space="preserve">onsular </w:t>
            </w:r>
            <w:r w:rsidR="00F03B40">
              <w:rPr>
                <w:rFonts w:eastAsia="Times New Roman"/>
                <w:iCs/>
                <w:sz w:val="16"/>
                <w:szCs w:val="16"/>
              </w:rPr>
              <w:t xml:space="preserve">team </w:t>
            </w:r>
            <w:r w:rsidRPr="00A96692">
              <w:rPr>
                <w:rFonts w:eastAsia="Times New Roman"/>
                <w:iCs/>
                <w:sz w:val="16"/>
                <w:szCs w:val="16"/>
              </w:rPr>
              <w:t>and Canberra, ensure all necessary administrative requirements are in place such as arrival times in PNG, Smart Traveller registrations, and travel insurance.</w:t>
            </w:r>
          </w:p>
          <w:p w:rsidR="008036DC" w:rsidRDefault="00F03B40" w:rsidP="008036DC">
            <w:pPr>
              <w:keepLines/>
              <w:spacing w:before="80" w:after="80" w:line="200" w:lineRule="atLeast"/>
              <w:rPr>
                <w:rFonts w:eastAsia="Times New Roman"/>
                <w:iCs/>
                <w:sz w:val="16"/>
                <w:szCs w:val="16"/>
              </w:rPr>
            </w:pPr>
            <w:r>
              <w:rPr>
                <w:rFonts w:eastAsia="Times New Roman"/>
                <w:iCs/>
                <w:sz w:val="16"/>
                <w:szCs w:val="16"/>
              </w:rPr>
              <w:t>Ensure the public d</w:t>
            </w:r>
            <w:r w:rsidR="008036DC" w:rsidRPr="00A96692">
              <w:rPr>
                <w:rFonts w:eastAsia="Times New Roman"/>
                <w:iCs/>
                <w:sz w:val="16"/>
                <w:szCs w:val="16"/>
              </w:rPr>
              <w:t>iplomacy</w:t>
            </w:r>
            <w:r>
              <w:rPr>
                <w:rFonts w:eastAsia="Times New Roman"/>
                <w:iCs/>
                <w:sz w:val="16"/>
                <w:szCs w:val="16"/>
              </w:rPr>
              <w:t xml:space="preserve"> team </w:t>
            </w:r>
            <w:r w:rsidR="008036DC" w:rsidRPr="00A96692">
              <w:rPr>
                <w:rFonts w:eastAsia="Times New Roman"/>
                <w:iCs/>
                <w:sz w:val="16"/>
                <w:szCs w:val="16"/>
              </w:rPr>
              <w:t>at post have a media plan.</w:t>
            </w:r>
          </w:p>
          <w:p w:rsidR="006D152D" w:rsidRPr="00A96692" w:rsidRDefault="006D152D" w:rsidP="00F03B40">
            <w:pPr>
              <w:keepLines/>
              <w:spacing w:before="80" w:after="80" w:line="200" w:lineRule="atLeast"/>
              <w:rPr>
                <w:rFonts w:asciiTheme="minorHAnsi" w:eastAsia="Times New Roman" w:hAnsiTheme="minorHAnsi"/>
                <w:iCs/>
                <w:sz w:val="16"/>
                <w:szCs w:val="16"/>
              </w:rPr>
            </w:pPr>
            <w:r>
              <w:rPr>
                <w:rFonts w:eastAsia="Times New Roman"/>
                <w:iCs/>
                <w:sz w:val="16"/>
                <w:szCs w:val="16"/>
              </w:rPr>
              <w:t>The education t</w:t>
            </w:r>
            <w:r w:rsidRPr="00A96692">
              <w:rPr>
                <w:rFonts w:eastAsia="Times New Roman"/>
                <w:iCs/>
                <w:sz w:val="16"/>
                <w:szCs w:val="16"/>
              </w:rPr>
              <w:t>eam</w:t>
            </w:r>
            <w:r>
              <w:rPr>
                <w:rFonts w:eastAsia="Times New Roman"/>
                <w:iCs/>
                <w:sz w:val="16"/>
                <w:szCs w:val="16"/>
              </w:rPr>
              <w:t xml:space="preserve"> </w:t>
            </w:r>
            <w:r w:rsidR="00F03B40">
              <w:rPr>
                <w:rFonts w:eastAsia="Times New Roman"/>
                <w:iCs/>
                <w:sz w:val="16"/>
                <w:szCs w:val="16"/>
              </w:rPr>
              <w:t>develops</w:t>
            </w:r>
            <w:r>
              <w:rPr>
                <w:rFonts w:eastAsia="Times New Roman"/>
                <w:iCs/>
                <w:sz w:val="16"/>
                <w:szCs w:val="16"/>
              </w:rPr>
              <w:t xml:space="preserve"> a</w:t>
            </w:r>
            <w:r w:rsidR="00F03B40">
              <w:rPr>
                <w:rFonts w:eastAsia="Times New Roman"/>
                <w:iCs/>
                <w:sz w:val="16"/>
                <w:szCs w:val="16"/>
              </w:rPr>
              <w:t>n</w:t>
            </w:r>
            <w:r>
              <w:rPr>
                <w:rFonts w:eastAsia="Times New Roman"/>
                <w:iCs/>
                <w:sz w:val="16"/>
                <w:szCs w:val="16"/>
              </w:rPr>
              <w:t xml:space="preserve"> NCP management p</w:t>
            </w:r>
            <w:r w:rsidRPr="00A96692">
              <w:rPr>
                <w:rFonts w:eastAsia="Times New Roman"/>
                <w:iCs/>
                <w:sz w:val="16"/>
                <w:szCs w:val="16"/>
              </w:rPr>
              <w:t>lan for post.</w:t>
            </w:r>
          </w:p>
        </w:tc>
        <w:tc>
          <w:tcPr>
            <w:tcW w:w="2304" w:type="dxa"/>
          </w:tcPr>
          <w:p w:rsidR="008036DC" w:rsidRPr="00A96692" w:rsidRDefault="008036DC" w:rsidP="00EB0B2C">
            <w:pPr>
              <w:keepLines/>
              <w:spacing w:before="80" w:after="80" w:line="200" w:lineRule="atLeast"/>
              <w:rPr>
                <w:rFonts w:asciiTheme="minorHAnsi" w:eastAsia="Times New Roman" w:hAnsiTheme="minorHAnsi"/>
                <w:iCs/>
                <w:sz w:val="16"/>
                <w:szCs w:val="16"/>
              </w:rPr>
            </w:pPr>
            <w:r w:rsidRPr="00A96692">
              <w:rPr>
                <w:rFonts w:eastAsia="Times New Roman"/>
                <w:iCs/>
                <w:sz w:val="16"/>
                <w:szCs w:val="16"/>
              </w:rPr>
              <w:t>High</w:t>
            </w:r>
          </w:p>
        </w:tc>
      </w:tr>
      <w:tr w:rsidR="002A51CA" w:rsidRPr="00C61187" w:rsidTr="00706D4F">
        <w:tc>
          <w:tcPr>
            <w:tcW w:w="2205" w:type="dxa"/>
            <w:hideMark/>
          </w:tcPr>
          <w:p w:rsidR="002A51CA" w:rsidRPr="00A96692" w:rsidRDefault="00383E31" w:rsidP="00EB0B2C">
            <w:pPr>
              <w:tabs>
                <w:tab w:val="left" w:pos="0"/>
                <w:tab w:val="left" w:pos="284"/>
              </w:tabs>
              <w:spacing w:before="80" w:after="80" w:line="200" w:lineRule="atLeast"/>
              <w:rPr>
                <w:rFonts w:asciiTheme="minorHAnsi" w:eastAsia="Times New Roman" w:hAnsiTheme="minorHAnsi"/>
                <w:sz w:val="16"/>
                <w:szCs w:val="16"/>
              </w:rPr>
            </w:pPr>
            <w:r w:rsidRPr="00A96692">
              <w:rPr>
                <w:rFonts w:eastAsia="Times New Roman"/>
                <w:sz w:val="16"/>
                <w:szCs w:val="16"/>
              </w:rPr>
              <w:t>An increase in the incidence of fraud and/or corruption impacts the aid program.</w:t>
            </w:r>
          </w:p>
        </w:tc>
        <w:tc>
          <w:tcPr>
            <w:tcW w:w="2457" w:type="dxa"/>
          </w:tcPr>
          <w:p w:rsidR="003D636E" w:rsidRPr="00A96692" w:rsidRDefault="003D636E" w:rsidP="00EB0B2C">
            <w:pPr>
              <w:keepLines/>
              <w:spacing w:before="80" w:after="80" w:line="200" w:lineRule="atLeast"/>
              <w:rPr>
                <w:rFonts w:asciiTheme="minorHAnsi" w:eastAsia="Times New Roman" w:hAnsiTheme="minorHAnsi"/>
                <w:iCs/>
                <w:sz w:val="16"/>
                <w:szCs w:val="16"/>
                <w:lang w:eastAsia="en-US"/>
              </w:rPr>
            </w:pPr>
            <w:r w:rsidRPr="00A96692">
              <w:rPr>
                <w:rFonts w:eastAsia="Times New Roman"/>
                <w:iCs/>
                <w:sz w:val="16"/>
                <w:szCs w:val="16"/>
              </w:rPr>
              <w:t>F</w:t>
            </w:r>
            <w:r w:rsidR="006D152D">
              <w:rPr>
                <w:rFonts w:eastAsia="Times New Roman"/>
                <w:iCs/>
                <w:sz w:val="16"/>
                <w:szCs w:val="16"/>
              </w:rPr>
              <w:t>raud management training</w:t>
            </w:r>
            <w:r w:rsidRPr="00A96692">
              <w:rPr>
                <w:rFonts w:eastAsia="Times New Roman"/>
                <w:iCs/>
                <w:sz w:val="16"/>
                <w:szCs w:val="16"/>
              </w:rPr>
              <w:t xml:space="preserve"> conducted at </w:t>
            </w:r>
            <w:r w:rsidR="002F5AC0" w:rsidRPr="00B6769E">
              <w:rPr>
                <w:rFonts w:eastAsia="Times New Roman"/>
                <w:iCs/>
                <w:sz w:val="16"/>
                <w:szCs w:val="16"/>
              </w:rPr>
              <w:t>the AHC</w:t>
            </w:r>
            <w:r w:rsidR="002F5AC0" w:rsidRPr="00A96692">
              <w:rPr>
                <w:rFonts w:eastAsia="Times New Roman"/>
                <w:iCs/>
                <w:sz w:val="16"/>
                <w:szCs w:val="16"/>
              </w:rPr>
              <w:t xml:space="preserve"> </w:t>
            </w:r>
            <w:r w:rsidRPr="00A96692">
              <w:rPr>
                <w:rFonts w:eastAsia="Times New Roman"/>
                <w:iCs/>
                <w:sz w:val="16"/>
                <w:szCs w:val="16"/>
              </w:rPr>
              <w:t xml:space="preserve">for all key stakeholders as part of the </w:t>
            </w:r>
            <w:r w:rsidR="002F5AC0" w:rsidRPr="00B6769E">
              <w:rPr>
                <w:rFonts w:eastAsia="Times New Roman"/>
                <w:iCs/>
                <w:sz w:val="16"/>
                <w:szCs w:val="16"/>
              </w:rPr>
              <w:t>AHC’s</w:t>
            </w:r>
            <w:r w:rsidRPr="00A96692">
              <w:rPr>
                <w:rFonts w:eastAsia="Times New Roman"/>
                <w:iCs/>
                <w:sz w:val="16"/>
                <w:szCs w:val="16"/>
              </w:rPr>
              <w:t xml:space="preserve"> strengthening of service delivery linkages amongst partner sectors. </w:t>
            </w:r>
          </w:p>
          <w:p w:rsidR="003D636E" w:rsidRPr="00A96692" w:rsidRDefault="003D636E" w:rsidP="00EB0B2C">
            <w:pPr>
              <w:keepLines/>
              <w:spacing w:before="80" w:after="80" w:line="200" w:lineRule="atLeast"/>
              <w:rPr>
                <w:rFonts w:asciiTheme="minorHAnsi" w:eastAsia="Times New Roman" w:hAnsiTheme="minorHAnsi"/>
                <w:iCs/>
                <w:sz w:val="16"/>
                <w:szCs w:val="16"/>
                <w:lang w:eastAsia="en-US"/>
              </w:rPr>
            </w:pPr>
            <w:r w:rsidRPr="00A96692">
              <w:rPr>
                <w:rFonts w:eastAsia="Times New Roman"/>
                <w:iCs/>
                <w:sz w:val="16"/>
                <w:szCs w:val="16"/>
              </w:rPr>
              <w:t xml:space="preserve">Programs maintain stringent controls over financial management and expenditure, including trust and </w:t>
            </w:r>
            <w:proofErr w:type="spellStart"/>
            <w:r w:rsidRPr="00A96692">
              <w:rPr>
                <w:rFonts w:eastAsia="Times New Roman"/>
                <w:iCs/>
                <w:sz w:val="16"/>
                <w:szCs w:val="16"/>
              </w:rPr>
              <w:t>imprest</w:t>
            </w:r>
            <w:proofErr w:type="spellEnd"/>
            <w:r w:rsidRPr="00A96692">
              <w:rPr>
                <w:rFonts w:eastAsia="Times New Roman"/>
                <w:iCs/>
                <w:sz w:val="16"/>
                <w:szCs w:val="16"/>
              </w:rPr>
              <w:t xml:space="preserve"> accounts, with a zero tolerance for fraud or corruption.</w:t>
            </w:r>
          </w:p>
          <w:p w:rsidR="002A51CA" w:rsidRPr="00A96692" w:rsidRDefault="002F5AC0" w:rsidP="00EB0B2C">
            <w:pPr>
              <w:keepLines/>
              <w:spacing w:before="80" w:after="80" w:line="200" w:lineRule="atLeast"/>
              <w:rPr>
                <w:rFonts w:asciiTheme="minorHAnsi" w:eastAsia="Times New Roman" w:hAnsiTheme="minorHAnsi"/>
                <w:iCs/>
                <w:sz w:val="16"/>
                <w:szCs w:val="16"/>
                <w:lang w:eastAsia="en-US"/>
              </w:rPr>
            </w:pPr>
            <w:r w:rsidRPr="00B6769E">
              <w:rPr>
                <w:rFonts w:eastAsia="Times New Roman"/>
                <w:iCs/>
                <w:sz w:val="16"/>
                <w:szCs w:val="16"/>
              </w:rPr>
              <w:t>AHC</w:t>
            </w:r>
            <w:r w:rsidRPr="00A96692">
              <w:rPr>
                <w:rFonts w:eastAsia="Times New Roman"/>
                <w:iCs/>
                <w:sz w:val="16"/>
                <w:szCs w:val="16"/>
              </w:rPr>
              <w:t xml:space="preserve"> </w:t>
            </w:r>
            <w:r w:rsidR="006D152D">
              <w:rPr>
                <w:rFonts w:eastAsia="Times New Roman"/>
                <w:iCs/>
                <w:sz w:val="16"/>
                <w:szCs w:val="16"/>
              </w:rPr>
              <w:t>maintained</w:t>
            </w:r>
            <w:r w:rsidR="003D636E" w:rsidRPr="00A96692">
              <w:rPr>
                <w:rFonts w:eastAsia="Times New Roman"/>
                <w:iCs/>
                <w:sz w:val="16"/>
                <w:szCs w:val="16"/>
              </w:rPr>
              <w:t xml:space="preserve"> an aid program fraud risk register with controls</w:t>
            </w:r>
            <w:r w:rsidR="005804BE">
              <w:rPr>
                <w:rFonts w:eastAsia="Times New Roman"/>
                <w:iCs/>
                <w:sz w:val="16"/>
                <w:szCs w:val="16"/>
              </w:rPr>
              <w:t xml:space="preserve"> which are</w:t>
            </w:r>
            <w:r w:rsidR="00866F51" w:rsidRPr="00A96692">
              <w:rPr>
                <w:rFonts w:eastAsia="Times New Roman"/>
                <w:iCs/>
                <w:sz w:val="16"/>
                <w:szCs w:val="16"/>
              </w:rPr>
              <w:t xml:space="preserve"> revised and updated on a regular basis.</w:t>
            </w:r>
          </w:p>
        </w:tc>
        <w:tc>
          <w:tcPr>
            <w:tcW w:w="2532" w:type="dxa"/>
          </w:tcPr>
          <w:p w:rsidR="003D636E" w:rsidRPr="00A96692" w:rsidRDefault="006D152D" w:rsidP="00EB0B2C">
            <w:pPr>
              <w:keepLines/>
              <w:spacing w:before="80" w:after="80" w:line="200" w:lineRule="atLeast"/>
              <w:rPr>
                <w:rFonts w:asciiTheme="minorHAnsi" w:eastAsia="Times New Roman" w:hAnsiTheme="minorHAnsi"/>
                <w:iCs/>
                <w:sz w:val="16"/>
                <w:szCs w:val="16"/>
                <w:lang w:eastAsia="en-US"/>
              </w:rPr>
            </w:pPr>
            <w:r>
              <w:rPr>
                <w:rFonts w:eastAsia="Times New Roman"/>
                <w:iCs/>
                <w:sz w:val="16"/>
                <w:szCs w:val="16"/>
              </w:rPr>
              <w:t>Managing c</w:t>
            </w:r>
            <w:r w:rsidR="003D636E" w:rsidRPr="00A96692">
              <w:rPr>
                <w:rFonts w:eastAsia="Times New Roman"/>
                <w:iCs/>
                <w:sz w:val="16"/>
                <w:szCs w:val="16"/>
              </w:rPr>
              <w:t>ontractors/</w:t>
            </w:r>
            <w:r>
              <w:rPr>
                <w:rFonts w:eastAsia="Times New Roman"/>
                <w:iCs/>
                <w:sz w:val="16"/>
                <w:szCs w:val="16"/>
              </w:rPr>
              <w:t>service providers</w:t>
            </w:r>
            <w:r w:rsidR="003D636E" w:rsidRPr="00A96692">
              <w:rPr>
                <w:rFonts w:eastAsia="Times New Roman"/>
                <w:iCs/>
                <w:sz w:val="16"/>
                <w:szCs w:val="16"/>
              </w:rPr>
              <w:t xml:space="preserve"> report on performance and expenditure monthly/ quarterly. </w:t>
            </w:r>
          </w:p>
          <w:p w:rsidR="002A51CA" w:rsidRPr="00A96692" w:rsidRDefault="003D636E" w:rsidP="00C27DBD">
            <w:pPr>
              <w:keepLines/>
              <w:spacing w:before="80" w:after="80" w:line="200" w:lineRule="atLeast"/>
              <w:rPr>
                <w:rFonts w:asciiTheme="minorHAnsi" w:eastAsia="Times New Roman" w:hAnsiTheme="minorHAnsi"/>
                <w:iCs/>
                <w:sz w:val="16"/>
                <w:szCs w:val="16"/>
                <w:lang w:eastAsia="en-US"/>
              </w:rPr>
            </w:pPr>
            <w:r w:rsidRPr="00A96692">
              <w:rPr>
                <w:rFonts w:eastAsia="Times New Roman"/>
                <w:iCs/>
                <w:sz w:val="16"/>
                <w:szCs w:val="16"/>
              </w:rPr>
              <w:t xml:space="preserve">To enable a greater depth of assurance across the operation of individual partners and programs in PNG, the </w:t>
            </w:r>
            <w:r w:rsidR="002F5AC0" w:rsidRPr="00B6769E">
              <w:rPr>
                <w:rFonts w:eastAsia="Times New Roman"/>
                <w:iCs/>
                <w:sz w:val="16"/>
                <w:szCs w:val="16"/>
              </w:rPr>
              <w:t>AHC</w:t>
            </w:r>
            <w:r w:rsidR="00C27DBD">
              <w:rPr>
                <w:rFonts w:eastAsia="Times New Roman"/>
                <w:iCs/>
                <w:sz w:val="16"/>
                <w:szCs w:val="16"/>
              </w:rPr>
              <w:t xml:space="preserve"> established an audit services panel in December 2015.  The p</w:t>
            </w:r>
            <w:r w:rsidRPr="00A96692">
              <w:rPr>
                <w:rFonts w:eastAsia="Times New Roman"/>
                <w:iCs/>
                <w:sz w:val="16"/>
                <w:szCs w:val="16"/>
              </w:rPr>
              <w:t>anel will soon be able to conduct sector audits on risk, fraud, financial man</w:t>
            </w:r>
            <w:r w:rsidR="00C27DBD">
              <w:rPr>
                <w:rFonts w:eastAsia="Times New Roman"/>
                <w:iCs/>
                <w:sz w:val="16"/>
                <w:szCs w:val="16"/>
              </w:rPr>
              <w:t xml:space="preserve">agement, governance structures and in other areas </w:t>
            </w:r>
            <w:r w:rsidRPr="00A96692">
              <w:rPr>
                <w:rFonts w:eastAsia="Times New Roman"/>
                <w:iCs/>
                <w:sz w:val="16"/>
                <w:szCs w:val="16"/>
              </w:rPr>
              <w:t>as required by the sector teams.</w:t>
            </w:r>
          </w:p>
        </w:tc>
        <w:tc>
          <w:tcPr>
            <w:tcW w:w="2304" w:type="dxa"/>
          </w:tcPr>
          <w:p w:rsidR="002A51CA" w:rsidRPr="00A96692" w:rsidRDefault="003D636E" w:rsidP="00EB0B2C">
            <w:pPr>
              <w:keepLines/>
              <w:spacing w:before="80" w:after="80" w:line="200" w:lineRule="atLeast"/>
              <w:rPr>
                <w:rFonts w:asciiTheme="minorHAnsi" w:eastAsia="Times New Roman" w:hAnsiTheme="minorHAnsi"/>
                <w:iCs/>
                <w:sz w:val="16"/>
                <w:szCs w:val="16"/>
                <w:lang w:eastAsia="en-US"/>
              </w:rPr>
            </w:pPr>
            <w:r w:rsidRPr="00A96692">
              <w:rPr>
                <w:rFonts w:eastAsia="Times New Roman"/>
                <w:iCs/>
                <w:sz w:val="16"/>
                <w:szCs w:val="16"/>
              </w:rPr>
              <w:t>Medium</w:t>
            </w:r>
          </w:p>
        </w:tc>
      </w:tr>
      <w:tr w:rsidR="00383E31" w:rsidRPr="00C61187" w:rsidTr="00706D4F">
        <w:tc>
          <w:tcPr>
            <w:tcW w:w="2205" w:type="dxa"/>
          </w:tcPr>
          <w:p w:rsidR="00383E31" w:rsidRPr="00A96692" w:rsidRDefault="00866F51" w:rsidP="00FA0DC2">
            <w:pPr>
              <w:keepLines/>
              <w:spacing w:before="80" w:after="80" w:line="200" w:lineRule="atLeast"/>
              <w:rPr>
                <w:rFonts w:asciiTheme="minorHAnsi" w:eastAsia="Times New Roman" w:hAnsiTheme="minorHAnsi"/>
                <w:iCs/>
                <w:sz w:val="16"/>
                <w:szCs w:val="16"/>
                <w:lang w:eastAsia="en-US"/>
              </w:rPr>
            </w:pPr>
            <w:r w:rsidRPr="00A96692">
              <w:rPr>
                <w:rFonts w:eastAsia="Times New Roman"/>
                <w:iCs/>
                <w:sz w:val="16"/>
                <w:szCs w:val="16"/>
              </w:rPr>
              <w:t>The TB program is not successful in addressing the increase of TB cases in Western Province and the National Capital District, due to an inadequate amount of financial and HR resources.</w:t>
            </w:r>
          </w:p>
        </w:tc>
        <w:tc>
          <w:tcPr>
            <w:tcW w:w="2457" w:type="dxa"/>
          </w:tcPr>
          <w:p w:rsidR="00FA0DC2" w:rsidRPr="00A96692" w:rsidRDefault="00FA0DC2" w:rsidP="00FA0DC2">
            <w:pPr>
              <w:keepLines/>
              <w:spacing w:before="80" w:after="80" w:line="200" w:lineRule="atLeast"/>
              <w:rPr>
                <w:rFonts w:asciiTheme="minorHAnsi" w:eastAsia="Times New Roman" w:hAnsiTheme="minorHAnsi"/>
                <w:iCs/>
                <w:sz w:val="16"/>
                <w:szCs w:val="16"/>
                <w:lang w:eastAsia="en-US"/>
              </w:rPr>
            </w:pPr>
            <w:r w:rsidRPr="00A96692">
              <w:rPr>
                <w:rFonts w:eastAsia="Times New Roman"/>
                <w:iCs/>
                <w:sz w:val="16"/>
                <w:szCs w:val="16"/>
              </w:rPr>
              <w:t>Through policy dialogue with the PNG</w:t>
            </w:r>
            <w:r w:rsidR="00AC4333" w:rsidRPr="00A96692">
              <w:rPr>
                <w:rFonts w:eastAsia="Times New Roman"/>
                <w:iCs/>
                <w:sz w:val="16"/>
                <w:szCs w:val="16"/>
              </w:rPr>
              <w:t xml:space="preserve"> Government</w:t>
            </w:r>
            <w:r w:rsidRPr="00A96692">
              <w:rPr>
                <w:rFonts w:eastAsia="Times New Roman"/>
                <w:iCs/>
                <w:sz w:val="16"/>
                <w:szCs w:val="16"/>
              </w:rPr>
              <w:t xml:space="preserve">, it was supported to mobilise additional third party funding for </w:t>
            </w:r>
            <w:r w:rsidR="00C27DBD">
              <w:rPr>
                <w:rFonts w:eastAsia="Times New Roman"/>
                <w:iCs/>
                <w:sz w:val="16"/>
                <w:szCs w:val="16"/>
              </w:rPr>
              <w:t xml:space="preserve">the </w:t>
            </w:r>
            <w:r w:rsidRPr="00A96692">
              <w:rPr>
                <w:rFonts w:eastAsia="Times New Roman"/>
                <w:iCs/>
                <w:sz w:val="16"/>
                <w:szCs w:val="16"/>
              </w:rPr>
              <w:t xml:space="preserve">TB response and encouraged further to allocate sufficient funding in its budget.                                                      </w:t>
            </w:r>
          </w:p>
          <w:p w:rsidR="00383E31" w:rsidRPr="00A96692" w:rsidRDefault="00383E31" w:rsidP="00FA0DC2">
            <w:pPr>
              <w:keepLines/>
              <w:spacing w:before="80" w:after="80" w:line="200" w:lineRule="atLeast"/>
              <w:rPr>
                <w:rFonts w:asciiTheme="minorHAnsi" w:eastAsia="Times New Roman" w:hAnsiTheme="minorHAnsi"/>
                <w:iCs/>
                <w:sz w:val="16"/>
                <w:szCs w:val="16"/>
                <w:lang w:eastAsia="en-US"/>
              </w:rPr>
            </w:pPr>
          </w:p>
        </w:tc>
        <w:tc>
          <w:tcPr>
            <w:tcW w:w="2532" w:type="dxa"/>
          </w:tcPr>
          <w:p w:rsidR="00FA0DC2" w:rsidRPr="00A96692" w:rsidRDefault="00FA0DC2" w:rsidP="00FA0DC2">
            <w:pPr>
              <w:keepLines/>
              <w:spacing w:before="80" w:after="80" w:line="200" w:lineRule="atLeast"/>
              <w:rPr>
                <w:rFonts w:asciiTheme="minorHAnsi" w:eastAsia="Times New Roman" w:hAnsiTheme="minorHAnsi"/>
                <w:iCs/>
                <w:sz w:val="16"/>
                <w:szCs w:val="16"/>
                <w:lang w:eastAsia="en-US"/>
              </w:rPr>
            </w:pPr>
            <w:r w:rsidRPr="00A96692">
              <w:rPr>
                <w:rFonts w:eastAsia="Times New Roman"/>
                <w:iCs/>
                <w:sz w:val="16"/>
                <w:szCs w:val="16"/>
              </w:rPr>
              <w:t>Continue to raise</w:t>
            </w:r>
            <w:r w:rsidR="00C27DBD">
              <w:rPr>
                <w:rFonts w:eastAsia="Times New Roman"/>
                <w:iCs/>
                <w:sz w:val="16"/>
                <w:szCs w:val="16"/>
              </w:rPr>
              <w:t xml:space="preserve"> the</w:t>
            </w:r>
            <w:r w:rsidRPr="00A96692">
              <w:rPr>
                <w:rFonts w:eastAsia="Times New Roman"/>
                <w:iCs/>
                <w:sz w:val="16"/>
                <w:szCs w:val="16"/>
              </w:rPr>
              <w:t xml:space="preserve"> funding shortage issue for TB at </w:t>
            </w:r>
            <w:r w:rsidR="00AC4333" w:rsidRPr="00A96692">
              <w:rPr>
                <w:rFonts w:eastAsia="Times New Roman"/>
                <w:iCs/>
                <w:sz w:val="16"/>
                <w:szCs w:val="16"/>
              </w:rPr>
              <w:t>PNG Government</w:t>
            </w:r>
            <w:r w:rsidRPr="00A96692">
              <w:rPr>
                <w:rFonts w:eastAsia="Times New Roman"/>
                <w:iCs/>
                <w:sz w:val="16"/>
                <w:szCs w:val="16"/>
              </w:rPr>
              <w:t xml:space="preserve"> ministerial level at all opportunities.</w:t>
            </w:r>
          </w:p>
          <w:p w:rsidR="00FA0DC2" w:rsidRPr="00A96692" w:rsidRDefault="00FA0DC2" w:rsidP="00FA0DC2">
            <w:pPr>
              <w:keepLines/>
              <w:spacing w:before="80" w:after="80" w:line="200" w:lineRule="atLeast"/>
              <w:rPr>
                <w:rFonts w:asciiTheme="minorHAnsi" w:eastAsia="Times New Roman" w:hAnsiTheme="minorHAnsi"/>
                <w:iCs/>
                <w:sz w:val="16"/>
                <w:szCs w:val="16"/>
                <w:lang w:eastAsia="en-US"/>
              </w:rPr>
            </w:pPr>
            <w:r w:rsidRPr="00A96692">
              <w:rPr>
                <w:rFonts w:eastAsia="Times New Roman"/>
                <w:iCs/>
                <w:sz w:val="16"/>
                <w:szCs w:val="16"/>
              </w:rPr>
              <w:t>Fac</w:t>
            </w:r>
            <w:r w:rsidR="00C27DBD">
              <w:rPr>
                <w:rFonts w:eastAsia="Times New Roman"/>
                <w:iCs/>
                <w:sz w:val="16"/>
                <w:szCs w:val="16"/>
              </w:rPr>
              <w:t>ilitate discussions with PNG's central public health l</w:t>
            </w:r>
            <w:r w:rsidRPr="00A96692">
              <w:rPr>
                <w:rFonts w:eastAsia="Times New Roman"/>
                <w:iCs/>
                <w:sz w:val="16"/>
                <w:szCs w:val="16"/>
              </w:rPr>
              <w:t>aboratory to resolve bottlenecks to certification.</w:t>
            </w:r>
          </w:p>
          <w:p w:rsidR="00383E31" w:rsidRPr="00A96692" w:rsidRDefault="00FA0DC2" w:rsidP="00C27DBD">
            <w:pPr>
              <w:keepLines/>
              <w:spacing w:before="80" w:after="80" w:line="200" w:lineRule="atLeast"/>
              <w:rPr>
                <w:rFonts w:asciiTheme="minorHAnsi" w:eastAsia="Times New Roman" w:hAnsiTheme="minorHAnsi"/>
                <w:iCs/>
                <w:sz w:val="16"/>
                <w:szCs w:val="16"/>
                <w:lang w:eastAsia="en-US"/>
              </w:rPr>
            </w:pPr>
            <w:r w:rsidRPr="00A96692">
              <w:rPr>
                <w:rFonts w:eastAsia="Times New Roman"/>
                <w:iCs/>
                <w:sz w:val="16"/>
                <w:szCs w:val="16"/>
              </w:rPr>
              <w:t>Regular dialogue with Australian Government MPs on the extent of TB and efforts to manage it.</w:t>
            </w:r>
          </w:p>
        </w:tc>
        <w:tc>
          <w:tcPr>
            <w:tcW w:w="2304" w:type="dxa"/>
          </w:tcPr>
          <w:p w:rsidR="00383E31" w:rsidRPr="00A96692" w:rsidRDefault="00FA0DC2" w:rsidP="00FA0DC2">
            <w:pPr>
              <w:keepLines/>
              <w:spacing w:before="80" w:after="80" w:line="200" w:lineRule="atLeast"/>
              <w:rPr>
                <w:rFonts w:asciiTheme="minorHAnsi" w:eastAsia="Times New Roman" w:hAnsiTheme="minorHAnsi"/>
                <w:iCs/>
                <w:sz w:val="16"/>
                <w:szCs w:val="16"/>
                <w:lang w:eastAsia="en-US"/>
              </w:rPr>
            </w:pPr>
            <w:r w:rsidRPr="00A96692">
              <w:rPr>
                <w:rFonts w:eastAsia="Times New Roman"/>
                <w:iCs/>
                <w:sz w:val="16"/>
                <w:szCs w:val="16"/>
              </w:rPr>
              <w:t>Medium</w:t>
            </w:r>
          </w:p>
        </w:tc>
      </w:tr>
      <w:tr w:rsidR="008036DC" w:rsidRPr="00C61187" w:rsidTr="00706D4F">
        <w:tc>
          <w:tcPr>
            <w:tcW w:w="2205" w:type="dxa"/>
          </w:tcPr>
          <w:p w:rsidR="008036DC" w:rsidRPr="00A96692" w:rsidRDefault="008036DC" w:rsidP="00FA0DC2">
            <w:pPr>
              <w:keepLines/>
              <w:spacing w:before="80" w:after="80" w:line="200" w:lineRule="atLeast"/>
              <w:rPr>
                <w:rFonts w:asciiTheme="minorHAnsi" w:eastAsia="Times New Roman" w:hAnsiTheme="minorHAnsi"/>
                <w:iCs/>
                <w:sz w:val="16"/>
                <w:szCs w:val="16"/>
              </w:rPr>
            </w:pPr>
            <w:r w:rsidRPr="00A96692">
              <w:rPr>
                <w:rFonts w:eastAsia="Times New Roman"/>
                <w:iCs/>
                <w:sz w:val="16"/>
                <w:szCs w:val="16"/>
              </w:rPr>
              <w:lastRenderedPageBreak/>
              <w:t>Security environment in PNG continues to present serious concerns for staff safety.</w:t>
            </w:r>
          </w:p>
        </w:tc>
        <w:tc>
          <w:tcPr>
            <w:tcW w:w="2457" w:type="dxa"/>
          </w:tcPr>
          <w:p w:rsidR="008036DC" w:rsidRPr="00A96692" w:rsidRDefault="008036DC" w:rsidP="008036DC">
            <w:pPr>
              <w:keepLines/>
              <w:spacing w:before="80" w:after="80" w:line="200" w:lineRule="atLeast"/>
              <w:rPr>
                <w:rFonts w:asciiTheme="minorHAnsi" w:eastAsia="Times New Roman" w:hAnsiTheme="minorHAnsi"/>
                <w:iCs/>
                <w:sz w:val="16"/>
                <w:szCs w:val="16"/>
              </w:rPr>
            </w:pPr>
            <w:r w:rsidRPr="00A96692">
              <w:rPr>
                <w:rFonts w:eastAsia="Times New Roman"/>
                <w:iCs/>
                <w:sz w:val="16"/>
                <w:szCs w:val="16"/>
              </w:rPr>
              <w:t>Regular security training (such as high threat defensive training) is undertaken at post and during pre-posting.</w:t>
            </w:r>
          </w:p>
          <w:p w:rsidR="008036DC" w:rsidRPr="00A96692" w:rsidRDefault="008036DC" w:rsidP="008036DC">
            <w:pPr>
              <w:keepLines/>
              <w:spacing w:before="80" w:after="80" w:line="200" w:lineRule="atLeast"/>
              <w:rPr>
                <w:rFonts w:asciiTheme="minorHAnsi" w:eastAsia="Times New Roman" w:hAnsiTheme="minorHAnsi"/>
                <w:iCs/>
                <w:sz w:val="16"/>
                <w:szCs w:val="16"/>
              </w:rPr>
            </w:pPr>
            <w:r w:rsidRPr="00A96692">
              <w:rPr>
                <w:rFonts w:eastAsia="Times New Roman"/>
                <w:iCs/>
                <w:sz w:val="16"/>
                <w:szCs w:val="16"/>
              </w:rPr>
              <w:t>Email and SMS security alerts are provided to all staff and families alerting to new risks and advising of risk mitigation strategies.</w:t>
            </w:r>
          </w:p>
          <w:p w:rsidR="008036DC" w:rsidRPr="00A96692" w:rsidRDefault="008036DC" w:rsidP="00C27DBD">
            <w:pPr>
              <w:keepLines/>
              <w:spacing w:before="80" w:after="80" w:line="200" w:lineRule="atLeast"/>
              <w:rPr>
                <w:rFonts w:asciiTheme="minorHAnsi" w:eastAsia="Times New Roman" w:hAnsiTheme="minorHAnsi"/>
                <w:iCs/>
                <w:sz w:val="16"/>
                <w:szCs w:val="16"/>
              </w:rPr>
            </w:pPr>
            <w:r w:rsidRPr="00A96692">
              <w:rPr>
                <w:rFonts w:eastAsia="Times New Roman"/>
                <w:iCs/>
                <w:sz w:val="16"/>
                <w:szCs w:val="16"/>
              </w:rPr>
              <w:t>Security es</w:t>
            </w:r>
            <w:r w:rsidR="006D152D">
              <w:rPr>
                <w:rFonts w:eastAsia="Times New Roman"/>
                <w:iCs/>
                <w:sz w:val="16"/>
                <w:szCs w:val="16"/>
              </w:rPr>
              <w:t>corts guards are stationed at A-</w:t>
            </w:r>
            <w:r w:rsidRPr="00A96692">
              <w:rPr>
                <w:rFonts w:eastAsia="Times New Roman"/>
                <w:iCs/>
                <w:sz w:val="16"/>
                <w:szCs w:val="16"/>
              </w:rPr>
              <w:t xml:space="preserve">based residential compounds and </w:t>
            </w:r>
            <w:r w:rsidR="00C27DBD">
              <w:rPr>
                <w:rFonts w:eastAsia="Times New Roman"/>
                <w:iCs/>
                <w:sz w:val="16"/>
                <w:szCs w:val="16"/>
              </w:rPr>
              <w:t>the AHC</w:t>
            </w:r>
            <w:r w:rsidRPr="00A96692">
              <w:rPr>
                <w:rFonts w:eastAsia="Times New Roman"/>
                <w:iCs/>
                <w:sz w:val="16"/>
                <w:szCs w:val="16"/>
              </w:rPr>
              <w:t>.</w:t>
            </w:r>
          </w:p>
        </w:tc>
        <w:tc>
          <w:tcPr>
            <w:tcW w:w="2532" w:type="dxa"/>
          </w:tcPr>
          <w:p w:rsidR="008036DC" w:rsidRPr="00A96692" w:rsidRDefault="008036DC" w:rsidP="008036DC">
            <w:pPr>
              <w:keepLines/>
              <w:spacing w:before="80" w:after="80" w:line="200" w:lineRule="atLeast"/>
              <w:rPr>
                <w:rFonts w:asciiTheme="minorHAnsi" w:eastAsia="Times New Roman" w:hAnsiTheme="minorHAnsi"/>
                <w:iCs/>
                <w:sz w:val="16"/>
                <w:szCs w:val="16"/>
              </w:rPr>
            </w:pPr>
            <w:r w:rsidRPr="00A96692">
              <w:rPr>
                <w:rFonts w:eastAsia="Times New Roman"/>
                <w:iCs/>
                <w:sz w:val="16"/>
                <w:szCs w:val="16"/>
              </w:rPr>
              <w:t xml:space="preserve">Ongoing monitoring of the security risk environment to ensure the identification and implementation of appropriate risk controls. </w:t>
            </w:r>
          </w:p>
          <w:p w:rsidR="008036DC" w:rsidRPr="00A96692" w:rsidRDefault="008036DC" w:rsidP="008036DC">
            <w:pPr>
              <w:keepLines/>
              <w:spacing w:before="80" w:after="80" w:line="200" w:lineRule="atLeast"/>
              <w:rPr>
                <w:rFonts w:asciiTheme="minorHAnsi" w:eastAsia="Times New Roman" w:hAnsiTheme="minorHAnsi"/>
                <w:iCs/>
                <w:sz w:val="16"/>
                <w:szCs w:val="16"/>
              </w:rPr>
            </w:pPr>
            <w:r w:rsidRPr="00A96692">
              <w:rPr>
                <w:rFonts w:eastAsia="Times New Roman"/>
                <w:iCs/>
                <w:sz w:val="16"/>
                <w:szCs w:val="16"/>
              </w:rPr>
              <w:t>Regular communication with staff to ensure the security environment is understood and policies and procedures are adhered to.</w:t>
            </w:r>
          </w:p>
        </w:tc>
        <w:tc>
          <w:tcPr>
            <w:tcW w:w="2304" w:type="dxa"/>
          </w:tcPr>
          <w:p w:rsidR="008036DC" w:rsidRPr="00A96692" w:rsidRDefault="008036DC" w:rsidP="00FA0DC2">
            <w:pPr>
              <w:keepLines/>
              <w:spacing w:before="80" w:after="80" w:line="200" w:lineRule="atLeast"/>
              <w:rPr>
                <w:rFonts w:asciiTheme="minorHAnsi" w:eastAsia="Times New Roman" w:hAnsiTheme="minorHAnsi"/>
                <w:iCs/>
                <w:sz w:val="16"/>
                <w:szCs w:val="16"/>
              </w:rPr>
            </w:pPr>
            <w:r w:rsidRPr="00A96692">
              <w:rPr>
                <w:rFonts w:eastAsia="Times New Roman"/>
                <w:iCs/>
                <w:sz w:val="16"/>
                <w:szCs w:val="16"/>
              </w:rPr>
              <w:t>Medium</w:t>
            </w:r>
          </w:p>
        </w:tc>
      </w:tr>
      <w:tr w:rsidR="00266B4B" w:rsidRPr="00C61187" w:rsidTr="00706D4F">
        <w:tc>
          <w:tcPr>
            <w:tcW w:w="2205" w:type="dxa"/>
          </w:tcPr>
          <w:p w:rsidR="00266B4B" w:rsidRPr="00A96692" w:rsidRDefault="00266B4B" w:rsidP="00FA0DC2">
            <w:pPr>
              <w:keepLines/>
              <w:spacing w:before="80" w:after="80" w:line="200" w:lineRule="atLeast"/>
              <w:rPr>
                <w:rFonts w:eastAsia="Times New Roman"/>
                <w:iCs/>
                <w:sz w:val="16"/>
                <w:szCs w:val="16"/>
              </w:rPr>
            </w:pPr>
          </w:p>
        </w:tc>
        <w:tc>
          <w:tcPr>
            <w:tcW w:w="2457" w:type="dxa"/>
          </w:tcPr>
          <w:p w:rsidR="00266B4B" w:rsidRPr="00A96692" w:rsidRDefault="00266B4B" w:rsidP="008036DC">
            <w:pPr>
              <w:keepLines/>
              <w:spacing w:before="80" w:after="80" w:line="200" w:lineRule="atLeast"/>
              <w:rPr>
                <w:rFonts w:eastAsia="Times New Roman"/>
                <w:iCs/>
                <w:sz w:val="16"/>
                <w:szCs w:val="16"/>
              </w:rPr>
            </w:pPr>
          </w:p>
        </w:tc>
        <w:tc>
          <w:tcPr>
            <w:tcW w:w="2532" w:type="dxa"/>
          </w:tcPr>
          <w:p w:rsidR="00266B4B" w:rsidRPr="00A96692" w:rsidRDefault="00266B4B" w:rsidP="008036DC">
            <w:pPr>
              <w:keepLines/>
              <w:spacing w:before="80" w:after="80" w:line="200" w:lineRule="atLeast"/>
              <w:rPr>
                <w:rFonts w:eastAsia="Times New Roman"/>
                <w:iCs/>
                <w:sz w:val="16"/>
                <w:szCs w:val="16"/>
              </w:rPr>
            </w:pPr>
          </w:p>
        </w:tc>
        <w:tc>
          <w:tcPr>
            <w:tcW w:w="2304" w:type="dxa"/>
          </w:tcPr>
          <w:p w:rsidR="00266B4B" w:rsidRPr="00A96692" w:rsidRDefault="00266B4B" w:rsidP="00FA0DC2">
            <w:pPr>
              <w:keepLines/>
              <w:spacing w:before="80" w:after="80" w:line="200" w:lineRule="atLeast"/>
              <w:rPr>
                <w:rFonts w:eastAsia="Times New Roman"/>
                <w:iCs/>
                <w:sz w:val="16"/>
                <w:szCs w:val="16"/>
              </w:rPr>
            </w:pPr>
          </w:p>
        </w:tc>
      </w:tr>
    </w:tbl>
    <w:p w:rsidR="002A51CA" w:rsidRPr="00C61187" w:rsidRDefault="002A51CA" w:rsidP="002A51CA">
      <w:pPr>
        <w:spacing w:before="20" w:after="20" w:line="180" w:lineRule="atLeast"/>
        <w:jc w:val="both"/>
        <w:rPr>
          <w:rFonts w:ascii="Franklin Gothic Book" w:eastAsia="Times New Roman" w:hAnsi="Franklin Gothic Book"/>
          <w:b/>
          <w:sz w:val="14"/>
          <w:szCs w:val="14"/>
        </w:rPr>
      </w:pPr>
    </w:p>
    <w:p w:rsidR="002A51CA" w:rsidRPr="002A51CA" w:rsidRDefault="002A51CA" w:rsidP="002A51CA">
      <w:pPr>
        <w:pStyle w:val="Heading2"/>
      </w:pPr>
      <w:r w:rsidRPr="002A51CA">
        <w:t>Management Responses</w:t>
      </w:r>
      <w:r w:rsidRPr="002A51CA">
        <w:tab/>
      </w:r>
      <w:r w:rsidRPr="002A51CA">
        <w:tab/>
      </w:r>
    </w:p>
    <w:p w:rsidR="00D15A00" w:rsidRDefault="003D3F7C" w:rsidP="002A51CA">
      <w:r>
        <w:t xml:space="preserve">The majority of management responses identified in the 2014-15 APPR were achieved with </w:t>
      </w:r>
      <w:r w:rsidR="003E2519">
        <w:t>four</w:t>
      </w:r>
      <w:r>
        <w:t xml:space="preserve"> partly achieved</w:t>
      </w:r>
      <w:r w:rsidR="002A51CA" w:rsidRPr="00C61187">
        <w:t xml:space="preserve">. A </w:t>
      </w:r>
      <w:r w:rsidR="002A51CA">
        <w:t>summary</w:t>
      </w:r>
      <w:r w:rsidR="002A51CA" w:rsidRPr="00C61187">
        <w:t xml:space="preserve"> of </w:t>
      </w:r>
      <w:r w:rsidR="00302A14">
        <w:t xml:space="preserve">the </w:t>
      </w:r>
      <w:r w:rsidR="002A51CA" w:rsidRPr="00C61187">
        <w:t xml:space="preserve">progress on management responses </w:t>
      </w:r>
      <w:r w:rsidR="00302A14">
        <w:t>is</w:t>
      </w:r>
      <w:r w:rsidR="002A51CA" w:rsidRPr="00C61187">
        <w:t xml:space="preserve"> in </w:t>
      </w:r>
      <w:r w:rsidR="002A51CA" w:rsidRPr="00C61187">
        <w:rPr>
          <w:b/>
        </w:rPr>
        <w:t>Annex A.</w:t>
      </w:r>
      <w:r w:rsidR="00B40D0A">
        <w:t xml:space="preserve"> In 2016-17, Australia will work towards achieving the management consequences ident</w:t>
      </w:r>
      <w:r w:rsidR="00302A14">
        <w:t>ified in this report, relevant s</w:t>
      </w:r>
      <w:r w:rsidR="00B40D0A">
        <w:t xml:space="preserve">ector </w:t>
      </w:r>
      <w:r w:rsidR="00302A14">
        <w:t>performance r</w:t>
      </w:r>
      <w:r w:rsidR="00B40D0A">
        <w:t xml:space="preserve">eports and </w:t>
      </w:r>
      <w:r w:rsidR="00302A14">
        <w:t>Aid Quality Checks</w:t>
      </w:r>
      <w:r w:rsidR="00B40D0A">
        <w:t xml:space="preserve">. </w:t>
      </w:r>
      <w:r w:rsidR="00302A14">
        <w:t>M</w:t>
      </w:r>
      <w:r w:rsidR="00B40D0A">
        <w:t>a</w:t>
      </w:r>
      <w:r w:rsidR="00BF7403">
        <w:t>nagement responses for 201</w:t>
      </w:r>
      <w:r w:rsidR="00786290">
        <w:t>6</w:t>
      </w:r>
      <w:r w:rsidR="00BF7403">
        <w:t>-1</w:t>
      </w:r>
      <w:r w:rsidR="00786290">
        <w:t>7</w:t>
      </w:r>
      <w:r w:rsidR="00BF7403">
        <w:t xml:space="preserve"> </w:t>
      </w:r>
      <w:r w:rsidR="00302A14">
        <w:t>are set out below.</w:t>
      </w:r>
    </w:p>
    <w:p w:rsidR="00B40D0A" w:rsidRDefault="00302A14" w:rsidP="00B40D0A">
      <w:pPr>
        <w:pStyle w:val="ListParagraph"/>
        <w:numPr>
          <w:ilvl w:val="0"/>
          <w:numId w:val="38"/>
        </w:numPr>
      </w:pPr>
      <w:r>
        <w:t>I</w:t>
      </w:r>
      <w:r w:rsidR="00C51874">
        <w:t xml:space="preserve">mprove program cohesiveness and continue the consolidation of investments through </w:t>
      </w:r>
      <w:r w:rsidR="00A73FE4">
        <w:t>i</w:t>
      </w:r>
      <w:r w:rsidR="00B40D0A">
        <w:t>mplement</w:t>
      </w:r>
      <w:r w:rsidR="00C51874">
        <w:t>ing</w:t>
      </w:r>
      <w:r w:rsidR="00B40D0A">
        <w:t xml:space="preserve"> the PNG Governance Facility</w:t>
      </w:r>
      <w:r>
        <w:t>.</w:t>
      </w:r>
    </w:p>
    <w:p w:rsidR="00B40D0A" w:rsidRDefault="00302A14" w:rsidP="00B40D0A">
      <w:pPr>
        <w:pStyle w:val="ListParagraph"/>
        <w:numPr>
          <w:ilvl w:val="0"/>
          <w:numId w:val="38"/>
        </w:numPr>
      </w:pPr>
      <w:r>
        <w:t>P</w:t>
      </w:r>
      <w:r w:rsidR="00B40D0A">
        <w:t>rioritise support with partners for PNG’s delivery of the 2017 elections</w:t>
      </w:r>
      <w:r>
        <w:t>.</w:t>
      </w:r>
    </w:p>
    <w:p w:rsidR="006056E5" w:rsidRDefault="00302A14" w:rsidP="006056E5">
      <w:pPr>
        <w:pStyle w:val="ListParagraph"/>
        <w:numPr>
          <w:ilvl w:val="0"/>
          <w:numId w:val="38"/>
        </w:numPr>
      </w:pPr>
      <w:r>
        <w:t>F</w:t>
      </w:r>
      <w:r w:rsidR="006056E5" w:rsidRPr="006056E5">
        <w:t>inalise a design for the next phase of the</w:t>
      </w:r>
      <w:r w:rsidR="009644BC">
        <w:t xml:space="preserve"> Kokoda Initiative that will </w:t>
      </w:r>
      <w:r w:rsidR="006056E5" w:rsidRPr="006056E5">
        <w:t>better and more flexibly respond to the development priorities o</w:t>
      </w:r>
      <w:r w:rsidR="009644BC">
        <w:t>f Kokoda Track communities, protect the environment</w:t>
      </w:r>
      <w:r w:rsidR="006056E5" w:rsidRPr="006056E5">
        <w:t xml:space="preserve"> and the cultural and hi</w:t>
      </w:r>
      <w:r w:rsidR="009644BC">
        <w:t>storical heritage of the region</w:t>
      </w:r>
      <w:r w:rsidR="006056E5" w:rsidRPr="006056E5">
        <w:t xml:space="preserve"> </w:t>
      </w:r>
      <w:r w:rsidR="009644BC">
        <w:t xml:space="preserve">and </w:t>
      </w:r>
      <w:r w:rsidR="006056E5" w:rsidRPr="006056E5">
        <w:t xml:space="preserve">further strengthen the capacity of PNG’s Kokoda Track Authority </w:t>
      </w:r>
      <w:r w:rsidR="009644BC">
        <w:t>to keep the track open and safe</w:t>
      </w:r>
      <w:r>
        <w:t>.</w:t>
      </w:r>
    </w:p>
    <w:p w:rsidR="00FC2595" w:rsidRDefault="00302A14" w:rsidP="006056E5">
      <w:pPr>
        <w:pStyle w:val="ListParagraph"/>
        <w:numPr>
          <w:ilvl w:val="0"/>
          <w:numId w:val="38"/>
        </w:numPr>
      </w:pPr>
      <w:r>
        <w:t>U</w:t>
      </w:r>
      <w:r w:rsidR="00FC2595" w:rsidRPr="00FC2595">
        <w:t>pdate the PNG aid program’s four year evaluation pipeline in consultation with DFAT’s Office of Development Effectiveness to support the current PNG program management cycle</w:t>
      </w:r>
      <w:r>
        <w:t>.</w:t>
      </w:r>
    </w:p>
    <w:p w:rsidR="00B40D0A" w:rsidRDefault="00302A14" w:rsidP="00B40D0A">
      <w:pPr>
        <w:pStyle w:val="ListParagraph"/>
        <w:numPr>
          <w:ilvl w:val="0"/>
          <w:numId w:val="38"/>
        </w:numPr>
      </w:pPr>
      <w:r>
        <w:t>M</w:t>
      </w:r>
      <w:r w:rsidR="00B40D0A">
        <w:t>anage the transition to future advisory support, including donor coordination, through the</w:t>
      </w:r>
      <w:r w:rsidR="00B40D0A" w:rsidRPr="00B40D0A">
        <w:t xml:space="preserve"> Joint Working Group </w:t>
      </w:r>
      <w:r w:rsidR="00B40D0A">
        <w:t>with PNG</w:t>
      </w:r>
      <w:r>
        <w:t>.</w:t>
      </w:r>
    </w:p>
    <w:p w:rsidR="00C5368D" w:rsidRDefault="00302A14" w:rsidP="00C5368D">
      <w:pPr>
        <w:pStyle w:val="ListParagraph"/>
        <w:numPr>
          <w:ilvl w:val="0"/>
          <w:numId w:val="38"/>
        </w:numPr>
      </w:pPr>
      <w:r>
        <w:t>A</w:t>
      </w:r>
      <w:r w:rsidR="00C5368D" w:rsidRPr="00C5368D">
        <w:t>gree and commence implementation of new activities to support the law and justice sector</w:t>
      </w:r>
      <w:r>
        <w:t>.</w:t>
      </w:r>
    </w:p>
    <w:p w:rsidR="002F072E" w:rsidRDefault="00302A14" w:rsidP="00B40D0A">
      <w:pPr>
        <w:pStyle w:val="ListParagraph"/>
        <w:numPr>
          <w:ilvl w:val="0"/>
          <w:numId w:val="38"/>
        </w:numPr>
      </w:pPr>
      <w:r>
        <w:t>U</w:t>
      </w:r>
      <w:r w:rsidR="002F072E">
        <w:t>pdate the design of the Pacific Leadership and Governance Precinct ensuring it has a clear theory of change, simplified monitoring and evaluation structure and sustainability plan</w:t>
      </w:r>
      <w:r>
        <w:t>.</w:t>
      </w:r>
    </w:p>
    <w:p w:rsidR="002F072E" w:rsidRDefault="00302A14" w:rsidP="004B2B1E">
      <w:pPr>
        <w:pStyle w:val="ListParagraph"/>
        <w:numPr>
          <w:ilvl w:val="0"/>
          <w:numId w:val="38"/>
        </w:numPr>
      </w:pPr>
      <w:r>
        <w:t>P</w:t>
      </w:r>
      <w:r w:rsidR="003F40D8">
        <w:t xml:space="preserve">repare and implement </w:t>
      </w:r>
      <w:r w:rsidR="00FC2595">
        <w:t>s</w:t>
      </w:r>
      <w:r w:rsidR="002F072E">
        <w:t xml:space="preserve">ector </w:t>
      </w:r>
      <w:r w:rsidR="00FC2595">
        <w:t>i</w:t>
      </w:r>
      <w:r w:rsidR="002F072E">
        <w:t xml:space="preserve">nvestment </w:t>
      </w:r>
      <w:r w:rsidR="00FC2595">
        <w:t>p</w:t>
      </w:r>
      <w:r w:rsidR="002F072E">
        <w:t>lan</w:t>
      </w:r>
      <w:r w:rsidR="00FC2595">
        <w:t>s</w:t>
      </w:r>
      <w:r w:rsidR="002F072E">
        <w:t xml:space="preserve"> for the education </w:t>
      </w:r>
      <w:r w:rsidR="00FC2595">
        <w:t xml:space="preserve">and health </w:t>
      </w:r>
      <w:r w:rsidR="002F072E">
        <w:t>program</w:t>
      </w:r>
      <w:r w:rsidR="00FC2595">
        <w:t>s</w:t>
      </w:r>
      <w:r w:rsidR="004B2B1E">
        <w:t xml:space="preserve">. The </w:t>
      </w:r>
      <w:r w:rsidR="004B2B1E" w:rsidRPr="004B2B1E">
        <w:t xml:space="preserve">five year </w:t>
      </w:r>
      <w:r w:rsidR="004B2B1E">
        <w:t xml:space="preserve">education </w:t>
      </w:r>
      <w:r w:rsidR="004B2B1E" w:rsidRPr="004B2B1E">
        <w:t>sector investment plan will guide our support to PNG to implement reforms in the education sector</w:t>
      </w:r>
      <w:r w:rsidR="004B2B1E">
        <w:t xml:space="preserve">. The health </w:t>
      </w:r>
      <w:r w:rsidR="004B2B1E" w:rsidRPr="004B2B1E">
        <w:t>sector investment plan will inform future investment in areas including health financing and public financial management</w:t>
      </w:r>
      <w:r w:rsidR="004B2B1E">
        <w:t>.</w:t>
      </w:r>
    </w:p>
    <w:p w:rsidR="003F40D8" w:rsidRDefault="00302A14" w:rsidP="0065227A">
      <w:pPr>
        <w:pStyle w:val="ListParagraph"/>
        <w:numPr>
          <w:ilvl w:val="0"/>
          <w:numId w:val="38"/>
        </w:numPr>
      </w:pPr>
      <w:r>
        <w:t>P</w:t>
      </w:r>
      <w:r w:rsidR="003F40D8">
        <w:t>repare a Performance Assessment Framework fo</w:t>
      </w:r>
      <w:r w:rsidR="00C51874">
        <w:t>r the PNG aid program</w:t>
      </w:r>
      <w:r w:rsidR="0065227A">
        <w:t xml:space="preserve"> that </w:t>
      </w:r>
      <w:r w:rsidR="0065227A" w:rsidRPr="0065227A">
        <w:t>outline</w:t>
      </w:r>
      <w:r w:rsidR="0065227A">
        <w:t>s</w:t>
      </w:r>
      <w:r w:rsidR="0065227A" w:rsidRPr="0065227A">
        <w:t xml:space="preserve"> the expected results to be achieved by Australian aid investments</w:t>
      </w:r>
      <w:r w:rsidR="0087069D">
        <w:t xml:space="preserve"> and how these will be measured</w:t>
      </w:r>
      <w:r>
        <w:t>.</w:t>
      </w:r>
    </w:p>
    <w:p w:rsidR="00C51874" w:rsidRDefault="00302A14" w:rsidP="00C51874">
      <w:pPr>
        <w:pStyle w:val="ListParagraph"/>
        <w:numPr>
          <w:ilvl w:val="0"/>
          <w:numId w:val="38"/>
        </w:numPr>
      </w:pPr>
      <w:r>
        <w:t>I</w:t>
      </w:r>
      <w:r w:rsidR="00C51874">
        <w:t xml:space="preserve">mprove </w:t>
      </w:r>
      <w:r w:rsidR="00C51874" w:rsidRPr="00C51874">
        <w:t xml:space="preserve">monitoring and evaluation and other program management through the </w:t>
      </w:r>
      <w:r>
        <w:t>Program Effectiveness team at p</w:t>
      </w:r>
      <w:r w:rsidR="00C51874" w:rsidRPr="00C51874">
        <w:t>ost managing aid training for the PNG program</w:t>
      </w:r>
      <w:r>
        <w:t>.</w:t>
      </w:r>
    </w:p>
    <w:p w:rsidR="003E11D5" w:rsidRDefault="00302A14" w:rsidP="003E11D5">
      <w:pPr>
        <w:pStyle w:val="ListParagraph"/>
        <w:numPr>
          <w:ilvl w:val="0"/>
          <w:numId w:val="38"/>
        </w:numPr>
      </w:pPr>
      <w:r>
        <w:t>C</w:t>
      </w:r>
      <w:r w:rsidR="003E11D5">
        <w:t>ontinue to i</w:t>
      </w:r>
      <w:r w:rsidR="003E11D5" w:rsidRPr="003E11D5">
        <w:t>mplement the Gender P</w:t>
      </w:r>
      <w:r>
        <w:t>lan of Action for Port Moresby p</w:t>
      </w:r>
      <w:r w:rsidR="003E11D5" w:rsidRPr="003E11D5">
        <w:t>ost</w:t>
      </w:r>
      <w:r w:rsidR="009644BC">
        <w:t xml:space="preserve"> to strengthen outcomes for women and girls through Australian engagement and investment in PNG</w:t>
      </w:r>
      <w:r>
        <w:t>.</w:t>
      </w:r>
    </w:p>
    <w:p w:rsidR="00B70C86" w:rsidRDefault="00302A14" w:rsidP="006056E5">
      <w:pPr>
        <w:pStyle w:val="ListParagraph"/>
        <w:numPr>
          <w:ilvl w:val="0"/>
          <w:numId w:val="38"/>
        </w:numPr>
      </w:pPr>
      <w:r>
        <w:t>C</w:t>
      </w:r>
      <w:r w:rsidR="00B70C86">
        <w:t>ontinue to support the implementation of the Daru Accelerated Response for Tuberculosis</w:t>
      </w:r>
      <w:r w:rsidR="006056E5">
        <w:t xml:space="preserve"> and </w:t>
      </w:r>
      <w:r w:rsidR="006056E5" w:rsidRPr="006056E5">
        <w:t>encourage PNG to provide sustainable adequate funding for the response and to seek new sources of external funding</w:t>
      </w:r>
      <w:r>
        <w:t>.</w:t>
      </w:r>
    </w:p>
    <w:p w:rsidR="00B40D0A" w:rsidRDefault="00302A14" w:rsidP="00525E59">
      <w:pPr>
        <w:pStyle w:val="ListParagraph"/>
        <w:numPr>
          <w:ilvl w:val="0"/>
          <w:numId w:val="38"/>
        </w:numPr>
      </w:pPr>
      <w:r>
        <w:t>R</w:t>
      </w:r>
      <w:r w:rsidR="003B2AE9" w:rsidRPr="003B2AE9">
        <w:t xml:space="preserve">oll out significant industry assistance </w:t>
      </w:r>
      <w:r w:rsidR="003B2AE9">
        <w:t xml:space="preserve">in Bougainville </w:t>
      </w:r>
      <w:r w:rsidR="003B2AE9" w:rsidRPr="003B2AE9">
        <w:t xml:space="preserve">aimed at boosting sustainable cocoa production and other primary industries prioritised by the </w:t>
      </w:r>
      <w:r w:rsidR="003B2AE9">
        <w:t>Autonomous Bougainville Government.</w:t>
      </w:r>
    </w:p>
    <w:p w:rsidR="00D15A00" w:rsidRDefault="00D15A00" w:rsidP="002A51CA"/>
    <w:p w:rsidR="00D15A00" w:rsidRDefault="00D15A00" w:rsidP="002A51CA">
      <w:pPr>
        <w:sectPr w:rsidR="00D15A00" w:rsidSect="00C6626C">
          <w:pgSz w:w="11906" w:h="16838" w:code="9"/>
          <w:pgMar w:top="1527" w:right="1134" w:bottom="851" w:left="1134" w:header="1418" w:footer="567" w:gutter="0"/>
          <w:cols w:space="397"/>
          <w:docGrid w:linePitch="360"/>
        </w:sectPr>
      </w:pPr>
    </w:p>
    <w:p w:rsidR="00400B0F" w:rsidRPr="00400B0F" w:rsidRDefault="00400B0F" w:rsidP="00400B0F">
      <w:pPr>
        <w:pStyle w:val="Subtitle"/>
        <w:numPr>
          <w:ilvl w:val="0"/>
          <w:numId w:val="0"/>
        </w:numPr>
      </w:pPr>
      <w:r w:rsidRPr="00400B0F">
        <w:lastRenderedPageBreak/>
        <w:t>Annex A - Progress in Addressing Management Responses</w:t>
      </w:r>
    </w:p>
    <w:p w:rsidR="00400B0F" w:rsidRPr="00C61187" w:rsidRDefault="00735E75" w:rsidP="008C2F58">
      <w:r>
        <w:t>P</w:t>
      </w:r>
      <w:r w:rsidR="00400B0F" w:rsidRPr="00C61187">
        <w:t xml:space="preserve">rogress made against management responses </w:t>
      </w:r>
      <w:r w:rsidR="00322799">
        <w:t xml:space="preserve">identified </w:t>
      </w:r>
      <w:r w:rsidR="00400B0F" w:rsidRPr="00C61187">
        <w:t xml:space="preserve">in </w:t>
      </w:r>
      <w:r w:rsidR="00322799">
        <w:t xml:space="preserve">the </w:t>
      </w:r>
      <w:r w:rsidR="00322799" w:rsidRPr="00322799">
        <w:rPr>
          <w:i/>
        </w:rPr>
        <w:t>PNG Aid Program Performance Report 2014-15</w:t>
      </w:r>
    </w:p>
    <w:tbl>
      <w:tblPr>
        <w:tblStyle w:val="APPR"/>
        <w:tblpPr w:leftFromText="180" w:rightFromText="180" w:vertAnchor="text" w:tblpY="1"/>
        <w:tblW w:w="5000" w:type="pct"/>
        <w:tblLayout w:type="fixed"/>
        <w:tblLook w:val="0000" w:firstRow="0" w:lastRow="0" w:firstColumn="0" w:lastColumn="0" w:noHBand="0" w:noVBand="0"/>
        <w:tblCaption w:val="Progress in addressing management responses "/>
        <w:tblDescription w:val="A list of management responses identified in 2014-15 APPR and progress made in 2015-16."/>
      </w:tblPr>
      <w:tblGrid>
        <w:gridCol w:w="6522"/>
        <w:gridCol w:w="1277"/>
        <w:gridCol w:w="6661"/>
      </w:tblGrid>
      <w:tr w:rsidR="00400B0F" w:rsidRPr="00A427C6" w:rsidTr="00A427C6">
        <w:trPr>
          <w:cnfStyle w:val="000000010000" w:firstRow="0" w:lastRow="0" w:firstColumn="0" w:lastColumn="0" w:oddVBand="0" w:evenVBand="0" w:oddHBand="0" w:evenHBand="1" w:firstRowFirstColumn="0" w:firstRowLastColumn="0" w:lastRowFirstColumn="0" w:lastRowLastColumn="0"/>
        </w:trPr>
        <w:tc>
          <w:tcPr>
            <w:tcW w:w="6473" w:type="dxa"/>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Management responses identified in 2014-15 APPR</w:t>
            </w:r>
            <w:r w:rsidRPr="00A427C6">
              <w:rPr>
                <w:rFonts w:asciiTheme="minorHAnsi" w:eastAsia="Times New Roman" w:hAnsiTheme="minorHAnsi"/>
                <w:b/>
                <w:iCs/>
                <w:szCs w:val="17"/>
                <w:lang w:eastAsia="en-US"/>
              </w:rPr>
              <w:tab/>
            </w:r>
          </w:p>
        </w:tc>
        <w:tc>
          <w:tcPr>
            <w:tcW w:w="1248" w:type="dxa"/>
          </w:tcPr>
          <w:p w:rsidR="00400B0F" w:rsidRPr="00A427C6" w:rsidRDefault="00400B0F" w:rsidP="00A427C6">
            <w:pPr>
              <w:keepLines/>
              <w:spacing w:before="80" w:after="80" w:line="200" w:lineRule="atLeast"/>
              <w:jc w:val="center"/>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Rating</w:t>
            </w:r>
            <w:r w:rsidR="00833E98">
              <w:rPr>
                <w:rFonts w:asciiTheme="minorHAnsi" w:eastAsia="Times New Roman" w:hAnsiTheme="minorHAnsi"/>
                <w:b/>
                <w:iCs/>
                <w:szCs w:val="17"/>
                <w:lang w:eastAsia="en-US"/>
              </w:rPr>
              <w:t>*</w:t>
            </w:r>
          </w:p>
        </w:tc>
        <w:tc>
          <w:tcPr>
            <w:tcW w:w="6612" w:type="dxa"/>
          </w:tcPr>
          <w:p w:rsidR="00400B0F" w:rsidRPr="00A427C6" w:rsidRDefault="00400B0F" w:rsidP="00A427C6">
            <w:pPr>
              <w:keepLines/>
              <w:spacing w:before="80" w:after="80" w:line="200" w:lineRule="atLeast"/>
              <w:jc w:val="center"/>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Progress made  in 2015-16</w:t>
            </w:r>
          </w:p>
        </w:tc>
      </w:tr>
      <w:tr w:rsidR="00735E75" w:rsidRPr="00A427C6" w:rsidTr="00A427C6">
        <w:trPr>
          <w:cnfStyle w:val="000000010000" w:firstRow="0" w:lastRow="0" w:firstColumn="0" w:lastColumn="0" w:oddVBand="0" w:evenVBand="0" w:oddHBand="0" w:evenHBand="1" w:firstRowFirstColumn="0" w:firstRowLastColumn="0" w:lastRowFirstColumn="0" w:lastRowLastColumn="0"/>
        </w:trPr>
        <w:tc>
          <w:tcPr>
            <w:tcW w:w="6473" w:type="dxa"/>
          </w:tcPr>
          <w:p w:rsidR="00735E75" w:rsidRPr="00643430" w:rsidRDefault="00735E75" w:rsidP="00A63C49">
            <w:pPr>
              <w:rPr>
                <w:rFonts w:asciiTheme="minorHAnsi" w:hAnsiTheme="minorHAnsi"/>
              </w:rPr>
            </w:pPr>
            <w:r w:rsidRPr="00643430">
              <w:rPr>
                <w:rFonts w:asciiTheme="minorHAnsi" w:hAnsiTheme="minorHAnsi"/>
              </w:rPr>
              <w:t>Agree on a n</w:t>
            </w:r>
            <w:r w:rsidR="00322799">
              <w:rPr>
                <w:rFonts w:asciiTheme="minorHAnsi" w:hAnsiTheme="minorHAnsi"/>
              </w:rPr>
              <w:t>ew Aid Partnership between the g</w:t>
            </w:r>
            <w:r w:rsidRPr="00643430">
              <w:rPr>
                <w:rFonts w:asciiTheme="minorHAnsi" w:hAnsiTheme="minorHAnsi"/>
              </w:rPr>
              <w:t>overnments of Australia and PNG, including specific schedules on health, education, law and justice, infrastructure and governanc</w:t>
            </w:r>
            <w:r w:rsidR="00322799">
              <w:rPr>
                <w:rFonts w:asciiTheme="minorHAnsi" w:hAnsiTheme="minorHAnsi"/>
              </w:rPr>
              <w:t>e and</w:t>
            </w:r>
            <w:r w:rsidRPr="00643430">
              <w:rPr>
                <w:rFonts w:asciiTheme="minorHAnsi" w:hAnsiTheme="minorHAnsi"/>
              </w:rPr>
              <w:t xml:space="preserve"> with clearly defined benchmarks and mutual obligations, in 2015-16.</w:t>
            </w:r>
          </w:p>
        </w:tc>
        <w:tc>
          <w:tcPr>
            <w:tcW w:w="1248" w:type="dxa"/>
            <w:shd w:val="clear" w:color="auto" w:fill="72AF2F"/>
          </w:tcPr>
          <w:p w:rsidR="00735E75" w:rsidRPr="00322799" w:rsidRDefault="00735E75" w:rsidP="006F27B1">
            <w:pPr>
              <w:keepLines/>
              <w:spacing w:before="40" w:after="40" w:line="200" w:lineRule="atLeast"/>
              <w:jc w:val="center"/>
              <w:rPr>
                <w:rFonts w:asciiTheme="minorHAnsi" w:eastAsia="Times New Roman" w:hAnsiTheme="minorHAnsi"/>
                <w:b/>
                <w:iCs/>
                <w:color w:val="FFFFFF" w:themeColor="background1"/>
                <w:szCs w:val="17"/>
                <w:lang w:eastAsia="en-US"/>
              </w:rPr>
            </w:pPr>
            <w:r w:rsidRPr="00322799">
              <w:rPr>
                <w:rFonts w:asciiTheme="minorHAnsi" w:eastAsia="Times New Roman" w:hAnsiTheme="minorHAnsi"/>
                <w:b/>
                <w:iCs/>
                <w:color w:val="FFFFFF" w:themeColor="background1"/>
                <w:szCs w:val="17"/>
                <w:lang w:eastAsia="en-US"/>
              </w:rPr>
              <w:t>Achieved</w:t>
            </w:r>
          </w:p>
        </w:tc>
        <w:tc>
          <w:tcPr>
            <w:tcW w:w="6612" w:type="dxa"/>
          </w:tcPr>
          <w:p w:rsidR="00735E75" w:rsidRPr="00A427C6" w:rsidRDefault="00825A0B" w:rsidP="00322799">
            <w:pPr>
              <w:keepLines/>
              <w:spacing w:before="40" w:after="40" w:line="200" w:lineRule="atLeast"/>
              <w:rPr>
                <w:rFonts w:asciiTheme="minorHAnsi" w:eastAsia="Times New Roman" w:hAnsiTheme="minorHAnsi"/>
                <w:iCs/>
                <w:color w:val="92D050"/>
                <w:szCs w:val="17"/>
                <w:lang w:eastAsia="en-US"/>
              </w:rPr>
            </w:pPr>
            <w:r w:rsidRPr="00825A0B">
              <w:rPr>
                <w:rFonts w:asciiTheme="minorHAnsi" w:eastAsia="Times New Roman" w:hAnsiTheme="minorHAnsi"/>
                <w:iCs/>
                <w:szCs w:val="17"/>
                <w:lang w:eastAsia="en-US"/>
              </w:rPr>
              <w:t>The Aid Pa</w:t>
            </w:r>
            <w:r w:rsidR="00643430">
              <w:rPr>
                <w:rFonts w:asciiTheme="minorHAnsi" w:eastAsia="Times New Roman" w:hAnsiTheme="minorHAnsi"/>
                <w:iCs/>
                <w:szCs w:val="17"/>
                <w:lang w:eastAsia="en-US"/>
              </w:rPr>
              <w:t xml:space="preserve">rtnership, signed on 3 March 2016, </w:t>
            </w:r>
            <w:r w:rsidRPr="00825A0B">
              <w:rPr>
                <w:rFonts w:asciiTheme="minorHAnsi" w:eastAsia="Times New Roman" w:hAnsiTheme="minorHAnsi"/>
                <w:iCs/>
                <w:szCs w:val="17"/>
                <w:lang w:eastAsia="en-US"/>
              </w:rPr>
              <w:t>includes schedules for health, education, law and ju</w:t>
            </w:r>
            <w:r w:rsidR="00643430">
              <w:rPr>
                <w:rFonts w:asciiTheme="minorHAnsi" w:eastAsia="Times New Roman" w:hAnsiTheme="minorHAnsi"/>
                <w:iCs/>
                <w:szCs w:val="17"/>
                <w:lang w:eastAsia="en-US"/>
              </w:rPr>
              <w:t xml:space="preserve">stice, transport and governance, and </w:t>
            </w:r>
            <w:r w:rsidRPr="00825A0B">
              <w:rPr>
                <w:rFonts w:asciiTheme="minorHAnsi" w:eastAsia="Times New Roman" w:hAnsiTheme="minorHAnsi"/>
                <w:iCs/>
                <w:szCs w:val="17"/>
                <w:lang w:eastAsia="en-US"/>
              </w:rPr>
              <w:t>benchmarks and mutual obligations.</w:t>
            </w:r>
          </w:p>
        </w:tc>
      </w:tr>
      <w:tr w:rsidR="00735E75" w:rsidRPr="00A427C6" w:rsidTr="00A427C6">
        <w:trPr>
          <w:cnfStyle w:val="000000010000" w:firstRow="0" w:lastRow="0" w:firstColumn="0" w:lastColumn="0" w:oddVBand="0" w:evenVBand="0" w:oddHBand="0" w:evenHBand="1" w:firstRowFirstColumn="0" w:firstRowLastColumn="0" w:lastRowFirstColumn="0" w:lastRowLastColumn="0"/>
        </w:trPr>
        <w:tc>
          <w:tcPr>
            <w:tcW w:w="6473" w:type="dxa"/>
          </w:tcPr>
          <w:p w:rsidR="00735E75" w:rsidRPr="00643430" w:rsidRDefault="00735E75" w:rsidP="00A63C49">
            <w:pPr>
              <w:rPr>
                <w:rFonts w:asciiTheme="minorHAnsi" w:hAnsiTheme="minorHAnsi"/>
              </w:rPr>
            </w:pPr>
            <w:r w:rsidRPr="00643430">
              <w:rPr>
                <w:rFonts w:asciiTheme="minorHAnsi" w:hAnsiTheme="minorHAnsi"/>
              </w:rPr>
              <w:t>Implement the PNG Private Sector Development Framework</w:t>
            </w:r>
            <w:r w:rsidR="00322799">
              <w:rPr>
                <w:rFonts w:asciiTheme="minorHAnsi" w:hAnsiTheme="minorHAnsi"/>
              </w:rPr>
              <w:t>,</w:t>
            </w:r>
            <w:r w:rsidRPr="00643430">
              <w:rPr>
                <w:rFonts w:asciiTheme="minorHAnsi" w:hAnsiTheme="minorHAnsi"/>
              </w:rPr>
              <w:t xml:space="preserve"> which has been agreed between governments.</w:t>
            </w:r>
          </w:p>
        </w:tc>
        <w:tc>
          <w:tcPr>
            <w:tcW w:w="1248" w:type="dxa"/>
            <w:shd w:val="clear" w:color="auto" w:fill="72AF2F"/>
          </w:tcPr>
          <w:p w:rsidR="00735E75" w:rsidRPr="00322799" w:rsidRDefault="00735E75" w:rsidP="006F27B1">
            <w:pPr>
              <w:keepLines/>
              <w:spacing w:before="40" w:after="40" w:line="200" w:lineRule="atLeast"/>
              <w:jc w:val="center"/>
              <w:rPr>
                <w:rFonts w:asciiTheme="minorHAnsi" w:eastAsia="Times New Roman" w:hAnsiTheme="minorHAnsi"/>
                <w:b/>
                <w:iCs/>
                <w:color w:val="FFFFFF" w:themeColor="background1"/>
                <w:szCs w:val="17"/>
                <w:lang w:eastAsia="en-US"/>
              </w:rPr>
            </w:pPr>
            <w:r w:rsidRPr="00322799">
              <w:rPr>
                <w:rFonts w:asciiTheme="minorHAnsi" w:eastAsia="Times New Roman" w:hAnsiTheme="minorHAnsi"/>
                <w:b/>
                <w:iCs/>
                <w:color w:val="FFFFFF" w:themeColor="background1"/>
                <w:szCs w:val="17"/>
                <w:lang w:eastAsia="en-US"/>
              </w:rPr>
              <w:t>Achieved</w:t>
            </w:r>
          </w:p>
        </w:tc>
        <w:tc>
          <w:tcPr>
            <w:tcW w:w="6612" w:type="dxa"/>
          </w:tcPr>
          <w:p w:rsidR="00735E75" w:rsidRPr="00A427C6" w:rsidRDefault="00B77BF2" w:rsidP="006F27B1">
            <w:pPr>
              <w:keepLines/>
              <w:spacing w:before="40" w:after="40" w:line="200" w:lineRule="atLeast"/>
              <w:rPr>
                <w:rFonts w:asciiTheme="minorHAnsi" w:eastAsia="Times New Roman" w:hAnsiTheme="minorHAnsi"/>
                <w:iCs/>
                <w:color w:val="92D050"/>
                <w:szCs w:val="17"/>
                <w:lang w:eastAsia="en-US"/>
              </w:rPr>
            </w:pPr>
            <w:r w:rsidRPr="00B77BF2">
              <w:rPr>
                <w:rFonts w:asciiTheme="minorHAnsi" w:eastAsia="Times New Roman" w:hAnsiTheme="minorHAnsi"/>
                <w:iCs/>
                <w:szCs w:val="17"/>
                <w:lang w:eastAsia="en-US"/>
              </w:rPr>
              <w:t>The Private Sector Development Framework has been progressively implemented, with contracts signed with implementing partners and program activities underway.</w:t>
            </w:r>
          </w:p>
        </w:tc>
      </w:tr>
      <w:tr w:rsidR="00735E75" w:rsidRPr="00A427C6" w:rsidTr="003F59F6">
        <w:trPr>
          <w:cnfStyle w:val="000000010000" w:firstRow="0" w:lastRow="0" w:firstColumn="0" w:lastColumn="0" w:oddVBand="0" w:evenVBand="0" w:oddHBand="0" w:evenHBand="1" w:firstRowFirstColumn="0" w:firstRowLastColumn="0" w:lastRowFirstColumn="0" w:lastRowLastColumn="0"/>
        </w:trPr>
        <w:tc>
          <w:tcPr>
            <w:tcW w:w="6473" w:type="dxa"/>
          </w:tcPr>
          <w:p w:rsidR="00735E75" w:rsidRPr="00643430" w:rsidRDefault="00735E75" w:rsidP="00A63C49">
            <w:pPr>
              <w:rPr>
                <w:rFonts w:asciiTheme="minorHAnsi" w:hAnsiTheme="minorHAnsi"/>
              </w:rPr>
            </w:pPr>
            <w:r w:rsidRPr="00643430">
              <w:rPr>
                <w:rFonts w:asciiTheme="minorHAnsi" w:hAnsiTheme="minorHAnsi"/>
              </w:rPr>
              <w:t>Prioritise the design, tender, and implementation of the new governance program, based on an agreed multi-year governance strategy.</w:t>
            </w:r>
          </w:p>
        </w:tc>
        <w:tc>
          <w:tcPr>
            <w:tcW w:w="1248" w:type="dxa"/>
            <w:shd w:val="clear" w:color="auto" w:fill="72AF2F"/>
          </w:tcPr>
          <w:p w:rsidR="00735E75" w:rsidRPr="00322799" w:rsidRDefault="003F59F6" w:rsidP="006F27B1">
            <w:pPr>
              <w:keepLines/>
              <w:spacing w:before="40" w:after="40" w:line="200" w:lineRule="atLeast"/>
              <w:jc w:val="center"/>
              <w:rPr>
                <w:rFonts w:asciiTheme="minorHAnsi" w:eastAsia="Times New Roman" w:hAnsiTheme="minorHAnsi"/>
                <w:b/>
                <w:iCs/>
                <w:color w:val="FFFFFF" w:themeColor="background1"/>
                <w:szCs w:val="17"/>
                <w:lang w:eastAsia="en-US"/>
              </w:rPr>
            </w:pPr>
            <w:r w:rsidRPr="00322799">
              <w:rPr>
                <w:rFonts w:asciiTheme="minorHAnsi" w:eastAsia="Times New Roman" w:hAnsiTheme="minorHAnsi"/>
                <w:b/>
                <w:iCs/>
                <w:color w:val="FFFFFF" w:themeColor="background1"/>
                <w:szCs w:val="17"/>
                <w:lang w:eastAsia="en-US"/>
              </w:rPr>
              <w:t>A</w:t>
            </w:r>
            <w:r w:rsidR="00735E75" w:rsidRPr="00322799">
              <w:rPr>
                <w:rFonts w:asciiTheme="minorHAnsi" w:eastAsia="Times New Roman" w:hAnsiTheme="minorHAnsi"/>
                <w:b/>
                <w:iCs/>
                <w:color w:val="FFFFFF" w:themeColor="background1"/>
                <w:szCs w:val="17"/>
                <w:lang w:eastAsia="en-US"/>
              </w:rPr>
              <w:t>chieved</w:t>
            </w:r>
          </w:p>
        </w:tc>
        <w:tc>
          <w:tcPr>
            <w:tcW w:w="6612" w:type="dxa"/>
          </w:tcPr>
          <w:p w:rsidR="00735E75" w:rsidRPr="002D7C0A" w:rsidRDefault="00825A0B" w:rsidP="004F2F3A">
            <w:pPr>
              <w:keepLines/>
              <w:spacing w:before="40" w:after="40" w:line="200" w:lineRule="atLeast"/>
              <w:rPr>
                <w:rFonts w:asciiTheme="minorHAnsi" w:eastAsia="Times New Roman" w:hAnsiTheme="minorHAnsi"/>
                <w:iCs/>
                <w:szCs w:val="17"/>
                <w:lang w:eastAsia="en-US"/>
              </w:rPr>
            </w:pPr>
            <w:r w:rsidRPr="002D7C0A">
              <w:rPr>
                <w:rFonts w:asciiTheme="minorHAnsi" w:hAnsiTheme="minorHAnsi"/>
              </w:rPr>
              <w:t xml:space="preserve">Contracts between DFAT and the preferred tenderer for the PNG Governance Facility, </w:t>
            </w:r>
            <w:proofErr w:type="spellStart"/>
            <w:r w:rsidRPr="002D7C0A">
              <w:rPr>
                <w:rFonts w:asciiTheme="minorHAnsi" w:hAnsiTheme="minorHAnsi"/>
              </w:rPr>
              <w:t>Abt</w:t>
            </w:r>
            <w:proofErr w:type="spellEnd"/>
            <w:r w:rsidRPr="002D7C0A">
              <w:rPr>
                <w:rFonts w:asciiTheme="minorHAnsi" w:hAnsiTheme="minorHAnsi"/>
              </w:rPr>
              <w:t xml:space="preserve"> JTA, came into effect on 5 April 2016. The Facility </w:t>
            </w:r>
            <w:r w:rsidR="004F2F3A">
              <w:rPr>
                <w:rFonts w:asciiTheme="minorHAnsi" w:hAnsiTheme="minorHAnsi"/>
              </w:rPr>
              <w:t>began</w:t>
            </w:r>
            <w:r w:rsidRPr="002D7C0A">
              <w:rPr>
                <w:rFonts w:asciiTheme="minorHAnsi" w:hAnsiTheme="minorHAnsi"/>
              </w:rPr>
              <w:t xml:space="preserve"> operating on 1 July 2016.</w:t>
            </w:r>
          </w:p>
        </w:tc>
      </w:tr>
      <w:tr w:rsidR="00735E75" w:rsidRPr="00A427C6" w:rsidTr="003F59F6">
        <w:trPr>
          <w:cnfStyle w:val="000000010000" w:firstRow="0" w:lastRow="0" w:firstColumn="0" w:lastColumn="0" w:oddVBand="0" w:evenVBand="0" w:oddHBand="0" w:evenHBand="1" w:firstRowFirstColumn="0" w:firstRowLastColumn="0" w:lastRowFirstColumn="0" w:lastRowLastColumn="0"/>
        </w:trPr>
        <w:tc>
          <w:tcPr>
            <w:tcW w:w="6473" w:type="dxa"/>
          </w:tcPr>
          <w:p w:rsidR="00735E75" w:rsidRPr="00643430" w:rsidRDefault="00735E75" w:rsidP="00A63C49">
            <w:pPr>
              <w:rPr>
                <w:rFonts w:asciiTheme="minorHAnsi" w:hAnsiTheme="minorHAnsi"/>
              </w:rPr>
            </w:pPr>
            <w:r w:rsidRPr="00643430">
              <w:rPr>
                <w:rFonts w:asciiTheme="minorHAnsi" w:hAnsiTheme="minorHAnsi"/>
              </w:rPr>
              <w:t>Manage the transition to the new law and justice sector program, the Justice Services and Stability for Development Program</w:t>
            </w:r>
            <w:r w:rsidR="004F2F3A" w:rsidRPr="00643430">
              <w:rPr>
                <w:rFonts w:asciiTheme="minorHAnsi" w:hAnsiTheme="minorHAnsi"/>
              </w:rPr>
              <w:t xml:space="preserve"> (JSS4D)</w:t>
            </w:r>
            <w:r w:rsidRPr="00643430">
              <w:rPr>
                <w:rFonts w:asciiTheme="minorHAnsi" w:hAnsiTheme="minorHAnsi"/>
              </w:rPr>
              <w:t>, from late 2015.</w:t>
            </w:r>
          </w:p>
        </w:tc>
        <w:tc>
          <w:tcPr>
            <w:tcW w:w="1248" w:type="dxa"/>
            <w:shd w:val="clear" w:color="auto" w:fill="72AF2F"/>
          </w:tcPr>
          <w:p w:rsidR="00735E75" w:rsidRPr="00322799" w:rsidRDefault="003F59F6" w:rsidP="006F27B1">
            <w:pPr>
              <w:keepLines/>
              <w:spacing w:before="40" w:after="40" w:line="200" w:lineRule="atLeast"/>
              <w:jc w:val="center"/>
              <w:rPr>
                <w:rFonts w:eastAsia="Times New Roman"/>
                <w:b/>
                <w:iCs/>
                <w:color w:val="FFFFFF" w:themeColor="background1"/>
                <w:szCs w:val="17"/>
              </w:rPr>
            </w:pPr>
            <w:r w:rsidRPr="00322799">
              <w:rPr>
                <w:rFonts w:eastAsia="Times New Roman"/>
                <w:b/>
                <w:iCs/>
                <w:color w:val="FFFFFF" w:themeColor="background1"/>
                <w:szCs w:val="17"/>
              </w:rPr>
              <w:t>Achieved</w:t>
            </w:r>
          </w:p>
        </w:tc>
        <w:tc>
          <w:tcPr>
            <w:tcW w:w="6612" w:type="dxa"/>
          </w:tcPr>
          <w:p w:rsidR="00735E75" w:rsidRPr="002D7C0A" w:rsidRDefault="00666781" w:rsidP="00173F3A">
            <w:pPr>
              <w:keepLines/>
              <w:spacing w:before="40" w:after="40" w:line="200" w:lineRule="atLeast"/>
              <w:rPr>
                <w:rFonts w:asciiTheme="minorHAnsi" w:eastAsia="Times New Roman" w:hAnsiTheme="minorHAnsi"/>
                <w:iCs/>
                <w:szCs w:val="17"/>
              </w:rPr>
            </w:pPr>
            <w:r w:rsidRPr="002D7C0A">
              <w:rPr>
                <w:rFonts w:asciiTheme="minorHAnsi" w:eastAsia="Times New Roman" w:hAnsiTheme="minorHAnsi"/>
                <w:iCs/>
                <w:szCs w:val="17"/>
              </w:rPr>
              <w:t xml:space="preserve">The JSS4D program commenced in January 2016, carrying forward </w:t>
            </w:r>
            <w:r w:rsidR="00643430">
              <w:rPr>
                <w:rFonts w:asciiTheme="minorHAnsi" w:eastAsia="Times New Roman" w:hAnsiTheme="minorHAnsi"/>
                <w:iCs/>
                <w:szCs w:val="17"/>
              </w:rPr>
              <w:t>some</w:t>
            </w:r>
            <w:r w:rsidRPr="002D7C0A">
              <w:rPr>
                <w:rFonts w:asciiTheme="minorHAnsi" w:eastAsia="Times New Roman" w:hAnsiTheme="minorHAnsi"/>
                <w:iCs/>
                <w:szCs w:val="17"/>
              </w:rPr>
              <w:t xml:space="preserve"> activities from the previous program</w:t>
            </w:r>
            <w:r w:rsidR="00A20D75">
              <w:rPr>
                <w:rFonts w:asciiTheme="minorHAnsi" w:eastAsia="Times New Roman" w:hAnsiTheme="minorHAnsi"/>
                <w:iCs/>
                <w:szCs w:val="17"/>
              </w:rPr>
              <w:t>. Delays to the signing of the subsidiary a</w:t>
            </w:r>
            <w:r w:rsidRPr="002D7C0A">
              <w:rPr>
                <w:rFonts w:asciiTheme="minorHAnsi" w:eastAsia="Times New Roman" w:hAnsiTheme="minorHAnsi"/>
                <w:iCs/>
                <w:szCs w:val="17"/>
              </w:rPr>
              <w:t xml:space="preserve">rrangement </w:t>
            </w:r>
            <w:r w:rsidR="00173F3A">
              <w:rPr>
                <w:rFonts w:asciiTheme="minorHAnsi" w:eastAsia="Times New Roman" w:hAnsiTheme="minorHAnsi"/>
                <w:iCs/>
                <w:szCs w:val="17"/>
              </w:rPr>
              <w:t>until June 2016 resulted in the p</w:t>
            </w:r>
            <w:r w:rsidR="00643430">
              <w:rPr>
                <w:rFonts w:asciiTheme="minorHAnsi" w:eastAsia="Times New Roman" w:hAnsiTheme="minorHAnsi"/>
                <w:iCs/>
                <w:szCs w:val="17"/>
              </w:rPr>
              <w:t xml:space="preserve">lanning of </w:t>
            </w:r>
            <w:r w:rsidR="00173F3A">
              <w:rPr>
                <w:rFonts w:asciiTheme="minorHAnsi" w:eastAsia="Times New Roman" w:hAnsiTheme="minorHAnsi"/>
                <w:iCs/>
                <w:szCs w:val="17"/>
              </w:rPr>
              <w:t>some new activities starting</w:t>
            </w:r>
            <w:r w:rsidR="00643430">
              <w:rPr>
                <w:rFonts w:asciiTheme="minorHAnsi" w:eastAsia="Times New Roman" w:hAnsiTheme="minorHAnsi"/>
                <w:iCs/>
                <w:szCs w:val="17"/>
              </w:rPr>
              <w:t xml:space="preserve"> in June</w:t>
            </w:r>
            <w:r w:rsidRPr="002D7C0A">
              <w:rPr>
                <w:rFonts w:asciiTheme="minorHAnsi" w:eastAsia="Times New Roman" w:hAnsiTheme="minorHAnsi"/>
                <w:iCs/>
                <w:szCs w:val="17"/>
              </w:rPr>
              <w:t>.</w:t>
            </w:r>
          </w:p>
        </w:tc>
      </w:tr>
      <w:tr w:rsidR="00735E75" w:rsidRPr="00A427C6" w:rsidTr="003F59F6">
        <w:trPr>
          <w:cnfStyle w:val="000000010000" w:firstRow="0" w:lastRow="0" w:firstColumn="0" w:lastColumn="0" w:oddVBand="0" w:evenVBand="0" w:oddHBand="0" w:evenHBand="1" w:firstRowFirstColumn="0" w:firstRowLastColumn="0" w:lastRowFirstColumn="0" w:lastRowLastColumn="0"/>
        </w:trPr>
        <w:tc>
          <w:tcPr>
            <w:tcW w:w="6473" w:type="dxa"/>
          </w:tcPr>
          <w:p w:rsidR="00735E75" w:rsidRPr="00643430" w:rsidRDefault="00735E75" w:rsidP="00A63C49">
            <w:pPr>
              <w:rPr>
                <w:rFonts w:asciiTheme="minorHAnsi" w:hAnsiTheme="minorHAnsi"/>
              </w:rPr>
            </w:pPr>
            <w:r w:rsidRPr="00643430">
              <w:rPr>
                <w:rFonts w:asciiTheme="minorHAnsi" w:hAnsiTheme="minorHAnsi"/>
              </w:rPr>
              <w:t>Implement the Gender P</w:t>
            </w:r>
            <w:r w:rsidR="00302A14">
              <w:rPr>
                <w:rFonts w:asciiTheme="minorHAnsi" w:hAnsiTheme="minorHAnsi"/>
              </w:rPr>
              <w:t>lan of Action for Port Moresby p</w:t>
            </w:r>
            <w:r w:rsidRPr="00643430">
              <w:rPr>
                <w:rFonts w:asciiTheme="minorHAnsi" w:hAnsiTheme="minorHAnsi"/>
              </w:rPr>
              <w:t>ost</w:t>
            </w:r>
            <w:r w:rsidR="00A20D75">
              <w:rPr>
                <w:rFonts w:asciiTheme="minorHAnsi" w:hAnsiTheme="minorHAnsi"/>
              </w:rPr>
              <w:t>, which was</w:t>
            </w:r>
            <w:r w:rsidRPr="00643430">
              <w:rPr>
                <w:rFonts w:asciiTheme="minorHAnsi" w:hAnsiTheme="minorHAnsi"/>
              </w:rPr>
              <w:t xml:space="preserve"> developed in 2015.</w:t>
            </w:r>
          </w:p>
        </w:tc>
        <w:tc>
          <w:tcPr>
            <w:tcW w:w="1248" w:type="dxa"/>
            <w:shd w:val="clear" w:color="auto" w:fill="E36C0A"/>
          </w:tcPr>
          <w:p w:rsidR="00735E75" w:rsidRPr="00322799" w:rsidRDefault="003F59F6" w:rsidP="006F27B1">
            <w:pPr>
              <w:keepLines/>
              <w:spacing w:before="40" w:after="40" w:line="200" w:lineRule="atLeast"/>
              <w:jc w:val="center"/>
              <w:rPr>
                <w:rFonts w:eastAsia="Times New Roman"/>
                <w:b/>
                <w:iCs/>
                <w:color w:val="FFFFFF" w:themeColor="background1"/>
                <w:szCs w:val="17"/>
              </w:rPr>
            </w:pPr>
            <w:r w:rsidRPr="00322799">
              <w:rPr>
                <w:rFonts w:eastAsia="Times New Roman"/>
                <w:b/>
                <w:iCs/>
                <w:color w:val="FFFFFF" w:themeColor="background1"/>
                <w:szCs w:val="17"/>
              </w:rPr>
              <w:t>Partly achieved</w:t>
            </w:r>
          </w:p>
        </w:tc>
        <w:tc>
          <w:tcPr>
            <w:tcW w:w="6612" w:type="dxa"/>
          </w:tcPr>
          <w:p w:rsidR="00735E75" w:rsidRPr="002D7C0A" w:rsidRDefault="002D7C0A" w:rsidP="002D7C0A">
            <w:pPr>
              <w:keepLines/>
              <w:spacing w:before="40" w:after="40" w:line="200" w:lineRule="atLeast"/>
              <w:rPr>
                <w:rFonts w:asciiTheme="minorHAnsi" w:eastAsia="Times New Roman" w:hAnsiTheme="minorHAnsi"/>
                <w:iCs/>
                <w:szCs w:val="17"/>
              </w:rPr>
            </w:pPr>
            <w:r w:rsidRPr="002D7C0A">
              <w:rPr>
                <w:rFonts w:asciiTheme="minorHAnsi" w:eastAsia="Times New Roman" w:hAnsiTheme="minorHAnsi"/>
                <w:iCs/>
                <w:szCs w:val="17"/>
              </w:rPr>
              <w:t xml:space="preserve">Although some progress has been made, according to the annual report on the Gender Action Plan, progress has been less than expected and </w:t>
            </w:r>
            <w:r w:rsidR="006D152D">
              <w:rPr>
                <w:rFonts w:asciiTheme="minorHAnsi" w:eastAsia="Times New Roman" w:hAnsiTheme="minorHAnsi"/>
                <w:iCs/>
                <w:szCs w:val="17"/>
              </w:rPr>
              <w:t xml:space="preserve">there is </w:t>
            </w:r>
            <w:r w:rsidRPr="002D7C0A">
              <w:rPr>
                <w:rFonts w:asciiTheme="minorHAnsi" w:eastAsia="Times New Roman" w:hAnsiTheme="minorHAnsi"/>
                <w:iCs/>
                <w:szCs w:val="17"/>
              </w:rPr>
              <w:t>still room to leverage more outcomes fr</w:t>
            </w:r>
            <w:r w:rsidR="00A20D75">
              <w:rPr>
                <w:rFonts w:asciiTheme="minorHAnsi" w:eastAsia="Times New Roman" w:hAnsiTheme="minorHAnsi"/>
                <w:iCs/>
                <w:szCs w:val="17"/>
              </w:rPr>
              <w:t>om large mainstream investments</w:t>
            </w:r>
            <w:r w:rsidRPr="002D7C0A">
              <w:rPr>
                <w:rFonts w:asciiTheme="minorHAnsi" w:eastAsia="Times New Roman" w:hAnsiTheme="minorHAnsi"/>
                <w:iCs/>
                <w:szCs w:val="17"/>
              </w:rPr>
              <w:t xml:space="preserve"> and through diplomatic engagement.</w:t>
            </w:r>
          </w:p>
        </w:tc>
      </w:tr>
      <w:tr w:rsidR="00735E75" w:rsidRPr="00A427C6" w:rsidTr="003F59F6">
        <w:trPr>
          <w:cnfStyle w:val="000000010000" w:firstRow="0" w:lastRow="0" w:firstColumn="0" w:lastColumn="0" w:oddVBand="0" w:evenVBand="0" w:oddHBand="0" w:evenHBand="1" w:firstRowFirstColumn="0" w:firstRowLastColumn="0" w:lastRowFirstColumn="0" w:lastRowLastColumn="0"/>
        </w:trPr>
        <w:tc>
          <w:tcPr>
            <w:tcW w:w="6473" w:type="dxa"/>
          </w:tcPr>
          <w:p w:rsidR="00735E75" w:rsidRPr="00643430" w:rsidRDefault="00735E75" w:rsidP="00833E98">
            <w:pPr>
              <w:rPr>
                <w:rFonts w:asciiTheme="minorHAnsi" w:hAnsiTheme="minorHAnsi"/>
              </w:rPr>
            </w:pPr>
            <w:r w:rsidRPr="00643430">
              <w:rPr>
                <w:rFonts w:asciiTheme="minorHAnsi" w:hAnsiTheme="minorHAnsi"/>
              </w:rPr>
              <w:t>Improve the performance of</w:t>
            </w:r>
            <w:r w:rsidR="00833E98">
              <w:rPr>
                <w:rFonts w:asciiTheme="minorHAnsi" w:hAnsiTheme="minorHAnsi"/>
              </w:rPr>
              <w:t xml:space="preserve"> the</w:t>
            </w:r>
            <w:r w:rsidRPr="00643430">
              <w:rPr>
                <w:rFonts w:asciiTheme="minorHAnsi" w:hAnsiTheme="minorHAnsi"/>
              </w:rPr>
              <w:t xml:space="preserve"> Kokoda</w:t>
            </w:r>
            <w:r w:rsidR="00833E98">
              <w:rPr>
                <w:rFonts w:asciiTheme="minorHAnsi" w:hAnsiTheme="minorHAnsi"/>
              </w:rPr>
              <w:t xml:space="preserve"> </w:t>
            </w:r>
            <w:r w:rsidR="001110F5">
              <w:rPr>
                <w:rFonts w:asciiTheme="minorHAnsi" w:hAnsiTheme="minorHAnsi"/>
              </w:rPr>
              <w:t>Initiative</w:t>
            </w:r>
            <w:r w:rsidR="00833E98">
              <w:rPr>
                <w:rFonts w:asciiTheme="minorHAnsi" w:hAnsiTheme="minorHAnsi"/>
              </w:rPr>
              <w:t xml:space="preserve"> (KI)</w:t>
            </w:r>
            <w:r w:rsidRPr="00643430">
              <w:rPr>
                <w:rFonts w:asciiTheme="minorHAnsi" w:hAnsiTheme="minorHAnsi"/>
              </w:rPr>
              <w:t xml:space="preserve">, </w:t>
            </w:r>
            <w:proofErr w:type="spellStart"/>
            <w:r w:rsidR="00833E98">
              <w:rPr>
                <w:rFonts w:asciiTheme="minorHAnsi" w:hAnsiTheme="minorHAnsi"/>
              </w:rPr>
              <w:t>Strongim</w:t>
            </w:r>
            <w:proofErr w:type="spellEnd"/>
            <w:r w:rsidR="00833E98">
              <w:rPr>
                <w:rFonts w:asciiTheme="minorHAnsi" w:hAnsiTheme="minorHAnsi"/>
              </w:rPr>
              <w:t xml:space="preserve"> </w:t>
            </w:r>
            <w:proofErr w:type="spellStart"/>
            <w:r w:rsidR="00833E98">
              <w:rPr>
                <w:rFonts w:asciiTheme="minorHAnsi" w:hAnsiTheme="minorHAnsi"/>
              </w:rPr>
              <w:t>Gavman</w:t>
            </w:r>
            <w:proofErr w:type="spellEnd"/>
            <w:r w:rsidR="00833E98">
              <w:rPr>
                <w:rFonts w:asciiTheme="minorHAnsi" w:hAnsiTheme="minorHAnsi"/>
              </w:rPr>
              <w:t xml:space="preserve"> Program</w:t>
            </w:r>
            <w:r w:rsidRPr="00643430">
              <w:rPr>
                <w:rFonts w:asciiTheme="minorHAnsi" w:hAnsiTheme="minorHAnsi"/>
              </w:rPr>
              <w:t xml:space="preserve"> </w:t>
            </w:r>
            <w:r w:rsidR="00833E98">
              <w:rPr>
                <w:rFonts w:asciiTheme="minorHAnsi" w:hAnsiTheme="minorHAnsi"/>
              </w:rPr>
              <w:t xml:space="preserve">advisory support </w:t>
            </w:r>
            <w:r w:rsidRPr="00643430">
              <w:rPr>
                <w:rFonts w:asciiTheme="minorHAnsi" w:hAnsiTheme="minorHAnsi"/>
              </w:rPr>
              <w:t xml:space="preserve">and </w:t>
            </w:r>
            <w:r w:rsidR="006D152D">
              <w:rPr>
                <w:rFonts w:asciiTheme="minorHAnsi" w:hAnsiTheme="minorHAnsi"/>
              </w:rPr>
              <w:t xml:space="preserve">the </w:t>
            </w:r>
            <w:r w:rsidRPr="00643430">
              <w:rPr>
                <w:rFonts w:asciiTheme="minorHAnsi" w:hAnsiTheme="minorHAnsi"/>
              </w:rPr>
              <w:t>Church Partnership</w:t>
            </w:r>
            <w:r w:rsidR="00833E98">
              <w:rPr>
                <w:rFonts w:asciiTheme="minorHAnsi" w:hAnsiTheme="minorHAnsi"/>
              </w:rPr>
              <w:t xml:space="preserve"> Program</w:t>
            </w:r>
            <w:r w:rsidRPr="00643430">
              <w:rPr>
                <w:rFonts w:asciiTheme="minorHAnsi" w:hAnsiTheme="minorHAnsi"/>
              </w:rPr>
              <w:t xml:space="preserve"> </w:t>
            </w:r>
            <w:r w:rsidR="00833E98">
              <w:rPr>
                <w:rFonts w:asciiTheme="minorHAnsi" w:hAnsiTheme="minorHAnsi"/>
              </w:rPr>
              <w:t>(CPP)</w:t>
            </w:r>
            <w:r w:rsidRPr="00643430">
              <w:rPr>
                <w:rFonts w:asciiTheme="minorHAnsi" w:hAnsiTheme="minorHAnsi"/>
              </w:rPr>
              <w:t>.</w:t>
            </w:r>
          </w:p>
        </w:tc>
        <w:tc>
          <w:tcPr>
            <w:tcW w:w="1248" w:type="dxa"/>
            <w:shd w:val="clear" w:color="auto" w:fill="E36C0A"/>
          </w:tcPr>
          <w:p w:rsidR="00735E75" w:rsidRPr="00322799" w:rsidRDefault="003F59F6" w:rsidP="006F27B1">
            <w:pPr>
              <w:keepLines/>
              <w:spacing w:before="40" w:after="40" w:line="200" w:lineRule="atLeast"/>
              <w:jc w:val="center"/>
              <w:rPr>
                <w:rFonts w:eastAsia="Times New Roman"/>
                <w:b/>
                <w:iCs/>
                <w:color w:val="FFFFFF" w:themeColor="background1"/>
                <w:szCs w:val="17"/>
              </w:rPr>
            </w:pPr>
            <w:r w:rsidRPr="00322799">
              <w:rPr>
                <w:rFonts w:eastAsia="Times New Roman"/>
                <w:b/>
                <w:iCs/>
                <w:color w:val="FFFFFF" w:themeColor="background1"/>
                <w:szCs w:val="17"/>
              </w:rPr>
              <w:t>Partly achieved</w:t>
            </w:r>
          </w:p>
        </w:tc>
        <w:tc>
          <w:tcPr>
            <w:tcW w:w="6612" w:type="dxa"/>
          </w:tcPr>
          <w:p w:rsidR="00CF505A" w:rsidRPr="002D7C0A" w:rsidRDefault="00643430" w:rsidP="00A20D75">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The</w:t>
            </w:r>
            <w:r w:rsidR="002D7C0A" w:rsidRPr="002D7C0A">
              <w:rPr>
                <w:rFonts w:asciiTheme="minorHAnsi" w:eastAsia="Times New Roman" w:hAnsiTheme="minorHAnsi"/>
                <w:iCs/>
                <w:szCs w:val="17"/>
              </w:rPr>
              <w:t xml:space="preserve"> </w:t>
            </w:r>
            <w:r w:rsidR="00833E98">
              <w:rPr>
                <w:rFonts w:asciiTheme="minorHAnsi" w:eastAsia="Times New Roman" w:hAnsiTheme="minorHAnsi"/>
                <w:iCs/>
                <w:szCs w:val="17"/>
              </w:rPr>
              <w:t>management of the KI</w:t>
            </w:r>
            <w:r w:rsidR="002D7C0A" w:rsidRPr="002D7C0A">
              <w:rPr>
                <w:rFonts w:asciiTheme="minorHAnsi" w:eastAsia="Times New Roman" w:hAnsiTheme="minorHAnsi"/>
                <w:iCs/>
                <w:szCs w:val="17"/>
              </w:rPr>
              <w:t xml:space="preserve"> </w:t>
            </w:r>
            <w:r>
              <w:rPr>
                <w:rFonts w:asciiTheme="minorHAnsi" w:eastAsia="Times New Roman" w:hAnsiTheme="minorHAnsi"/>
                <w:iCs/>
                <w:szCs w:val="17"/>
              </w:rPr>
              <w:t>moved</w:t>
            </w:r>
            <w:r w:rsidR="00CF505A" w:rsidRPr="002D7C0A">
              <w:rPr>
                <w:rFonts w:asciiTheme="minorHAnsi" w:eastAsia="Times New Roman" w:hAnsiTheme="minorHAnsi"/>
                <w:iCs/>
                <w:szCs w:val="17"/>
              </w:rPr>
              <w:t xml:space="preserve"> from the Department of the Environment to the </w:t>
            </w:r>
            <w:r w:rsidR="00302A14">
              <w:rPr>
                <w:rFonts w:asciiTheme="minorHAnsi" w:eastAsia="Times New Roman" w:hAnsiTheme="minorHAnsi"/>
                <w:iCs/>
                <w:szCs w:val="17"/>
              </w:rPr>
              <w:t>PNG p</w:t>
            </w:r>
            <w:r w:rsidR="00833E98">
              <w:rPr>
                <w:rFonts w:asciiTheme="minorHAnsi" w:eastAsia="Times New Roman" w:hAnsiTheme="minorHAnsi"/>
                <w:iCs/>
                <w:szCs w:val="17"/>
              </w:rPr>
              <w:t>ost</w:t>
            </w:r>
            <w:r w:rsidR="002D7C0A" w:rsidRPr="002D7C0A">
              <w:rPr>
                <w:rFonts w:asciiTheme="minorHAnsi" w:eastAsia="Times New Roman" w:hAnsiTheme="minorHAnsi"/>
                <w:iCs/>
                <w:szCs w:val="17"/>
              </w:rPr>
              <w:t xml:space="preserve">. </w:t>
            </w:r>
            <w:r w:rsidR="00CF505A" w:rsidRPr="002D7C0A">
              <w:rPr>
                <w:rFonts w:asciiTheme="minorHAnsi" w:eastAsia="Times New Roman" w:hAnsiTheme="minorHAnsi"/>
                <w:iCs/>
                <w:szCs w:val="17"/>
              </w:rPr>
              <w:t xml:space="preserve">Australia and PNG formed a Joint Working Group to </w:t>
            </w:r>
            <w:r w:rsidR="00833E98">
              <w:rPr>
                <w:rFonts w:asciiTheme="minorHAnsi" w:eastAsia="Times New Roman" w:hAnsiTheme="minorHAnsi"/>
                <w:iCs/>
                <w:szCs w:val="17"/>
              </w:rPr>
              <w:t>discuss future advisory support</w:t>
            </w:r>
            <w:r w:rsidR="00CF505A" w:rsidRPr="002D7C0A">
              <w:rPr>
                <w:rFonts w:asciiTheme="minorHAnsi" w:eastAsia="Times New Roman" w:hAnsiTheme="minorHAnsi"/>
                <w:iCs/>
                <w:szCs w:val="17"/>
              </w:rPr>
              <w:t xml:space="preserve">. </w:t>
            </w:r>
            <w:r w:rsidR="00833E98">
              <w:rPr>
                <w:rFonts w:asciiTheme="minorHAnsi" w:hAnsiTheme="minorHAnsi"/>
              </w:rPr>
              <w:t>A</w:t>
            </w:r>
            <w:r w:rsidR="00CF505A" w:rsidRPr="002D7C0A">
              <w:rPr>
                <w:rFonts w:asciiTheme="minorHAnsi" w:hAnsiTheme="minorHAnsi"/>
              </w:rPr>
              <w:t xml:space="preserve"> redesign of </w:t>
            </w:r>
            <w:r w:rsidR="00833E98">
              <w:rPr>
                <w:rFonts w:asciiTheme="minorHAnsi" w:hAnsiTheme="minorHAnsi"/>
              </w:rPr>
              <w:t>the CPP</w:t>
            </w:r>
            <w:r w:rsidR="00CF505A" w:rsidRPr="002D7C0A">
              <w:rPr>
                <w:rFonts w:asciiTheme="minorHAnsi" w:hAnsiTheme="minorHAnsi"/>
              </w:rPr>
              <w:t xml:space="preserve"> </w:t>
            </w:r>
            <w:r w:rsidR="00833E98">
              <w:rPr>
                <w:rFonts w:asciiTheme="minorHAnsi" w:hAnsiTheme="minorHAnsi"/>
              </w:rPr>
              <w:t>will</w:t>
            </w:r>
            <w:r w:rsidR="00CF505A" w:rsidRPr="002D7C0A">
              <w:rPr>
                <w:rFonts w:asciiTheme="minorHAnsi" w:hAnsiTheme="minorHAnsi"/>
              </w:rPr>
              <w:t xml:space="preserve"> review lessons and explore ways to refine </w:t>
            </w:r>
            <w:r w:rsidR="00A20D75">
              <w:rPr>
                <w:rFonts w:asciiTheme="minorHAnsi" w:hAnsiTheme="minorHAnsi"/>
              </w:rPr>
              <w:t xml:space="preserve">the </w:t>
            </w:r>
            <w:r w:rsidR="00CF505A" w:rsidRPr="002D7C0A">
              <w:rPr>
                <w:rFonts w:asciiTheme="minorHAnsi" w:hAnsiTheme="minorHAnsi"/>
              </w:rPr>
              <w:t xml:space="preserve">CPP for greater </w:t>
            </w:r>
            <w:r w:rsidR="00A20D75">
              <w:rPr>
                <w:rFonts w:asciiTheme="minorHAnsi" w:hAnsiTheme="minorHAnsi"/>
              </w:rPr>
              <w:t>impact</w:t>
            </w:r>
            <w:r w:rsidR="00CF505A" w:rsidRPr="002D7C0A">
              <w:rPr>
                <w:rFonts w:asciiTheme="minorHAnsi" w:hAnsiTheme="minorHAnsi"/>
              </w:rPr>
              <w:t xml:space="preserve">. </w:t>
            </w:r>
          </w:p>
        </w:tc>
      </w:tr>
      <w:tr w:rsidR="00735E75" w:rsidRPr="00A427C6" w:rsidTr="00A73FE4">
        <w:trPr>
          <w:cnfStyle w:val="000000010000" w:firstRow="0" w:lastRow="0" w:firstColumn="0" w:lastColumn="0" w:oddVBand="0" w:evenVBand="0" w:oddHBand="0" w:evenHBand="1" w:firstRowFirstColumn="0" w:firstRowLastColumn="0" w:lastRowFirstColumn="0" w:lastRowLastColumn="0"/>
        </w:trPr>
        <w:tc>
          <w:tcPr>
            <w:tcW w:w="6473" w:type="dxa"/>
          </w:tcPr>
          <w:p w:rsidR="00735E75" w:rsidRPr="00643430" w:rsidRDefault="00735E75" w:rsidP="00A63C49">
            <w:pPr>
              <w:rPr>
                <w:rFonts w:asciiTheme="minorHAnsi" w:hAnsiTheme="minorHAnsi"/>
              </w:rPr>
            </w:pPr>
            <w:r w:rsidRPr="00643430">
              <w:rPr>
                <w:rFonts w:asciiTheme="minorHAnsi" w:hAnsiTheme="minorHAnsi"/>
              </w:rPr>
              <w:t>Centralise monitoring and eval</w:t>
            </w:r>
            <w:r w:rsidR="00302A14">
              <w:rPr>
                <w:rFonts w:asciiTheme="minorHAnsi" w:hAnsiTheme="minorHAnsi"/>
              </w:rPr>
              <w:t>uation support at Port Moresby p</w:t>
            </w:r>
            <w:r w:rsidRPr="00643430">
              <w:rPr>
                <w:rFonts w:asciiTheme="minorHAnsi" w:hAnsiTheme="minorHAnsi"/>
              </w:rPr>
              <w:t>ost to enable the program to develop a more constructive and positive narrative</w:t>
            </w:r>
            <w:r w:rsidR="00A20D75">
              <w:rPr>
                <w:rFonts w:asciiTheme="minorHAnsi" w:hAnsiTheme="minorHAnsi"/>
              </w:rPr>
              <w:t xml:space="preserve"> on its performance and quality</w:t>
            </w:r>
            <w:r w:rsidRPr="00643430">
              <w:rPr>
                <w:rFonts w:asciiTheme="minorHAnsi" w:hAnsiTheme="minorHAnsi"/>
              </w:rPr>
              <w:t xml:space="preserve"> and maintain 100 per cent compliance on all mandatory aid quality and performance reporting.</w:t>
            </w:r>
          </w:p>
        </w:tc>
        <w:tc>
          <w:tcPr>
            <w:tcW w:w="1248" w:type="dxa"/>
            <w:shd w:val="clear" w:color="auto" w:fill="E36C0A"/>
          </w:tcPr>
          <w:p w:rsidR="00735E75" w:rsidRPr="00322799" w:rsidRDefault="00A73FE4" w:rsidP="006F27B1">
            <w:pPr>
              <w:keepLines/>
              <w:spacing w:before="40" w:after="40" w:line="200" w:lineRule="atLeast"/>
              <w:jc w:val="center"/>
              <w:rPr>
                <w:rFonts w:eastAsia="Times New Roman"/>
                <w:b/>
                <w:iCs/>
                <w:color w:val="FFFFFF" w:themeColor="background1"/>
                <w:szCs w:val="17"/>
              </w:rPr>
            </w:pPr>
            <w:r w:rsidRPr="00322799">
              <w:rPr>
                <w:rFonts w:eastAsia="Times New Roman"/>
                <w:b/>
                <w:iCs/>
                <w:color w:val="FFFFFF" w:themeColor="background1"/>
                <w:szCs w:val="17"/>
              </w:rPr>
              <w:t>Partly a</w:t>
            </w:r>
            <w:r w:rsidR="003F59F6" w:rsidRPr="00322799">
              <w:rPr>
                <w:rFonts w:eastAsia="Times New Roman"/>
                <w:b/>
                <w:iCs/>
                <w:color w:val="FFFFFF" w:themeColor="background1"/>
                <w:szCs w:val="17"/>
              </w:rPr>
              <w:t>chieved</w:t>
            </w:r>
          </w:p>
        </w:tc>
        <w:tc>
          <w:tcPr>
            <w:tcW w:w="6612" w:type="dxa"/>
          </w:tcPr>
          <w:p w:rsidR="00735E75" w:rsidRPr="002D7C0A" w:rsidRDefault="00A73FE4" w:rsidP="00A73FE4">
            <w:pPr>
              <w:keepLines/>
              <w:spacing w:before="40" w:after="40" w:line="200" w:lineRule="atLeast"/>
              <w:rPr>
                <w:rFonts w:asciiTheme="minorHAnsi" w:eastAsia="Times New Roman" w:hAnsiTheme="minorHAnsi"/>
                <w:iCs/>
                <w:color w:val="409F68" w:themeColor="accent6"/>
                <w:szCs w:val="17"/>
              </w:rPr>
            </w:pPr>
            <w:r w:rsidRPr="002D7C0A">
              <w:rPr>
                <w:rFonts w:asciiTheme="minorHAnsi" w:eastAsia="Times New Roman" w:hAnsiTheme="minorHAnsi"/>
                <w:iCs/>
                <w:szCs w:val="17"/>
              </w:rPr>
              <w:t>The PNG program achieved 100 per cent compliance on all mandatory aid quality and performance reporting. The program did not centralise monitoring and eval</w:t>
            </w:r>
            <w:r w:rsidR="00302A14">
              <w:rPr>
                <w:rFonts w:asciiTheme="minorHAnsi" w:eastAsia="Times New Roman" w:hAnsiTheme="minorHAnsi"/>
                <w:iCs/>
                <w:szCs w:val="17"/>
              </w:rPr>
              <w:t>uation support at Port Moresby p</w:t>
            </w:r>
            <w:r w:rsidRPr="002D7C0A">
              <w:rPr>
                <w:rFonts w:asciiTheme="minorHAnsi" w:eastAsia="Times New Roman" w:hAnsiTheme="minorHAnsi"/>
                <w:iCs/>
                <w:szCs w:val="17"/>
              </w:rPr>
              <w:t xml:space="preserve">ost.  </w:t>
            </w:r>
          </w:p>
        </w:tc>
      </w:tr>
      <w:tr w:rsidR="00735E75" w:rsidRPr="00A427C6" w:rsidTr="00A73FE4">
        <w:trPr>
          <w:cnfStyle w:val="000000010000" w:firstRow="0" w:lastRow="0" w:firstColumn="0" w:lastColumn="0" w:oddVBand="0" w:evenVBand="0" w:oddHBand="0" w:evenHBand="1" w:firstRowFirstColumn="0" w:firstRowLastColumn="0" w:lastRowFirstColumn="0" w:lastRowLastColumn="0"/>
        </w:trPr>
        <w:tc>
          <w:tcPr>
            <w:tcW w:w="6473" w:type="dxa"/>
          </w:tcPr>
          <w:p w:rsidR="00735E75" w:rsidRPr="00643430" w:rsidRDefault="00735E75" w:rsidP="00643430">
            <w:pPr>
              <w:rPr>
                <w:rFonts w:asciiTheme="minorHAnsi" w:hAnsiTheme="minorHAnsi"/>
              </w:rPr>
            </w:pPr>
            <w:r w:rsidRPr="00643430">
              <w:rPr>
                <w:rFonts w:asciiTheme="minorHAnsi" w:hAnsiTheme="minorHAnsi"/>
              </w:rPr>
              <w:t>Renew our commitment to safeguarding children by providing DFAT child protection training to all staff working on the PNG progr</w:t>
            </w:r>
            <w:r w:rsidR="00643430">
              <w:rPr>
                <w:rFonts w:asciiTheme="minorHAnsi" w:hAnsiTheme="minorHAnsi"/>
              </w:rPr>
              <w:t>am in Port Moresby and Canberra</w:t>
            </w:r>
            <w:r w:rsidRPr="00643430">
              <w:rPr>
                <w:rFonts w:asciiTheme="minorHAnsi" w:hAnsiTheme="minorHAnsi"/>
              </w:rPr>
              <w:t xml:space="preserve">. </w:t>
            </w:r>
          </w:p>
        </w:tc>
        <w:tc>
          <w:tcPr>
            <w:tcW w:w="1248" w:type="dxa"/>
            <w:shd w:val="clear" w:color="auto" w:fill="72AF2F"/>
          </w:tcPr>
          <w:p w:rsidR="00735E75" w:rsidRPr="00322799" w:rsidRDefault="00A73FE4" w:rsidP="006F27B1">
            <w:pPr>
              <w:keepLines/>
              <w:spacing w:before="40" w:after="40" w:line="200" w:lineRule="atLeast"/>
              <w:jc w:val="center"/>
              <w:rPr>
                <w:rFonts w:eastAsia="Times New Roman"/>
                <w:b/>
                <w:iCs/>
                <w:color w:val="FFFFFF" w:themeColor="background1"/>
                <w:szCs w:val="17"/>
              </w:rPr>
            </w:pPr>
            <w:r w:rsidRPr="00322799">
              <w:rPr>
                <w:rFonts w:eastAsia="Times New Roman"/>
                <w:b/>
                <w:iCs/>
                <w:color w:val="FFFFFF" w:themeColor="background1"/>
                <w:szCs w:val="17"/>
              </w:rPr>
              <w:t>A</w:t>
            </w:r>
            <w:r w:rsidR="003F59F6" w:rsidRPr="00322799">
              <w:rPr>
                <w:rFonts w:eastAsia="Times New Roman"/>
                <w:b/>
                <w:iCs/>
                <w:color w:val="FFFFFF" w:themeColor="background1"/>
                <w:szCs w:val="17"/>
              </w:rPr>
              <w:t>chieved</w:t>
            </w:r>
          </w:p>
        </w:tc>
        <w:tc>
          <w:tcPr>
            <w:tcW w:w="6612" w:type="dxa"/>
          </w:tcPr>
          <w:p w:rsidR="00735E75" w:rsidRPr="002D7C0A" w:rsidRDefault="00A73FE4" w:rsidP="006F27B1">
            <w:pPr>
              <w:keepLines/>
              <w:spacing w:before="40" w:after="40" w:line="200" w:lineRule="atLeast"/>
              <w:rPr>
                <w:rFonts w:asciiTheme="minorHAnsi" w:eastAsia="Times New Roman" w:hAnsiTheme="minorHAnsi"/>
                <w:iCs/>
                <w:szCs w:val="17"/>
              </w:rPr>
            </w:pPr>
            <w:r w:rsidRPr="002D7C0A">
              <w:rPr>
                <w:rFonts w:asciiTheme="minorHAnsi" w:eastAsia="Times New Roman" w:hAnsiTheme="minorHAnsi"/>
                <w:iCs/>
                <w:szCs w:val="17"/>
              </w:rPr>
              <w:t>DFAT child protection training was provided to all staff working on the PNG program in Port Moresby and Canberra in 2015-16 and will be provided again in 2016-17.</w:t>
            </w:r>
          </w:p>
        </w:tc>
      </w:tr>
      <w:tr w:rsidR="00735E75" w:rsidRPr="00A427C6" w:rsidTr="003F59F6">
        <w:trPr>
          <w:cnfStyle w:val="000000010000" w:firstRow="0" w:lastRow="0" w:firstColumn="0" w:lastColumn="0" w:oddVBand="0" w:evenVBand="0" w:oddHBand="0" w:evenHBand="1" w:firstRowFirstColumn="0" w:firstRowLastColumn="0" w:lastRowFirstColumn="0" w:lastRowLastColumn="0"/>
        </w:trPr>
        <w:tc>
          <w:tcPr>
            <w:tcW w:w="6473" w:type="dxa"/>
          </w:tcPr>
          <w:p w:rsidR="00735E75" w:rsidRPr="00643430" w:rsidRDefault="00302A14" w:rsidP="00302A14">
            <w:pPr>
              <w:rPr>
                <w:rFonts w:asciiTheme="minorHAnsi" w:hAnsiTheme="minorHAnsi"/>
              </w:rPr>
            </w:pPr>
            <w:r>
              <w:rPr>
                <w:rFonts w:asciiTheme="minorHAnsi" w:hAnsiTheme="minorHAnsi"/>
              </w:rPr>
              <w:t>Analyse</w:t>
            </w:r>
            <w:r w:rsidR="00735E75" w:rsidRPr="00643430">
              <w:rPr>
                <w:rFonts w:asciiTheme="minorHAnsi" w:hAnsiTheme="minorHAnsi"/>
              </w:rPr>
              <w:t xml:space="preserve"> the PNG aid program’s overall performance against the 2008-2015 Partnership for Development and PNG’s progress in meeting the </w:t>
            </w:r>
            <w:r>
              <w:rPr>
                <w:rFonts w:asciiTheme="minorHAnsi" w:hAnsiTheme="minorHAnsi"/>
              </w:rPr>
              <w:t>Millennium Development Goals (MDGs)</w:t>
            </w:r>
            <w:r w:rsidR="00735E75" w:rsidRPr="00643430">
              <w:rPr>
                <w:rFonts w:asciiTheme="minorHAnsi" w:hAnsiTheme="minorHAnsi"/>
              </w:rPr>
              <w:t>.</w:t>
            </w:r>
          </w:p>
        </w:tc>
        <w:tc>
          <w:tcPr>
            <w:tcW w:w="1248" w:type="dxa"/>
            <w:tcBorders>
              <w:bottom w:val="single" w:sz="12" w:space="0" w:color="000000" w:themeColor="text1"/>
            </w:tcBorders>
            <w:shd w:val="clear" w:color="auto" w:fill="E36C0A"/>
          </w:tcPr>
          <w:p w:rsidR="00735E75" w:rsidRPr="00322799" w:rsidRDefault="003F59F6" w:rsidP="006F27B1">
            <w:pPr>
              <w:keepLines/>
              <w:spacing w:before="40" w:after="40" w:line="200" w:lineRule="atLeast"/>
              <w:jc w:val="center"/>
              <w:rPr>
                <w:rFonts w:eastAsia="Times New Roman"/>
                <w:b/>
                <w:iCs/>
                <w:color w:val="FFFFFF" w:themeColor="background1"/>
                <w:szCs w:val="17"/>
              </w:rPr>
            </w:pPr>
            <w:r w:rsidRPr="00322799">
              <w:rPr>
                <w:rFonts w:eastAsia="Times New Roman"/>
                <w:b/>
                <w:iCs/>
                <w:color w:val="FFFFFF" w:themeColor="background1"/>
                <w:szCs w:val="17"/>
              </w:rPr>
              <w:t>Partly achieved</w:t>
            </w:r>
          </w:p>
        </w:tc>
        <w:tc>
          <w:tcPr>
            <w:tcW w:w="6612" w:type="dxa"/>
          </w:tcPr>
          <w:p w:rsidR="00735E75" w:rsidRPr="004F2F3A" w:rsidRDefault="00825A0B" w:rsidP="00833E98">
            <w:pPr>
              <w:keepLines/>
              <w:spacing w:before="40" w:after="40" w:line="200" w:lineRule="atLeast"/>
              <w:rPr>
                <w:rFonts w:asciiTheme="minorHAnsi" w:eastAsia="Times New Roman" w:hAnsiTheme="minorHAnsi"/>
                <w:iCs/>
                <w:color w:val="409F68" w:themeColor="accent6"/>
                <w:szCs w:val="17"/>
              </w:rPr>
            </w:pPr>
            <w:r w:rsidRPr="004F2F3A">
              <w:rPr>
                <w:rFonts w:asciiTheme="minorHAnsi" w:eastAsia="Times New Roman" w:hAnsiTheme="minorHAnsi"/>
                <w:iCs/>
                <w:szCs w:val="17"/>
              </w:rPr>
              <w:t xml:space="preserve">The 2014 Aid Assessment reviewed PNG’s progress against the Partnership for Development and </w:t>
            </w:r>
            <w:r w:rsidR="00302A14">
              <w:rPr>
                <w:rFonts w:asciiTheme="minorHAnsi" w:eastAsia="Times New Roman" w:hAnsiTheme="minorHAnsi"/>
                <w:iCs/>
                <w:szCs w:val="17"/>
              </w:rPr>
              <w:t xml:space="preserve">the </w:t>
            </w:r>
            <w:r w:rsidRPr="004F2F3A">
              <w:rPr>
                <w:rFonts w:asciiTheme="minorHAnsi" w:eastAsia="Times New Roman" w:hAnsiTheme="minorHAnsi"/>
                <w:iCs/>
                <w:szCs w:val="17"/>
              </w:rPr>
              <w:t xml:space="preserve">MDGs and made recommendations for </w:t>
            </w:r>
            <w:r w:rsidR="00833E98">
              <w:rPr>
                <w:rFonts w:asciiTheme="minorHAnsi" w:eastAsia="Times New Roman" w:hAnsiTheme="minorHAnsi"/>
                <w:iCs/>
                <w:szCs w:val="17"/>
              </w:rPr>
              <w:t>developing</w:t>
            </w:r>
            <w:r w:rsidRPr="004F2F3A">
              <w:rPr>
                <w:rFonts w:asciiTheme="minorHAnsi" w:eastAsia="Times New Roman" w:hAnsiTheme="minorHAnsi"/>
                <w:iCs/>
                <w:szCs w:val="17"/>
              </w:rPr>
              <w:t xml:space="preserve"> the </w:t>
            </w:r>
            <w:r w:rsidR="00833E98">
              <w:rPr>
                <w:rFonts w:asciiTheme="minorHAnsi" w:eastAsia="Times New Roman" w:hAnsiTheme="minorHAnsi"/>
                <w:iCs/>
                <w:szCs w:val="17"/>
              </w:rPr>
              <w:t>Aid Partnership Arrangement.</w:t>
            </w:r>
          </w:p>
        </w:tc>
      </w:tr>
    </w:tbl>
    <w:p w:rsidR="00400B0F" w:rsidRPr="00A427C6" w:rsidRDefault="00833E98" w:rsidP="00400B0F">
      <w:pPr>
        <w:spacing w:before="20" w:after="20" w:line="180" w:lineRule="atLeast"/>
        <w:jc w:val="both"/>
        <w:rPr>
          <w:rFonts w:eastAsia="Times New Roman"/>
          <w:b/>
          <w:sz w:val="16"/>
          <w:szCs w:val="14"/>
        </w:rPr>
      </w:pPr>
      <w:r>
        <w:rPr>
          <w:rFonts w:eastAsia="Times New Roman"/>
          <w:b/>
          <w:sz w:val="16"/>
          <w:szCs w:val="14"/>
        </w:rPr>
        <w:t>*</w:t>
      </w:r>
      <w:r w:rsidR="00400B0F" w:rsidRPr="00A427C6">
        <w:rPr>
          <w:rFonts w:eastAsia="Times New Roman"/>
          <w:b/>
          <w:sz w:val="16"/>
          <w:szCs w:val="14"/>
        </w:rPr>
        <w:t xml:space="preserve">Note: </w:t>
      </w:r>
    </w:p>
    <w:p w:rsidR="00400B0F" w:rsidRPr="007452E6" w:rsidRDefault="00400B0F" w:rsidP="00400B0F">
      <w:pPr>
        <w:spacing w:before="20" w:after="20" w:line="180" w:lineRule="atLeast"/>
        <w:jc w:val="both"/>
        <w:rPr>
          <w:rFonts w:eastAsia="Times New Roman"/>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007452E6">
        <w:rPr>
          <w:rFonts w:eastAsia="Times New Roman"/>
          <w:b/>
          <w:sz w:val="16"/>
          <w:szCs w:val="14"/>
        </w:rPr>
        <w:t xml:space="preserve"> </w:t>
      </w:r>
      <w:r w:rsidRPr="007452E6">
        <w:rPr>
          <w:rFonts w:eastAsia="Times New Roman"/>
          <w:sz w:val="16"/>
          <w:szCs w:val="14"/>
        </w:rPr>
        <w:t xml:space="preserve">Achieved.  Significant progress has been made in addressing the issue </w:t>
      </w:r>
    </w:p>
    <w:p w:rsidR="00400B0F" w:rsidRPr="007452E6" w:rsidRDefault="00400B0F" w:rsidP="00400B0F">
      <w:pPr>
        <w:spacing w:before="20" w:after="20" w:line="180" w:lineRule="atLeast"/>
        <w:jc w:val="both"/>
        <w:rPr>
          <w:rFonts w:eastAsia="Times New Roman"/>
          <w:sz w:val="16"/>
          <w:szCs w:val="14"/>
        </w:rPr>
      </w:pPr>
      <w:r w:rsidRPr="007452E6">
        <w:rPr>
          <w:rFonts w:eastAsia="Times New Roman"/>
          <w:color w:val="E36C0A"/>
          <w:sz w:val="16"/>
          <w:szCs w:val="14"/>
        </w:rPr>
        <w:sym w:font="Webdings" w:char="F067"/>
      </w:r>
      <w:r w:rsidRPr="007452E6">
        <w:rPr>
          <w:rFonts w:eastAsia="Times New Roman"/>
          <w:sz w:val="16"/>
          <w:szCs w:val="14"/>
        </w:rPr>
        <w:t> </w:t>
      </w:r>
      <w:r w:rsidRPr="007452E6">
        <w:rPr>
          <w:rFonts w:eastAsia="Times New Roman"/>
          <w:sz w:val="16"/>
          <w:szCs w:val="14"/>
        </w:rPr>
        <w:t xml:space="preserve"> Partly achieved.  Some progress has been made in addressing the issue, but the issue has not been resolved </w:t>
      </w:r>
    </w:p>
    <w:p w:rsidR="00400B0F" w:rsidRPr="007452E6" w:rsidRDefault="00400B0F" w:rsidP="00400B0F">
      <w:pPr>
        <w:spacing w:before="20" w:after="20" w:line="180" w:lineRule="atLeast"/>
        <w:jc w:val="both"/>
        <w:rPr>
          <w:rFonts w:eastAsia="Times New Roman"/>
          <w:sz w:val="16"/>
          <w:szCs w:val="14"/>
        </w:rPr>
      </w:pPr>
      <w:r w:rsidRPr="007452E6">
        <w:rPr>
          <w:rFonts w:eastAsia="Times New Roman"/>
          <w:color w:val="FF0000"/>
          <w:sz w:val="16"/>
          <w:szCs w:val="14"/>
        </w:rPr>
        <w:sym w:font="Webdings" w:char="F067"/>
      </w:r>
      <w:r w:rsidRPr="007452E6">
        <w:rPr>
          <w:rFonts w:eastAsia="Times New Roman"/>
          <w:sz w:val="16"/>
          <w:szCs w:val="14"/>
        </w:rPr>
        <w:t> </w:t>
      </w:r>
      <w:r w:rsidRPr="007452E6">
        <w:rPr>
          <w:rFonts w:eastAsia="Times New Roman"/>
          <w:sz w:val="16"/>
          <w:szCs w:val="14"/>
        </w:rPr>
        <w:t xml:space="preserve"> Not achieved. Progress in addressing the issue has been significantly below expectations</w:t>
      </w:r>
    </w:p>
    <w:p w:rsidR="00400B0F" w:rsidRPr="00A427C6" w:rsidRDefault="00400B0F" w:rsidP="00400B0F">
      <w:pPr>
        <w:spacing w:after="160" w:line="280" w:lineRule="exact"/>
        <w:rPr>
          <w:rFonts w:eastAsia="Times New Roman"/>
          <w:sz w:val="21"/>
        </w:rPr>
      </w:pPr>
    </w:p>
    <w:p w:rsidR="00400B0F" w:rsidRPr="00400B0F" w:rsidRDefault="002A51CA" w:rsidP="00400B0F">
      <w:pPr>
        <w:pStyle w:val="Subtitle"/>
        <w:numPr>
          <w:ilvl w:val="0"/>
          <w:numId w:val="0"/>
        </w:numPr>
      </w:pPr>
      <w:r w:rsidRPr="00C61187">
        <w:rPr>
          <w:rFonts w:ascii="Franklin Gothic Book" w:eastAsia="Times New Roman" w:hAnsi="Franklin Gothic Book"/>
          <w:sz w:val="21"/>
        </w:rPr>
        <w:t xml:space="preserve"> </w:t>
      </w:r>
      <w:r w:rsidR="00400B0F" w:rsidRPr="00400B0F">
        <w:t>Annex B - Progress towards Performance Benchmarks in 2015-16</w:t>
      </w:r>
    </w:p>
    <w:tbl>
      <w:tblPr>
        <w:tblStyle w:val="DFATTable"/>
        <w:tblW w:w="5000" w:type="pct"/>
        <w:tblLook w:val="04A0" w:firstRow="1" w:lastRow="0" w:firstColumn="1" w:lastColumn="0" w:noHBand="0" w:noVBand="1"/>
        <w:tblCaption w:val="Progress towards performance benchmarks in 2015-16"/>
        <w:tblDescription w:val="Description of progress towards performance benchmarks in 2015-16. The aid program in PNG achieved seven out of 10 benchmarks."/>
      </w:tblPr>
      <w:tblGrid>
        <w:gridCol w:w="2019"/>
        <w:gridCol w:w="2019"/>
        <w:gridCol w:w="1411"/>
        <w:gridCol w:w="1201"/>
        <w:gridCol w:w="7810"/>
      </w:tblGrid>
      <w:tr w:rsidR="002A441B" w:rsidRPr="00A427C6" w:rsidTr="00266B4B">
        <w:trPr>
          <w:tblHeader/>
        </w:trPr>
        <w:tc>
          <w:tcPr>
            <w:tcW w:w="700" w:type="pct"/>
            <w:tcMar>
              <w:top w:w="57" w:type="dxa"/>
              <w:bottom w:w="57" w:type="dxa"/>
            </w:tcMar>
          </w:tcPr>
          <w:p w:rsidR="002A441B" w:rsidRPr="00847EDF" w:rsidRDefault="002A441B" w:rsidP="00847EDF">
            <w:pPr>
              <w:pStyle w:val="Heading5"/>
              <w:outlineLvl w:val="4"/>
              <w:rPr>
                <w:rFonts w:asciiTheme="minorHAnsi" w:eastAsia="Times New Roman" w:hAnsiTheme="minorHAnsi"/>
                <w:sz w:val="17"/>
                <w:szCs w:val="17"/>
                <w:lang w:eastAsia="en-US"/>
              </w:rPr>
            </w:pPr>
            <w:r w:rsidRPr="00847EDF">
              <w:rPr>
                <w:rFonts w:asciiTheme="minorHAnsi" w:eastAsia="Times New Roman" w:hAnsiTheme="minorHAnsi"/>
                <w:sz w:val="17"/>
                <w:szCs w:val="17"/>
                <w:lang w:eastAsia="en-US"/>
              </w:rPr>
              <w:t>Aid objective</w:t>
            </w:r>
          </w:p>
        </w:tc>
        <w:tc>
          <w:tcPr>
            <w:tcW w:w="700" w:type="pct"/>
          </w:tcPr>
          <w:p w:rsidR="00847EDF" w:rsidRDefault="00847EDF" w:rsidP="00847EDF">
            <w:pPr>
              <w:pStyle w:val="Heading5"/>
              <w:outlineLvl w:val="4"/>
              <w:rPr>
                <w:rFonts w:asciiTheme="minorHAnsi" w:eastAsia="Times New Roman" w:hAnsiTheme="minorHAnsi"/>
                <w:sz w:val="17"/>
                <w:szCs w:val="17"/>
                <w:lang w:eastAsia="en-US"/>
              </w:rPr>
            </w:pPr>
          </w:p>
          <w:p w:rsidR="002A441B" w:rsidRPr="00847EDF" w:rsidRDefault="002A441B" w:rsidP="00847EDF">
            <w:pPr>
              <w:pStyle w:val="Heading5"/>
              <w:outlineLvl w:val="4"/>
              <w:rPr>
                <w:rFonts w:asciiTheme="minorHAnsi" w:eastAsia="Times New Roman" w:hAnsiTheme="minorHAnsi"/>
                <w:sz w:val="17"/>
                <w:szCs w:val="17"/>
                <w:lang w:eastAsia="en-US"/>
              </w:rPr>
            </w:pPr>
            <w:r w:rsidRPr="00847EDF">
              <w:rPr>
                <w:rFonts w:asciiTheme="minorHAnsi" w:eastAsia="Times New Roman" w:hAnsiTheme="minorHAnsi"/>
                <w:sz w:val="17"/>
                <w:szCs w:val="17"/>
                <w:lang w:eastAsia="en-US"/>
              </w:rPr>
              <w:t xml:space="preserve">2015-16 benchmark </w:t>
            </w:r>
          </w:p>
        </w:tc>
        <w:tc>
          <w:tcPr>
            <w:tcW w:w="481" w:type="pct"/>
            <w:tcBorders>
              <w:bottom w:val="nil"/>
            </w:tcBorders>
          </w:tcPr>
          <w:p w:rsidR="00847EDF" w:rsidRDefault="00847EDF" w:rsidP="00847EDF">
            <w:pPr>
              <w:pStyle w:val="Heading5"/>
              <w:outlineLvl w:val="4"/>
              <w:rPr>
                <w:rFonts w:asciiTheme="minorHAnsi" w:eastAsia="Times New Roman" w:hAnsiTheme="minorHAnsi"/>
                <w:sz w:val="17"/>
                <w:szCs w:val="17"/>
              </w:rPr>
            </w:pPr>
          </w:p>
          <w:p w:rsidR="002A441B" w:rsidRPr="00847EDF" w:rsidRDefault="0087168E" w:rsidP="00847EDF">
            <w:pPr>
              <w:pStyle w:val="Heading5"/>
              <w:outlineLvl w:val="4"/>
              <w:rPr>
                <w:rFonts w:asciiTheme="minorHAnsi" w:eastAsia="Times New Roman" w:hAnsiTheme="minorHAnsi"/>
                <w:sz w:val="17"/>
                <w:szCs w:val="17"/>
              </w:rPr>
            </w:pPr>
            <w:r w:rsidRPr="00847EDF">
              <w:rPr>
                <w:rFonts w:asciiTheme="minorHAnsi" w:eastAsia="Times New Roman" w:hAnsiTheme="minorHAnsi"/>
                <w:sz w:val="17"/>
                <w:szCs w:val="17"/>
              </w:rPr>
              <w:t>Target</w:t>
            </w:r>
          </w:p>
        </w:tc>
        <w:tc>
          <w:tcPr>
            <w:tcW w:w="417" w:type="pct"/>
            <w:tcBorders>
              <w:bottom w:val="nil"/>
            </w:tcBorders>
          </w:tcPr>
          <w:p w:rsidR="00847EDF" w:rsidRDefault="00847EDF" w:rsidP="00847EDF">
            <w:pPr>
              <w:pStyle w:val="Heading5"/>
              <w:outlineLvl w:val="4"/>
              <w:rPr>
                <w:rFonts w:asciiTheme="minorHAnsi" w:eastAsia="Times New Roman" w:hAnsiTheme="minorHAnsi"/>
                <w:sz w:val="17"/>
                <w:szCs w:val="17"/>
                <w:lang w:eastAsia="en-US"/>
              </w:rPr>
            </w:pPr>
          </w:p>
          <w:p w:rsidR="002A441B" w:rsidRPr="00847EDF" w:rsidRDefault="002A441B" w:rsidP="00847EDF">
            <w:pPr>
              <w:pStyle w:val="Heading5"/>
              <w:outlineLvl w:val="4"/>
              <w:rPr>
                <w:rFonts w:asciiTheme="minorHAnsi" w:eastAsia="Times New Roman" w:hAnsiTheme="minorHAnsi"/>
                <w:sz w:val="17"/>
                <w:szCs w:val="17"/>
                <w:lang w:eastAsia="en-US"/>
              </w:rPr>
            </w:pPr>
            <w:r w:rsidRPr="00847EDF">
              <w:rPr>
                <w:rFonts w:asciiTheme="minorHAnsi" w:eastAsia="Times New Roman" w:hAnsiTheme="minorHAnsi"/>
                <w:sz w:val="17"/>
                <w:szCs w:val="17"/>
                <w:lang w:eastAsia="en-US"/>
              </w:rPr>
              <w:t>Rating</w:t>
            </w:r>
          </w:p>
        </w:tc>
        <w:tc>
          <w:tcPr>
            <w:tcW w:w="2702" w:type="pct"/>
          </w:tcPr>
          <w:p w:rsidR="00847EDF" w:rsidRDefault="00847EDF" w:rsidP="00847EDF">
            <w:pPr>
              <w:pStyle w:val="Heading5"/>
              <w:outlineLvl w:val="4"/>
              <w:rPr>
                <w:rFonts w:asciiTheme="minorHAnsi" w:eastAsia="Times New Roman" w:hAnsiTheme="minorHAnsi"/>
                <w:sz w:val="17"/>
                <w:szCs w:val="17"/>
                <w:lang w:eastAsia="en-US"/>
              </w:rPr>
            </w:pPr>
          </w:p>
          <w:p w:rsidR="002A441B" w:rsidRPr="00847EDF" w:rsidRDefault="002A441B" w:rsidP="00847EDF">
            <w:pPr>
              <w:pStyle w:val="Heading5"/>
              <w:outlineLvl w:val="4"/>
              <w:rPr>
                <w:rFonts w:asciiTheme="minorHAnsi" w:eastAsia="Times New Roman" w:hAnsiTheme="minorHAnsi"/>
                <w:sz w:val="17"/>
                <w:szCs w:val="17"/>
                <w:lang w:eastAsia="en-US"/>
              </w:rPr>
            </w:pPr>
            <w:r w:rsidRPr="00847EDF">
              <w:rPr>
                <w:rFonts w:asciiTheme="minorHAnsi" w:eastAsia="Times New Roman" w:hAnsiTheme="minorHAnsi"/>
                <w:sz w:val="17"/>
                <w:szCs w:val="17"/>
                <w:lang w:eastAsia="en-US"/>
              </w:rPr>
              <w:t>Progress in 2015-16</w:t>
            </w:r>
          </w:p>
        </w:tc>
      </w:tr>
      <w:tr w:rsidR="002A441B" w:rsidRPr="00A427C6" w:rsidTr="00266B4B">
        <w:tc>
          <w:tcPr>
            <w:tcW w:w="700" w:type="pct"/>
            <w:tcMar>
              <w:top w:w="57" w:type="dxa"/>
              <w:bottom w:w="57" w:type="dxa"/>
            </w:tcMar>
          </w:tcPr>
          <w:p w:rsidR="002A441B" w:rsidRPr="00A427C6" w:rsidRDefault="002A441B" w:rsidP="006F27B1">
            <w:pPr>
              <w:keepLines/>
              <w:spacing w:before="40" w:after="40" w:line="200" w:lineRule="atLeast"/>
              <w:rPr>
                <w:rFonts w:asciiTheme="minorHAnsi" w:eastAsia="Times New Roman" w:hAnsiTheme="minorHAnsi"/>
                <w:iCs/>
                <w:szCs w:val="17"/>
                <w:lang w:eastAsia="en-US"/>
              </w:rPr>
            </w:pPr>
            <w:r w:rsidRPr="002A441B">
              <w:rPr>
                <w:rFonts w:asciiTheme="minorHAnsi" w:eastAsia="Times New Roman" w:hAnsiTheme="minorHAnsi"/>
                <w:iCs/>
                <w:szCs w:val="17"/>
                <w:lang w:eastAsia="en-US"/>
              </w:rPr>
              <w:t>Outcome 1.1: Improved services delivered by the public sector</w:t>
            </w:r>
          </w:p>
        </w:tc>
        <w:tc>
          <w:tcPr>
            <w:tcW w:w="700" w:type="pct"/>
          </w:tcPr>
          <w:p w:rsidR="002A441B" w:rsidRPr="00A427C6" w:rsidRDefault="002A441B" w:rsidP="006F27B1">
            <w:pPr>
              <w:keepLines/>
              <w:spacing w:before="40" w:after="40" w:line="200" w:lineRule="atLeast"/>
              <w:rPr>
                <w:rFonts w:asciiTheme="minorHAnsi" w:eastAsia="Times New Roman" w:hAnsiTheme="minorHAnsi"/>
                <w:iCs/>
                <w:szCs w:val="17"/>
                <w:lang w:eastAsia="en-US"/>
              </w:rPr>
            </w:pPr>
            <w:r w:rsidRPr="002A441B">
              <w:rPr>
                <w:rFonts w:asciiTheme="minorHAnsi" w:eastAsia="Times New Roman" w:hAnsiTheme="minorHAnsi"/>
                <w:iCs/>
                <w:szCs w:val="17"/>
                <w:lang w:eastAsia="en-US"/>
              </w:rPr>
              <w:t>Number of women and men in the public service trained in core skills*</w:t>
            </w:r>
          </w:p>
        </w:tc>
        <w:tc>
          <w:tcPr>
            <w:tcW w:w="481" w:type="pct"/>
            <w:tcBorders>
              <w:top w:val="nil"/>
              <w:bottom w:val="nil"/>
            </w:tcBorders>
            <w:shd w:val="clear" w:color="auto" w:fill="auto"/>
          </w:tcPr>
          <w:p w:rsidR="0087168E" w:rsidRPr="0087168E" w:rsidRDefault="0087168E" w:rsidP="0087168E">
            <w:pPr>
              <w:keepLines/>
              <w:spacing w:before="40" w:after="40" w:line="200" w:lineRule="atLeast"/>
              <w:rPr>
                <w:rFonts w:asciiTheme="minorHAnsi" w:eastAsia="Times New Roman" w:hAnsiTheme="minorHAnsi"/>
                <w:iCs/>
                <w:szCs w:val="17"/>
              </w:rPr>
            </w:pPr>
            <w:r w:rsidRPr="0087168E">
              <w:rPr>
                <w:rFonts w:asciiTheme="minorHAnsi" w:eastAsia="Times New Roman" w:hAnsiTheme="minorHAnsi"/>
                <w:iCs/>
                <w:szCs w:val="17"/>
              </w:rPr>
              <w:t>Women: 2,680</w:t>
            </w:r>
          </w:p>
          <w:p w:rsidR="0087168E" w:rsidRPr="0087168E" w:rsidRDefault="0087168E" w:rsidP="0087168E">
            <w:pPr>
              <w:keepLines/>
              <w:spacing w:before="40" w:after="40" w:line="200" w:lineRule="atLeast"/>
              <w:rPr>
                <w:rFonts w:asciiTheme="minorHAnsi" w:eastAsia="Times New Roman" w:hAnsiTheme="minorHAnsi"/>
                <w:iCs/>
                <w:szCs w:val="17"/>
              </w:rPr>
            </w:pPr>
            <w:r w:rsidRPr="0087168E">
              <w:rPr>
                <w:rFonts w:asciiTheme="minorHAnsi" w:eastAsia="Times New Roman" w:hAnsiTheme="minorHAnsi"/>
                <w:iCs/>
                <w:szCs w:val="17"/>
              </w:rPr>
              <w:t>Men: 4,000</w:t>
            </w:r>
          </w:p>
          <w:p w:rsidR="002A441B" w:rsidRPr="0087168E" w:rsidRDefault="0087168E" w:rsidP="0087168E">
            <w:pPr>
              <w:keepLines/>
              <w:spacing w:before="40" w:after="40" w:line="200" w:lineRule="atLeast"/>
              <w:rPr>
                <w:rFonts w:eastAsia="Times New Roman"/>
                <w:iCs/>
                <w:szCs w:val="17"/>
              </w:rPr>
            </w:pPr>
            <w:r w:rsidRPr="0087168E">
              <w:rPr>
                <w:rFonts w:asciiTheme="minorHAnsi" w:eastAsia="Times New Roman" w:hAnsiTheme="minorHAnsi"/>
                <w:iCs/>
                <w:szCs w:val="17"/>
              </w:rPr>
              <w:t>Total: 6,680</w:t>
            </w:r>
          </w:p>
        </w:tc>
        <w:tc>
          <w:tcPr>
            <w:tcW w:w="417" w:type="pct"/>
            <w:tcBorders>
              <w:top w:val="nil"/>
              <w:bottom w:val="nil"/>
            </w:tcBorders>
            <w:shd w:val="clear" w:color="auto" w:fill="92D050"/>
          </w:tcPr>
          <w:p w:rsidR="002A441B" w:rsidRPr="00CE09ED" w:rsidRDefault="00840FBF" w:rsidP="0087168E">
            <w:pPr>
              <w:keepLines/>
              <w:spacing w:before="40" w:after="40" w:line="200" w:lineRule="atLeast"/>
              <w:rPr>
                <w:rFonts w:asciiTheme="minorHAnsi" w:eastAsia="Times New Roman" w:hAnsiTheme="minorHAnsi"/>
                <w:b/>
                <w:iCs/>
                <w:color w:val="FFFFFF" w:themeColor="background1"/>
                <w:szCs w:val="17"/>
                <w:lang w:eastAsia="en-US"/>
              </w:rPr>
            </w:pPr>
            <w:r w:rsidRPr="00840FBF">
              <w:rPr>
                <w:rFonts w:asciiTheme="minorHAnsi" w:eastAsia="Times New Roman" w:hAnsiTheme="minorHAnsi"/>
                <w:b/>
                <w:iCs/>
                <w:color w:val="FFFFFF" w:themeColor="background1"/>
                <w:szCs w:val="17"/>
                <w:lang w:eastAsia="en-US"/>
              </w:rPr>
              <w:t>Achieved</w:t>
            </w:r>
          </w:p>
        </w:tc>
        <w:tc>
          <w:tcPr>
            <w:tcW w:w="2702" w:type="pct"/>
          </w:tcPr>
          <w:p w:rsidR="002A441B" w:rsidRPr="00A427C6" w:rsidRDefault="00840FBF" w:rsidP="00840FBF">
            <w:pPr>
              <w:keepLines/>
              <w:spacing w:before="40" w:after="40" w:line="200" w:lineRule="atLeast"/>
              <w:rPr>
                <w:rFonts w:asciiTheme="minorHAnsi" w:eastAsia="Times New Roman" w:hAnsiTheme="minorHAnsi"/>
                <w:iCs/>
                <w:szCs w:val="17"/>
                <w:lang w:eastAsia="en-US"/>
              </w:rPr>
            </w:pPr>
            <w:r w:rsidRPr="00840FBF">
              <w:rPr>
                <w:rFonts w:asciiTheme="minorHAnsi" w:eastAsia="Times New Roman" w:hAnsiTheme="minorHAnsi"/>
                <w:iCs/>
                <w:szCs w:val="17"/>
                <w:lang w:eastAsia="en-US"/>
              </w:rPr>
              <w:t>Across the Australian aid program we trained 2,640 women and 4,051 men in the public service in core skills (6,691 total)</w:t>
            </w:r>
            <w:r>
              <w:rPr>
                <w:rFonts w:asciiTheme="minorHAnsi" w:eastAsia="Times New Roman" w:hAnsiTheme="minorHAnsi"/>
                <w:iCs/>
                <w:szCs w:val="17"/>
                <w:lang w:eastAsia="en-US"/>
              </w:rPr>
              <w:t>.</w:t>
            </w:r>
          </w:p>
        </w:tc>
      </w:tr>
      <w:tr w:rsidR="002A441B" w:rsidRPr="00A427C6" w:rsidTr="00266B4B">
        <w:tc>
          <w:tcPr>
            <w:tcW w:w="700" w:type="pct"/>
            <w:tcMar>
              <w:top w:w="57" w:type="dxa"/>
              <w:bottom w:w="57" w:type="dxa"/>
            </w:tcMar>
          </w:tcPr>
          <w:p w:rsidR="002A441B" w:rsidRPr="00A427C6" w:rsidRDefault="002A441B" w:rsidP="006F27B1">
            <w:pPr>
              <w:keepLines/>
              <w:spacing w:before="40" w:after="40" w:line="200" w:lineRule="atLeast"/>
              <w:rPr>
                <w:rFonts w:asciiTheme="minorHAnsi" w:eastAsia="Times New Roman" w:hAnsiTheme="minorHAnsi"/>
                <w:iCs/>
                <w:szCs w:val="17"/>
                <w:lang w:eastAsia="en-US"/>
              </w:rPr>
            </w:pPr>
            <w:r w:rsidRPr="002A441B">
              <w:rPr>
                <w:rFonts w:asciiTheme="minorHAnsi" w:eastAsia="Times New Roman" w:hAnsiTheme="minorHAnsi"/>
                <w:iCs/>
                <w:szCs w:val="17"/>
                <w:lang w:eastAsia="en-US"/>
              </w:rPr>
              <w:t>Outcome 1.2: Improved law and justice services</w:t>
            </w:r>
          </w:p>
        </w:tc>
        <w:tc>
          <w:tcPr>
            <w:tcW w:w="700" w:type="pct"/>
          </w:tcPr>
          <w:p w:rsidR="002A441B" w:rsidRPr="00A427C6" w:rsidRDefault="002A441B" w:rsidP="006F27B1">
            <w:pPr>
              <w:keepLines/>
              <w:spacing w:before="40" w:after="40" w:line="200" w:lineRule="atLeast"/>
              <w:rPr>
                <w:rFonts w:asciiTheme="minorHAnsi" w:eastAsia="Times New Roman" w:hAnsiTheme="minorHAnsi"/>
                <w:iCs/>
                <w:szCs w:val="17"/>
                <w:lang w:eastAsia="en-US"/>
              </w:rPr>
            </w:pPr>
            <w:r w:rsidRPr="002A441B">
              <w:rPr>
                <w:rFonts w:asciiTheme="minorHAnsi" w:eastAsia="Times New Roman" w:hAnsiTheme="minorHAnsi"/>
                <w:iCs/>
                <w:szCs w:val="17"/>
                <w:lang w:eastAsia="en-US"/>
              </w:rPr>
              <w:t>Number of survivors of violence receiving services, such as counselling**</w:t>
            </w:r>
          </w:p>
        </w:tc>
        <w:tc>
          <w:tcPr>
            <w:tcW w:w="481" w:type="pct"/>
            <w:tcBorders>
              <w:top w:val="nil"/>
              <w:bottom w:val="nil"/>
            </w:tcBorders>
            <w:shd w:val="clear" w:color="auto" w:fill="auto"/>
          </w:tcPr>
          <w:p w:rsidR="0087168E" w:rsidRPr="0087168E" w:rsidRDefault="0087168E" w:rsidP="0087168E">
            <w:pPr>
              <w:keepLines/>
              <w:spacing w:before="40" w:after="40" w:line="200" w:lineRule="atLeast"/>
              <w:rPr>
                <w:rFonts w:asciiTheme="minorHAnsi" w:eastAsia="Times New Roman" w:hAnsiTheme="minorHAnsi"/>
                <w:iCs/>
                <w:szCs w:val="17"/>
              </w:rPr>
            </w:pPr>
            <w:r w:rsidRPr="0087168E">
              <w:rPr>
                <w:rFonts w:asciiTheme="minorHAnsi" w:eastAsia="Times New Roman" w:hAnsiTheme="minorHAnsi"/>
                <w:iCs/>
                <w:szCs w:val="17"/>
              </w:rPr>
              <w:t>Women: 13,720</w:t>
            </w:r>
          </w:p>
          <w:p w:rsidR="0087168E" w:rsidRPr="0087168E" w:rsidRDefault="0087168E" w:rsidP="0087168E">
            <w:pPr>
              <w:keepLines/>
              <w:spacing w:before="40" w:after="40" w:line="200" w:lineRule="atLeast"/>
              <w:rPr>
                <w:rFonts w:asciiTheme="minorHAnsi" w:eastAsia="Times New Roman" w:hAnsiTheme="minorHAnsi"/>
                <w:iCs/>
                <w:szCs w:val="17"/>
              </w:rPr>
            </w:pPr>
            <w:r w:rsidRPr="0087168E">
              <w:rPr>
                <w:rFonts w:asciiTheme="minorHAnsi" w:eastAsia="Times New Roman" w:hAnsiTheme="minorHAnsi"/>
                <w:iCs/>
                <w:szCs w:val="17"/>
              </w:rPr>
              <w:t>Men: 280</w:t>
            </w:r>
          </w:p>
          <w:p w:rsidR="002A441B" w:rsidRPr="0087168E" w:rsidRDefault="0087168E" w:rsidP="0087168E">
            <w:pPr>
              <w:keepLines/>
              <w:spacing w:before="40" w:after="40" w:line="200" w:lineRule="atLeast"/>
              <w:rPr>
                <w:rFonts w:asciiTheme="minorHAnsi" w:eastAsia="Times New Roman" w:hAnsiTheme="minorHAnsi"/>
                <w:iCs/>
                <w:szCs w:val="17"/>
              </w:rPr>
            </w:pPr>
            <w:r w:rsidRPr="0087168E">
              <w:rPr>
                <w:rFonts w:asciiTheme="minorHAnsi" w:eastAsia="Times New Roman" w:hAnsiTheme="minorHAnsi"/>
                <w:iCs/>
                <w:szCs w:val="17"/>
              </w:rPr>
              <w:t>Total: 14,000</w:t>
            </w:r>
          </w:p>
        </w:tc>
        <w:tc>
          <w:tcPr>
            <w:tcW w:w="417" w:type="pct"/>
            <w:tcBorders>
              <w:top w:val="nil"/>
              <w:bottom w:val="nil"/>
            </w:tcBorders>
            <w:shd w:val="clear" w:color="auto" w:fill="auto"/>
          </w:tcPr>
          <w:p w:rsidR="002A441B" w:rsidRPr="00CE09ED" w:rsidRDefault="00E74B4A" w:rsidP="0087168E">
            <w:pPr>
              <w:keepLines/>
              <w:spacing w:before="40" w:after="4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2015-16 figures not available</w:t>
            </w:r>
          </w:p>
        </w:tc>
        <w:tc>
          <w:tcPr>
            <w:tcW w:w="2702" w:type="pct"/>
          </w:tcPr>
          <w:p w:rsidR="002A441B" w:rsidRPr="00666781" w:rsidRDefault="00666781" w:rsidP="00A20D75">
            <w:pPr>
              <w:keepLines/>
              <w:spacing w:before="40" w:after="40" w:line="200" w:lineRule="atLeast"/>
              <w:rPr>
                <w:rFonts w:asciiTheme="minorHAnsi" w:eastAsia="Times New Roman" w:hAnsiTheme="minorHAnsi"/>
                <w:iCs/>
                <w:szCs w:val="17"/>
                <w:lang w:eastAsia="en-US"/>
              </w:rPr>
            </w:pPr>
            <w:r w:rsidRPr="00666781">
              <w:rPr>
                <w:rFonts w:asciiTheme="minorHAnsi" w:eastAsia="Times New Roman" w:hAnsiTheme="minorHAnsi" w:cstheme="minorHAnsi"/>
                <w:iCs/>
                <w:szCs w:val="17"/>
                <w:lang w:eastAsia="en-US"/>
              </w:rPr>
              <w:t xml:space="preserve">14,323 survivors of violence accessed support services from </w:t>
            </w:r>
            <w:r w:rsidR="00A20D75">
              <w:rPr>
                <w:rFonts w:asciiTheme="minorHAnsi" w:eastAsia="Times New Roman" w:hAnsiTheme="minorHAnsi" w:cstheme="minorHAnsi"/>
                <w:iCs/>
                <w:szCs w:val="17"/>
                <w:lang w:eastAsia="en-US"/>
              </w:rPr>
              <w:t>Royal Papua New Guinea Constabulary Family and Sexual Violence Units</w:t>
            </w:r>
            <w:r w:rsidRPr="00666781">
              <w:rPr>
                <w:rFonts w:asciiTheme="minorHAnsi" w:eastAsia="Times New Roman" w:hAnsiTheme="minorHAnsi" w:cstheme="minorHAnsi"/>
                <w:iCs/>
                <w:szCs w:val="17"/>
                <w:lang w:eastAsia="en-US"/>
              </w:rPr>
              <w:t xml:space="preserve"> in 2014. </w:t>
            </w:r>
            <w:r w:rsidR="00A20D75">
              <w:rPr>
                <w:rFonts w:asciiTheme="minorHAnsi" w:eastAsia="Times New Roman" w:hAnsiTheme="minorHAnsi" w:cstheme="minorHAnsi"/>
                <w:iCs/>
                <w:szCs w:val="17"/>
                <w:lang w:eastAsia="en-US"/>
              </w:rPr>
              <w:t xml:space="preserve">The </w:t>
            </w:r>
            <w:r w:rsidRPr="00666781">
              <w:rPr>
                <w:rFonts w:asciiTheme="minorHAnsi" w:eastAsia="Times New Roman" w:hAnsiTheme="minorHAnsi" w:cstheme="minorHAnsi"/>
                <w:iCs/>
                <w:szCs w:val="17"/>
                <w:lang w:eastAsia="en-US"/>
              </w:rPr>
              <w:t>2015 data is incomplete and updated figures will be inc</w:t>
            </w:r>
            <w:r w:rsidR="005C044B">
              <w:rPr>
                <w:rFonts w:asciiTheme="minorHAnsi" w:eastAsia="Times New Roman" w:hAnsiTheme="minorHAnsi" w:cstheme="minorHAnsi"/>
                <w:iCs/>
                <w:szCs w:val="17"/>
                <w:lang w:eastAsia="en-US"/>
              </w:rPr>
              <w:t>luded in future reporting. W</w:t>
            </w:r>
            <w:r w:rsidRPr="00666781">
              <w:rPr>
                <w:rFonts w:asciiTheme="minorHAnsi" w:eastAsia="Times New Roman" w:hAnsiTheme="minorHAnsi" w:cstheme="minorHAnsi"/>
                <w:iCs/>
                <w:szCs w:val="17"/>
                <w:lang w:eastAsia="en-US"/>
              </w:rPr>
              <w:t xml:space="preserve">e expect that figures will be as high or higher for 2015.   </w:t>
            </w:r>
          </w:p>
        </w:tc>
      </w:tr>
      <w:tr w:rsidR="002A441B" w:rsidRPr="00A427C6" w:rsidTr="00266B4B">
        <w:tc>
          <w:tcPr>
            <w:tcW w:w="700" w:type="pct"/>
            <w:tcMar>
              <w:top w:w="57" w:type="dxa"/>
              <w:bottom w:w="57" w:type="dxa"/>
            </w:tcMar>
          </w:tcPr>
          <w:p w:rsidR="002A441B" w:rsidRPr="00A427C6" w:rsidRDefault="002A441B" w:rsidP="006F27B1">
            <w:pPr>
              <w:keepLines/>
              <w:spacing w:before="40" w:after="40" w:line="200" w:lineRule="atLeast"/>
              <w:rPr>
                <w:rFonts w:asciiTheme="minorHAnsi" w:eastAsia="Times New Roman" w:hAnsiTheme="minorHAnsi"/>
                <w:iCs/>
                <w:szCs w:val="17"/>
                <w:lang w:eastAsia="en-US"/>
              </w:rPr>
            </w:pPr>
          </w:p>
        </w:tc>
        <w:tc>
          <w:tcPr>
            <w:tcW w:w="700" w:type="pct"/>
          </w:tcPr>
          <w:p w:rsidR="002A441B" w:rsidRPr="00A427C6" w:rsidRDefault="002A441B" w:rsidP="006F27B1">
            <w:pPr>
              <w:keepLines/>
              <w:spacing w:before="40" w:after="40" w:line="200" w:lineRule="atLeast"/>
              <w:rPr>
                <w:rFonts w:asciiTheme="minorHAnsi" w:eastAsia="Times New Roman" w:hAnsiTheme="minorHAnsi"/>
                <w:iCs/>
                <w:szCs w:val="17"/>
                <w:lang w:eastAsia="en-US"/>
              </w:rPr>
            </w:pPr>
            <w:r w:rsidRPr="002A441B">
              <w:rPr>
                <w:rFonts w:asciiTheme="minorHAnsi" w:eastAsia="Times New Roman" w:hAnsiTheme="minorHAnsi"/>
                <w:iCs/>
                <w:szCs w:val="17"/>
                <w:lang w:eastAsia="en-US"/>
              </w:rPr>
              <w:t>Number of police and law and justice officials trained</w:t>
            </w:r>
          </w:p>
        </w:tc>
        <w:tc>
          <w:tcPr>
            <w:tcW w:w="481" w:type="pct"/>
            <w:tcBorders>
              <w:top w:val="nil"/>
              <w:bottom w:val="nil"/>
            </w:tcBorders>
            <w:shd w:val="clear" w:color="auto" w:fill="auto"/>
          </w:tcPr>
          <w:p w:rsidR="0087168E" w:rsidRPr="00F15D5E" w:rsidRDefault="0087168E" w:rsidP="0087168E">
            <w:pPr>
              <w:keepLines/>
              <w:spacing w:before="40" w:after="40" w:line="200" w:lineRule="atLeast"/>
              <w:rPr>
                <w:rFonts w:asciiTheme="minorHAnsi" w:eastAsia="Times New Roman" w:hAnsiTheme="minorHAnsi"/>
                <w:iCs/>
                <w:szCs w:val="17"/>
              </w:rPr>
            </w:pPr>
            <w:r w:rsidRPr="00F15D5E">
              <w:rPr>
                <w:rFonts w:asciiTheme="minorHAnsi" w:eastAsia="Times New Roman" w:hAnsiTheme="minorHAnsi"/>
                <w:iCs/>
                <w:szCs w:val="17"/>
              </w:rPr>
              <w:t>Women: 1,139</w:t>
            </w:r>
          </w:p>
          <w:p w:rsidR="0087168E" w:rsidRPr="00F15D5E" w:rsidRDefault="0087168E" w:rsidP="0087168E">
            <w:pPr>
              <w:keepLines/>
              <w:spacing w:before="40" w:after="40" w:line="200" w:lineRule="atLeast"/>
              <w:rPr>
                <w:rFonts w:asciiTheme="minorHAnsi" w:eastAsia="Times New Roman" w:hAnsiTheme="minorHAnsi"/>
                <w:iCs/>
                <w:szCs w:val="17"/>
              </w:rPr>
            </w:pPr>
            <w:r w:rsidRPr="00F15D5E">
              <w:rPr>
                <w:rFonts w:asciiTheme="minorHAnsi" w:eastAsia="Times New Roman" w:hAnsiTheme="minorHAnsi"/>
                <w:iCs/>
                <w:szCs w:val="17"/>
              </w:rPr>
              <w:t>Men: 2,942</w:t>
            </w:r>
          </w:p>
          <w:p w:rsidR="002A441B" w:rsidRPr="00F15D5E" w:rsidRDefault="0087168E" w:rsidP="0087168E">
            <w:pPr>
              <w:keepLines/>
              <w:spacing w:before="40" w:after="40" w:line="200" w:lineRule="atLeast"/>
              <w:rPr>
                <w:rFonts w:asciiTheme="minorHAnsi" w:eastAsia="Times New Roman" w:hAnsiTheme="minorHAnsi"/>
                <w:iCs/>
                <w:szCs w:val="17"/>
              </w:rPr>
            </w:pPr>
            <w:r w:rsidRPr="00F15D5E">
              <w:rPr>
                <w:rFonts w:asciiTheme="minorHAnsi" w:eastAsia="Times New Roman" w:hAnsiTheme="minorHAnsi"/>
                <w:iCs/>
                <w:szCs w:val="17"/>
              </w:rPr>
              <w:t>Total: 4,081</w:t>
            </w:r>
          </w:p>
          <w:p w:rsidR="00CE09ED" w:rsidRPr="00F15D5E" w:rsidRDefault="00CE09ED" w:rsidP="0087168E">
            <w:pPr>
              <w:keepLines/>
              <w:spacing w:before="40" w:after="40" w:line="200" w:lineRule="atLeast"/>
              <w:rPr>
                <w:rFonts w:asciiTheme="minorHAnsi" w:eastAsia="Times New Roman" w:hAnsiTheme="minorHAnsi"/>
                <w:iCs/>
                <w:szCs w:val="17"/>
              </w:rPr>
            </w:pPr>
          </w:p>
          <w:p w:rsidR="00CE09ED" w:rsidRPr="00F15D5E" w:rsidRDefault="00CE09ED" w:rsidP="0087168E">
            <w:pPr>
              <w:keepLines/>
              <w:spacing w:before="40" w:after="40" w:line="200" w:lineRule="atLeast"/>
              <w:rPr>
                <w:rFonts w:asciiTheme="minorHAnsi" w:eastAsia="Times New Roman" w:hAnsiTheme="minorHAnsi"/>
                <w:iCs/>
                <w:color w:val="FFFFFF" w:themeColor="background1"/>
                <w:szCs w:val="17"/>
              </w:rPr>
            </w:pPr>
          </w:p>
        </w:tc>
        <w:tc>
          <w:tcPr>
            <w:tcW w:w="417" w:type="pct"/>
            <w:tcBorders>
              <w:top w:val="nil"/>
              <w:bottom w:val="nil"/>
            </w:tcBorders>
            <w:shd w:val="clear" w:color="auto" w:fill="92D050"/>
          </w:tcPr>
          <w:p w:rsidR="002A441B" w:rsidRPr="00CE09ED" w:rsidRDefault="00666781" w:rsidP="0087168E">
            <w:pPr>
              <w:keepLines/>
              <w:spacing w:before="40" w:after="40" w:line="200" w:lineRule="atLeast"/>
              <w:rPr>
                <w:rFonts w:asciiTheme="minorHAnsi" w:eastAsia="Times New Roman" w:hAnsiTheme="minorHAnsi"/>
                <w:b/>
                <w:iCs/>
                <w:szCs w:val="17"/>
                <w:lang w:eastAsia="en-US"/>
              </w:rPr>
            </w:pPr>
            <w:r w:rsidRPr="00666781">
              <w:rPr>
                <w:rFonts w:asciiTheme="minorHAnsi" w:eastAsia="Times New Roman" w:hAnsiTheme="minorHAnsi"/>
                <w:b/>
                <w:iCs/>
                <w:color w:val="FFFFFF" w:themeColor="background1"/>
                <w:szCs w:val="17"/>
                <w:lang w:eastAsia="en-US"/>
              </w:rPr>
              <w:t>Achieved</w:t>
            </w:r>
          </w:p>
        </w:tc>
        <w:tc>
          <w:tcPr>
            <w:tcW w:w="2702" w:type="pct"/>
          </w:tcPr>
          <w:p w:rsidR="002A441B" w:rsidRPr="00A427C6" w:rsidRDefault="00666781" w:rsidP="00077CB3">
            <w:pPr>
              <w:pStyle w:val="TableTextEntries"/>
              <w:keepNext/>
              <w:rPr>
                <w:rFonts w:asciiTheme="minorHAnsi" w:hAnsiTheme="minorHAnsi"/>
                <w:iCs w:val="0"/>
                <w:lang w:eastAsia="en-US"/>
              </w:rPr>
            </w:pPr>
            <w:r w:rsidRPr="00666781">
              <w:rPr>
                <w:rFonts w:asciiTheme="minorHAnsi" w:hAnsiTheme="minorHAnsi"/>
                <w:iCs w:val="0"/>
                <w:color w:val="495965" w:themeColor="text2"/>
                <w:lang w:eastAsia="en-US"/>
              </w:rPr>
              <w:t>4,483 (1,056 women, 3,427 men) police and law and justice officials were trained with Australian assistance in 2015-16. The proportion of women was short of the benchmark, but should improve as new activities are rolled out.</w:t>
            </w:r>
          </w:p>
        </w:tc>
      </w:tr>
      <w:tr w:rsidR="002A441B" w:rsidRPr="00A427C6" w:rsidTr="00266B4B">
        <w:tc>
          <w:tcPr>
            <w:tcW w:w="700" w:type="pct"/>
            <w:tcMar>
              <w:top w:w="57" w:type="dxa"/>
              <w:bottom w:w="57" w:type="dxa"/>
            </w:tcMar>
          </w:tcPr>
          <w:p w:rsidR="002A441B" w:rsidRPr="0087168E" w:rsidRDefault="0087168E" w:rsidP="006F27B1">
            <w:pPr>
              <w:keepLines/>
              <w:spacing w:before="40" w:after="40" w:line="200" w:lineRule="atLeast"/>
              <w:rPr>
                <w:rFonts w:asciiTheme="minorHAnsi" w:eastAsia="Times New Roman" w:hAnsiTheme="minorHAnsi"/>
                <w:iCs/>
                <w:szCs w:val="17"/>
              </w:rPr>
            </w:pPr>
            <w:r w:rsidRPr="0087168E">
              <w:rPr>
                <w:rFonts w:asciiTheme="minorHAnsi" w:eastAsia="Times New Roman" w:hAnsiTheme="minorHAnsi"/>
                <w:iCs/>
                <w:szCs w:val="17"/>
              </w:rPr>
              <w:t>Outcome 2.1: Private sector plays a greater role in economic development</w:t>
            </w:r>
          </w:p>
        </w:tc>
        <w:tc>
          <w:tcPr>
            <w:tcW w:w="700" w:type="pct"/>
          </w:tcPr>
          <w:p w:rsidR="002A441B" w:rsidRPr="0087168E" w:rsidRDefault="00F15D5E" w:rsidP="006F27B1">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Increase to 30 per cent</w:t>
            </w:r>
            <w:r w:rsidR="0087168E" w:rsidRPr="0087168E">
              <w:rPr>
                <w:rFonts w:asciiTheme="minorHAnsi" w:eastAsia="Times New Roman" w:hAnsiTheme="minorHAnsi"/>
                <w:iCs/>
                <w:szCs w:val="17"/>
              </w:rPr>
              <w:t xml:space="preserve"> the percentage of the aid program focused on private sector led growth and aid for trade***</w:t>
            </w:r>
          </w:p>
        </w:tc>
        <w:tc>
          <w:tcPr>
            <w:tcW w:w="481" w:type="pct"/>
            <w:tcBorders>
              <w:top w:val="nil"/>
              <w:bottom w:val="nil"/>
            </w:tcBorders>
            <w:shd w:val="clear" w:color="auto" w:fill="auto"/>
          </w:tcPr>
          <w:p w:rsidR="002A441B" w:rsidRPr="00F15D5E" w:rsidRDefault="00F15D5E" w:rsidP="006F27B1">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28 per cent</w:t>
            </w:r>
          </w:p>
        </w:tc>
        <w:tc>
          <w:tcPr>
            <w:tcW w:w="417" w:type="pct"/>
            <w:tcBorders>
              <w:top w:val="nil"/>
              <w:bottom w:val="nil"/>
            </w:tcBorders>
            <w:shd w:val="clear" w:color="auto" w:fill="92D050"/>
          </w:tcPr>
          <w:p w:rsidR="002A441B" w:rsidRPr="00E74B4A" w:rsidRDefault="00CE09ED" w:rsidP="006F27B1">
            <w:pPr>
              <w:keepLines/>
              <w:spacing w:before="40" w:after="40" w:line="200" w:lineRule="atLeast"/>
              <w:rPr>
                <w:rFonts w:asciiTheme="minorHAnsi" w:eastAsia="Times New Roman" w:hAnsiTheme="minorHAnsi"/>
                <w:b/>
                <w:iCs/>
                <w:color w:val="FFFFFF" w:themeColor="background1"/>
                <w:szCs w:val="17"/>
              </w:rPr>
            </w:pPr>
            <w:r w:rsidRPr="00E74B4A">
              <w:rPr>
                <w:rFonts w:asciiTheme="minorHAnsi" w:eastAsia="Times New Roman" w:hAnsiTheme="minorHAnsi"/>
                <w:b/>
                <w:iCs/>
                <w:color w:val="FFFFFF" w:themeColor="background1"/>
                <w:szCs w:val="17"/>
              </w:rPr>
              <w:t>Achieved</w:t>
            </w:r>
          </w:p>
        </w:tc>
        <w:tc>
          <w:tcPr>
            <w:tcW w:w="2702" w:type="pct"/>
          </w:tcPr>
          <w:p w:rsidR="002A441B" w:rsidRPr="00A427C6" w:rsidRDefault="00B77BF2" w:rsidP="00AA7BE3">
            <w:pPr>
              <w:pStyle w:val="TableTextEntries"/>
              <w:keepNext/>
              <w:rPr>
                <w:rFonts w:asciiTheme="minorHAnsi" w:hAnsiTheme="minorHAnsi"/>
              </w:rPr>
            </w:pPr>
            <w:r w:rsidRPr="00B77BF2">
              <w:rPr>
                <w:rFonts w:asciiTheme="minorHAnsi" w:hAnsiTheme="minorHAnsi"/>
                <w:color w:val="495965" w:themeColor="text2"/>
              </w:rPr>
              <w:t>Several programs commenced in PNG during 2015-16, including the Pacific Horticultural and Agricultural Market Access and Market Development Facility programs.</w:t>
            </w:r>
          </w:p>
        </w:tc>
      </w:tr>
      <w:tr w:rsidR="002A441B" w:rsidRPr="00A427C6" w:rsidTr="00706D4F">
        <w:tc>
          <w:tcPr>
            <w:tcW w:w="700" w:type="pct"/>
            <w:tcBorders>
              <w:bottom w:val="nil"/>
            </w:tcBorders>
            <w:tcMar>
              <w:top w:w="57" w:type="dxa"/>
              <w:bottom w:w="57" w:type="dxa"/>
            </w:tcMar>
          </w:tcPr>
          <w:p w:rsidR="002A441B" w:rsidRPr="00A427C6" w:rsidRDefault="002A441B" w:rsidP="006F27B1">
            <w:pPr>
              <w:keepLines/>
              <w:spacing w:before="40" w:after="40" w:line="200" w:lineRule="atLeast"/>
              <w:rPr>
                <w:rFonts w:eastAsia="Times New Roman"/>
                <w:iCs/>
                <w:szCs w:val="17"/>
              </w:rPr>
            </w:pPr>
          </w:p>
        </w:tc>
        <w:tc>
          <w:tcPr>
            <w:tcW w:w="700" w:type="pct"/>
            <w:tcBorders>
              <w:bottom w:val="nil"/>
            </w:tcBorders>
          </w:tcPr>
          <w:p w:rsidR="00833E98" w:rsidRPr="00266B4B" w:rsidRDefault="00CE09ED" w:rsidP="006F27B1">
            <w:pPr>
              <w:keepLines/>
              <w:spacing w:before="40" w:after="40" w:line="200" w:lineRule="atLeast"/>
              <w:rPr>
                <w:rFonts w:asciiTheme="minorHAnsi" w:eastAsia="Times New Roman" w:hAnsiTheme="minorHAnsi"/>
                <w:iCs/>
                <w:szCs w:val="17"/>
              </w:rPr>
            </w:pPr>
            <w:r w:rsidRPr="00CE09ED">
              <w:rPr>
                <w:rFonts w:asciiTheme="minorHAnsi" w:eastAsia="Times New Roman" w:hAnsiTheme="minorHAnsi"/>
                <w:iCs/>
                <w:szCs w:val="17"/>
              </w:rPr>
              <w:t>Number of poor women and men who increase their access to financial services</w:t>
            </w:r>
          </w:p>
        </w:tc>
        <w:tc>
          <w:tcPr>
            <w:tcW w:w="481" w:type="pct"/>
            <w:tcBorders>
              <w:top w:val="nil"/>
              <w:bottom w:val="nil"/>
            </w:tcBorders>
            <w:shd w:val="clear" w:color="auto" w:fill="auto"/>
          </w:tcPr>
          <w:p w:rsidR="00CE09ED" w:rsidRPr="00CE09ED" w:rsidRDefault="00CE09ED" w:rsidP="00CE09ED">
            <w:pPr>
              <w:keepLines/>
              <w:spacing w:before="40" w:after="40" w:line="200" w:lineRule="atLeast"/>
              <w:rPr>
                <w:rFonts w:asciiTheme="minorHAnsi" w:eastAsia="Times New Roman" w:hAnsiTheme="minorHAnsi"/>
                <w:iCs/>
                <w:szCs w:val="17"/>
              </w:rPr>
            </w:pPr>
            <w:r w:rsidRPr="00CE09ED">
              <w:rPr>
                <w:rFonts w:asciiTheme="minorHAnsi" w:eastAsia="Times New Roman" w:hAnsiTheme="minorHAnsi"/>
                <w:iCs/>
                <w:szCs w:val="17"/>
              </w:rPr>
              <w:t>Women: 12,900</w:t>
            </w:r>
          </w:p>
          <w:p w:rsidR="00CE09ED" w:rsidRPr="00CE09ED" w:rsidRDefault="00CE09ED" w:rsidP="00CE09ED">
            <w:pPr>
              <w:keepLines/>
              <w:spacing w:before="40" w:after="40" w:line="200" w:lineRule="atLeast"/>
              <w:rPr>
                <w:rFonts w:asciiTheme="minorHAnsi" w:eastAsia="Times New Roman" w:hAnsiTheme="minorHAnsi"/>
                <w:iCs/>
                <w:szCs w:val="17"/>
              </w:rPr>
            </w:pPr>
            <w:r w:rsidRPr="00CE09ED">
              <w:rPr>
                <w:rFonts w:asciiTheme="minorHAnsi" w:eastAsia="Times New Roman" w:hAnsiTheme="minorHAnsi"/>
                <w:iCs/>
                <w:szCs w:val="17"/>
              </w:rPr>
              <w:t>Men: 17,100</w:t>
            </w:r>
          </w:p>
          <w:p w:rsidR="002A441B" w:rsidRPr="00CE09ED" w:rsidRDefault="00CE09ED" w:rsidP="00CE09ED">
            <w:pPr>
              <w:keepLines/>
              <w:spacing w:before="40" w:after="40" w:line="200" w:lineRule="atLeast"/>
              <w:rPr>
                <w:rFonts w:asciiTheme="minorHAnsi" w:eastAsia="Times New Roman" w:hAnsiTheme="minorHAnsi"/>
                <w:iCs/>
                <w:szCs w:val="17"/>
              </w:rPr>
            </w:pPr>
            <w:r w:rsidRPr="00CE09ED">
              <w:rPr>
                <w:rFonts w:asciiTheme="minorHAnsi" w:eastAsia="Times New Roman" w:hAnsiTheme="minorHAnsi"/>
                <w:iCs/>
                <w:szCs w:val="17"/>
              </w:rPr>
              <w:t>Total: 30,000</w:t>
            </w:r>
          </w:p>
        </w:tc>
        <w:tc>
          <w:tcPr>
            <w:tcW w:w="417" w:type="pct"/>
            <w:tcBorders>
              <w:top w:val="nil"/>
              <w:bottom w:val="nil"/>
            </w:tcBorders>
            <w:shd w:val="clear" w:color="auto" w:fill="92D050"/>
          </w:tcPr>
          <w:p w:rsidR="002A441B" w:rsidRPr="00E74B4A" w:rsidRDefault="00CE09ED" w:rsidP="006F27B1">
            <w:pPr>
              <w:keepLines/>
              <w:spacing w:before="40" w:after="40" w:line="200" w:lineRule="atLeast"/>
              <w:rPr>
                <w:rFonts w:asciiTheme="minorHAnsi" w:eastAsia="Times New Roman" w:hAnsiTheme="minorHAnsi"/>
                <w:b/>
                <w:iCs/>
                <w:color w:val="FFFFFF" w:themeColor="background1"/>
                <w:szCs w:val="17"/>
              </w:rPr>
            </w:pPr>
            <w:r w:rsidRPr="00E74B4A">
              <w:rPr>
                <w:rFonts w:asciiTheme="minorHAnsi" w:eastAsia="Times New Roman" w:hAnsiTheme="minorHAnsi"/>
                <w:b/>
                <w:iCs/>
                <w:color w:val="FFFFFF" w:themeColor="background1"/>
                <w:szCs w:val="17"/>
              </w:rPr>
              <w:t>Achieved</w:t>
            </w:r>
          </w:p>
        </w:tc>
        <w:tc>
          <w:tcPr>
            <w:tcW w:w="2702" w:type="pct"/>
            <w:tcBorders>
              <w:bottom w:val="nil"/>
            </w:tcBorders>
          </w:tcPr>
          <w:p w:rsidR="002A441B" w:rsidRPr="00A427C6" w:rsidRDefault="00A20D75" w:rsidP="00AA7BE3">
            <w:pPr>
              <w:pStyle w:val="TableTextEntries"/>
              <w:keepNext/>
              <w:rPr>
                <w:rFonts w:asciiTheme="minorHAnsi" w:hAnsiTheme="minorHAnsi"/>
              </w:rPr>
            </w:pPr>
            <w:r>
              <w:rPr>
                <w:rFonts w:asciiTheme="minorHAnsi" w:hAnsiTheme="minorHAnsi"/>
                <w:color w:val="495965" w:themeColor="text2"/>
              </w:rPr>
              <w:t>Over 35,491 people increased</w:t>
            </w:r>
            <w:r w:rsidR="00B77BF2" w:rsidRPr="00B77BF2">
              <w:rPr>
                <w:rFonts w:asciiTheme="minorHAnsi" w:hAnsiTheme="minorHAnsi"/>
                <w:color w:val="495965" w:themeColor="text2"/>
              </w:rPr>
              <w:t xml:space="preserve"> their access to financial services, 29,843 of whom were women (84 per cent).</w:t>
            </w:r>
          </w:p>
        </w:tc>
      </w:tr>
      <w:tr w:rsidR="00266B4B" w:rsidRPr="00A427C6" w:rsidTr="00706D4F">
        <w:tc>
          <w:tcPr>
            <w:tcW w:w="700" w:type="pct"/>
            <w:tcBorders>
              <w:top w:val="nil"/>
              <w:bottom w:val="single" w:sz="4" w:space="0" w:color="auto"/>
            </w:tcBorders>
            <w:tcMar>
              <w:top w:w="57" w:type="dxa"/>
              <w:bottom w:w="57" w:type="dxa"/>
            </w:tcMar>
          </w:tcPr>
          <w:p w:rsidR="00266B4B" w:rsidRPr="00A427C6" w:rsidRDefault="00266B4B" w:rsidP="006F27B1">
            <w:pPr>
              <w:keepLines/>
              <w:spacing w:before="40" w:after="40" w:line="200" w:lineRule="atLeast"/>
              <w:rPr>
                <w:rFonts w:eastAsia="Times New Roman"/>
                <w:iCs/>
                <w:szCs w:val="17"/>
              </w:rPr>
            </w:pPr>
          </w:p>
        </w:tc>
        <w:tc>
          <w:tcPr>
            <w:tcW w:w="700" w:type="pct"/>
            <w:tcBorders>
              <w:top w:val="nil"/>
              <w:bottom w:val="single" w:sz="4" w:space="0" w:color="auto"/>
            </w:tcBorders>
          </w:tcPr>
          <w:p w:rsidR="00266B4B" w:rsidRPr="00CE09ED" w:rsidRDefault="00266B4B" w:rsidP="006F27B1">
            <w:pPr>
              <w:keepLines/>
              <w:spacing w:before="40" w:after="40" w:line="200" w:lineRule="atLeast"/>
              <w:rPr>
                <w:rFonts w:eastAsia="Times New Roman"/>
                <w:iCs/>
                <w:szCs w:val="17"/>
              </w:rPr>
            </w:pPr>
          </w:p>
        </w:tc>
        <w:tc>
          <w:tcPr>
            <w:tcW w:w="481" w:type="pct"/>
            <w:tcBorders>
              <w:top w:val="nil"/>
              <w:bottom w:val="single" w:sz="4" w:space="0" w:color="auto"/>
            </w:tcBorders>
            <w:shd w:val="clear" w:color="auto" w:fill="auto"/>
          </w:tcPr>
          <w:p w:rsidR="00266B4B" w:rsidRPr="00CE09ED" w:rsidRDefault="00266B4B" w:rsidP="00CE09ED">
            <w:pPr>
              <w:keepLines/>
              <w:spacing w:before="40" w:after="40" w:line="200" w:lineRule="atLeast"/>
              <w:rPr>
                <w:rFonts w:eastAsia="Times New Roman"/>
                <w:iCs/>
                <w:szCs w:val="17"/>
              </w:rPr>
            </w:pPr>
          </w:p>
        </w:tc>
        <w:tc>
          <w:tcPr>
            <w:tcW w:w="417" w:type="pct"/>
            <w:tcBorders>
              <w:top w:val="nil"/>
              <w:bottom w:val="single" w:sz="4" w:space="0" w:color="auto"/>
            </w:tcBorders>
            <w:shd w:val="clear" w:color="auto" w:fill="92D050"/>
          </w:tcPr>
          <w:p w:rsidR="00266B4B" w:rsidRPr="00E74B4A" w:rsidRDefault="00266B4B" w:rsidP="006F27B1">
            <w:pPr>
              <w:keepLines/>
              <w:spacing w:before="40" w:after="40" w:line="200" w:lineRule="atLeast"/>
              <w:rPr>
                <w:rFonts w:eastAsia="Times New Roman"/>
                <w:b/>
                <w:iCs/>
                <w:color w:val="FFFFFF" w:themeColor="background1"/>
                <w:szCs w:val="17"/>
              </w:rPr>
            </w:pPr>
          </w:p>
        </w:tc>
        <w:tc>
          <w:tcPr>
            <w:tcW w:w="2702" w:type="pct"/>
            <w:tcBorders>
              <w:top w:val="nil"/>
              <w:bottom w:val="single" w:sz="4" w:space="0" w:color="auto"/>
            </w:tcBorders>
          </w:tcPr>
          <w:p w:rsidR="00266B4B" w:rsidRDefault="00266B4B" w:rsidP="00AA7BE3">
            <w:pPr>
              <w:pStyle w:val="TableTextEntries"/>
              <w:keepNext/>
              <w:rPr>
                <w:rFonts w:asciiTheme="minorHAnsi" w:hAnsiTheme="minorHAnsi"/>
                <w:color w:val="495965" w:themeColor="text2"/>
              </w:rPr>
            </w:pPr>
          </w:p>
          <w:p w:rsidR="00266B4B" w:rsidRDefault="00266B4B" w:rsidP="00AA7BE3">
            <w:pPr>
              <w:pStyle w:val="TableTextEntries"/>
              <w:keepNext/>
              <w:rPr>
                <w:rFonts w:asciiTheme="minorHAnsi" w:hAnsiTheme="minorHAnsi"/>
                <w:color w:val="495965" w:themeColor="text2"/>
              </w:rPr>
            </w:pPr>
          </w:p>
          <w:p w:rsidR="00266B4B" w:rsidRDefault="00266B4B" w:rsidP="00AA7BE3">
            <w:pPr>
              <w:pStyle w:val="TableTextEntries"/>
              <w:keepNext/>
              <w:rPr>
                <w:rFonts w:asciiTheme="minorHAnsi" w:hAnsiTheme="minorHAnsi"/>
                <w:color w:val="495965" w:themeColor="text2"/>
              </w:rPr>
            </w:pPr>
          </w:p>
          <w:p w:rsidR="00266B4B" w:rsidRDefault="00266B4B" w:rsidP="00AA7BE3">
            <w:pPr>
              <w:pStyle w:val="TableTextEntries"/>
              <w:keepNext/>
              <w:rPr>
                <w:rFonts w:asciiTheme="minorHAnsi" w:hAnsiTheme="minorHAnsi"/>
                <w:color w:val="495965" w:themeColor="text2"/>
              </w:rPr>
            </w:pPr>
          </w:p>
          <w:p w:rsidR="00266B4B" w:rsidRDefault="00266B4B" w:rsidP="00AA7BE3">
            <w:pPr>
              <w:pStyle w:val="TableTextEntries"/>
              <w:keepNext/>
              <w:rPr>
                <w:rFonts w:asciiTheme="minorHAnsi" w:hAnsiTheme="minorHAnsi"/>
                <w:color w:val="495965" w:themeColor="text2"/>
              </w:rPr>
            </w:pPr>
          </w:p>
          <w:p w:rsidR="00266B4B" w:rsidRPr="00B77BF2" w:rsidRDefault="00266B4B" w:rsidP="00AA7BE3">
            <w:pPr>
              <w:pStyle w:val="TableTextEntries"/>
              <w:keepNext/>
              <w:rPr>
                <w:rFonts w:asciiTheme="minorHAnsi" w:hAnsiTheme="minorHAnsi"/>
                <w:color w:val="495965" w:themeColor="text2"/>
              </w:rPr>
            </w:pPr>
          </w:p>
        </w:tc>
      </w:tr>
      <w:tr w:rsidR="002A441B" w:rsidRPr="00A427C6" w:rsidTr="00706D4F">
        <w:tc>
          <w:tcPr>
            <w:tcW w:w="700" w:type="pct"/>
            <w:tcBorders>
              <w:top w:val="single" w:sz="4" w:space="0" w:color="auto"/>
            </w:tcBorders>
            <w:tcMar>
              <w:top w:w="57" w:type="dxa"/>
              <w:bottom w:w="57" w:type="dxa"/>
            </w:tcMar>
          </w:tcPr>
          <w:p w:rsidR="002A441B" w:rsidRPr="00CE09ED" w:rsidRDefault="00CE09ED" w:rsidP="006F27B1">
            <w:pPr>
              <w:keepLines/>
              <w:spacing w:before="40" w:after="40" w:line="200" w:lineRule="atLeast"/>
              <w:rPr>
                <w:rFonts w:asciiTheme="minorHAnsi" w:eastAsia="Times New Roman" w:hAnsiTheme="minorHAnsi"/>
                <w:iCs/>
                <w:szCs w:val="17"/>
              </w:rPr>
            </w:pPr>
            <w:r w:rsidRPr="00CE09ED">
              <w:rPr>
                <w:rFonts w:asciiTheme="minorHAnsi" w:eastAsia="Times New Roman" w:hAnsiTheme="minorHAnsi"/>
                <w:iCs/>
                <w:szCs w:val="17"/>
              </w:rPr>
              <w:lastRenderedPageBreak/>
              <w:t>Outcome 2.2: Improved road infrastructure increasingly connects producers with consumers</w:t>
            </w:r>
          </w:p>
        </w:tc>
        <w:tc>
          <w:tcPr>
            <w:tcW w:w="700" w:type="pct"/>
            <w:tcBorders>
              <w:top w:val="single" w:sz="4" w:space="0" w:color="auto"/>
            </w:tcBorders>
          </w:tcPr>
          <w:p w:rsidR="002A441B" w:rsidRPr="00CE09ED" w:rsidRDefault="00CE09ED" w:rsidP="006F27B1">
            <w:pPr>
              <w:keepLines/>
              <w:spacing w:before="40" w:after="40" w:line="200" w:lineRule="atLeast"/>
              <w:rPr>
                <w:rFonts w:asciiTheme="minorHAnsi" w:eastAsia="Times New Roman" w:hAnsiTheme="minorHAnsi"/>
                <w:iCs/>
                <w:szCs w:val="17"/>
              </w:rPr>
            </w:pPr>
            <w:r w:rsidRPr="00CE09ED">
              <w:rPr>
                <w:rFonts w:asciiTheme="minorHAnsi" w:eastAsia="Times New Roman" w:hAnsiTheme="minorHAnsi"/>
                <w:iCs/>
                <w:szCs w:val="17"/>
              </w:rPr>
              <w:t>Targeted investments contribute to sustained improvements in the national road network. (Assessed by distance [km] of roads that are subject to design/routine maintenance / period maintenance and rehabilitation)</w:t>
            </w:r>
          </w:p>
        </w:tc>
        <w:tc>
          <w:tcPr>
            <w:tcW w:w="481" w:type="pct"/>
            <w:tcBorders>
              <w:top w:val="single" w:sz="4" w:space="0" w:color="auto"/>
              <w:bottom w:val="nil"/>
            </w:tcBorders>
            <w:shd w:val="clear" w:color="auto" w:fill="auto"/>
          </w:tcPr>
          <w:p w:rsidR="00CE09ED" w:rsidRPr="00CE09ED" w:rsidRDefault="00CE09ED" w:rsidP="00CE09ED">
            <w:pPr>
              <w:keepLines/>
              <w:spacing w:before="40" w:after="40" w:line="200" w:lineRule="atLeast"/>
              <w:rPr>
                <w:rFonts w:asciiTheme="minorHAnsi" w:eastAsia="Times New Roman" w:hAnsiTheme="minorHAnsi"/>
                <w:iCs/>
                <w:szCs w:val="17"/>
              </w:rPr>
            </w:pPr>
            <w:r w:rsidRPr="00CE09ED">
              <w:rPr>
                <w:rFonts w:asciiTheme="minorHAnsi" w:eastAsia="Times New Roman" w:hAnsiTheme="minorHAnsi"/>
                <w:iCs/>
                <w:szCs w:val="17"/>
              </w:rPr>
              <w:t>Routine/periodic: 423</w:t>
            </w:r>
            <w:r w:rsidR="00523465">
              <w:rPr>
                <w:rFonts w:asciiTheme="minorHAnsi" w:eastAsia="Times New Roman" w:hAnsiTheme="minorHAnsi"/>
                <w:iCs/>
                <w:szCs w:val="17"/>
              </w:rPr>
              <w:t xml:space="preserve"> </w:t>
            </w:r>
            <w:r w:rsidRPr="00CE09ED">
              <w:rPr>
                <w:rFonts w:asciiTheme="minorHAnsi" w:eastAsia="Times New Roman" w:hAnsiTheme="minorHAnsi"/>
                <w:iCs/>
                <w:szCs w:val="17"/>
              </w:rPr>
              <w:t>km</w:t>
            </w:r>
          </w:p>
          <w:p w:rsidR="00CE09ED" w:rsidRPr="00CE09ED" w:rsidRDefault="00CE09ED" w:rsidP="00CE09ED">
            <w:pPr>
              <w:keepLines/>
              <w:spacing w:before="40" w:after="40" w:line="200" w:lineRule="atLeast"/>
              <w:rPr>
                <w:rFonts w:asciiTheme="minorHAnsi" w:eastAsia="Times New Roman" w:hAnsiTheme="minorHAnsi"/>
                <w:iCs/>
                <w:szCs w:val="17"/>
              </w:rPr>
            </w:pPr>
            <w:r w:rsidRPr="00CE09ED">
              <w:rPr>
                <w:rFonts w:asciiTheme="minorHAnsi" w:eastAsia="Times New Roman" w:hAnsiTheme="minorHAnsi"/>
                <w:iCs/>
                <w:szCs w:val="17"/>
              </w:rPr>
              <w:t>Rehabilitation: 27</w:t>
            </w:r>
            <w:r w:rsidR="00523465">
              <w:rPr>
                <w:rFonts w:asciiTheme="minorHAnsi" w:eastAsia="Times New Roman" w:hAnsiTheme="minorHAnsi"/>
                <w:iCs/>
                <w:szCs w:val="17"/>
              </w:rPr>
              <w:t xml:space="preserve"> </w:t>
            </w:r>
            <w:r w:rsidRPr="00CE09ED">
              <w:rPr>
                <w:rFonts w:asciiTheme="minorHAnsi" w:eastAsia="Times New Roman" w:hAnsiTheme="minorHAnsi"/>
                <w:iCs/>
                <w:szCs w:val="17"/>
              </w:rPr>
              <w:t>km</w:t>
            </w:r>
          </w:p>
          <w:p w:rsidR="00CE09ED" w:rsidRPr="00CE09ED" w:rsidRDefault="00CE09ED" w:rsidP="00CE09ED">
            <w:pPr>
              <w:keepLines/>
              <w:spacing w:before="40" w:after="40" w:line="200" w:lineRule="atLeast"/>
              <w:rPr>
                <w:rFonts w:asciiTheme="minorHAnsi" w:eastAsia="Times New Roman" w:hAnsiTheme="minorHAnsi"/>
                <w:iCs/>
                <w:szCs w:val="17"/>
              </w:rPr>
            </w:pPr>
            <w:r w:rsidRPr="00CE09ED">
              <w:rPr>
                <w:rFonts w:asciiTheme="minorHAnsi" w:eastAsia="Times New Roman" w:hAnsiTheme="minorHAnsi"/>
                <w:iCs/>
                <w:szCs w:val="17"/>
              </w:rPr>
              <w:t>Design: 60</w:t>
            </w:r>
            <w:r w:rsidR="00523465">
              <w:rPr>
                <w:rFonts w:asciiTheme="minorHAnsi" w:eastAsia="Times New Roman" w:hAnsiTheme="minorHAnsi"/>
                <w:iCs/>
                <w:szCs w:val="17"/>
              </w:rPr>
              <w:t xml:space="preserve"> </w:t>
            </w:r>
            <w:r w:rsidRPr="00CE09ED">
              <w:rPr>
                <w:rFonts w:asciiTheme="minorHAnsi" w:eastAsia="Times New Roman" w:hAnsiTheme="minorHAnsi"/>
                <w:iCs/>
                <w:szCs w:val="17"/>
              </w:rPr>
              <w:t>km</w:t>
            </w:r>
          </w:p>
          <w:p w:rsidR="002A441B" w:rsidRPr="00CE09ED" w:rsidRDefault="00CE09ED" w:rsidP="00CE09ED">
            <w:pPr>
              <w:keepLines/>
              <w:spacing w:before="40" w:after="40" w:line="200" w:lineRule="atLeast"/>
              <w:rPr>
                <w:rFonts w:asciiTheme="minorHAnsi" w:eastAsia="Times New Roman" w:hAnsiTheme="minorHAnsi"/>
                <w:iCs/>
                <w:szCs w:val="17"/>
              </w:rPr>
            </w:pPr>
            <w:r w:rsidRPr="00CE09ED">
              <w:rPr>
                <w:rFonts w:asciiTheme="minorHAnsi" w:eastAsia="Times New Roman" w:hAnsiTheme="minorHAnsi"/>
                <w:iCs/>
                <w:szCs w:val="17"/>
              </w:rPr>
              <w:t>Total: 510</w:t>
            </w:r>
            <w:r w:rsidR="00523465">
              <w:rPr>
                <w:rFonts w:asciiTheme="minorHAnsi" w:eastAsia="Times New Roman" w:hAnsiTheme="minorHAnsi"/>
                <w:iCs/>
                <w:szCs w:val="17"/>
              </w:rPr>
              <w:t xml:space="preserve"> </w:t>
            </w:r>
            <w:r w:rsidRPr="00CE09ED">
              <w:rPr>
                <w:rFonts w:asciiTheme="minorHAnsi" w:eastAsia="Times New Roman" w:hAnsiTheme="minorHAnsi"/>
                <w:iCs/>
                <w:szCs w:val="17"/>
              </w:rPr>
              <w:t>km</w:t>
            </w:r>
          </w:p>
        </w:tc>
        <w:tc>
          <w:tcPr>
            <w:tcW w:w="417" w:type="pct"/>
            <w:tcBorders>
              <w:top w:val="single" w:sz="4" w:space="0" w:color="auto"/>
              <w:bottom w:val="nil"/>
            </w:tcBorders>
            <w:shd w:val="clear" w:color="auto" w:fill="92D050"/>
          </w:tcPr>
          <w:p w:rsidR="002A441B" w:rsidRPr="00E74B4A" w:rsidRDefault="00CE09ED" w:rsidP="006F27B1">
            <w:pPr>
              <w:keepLines/>
              <w:spacing w:before="40" w:after="40" w:line="200" w:lineRule="atLeast"/>
              <w:rPr>
                <w:rFonts w:asciiTheme="minorHAnsi" w:eastAsia="Times New Roman" w:hAnsiTheme="minorHAnsi"/>
                <w:b/>
                <w:iCs/>
                <w:szCs w:val="17"/>
              </w:rPr>
            </w:pPr>
            <w:r w:rsidRPr="00E74B4A">
              <w:rPr>
                <w:rFonts w:asciiTheme="minorHAnsi" w:eastAsia="Times New Roman" w:hAnsiTheme="minorHAnsi"/>
                <w:b/>
                <w:iCs/>
                <w:color w:val="FFFFFF" w:themeColor="background1"/>
                <w:szCs w:val="17"/>
              </w:rPr>
              <w:t>Achieved</w:t>
            </w:r>
          </w:p>
        </w:tc>
        <w:tc>
          <w:tcPr>
            <w:tcW w:w="2702" w:type="pct"/>
            <w:tcBorders>
              <w:top w:val="single" w:sz="4" w:space="0" w:color="auto"/>
            </w:tcBorders>
          </w:tcPr>
          <w:p w:rsidR="002A441B" w:rsidRPr="00A427C6" w:rsidRDefault="0046409F" w:rsidP="00AA7BE3">
            <w:pPr>
              <w:pStyle w:val="TableTextEntries"/>
              <w:keepNext/>
              <w:rPr>
                <w:rFonts w:asciiTheme="minorHAnsi" w:hAnsiTheme="minorHAnsi"/>
              </w:rPr>
            </w:pPr>
            <w:r w:rsidRPr="0046409F">
              <w:rPr>
                <w:rFonts w:asciiTheme="minorHAnsi" w:hAnsiTheme="minorHAnsi"/>
                <w:color w:val="495965" w:themeColor="text2"/>
              </w:rPr>
              <w:t>During 2015, Australia funded the maintenance and upgrading of 1,400 km of PNG’s road network.</w:t>
            </w:r>
          </w:p>
        </w:tc>
      </w:tr>
      <w:tr w:rsidR="00CE09ED" w:rsidRPr="00A427C6" w:rsidTr="00266B4B">
        <w:tc>
          <w:tcPr>
            <w:tcW w:w="700" w:type="pct"/>
            <w:tcMar>
              <w:top w:w="57" w:type="dxa"/>
              <w:bottom w:w="57" w:type="dxa"/>
            </w:tcMar>
          </w:tcPr>
          <w:p w:rsidR="00CE09ED" w:rsidRPr="00CE09ED" w:rsidRDefault="00CE09ED" w:rsidP="006F27B1">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Outcome 3.1: Improved infrastructure provides access to education services</w:t>
            </w:r>
          </w:p>
        </w:tc>
        <w:tc>
          <w:tcPr>
            <w:tcW w:w="700" w:type="pct"/>
          </w:tcPr>
          <w:p w:rsidR="00CE09ED" w:rsidRPr="00CE09ED" w:rsidRDefault="00CE09ED" w:rsidP="006F27B1">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Number of school buildings constructed, maintained refurbished or rehabilitated</w:t>
            </w:r>
          </w:p>
        </w:tc>
        <w:tc>
          <w:tcPr>
            <w:tcW w:w="481" w:type="pct"/>
            <w:tcBorders>
              <w:top w:val="nil"/>
              <w:bottom w:val="nil"/>
            </w:tcBorders>
            <w:shd w:val="clear" w:color="auto" w:fill="auto"/>
          </w:tcPr>
          <w:p w:rsidR="00CE09ED" w:rsidRPr="00F15D5E" w:rsidRDefault="00CE09ED" w:rsidP="006F27B1">
            <w:pPr>
              <w:keepLines/>
              <w:spacing w:before="40" w:after="40" w:line="200" w:lineRule="atLeast"/>
              <w:rPr>
                <w:rFonts w:asciiTheme="minorHAnsi" w:eastAsia="Times New Roman" w:hAnsiTheme="minorHAnsi"/>
                <w:iCs/>
                <w:szCs w:val="17"/>
              </w:rPr>
            </w:pPr>
            <w:r w:rsidRPr="00F15D5E">
              <w:rPr>
                <w:rFonts w:asciiTheme="minorHAnsi" w:eastAsia="Times New Roman" w:hAnsiTheme="minorHAnsi"/>
                <w:iCs/>
                <w:szCs w:val="17"/>
              </w:rPr>
              <w:t>30</w:t>
            </w:r>
          </w:p>
        </w:tc>
        <w:tc>
          <w:tcPr>
            <w:tcW w:w="417" w:type="pct"/>
            <w:tcBorders>
              <w:top w:val="nil"/>
              <w:bottom w:val="nil"/>
            </w:tcBorders>
            <w:shd w:val="clear" w:color="auto" w:fill="92D050"/>
          </w:tcPr>
          <w:p w:rsidR="00CE09ED" w:rsidRPr="00CE09ED" w:rsidRDefault="00CE09ED" w:rsidP="006F27B1">
            <w:pPr>
              <w:keepLines/>
              <w:spacing w:before="40" w:after="40" w:line="200" w:lineRule="atLeast"/>
              <w:rPr>
                <w:rFonts w:asciiTheme="minorHAnsi" w:eastAsia="Times New Roman" w:hAnsiTheme="minorHAnsi"/>
                <w:b/>
                <w:iCs/>
                <w:color w:val="FFFFFF" w:themeColor="background1"/>
                <w:szCs w:val="17"/>
              </w:rPr>
            </w:pPr>
            <w:r w:rsidRPr="00CE09ED">
              <w:rPr>
                <w:rFonts w:asciiTheme="minorHAnsi" w:eastAsia="Times New Roman" w:hAnsiTheme="minorHAnsi"/>
                <w:b/>
                <w:iCs/>
                <w:color w:val="FFFFFF" w:themeColor="background1"/>
                <w:szCs w:val="17"/>
              </w:rPr>
              <w:t>Achieved</w:t>
            </w:r>
          </w:p>
        </w:tc>
        <w:tc>
          <w:tcPr>
            <w:tcW w:w="2702" w:type="pct"/>
          </w:tcPr>
          <w:p w:rsidR="00CE09ED" w:rsidRPr="00F15D5E" w:rsidRDefault="002A0004" w:rsidP="00AA7BE3">
            <w:pPr>
              <w:pStyle w:val="TableTextEntries"/>
              <w:keepNext/>
              <w:rPr>
                <w:rFonts w:asciiTheme="minorHAnsi" w:hAnsiTheme="minorHAnsi"/>
                <w:color w:val="495965" w:themeColor="text2"/>
              </w:rPr>
            </w:pPr>
            <w:r w:rsidRPr="00F15D5E">
              <w:rPr>
                <w:rFonts w:asciiTheme="minorHAnsi" w:hAnsiTheme="minorHAnsi"/>
                <w:color w:val="495965" w:themeColor="text2"/>
              </w:rPr>
              <w:t>Australia completed 150 classrooms, 55 teachers’ houses, and 57 sanitation facilities in 2015.</w:t>
            </w:r>
          </w:p>
        </w:tc>
      </w:tr>
      <w:tr w:rsidR="00CE09ED" w:rsidRPr="00A427C6" w:rsidTr="00266B4B">
        <w:tc>
          <w:tcPr>
            <w:tcW w:w="700" w:type="pct"/>
            <w:tcMar>
              <w:top w:w="57" w:type="dxa"/>
              <w:bottom w:w="57" w:type="dxa"/>
            </w:tcMar>
          </w:tcPr>
          <w:p w:rsidR="00CE09ED" w:rsidRPr="00CE09ED" w:rsidRDefault="00CE09ED" w:rsidP="006F27B1">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Outcome 3.2: The quality of key services in health and HIV/AIDS are improved</w:t>
            </w:r>
          </w:p>
        </w:tc>
        <w:tc>
          <w:tcPr>
            <w:tcW w:w="700" w:type="pct"/>
          </w:tcPr>
          <w:p w:rsidR="00CE09ED" w:rsidRPr="00CE09ED" w:rsidRDefault="00CE09ED" w:rsidP="006F27B1">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Number of additional births attended by a skilled birth attendant</w:t>
            </w:r>
          </w:p>
        </w:tc>
        <w:tc>
          <w:tcPr>
            <w:tcW w:w="481" w:type="pct"/>
            <w:tcBorders>
              <w:top w:val="nil"/>
              <w:bottom w:val="nil"/>
            </w:tcBorders>
            <w:shd w:val="clear" w:color="auto" w:fill="auto"/>
          </w:tcPr>
          <w:p w:rsidR="00CE09ED" w:rsidRPr="00F15D5E" w:rsidRDefault="00CE09ED" w:rsidP="006F27B1">
            <w:pPr>
              <w:keepLines/>
              <w:spacing w:before="40" w:after="40" w:line="200" w:lineRule="atLeast"/>
              <w:rPr>
                <w:rFonts w:asciiTheme="minorHAnsi" w:eastAsia="Times New Roman" w:hAnsiTheme="minorHAnsi"/>
                <w:iCs/>
                <w:szCs w:val="17"/>
              </w:rPr>
            </w:pPr>
            <w:r w:rsidRPr="00F15D5E">
              <w:rPr>
                <w:rFonts w:asciiTheme="minorHAnsi" w:eastAsia="Times New Roman" w:hAnsiTheme="minorHAnsi"/>
                <w:iCs/>
                <w:szCs w:val="17"/>
              </w:rPr>
              <w:t>9,250</w:t>
            </w:r>
          </w:p>
        </w:tc>
        <w:tc>
          <w:tcPr>
            <w:tcW w:w="417" w:type="pct"/>
            <w:tcBorders>
              <w:top w:val="nil"/>
              <w:bottom w:val="nil"/>
            </w:tcBorders>
            <w:shd w:val="clear" w:color="auto" w:fill="92D050"/>
          </w:tcPr>
          <w:p w:rsidR="00CE09ED" w:rsidRPr="00CE09ED" w:rsidRDefault="00CE09ED" w:rsidP="006F27B1">
            <w:pPr>
              <w:keepLines/>
              <w:spacing w:before="40" w:after="40" w:line="200" w:lineRule="atLeast"/>
              <w:rPr>
                <w:rFonts w:asciiTheme="minorHAnsi" w:eastAsia="Times New Roman" w:hAnsiTheme="minorHAnsi"/>
                <w:b/>
                <w:iCs/>
                <w:szCs w:val="17"/>
              </w:rPr>
            </w:pPr>
            <w:r w:rsidRPr="00CE09ED">
              <w:rPr>
                <w:rFonts w:asciiTheme="minorHAnsi" w:eastAsia="Times New Roman" w:hAnsiTheme="minorHAnsi"/>
                <w:b/>
                <w:iCs/>
                <w:color w:val="FFFFFF" w:themeColor="background1"/>
                <w:szCs w:val="17"/>
              </w:rPr>
              <w:t>Achieved</w:t>
            </w:r>
          </w:p>
        </w:tc>
        <w:tc>
          <w:tcPr>
            <w:tcW w:w="2702" w:type="pct"/>
          </w:tcPr>
          <w:p w:rsidR="00CE09ED" w:rsidRPr="00F15D5E" w:rsidRDefault="002A0004" w:rsidP="002A0004">
            <w:pPr>
              <w:pStyle w:val="TableTextEntries"/>
              <w:keepNext/>
              <w:rPr>
                <w:rFonts w:asciiTheme="minorHAnsi" w:hAnsiTheme="minorHAnsi"/>
                <w:color w:val="495965" w:themeColor="text2"/>
              </w:rPr>
            </w:pPr>
            <w:r w:rsidRPr="00F15D5E">
              <w:rPr>
                <w:rFonts w:asciiTheme="minorHAnsi" w:hAnsiTheme="minorHAnsi"/>
                <w:color w:val="495965" w:themeColor="text2"/>
              </w:rPr>
              <w:t>In 2015, Australia contributed to the supervision of 11,457 births supervised by skilled birth attendants.</w:t>
            </w:r>
          </w:p>
        </w:tc>
      </w:tr>
      <w:tr w:rsidR="00CE09ED" w:rsidRPr="00A427C6" w:rsidTr="00706D4F">
        <w:tc>
          <w:tcPr>
            <w:tcW w:w="700" w:type="pct"/>
            <w:tcBorders>
              <w:bottom w:val="nil"/>
            </w:tcBorders>
            <w:tcMar>
              <w:top w:w="57" w:type="dxa"/>
              <w:bottom w:w="57" w:type="dxa"/>
            </w:tcMar>
          </w:tcPr>
          <w:p w:rsidR="00CE09ED" w:rsidRPr="00CE09ED" w:rsidRDefault="00077CB3" w:rsidP="006F27B1">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Outcome 3.3: The quality of key services and access to education are improved</w:t>
            </w:r>
          </w:p>
        </w:tc>
        <w:tc>
          <w:tcPr>
            <w:tcW w:w="700" w:type="pct"/>
            <w:tcBorders>
              <w:bottom w:val="nil"/>
            </w:tcBorders>
          </w:tcPr>
          <w:p w:rsidR="00CE09ED" w:rsidRPr="00CE09ED" w:rsidRDefault="00077CB3" w:rsidP="006F27B1">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Number of additional girls and boys enrolled in school</w:t>
            </w:r>
          </w:p>
        </w:tc>
        <w:tc>
          <w:tcPr>
            <w:tcW w:w="481" w:type="pct"/>
            <w:tcBorders>
              <w:top w:val="nil"/>
              <w:bottom w:val="nil"/>
            </w:tcBorders>
            <w:shd w:val="clear" w:color="auto" w:fill="auto"/>
          </w:tcPr>
          <w:p w:rsidR="00CE09ED" w:rsidRPr="00F15D5E" w:rsidRDefault="00077CB3" w:rsidP="006F27B1">
            <w:pPr>
              <w:keepLines/>
              <w:spacing w:before="40" w:after="40" w:line="200" w:lineRule="atLeast"/>
              <w:rPr>
                <w:rFonts w:asciiTheme="minorHAnsi" w:eastAsia="Times New Roman" w:hAnsiTheme="minorHAnsi"/>
                <w:iCs/>
                <w:szCs w:val="17"/>
              </w:rPr>
            </w:pPr>
            <w:r w:rsidRPr="00F15D5E">
              <w:rPr>
                <w:rFonts w:asciiTheme="minorHAnsi" w:eastAsia="Times New Roman" w:hAnsiTheme="minorHAnsi"/>
                <w:iCs/>
                <w:szCs w:val="17"/>
              </w:rPr>
              <w:t>Girls: 71,000</w:t>
            </w:r>
          </w:p>
          <w:p w:rsidR="00077CB3" w:rsidRPr="00F15D5E" w:rsidRDefault="00077CB3" w:rsidP="006F27B1">
            <w:pPr>
              <w:keepLines/>
              <w:spacing w:before="40" w:after="40" w:line="200" w:lineRule="atLeast"/>
              <w:rPr>
                <w:rFonts w:asciiTheme="minorHAnsi" w:eastAsia="Times New Roman" w:hAnsiTheme="minorHAnsi"/>
                <w:iCs/>
                <w:szCs w:val="17"/>
              </w:rPr>
            </w:pPr>
            <w:r w:rsidRPr="00F15D5E">
              <w:rPr>
                <w:rFonts w:asciiTheme="minorHAnsi" w:eastAsia="Times New Roman" w:hAnsiTheme="minorHAnsi"/>
                <w:iCs/>
                <w:szCs w:val="17"/>
              </w:rPr>
              <w:t>Boys: 84,000</w:t>
            </w:r>
          </w:p>
          <w:p w:rsidR="00077CB3" w:rsidRPr="00077CB3" w:rsidRDefault="00077CB3" w:rsidP="006F27B1">
            <w:pPr>
              <w:keepLines/>
              <w:spacing w:before="40" w:after="40" w:line="200" w:lineRule="atLeast"/>
              <w:rPr>
                <w:rFonts w:asciiTheme="minorHAnsi" w:eastAsia="Times New Roman" w:hAnsiTheme="minorHAnsi"/>
                <w:iCs/>
                <w:color w:val="auto"/>
                <w:szCs w:val="17"/>
              </w:rPr>
            </w:pPr>
            <w:r w:rsidRPr="00F15D5E">
              <w:rPr>
                <w:rFonts w:asciiTheme="minorHAnsi" w:eastAsia="Times New Roman" w:hAnsiTheme="minorHAnsi"/>
                <w:iCs/>
                <w:szCs w:val="17"/>
              </w:rPr>
              <w:t>Total: 155,000</w:t>
            </w:r>
          </w:p>
        </w:tc>
        <w:tc>
          <w:tcPr>
            <w:tcW w:w="417" w:type="pct"/>
            <w:tcBorders>
              <w:top w:val="nil"/>
              <w:bottom w:val="nil"/>
            </w:tcBorders>
            <w:shd w:val="clear" w:color="auto" w:fill="E36C0A"/>
          </w:tcPr>
          <w:p w:rsidR="00CE09ED" w:rsidRPr="00077CB3" w:rsidRDefault="00E74B4A" w:rsidP="006F27B1">
            <w:pPr>
              <w:keepLines/>
              <w:spacing w:before="40" w:after="40" w:line="200" w:lineRule="atLeast"/>
              <w:rPr>
                <w:rFonts w:asciiTheme="minorHAnsi" w:eastAsia="Times New Roman" w:hAnsiTheme="minorHAnsi"/>
                <w:b/>
                <w:iCs/>
                <w:color w:val="FFFFFF" w:themeColor="background1"/>
                <w:szCs w:val="17"/>
              </w:rPr>
            </w:pPr>
            <w:r>
              <w:rPr>
                <w:rFonts w:asciiTheme="minorHAnsi" w:eastAsia="Times New Roman" w:hAnsiTheme="minorHAnsi"/>
                <w:b/>
                <w:iCs/>
                <w:color w:val="FFFFFF" w:themeColor="background1"/>
                <w:szCs w:val="17"/>
              </w:rPr>
              <w:t>Partly</w:t>
            </w:r>
            <w:r w:rsidR="00077CB3" w:rsidRPr="00077CB3">
              <w:rPr>
                <w:rFonts w:asciiTheme="minorHAnsi" w:eastAsia="Times New Roman" w:hAnsiTheme="minorHAnsi"/>
                <w:b/>
                <w:iCs/>
                <w:color w:val="FFFFFF" w:themeColor="background1"/>
                <w:szCs w:val="17"/>
              </w:rPr>
              <w:t xml:space="preserve"> achieved</w:t>
            </w:r>
          </w:p>
        </w:tc>
        <w:tc>
          <w:tcPr>
            <w:tcW w:w="2702" w:type="pct"/>
            <w:tcBorders>
              <w:bottom w:val="nil"/>
            </w:tcBorders>
          </w:tcPr>
          <w:p w:rsidR="00CE09ED" w:rsidRPr="00F15D5E" w:rsidRDefault="00077CB3" w:rsidP="00AA7BE3">
            <w:pPr>
              <w:pStyle w:val="TableTextEntries"/>
              <w:keepNext/>
              <w:rPr>
                <w:rFonts w:asciiTheme="minorHAnsi" w:hAnsiTheme="minorHAnsi"/>
                <w:color w:val="495965" w:themeColor="text2"/>
              </w:rPr>
            </w:pPr>
            <w:r w:rsidRPr="00F15D5E">
              <w:rPr>
                <w:rFonts w:asciiTheme="minorHAnsi" w:hAnsiTheme="minorHAnsi"/>
                <w:color w:val="495965" w:themeColor="text2"/>
              </w:rPr>
              <w:t>In 2015, approximately 133,000 additional girls a</w:t>
            </w:r>
            <w:r w:rsidR="002A0004" w:rsidRPr="00F15D5E">
              <w:rPr>
                <w:rFonts w:asciiTheme="minorHAnsi" w:hAnsiTheme="minorHAnsi"/>
                <w:color w:val="495965" w:themeColor="text2"/>
              </w:rPr>
              <w:t>nd boys were enrolled in school.</w:t>
            </w:r>
          </w:p>
        </w:tc>
      </w:tr>
      <w:tr w:rsidR="00CE09ED" w:rsidRPr="00A427C6" w:rsidTr="00706D4F">
        <w:tc>
          <w:tcPr>
            <w:tcW w:w="700" w:type="pct"/>
            <w:tcBorders>
              <w:top w:val="nil"/>
              <w:bottom w:val="single" w:sz="4" w:space="0" w:color="auto"/>
            </w:tcBorders>
            <w:tcMar>
              <w:top w:w="57" w:type="dxa"/>
              <w:bottom w:w="57" w:type="dxa"/>
            </w:tcMar>
          </w:tcPr>
          <w:p w:rsidR="00CE09ED" w:rsidRPr="00CE09ED" w:rsidRDefault="00CE09ED" w:rsidP="006F27B1">
            <w:pPr>
              <w:keepLines/>
              <w:spacing w:before="40" w:after="40" w:line="200" w:lineRule="atLeast"/>
              <w:rPr>
                <w:rFonts w:asciiTheme="minorHAnsi" w:eastAsia="Times New Roman" w:hAnsiTheme="minorHAnsi"/>
                <w:iCs/>
                <w:szCs w:val="17"/>
              </w:rPr>
            </w:pPr>
          </w:p>
        </w:tc>
        <w:tc>
          <w:tcPr>
            <w:tcW w:w="700" w:type="pct"/>
            <w:tcBorders>
              <w:top w:val="nil"/>
              <w:bottom w:val="single" w:sz="4" w:space="0" w:color="auto"/>
            </w:tcBorders>
          </w:tcPr>
          <w:p w:rsidR="00CE09ED" w:rsidRPr="00F15D5E" w:rsidRDefault="00077CB3" w:rsidP="006F27B1">
            <w:pPr>
              <w:keepLines/>
              <w:spacing w:before="40" w:after="40" w:line="200" w:lineRule="atLeast"/>
              <w:rPr>
                <w:rFonts w:asciiTheme="minorHAnsi" w:eastAsia="Times New Roman" w:hAnsiTheme="minorHAnsi"/>
                <w:iCs/>
                <w:szCs w:val="17"/>
              </w:rPr>
            </w:pPr>
            <w:r w:rsidRPr="00F15D5E">
              <w:rPr>
                <w:rFonts w:asciiTheme="minorHAnsi" w:eastAsia="Times New Roman" w:hAnsiTheme="minorHAnsi"/>
                <w:iCs/>
                <w:szCs w:val="17"/>
              </w:rPr>
              <w:t>Improve Gross Enrolment Rate (GER) at Grade 5 (six years of schooling) for girls and boys, ensuring more girls in particular are reaching the upper primary education levels</w:t>
            </w:r>
          </w:p>
        </w:tc>
        <w:tc>
          <w:tcPr>
            <w:tcW w:w="481" w:type="pct"/>
            <w:tcBorders>
              <w:top w:val="nil"/>
              <w:bottom w:val="single" w:sz="4" w:space="0" w:color="auto"/>
            </w:tcBorders>
            <w:shd w:val="clear" w:color="auto" w:fill="auto"/>
          </w:tcPr>
          <w:p w:rsidR="00CE09ED" w:rsidRPr="00F15D5E" w:rsidRDefault="00077CB3" w:rsidP="006F27B1">
            <w:pPr>
              <w:keepLines/>
              <w:spacing w:before="40" w:after="40" w:line="200" w:lineRule="atLeast"/>
              <w:rPr>
                <w:rFonts w:asciiTheme="minorHAnsi" w:eastAsia="Times New Roman" w:hAnsiTheme="minorHAnsi"/>
                <w:iCs/>
                <w:szCs w:val="17"/>
              </w:rPr>
            </w:pPr>
            <w:r w:rsidRPr="00F15D5E">
              <w:rPr>
                <w:rFonts w:asciiTheme="minorHAnsi" w:eastAsia="Times New Roman" w:hAnsiTheme="minorHAnsi"/>
                <w:iCs/>
                <w:szCs w:val="17"/>
              </w:rPr>
              <w:t>Girls GER: 80.5%</w:t>
            </w:r>
          </w:p>
          <w:p w:rsidR="00077CB3" w:rsidRPr="00F15D5E" w:rsidRDefault="00077CB3" w:rsidP="006F27B1">
            <w:pPr>
              <w:keepLines/>
              <w:spacing w:before="40" w:after="40" w:line="200" w:lineRule="atLeast"/>
              <w:rPr>
                <w:rFonts w:asciiTheme="minorHAnsi" w:eastAsia="Times New Roman" w:hAnsiTheme="minorHAnsi"/>
                <w:iCs/>
                <w:szCs w:val="17"/>
              </w:rPr>
            </w:pPr>
            <w:r w:rsidRPr="00F15D5E">
              <w:rPr>
                <w:rFonts w:asciiTheme="minorHAnsi" w:eastAsia="Times New Roman" w:hAnsiTheme="minorHAnsi"/>
                <w:iCs/>
                <w:szCs w:val="17"/>
              </w:rPr>
              <w:t>Boys GER: 93%</w:t>
            </w:r>
          </w:p>
        </w:tc>
        <w:tc>
          <w:tcPr>
            <w:tcW w:w="417" w:type="pct"/>
            <w:tcBorders>
              <w:top w:val="nil"/>
              <w:bottom w:val="single" w:sz="4" w:space="0" w:color="auto"/>
            </w:tcBorders>
            <w:shd w:val="clear" w:color="auto" w:fill="E36C0A"/>
          </w:tcPr>
          <w:p w:rsidR="00CE09ED" w:rsidRPr="00B03D05" w:rsidRDefault="005249D1" w:rsidP="006F27B1">
            <w:pPr>
              <w:keepLines/>
              <w:spacing w:before="40" w:after="40" w:line="200" w:lineRule="atLeast"/>
              <w:rPr>
                <w:rFonts w:asciiTheme="minorHAnsi" w:eastAsia="Times New Roman" w:hAnsiTheme="minorHAnsi"/>
                <w:b/>
                <w:iCs/>
                <w:szCs w:val="17"/>
              </w:rPr>
            </w:pPr>
            <w:r w:rsidRPr="00B03D05">
              <w:rPr>
                <w:rFonts w:asciiTheme="minorHAnsi" w:eastAsia="Times New Roman" w:hAnsiTheme="minorHAnsi"/>
                <w:b/>
                <w:iCs/>
                <w:color w:val="FFFFFF" w:themeColor="background1"/>
                <w:szCs w:val="17"/>
              </w:rPr>
              <w:t>Partly achieved</w:t>
            </w:r>
          </w:p>
        </w:tc>
        <w:tc>
          <w:tcPr>
            <w:tcW w:w="2702" w:type="pct"/>
            <w:tcBorders>
              <w:top w:val="nil"/>
              <w:bottom w:val="single" w:sz="4" w:space="0" w:color="auto"/>
            </w:tcBorders>
          </w:tcPr>
          <w:p w:rsidR="00CE09ED" w:rsidRPr="00CE09ED" w:rsidRDefault="005249D1" w:rsidP="005249D1">
            <w:pPr>
              <w:pStyle w:val="TableTextEntries"/>
              <w:keepNext/>
              <w:rPr>
                <w:rFonts w:asciiTheme="minorHAnsi" w:hAnsiTheme="minorHAnsi"/>
              </w:rPr>
            </w:pPr>
            <w:r w:rsidRPr="00B6769E">
              <w:rPr>
                <w:rFonts w:asciiTheme="minorHAnsi" w:hAnsiTheme="minorHAnsi"/>
                <w:color w:val="495965" w:themeColor="text2"/>
              </w:rPr>
              <w:t>For girls, the GER in 2015 improved to 82 per cent. For boys, it improved to 92.4 per cent.</w:t>
            </w:r>
          </w:p>
        </w:tc>
      </w:tr>
    </w:tbl>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 xml:space="preserve">Note: </w:t>
      </w:r>
    </w:p>
    <w:p w:rsidR="00400B0F" w:rsidRPr="007452E6" w:rsidRDefault="00400B0F" w:rsidP="00400B0F">
      <w:pPr>
        <w:spacing w:before="20" w:after="20" w:line="180" w:lineRule="atLeast"/>
        <w:jc w:val="both"/>
        <w:rPr>
          <w:rFonts w:eastAsia="Times New Roman"/>
          <w:sz w:val="16"/>
          <w:szCs w:val="16"/>
        </w:rPr>
      </w:pPr>
      <w:r w:rsidRPr="00A427C6">
        <w:rPr>
          <w:rFonts w:eastAsia="Times New Roman"/>
          <w:b/>
          <w:color w:val="72AF2F"/>
          <w:sz w:val="16"/>
          <w:szCs w:val="14"/>
        </w:rPr>
        <w:sym w:font="Webdings" w:char="F067"/>
      </w:r>
      <w:r w:rsidR="00833E98">
        <w:rPr>
          <w:rFonts w:eastAsia="Times New Roman"/>
          <w:b/>
          <w:sz w:val="16"/>
          <w:szCs w:val="14"/>
        </w:rPr>
        <w:t xml:space="preserve">   </w:t>
      </w:r>
      <w:r w:rsidRPr="007452E6">
        <w:rPr>
          <w:rFonts w:eastAsia="Times New Roman"/>
          <w:sz w:val="16"/>
          <w:szCs w:val="16"/>
        </w:rPr>
        <w:t xml:space="preserve">Achieved.  Significant progress has been made and the performance benchmark was achieved </w:t>
      </w:r>
    </w:p>
    <w:p w:rsidR="00400B0F" w:rsidRPr="007452E6" w:rsidRDefault="00400B0F" w:rsidP="00400B0F">
      <w:pPr>
        <w:spacing w:before="20" w:after="20" w:line="180" w:lineRule="atLeast"/>
        <w:jc w:val="both"/>
        <w:rPr>
          <w:rFonts w:eastAsia="Times New Roman"/>
          <w:sz w:val="16"/>
          <w:szCs w:val="16"/>
        </w:rPr>
      </w:pPr>
      <w:r w:rsidRPr="007452E6">
        <w:rPr>
          <w:rFonts w:eastAsia="Times New Roman"/>
          <w:color w:val="E36C0A"/>
          <w:sz w:val="16"/>
          <w:szCs w:val="16"/>
        </w:rPr>
        <w:sym w:font="Webdings" w:char="F067"/>
      </w:r>
      <w:r w:rsidRPr="007452E6">
        <w:rPr>
          <w:rFonts w:eastAsia="Times New Roman"/>
          <w:sz w:val="16"/>
          <w:szCs w:val="16"/>
        </w:rPr>
        <w:t> </w:t>
      </w:r>
      <w:r w:rsidRPr="007452E6">
        <w:rPr>
          <w:rFonts w:eastAsia="Times New Roman"/>
          <w:sz w:val="16"/>
          <w:szCs w:val="16"/>
        </w:rPr>
        <w:t xml:space="preserve"> Partly achieved.  Some progress has been made towards achieving the performance benchmark, but progress was less than anticipated. </w:t>
      </w:r>
    </w:p>
    <w:p w:rsidR="00400B0F" w:rsidRPr="007452E6" w:rsidRDefault="00400B0F" w:rsidP="00400B0F">
      <w:pPr>
        <w:spacing w:before="20" w:after="20" w:line="180" w:lineRule="atLeast"/>
        <w:jc w:val="both"/>
        <w:rPr>
          <w:rFonts w:eastAsia="Times New Roman"/>
          <w:sz w:val="16"/>
          <w:szCs w:val="16"/>
        </w:rPr>
      </w:pPr>
      <w:r w:rsidRPr="007452E6">
        <w:rPr>
          <w:rFonts w:eastAsia="Times New Roman"/>
          <w:color w:val="FF0000"/>
          <w:sz w:val="16"/>
          <w:szCs w:val="16"/>
        </w:rPr>
        <w:sym w:font="Webdings" w:char="F067"/>
      </w:r>
      <w:r w:rsidRPr="007452E6">
        <w:rPr>
          <w:rFonts w:eastAsia="Times New Roman"/>
          <w:sz w:val="16"/>
          <w:szCs w:val="16"/>
        </w:rPr>
        <w:t> </w:t>
      </w:r>
      <w:r w:rsidRPr="007452E6">
        <w:rPr>
          <w:rFonts w:eastAsia="Times New Roman"/>
          <w:sz w:val="16"/>
          <w:szCs w:val="16"/>
        </w:rPr>
        <w:t xml:space="preserve"> Not achieved. Progress towards the performance benchmark has been significantly below expectations</w:t>
      </w:r>
    </w:p>
    <w:p w:rsidR="00584EDF" w:rsidRPr="00833E98" w:rsidRDefault="00584EDF" w:rsidP="00584EDF">
      <w:pPr>
        <w:spacing w:before="0" w:after="0" w:line="240" w:lineRule="auto"/>
        <w:rPr>
          <w:rFonts w:eastAsia="Times New Roman"/>
          <w:sz w:val="16"/>
          <w:szCs w:val="16"/>
        </w:rPr>
      </w:pPr>
      <w:r w:rsidRPr="00833E98">
        <w:rPr>
          <w:rFonts w:eastAsia="Times New Roman"/>
          <w:sz w:val="16"/>
          <w:szCs w:val="16"/>
        </w:rPr>
        <w:t>*Excludes number of police and law and justice officials trained.</w:t>
      </w:r>
    </w:p>
    <w:p w:rsidR="00584EDF" w:rsidRPr="00833E98" w:rsidRDefault="00584EDF" w:rsidP="00584EDF">
      <w:pPr>
        <w:spacing w:before="0" w:after="0" w:line="240" w:lineRule="auto"/>
        <w:rPr>
          <w:rFonts w:eastAsia="Times New Roman"/>
          <w:sz w:val="16"/>
          <w:szCs w:val="16"/>
        </w:rPr>
      </w:pPr>
      <w:r w:rsidRPr="00833E98">
        <w:rPr>
          <w:rFonts w:eastAsia="Times New Roman"/>
          <w:sz w:val="16"/>
          <w:szCs w:val="16"/>
        </w:rPr>
        <w:t>**These benchmarks reflect results from Australia’s programs across PNG, including in the Autonomous Region of Bougainville</w:t>
      </w:r>
    </w:p>
    <w:p w:rsidR="00584EDF" w:rsidRPr="00833E98" w:rsidRDefault="00584EDF" w:rsidP="00584EDF">
      <w:pPr>
        <w:spacing w:before="0" w:after="0" w:line="240" w:lineRule="auto"/>
        <w:rPr>
          <w:rFonts w:eastAsia="Times New Roman"/>
          <w:sz w:val="16"/>
          <w:szCs w:val="16"/>
        </w:rPr>
      </w:pPr>
      <w:r w:rsidRPr="00833E98">
        <w:rPr>
          <w:rFonts w:eastAsia="Times New Roman"/>
          <w:sz w:val="16"/>
          <w:szCs w:val="16"/>
        </w:rPr>
        <w:lastRenderedPageBreak/>
        <w:t>***This performance benchmarks captures not only our aid for trade investments but also our investments in private sector led growth, such as support to the Asia Pacific Technical College-PNG.</w:t>
      </w:r>
    </w:p>
    <w:p w:rsidR="00400B0F" w:rsidRPr="00784031" w:rsidRDefault="00400B0F" w:rsidP="00784031">
      <w:pPr>
        <w:pStyle w:val="Subtitle"/>
        <w:numPr>
          <w:ilvl w:val="0"/>
          <w:numId w:val="0"/>
        </w:numPr>
      </w:pPr>
      <w:r w:rsidRPr="00784031">
        <w:t>Annex C - Evaluation Planning</w:t>
      </w:r>
    </w:p>
    <w:p w:rsidR="00400B0F" w:rsidRPr="008C2F58" w:rsidRDefault="00400B0F" w:rsidP="008C2F58">
      <w:pPr>
        <w:rPr>
          <w:b/>
          <w:sz w:val="24"/>
        </w:rPr>
      </w:pPr>
      <w:r w:rsidRPr="008C2F58">
        <w:rPr>
          <w:b/>
          <w:sz w:val="24"/>
        </w:rPr>
        <w:t xml:space="preserve">List of evaluations completed in the reporting period </w:t>
      </w:r>
    </w:p>
    <w:tbl>
      <w:tblPr>
        <w:tblStyle w:val="APPR"/>
        <w:tblW w:w="14453" w:type="dxa"/>
        <w:tblLayout w:type="fixed"/>
        <w:tblLook w:val="04A0" w:firstRow="1" w:lastRow="0" w:firstColumn="1" w:lastColumn="0" w:noHBand="0" w:noVBand="1"/>
        <w:tblCaption w:val="List of evaluations completed in the reporting period"/>
        <w:tblDescription w:val="One evaluation was completed in the reporting period."/>
      </w:tblPr>
      <w:tblGrid>
        <w:gridCol w:w="3106"/>
        <w:gridCol w:w="4685"/>
        <w:gridCol w:w="1425"/>
        <w:gridCol w:w="1981"/>
        <w:gridCol w:w="1699"/>
        <w:gridCol w:w="1557"/>
      </w:tblGrid>
      <w:tr w:rsidR="00400B0F" w:rsidRPr="00C61187"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400B0F" w:rsidRPr="00847EDF" w:rsidRDefault="00400B0F" w:rsidP="00847EDF">
            <w:pPr>
              <w:pStyle w:val="Heading5"/>
              <w:outlineLvl w:val="4"/>
              <w:rPr>
                <w:rFonts w:asciiTheme="minorHAnsi" w:eastAsia="Times New Roman" w:hAnsiTheme="minorHAnsi"/>
                <w:b/>
                <w:sz w:val="17"/>
                <w:szCs w:val="17"/>
                <w:lang w:eastAsia="en-US"/>
              </w:rPr>
            </w:pPr>
            <w:r w:rsidRPr="00847EDF">
              <w:rPr>
                <w:rFonts w:asciiTheme="minorHAnsi" w:eastAsia="Times New Roman" w:hAnsiTheme="minorHAnsi"/>
                <w:b/>
                <w:sz w:val="17"/>
                <w:szCs w:val="17"/>
                <w:lang w:eastAsia="en-US"/>
              </w:rPr>
              <w:t xml:space="preserve">Investment number and name </w:t>
            </w:r>
          </w:p>
          <w:p w:rsidR="00400B0F" w:rsidRPr="00847EDF" w:rsidRDefault="00400B0F" w:rsidP="00847EDF">
            <w:pPr>
              <w:pStyle w:val="Heading5"/>
              <w:outlineLvl w:val="4"/>
              <w:rPr>
                <w:rFonts w:asciiTheme="minorHAnsi" w:eastAsia="Times New Roman" w:hAnsiTheme="minorHAnsi"/>
                <w:b/>
                <w:sz w:val="17"/>
                <w:szCs w:val="17"/>
                <w:lang w:eastAsia="en-US"/>
              </w:rPr>
            </w:pPr>
            <w:r w:rsidRPr="00847EDF">
              <w:rPr>
                <w:rFonts w:asciiTheme="minorHAnsi" w:eastAsia="Times New Roman" w:hAnsiTheme="minorHAnsi"/>
                <w:b/>
                <w:sz w:val="17"/>
                <w:szCs w:val="17"/>
                <w:lang w:eastAsia="en-US"/>
              </w:rPr>
              <w:t xml:space="preserve">(if applicable) </w:t>
            </w:r>
          </w:p>
        </w:tc>
        <w:tc>
          <w:tcPr>
            <w:tcW w:w="4657" w:type="dxa"/>
          </w:tcPr>
          <w:p w:rsidR="00847EDF" w:rsidRDefault="00847EDF" w:rsidP="00847EDF">
            <w:pPr>
              <w:pStyle w:val="Heading5"/>
              <w:outlineLvl w:val="4"/>
              <w:rPr>
                <w:rFonts w:asciiTheme="minorHAnsi" w:eastAsia="Times New Roman" w:hAnsiTheme="minorHAnsi"/>
                <w:b/>
                <w:sz w:val="17"/>
                <w:szCs w:val="17"/>
                <w:lang w:eastAsia="en-US"/>
              </w:rPr>
            </w:pPr>
          </w:p>
          <w:p w:rsidR="00400B0F" w:rsidRPr="00847EDF" w:rsidRDefault="00400B0F" w:rsidP="00847EDF">
            <w:pPr>
              <w:pStyle w:val="Heading5"/>
              <w:outlineLvl w:val="4"/>
              <w:rPr>
                <w:rFonts w:asciiTheme="minorHAnsi" w:eastAsia="Times New Roman" w:hAnsiTheme="minorHAnsi"/>
                <w:b/>
                <w:sz w:val="17"/>
                <w:szCs w:val="17"/>
                <w:lang w:eastAsia="en-US"/>
              </w:rPr>
            </w:pPr>
            <w:r w:rsidRPr="00847EDF">
              <w:rPr>
                <w:rFonts w:asciiTheme="minorHAnsi" w:eastAsia="Times New Roman" w:hAnsiTheme="minorHAnsi"/>
                <w:b/>
                <w:sz w:val="17"/>
                <w:szCs w:val="17"/>
                <w:lang w:eastAsia="en-US"/>
              </w:rPr>
              <w:t>Name of evaluation</w:t>
            </w:r>
          </w:p>
        </w:tc>
        <w:tc>
          <w:tcPr>
            <w:tcW w:w="1397" w:type="dxa"/>
          </w:tcPr>
          <w:p w:rsidR="00847EDF" w:rsidRDefault="00847EDF" w:rsidP="00847EDF">
            <w:pPr>
              <w:pStyle w:val="Heading5"/>
              <w:outlineLvl w:val="4"/>
              <w:rPr>
                <w:rFonts w:asciiTheme="minorHAnsi" w:eastAsia="Times New Roman" w:hAnsiTheme="minorHAnsi"/>
                <w:b/>
                <w:sz w:val="17"/>
                <w:szCs w:val="17"/>
                <w:lang w:eastAsia="en-US"/>
              </w:rPr>
            </w:pPr>
          </w:p>
          <w:p w:rsidR="00400B0F" w:rsidRPr="00847EDF" w:rsidRDefault="00400B0F" w:rsidP="00847EDF">
            <w:pPr>
              <w:pStyle w:val="Heading5"/>
              <w:outlineLvl w:val="4"/>
              <w:rPr>
                <w:rFonts w:asciiTheme="minorHAnsi" w:eastAsia="Times New Roman" w:hAnsiTheme="minorHAnsi"/>
                <w:b/>
                <w:sz w:val="17"/>
                <w:szCs w:val="17"/>
                <w:lang w:eastAsia="en-US"/>
              </w:rPr>
            </w:pPr>
            <w:r w:rsidRPr="00847EDF">
              <w:rPr>
                <w:rFonts w:asciiTheme="minorHAnsi" w:eastAsia="Times New Roman" w:hAnsiTheme="minorHAnsi"/>
                <w:b/>
                <w:sz w:val="17"/>
                <w:szCs w:val="17"/>
                <w:lang w:eastAsia="en-US"/>
              </w:rPr>
              <w:t>Date completed</w:t>
            </w:r>
          </w:p>
        </w:tc>
        <w:tc>
          <w:tcPr>
            <w:tcW w:w="1953" w:type="dxa"/>
          </w:tcPr>
          <w:p w:rsidR="00847EDF" w:rsidRDefault="00847EDF" w:rsidP="00847EDF">
            <w:pPr>
              <w:pStyle w:val="Heading5"/>
              <w:outlineLvl w:val="4"/>
              <w:rPr>
                <w:rFonts w:asciiTheme="minorHAnsi" w:eastAsia="Times New Roman" w:hAnsiTheme="minorHAnsi"/>
                <w:b/>
                <w:sz w:val="17"/>
                <w:szCs w:val="17"/>
                <w:lang w:eastAsia="en-US"/>
              </w:rPr>
            </w:pPr>
          </w:p>
          <w:p w:rsidR="00400B0F" w:rsidRPr="00847EDF" w:rsidRDefault="00400B0F" w:rsidP="00847EDF">
            <w:pPr>
              <w:pStyle w:val="Heading5"/>
              <w:outlineLvl w:val="4"/>
              <w:rPr>
                <w:rFonts w:asciiTheme="minorHAnsi" w:eastAsia="Times New Roman" w:hAnsiTheme="minorHAnsi"/>
                <w:b/>
                <w:sz w:val="17"/>
                <w:szCs w:val="17"/>
                <w:lang w:eastAsia="en-US"/>
              </w:rPr>
            </w:pPr>
            <w:r w:rsidRPr="00847EDF">
              <w:rPr>
                <w:rFonts w:asciiTheme="minorHAnsi" w:eastAsia="Times New Roman" w:hAnsiTheme="minorHAnsi"/>
                <w:b/>
                <w:sz w:val="17"/>
                <w:szCs w:val="17"/>
                <w:lang w:eastAsia="en-US"/>
              </w:rPr>
              <w:t>Date Evaluation report Uploaded into AidWorks</w:t>
            </w:r>
          </w:p>
        </w:tc>
        <w:tc>
          <w:tcPr>
            <w:tcW w:w="1671" w:type="dxa"/>
          </w:tcPr>
          <w:p w:rsidR="00847EDF" w:rsidRDefault="00847EDF" w:rsidP="00847EDF">
            <w:pPr>
              <w:pStyle w:val="Heading5"/>
              <w:outlineLvl w:val="4"/>
              <w:rPr>
                <w:rFonts w:asciiTheme="minorHAnsi" w:eastAsia="Times New Roman" w:hAnsiTheme="minorHAnsi"/>
                <w:b/>
                <w:sz w:val="17"/>
                <w:szCs w:val="17"/>
                <w:lang w:eastAsia="en-US"/>
              </w:rPr>
            </w:pPr>
          </w:p>
          <w:p w:rsidR="00400B0F" w:rsidRPr="00847EDF" w:rsidRDefault="00400B0F" w:rsidP="00847EDF">
            <w:pPr>
              <w:pStyle w:val="Heading5"/>
              <w:outlineLvl w:val="4"/>
              <w:rPr>
                <w:rFonts w:asciiTheme="minorHAnsi" w:eastAsia="Times New Roman" w:hAnsiTheme="minorHAnsi"/>
                <w:b/>
                <w:sz w:val="17"/>
                <w:szCs w:val="17"/>
                <w:lang w:eastAsia="en-US"/>
              </w:rPr>
            </w:pPr>
            <w:r w:rsidRPr="00847EDF">
              <w:rPr>
                <w:rFonts w:asciiTheme="minorHAnsi" w:eastAsia="Times New Roman" w:hAnsiTheme="minorHAnsi"/>
                <w:b/>
                <w:sz w:val="17"/>
                <w:szCs w:val="17"/>
                <w:lang w:eastAsia="en-US"/>
              </w:rPr>
              <w:t>Date Management response uploaded into AidWorks</w:t>
            </w:r>
          </w:p>
        </w:tc>
        <w:tc>
          <w:tcPr>
            <w:tcW w:w="1515" w:type="dxa"/>
          </w:tcPr>
          <w:p w:rsidR="00847EDF" w:rsidRDefault="00847EDF" w:rsidP="00847EDF">
            <w:pPr>
              <w:pStyle w:val="Heading5"/>
              <w:outlineLvl w:val="4"/>
              <w:rPr>
                <w:rFonts w:asciiTheme="minorHAnsi" w:eastAsia="Times New Roman" w:hAnsiTheme="minorHAnsi"/>
                <w:b/>
                <w:sz w:val="17"/>
                <w:szCs w:val="17"/>
                <w:lang w:eastAsia="en-US"/>
              </w:rPr>
            </w:pPr>
          </w:p>
          <w:p w:rsidR="00400B0F" w:rsidRPr="00847EDF" w:rsidRDefault="00400B0F" w:rsidP="00847EDF">
            <w:pPr>
              <w:pStyle w:val="Heading5"/>
              <w:outlineLvl w:val="4"/>
              <w:rPr>
                <w:rFonts w:asciiTheme="minorHAnsi" w:eastAsia="Times New Roman" w:hAnsiTheme="minorHAnsi"/>
                <w:b/>
                <w:sz w:val="17"/>
                <w:szCs w:val="17"/>
                <w:lang w:eastAsia="en-US"/>
              </w:rPr>
            </w:pPr>
            <w:r w:rsidRPr="00847EDF">
              <w:rPr>
                <w:rFonts w:asciiTheme="minorHAnsi" w:eastAsia="Times New Roman" w:hAnsiTheme="minorHAnsi"/>
                <w:b/>
                <w:sz w:val="17"/>
                <w:szCs w:val="17"/>
                <w:lang w:eastAsia="en-US"/>
              </w:rPr>
              <w:t>Published on website</w:t>
            </w:r>
          </w:p>
        </w:tc>
      </w:tr>
      <w:tr w:rsidR="00400B0F" w:rsidRPr="003B5EE5"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400B0F" w:rsidRPr="00A427C6" w:rsidRDefault="00373FA3" w:rsidP="00373FA3">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INI194 PNG-Australia Law and Justice Partnership</w:t>
            </w:r>
          </w:p>
        </w:tc>
        <w:tc>
          <w:tcPr>
            <w:tcW w:w="4657" w:type="dxa"/>
          </w:tcPr>
          <w:p w:rsidR="00373FA3" w:rsidRPr="00373FA3" w:rsidRDefault="00373FA3" w:rsidP="00373FA3">
            <w:pPr>
              <w:keepLines/>
              <w:spacing w:before="40" w:after="40" w:line="200" w:lineRule="atLeast"/>
              <w:rPr>
                <w:rFonts w:asciiTheme="minorHAnsi" w:eastAsia="Times New Roman" w:hAnsiTheme="minorHAnsi"/>
                <w:b w:val="0"/>
                <w:iCs/>
                <w:szCs w:val="17"/>
                <w:lang w:eastAsia="en-US"/>
              </w:rPr>
            </w:pPr>
            <w:r w:rsidRPr="00373FA3">
              <w:rPr>
                <w:rFonts w:asciiTheme="minorHAnsi" w:eastAsia="Times New Roman" w:hAnsiTheme="minorHAnsi"/>
                <w:b w:val="0"/>
                <w:iCs/>
                <w:szCs w:val="17"/>
                <w:lang w:eastAsia="en-US"/>
              </w:rPr>
              <w:t>Evaluation of the RPNGC Family and Sexual Violence</w:t>
            </w:r>
          </w:p>
          <w:p w:rsidR="00400B0F" w:rsidRPr="00A427C6" w:rsidRDefault="00373FA3" w:rsidP="00373FA3">
            <w:pPr>
              <w:keepLines/>
              <w:spacing w:before="40" w:after="40" w:line="200" w:lineRule="atLeast"/>
              <w:rPr>
                <w:rFonts w:asciiTheme="minorHAnsi" w:eastAsia="Times New Roman" w:hAnsiTheme="minorHAnsi"/>
                <w:b w:val="0"/>
                <w:iCs/>
                <w:szCs w:val="17"/>
                <w:lang w:eastAsia="en-US"/>
              </w:rPr>
            </w:pPr>
            <w:r w:rsidRPr="00373FA3">
              <w:rPr>
                <w:rFonts w:asciiTheme="minorHAnsi" w:eastAsia="Times New Roman" w:hAnsiTheme="minorHAnsi"/>
                <w:b w:val="0"/>
                <w:iCs/>
                <w:szCs w:val="17"/>
                <w:lang w:eastAsia="en-US"/>
              </w:rPr>
              <w:t>Units</w:t>
            </w:r>
          </w:p>
        </w:tc>
        <w:tc>
          <w:tcPr>
            <w:tcW w:w="1397" w:type="dxa"/>
          </w:tcPr>
          <w:p w:rsidR="00400B0F" w:rsidRPr="00A427C6" w:rsidRDefault="00373FA3" w:rsidP="00373FA3">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December 2015</w:t>
            </w:r>
          </w:p>
        </w:tc>
        <w:tc>
          <w:tcPr>
            <w:tcW w:w="1953" w:type="dxa"/>
          </w:tcPr>
          <w:p w:rsidR="00400B0F" w:rsidRPr="00A427C6" w:rsidRDefault="00605FD0" w:rsidP="007628B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Not </w:t>
            </w:r>
            <w:r w:rsidR="007628B0">
              <w:rPr>
                <w:rFonts w:asciiTheme="minorHAnsi" w:eastAsia="Times New Roman" w:hAnsiTheme="minorHAnsi"/>
                <w:b w:val="0"/>
                <w:iCs/>
                <w:szCs w:val="17"/>
                <w:lang w:eastAsia="en-US"/>
              </w:rPr>
              <w:t>applicable</w:t>
            </w:r>
            <w:r w:rsidR="00400B0F" w:rsidRPr="00A427C6">
              <w:rPr>
                <w:rFonts w:asciiTheme="minorHAnsi" w:eastAsia="Times New Roman" w:hAnsiTheme="minorHAnsi"/>
                <w:b w:val="0"/>
                <w:iCs/>
                <w:szCs w:val="17"/>
                <w:lang w:eastAsia="en-US"/>
              </w:rPr>
              <w:t xml:space="preserve"> </w:t>
            </w:r>
          </w:p>
        </w:tc>
        <w:tc>
          <w:tcPr>
            <w:tcW w:w="1671" w:type="dxa"/>
          </w:tcPr>
          <w:p w:rsidR="00400B0F" w:rsidRPr="00A427C6" w:rsidRDefault="00605FD0" w:rsidP="007628B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Not </w:t>
            </w:r>
            <w:r w:rsidR="007628B0">
              <w:rPr>
                <w:rFonts w:asciiTheme="minorHAnsi" w:eastAsia="Times New Roman" w:hAnsiTheme="minorHAnsi"/>
                <w:b w:val="0"/>
                <w:iCs/>
                <w:szCs w:val="17"/>
                <w:lang w:eastAsia="en-US"/>
              </w:rPr>
              <w:t>applicable</w:t>
            </w:r>
          </w:p>
        </w:tc>
        <w:tc>
          <w:tcPr>
            <w:tcW w:w="1515" w:type="dxa"/>
          </w:tcPr>
          <w:p w:rsidR="00400B0F" w:rsidRPr="00A427C6" w:rsidRDefault="00373FA3" w:rsidP="00373FA3">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31 December 2015</w:t>
            </w:r>
          </w:p>
        </w:tc>
      </w:tr>
    </w:tbl>
    <w:p w:rsidR="00400B0F" w:rsidRPr="008C2F58" w:rsidRDefault="00400B0F" w:rsidP="008C2F58">
      <w:pPr>
        <w:rPr>
          <w:b/>
          <w:sz w:val="24"/>
        </w:rPr>
      </w:pPr>
      <w:r w:rsidRPr="008C2F58">
        <w:rPr>
          <w:b/>
          <w:sz w:val="24"/>
        </w:rPr>
        <w:t xml:space="preserve">List of program prioritised evaluations planned for the next 12 months </w:t>
      </w:r>
    </w:p>
    <w:tbl>
      <w:tblPr>
        <w:tblStyle w:val="APPR"/>
        <w:tblW w:w="0" w:type="auto"/>
        <w:tblLook w:val="0600" w:firstRow="0" w:lastRow="0" w:firstColumn="0" w:lastColumn="0" w:noHBand="1" w:noVBand="1"/>
        <w:tblCaption w:val="List of program prioritised evaluations planned for the next 12 months"/>
        <w:tblDescription w:val="Four evaluations are planned for the next 12 months. "/>
      </w:tblPr>
      <w:tblGrid>
        <w:gridCol w:w="2514"/>
        <w:gridCol w:w="2017"/>
        <w:gridCol w:w="2409"/>
        <w:gridCol w:w="2127"/>
        <w:gridCol w:w="3543"/>
        <w:gridCol w:w="1835"/>
      </w:tblGrid>
      <w:tr w:rsidR="00400B0F" w:rsidRPr="00C61187" w:rsidTr="00833E98">
        <w:tc>
          <w:tcPr>
            <w:tcW w:w="2472" w:type="dxa"/>
          </w:tcPr>
          <w:p w:rsidR="00400B0F" w:rsidRPr="00847EDF" w:rsidRDefault="00400B0F" w:rsidP="00847EDF">
            <w:pPr>
              <w:pStyle w:val="Heading5"/>
              <w:outlineLvl w:val="4"/>
              <w:rPr>
                <w:rFonts w:asciiTheme="minorHAnsi" w:eastAsia="Times New Roman" w:hAnsiTheme="minorHAnsi"/>
                <w:sz w:val="17"/>
                <w:szCs w:val="17"/>
                <w:lang w:eastAsia="en-US"/>
              </w:rPr>
            </w:pPr>
            <w:r w:rsidRPr="00847EDF">
              <w:rPr>
                <w:rFonts w:asciiTheme="minorHAnsi" w:eastAsia="Times New Roman" w:hAnsiTheme="minorHAnsi"/>
                <w:sz w:val="17"/>
                <w:szCs w:val="17"/>
                <w:lang w:eastAsia="en-US"/>
              </w:rPr>
              <w:t>Evaluation title</w:t>
            </w:r>
          </w:p>
        </w:tc>
        <w:tc>
          <w:tcPr>
            <w:tcW w:w="1989" w:type="dxa"/>
          </w:tcPr>
          <w:p w:rsidR="00847EDF" w:rsidRDefault="00847EDF" w:rsidP="00847EDF">
            <w:pPr>
              <w:pStyle w:val="Heading5"/>
              <w:outlineLvl w:val="4"/>
              <w:rPr>
                <w:rFonts w:asciiTheme="minorHAnsi" w:eastAsia="Times New Roman" w:hAnsiTheme="minorHAnsi"/>
                <w:sz w:val="17"/>
                <w:szCs w:val="17"/>
                <w:lang w:eastAsia="en-US"/>
              </w:rPr>
            </w:pPr>
          </w:p>
          <w:p w:rsidR="00400B0F" w:rsidRPr="00847EDF" w:rsidRDefault="00400B0F" w:rsidP="00847EDF">
            <w:pPr>
              <w:pStyle w:val="Heading5"/>
              <w:outlineLvl w:val="4"/>
              <w:rPr>
                <w:rFonts w:asciiTheme="minorHAnsi" w:eastAsia="Times New Roman" w:hAnsiTheme="minorHAnsi"/>
                <w:sz w:val="17"/>
                <w:szCs w:val="17"/>
                <w:lang w:eastAsia="en-US"/>
              </w:rPr>
            </w:pPr>
            <w:r w:rsidRPr="00847EDF">
              <w:rPr>
                <w:rFonts w:asciiTheme="minorHAnsi" w:eastAsia="Times New Roman" w:hAnsiTheme="minorHAnsi"/>
                <w:sz w:val="17"/>
                <w:szCs w:val="17"/>
                <w:lang w:eastAsia="en-US"/>
              </w:rPr>
              <w:t xml:space="preserve">Investment number and name (if applicable) </w:t>
            </w:r>
          </w:p>
        </w:tc>
        <w:tc>
          <w:tcPr>
            <w:tcW w:w="2381" w:type="dxa"/>
          </w:tcPr>
          <w:p w:rsidR="00847EDF" w:rsidRDefault="00847EDF" w:rsidP="00847EDF">
            <w:pPr>
              <w:pStyle w:val="Heading5"/>
              <w:outlineLvl w:val="4"/>
              <w:rPr>
                <w:rFonts w:asciiTheme="minorHAnsi" w:eastAsia="Times New Roman" w:hAnsiTheme="minorHAnsi"/>
                <w:sz w:val="17"/>
                <w:szCs w:val="17"/>
                <w:lang w:eastAsia="en-US"/>
              </w:rPr>
            </w:pPr>
          </w:p>
          <w:p w:rsidR="00400B0F" w:rsidRPr="00847EDF" w:rsidRDefault="00400B0F" w:rsidP="00847EDF">
            <w:pPr>
              <w:pStyle w:val="Heading5"/>
              <w:outlineLvl w:val="4"/>
              <w:rPr>
                <w:rFonts w:asciiTheme="minorHAnsi" w:eastAsia="Times New Roman" w:hAnsiTheme="minorHAnsi"/>
                <w:sz w:val="17"/>
                <w:szCs w:val="17"/>
                <w:lang w:eastAsia="en-US"/>
              </w:rPr>
            </w:pPr>
            <w:r w:rsidRPr="00847EDF">
              <w:rPr>
                <w:rFonts w:asciiTheme="minorHAnsi" w:eastAsia="Times New Roman" w:hAnsiTheme="minorHAnsi"/>
                <w:sz w:val="17"/>
                <w:szCs w:val="17"/>
                <w:lang w:eastAsia="en-US"/>
              </w:rPr>
              <w:t>Date – planned commencement (month/year)</w:t>
            </w:r>
          </w:p>
        </w:tc>
        <w:tc>
          <w:tcPr>
            <w:tcW w:w="2099" w:type="dxa"/>
          </w:tcPr>
          <w:p w:rsidR="00847EDF" w:rsidRDefault="00847EDF" w:rsidP="00847EDF">
            <w:pPr>
              <w:pStyle w:val="Heading5"/>
              <w:outlineLvl w:val="4"/>
              <w:rPr>
                <w:rFonts w:asciiTheme="minorHAnsi" w:eastAsia="Times New Roman" w:hAnsiTheme="minorHAnsi"/>
                <w:sz w:val="17"/>
                <w:szCs w:val="17"/>
                <w:lang w:eastAsia="en-US"/>
              </w:rPr>
            </w:pPr>
          </w:p>
          <w:p w:rsidR="00400B0F" w:rsidRPr="00847EDF" w:rsidRDefault="00400B0F" w:rsidP="00847EDF">
            <w:pPr>
              <w:pStyle w:val="Heading5"/>
              <w:outlineLvl w:val="4"/>
              <w:rPr>
                <w:rFonts w:asciiTheme="minorHAnsi" w:eastAsia="Times New Roman" w:hAnsiTheme="minorHAnsi"/>
                <w:sz w:val="17"/>
                <w:szCs w:val="17"/>
                <w:lang w:eastAsia="en-US"/>
              </w:rPr>
            </w:pPr>
            <w:r w:rsidRPr="00847EDF">
              <w:rPr>
                <w:rFonts w:asciiTheme="minorHAnsi" w:eastAsia="Times New Roman" w:hAnsiTheme="minorHAnsi"/>
                <w:sz w:val="17"/>
                <w:szCs w:val="17"/>
                <w:lang w:eastAsia="en-US"/>
              </w:rPr>
              <w:t>Date – planned completion (month/year)</w:t>
            </w:r>
          </w:p>
        </w:tc>
        <w:tc>
          <w:tcPr>
            <w:tcW w:w="3515" w:type="dxa"/>
          </w:tcPr>
          <w:p w:rsidR="00847EDF" w:rsidRDefault="00847EDF" w:rsidP="00847EDF">
            <w:pPr>
              <w:pStyle w:val="Heading5"/>
              <w:outlineLvl w:val="4"/>
              <w:rPr>
                <w:rFonts w:asciiTheme="minorHAnsi" w:eastAsia="Times New Roman" w:hAnsiTheme="minorHAnsi"/>
                <w:sz w:val="17"/>
                <w:szCs w:val="17"/>
                <w:lang w:eastAsia="en-US"/>
              </w:rPr>
            </w:pPr>
          </w:p>
          <w:p w:rsidR="00400B0F" w:rsidRPr="00847EDF" w:rsidRDefault="00400B0F" w:rsidP="00847EDF">
            <w:pPr>
              <w:pStyle w:val="Heading5"/>
              <w:outlineLvl w:val="4"/>
              <w:rPr>
                <w:rFonts w:asciiTheme="minorHAnsi" w:eastAsia="Times New Roman" w:hAnsiTheme="minorHAnsi"/>
                <w:sz w:val="17"/>
                <w:szCs w:val="17"/>
                <w:lang w:eastAsia="en-US"/>
              </w:rPr>
            </w:pPr>
            <w:r w:rsidRPr="00847EDF">
              <w:rPr>
                <w:rFonts w:asciiTheme="minorHAnsi" w:eastAsia="Times New Roman" w:hAnsiTheme="minorHAnsi"/>
                <w:sz w:val="17"/>
                <w:szCs w:val="17"/>
                <w:lang w:eastAsia="en-US"/>
              </w:rPr>
              <w:t>Purpose of evaluation</w:t>
            </w:r>
          </w:p>
        </w:tc>
        <w:tc>
          <w:tcPr>
            <w:tcW w:w="1793" w:type="dxa"/>
          </w:tcPr>
          <w:p w:rsidR="00847EDF" w:rsidRDefault="00847EDF" w:rsidP="00847EDF">
            <w:pPr>
              <w:pStyle w:val="Heading5"/>
              <w:outlineLvl w:val="4"/>
              <w:rPr>
                <w:rFonts w:asciiTheme="minorHAnsi" w:eastAsia="Times New Roman" w:hAnsiTheme="minorHAnsi"/>
                <w:sz w:val="17"/>
                <w:szCs w:val="17"/>
                <w:lang w:eastAsia="en-US"/>
              </w:rPr>
            </w:pPr>
          </w:p>
          <w:p w:rsidR="00400B0F" w:rsidRPr="00847EDF" w:rsidRDefault="00400B0F" w:rsidP="00847EDF">
            <w:pPr>
              <w:pStyle w:val="Heading5"/>
              <w:outlineLvl w:val="4"/>
              <w:rPr>
                <w:rFonts w:asciiTheme="minorHAnsi" w:eastAsia="Times New Roman" w:hAnsiTheme="minorHAnsi"/>
                <w:sz w:val="17"/>
                <w:szCs w:val="17"/>
                <w:lang w:eastAsia="en-US"/>
              </w:rPr>
            </w:pPr>
            <w:r w:rsidRPr="00847EDF">
              <w:rPr>
                <w:rFonts w:asciiTheme="minorHAnsi" w:eastAsia="Times New Roman" w:hAnsiTheme="minorHAnsi"/>
                <w:sz w:val="17"/>
                <w:szCs w:val="17"/>
                <w:lang w:eastAsia="en-US"/>
              </w:rPr>
              <w:t>Evaluation type</w:t>
            </w:r>
          </w:p>
        </w:tc>
      </w:tr>
      <w:tr w:rsidR="00400B0F" w:rsidRPr="00C61187" w:rsidTr="00833E98">
        <w:tc>
          <w:tcPr>
            <w:tcW w:w="2472" w:type="dxa"/>
          </w:tcPr>
          <w:p w:rsidR="00400B0F" w:rsidRPr="00A427C6" w:rsidRDefault="00016615" w:rsidP="0035271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Health </w:t>
            </w:r>
            <w:r w:rsidR="00154431">
              <w:rPr>
                <w:rFonts w:asciiTheme="minorHAnsi" w:eastAsia="Times New Roman" w:hAnsiTheme="minorHAnsi"/>
                <w:iCs/>
                <w:szCs w:val="17"/>
                <w:lang w:eastAsia="en-US"/>
              </w:rPr>
              <w:t>Capacity Development and Service Delivery program</w:t>
            </w:r>
            <w:r w:rsidR="00400B0F" w:rsidRPr="00A427C6">
              <w:rPr>
                <w:rFonts w:asciiTheme="minorHAnsi" w:eastAsia="Times New Roman" w:hAnsiTheme="minorHAnsi"/>
                <w:iCs/>
                <w:szCs w:val="17"/>
                <w:lang w:eastAsia="en-US"/>
              </w:rPr>
              <w:t xml:space="preserve"> </w:t>
            </w:r>
          </w:p>
        </w:tc>
        <w:tc>
          <w:tcPr>
            <w:tcW w:w="1989" w:type="dxa"/>
          </w:tcPr>
          <w:p w:rsidR="00400B0F" w:rsidRPr="00A427C6" w:rsidRDefault="00154431"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INK214</w:t>
            </w:r>
          </w:p>
        </w:tc>
        <w:tc>
          <w:tcPr>
            <w:tcW w:w="2381" w:type="dxa"/>
          </w:tcPr>
          <w:p w:rsidR="00400B0F" w:rsidRPr="00A427C6" w:rsidRDefault="0001661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July 2016</w:t>
            </w:r>
          </w:p>
        </w:tc>
        <w:tc>
          <w:tcPr>
            <w:tcW w:w="2099" w:type="dxa"/>
          </w:tcPr>
          <w:p w:rsidR="00400B0F" w:rsidRPr="00A427C6" w:rsidRDefault="0001661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November 2016</w:t>
            </w:r>
          </w:p>
        </w:tc>
        <w:tc>
          <w:tcPr>
            <w:tcW w:w="3515" w:type="dxa"/>
          </w:tcPr>
          <w:p w:rsidR="00400B0F" w:rsidRPr="00A427C6" w:rsidRDefault="00016615" w:rsidP="009F4085">
            <w:pPr>
              <w:keepLines/>
              <w:spacing w:before="40" w:after="40" w:line="200" w:lineRule="atLeast"/>
              <w:rPr>
                <w:rFonts w:asciiTheme="minorHAnsi" w:eastAsia="Times New Roman" w:hAnsiTheme="minorHAnsi"/>
                <w:iCs/>
                <w:color w:val="000000" w:themeColor="text1" w:themeShade="BF"/>
                <w:szCs w:val="17"/>
                <w:lang w:eastAsia="en-US"/>
              </w:rPr>
            </w:pPr>
            <w:r>
              <w:rPr>
                <w:rFonts w:asciiTheme="minorHAnsi" w:eastAsia="Times New Roman" w:hAnsiTheme="minorHAnsi"/>
                <w:iCs/>
                <w:szCs w:val="17"/>
                <w:lang w:eastAsia="en-US"/>
              </w:rPr>
              <w:t>To verify success and inform future investments</w:t>
            </w:r>
          </w:p>
        </w:tc>
        <w:tc>
          <w:tcPr>
            <w:tcW w:w="1793" w:type="dxa"/>
          </w:tcPr>
          <w:p w:rsidR="00400B0F" w:rsidRPr="00A427C6" w:rsidRDefault="009F408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Mid-term</w:t>
            </w:r>
            <w:r w:rsidR="00016615">
              <w:rPr>
                <w:rFonts w:asciiTheme="minorHAnsi" w:eastAsia="Times New Roman" w:hAnsiTheme="minorHAnsi"/>
                <w:iCs/>
                <w:szCs w:val="17"/>
                <w:lang w:eastAsia="en-US"/>
              </w:rPr>
              <w:t xml:space="preserve"> review</w:t>
            </w:r>
          </w:p>
        </w:tc>
      </w:tr>
      <w:tr w:rsidR="00400B0F" w:rsidRPr="00C61187" w:rsidTr="00833E98">
        <w:tc>
          <w:tcPr>
            <w:tcW w:w="2472" w:type="dxa"/>
          </w:tcPr>
          <w:p w:rsidR="00400B0F" w:rsidRPr="007628B0" w:rsidRDefault="007628B0" w:rsidP="006F27B1">
            <w:pPr>
              <w:keepLines/>
              <w:spacing w:before="40" w:after="40" w:line="200" w:lineRule="atLeast"/>
              <w:rPr>
                <w:rFonts w:asciiTheme="minorHAnsi" w:eastAsia="Times New Roman" w:hAnsiTheme="minorHAnsi"/>
                <w:iCs/>
                <w:szCs w:val="17"/>
                <w:lang w:eastAsia="en-US"/>
              </w:rPr>
            </w:pPr>
            <w:r w:rsidRPr="007628B0">
              <w:rPr>
                <w:rFonts w:asciiTheme="minorHAnsi" w:eastAsia="Times New Roman" w:hAnsiTheme="minorHAnsi"/>
                <w:iCs/>
                <w:szCs w:val="17"/>
                <w:lang w:eastAsia="en-US"/>
              </w:rPr>
              <w:t>Papua New Guinea – Australia Transport</w:t>
            </w:r>
            <w:r w:rsidR="00833E98">
              <w:rPr>
                <w:rFonts w:asciiTheme="minorHAnsi" w:eastAsia="Times New Roman" w:hAnsiTheme="minorHAnsi"/>
                <w:iCs/>
                <w:szCs w:val="17"/>
                <w:lang w:eastAsia="en-US"/>
              </w:rPr>
              <w:t xml:space="preserve"> Sector Support Program Phase 2 (TSSP)</w:t>
            </w:r>
          </w:p>
        </w:tc>
        <w:tc>
          <w:tcPr>
            <w:tcW w:w="1989" w:type="dxa"/>
          </w:tcPr>
          <w:p w:rsidR="00400B0F" w:rsidRPr="007628B0" w:rsidRDefault="007628B0" w:rsidP="00833E98">
            <w:pPr>
              <w:keepLines/>
              <w:spacing w:before="40" w:after="40" w:line="200" w:lineRule="atLeast"/>
              <w:rPr>
                <w:rFonts w:asciiTheme="minorHAnsi" w:eastAsia="Times New Roman" w:hAnsiTheme="minorHAnsi"/>
                <w:iCs/>
                <w:szCs w:val="17"/>
                <w:lang w:eastAsia="en-US"/>
              </w:rPr>
            </w:pPr>
            <w:r w:rsidRPr="007628B0">
              <w:rPr>
                <w:rFonts w:asciiTheme="minorHAnsi" w:eastAsia="Times New Roman" w:hAnsiTheme="minorHAnsi"/>
                <w:iCs/>
                <w:szCs w:val="17"/>
                <w:lang w:eastAsia="en-US"/>
              </w:rPr>
              <w:t xml:space="preserve">INK081 </w:t>
            </w:r>
          </w:p>
        </w:tc>
        <w:tc>
          <w:tcPr>
            <w:tcW w:w="2381" w:type="dxa"/>
          </w:tcPr>
          <w:p w:rsidR="00400B0F" w:rsidRPr="007628B0" w:rsidRDefault="007628B0" w:rsidP="006F27B1">
            <w:pPr>
              <w:keepLines/>
              <w:spacing w:before="40" w:after="40" w:line="200" w:lineRule="atLeast"/>
              <w:rPr>
                <w:rFonts w:asciiTheme="minorHAnsi" w:eastAsia="Times New Roman" w:hAnsiTheme="minorHAnsi"/>
                <w:iCs/>
                <w:szCs w:val="17"/>
                <w:lang w:eastAsia="en-US"/>
              </w:rPr>
            </w:pPr>
            <w:r w:rsidRPr="007628B0">
              <w:rPr>
                <w:rFonts w:asciiTheme="minorHAnsi" w:eastAsia="Times New Roman" w:hAnsiTheme="minorHAnsi"/>
                <w:iCs/>
                <w:szCs w:val="17"/>
                <w:lang w:eastAsia="en-US"/>
              </w:rPr>
              <w:t>August 2016</w:t>
            </w:r>
          </w:p>
        </w:tc>
        <w:tc>
          <w:tcPr>
            <w:tcW w:w="2099" w:type="dxa"/>
          </w:tcPr>
          <w:p w:rsidR="00400B0F" w:rsidRPr="007628B0" w:rsidRDefault="007628B0" w:rsidP="006F27B1">
            <w:pPr>
              <w:keepLines/>
              <w:spacing w:before="40" w:after="40" w:line="200" w:lineRule="atLeast"/>
              <w:rPr>
                <w:rFonts w:asciiTheme="minorHAnsi" w:eastAsia="Times New Roman" w:hAnsiTheme="minorHAnsi"/>
                <w:iCs/>
                <w:szCs w:val="17"/>
                <w:lang w:eastAsia="en-US"/>
              </w:rPr>
            </w:pPr>
            <w:r w:rsidRPr="007628B0">
              <w:rPr>
                <w:rFonts w:asciiTheme="minorHAnsi" w:eastAsia="Times New Roman" w:hAnsiTheme="minorHAnsi"/>
                <w:iCs/>
                <w:szCs w:val="17"/>
                <w:lang w:eastAsia="en-US"/>
              </w:rPr>
              <w:t>February 2017</w:t>
            </w:r>
          </w:p>
        </w:tc>
        <w:tc>
          <w:tcPr>
            <w:tcW w:w="3515" w:type="dxa"/>
          </w:tcPr>
          <w:p w:rsidR="00400B0F" w:rsidRPr="007628B0" w:rsidRDefault="00833E98" w:rsidP="00833E98">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To assess the positive, </w:t>
            </w:r>
            <w:r w:rsidR="007628B0" w:rsidRPr="007628B0">
              <w:rPr>
                <w:rFonts w:asciiTheme="minorHAnsi" w:eastAsia="Times New Roman" w:hAnsiTheme="minorHAnsi"/>
                <w:iCs/>
                <w:szCs w:val="17"/>
                <w:lang w:eastAsia="en-US"/>
              </w:rPr>
              <w:t>negative, intended and unintended consequences of TSSP over its two phases and identify areas for improvement.</w:t>
            </w:r>
          </w:p>
        </w:tc>
        <w:tc>
          <w:tcPr>
            <w:tcW w:w="1793" w:type="dxa"/>
          </w:tcPr>
          <w:p w:rsidR="00400B0F" w:rsidRPr="007628B0" w:rsidRDefault="007628B0" w:rsidP="00833E98">
            <w:pPr>
              <w:keepLines/>
              <w:spacing w:before="40" w:after="40" w:line="200" w:lineRule="atLeast"/>
              <w:rPr>
                <w:rFonts w:asciiTheme="minorHAnsi" w:eastAsia="Times New Roman" w:hAnsiTheme="minorHAnsi"/>
                <w:iCs/>
                <w:szCs w:val="17"/>
                <w:lang w:eastAsia="en-US"/>
              </w:rPr>
            </w:pPr>
            <w:r w:rsidRPr="007628B0">
              <w:rPr>
                <w:rFonts w:asciiTheme="minorHAnsi" w:eastAsia="Times New Roman" w:hAnsiTheme="minorHAnsi"/>
                <w:iCs/>
                <w:szCs w:val="17"/>
                <w:lang w:eastAsia="en-US"/>
              </w:rPr>
              <w:t xml:space="preserve">Independent evaluation </w:t>
            </w:r>
          </w:p>
        </w:tc>
      </w:tr>
      <w:tr w:rsidR="00EB148F" w:rsidRPr="00C61187" w:rsidTr="00833E98">
        <w:tc>
          <w:tcPr>
            <w:tcW w:w="2472" w:type="dxa"/>
          </w:tcPr>
          <w:p w:rsidR="00EB148F" w:rsidRPr="00CD131A" w:rsidRDefault="00EB148F" w:rsidP="006F27B1">
            <w:pPr>
              <w:keepLines/>
              <w:spacing w:before="40" w:after="40" w:line="200" w:lineRule="atLeast"/>
              <w:rPr>
                <w:rFonts w:asciiTheme="minorHAnsi" w:eastAsia="Times New Roman" w:hAnsiTheme="minorHAnsi"/>
                <w:iCs/>
                <w:szCs w:val="17"/>
              </w:rPr>
            </w:pPr>
            <w:r w:rsidRPr="00CD131A">
              <w:rPr>
                <w:rFonts w:asciiTheme="minorHAnsi" w:eastAsia="Times New Roman" w:hAnsiTheme="minorHAnsi"/>
                <w:iCs/>
                <w:szCs w:val="17"/>
              </w:rPr>
              <w:t>Reproductive Health Training Unit</w:t>
            </w:r>
          </w:p>
        </w:tc>
        <w:tc>
          <w:tcPr>
            <w:tcW w:w="1989" w:type="dxa"/>
          </w:tcPr>
          <w:p w:rsidR="00EB148F" w:rsidRPr="00CD131A" w:rsidRDefault="00EB148F" w:rsidP="00833E98">
            <w:pPr>
              <w:keepLines/>
              <w:spacing w:before="40" w:after="40" w:line="200" w:lineRule="atLeast"/>
              <w:rPr>
                <w:rFonts w:asciiTheme="minorHAnsi" w:eastAsia="Times New Roman" w:hAnsiTheme="minorHAnsi"/>
                <w:iCs/>
                <w:szCs w:val="17"/>
              </w:rPr>
            </w:pPr>
            <w:r w:rsidRPr="00CD131A">
              <w:rPr>
                <w:rFonts w:asciiTheme="minorHAnsi" w:eastAsia="Times New Roman" w:hAnsiTheme="minorHAnsi"/>
                <w:iCs/>
                <w:szCs w:val="17"/>
              </w:rPr>
              <w:t>INK214</w:t>
            </w:r>
          </w:p>
        </w:tc>
        <w:tc>
          <w:tcPr>
            <w:tcW w:w="2381" w:type="dxa"/>
          </w:tcPr>
          <w:p w:rsidR="00EB148F" w:rsidRPr="00CD131A" w:rsidRDefault="00EB148F" w:rsidP="006F27B1">
            <w:pPr>
              <w:keepLines/>
              <w:spacing w:before="40" w:after="40" w:line="200" w:lineRule="atLeast"/>
              <w:rPr>
                <w:rFonts w:asciiTheme="minorHAnsi" w:eastAsia="Times New Roman" w:hAnsiTheme="minorHAnsi"/>
                <w:iCs/>
                <w:szCs w:val="17"/>
              </w:rPr>
            </w:pPr>
            <w:r w:rsidRPr="00CD131A">
              <w:rPr>
                <w:rFonts w:asciiTheme="minorHAnsi" w:eastAsia="Times New Roman" w:hAnsiTheme="minorHAnsi"/>
                <w:iCs/>
                <w:szCs w:val="17"/>
              </w:rPr>
              <w:t>August 2016</w:t>
            </w:r>
          </w:p>
        </w:tc>
        <w:tc>
          <w:tcPr>
            <w:tcW w:w="2099" w:type="dxa"/>
          </w:tcPr>
          <w:p w:rsidR="00EB148F" w:rsidRPr="00CD131A" w:rsidRDefault="00EB148F" w:rsidP="006F27B1">
            <w:pPr>
              <w:keepLines/>
              <w:spacing w:before="40" w:after="40" w:line="200" w:lineRule="atLeast"/>
              <w:rPr>
                <w:rFonts w:asciiTheme="minorHAnsi" w:eastAsia="Times New Roman" w:hAnsiTheme="minorHAnsi"/>
                <w:iCs/>
                <w:szCs w:val="17"/>
              </w:rPr>
            </w:pPr>
            <w:r w:rsidRPr="00CD131A">
              <w:rPr>
                <w:rFonts w:asciiTheme="minorHAnsi" w:eastAsia="Times New Roman" w:hAnsiTheme="minorHAnsi"/>
                <w:iCs/>
                <w:szCs w:val="17"/>
              </w:rPr>
              <w:t>November 2016</w:t>
            </w:r>
          </w:p>
        </w:tc>
        <w:tc>
          <w:tcPr>
            <w:tcW w:w="3515" w:type="dxa"/>
          </w:tcPr>
          <w:p w:rsidR="00EB148F" w:rsidRPr="00CD131A" w:rsidRDefault="00EB148F" w:rsidP="00833E98">
            <w:pPr>
              <w:keepLines/>
              <w:spacing w:before="40" w:after="40" w:line="200" w:lineRule="atLeast"/>
              <w:rPr>
                <w:rFonts w:asciiTheme="minorHAnsi" w:eastAsia="Times New Roman" w:hAnsiTheme="minorHAnsi"/>
                <w:iCs/>
                <w:szCs w:val="17"/>
              </w:rPr>
            </w:pPr>
            <w:r w:rsidRPr="00CD131A">
              <w:rPr>
                <w:rFonts w:asciiTheme="minorHAnsi" w:eastAsia="Times New Roman" w:hAnsiTheme="minorHAnsi"/>
                <w:iCs/>
                <w:szCs w:val="17"/>
              </w:rPr>
              <w:t>To provide recommendations for future support</w:t>
            </w:r>
          </w:p>
        </w:tc>
        <w:tc>
          <w:tcPr>
            <w:tcW w:w="1793" w:type="dxa"/>
          </w:tcPr>
          <w:p w:rsidR="00EB148F" w:rsidRPr="00CD131A" w:rsidRDefault="00EB148F" w:rsidP="00833E98">
            <w:pPr>
              <w:keepLines/>
              <w:spacing w:before="40" w:after="40" w:line="200" w:lineRule="atLeast"/>
              <w:rPr>
                <w:rFonts w:asciiTheme="minorHAnsi" w:eastAsia="Times New Roman" w:hAnsiTheme="minorHAnsi"/>
                <w:iCs/>
                <w:szCs w:val="17"/>
              </w:rPr>
            </w:pPr>
            <w:r w:rsidRPr="00CD131A">
              <w:rPr>
                <w:rFonts w:asciiTheme="minorHAnsi" w:eastAsia="Times New Roman" w:hAnsiTheme="minorHAnsi"/>
                <w:iCs/>
                <w:szCs w:val="17"/>
              </w:rPr>
              <w:t>End of program review</w:t>
            </w:r>
          </w:p>
        </w:tc>
      </w:tr>
      <w:tr w:rsidR="00EB148F" w:rsidRPr="00C61187" w:rsidTr="00833E98">
        <w:tc>
          <w:tcPr>
            <w:tcW w:w="2472" w:type="dxa"/>
          </w:tcPr>
          <w:p w:rsidR="00EB148F" w:rsidRPr="00CD131A" w:rsidRDefault="00EB148F" w:rsidP="006F27B1">
            <w:pPr>
              <w:keepLines/>
              <w:spacing w:before="40" w:after="40" w:line="200" w:lineRule="atLeast"/>
              <w:rPr>
                <w:rFonts w:asciiTheme="minorHAnsi" w:eastAsia="Times New Roman" w:hAnsiTheme="minorHAnsi"/>
                <w:iCs/>
                <w:szCs w:val="17"/>
              </w:rPr>
            </w:pPr>
            <w:r w:rsidRPr="00CD131A">
              <w:rPr>
                <w:rFonts w:asciiTheme="minorHAnsi" w:eastAsia="Times New Roman" w:hAnsiTheme="minorHAnsi"/>
                <w:iCs/>
                <w:szCs w:val="17"/>
              </w:rPr>
              <w:t>The Maternal and Child Health Initiative</w:t>
            </w:r>
          </w:p>
        </w:tc>
        <w:tc>
          <w:tcPr>
            <w:tcW w:w="1989" w:type="dxa"/>
          </w:tcPr>
          <w:p w:rsidR="00EB148F" w:rsidRPr="00CD131A" w:rsidRDefault="00EB148F" w:rsidP="00833E98">
            <w:pPr>
              <w:keepLines/>
              <w:spacing w:before="40" w:after="40" w:line="200" w:lineRule="atLeast"/>
              <w:rPr>
                <w:rFonts w:asciiTheme="minorHAnsi" w:eastAsia="Times New Roman" w:hAnsiTheme="minorHAnsi"/>
                <w:iCs/>
                <w:szCs w:val="17"/>
              </w:rPr>
            </w:pPr>
            <w:r w:rsidRPr="00CD131A">
              <w:rPr>
                <w:rFonts w:asciiTheme="minorHAnsi" w:eastAsia="Times New Roman" w:hAnsiTheme="minorHAnsi"/>
                <w:iCs/>
                <w:szCs w:val="17"/>
              </w:rPr>
              <w:t>INK214</w:t>
            </w:r>
          </w:p>
        </w:tc>
        <w:tc>
          <w:tcPr>
            <w:tcW w:w="2381" w:type="dxa"/>
          </w:tcPr>
          <w:p w:rsidR="00EB148F" w:rsidRPr="00CD131A" w:rsidRDefault="00EB148F" w:rsidP="006F27B1">
            <w:pPr>
              <w:keepLines/>
              <w:spacing w:before="40" w:after="40" w:line="200" w:lineRule="atLeast"/>
              <w:rPr>
                <w:rFonts w:asciiTheme="minorHAnsi" w:eastAsia="Times New Roman" w:hAnsiTheme="minorHAnsi"/>
                <w:iCs/>
                <w:szCs w:val="17"/>
              </w:rPr>
            </w:pPr>
            <w:r w:rsidRPr="00CD131A">
              <w:rPr>
                <w:rFonts w:asciiTheme="minorHAnsi" w:eastAsia="Times New Roman" w:hAnsiTheme="minorHAnsi"/>
                <w:iCs/>
                <w:szCs w:val="17"/>
              </w:rPr>
              <w:t>September 2016</w:t>
            </w:r>
          </w:p>
        </w:tc>
        <w:tc>
          <w:tcPr>
            <w:tcW w:w="2099" w:type="dxa"/>
          </w:tcPr>
          <w:p w:rsidR="00EB148F" w:rsidRPr="00CD131A" w:rsidRDefault="00EB148F" w:rsidP="006F27B1">
            <w:pPr>
              <w:keepLines/>
              <w:spacing w:before="40" w:after="40" w:line="200" w:lineRule="atLeast"/>
              <w:rPr>
                <w:rFonts w:asciiTheme="minorHAnsi" w:eastAsia="Times New Roman" w:hAnsiTheme="minorHAnsi"/>
                <w:iCs/>
                <w:szCs w:val="17"/>
              </w:rPr>
            </w:pPr>
            <w:r w:rsidRPr="00CD131A">
              <w:rPr>
                <w:rFonts w:asciiTheme="minorHAnsi" w:eastAsia="Times New Roman" w:hAnsiTheme="minorHAnsi"/>
                <w:iCs/>
                <w:szCs w:val="17"/>
              </w:rPr>
              <w:t>December 2016</w:t>
            </w:r>
          </w:p>
        </w:tc>
        <w:tc>
          <w:tcPr>
            <w:tcW w:w="3515" w:type="dxa"/>
          </w:tcPr>
          <w:p w:rsidR="00EB148F" w:rsidRPr="00CD131A" w:rsidRDefault="00EB148F" w:rsidP="00833E98">
            <w:pPr>
              <w:keepLines/>
              <w:spacing w:before="40" w:after="40" w:line="200" w:lineRule="atLeast"/>
              <w:rPr>
                <w:rFonts w:asciiTheme="minorHAnsi" w:eastAsia="Times New Roman" w:hAnsiTheme="minorHAnsi"/>
                <w:iCs/>
                <w:szCs w:val="17"/>
              </w:rPr>
            </w:pPr>
            <w:r w:rsidRPr="00CD131A">
              <w:rPr>
                <w:rFonts w:asciiTheme="minorHAnsi" w:eastAsia="Times New Roman" w:hAnsiTheme="minorHAnsi"/>
                <w:iCs/>
                <w:szCs w:val="17"/>
              </w:rPr>
              <w:t>To make an independent assessment of the effectiveness and value for money of the program</w:t>
            </w:r>
          </w:p>
        </w:tc>
        <w:tc>
          <w:tcPr>
            <w:tcW w:w="1793" w:type="dxa"/>
          </w:tcPr>
          <w:p w:rsidR="00EB148F" w:rsidRPr="00CD131A" w:rsidRDefault="00EB148F" w:rsidP="00833E98">
            <w:pPr>
              <w:keepLines/>
              <w:spacing w:before="40" w:after="40" w:line="200" w:lineRule="atLeast"/>
              <w:rPr>
                <w:rFonts w:asciiTheme="minorHAnsi" w:eastAsia="Times New Roman" w:hAnsiTheme="minorHAnsi"/>
                <w:iCs/>
                <w:szCs w:val="17"/>
              </w:rPr>
            </w:pPr>
            <w:r w:rsidRPr="00CD131A">
              <w:rPr>
                <w:rFonts w:asciiTheme="minorHAnsi" w:eastAsia="Times New Roman" w:hAnsiTheme="minorHAnsi"/>
                <w:iCs/>
                <w:szCs w:val="17"/>
              </w:rPr>
              <w:t>End of program assessment</w:t>
            </w:r>
          </w:p>
        </w:tc>
      </w:tr>
    </w:tbl>
    <w:p w:rsidR="00D338C9" w:rsidRPr="00D338C9" w:rsidRDefault="00D338C9" w:rsidP="00D338C9">
      <w:pPr>
        <w:keepNext/>
        <w:tabs>
          <w:tab w:val="left" w:pos="1560"/>
        </w:tabs>
        <w:spacing w:before="360" w:after="120"/>
        <w:outlineLvl w:val="1"/>
        <w:rPr>
          <w:rFonts w:eastAsiaTheme="majorEastAsia" w:cstheme="majorBidi"/>
          <w:bCs/>
          <w:iCs/>
          <w:caps/>
          <w:spacing w:val="-10"/>
          <w:kern w:val="28"/>
          <w:sz w:val="38"/>
          <w:szCs w:val="24"/>
        </w:rPr>
      </w:pPr>
      <w:r w:rsidRPr="00D338C9">
        <w:rPr>
          <w:rFonts w:eastAsiaTheme="majorEastAsia" w:cstheme="majorBidi"/>
          <w:bCs/>
          <w:iCs/>
          <w:caps/>
          <w:spacing w:val="-10"/>
          <w:kern w:val="28"/>
          <w:sz w:val="38"/>
          <w:szCs w:val="24"/>
        </w:rPr>
        <w:lastRenderedPageBreak/>
        <w:t>Annex D - Aid Quality Check ratings</w:t>
      </w:r>
    </w:p>
    <w:p w:rsidR="00D338C9" w:rsidRPr="00D338C9" w:rsidRDefault="00D338C9" w:rsidP="00D338C9">
      <w:pPr>
        <w:keepNext/>
        <w:numPr>
          <w:ilvl w:val="2"/>
          <w:numId w:val="0"/>
        </w:numPr>
        <w:spacing w:before="240" w:after="120"/>
        <w:outlineLvl w:val="2"/>
        <w:rPr>
          <w:rFonts w:asciiTheme="majorHAnsi" w:eastAsiaTheme="majorEastAsia" w:hAnsiTheme="majorHAnsi" w:cstheme="majorBidi"/>
          <w:caps/>
          <w:sz w:val="38"/>
          <w:szCs w:val="26"/>
        </w:rPr>
      </w:pPr>
      <w:r w:rsidRPr="00D338C9">
        <w:rPr>
          <w:rFonts w:asciiTheme="majorHAnsi" w:eastAsiaTheme="majorEastAsia" w:hAnsiTheme="majorHAnsi" w:cstheme="majorBidi"/>
          <w:caps/>
          <w:sz w:val="38"/>
          <w:szCs w:val="26"/>
        </w:rPr>
        <w:t>AQC ratings*</w:t>
      </w:r>
    </w:p>
    <w:tbl>
      <w:tblPr>
        <w:tblStyle w:val="APPR1"/>
        <w:tblW w:w="5000" w:type="pct"/>
        <w:tblLook w:val="0000" w:firstRow="0" w:lastRow="0" w:firstColumn="0" w:lastColumn="0" w:noHBand="0" w:noVBand="0"/>
        <w:tblCaption w:val="Aid Quality Check ratings 2015-16"/>
        <w:tblDescription w:val="Aid Quality Check ratings for 2015 and 2016"/>
      </w:tblPr>
      <w:tblGrid>
        <w:gridCol w:w="2670"/>
        <w:gridCol w:w="1930"/>
        <w:gridCol w:w="1231"/>
        <w:gridCol w:w="1237"/>
        <w:gridCol w:w="1228"/>
        <w:gridCol w:w="1237"/>
        <w:gridCol w:w="1228"/>
        <w:gridCol w:w="1237"/>
        <w:gridCol w:w="1228"/>
        <w:gridCol w:w="1234"/>
      </w:tblGrid>
      <w:tr w:rsidR="00D338C9" w:rsidRPr="00D338C9" w:rsidTr="00FD4B2C">
        <w:trPr>
          <w:cnfStyle w:val="000000010000" w:firstRow="0" w:lastRow="0" w:firstColumn="0" w:lastColumn="0" w:oddVBand="0" w:evenVBand="0" w:oddHBand="0" w:evenHBand="1" w:firstRowFirstColumn="0" w:firstRowLastColumn="0" w:lastRowFirstColumn="0" w:lastRowLastColumn="0"/>
          <w:trHeight w:val="1413"/>
        </w:trPr>
        <w:tc>
          <w:tcPr>
            <w:tcW w:w="909" w:type="pct"/>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eastAsia="Times New Roman" w:cstheme="majorBidi"/>
                <w:b/>
                <w:bCs/>
                <w:iCs/>
                <w:noProof/>
                <w:szCs w:val="17"/>
                <w:lang w:val="en-AU"/>
              </w:rPr>
              <w:drawing>
                <wp:anchor distT="0" distB="0" distL="114300" distR="114300" simplePos="0" relativeHeight="251708416" behindDoc="0" locked="0" layoutInCell="1" allowOverlap="1" wp14:anchorId="634FEC48" wp14:editId="0C286804">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8C9">
              <w:rPr>
                <w:rFonts w:asciiTheme="minorHAnsi" w:eastAsia="Times New Roman" w:hAnsiTheme="minorHAnsi" w:cstheme="majorBidi"/>
                <w:b/>
                <w:bCs/>
                <w:iCs/>
                <w:szCs w:val="17"/>
                <w:lang w:eastAsia="en-US"/>
              </w:rPr>
              <w:t>Investment name</w:t>
            </w:r>
          </w:p>
        </w:tc>
        <w:tc>
          <w:tcPr>
            <w:tcW w:w="658" w:type="pct"/>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Approved budget and duration</w:t>
            </w:r>
          </w:p>
        </w:tc>
        <w:tc>
          <w:tcPr>
            <w:tcW w:w="416" w:type="pct"/>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year on year</w:t>
            </w:r>
          </w:p>
        </w:tc>
        <w:tc>
          <w:tcPr>
            <w:tcW w:w="418" w:type="pct"/>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Relevance</w:t>
            </w:r>
          </w:p>
        </w:tc>
        <w:tc>
          <w:tcPr>
            <w:tcW w:w="415" w:type="pct"/>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Effectiveness</w:t>
            </w:r>
          </w:p>
        </w:tc>
        <w:tc>
          <w:tcPr>
            <w:tcW w:w="418" w:type="pct"/>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Efficiency</w:t>
            </w:r>
          </w:p>
        </w:tc>
        <w:tc>
          <w:tcPr>
            <w:tcW w:w="415" w:type="pct"/>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Monitoring and Evaluation</w:t>
            </w:r>
          </w:p>
        </w:tc>
        <w:tc>
          <w:tcPr>
            <w:tcW w:w="418" w:type="pct"/>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Sustainability</w:t>
            </w:r>
          </w:p>
        </w:tc>
        <w:tc>
          <w:tcPr>
            <w:tcW w:w="415" w:type="pct"/>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Gender equality</w:t>
            </w:r>
          </w:p>
        </w:tc>
        <w:tc>
          <w:tcPr>
            <w:tcW w:w="412" w:type="pct"/>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Risks  and Safeguards</w:t>
            </w:r>
          </w:p>
        </w:tc>
      </w:tr>
      <w:tr w:rsidR="00D338C9" w:rsidRPr="00D338C9" w:rsidTr="00FD4B2C">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PNG Education program (INJ761, INJ316)</w:t>
            </w:r>
          </w:p>
        </w:tc>
        <w:tc>
          <w:tcPr>
            <w:tcW w:w="658" w:type="pct"/>
            <w:vMerge w:val="restart"/>
          </w:tcPr>
          <w:p w:rsidR="00D338C9" w:rsidRPr="00D338C9" w:rsidRDefault="00D338C9" w:rsidP="00D338C9">
            <w:pPr>
              <w:autoSpaceDE w:val="0"/>
              <w:autoSpaceDN w:val="0"/>
              <w:adjustRightInd w:val="0"/>
              <w:rPr>
                <w:rFonts w:asciiTheme="minorHAnsi" w:hAnsiTheme="minorHAnsi" w:cs="Franklin Gothic Book"/>
                <w:szCs w:val="17"/>
              </w:rPr>
            </w:pPr>
            <w:r w:rsidRPr="00D338C9">
              <w:rPr>
                <w:rFonts w:asciiTheme="minorHAnsi" w:hAnsiTheme="minorHAnsi" w:cs="Franklin Gothic Book"/>
                <w:szCs w:val="17"/>
              </w:rPr>
              <w:t>$274m</w:t>
            </w:r>
          </w:p>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2011-17</w:t>
            </w:r>
          </w:p>
        </w:tc>
        <w:tc>
          <w:tcPr>
            <w:tcW w:w="416" w:type="pct"/>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2016 AQC</w:t>
            </w:r>
          </w:p>
        </w:tc>
        <w:tc>
          <w:tcPr>
            <w:tcW w:w="418" w:type="pct"/>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6</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5" w:type="pct"/>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3</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5"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4</w:t>
            </w:r>
          </w:p>
        </w:tc>
        <w:tc>
          <w:tcPr>
            <w:tcW w:w="412" w:type="pct"/>
            <w:shd w:val="clear" w:color="auto" w:fill="00B050"/>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6</w:t>
            </w:r>
          </w:p>
        </w:tc>
      </w:tr>
      <w:tr w:rsidR="00D338C9" w:rsidRPr="00D338C9" w:rsidTr="00FD4B2C">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5" w:type="pct"/>
            <w:tcBorders>
              <w:bottom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8" w:type="pct"/>
            <w:tcBorders>
              <w:bottom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4</w:t>
            </w:r>
          </w:p>
        </w:tc>
        <w:tc>
          <w:tcPr>
            <w:tcW w:w="418" w:type="pct"/>
            <w:tcBorders>
              <w:bottom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5" w:type="pct"/>
            <w:tcBorders>
              <w:bottom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2" w:type="pct"/>
            <w:tcBorders>
              <w:bottom w:val="single" w:sz="4" w:space="0" w:color="auto"/>
            </w:tcBorders>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r>
      <w:tr w:rsidR="00D338C9" w:rsidRPr="00D338C9" w:rsidTr="00FD4B2C">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PNG Health Capacity Development and Service Delivery (INK214)</w:t>
            </w:r>
          </w:p>
        </w:tc>
        <w:tc>
          <w:tcPr>
            <w:tcW w:w="658" w:type="pct"/>
            <w:vMerge w:val="restart"/>
          </w:tcPr>
          <w:p w:rsidR="00D338C9" w:rsidRPr="00D338C9" w:rsidRDefault="00D338C9" w:rsidP="00D338C9">
            <w:pPr>
              <w:autoSpaceDE w:val="0"/>
              <w:autoSpaceDN w:val="0"/>
              <w:adjustRightInd w:val="0"/>
              <w:rPr>
                <w:rFonts w:asciiTheme="minorHAnsi" w:hAnsiTheme="minorHAnsi" w:cs="Franklin Gothic Book"/>
                <w:szCs w:val="17"/>
              </w:rPr>
            </w:pPr>
            <w:r w:rsidRPr="00D338C9">
              <w:rPr>
                <w:rFonts w:asciiTheme="minorHAnsi" w:hAnsiTheme="minorHAnsi" w:cs="Franklin Gothic Book"/>
                <w:szCs w:val="17"/>
              </w:rPr>
              <w:t>$284m</w:t>
            </w:r>
          </w:p>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2011-17</w:t>
            </w:r>
          </w:p>
        </w:tc>
        <w:tc>
          <w:tcPr>
            <w:tcW w:w="416" w:type="pct"/>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2016 AQC</w:t>
            </w:r>
          </w:p>
        </w:tc>
        <w:tc>
          <w:tcPr>
            <w:tcW w:w="418" w:type="pct"/>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6</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color w:val="FFFF00"/>
                <w:szCs w:val="17"/>
                <w:lang w:eastAsia="en-US"/>
              </w:rPr>
            </w:pPr>
            <w:r w:rsidRPr="00D338C9">
              <w:rPr>
                <w:rFonts w:asciiTheme="minorHAnsi" w:eastAsia="Times New Roman" w:hAnsiTheme="minorHAnsi"/>
                <w:iCs/>
                <w:color w:val="auto"/>
                <w:szCs w:val="17"/>
                <w:lang w:eastAsia="en-US"/>
              </w:rPr>
              <w:t>5</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8" w:type="pct"/>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3</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2" w:type="pct"/>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r>
      <w:tr w:rsidR="00D338C9" w:rsidRPr="00D338C9" w:rsidTr="00FD4B2C">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2015 AQC</w:t>
            </w:r>
          </w:p>
        </w:tc>
        <w:tc>
          <w:tcPr>
            <w:tcW w:w="418" w:type="pct"/>
            <w:tcBorders>
              <w:bottom w:val="single" w:sz="4" w:space="0" w:color="auto"/>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6</w:t>
            </w:r>
          </w:p>
        </w:tc>
        <w:tc>
          <w:tcPr>
            <w:tcW w:w="415" w:type="pct"/>
            <w:tcBorders>
              <w:bottom w:val="single" w:sz="4" w:space="0" w:color="auto"/>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6</w:t>
            </w:r>
          </w:p>
        </w:tc>
        <w:tc>
          <w:tcPr>
            <w:tcW w:w="418" w:type="pct"/>
            <w:tcBorders>
              <w:bottom w:val="single" w:sz="4" w:space="0" w:color="auto"/>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6</w:t>
            </w:r>
          </w:p>
        </w:tc>
        <w:tc>
          <w:tcPr>
            <w:tcW w:w="415" w:type="pct"/>
            <w:tcBorders>
              <w:bottom w:val="single" w:sz="4" w:space="0" w:color="auto"/>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6</w:t>
            </w:r>
          </w:p>
        </w:tc>
        <w:tc>
          <w:tcPr>
            <w:tcW w:w="418" w:type="pct"/>
            <w:tcBorders>
              <w:bottom w:val="single" w:sz="4" w:space="0" w:color="auto"/>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6</w:t>
            </w:r>
          </w:p>
        </w:tc>
        <w:tc>
          <w:tcPr>
            <w:tcW w:w="415" w:type="pct"/>
            <w:tcBorders>
              <w:bottom w:val="single" w:sz="4" w:space="0" w:color="auto"/>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6</w:t>
            </w:r>
          </w:p>
        </w:tc>
        <w:tc>
          <w:tcPr>
            <w:tcW w:w="412" w:type="pct"/>
            <w:tcBorders>
              <w:bottom w:val="single" w:sz="4" w:space="0" w:color="auto"/>
            </w:tcBorders>
            <w:shd w:val="clear" w:color="auto" w:fill="00B050"/>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6</w:t>
            </w:r>
          </w:p>
        </w:tc>
      </w:tr>
      <w:tr w:rsidR="00D338C9" w:rsidRPr="00D338C9" w:rsidTr="00FD4B2C">
        <w:trPr>
          <w:cnfStyle w:val="000000010000" w:firstRow="0" w:lastRow="0" w:firstColumn="0" w:lastColumn="0" w:oddVBand="0" w:evenVBand="0" w:oddHBand="0" w:evenHBand="1" w:firstRowFirstColumn="0" w:firstRowLastColumn="0" w:lastRowFirstColumn="0" w:lastRowLastColumn="0"/>
          <w:trHeight w:val="543"/>
        </w:trPr>
        <w:tc>
          <w:tcPr>
            <w:tcW w:w="909" w:type="pct"/>
            <w:tcBorders>
              <w:bottom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Papua New Guinea Drought (INL847)</w:t>
            </w:r>
          </w:p>
        </w:tc>
        <w:tc>
          <w:tcPr>
            <w:tcW w:w="658" w:type="pct"/>
            <w:tcBorders>
              <w:bottom w:val="single" w:sz="4" w:space="0" w:color="auto"/>
            </w:tcBorders>
          </w:tcPr>
          <w:p w:rsidR="00D338C9" w:rsidRPr="00D338C9" w:rsidRDefault="00D338C9" w:rsidP="00D338C9">
            <w:pPr>
              <w:keepLines/>
              <w:spacing w:before="40" w:after="40" w:line="200" w:lineRule="atLeast"/>
              <w:rPr>
                <w:rFonts w:asciiTheme="majorHAnsi" w:eastAsia="Times New Roman" w:hAnsiTheme="majorHAnsi"/>
                <w:iCs/>
                <w:szCs w:val="17"/>
              </w:rPr>
            </w:pPr>
            <w:r w:rsidRPr="00D338C9">
              <w:rPr>
                <w:rFonts w:asciiTheme="majorHAnsi" w:eastAsia="Times New Roman" w:hAnsiTheme="majorHAnsi"/>
                <w:iCs/>
                <w:szCs w:val="17"/>
              </w:rPr>
              <w:t>$8.5m</w:t>
            </w:r>
          </w:p>
          <w:p w:rsidR="00D338C9" w:rsidRPr="00D338C9" w:rsidRDefault="00D338C9" w:rsidP="00D338C9">
            <w:pPr>
              <w:keepLines/>
              <w:spacing w:before="40" w:after="40" w:line="200" w:lineRule="atLeast"/>
              <w:rPr>
                <w:rFonts w:asciiTheme="majorHAnsi" w:eastAsia="Times New Roman" w:hAnsiTheme="majorHAnsi"/>
                <w:iCs/>
                <w:szCs w:val="17"/>
              </w:rPr>
            </w:pPr>
            <w:r w:rsidRPr="00D338C9">
              <w:rPr>
                <w:rFonts w:asciiTheme="majorHAnsi" w:eastAsia="Times New Roman" w:hAnsiTheme="majorHAnsi"/>
                <w:iCs/>
                <w:szCs w:val="17"/>
              </w:rPr>
              <w:t>2015-17</w:t>
            </w:r>
          </w:p>
        </w:tc>
        <w:tc>
          <w:tcPr>
            <w:tcW w:w="416" w:type="pct"/>
            <w:tcBorders>
              <w:bottom w:val="single" w:sz="4" w:space="0" w:color="auto"/>
            </w:tcBorders>
          </w:tcPr>
          <w:p w:rsidR="00D338C9" w:rsidRPr="00D338C9" w:rsidRDefault="00D338C9" w:rsidP="00D338C9">
            <w:pPr>
              <w:keepLines/>
              <w:spacing w:before="40" w:after="40" w:line="200" w:lineRule="atLeast"/>
              <w:rPr>
                <w:rFonts w:asciiTheme="majorHAnsi" w:eastAsia="Times New Roman" w:hAnsiTheme="majorHAnsi"/>
                <w:iCs/>
                <w:szCs w:val="17"/>
              </w:rPr>
            </w:pPr>
            <w:r w:rsidRPr="00D338C9">
              <w:rPr>
                <w:rFonts w:asciiTheme="majorHAnsi" w:eastAsia="Times New Roman" w:hAnsiTheme="majorHAnsi"/>
                <w:iCs/>
                <w:szCs w:val="17"/>
              </w:rPr>
              <w:t>2016 AQC</w:t>
            </w:r>
          </w:p>
        </w:tc>
        <w:tc>
          <w:tcPr>
            <w:tcW w:w="418" w:type="pct"/>
            <w:tcBorders>
              <w:bottom w:val="single" w:sz="4" w:space="0" w:color="auto"/>
            </w:tcBorders>
            <w:shd w:val="clear" w:color="auto" w:fill="00B050"/>
            <w:noWrap/>
          </w:tcPr>
          <w:p w:rsidR="00D338C9" w:rsidRPr="00D338C9" w:rsidRDefault="00D338C9" w:rsidP="00D338C9">
            <w:pPr>
              <w:keepLines/>
              <w:spacing w:before="40" w:after="40" w:line="200" w:lineRule="atLeast"/>
              <w:jc w:val="center"/>
              <w:rPr>
                <w:rFonts w:eastAsia="Times New Roman"/>
                <w:iCs/>
                <w:szCs w:val="17"/>
              </w:rPr>
            </w:pPr>
            <w:r w:rsidRPr="00D338C9">
              <w:rPr>
                <w:rFonts w:eastAsia="Times New Roman"/>
                <w:iCs/>
                <w:szCs w:val="17"/>
              </w:rPr>
              <w:t>5</w:t>
            </w:r>
          </w:p>
        </w:tc>
        <w:tc>
          <w:tcPr>
            <w:tcW w:w="415" w:type="pct"/>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3</w:t>
            </w:r>
          </w:p>
        </w:tc>
        <w:tc>
          <w:tcPr>
            <w:tcW w:w="418" w:type="pct"/>
            <w:tcBorders>
              <w:bottom w:val="single" w:sz="4" w:space="0" w:color="auto"/>
            </w:tcBorders>
            <w:shd w:val="clear" w:color="auto" w:fill="00B050"/>
            <w:noWrap/>
          </w:tcPr>
          <w:p w:rsidR="00D338C9" w:rsidRPr="00D338C9" w:rsidRDefault="00D338C9" w:rsidP="00D338C9">
            <w:pPr>
              <w:keepLines/>
              <w:spacing w:before="40" w:after="40" w:line="200" w:lineRule="atLeast"/>
              <w:jc w:val="center"/>
              <w:rPr>
                <w:rFonts w:eastAsia="Times New Roman"/>
                <w:iCs/>
                <w:szCs w:val="17"/>
              </w:rPr>
            </w:pPr>
            <w:r w:rsidRPr="00D338C9">
              <w:rPr>
                <w:rFonts w:eastAsia="Times New Roman"/>
                <w:iCs/>
                <w:szCs w:val="17"/>
              </w:rPr>
              <w:t>5</w:t>
            </w:r>
          </w:p>
        </w:tc>
        <w:tc>
          <w:tcPr>
            <w:tcW w:w="415" w:type="pct"/>
            <w:tcBorders>
              <w:bottom w:val="single" w:sz="4" w:space="0" w:color="auto"/>
            </w:tcBorders>
            <w:shd w:val="clear" w:color="auto" w:fill="00B050"/>
            <w:noWrap/>
          </w:tcPr>
          <w:p w:rsidR="00D338C9" w:rsidRPr="00D338C9" w:rsidRDefault="00D338C9" w:rsidP="00D338C9">
            <w:pPr>
              <w:keepLines/>
              <w:spacing w:before="40" w:after="40" w:line="200" w:lineRule="atLeast"/>
              <w:jc w:val="center"/>
              <w:rPr>
                <w:rFonts w:eastAsia="Times New Roman"/>
                <w:iCs/>
                <w:szCs w:val="17"/>
              </w:rPr>
            </w:pPr>
            <w:r w:rsidRPr="00D338C9">
              <w:rPr>
                <w:rFonts w:eastAsia="Times New Roman"/>
                <w:iCs/>
                <w:szCs w:val="17"/>
              </w:rPr>
              <w:t>5</w:t>
            </w:r>
          </w:p>
        </w:tc>
        <w:tc>
          <w:tcPr>
            <w:tcW w:w="418" w:type="pct"/>
            <w:tcBorders>
              <w:bottom w:val="single" w:sz="4" w:space="0" w:color="auto"/>
            </w:tcBorders>
            <w:shd w:val="clear" w:color="auto" w:fill="00B050"/>
            <w:noWrap/>
          </w:tcPr>
          <w:p w:rsidR="00D338C9" w:rsidRPr="00D338C9" w:rsidRDefault="00D338C9" w:rsidP="00D338C9">
            <w:pPr>
              <w:keepLines/>
              <w:spacing w:before="40" w:after="40" w:line="200" w:lineRule="atLeast"/>
              <w:jc w:val="center"/>
              <w:rPr>
                <w:rFonts w:eastAsia="Times New Roman"/>
                <w:iCs/>
                <w:szCs w:val="17"/>
              </w:rPr>
            </w:pPr>
            <w:r w:rsidRPr="00D338C9">
              <w:rPr>
                <w:rFonts w:eastAsia="Times New Roman"/>
                <w:iCs/>
                <w:szCs w:val="17"/>
              </w:rPr>
              <w:t>5</w:t>
            </w:r>
          </w:p>
        </w:tc>
        <w:tc>
          <w:tcPr>
            <w:tcW w:w="415" w:type="pct"/>
            <w:tcBorders>
              <w:bottom w:val="single" w:sz="4" w:space="0" w:color="auto"/>
            </w:tcBorders>
            <w:shd w:val="clear" w:color="auto" w:fill="00B050"/>
            <w:noWrap/>
          </w:tcPr>
          <w:p w:rsidR="00D338C9" w:rsidRPr="00D338C9" w:rsidRDefault="00D338C9" w:rsidP="00D338C9">
            <w:pPr>
              <w:keepLines/>
              <w:spacing w:before="40" w:after="40" w:line="200" w:lineRule="atLeast"/>
              <w:jc w:val="center"/>
              <w:rPr>
                <w:rFonts w:eastAsia="Times New Roman"/>
                <w:iCs/>
                <w:szCs w:val="17"/>
              </w:rPr>
            </w:pPr>
            <w:r w:rsidRPr="00D338C9">
              <w:rPr>
                <w:rFonts w:eastAsia="Times New Roman"/>
                <w:iCs/>
                <w:szCs w:val="17"/>
              </w:rPr>
              <w:t>5</w:t>
            </w:r>
          </w:p>
        </w:tc>
        <w:tc>
          <w:tcPr>
            <w:tcW w:w="412" w:type="pct"/>
            <w:tcBorders>
              <w:bottom w:val="single" w:sz="4" w:space="0" w:color="auto"/>
            </w:tcBorders>
            <w:shd w:val="clear" w:color="auto" w:fill="00B050"/>
          </w:tcPr>
          <w:p w:rsidR="00D338C9" w:rsidRPr="00D338C9" w:rsidRDefault="00D338C9" w:rsidP="00D338C9">
            <w:pPr>
              <w:keepLines/>
              <w:spacing w:before="40" w:after="40" w:line="200" w:lineRule="atLeast"/>
              <w:jc w:val="center"/>
              <w:rPr>
                <w:rFonts w:eastAsia="Times New Roman"/>
                <w:iCs/>
                <w:szCs w:val="17"/>
              </w:rPr>
            </w:pPr>
            <w:r w:rsidRPr="00D338C9">
              <w:rPr>
                <w:rFonts w:eastAsia="Times New Roman"/>
                <w:iCs/>
                <w:szCs w:val="17"/>
              </w:rPr>
              <w:t>5</w:t>
            </w:r>
          </w:p>
        </w:tc>
      </w:tr>
      <w:tr w:rsidR="00D338C9" w:rsidRPr="00D338C9" w:rsidTr="00FD4B2C">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PNG Health and HIV Multilateral Partnerships (INJ858)</w:t>
            </w:r>
          </w:p>
        </w:tc>
        <w:tc>
          <w:tcPr>
            <w:tcW w:w="658" w:type="pct"/>
            <w:vMerge w:val="restart"/>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$68m</w:t>
            </w:r>
          </w:p>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2011-16</w:t>
            </w:r>
          </w:p>
        </w:tc>
        <w:tc>
          <w:tcPr>
            <w:tcW w:w="416" w:type="pct"/>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2016 AQC</w:t>
            </w:r>
          </w:p>
        </w:tc>
        <w:tc>
          <w:tcPr>
            <w:tcW w:w="418" w:type="pct"/>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6</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2" w:type="pct"/>
            <w:shd w:val="clear" w:color="auto" w:fill="FFFF00"/>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4</w:t>
            </w:r>
          </w:p>
        </w:tc>
      </w:tr>
      <w:tr w:rsidR="00D338C9" w:rsidRPr="00D338C9" w:rsidTr="00FD4B2C">
        <w:trPr>
          <w:cnfStyle w:val="000000010000" w:firstRow="0" w:lastRow="0" w:firstColumn="0" w:lastColumn="0" w:oddVBand="0" w:evenVBand="0" w:oddHBand="0" w:evenHBand="1" w:firstRowFirstColumn="0" w:firstRowLastColumn="0" w:lastRowFirstColumn="0" w:lastRowLastColumn="0"/>
          <w:trHeight w:val="284"/>
        </w:trPr>
        <w:tc>
          <w:tcPr>
            <w:tcW w:w="909" w:type="pct"/>
            <w:vMerge/>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p>
        </w:tc>
        <w:tc>
          <w:tcPr>
            <w:tcW w:w="658" w:type="pct"/>
            <w:vMerge/>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p>
        </w:tc>
        <w:tc>
          <w:tcPr>
            <w:tcW w:w="416" w:type="pct"/>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2015 AQC</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5"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4</w:t>
            </w:r>
          </w:p>
        </w:tc>
        <w:tc>
          <w:tcPr>
            <w:tcW w:w="418" w:type="pct"/>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3</w:t>
            </w:r>
          </w:p>
        </w:tc>
        <w:tc>
          <w:tcPr>
            <w:tcW w:w="415"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4</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5"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4</w:t>
            </w:r>
          </w:p>
        </w:tc>
        <w:tc>
          <w:tcPr>
            <w:tcW w:w="412" w:type="pct"/>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r>
      <w:tr w:rsidR="00D338C9" w:rsidRPr="00D338C9" w:rsidTr="00FD4B2C">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PNG Health and HIV Procurement Program (INK651)</w:t>
            </w:r>
          </w:p>
        </w:tc>
        <w:tc>
          <w:tcPr>
            <w:tcW w:w="658"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$78m</w:t>
            </w:r>
          </w:p>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2013-16</w:t>
            </w:r>
          </w:p>
        </w:tc>
        <w:tc>
          <w:tcPr>
            <w:tcW w:w="416"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2016 AQC</w:t>
            </w:r>
          </w:p>
        </w:tc>
        <w:tc>
          <w:tcPr>
            <w:tcW w:w="418" w:type="pct"/>
            <w:tcBorders>
              <w:top w:val="single" w:sz="4" w:space="0" w:color="auto"/>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6</w:t>
            </w:r>
          </w:p>
        </w:tc>
        <w:tc>
          <w:tcPr>
            <w:tcW w:w="415"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5</w:t>
            </w:r>
          </w:p>
        </w:tc>
        <w:tc>
          <w:tcPr>
            <w:tcW w:w="418" w:type="pct"/>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3</w:t>
            </w:r>
          </w:p>
        </w:tc>
        <w:tc>
          <w:tcPr>
            <w:tcW w:w="415"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5</w:t>
            </w:r>
          </w:p>
        </w:tc>
        <w:tc>
          <w:tcPr>
            <w:tcW w:w="418"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4</w:t>
            </w:r>
          </w:p>
        </w:tc>
        <w:tc>
          <w:tcPr>
            <w:tcW w:w="415"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5</w:t>
            </w:r>
          </w:p>
        </w:tc>
        <w:tc>
          <w:tcPr>
            <w:tcW w:w="412" w:type="pct"/>
            <w:tcBorders>
              <w:top w:val="single" w:sz="4" w:space="0" w:color="auto"/>
            </w:tcBorders>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5</w:t>
            </w:r>
          </w:p>
        </w:tc>
      </w:tr>
      <w:tr w:rsidR="00D338C9" w:rsidRPr="00D338C9" w:rsidTr="00FD4B2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909"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658"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416" w:type="pct"/>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2015 AQC</w:t>
            </w:r>
          </w:p>
        </w:tc>
        <w:tc>
          <w:tcPr>
            <w:tcW w:w="418" w:type="pct"/>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6</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2" w:type="pct"/>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r>
      <w:tr w:rsidR="00D338C9" w:rsidRPr="00D338C9" w:rsidTr="00FD4B2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909"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PNG Health and HIV Financing Program (INK653)</w:t>
            </w:r>
          </w:p>
        </w:tc>
        <w:tc>
          <w:tcPr>
            <w:tcW w:w="658"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$48m</w:t>
            </w:r>
          </w:p>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2013-17</w:t>
            </w:r>
          </w:p>
        </w:tc>
        <w:tc>
          <w:tcPr>
            <w:tcW w:w="416"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2016 AQC</w:t>
            </w:r>
          </w:p>
        </w:tc>
        <w:tc>
          <w:tcPr>
            <w:tcW w:w="418"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8"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5"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3</w:t>
            </w:r>
          </w:p>
        </w:tc>
        <w:tc>
          <w:tcPr>
            <w:tcW w:w="418"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2" w:type="pct"/>
            <w:tcBorders>
              <w:top w:val="single" w:sz="4" w:space="0" w:color="auto"/>
            </w:tcBorders>
            <w:shd w:val="clear" w:color="auto" w:fill="FFFF00"/>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r>
      <w:tr w:rsidR="00D338C9" w:rsidRPr="00D338C9" w:rsidTr="00FD4B2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909"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658"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416" w:type="pct"/>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2015 AQC</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3</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2" w:type="pct"/>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r>
      <w:tr w:rsidR="00D338C9" w:rsidRPr="00D338C9" w:rsidTr="00FD4B2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909"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Transport Sector Support Program (INK081)</w:t>
            </w:r>
          </w:p>
        </w:tc>
        <w:tc>
          <w:tcPr>
            <w:tcW w:w="658"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$377m</w:t>
            </w:r>
          </w:p>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2015-19</w:t>
            </w:r>
          </w:p>
        </w:tc>
        <w:tc>
          <w:tcPr>
            <w:tcW w:w="416"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2016 AQC</w:t>
            </w:r>
          </w:p>
        </w:tc>
        <w:tc>
          <w:tcPr>
            <w:tcW w:w="418" w:type="pct"/>
            <w:tcBorders>
              <w:top w:val="single" w:sz="4" w:space="0" w:color="auto"/>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6</w:t>
            </w:r>
          </w:p>
        </w:tc>
        <w:tc>
          <w:tcPr>
            <w:tcW w:w="415"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8"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8"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2" w:type="pct"/>
            <w:tcBorders>
              <w:top w:val="single" w:sz="4" w:space="0" w:color="auto"/>
            </w:tcBorders>
            <w:shd w:val="clear" w:color="auto" w:fill="00B050"/>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6</w:t>
            </w:r>
          </w:p>
        </w:tc>
      </w:tr>
      <w:tr w:rsidR="00D338C9" w:rsidRPr="00D338C9" w:rsidTr="00FD4B2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909"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658"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416" w:type="pct"/>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2015 FAQC</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8"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5"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2" w:type="pct"/>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r>
      <w:tr w:rsidR="00D338C9" w:rsidRPr="00D338C9" w:rsidTr="00FD4B2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909"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World Bank PNG Multi-Donor Trust Fund (INL752)</w:t>
            </w:r>
          </w:p>
        </w:tc>
        <w:tc>
          <w:tcPr>
            <w:tcW w:w="658"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$30m</w:t>
            </w:r>
          </w:p>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2015-19</w:t>
            </w:r>
          </w:p>
        </w:tc>
        <w:tc>
          <w:tcPr>
            <w:tcW w:w="416"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2016 AQC</w:t>
            </w:r>
          </w:p>
        </w:tc>
        <w:tc>
          <w:tcPr>
            <w:tcW w:w="418"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8"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5"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3</w:t>
            </w:r>
          </w:p>
        </w:tc>
        <w:tc>
          <w:tcPr>
            <w:tcW w:w="418"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5"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3</w:t>
            </w:r>
          </w:p>
        </w:tc>
        <w:tc>
          <w:tcPr>
            <w:tcW w:w="412" w:type="pct"/>
            <w:tcBorders>
              <w:top w:val="single" w:sz="4" w:space="0" w:color="auto"/>
            </w:tcBorders>
            <w:shd w:val="clear" w:color="auto" w:fill="FFC000"/>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3</w:t>
            </w:r>
          </w:p>
        </w:tc>
      </w:tr>
      <w:tr w:rsidR="00D338C9" w:rsidRPr="00D338C9" w:rsidTr="00FD4B2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909"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658"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416" w:type="pct"/>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2015 AQC</w:t>
            </w:r>
          </w:p>
        </w:tc>
        <w:tc>
          <w:tcPr>
            <w:tcW w:w="418" w:type="pct"/>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n/a</w:t>
            </w:r>
          </w:p>
        </w:tc>
        <w:tc>
          <w:tcPr>
            <w:tcW w:w="415" w:type="pct"/>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n/a</w:t>
            </w:r>
          </w:p>
        </w:tc>
        <w:tc>
          <w:tcPr>
            <w:tcW w:w="418" w:type="pct"/>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n/a</w:t>
            </w:r>
          </w:p>
        </w:tc>
        <w:tc>
          <w:tcPr>
            <w:tcW w:w="415" w:type="pct"/>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n/a</w:t>
            </w:r>
          </w:p>
        </w:tc>
        <w:tc>
          <w:tcPr>
            <w:tcW w:w="418" w:type="pct"/>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n/a</w:t>
            </w:r>
          </w:p>
        </w:tc>
        <w:tc>
          <w:tcPr>
            <w:tcW w:w="415" w:type="pct"/>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n/a</w:t>
            </w:r>
          </w:p>
        </w:tc>
        <w:tc>
          <w:tcPr>
            <w:tcW w:w="412" w:type="pct"/>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n/a</w:t>
            </w:r>
          </w:p>
        </w:tc>
      </w:tr>
    </w:tbl>
    <w:p w:rsidR="00D338C9" w:rsidRPr="00D338C9" w:rsidRDefault="00D338C9" w:rsidP="00D338C9"/>
    <w:tbl>
      <w:tblPr>
        <w:tblStyle w:val="APPR1"/>
        <w:tblW w:w="5000" w:type="pct"/>
        <w:tblLook w:val="0000" w:firstRow="0" w:lastRow="0" w:firstColumn="0" w:lastColumn="0" w:noHBand="0" w:noVBand="0"/>
        <w:tblCaption w:val="Aid Quality Check ratings 2015-16"/>
        <w:tblDescription w:val="Aid Quality Check ratings for 2015 and 2016"/>
      </w:tblPr>
      <w:tblGrid>
        <w:gridCol w:w="2670"/>
        <w:gridCol w:w="1930"/>
        <w:gridCol w:w="1231"/>
        <w:gridCol w:w="1237"/>
        <w:gridCol w:w="1228"/>
        <w:gridCol w:w="1237"/>
        <w:gridCol w:w="1228"/>
        <w:gridCol w:w="1237"/>
        <w:gridCol w:w="1228"/>
        <w:gridCol w:w="1234"/>
      </w:tblGrid>
      <w:tr w:rsidR="00D338C9" w:rsidRPr="00D338C9" w:rsidTr="00FD4B2C">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lastRenderedPageBreak/>
              <w:t>Supporting Electoral Processes in PNG (INJ466)</w:t>
            </w:r>
          </w:p>
        </w:tc>
        <w:tc>
          <w:tcPr>
            <w:tcW w:w="658"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$27m</w:t>
            </w:r>
          </w:p>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2011-18</w:t>
            </w:r>
          </w:p>
        </w:tc>
        <w:tc>
          <w:tcPr>
            <w:tcW w:w="416"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2016 AQC</w:t>
            </w:r>
          </w:p>
        </w:tc>
        <w:tc>
          <w:tcPr>
            <w:tcW w:w="418"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5</w:t>
            </w:r>
          </w:p>
        </w:tc>
        <w:tc>
          <w:tcPr>
            <w:tcW w:w="415"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5</w:t>
            </w:r>
          </w:p>
        </w:tc>
        <w:tc>
          <w:tcPr>
            <w:tcW w:w="418"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5</w:t>
            </w:r>
          </w:p>
        </w:tc>
        <w:tc>
          <w:tcPr>
            <w:tcW w:w="415"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3</w:t>
            </w:r>
          </w:p>
        </w:tc>
        <w:tc>
          <w:tcPr>
            <w:tcW w:w="418"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4</w:t>
            </w:r>
          </w:p>
        </w:tc>
        <w:tc>
          <w:tcPr>
            <w:tcW w:w="412" w:type="pct"/>
            <w:tcBorders>
              <w:top w:val="single" w:sz="4" w:space="0" w:color="auto"/>
            </w:tcBorders>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5</w:t>
            </w:r>
          </w:p>
        </w:tc>
      </w:tr>
      <w:tr w:rsidR="00D338C9" w:rsidRPr="00D338C9" w:rsidTr="00FD4B2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909"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658"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416" w:type="pct"/>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2015 AQC</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8"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5"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2" w:type="pct"/>
            <w:shd w:val="clear" w:color="auto" w:fill="FFFF00"/>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r>
      <w:tr w:rsidR="00D338C9" w:rsidRPr="00D338C9" w:rsidTr="00FD4B2C">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Private Sector and Rural Development (INL497)</w:t>
            </w:r>
          </w:p>
          <w:p w:rsidR="00D338C9" w:rsidRPr="00D338C9" w:rsidRDefault="00D338C9" w:rsidP="00D338C9">
            <w:pPr>
              <w:keepLines/>
              <w:spacing w:before="40" w:after="40" w:line="200" w:lineRule="atLeast"/>
              <w:rPr>
                <w:rFonts w:asciiTheme="minorHAnsi" w:eastAsia="Times New Roman" w:hAnsiTheme="minorHAnsi"/>
                <w:b/>
                <w:iCs/>
                <w:szCs w:val="17"/>
                <w:lang w:eastAsia="en-US"/>
              </w:rPr>
            </w:pPr>
          </w:p>
        </w:tc>
        <w:tc>
          <w:tcPr>
            <w:tcW w:w="658"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$60m</w:t>
            </w:r>
          </w:p>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(2014-20)</w:t>
            </w:r>
          </w:p>
        </w:tc>
        <w:tc>
          <w:tcPr>
            <w:tcW w:w="416"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2016 AQC</w:t>
            </w:r>
          </w:p>
        </w:tc>
        <w:tc>
          <w:tcPr>
            <w:tcW w:w="418" w:type="pct"/>
            <w:tcBorders>
              <w:top w:val="single" w:sz="4" w:space="0" w:color="auto"/>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6</w:t>
            </w:r>
          </w:p>
        </w:tc>
        <w:tc>
          <w:tcPr>
            <w:tcW w:w="415"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3</w:t>
            </w:r>
          </w:p>
        </w:tc>
        <w:tc>
          <w:tcPr>
            <w:tcW w:w="418"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4</w:t>
            </w:r>
          </w:p>
        </w:tc>
        <w:tc>
          <w:tcPr>
            <w:tcW w:w="418"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4</w:t>
            </w:r>
          </w:p>
        </w:tc>
        <w:tc>
          <w:tcPr>
            <w:tcW w:w="412" w:type="pct"/>
            <w:tcBorders>
              <w:top w:val="single" w:sz="4" w:space="0" w:color="auto"/>
            </w:tcBorders>
            <w:shd w:val="clear" w:color="auto" w:fill="FFFF00"/>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4</w:t>
            </w:r>
          </w:p>
        </w:tc>
      </w:tr>
      <w:tr w:rsidR="00D338C9" w:rsidRPr="00D338C9" w:rsidTr="00FD4B2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909" w:type="pct"/>
            <w:vMerge/>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p>
        </w:tc>
        <w:tc>
          <w:tcPr>
            <w:tcW w:w="658" w:type="pct"/>
            <w:vMerge/>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p>
        </w:tc>
        <w:tc>
          <w:tcPr>
            <w:tcW w:w="416" w:type="pct"/>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2015 AQC</w:t>
            </w:r>
          </w:p>
        </w:tc>
        <w:tc>
          <w:tcPr>
            <w:tcW w:w="418" w:type="pct"/>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Exempt</w:t>
            </w:r>
          </w:p>
        </w:tc>
        <w:tc>
          <w:tcPr>
            <w:tcW w:w="415" w:type="pct"/>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Exempt</w:t>
            </w:r>
          </w:p>
        </w:tc>
        <w:tc>
          <w:tcPr>
            <w:tcW w:w="418" w:type="pct"/>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Exempt</w:t>
            </w:r>
          </w:p>
        </w:tc>
        <w:tc>
          <w:tcPr>
            <w:tcW w:w="415" w:type="pct"/>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Exempt</w:t>
            </w:r>
          </w:p>
        </w:tc>
        <w:tc>
          <w:tcPr>
            <w:tcW w:w="418" w:type="pct"/>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Exempt</w:t>
            </w:r>
          </w:p>
        </w:tc>
        <w:tc>
          <w:tcPr>
            <w:tcW w:w="415" w:type="pct"/>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Exempt</w:t>
            </w:r>
          </w:p>
        </w:tc>
        <w:tc>
          <w:tcPr>
            <w:tcW w:w="412" w:type="pct"/>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Exempt</w:t>
            </w:r>
          </w:p>
        </w:tc>
      </w:tr>
      <w:tr w:rsidR="00D338C9" w:rsidRPr="00D338C9" w:rsidTr="00FD4B2C">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Pacific Leadership and Governance Precinct Program (INL610)</w:t>
            </w:r>
          </w:p>
        </w:tc>
        <w:tc>
          <w:tcPr>
            <w:tcW w:w="658"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$69m</w:t>
            </w:r>
          </w:p>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(2014-19)</w:t>
            </w:r>
          </w:p>
        </w:tc>
        <w:tc>
          <w:tcPr>
            <w:tcW w:w="416"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2016 AQC</w:t>
            </w:r>
          </w:p>
        </w:tc>
        <w:tc>
          <w:tcPr>
            <w:tcW w:w="418" w:type="pct"/>
            <w:tcBorders>
              <w:top w:val="single" w:sz="4" w:space="0" w:color="auto"/>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6</w:t>
            </w:r>
          </w:p>
        </w:tc>
        <w:tc>
          <w:tcPr>
            <w:tcW w:w="415"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5</w:t>
            </w:r>
          </w:p>
        </w:tc>
        <w:tc>
          <w:tcPr>
            <w:tcW w:w="418"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3</w:t>
            </w:r>
          </w:p>
        </w:tc>
        <w:tc>
          <w:tcPr>
            <w:tcW w:w="415"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3</w:t>
            </w:r>
          </w:p>
        </w:tc>
        <w:tc>
          <w:tcPr>
            <w:tcW w:w="418"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4</w:t>
            </w:r>
          </w:p>
        </w:tc>
        <w:tc>
          <w:tcPr>
            <w:tcW w:w="412" w:type="pct"/>
            <w:tcBorders>
              <w:top w:val="single" w:sz="4" w:space="0" w:color="auto"/>
            </w:tcBorders>
            <w:shd w:val="clear" w:color="auto" w:fill="FFFF00"/>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4</w:t>
            </w:r>
          </w:p>
        </w:tc>
      </w:tr>
      <w:tr w:rsidR="00D338C9" w:rsidRPr="00D338C9" w:rsidTr="00FD4B2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909"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658"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416" w:type="pct"/>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2015 AQC</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8"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5"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8"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5"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2" w:type="pct"/>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r>
      <w:tr w:rsidR="00D338C9" w:rsidRPr="00D338C9" w:rsidTr="00FD4B2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909"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PNG Microfinance Expansion Project (INJ550)</w:t>
            </w:r>
          </w:p>
        </w:tc>
        <w:tc>
          <w:tcPr>
            <w:tcW w:w="658"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$6.9m</w:t>
            </w:r>
          </w:p>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(2010-18)</w:t>
            </w:r>
          </w:p>
        </w:tc>
        <w:tc>
          <w:tcPr>
            <w:tcW w:w="416"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2016 AQC</w:t>
            </w:r>
          </w:p>
        </w:tc>
        <w:tc>
          <w:tcPr>
            <w:tcW w:w="418" w:type="pct"/>
            <w:tcBorders>
              <w:top w:val="single" w:sz="4" w:space="0" w:color="auto"/>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6</w:t>
            </w:r>
          </w:p>
        </w:tc>
        <w:tc>
          <w:tcPr>
            <w:tcW w:w="415"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8"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tcBorders>
              <w:top w:val="single" w:sz="4" w:space="0" w:color="auto"/>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6</w:t>
            </w:r>
          </w:p>
        </w:tc>
        <w:tc>
          <w:tcPr>
            <w:tcW w:w="418"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2" w:type="pct"/>
            <w:tcBorders>
              <w:top w:val="single" w:sz="4" w:space="0" w:color="auto"/>
            </w:tcBorders>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r>
      <w:tr w:rsidR="00D338C9" w:rsidRPr="00D338C9" w:rsidTr="00FD4B2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909"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658"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416" w:type="pct"/>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2015 AQC</w:t>
            </w:r>
          </w:p>
        </w:tc>
        <w:tc>
          <w:tcPr>
            <w:tcW w:w="418" w:type="pct"/>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6</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2" w:type="pct"/>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r>
      <w:tr w:rsidR="00D338C9" w:rsidRPr="00D338C9" w:rsidTr="00FD4B2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909"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roofErr w:type="spellStart"/>
            <w:r w:rsidRPr="00D338C9">
              <w:rPr>
                <w:rFonts w:asciiTheme="minorHAnsi" w:eastAsia="Times New Roman" w:hAnsiTheme="minorHAnsi"/>
                <w:b w:val="0"/>
                <w:iCs/>
                <w:szCs w:val="17"/>
                <w:lang w:eastAsia="en-US"/>
              </w:rPr>
              <w:t>Strongim</w:t>
            </w:r>
            <w:proofErr w:type="spellEnd"/>
            <w:r w:rsidRPr="00D338C9">
              <w:rPr>
                <w:rFonts w:asciiTheme="minorHAnsi" w:eastAsia="Times New Roman" w:hAnsiTheme="minorHAnsi"/>
                <w:b w:val="0"/>
                <w:iCs/>
                <w:szCs w:val="17"/>
                <w:lang w:eastAsia="en-US"/>
              </w:rPr>
              <w:t xml:space="preserve"> </w:t>
            </w:r>
            <w:proofErr w:type="spellStart"/>
            <w:r w:rsidRPr="00D338C9">
              <w:rPr>
                <w:rFonts w:asciiTheme="minorHAnsi" w:eastAsia="Times New Roman" w:hAnsiTheme="minorHAnsi"/>
                <w:b w:val="0"/>
                <w:iCs/>
                <w:szCs w:val="17"/>
                <w:lang w:eastAsia="en-US"/>
              </w:rPr>
              <w:t>Gavman</w:t>
            </w:r>
            <w:proofErr w:type="spellEnd"/>
            <w:r w:rsidRPr="00D338C9">
              <w:rPr>
                <w:rFonts w:asciiTheme="minorHAnsi" w:eastAsia="Times New Roman" w:hAnsiTheme="minorHAnsi"/>
                <w:b w:val="0"/>
                <w:iCs/>
                <w:szCs w:val="17"/>
                <w:lang w:eastAsia="en-US"/>
              </w:rPr>
              <w:t xml:space="preserve"> Program and Twinning Cluster (INI767, INJ364)</w:t>
            </w:r>
          </w:p>
        </w:tc>
        <w:tc>
          <w:tcPr>
            <w:tcW w:w="658"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$217m</w:t>
            </w:r>
          </w:p>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(2009-17)</w:t>
            </w:r>
          </w:p>
        </w:tc>
        <w:tc>
          <w:tcPr>
            <w:tcW w:w="416"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2016 AQC</w:t>
            </w:r>
          </w:p>
        </w:tc>
        <w:tc>
          <w:tcPr>
            <w:tcW w:w="418"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8"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3</w:t>
            </w:r>
          </w:p>
        </w:tc>
        <w:tc>
          <w:tcPr>
            <w:tcW w:w="415" w:type="pct"/>
            <w:tcBorders>
              <w:top w:val="single" w:sz="4" w:space="0" w:color="auto"/>
            </w:tcBorders>
            <w:shd w:val="clear" w:color="auto" w:fill="FF00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w:t>
            </w:r>
          </w:p>
        </w:tc>
        <w:tc>
          <w:tcPr>
            <w:tcW w:w="418"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3</w:t>
            </w:r>
          </w:p>
        </w:tc>
        <w:tc>
          <w:tcPr>
            <w:tcW w:w="415"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2" w:type="pct"/>
            <w:tcBorders>
              <w:top w:val="single" w:sz="4" w:space="0" w:color="auto"/>
            </w:tcBorders>
            <w:shd w:val="clear" w:color="auto" w:fill="FFC000"/>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3</w:t>
            </w:r>
          </w:p>
        </w:tc>
      </w:tr>
      <w:tr w:rsidR="00D338C9" w:rsidRPr="00D338C9" w:rsidTr="00FD4B2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909"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658"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416" w:type="pct"/>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2015 AQC</w:t>
            </w:r>
          </w:p>
        </w:tc>
        <w:tc>
          <w:tcPr>
            <w:tcW w:w="418" w:type="pct"/>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6</w:t>
            </w:r>
          </w:p>
        </w:tc>
        <w:tc>
          <w:tcPr>
            <w:tcW w:w="415"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8" w:type="pct"/>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3</w:t>
            </w:r>
          </w:p>
        </w:tc>
        <w:tc>
          <w:tcPr>
            <w:tcW w:w="415" w:type="pct"/>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3</w:t>
            </w:r>
          </w:p>
        </w:tc>
        <w:tc>
          <w:tcPr>
            <w:tcW w:w="418" w:type="pct"/>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3</w:t>
            </w:r>
          </w:p>
        </w:tc>
        <w:tc>
          <w:tcPr>
            <w:tcW w:w="415"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2" w:type="pct"/>
            <w:shd w:val="clear" w:color="auto" w:fill="FFC000"/>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3</w:t>
            </w:r>
          </w:p>
        </w:tc>
      </w:tr>
      <w:tr w:rsidR="00D338C9" w:rsidRPr="00D338C9" w:rsidTr="00FD4B2C">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Gender Equality / Gender Based Violence (INI402)</w:t>
            </w:r>
          </w:p>
        </w:tc>
        <w:tc>
          <w:tcPr>
            <w:tcW w:w="658"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$58m</w:t>
            </w:r>
          </w:p>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(2008-20)</w:t>
            </w:r>
          </w:p>
        </w:tc>
        <w:tc>
          <w:tcPr>
            <w:tcW w:w="416"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2016 AQC</w:t>
            </w:r>
          </w:p>
        </w:tc>
        <w:tc>
          <w:tcPr>
            <w:tcW w:w="418" w:type="pct"/>
            <w:tcBorders>
              <w:top w:val="single" w:sz="4" w:space="0" w:color="auto"/>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6</w:t>
            </w:r>
          </w:p>
        </w:tc>
        <w:tc>
          <w:tcPr>
            <w:tcW w:w="415"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5</w:t>
            </w:r>
          </w:p>
        </w:tc>
        <w:tc>
          <w:tcPr>
            <w:tcW w:w="418"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5</w:t>
            </w:r>
          </w:p>
        </w:tc>
        <w:tc>
          <w:tcPr>
            <w:tcW w:w="415"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5</w:t>
            </w:r>
          </w:p>
        </w:tc>
        <w:tc>
          <w:tcPr>
            <w:tcW w:w="418"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3</w:t>
            </w:r>
          </w:p>
        </w:tc>
        <w:tc>
          <w:tcPr>
            <w:tcW w:w="415" w:type="pct"/>
            <w:tcBorders>
              <w:top w:val="single" w:sz="4" w:space="0" w:color="auto"/>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6</w:t>
            </w:r>
          </w:p>
        </w:tc>
        <w:tc>
          <w:tcPr>
            <w:tcW w:w="412" w:type="pct"/>
            <w:tcBorders>
              <w:top w:val="single" w:sz="4" w:space="0" w:color="auto"/>
            </w:tcBorders>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b/>
                <w:iCs/>
                <w:szCs w:val="17"/>
                <w:lang w:eastAsia="en-US"/>
              </w:rPr>
            </w:pPr>
            <w:r w:rsidRPr="00D338C9">
              <w:rPr>
                <w:rFonts w:asciiTheme="minorHAnsi" w:eastAsia="Times New Roman" w:hAnsiTheme="minorHAnsi"/>
                <w:iCs/>
                <w:szCs w:val="17"/>
                <w:lang w:eastAsia="en-US"/>
              </w:rPr>
              <w:t>5</w:t>
            </w:r>
          </w:p>
        </w:tc>
      </w:tr>
      <w:tr w:rsidR="00D338C9" w:rsidRPr="00D338C9" w:rsidTr="00FD4B2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909"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658" w:type="pct"/>
            <w:vMerge/>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p>
        </w:tc>
        <w:tc>
          <w:tcPr>
            <w:tcW w:w="416" w:type="pct"/>
          </w:tcPr>
          <w:p w:rsidR="00D338C9" w:rsidRPr="00D338C9" w:rsidRDefault="00D338C9" w:rsidP="00D338C9">
            <w:pPr>
              <w:keepLines/>
              <w:spacing w:before="40" w:after="40" w:line="200" w:lineRule="atLeast"/>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2015 AQC</w:t>
            </w:r>
          </w:p>
        </w:tc>
        <w:tc>
          <w:tcPr>
            <w:tcW w:w="418"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8" w:type="pct"/>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3</w:t>
            </w:r>
          </w:p>
        </w:tc>
        <w:tc>
          <w:tcPr>
            <w:tcW w:w="415" w:type="pct"/>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5</w:t>
            </w:r>
          </w:p>
        </w:tc>
        <w:tc>
          <w:tcPr>
            <w:tcW w:w="418" w:type="pct"/>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4</w:t>
            </w:r>
          </w:p>
        </w:tc>
        <w:tc>
          <w:tcPr>
            <w:tcW w:w="415" w:type="pct"/>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6</w:t>
            </w:r>
          </w:p>
        </w:tc>
        <w:tc>
          <w:tcPr>
            <w:tcW w:w="412" w:type="pct"/>
            <w:shd w:val="clear" w:color="auto" w:fill="FFC000"/>
          </w:tcPr>
          <w:p w:rsidR="00D338C9" w:rsidRPr="00D338C9" w:rsidRDefault="00D338C9" w:rsidP="00D338C9">
            <w:pPr>
              <w:keepLines/>
              <w:spacing w:before="40" w:after="40" w:line="200" w:lineRule="atLeast"/>
              <w:jc w:val="center"/>
              <w:rPr>
                <w:rFonts w:asciiTheme="minorHAnsi" w:eastAsia="Times New Roman" w:hAnsiTheme="minorHAnsi"/>
                <w:b w:val="0"/>
                <w:iCs/>
                <w:szCs w:val="17"/>
                <w:lang w:eastAsia="en-US"/>
              </w:rPr>
            </w:pPr>
            <w:r w:rsidRPr="00D338C9">
              <w:rPr>
                <w:rFonts w:asciiTheme="minorHAnsi" w:eastAsia="Times New Roman" w:hAnsiTheme="minorHAnsi"/>
                <w:b w:val="0"/>
                <w:iCs/>
                <w:szCs w:val="17"/>
                <w:lang w:eastAsia="en-US"/>
              </w:rPr>
              <w:t>3</w:t>
            </w:r>
          </w:p>
        </w:tc>
      </w:tr>
      <w:tr w:rsidR="00D338C9" w:rsidRPr="00D338C9" w:rsidTr="00FD4B2C">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rPr>
            </w:pPr>
            <w:r w:rsidRPr="00D338C9">
              <w:rPr>
                <w:rFonts w:asciiTheme="minorHAnsi" w:eastAsia="Times New Roman" w:hAnsiTheme="minorHAnsi"/>
                <w:iCs/>
                <w:szCs w:val="17"/>
              </w:rPr>
              <w:t>Sports for Development (INL684)</w:t>
            </w:r>
          </w:p>
        </w:tc>
        <w:tc>
          <w:tcPr>
            <w:tcW w:w="658" w:type="pct"/>
            <w:vMerge w:val="restar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$10m</w:t>
            </w:r>
          </w:p>
          <w:p w:rsidR="00D338C9" w:rsidRPr="00D338C9" w:rsidRDefault="00D338C9" w:rsidP="00D338C9">
            <w:pPr>
              <w:keepLines/>
              <w:spacing w:before="40" w:after="40" w:line="200" w:lineRule="atLeast"/>
              <w:rPr>
                <w:rFonts w:asciiTheme="minorHAnsi" w:eastAsia="Times New Roman" w:hAnsiTheme="minorHAnsi"/>
                <w:b/>
                <w:iCs/>
                <w:szCs w:val="17"/>
              </w:rPr>
            </w:pPr>
            <w:r w:rsidRPr="00D338C9">
              <w:rPr>
                <w:rFonts w:asciiTheme="minorHAnsi" w:eastAsia="Times New Roman" w:hAnsiTheme="minorHAnsi"/>
                <w:iCs/>
                <w:szCs w:val="17"/>
              </w:rPr>
              <w:t>(2015-18)</w:t>
            </w:r>
          </w:p>
        </w:tc>
        <w:tc>
          <w:tcPr>
            <w:tcW w:w="416"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b/>
                <w:iCs/>
                <w:szCs w:val="17"/>
              </w:rPr>
            </w:pPr>
            <w:r w:rsidRPr="00D338C9">
              <w:rPr>
                <w:rFonts w:asciiTheme="minorHAnsi" w:eastAsia="Times New Roman" w:hAnsiTheme="minorHAnsi"/>
                <w:iCs/>
                <w:szCs w:val="17"/>
              </w:rPr>
              <w:t>2016 AQC</w:t>
            </w:r>
          </w:p>
        </w:tc>
        <w:tc>
          <w:tcPr>
            <w:tcW w:w="418"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iCs/>
                <w:szCs w:val="17"/>
              </w:rPr>
            </w:pPr>
            <w:r w:rsidRPr="00D338C9">
              <w:rPr>
                <w:rFonts w:asciiTheme="minorHAnsi" w:eastAsia="Times New Roman" w:hAnsiTheme="minorHAnsi"/>
                <w:iCs/>
                <w:szCs w:val="17"/>
              </w:rPr>
              <w:t>4</w:t>
            </w:r>
          </w:p>
        </w:tc>
        <w:tc>
          <w:tcPr>
            <w:tcW w:w="415"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iCs/>
                <w:szCs w:val="17"/>
              </w:rPr>
            </w:pPr>
            <w:r w:rsidRPr="00D338C9">
              <w:rPr>
                <w:rFonts w:asciiTheme="minorHAnsi" w:eastAsia="Times New Roman" w:hAnsiTheme="minorHAnsi"/>
                <w:iCs/>
                <w:szCs w:val="17"/>
                <w:lang w:eastAsia="en-US"/>
              </w:rPr>
              <w:t>3</w:t>
            </w:r>
          </w:p>
        </w:tc>
        <w:tc>
          <w:tcPr>
            <w:tcW w:w="418"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iCs/>
                <w:szCs w:val="17"/>
              </w:rPr>
            </w:pPr>
            <w:r w:rsidRPr="00D338C9">
              <w:rPr>
                <w:rFonts w:asciiTheme="minorHAnsi" w:eastAsia="Times New Roman" w:hAnsiTheme="minorHAnsi"/>
                <w:iCs/>
                <w:szCs w:val="17"/>
              </w:rPr>
              <w:t>4</w:t>
            </w:r>
          </w:p>
        </w:tc>
        <w:tc>
          <w:tcPr>
            <w:tcW w:w="415"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b/>
                <w:iCs/>
                <w:szCs w:val="17"/>
              </w:rPr>
            </w:pPr>
            <w:r w:rsidRPr="00D338C9">
              <w:rPr>
                <w:rFonts w:asciiTheme="minorHAnsi" w:eastAsia="Times New Roman" w:hAnsiTheme="minorHAnsi"/>
                <w:iCs/>
                <w:szCs w:val="17"/>
              </w:rPr>
              <w:t>4</w:t>
            </w:r>
          </w:p>
        </w:tc>
        <w:tc>
          <w:tcPr>
            <w:tcW w:w="418"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b/>
                <w:iCs/>
                <w:szCs w:val="17"/>
              </w:rPr>
            </w:pPr>
            <w:r w:rsidRPr="00D338C9">
              <w:rPr>
                <w:rFonts w:asciiTheme="minorHAnsi" w:eastAsia="Times New Roman" w:hAnsiTheme="minorHAnsi"/>
                <w:iCs/>
                <w:szCs w:val="17"/>
              </w:rPr>
              <w:t>3</w:t>
            </w:r>
          </w:p>
        </w:tc>
        <w:tc>
          <w:tcPr>
            <w:tcW w:w="415"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b/>
                <w:iCs/>
                <w:szCs w:val="17"/>
              </w:rPr>
            </w:pPr>
            <w:r w:rsidRPr="00D338C9">
              <w:rPr>
                <w:rFonts w:asciiTheme="minorHAnsi" w:eastAsia="Times New Roman" w:hAnsiTheme="minorHAnsi"/>
                <w:iCs/>
                <w:szCs w:val="17"/>
              </w:rPr>
              <w:t>5</w:t>
            </w:r>
          </w:p>
        </w:tc>
        <w:tc>
          <w:tcPr>
            <w:tcW w:w="412" w:type="pct"/>
            <w:tcBorders>
              <w:top w:val="single" w:sz="4" w:space="0" w:color="auto"/>
            </w:tcBorders>
            <w:shd w:val="clear" w:color="auto" w:fill="FFFF00"/>
          </w:tcPr>
          <w:p w:rsidR="00D338C9" w:rsidRPr="00D338C9" w:rsidRDefault="00D338C9" w:rsidP="00D338C9">
            <w:pPr>
              <w:keepLines/>
              <w:spacing w:before="40" w:after="40" w:line="200" w:lineRule="atLeast"/>
              <w:jc w:val="center"/>
              <w:rPr>
                <w:rFonts w:asciiTheme="minorHAnsi" w:eastAsia="Times New Roman" w:hAnsiTheme="minorHAnsi"/>
                <w:b/>
                <w:iCs/>
                <w:szCs w:val="17"/>
              </w:rPr>
            </w:pPr>
            <w:r w:rsidRPr="00D338C9">
              <w:rPr>
                <w:rFonts w:asciiTheme="minorHAnsi" w:eastAsia="Times New Roman" w:hAnsiTheme="minorHAnsi"/>
                <w:iCs/>
                <w:szCs w:val="17"/>
              </w:rPr>
              <w:t>4</w:t>
            </w:r>
          </w:p>
        </w:tc>
      </w:tr>
      <w:tr w:rsidR="00D338C9" w:rsidRPr="00D338C9" w:rsidTr="00FD4B2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909" w:type="pct"/>
            <w:vMerge/>
            <w:tcBorders>
              <w:bottom w:val="single" w:sz="12" w:space="0" w:color="000000" w:themeColor="text1"/>
            </w:tcBorders>
          </w:tcPr>
          <w:p w:rsidR="00D338C9" w:rsidRPr="00D338C9" w:rsidRDefault="00D338C9" w:rsidP="00D338C9">
            <w:pPr>
              <w:keepLines/>
              <w:spacing w:before="40" w:after="40" w:line="200" w:lineRule="atLeast"/>
              <w:rPr>
                <w:rFonts w:eastAsia="Times New Roman"/>
                <w:b w:val="0"/>
                <w:iCs/>
                <w:szCs w:val="17"/>
              </w:rPr>
            </w:pPr>
          </w:p>
        </w:tc>
        <w:tc>
          <w:tcPr>
            <w:tcW w:w="658" w:type="pct"/>
            <w:vMerge/>
            <w:tcBorders>
              <w:bottom w:val="single" w:sz="12" w:space="0" w:color="000000" w:themeColor="text1"/>
            </w:tcBorders>
          </w:tcPr>
          <w:p w:rsidR="00D338C9" w:rsidRPr="00D338C9" w:rsidRDefault="00D338C9" w:rsidP="00D338C9">
            <w:pPr>
              <w:keepLines/>
              <w:spacing w:before="40" w:after="40" w:line="200" w:lineRule="atLeast"/>
              <w:rPr>
                <w:rFonts w:eastAsia="Times New Roman"/>
                <w:b w:val="0"/>
                <w:iCs/>
                <w:szCs w:val="17"/>
              </w:rPr>
            </w:pPr>
          </w:p>
        </w:tc>
        <w:tc>
          <w:tcPr>
            <w:tcW w:w="416" w:type="pct"/>
            <w:tcBorders>
              <w:bottom w:val="single" w:sz="12" w:space="0" w:color="000000" w:themeColor="text1"/>
            </w:tcBorders>
          </w:tcPr>
          <w:p w:rsidR="00D338C9" w:rsidRPr="00D338C9" w:rsidRDefault="00D338C9" w:rsidP="00D338C9">
            <w:pPr>
              <w:keepLines/>
              <w:spacing w:before="40" w:after="40" w:line="200" w:lineRule="atLeast"/>
              <w:rPr>
                <w:rFonts w:asciiTheme="minorHAnsi" w:eastAsia="Times New Roman" w:hAnsiTheme="minorHAnsi"/>
                <w:b w:val="0"/>
                <w:iCs/>
                <w:szCs w:val="17"/>
              </w:rPr>
            </w:pPr>
            <w:r w:rsidRPr="00D338C9">
              <w:rPr>
                <w:rFonts w:asciiTheme="minorHAnsi" w:eastAsia="Times New Roman" w:hAnsiTheme="minorHAnsi"/>
                <w:b w:val="0"/>
                <w:iCs/>
                <w:szCs w:val="17"/>
              </w:rPr>
              <w:t>2015 AQC</w:t>
            </w:r>
          </w:p>
        </w:tc>
        <w:tc>
          <w:tcPr>
            <w:tcW w:w="418" w:type="pct"/>
            <w:tcBorders>
              <w:bottom w:val="single" w:sz="12" w:space="0" w:color="000000" w:themeColor="text1"/>
            </w:tcBorders>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rPr>
            </w:pPr>
            <w:r w:rsidRPr="00D338C9">
              <w:rPr>
                <w:rFonts w:asciiTheme="minorHAnsi" w:eastAsia="Times New Roman" w:hAnsiTheme="minorHAnsi"/>
                <w:b w:val="0"/>
                <w:iCs/>
                <w:szCs w:val="17"/>
                <w:lang w:eastAsia="en-US"/>
              </w:rPr>
              <w:t>Exempt</w:t>
            </w:r>
          </w:p>
        </w:tc>
        <w:tc>
          <w:tcPr>
            <w:tcW w:w="415" w:type="pct"/>
            <w:tcBorders>
              <w:bottom w:val="single" w:sz="12" w:space="0" w:color="000000" w:themeColor="text1"/>
            </w:tcBorders>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rPr>
            </w:pPr>
            <w:r w:rsidRPr="00D338C9">
              <w:rPr>
                <w:rFonts w:asciiTheme="minorHAnsi" w:eastAsia="Times New Roman" w:hAnsiTheme="minorHAnsi"/>
                <w:b w:val="0"/>
                <w:iCs/>
                <w:szCs w:val="17"/>
                <w:lang w:eastAsia="en-US"/>
              </w:rPr>
              <w:t>Exempt</w:t>
            </w:r>
          </w:p>
        </w:tc>
        <w:tc>
          <w:tcPr>
            <w:tcW w:w="418" w:type="pct"/>
            <w:tcBorders>
              <w:bottom w:val="single" w:sz="12" w:space="0" w:color="000000" w:themeColor="text1"/>
            </w:tcBorders>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rPr>
            </w:pPr>
            <w:r w:rsidRPr="00D338C9">
              <w:rPr>
                <w:rFonts w:asciiTheme="minorHAnsi" w:eastAsia="Times New Roman" w:hAnsiTheme="minorHAnsi"/>
                <w:b w:val="0"/>
                <w:iCs/>
                <w:szCs w:val="17"/>
                <w:lang w:eastAsia="en-US"/>
              </w:rPr>
              <w:t>Exempt</w:t>
            </w:r>
          </w:p>
        </w:tc>
        <w:tc>
          <w:tcPr>
            <w:tcW w:w="415" w:type="pct"/>
            <w:tcBorders>
              <w:bottom w:val="single" w:sz="12" w:space="0" w:color="000000" w:themeColor="text1"/>
            </w:tcBorders>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rPr>
            </w:pPr>
            <w:r w:rsidRPr="00D338C9">
              <w:rPr>
                <w:rFonts w:asciiTheme="minorHAnsi" w:eastAsia="Times New Roman" w:hAnsiTheme="minorHAnsi"/>
                <w:b w:val="0"/>
                <w:iCs/>
                <w:szCs w:val="17"/>
                <w:lang w:eastAsia="en-US"/>
              </w:rPr>
              <w:t>Exempt</w:t>
            </w:r>
          </w:p>
        </w:tc>
        <w:tc>
          <w:tcPr>
            <w:tcW w:w="418" w:type="pct"/>
            <w:tcBorders>
              <w:bottom w:val="single" w:sz="12" w:space="0" w:color="000000" w:themeColor="text1"/>
            </w:tcBorders>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rPr>
            </w:pPr>
            <w:r w:rsidRPr="00D338C9">
              <w:rPr>
                <w:rFonts w:asciiTheme="minorHAnsi" w:eastAsia="Times New Roman" w:hAnsiTheme="minorHAnsi"/>
                <w:b w:val="0"/>
                <w:iCs/>
                <w:szCs w:val="17"/>
                <w:lang w:eastAsia="en-US"/>
              </w:rPr>
              <w:t>Exempt</w:t>
            </w:r>
          </w:p>
        </w:tc>
        <w:tc>
          <w:tcPr>
            <w:tcW w:w="415" w:type="pct"/>
            <w:tcBorders>
              <w:bottom w:val="single" w:sz="12" w:space="0" w:color="000000" w:themeColor="text1"/>
            </w:tcBorders>
            <w:noWrap/>
          </w:tcPr>
          <w:p w:rsidR="00D338C9" w:rsidRPr="00D338C9" w:rsidRDefault="00D338C9" w:rsidP="00D338C9">
            <w:pPr>
              <w:keepLines/>
              <w:spacing w:before="40" w:after="40" w:line="200" w:lineRule="atLeast"/>
              <w:jc w:val="center"/>
              <w:rPr>
                <w:rFonts w:asciiTheme="minorHAnsi" w:eastAsia="Times New Roman" w:hAnsiTheme="minorHAnsi"/>
                <w:b w:val="0"/>
                <w:iCs/>
                <w:szCs w:val="17"/>
              </w:rPr>
            </w:pPr>
            <w:r w:rsidRPr="00D338C9">
              <w:rPr>
                <w:rFonts w:asciiTheme="minorHAnsi" w:eastAsia="Times New Roman" w:hAnsiTheme="minorHAnsi"/>
                <w:b w:val="0"/>
                <w:iCs/>
                <w:szCs w:val="17"/>
                <w:lang w:eastAsia="en-US"/>
              </w:rPr>
              <w:t>Exempt</w:t>
            </w:r>
          </w:p>
        </w:tc>
        <w:tc>
          <w:tcPr>
            <w:tcW w:w="412" w:type="pct"/>
            <w:tcBorders>
              <w:bottom w:val="single" w:sz="12" w:space="0" w:color="000000" w:themeColor="text1"/>
            </w:tcBorders>
          </w:tcPr>
          <w:p w:rsidR="00D338C9" w:rsidRPr="00D338C9" w:rsidRDefault="00D338C9" w:rsidP="00D338C9">
            <w:pPr>
              <w:keepLines/>
              <w:spacing w:before="40" w:after="40" w:line="200" w:lineRule="atLeast"/>
              <w:jc w:val="center"/>
              <w:rPr>
                <w:rFonts w:asciiTheme="minorHAnsi" w:eastAsia="Times New Roman" w:hAnsiTheme="minorHAnsi"/>
                <w:b w:val="0"/>
                <w:iCs/>
                <w:szCs w:val="17"/>
              </w:rPr>
            </w:pPr>
            <w:r w:rsidRPr="00D338C9">
              <w:rPr>
                <w:rFonts w:asciiTheme="minorHAnsi" w:eastAsia="Times New Roman" w:hAnsiTheme="minorHAnsi"/>
                <w:b w:val="0"/>
                <w:iCs/>
                <w:szCs w:val="17"/>
                <w:lang w:eastAsia="en-US"/>
              </w:rPr>
              <w:t>Exempt</w:t>
            </w:r>
          </w:p>
        </w:tc>
      </w:tr>
    </w:tbl>
    <w:p w:rsidR="00D338C9" w:rsidRPr="00D338C9" w:rsidRDefault="00D338C9" w:rsidP="00D338C9">
      <w:pPr>
        <w:rPr>
          <w:iCs/>
        </w:rPr>
      </w:pPr>
      <w:r w:rsidRPr="00D338C9">
        <w:rPr>
          <w:sz w:val="16"/>
        </w:rPr>
        <w:t>*AQC investment performance over the previous 12 months and where available last year’s AQC ratings are included.</w:t>
      </w:r>
    </w:p>
    <w:p w:rsidR="00D338C9" w:rsidRPr="00D338C9" w:rsidRDefault="00D338C9" w:rsidP="00D338C9">
      <w:pPr>
        <w:suppressAutoHyphens w:val="0"/>
        <w:spacing w:before="0" w:after="160" w:line="280" w:lineRule="exact"/>
        <w:rPr>
          <w:rFonts w:ascii="Franklin Gothic Book" w:eastAsiaTheme="majorEastAsia" w:hAnsi="Franklin Gothic Book" w:cs="Times New Roman"/>
          <w:color w:val="auto"/>
          <w:sz w:val="21"/>
          <w:szCs w:val="24"/>
          <w:lang w:val="en-AU" w:eastAsia="en-AU"/>
        </w:rPr>
      </w:pPr>
    </w:p>
    <w:p w:rsidR="00D338C9" w:rsidRPr="00D338C9" w:rsidRDefault="00D338C9" w:rsidP="00D338C9">
      <w:pPr>
        <w:suppressAutoHyphens w:val="0"/>
        <w:spacing w:before="0" w:after="160" w:line="280" w:lineRule="exact"/>
        <w:rPr>
          <w:rFonts w:ascii="Franklin Gothic Book" w:eastAsiaTheme="majorEastAsia" w:hAnsi="Franklin Gothic Book" w:cs="Times New Roman"/>
          <w:color w:val="auto"/>
          <w:sz w:val="21"/>
          <w:szCs w:val="24"/>
          <w:lang w:val="en-AU" w:eastAsia="en-AU"/>
        </w:rPr>
      </w:pPr>
    </w:p>
    <w:p w:rsidR="00D338C9" w:rsidRPr="00D338C9" w:rsidRDefault="00D338C9" w:rsidP="00D338C9">
      <w:pPr>
        <w:suppressAutoHyphens w:val="0"/>
        <w:spacing w:before="0" w:after="160" w:line="280" w:lineRule="exact"/>
        <w:rPr>
          <w:rFonts w:ascii="Franklin Gothic Book" w:eastAsiaTheme="majorEastAsia" w:hAnsi="Franklin Gothic Book" w:cs="Times New Roman"/>
          <w:color w:val="auto"/>
          <w:sz w:val="21"/>
          <w:szCs w:val="24"/>
          <w:lang w:val="en-AU" w:eastAsia="en-AU"/>
        </w:rPr>
      </w:pPr>
    </w:p>
    <w:p w:rsidR="00D338C9" w:rsidRPr="00D338C9" w:rsidRDefault="00D338C9" w:rsidP="00D338C9">
      <w:pPr>
        <w:suppressAutoHyphens w:val="0"/>
        <w:spacing w:before="0" w:after="160" w:line="280" w:lineRule="exact"/>
        <w:rPr>
          <w:rFonts w:ascii="Franklin Gothic Book" w:eastAsiaTheme="majorEastAsia" w:hAnsi="Franklin Gothic Book" w:cs="Times New Roman"/>
          <w:color w:val="auto"/>
          <w:sz w:val="21"/>
          <w:szCs w:val="24"/>
          <w:lang w:val="en-AU" w:eastAsia="en-AU"/>
        </w:rPr>
      </w:pPr>
    </w:p>
    <w:p w:rsidR="00D338C9" w:rsidRPr="00D338C9" w:rsidRDefault="00D338C9" w:rsidP="00D338C9">
      <w:pPr>
        <w:suppressAutoHyphens w:val="0"/>
        <w:spacing w:before="0" w:after="160" w:line="280" w:lineRule="exact"/>
        <w:rPr>
          <w:rFonts w:ascii="Franklin Gothic Book" w:eastAsiaTheme="majorEastAsia" w:hAnsi="Franklin Gothic Book" w:cs="Times New Roman"/>
          <w:color w:val="auto"/>
          <w:sz w:val="21"/>
          <w:szCs w:val="24"/>
          <w:lang w:val="en-AU" w:eastAsia="en-AU"/>
        </w:rPr>
      </w:pPr>
    </w:p>
    <w:p w:rsidR="00D338C9" w:rsidRPr="00D338C9" w:rsidRDefault="00D338C9" w:rsidP="00D338C9">
      <w:pPr>
        <w:suppressAutoHyphens w:val="0"/>
        <w:spacing w:before="0" w:after="160" w:line="280" w:lineRule="exact"/>
        <w:rPr>
          <w:rFonts w:ascii="Franklin Gothic Book" w:eastAsiaTheme="majorEastAsia" w:hAnsi="Franklin Gothic Book" w:cs="Times New Roman"/>
          <w:color w:val="auto"/>
          <w:sz w:val="21"/>
          <w:szCs w:val="24"/>
          <w:lang w:val="en-AU" w:eastAsia="en-AU"/>
        </w:rPr>
      </w:pPr>
    </w:p>
    <w:p w:rsidR="00D338C9" w:rsidRPr="00D338C9" w:rsidRDefault="00D338C9" w:rsidP="00D338C9">
      <w:pPr>
        <w:suppressAutoHyphens w:val="0"/>
        <w:spacing w:before="0" w:after="160" w:line="280" w:lineRule="exact"/>
        <w:rPr>
          <w:rFonts w:ascii="Franklin Gothic Book" w:eastAsiaTheme="majorEastAsia" w:hAnsi="Franklin Gothic Book" w:cs="Times New Roman"/>
          <w:color w:val="auto"/>
          <w:sz w:val="21"/>
          <w:szCs w:val="24"/>
          <w:lang w:val="en-AU" w:eastAsia="en-AU"/>
        </w:rPr>
      </w:pPr>
    </w:p>
    <w:p w:rsidR="00D338C9" w:rsidRPr="00D338C9" w:rsidRDefault="00D338C9" w:rsidP="00D338C9">
      <w:pPr>
        <w:keepNext/>
        <w:numPr>
          <w:ilvl w:val="2"/>
          <w:numId w:val="0"/>
        </w:numPr>
        <w:spacing w:before="240" w:after="120"/>
        <w:outlineLvl w:val="2"/>
        <w:rPr>
          <w:rFonts w:ascii="Helvetica" w:eastAsia="Times New Roman" w:hAnsi="Helvetica" w:cs="Arial"/>
          <w:b/>
          <w:color w:val="124486"/>
          <w:kern w:val="28"/>
          <w:lang w:eastAsia="zh-CN"/>
        </w:rPr>
      </w:pPr>
      <w:r w:rsidRPr="00D338C9">
        <w:rPr>
          <w:rFonts w:asciiTheme="majorHAnsi" w:eastAsiaTheme="majorEastAsia" w:hAnsiTheme="majorHAnsi" w:cstheme="majorBidi"/>
          <w:caps/>
          <w:sz w:val="38"/>
          <w:szCs w:val="26"/>
        </w:rPr>
        <w:lastRenderedPageBreak/>
        <w:t>FAQC ratings</w:t>
      </w:r>
      <w:r w:rsidRPr="00D338C9">
        <w:rPr>
          <w:rFonts w:ascii="Helvetica" w:eastAsia="Times New Roman" w:hAnsi="Helvetica" w:cs="Arial"/>
          <w:b/>
          <w:color w:val="124486"/>
          <w:kern w:val="28"/>
          <w:lang w:eastAsia="zh-CN"/>
        </w:rPr>
        <w:t xml:space="preserve"> </w:t>
      </w:r>
    </w:p>
    <w:p w:rsidR="00D338C9" w:rsidRPr="00D338C9" w:rsidRDefault="00D338C9" w:rsidP="00D338C9">
      <w:r w:rsidRPr="00D338C9">
        <w:t>Final AQCs assess performance over the lifetime of the investment (ratings are not compared to previous years).</w:t>
      </w:r>
    </w:p>
    <w:tbl>
      <w:tblPr>
        <w:tblStyle w:val="APPR1"/>
        <w:tblW w:w="5000" w:type="pct"/>
        <w:tblLook w:val="0000" w:firstRow="0" w:lastRow="0" w:firstColumn="0" w:lastColumn="0" w:noHBand="0" w:noVBand="0"/>
        <w:tblCaption w:val="Final Aid Quality Check ratings"/>
        <w:tblDescription w:val="Final AQCs assessing performance over the lifetime of investments on completion (ratings are not compared to previous years)."/>
      </w:tblPr>
      <w:tblGrid>
        <w:gridCol w:w="2668"/>
        <w:gridCol w:w="1929"/>
        <w:gridCol w:w="1234"/>
        <w:gridCol w:w="1231"/>
        <w:gridCol w:w="1234"/>
        <w:gridCol w:w="1231"/>
        <w:gridCol w:w="1234"/>
        <w:gridCol w:w="1231"/>
        <w:gridCol w:w="1234"/>
        <w:gridCol w:w="1234"/>
      </w:tblGrid>
      <w:tr w:rsidR="00D338C9" w:rsidRPr="00D338C9" w:rsidTr="00FD4B2C">
        <w:trPr>
          <w:cnfStyle w:val="000000010000" w:firstRow="0" w:lastRow="0" w:firstColumn="0" w:lastColumn="0" w:oddVBand="0" w:evenVBand="0" w:oddHBand="0" w:evenHBand="1" w:firstRowFirstColumn="0" w:firstRowLastColumn="0" w:lastRowFirstColumn="0" w:lastRowLastColumn="0"/>
          <w:trHeight w:val="1505"/>
        </w:trPr>
        <w:tc>
          <w:tcPr>
            <w:tcW w:w="908" w:type="pct"/>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eastAsia="Times New Roman" w:cstheme="majorBidi"/>
                <w:b/>
                <w:bCs/>
                <w:iCs/>
                <w:noProof/>
                <w:szCs w:val="17"/>
                <w:lang w:val="en-AU"/>
              </w:rPr>
              <w:drawing>
                <wp:anchor distT="0" distB="0" distL="114300" distR="114300" simplePos="0" relativeHeight="251709440" behindDoc="0" locked="0" layoutInCell="1" allowOverlap="1" wp14:anchorId="052B1D79" wp14:editId="62167163">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8C9">
              <w:rPr>
                <w:rFonts w:asciiTheme="minorHAnsi" w:eastAsia="Times New Roman" w:hAnsiTheme="minorHAnsi" w:cstheme="majorBidi"/>
                <w:b/>
                <w:bCs/>
                <w:iCs/>
                <w:szCs w:val="17"/>
                <w:lang w:eastAsia="en-US"/>
              </w:rPr>
              <w:t>Investment name</w:t>
            </w:r>
          </w:p>
        </w:tc>
        <w:tc>
          <w:tcPr>
            <w:tcW w:w="657" w:type="pct"/>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Approved budget and duration</w:t>
            </w:r>
          </w:p>
        </w:tc>
        <w:tc>
          <w:tcPr>
            <w:tcW w:w="417" w:type="pct"/>
            <w:noWrap/>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Overall rating</w:t>
            </w:r>
          </w:p>
        </w:tc>
        <w:tc>
          <w:tcPr>
            <w:tcW w:w="416" w:type="pct"/>
            <w:noWrap/>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Relevance</w:t>
            </w:r>
          </w:p>
        </w:tc>
        <w:tc>
          <w:tcPr>
            <w:tcW w:w="417" w:type="pct"/>
            <w:noWrap/>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Effectiveness</w:t>
            </w:r>
          </w:p>
        </w:tc>
        <w:tc>
          <w:tcPr>
            <w:tcW w:w="416" w:type="pct"/>
            <w:noWrap/>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Efficiency</w:t>
            </w:r>
          </w:p>
        </w:tc>
        <w:tc>
          <w:tcPr>
            <w:tcW w:w="417" w:type="pct"/>
            <w:noWrap/>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Monitoring and Evaluation</w:t>
            </w:r>
          </w:p>
        </w:tc>
        <w:tc>
          <w:tcPr>
            <w:tcW w:w="416" w:type="pct"/>
            <w:noWrap/>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Sustainability</w:t>
            </w:r>
          </w:p>
        </w:tc>
        <w:tc>
          <w:tcPr>
            <w:tcW w:w="417" w:type="pct"/>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Gender equality</w:t>
            </w:r>
          </w:p>
        </w:tc>
        <w:tc>
          <w:tcPr>
            <w:tcW w:w="412" w:type="pct"/>
            <w:textDirection w:val="btLr"/>
          </w:tcPr>
          <w:p w:rsidR="00D338C9" w:rsidRPr="00D338C9" w:rsidRDefault="00D338C9" w:rsidP="00D338C9">
            <w:pPr>
              <w:keepNext/>
              <w:keepLines/>
              <w:spacing w:before="240" w:after="120" w:line="200" w:lineRule="atLeast"/>
              <w:contextualSpacing/>
              <w:outlineLvl w:val="4"/>
              <w:rPr>
                <w:rFonts w:asciiTheme="minorHAnsi" w:eastAsia="Times New Roman" w:hAnsiTheme="minorHAnsi" w:cstheme="majorBidi"/>
                <w:b/>
                <w:bCs/>
                <w:iCs/>
                <w:szCs w:val="17"/>
                <w:lang w:eastAsia="en-US"/>
              </w:rPr>
            </w:pPr>
            <w:r w:rsidRPr="00D338C9">
              <w:rPr>
                <w:rFonts w:asciiTheme="minorHAnsi" w:eastAsia="Times New Roman" w:hAnsiTheme="minorHAnsi" w:cstheme="majorBidi"/>
                <w:b/>
                <w:bCs/>
                <w:iCs/>
                <w:szCs w:val="17"/>
                <w:lang w:eastAsia="en-US"/>
              </w:rPr>
              <w:t>Risks  and Safeguards</w:t>
            </w:r>
          </w:p>
        </w:tc>
      </w:tr>
      <w:tr w:rsidR="00D338C9" w:rsidRPr="00D338C9" w:rsidTr="000742BA">
        <w:trPr>
          <w:cnfStyle w:val="000000010000" w:firstRow="0" w:lastRow="0" w:firstColumn="0" w:lastColumn="0" w:oddVBand="0" w:evenVBand="0" w:oddHBand="0" w:evenHBand="1" w:firstRowFirstColumn="0" w:firstRowLastColumn="0" w:lastRowFirstColumn="0" w:lastRowLastColumn="0"/>
          <w:trHeight w:val="284"/>
        </w:trPr>
        <w:tc>
          <w:tcPr>
            <w:tcW w:w="907"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Scholarships PNG (INI815, INJ262, INJ465)</w:t>
            </w:r>
          </w:p>
        </w:tc>
        <w:tc>
          <w:tcPr>
            <w:tcW w:w="658" w:type="pct"/>
            <w:tcBorders>
              <w:top w:val="single" w:sz="4" w:space="0" w:color="auto"/>
            </w:tcBorders>
          </w:tcPr>
          <w:p w:rsidR="00D338C9" w:rsidRPr="00D338C9" w:rsidRDefault="00D338C9" w:rsidP="00D338C9">
            <w:pPr>
              <w:autoSpaceDE w:val="0"/>
              <w:autoSpaceDN w:val="0"/>
              <w:adjustRightInd w:val="0"/>
              <w:rPr>
                <w:rFonts w:asciiTheme="minorHAnsi" w:hAnsiTheme="minorHAnsi" w:cs="Franklin Gothic Book"/>
                <w:szCs w:val="17"/>
              </w:rPr>
            </w:pPr>
            <w:r w:rsidRPr="00D338C9">
              <w:rPr>
                <w:rFonts w:asciiTheme="minorHAnsi" w:hAnsiTheme="minorHAnsi" w:cs="Franklin Gothic Book"/>
                <w:szCs w:val="17"/>
              </w:rPr>
              <w:t xml:space="preserve">$94m </w:t>
            </w:r>
          </w:p>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2009-16</w:t>
            </w:r>
          </w:p>
        </w:tc>
        <w:tc>
          <w:tcPr>
            <w:tcW w:w="417"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6"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7"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6"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7"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c>
          <w:tcPr>
            <w:tcW w:w="416" w:type="pct"/>
            <w:tcBorders>
              <w:top w:val="single" w:sz="4" w:space="0" w:color="auto"/>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6</w:t>
            </w:r>
          </w:p>
        </w:tc>
        <w:tc>
          <w:tcPr>
            <w:tcW w:w="417" w:type="pct"/>
            <w:tcBorders>
              <w:top w:val="single" w:sz="4" w:space="0" w:color="auto"/>
            </w:tcBorders>
            <w:shd w:val="clear" w:color="auto" w:fill="00B050"/>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6</w:t>
            </w:r>
          </w:p>
        </w:tc>
        <w:tc>
          <w:tcPr>
            <w:tcW w:w="412" w:type="pct"/>
            <w:tcBorders>
              <w:top w:val="single" w:sz="4" w:space="0" w:color="auto"/>
            </w:tcBorders>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iCs/>
                <w:szCs w:val="17"/>
                <w:lang w:eastAsia="en-US"/>
              </w:rPr>
            </w:pPr>
            <w:r w:rsidRPr="00D338C9">
              <w:rPr>
                <w:rFonts w:asciiTheme="minorHAnsi" w:eastAsia="Times New Roman" w:hAnsiTheme="minorHAnsi"/>
                <w:iCs/>
                <w:szCs w:val="17"/>
                <w:lang w:eastAsia="en-US"/>
              </w:rPr>
              <w:t>5</w:t>
            </w:r>
          </w:p>
        </w:tc>
      </w:tr>
      <w:tr w:rsidR="00D338C9" w:rsidRPr="00D338C9" w:rsidTr="000742BA">
        <w:trPr>
          <w:cnfStyle w:val="000000010000" w:firstRow="0" w:lastRow="0" w:firstColumn="0" w:lastColumn="0" w:oddVBand="0" w:evenVBand="0" w:oddHBand="0" w:evenHBand="1" w:firstRowFirstColumn="0" w:firstRowLastColumn="0" w:lastRowFirstColumn="0" w:lastRowLastColumn="0"/>
          <w:trHeight w:val="284"/>
        </w:trPr>
        <w:tc>
          <w:tcPr>
            <w:tcW w:w="907"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PNG Disaster Risk Management Program (INJ302)</w:t>
            </w:r>
          </w:p>
        </w:tc>
        <w:tc>
          <w:tcPr>
            <w:tcW w:w="658"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$9.2m</w:t>
            </w:r>
          </w:p>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2010-16</w:t>
            </w:r>
          </w:p>
        </w:tc>
        <w:tc>
          <w:tcPr>
            <w:tcW w:w="417"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3</w:t>
            </w:r>
          </w:p>
        </w:tc>
        <w:tc>
          <w:tcPr>
            <w:tcW w:w="416"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7"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6"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3</w:t>
            </w:r>
          </w:p>
        </w:tc>
        <w:tc>
          <w:tcPr>
            <w:tcW w:w="417"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3</w:t>
            </w:r>
          </w:p>
        </w:tc>
        <w:tc>
          <w:tcPr>
            <w:tcW w:w="416"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7" w:type="pct"/>
            <w:tcBorders>
              <w:top w:val="single" w:sz="4" w:space="0" w:color="auto"/>
            </w:tcBorders>
            <w:shd w:val="clear" w:color="auto" w:fill="FFFF00"/>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2" w:type="pct"/>
            <w:tcBorders>
              <w:top w:val="single" w:sz="4" w:space="0" w:color="auto"/>
            </w:tcBorders>
            <w:shd w:val="clear" w:color="auto" w:fill="FFC000"/>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3</w:t>
            </w:r>
          </w:p>
        </w:tc>
      </w:tr>
      <w:tr w:rsidR="00D338C9" w:rsidRPr="00D338C9" w:rsidTr="000742BA">
        <w:trPr>
          <w:cnfStyle w:val="000000010000" w:firstRow="0" w:lastRow="0" w:firstColumn="0" w:lastColumn="0" w:oddVBand="0" w:evenVBand="0" w:oddHBand="0" w:evenHBand="1" w:firstRowFirstColumn="0" w:firstRowLastColumn="0" w:lastRowFirstColumn="0" w:lastRowLastColumn="0"/>
          <w:trHeight w:val="284"/>
        </w:trPr>
        <w:tc>
          <w:tcPr>
            <w:tcW w:w="907"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PNG-Australia Law and Justice Partnership (INI194)</w:t>
            </w:r>
          </w:p>
        </w:tc>
        <w:tc>
          <w:tcPr>
            <w:tcW w:w="658"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lang w:eastAsia="en-US"/>
              </w:rPr>
            </w:pPr>
            <w:r w:rsidRPr="00D338C9">
              <w:rPr>
                <w:rFonts w:asciiTheme="minorHAnsi" w:eastAsia="Times New Roman" w:hAnsiTheme="minorHAnsi"/>
                <w:iCs/>
                <w:szCs w:val="17"/>
                <w:lang w:eastAsia="en-US"/>
              </w:rPr>
              <w:t>$183m</w:t>
            </w:r>
          </w:p>
          <w:p w:rsidR="00D338C9" w:rsidRPr="00D338C9" w:rsidRDefault="00D338C9" w:rsidP="00D338C9">
            <w:pPr>
              <w:autoSpaceDE w:val="0"/>
              <w:autoSpaceDN w:val="0"/>
              <w:adjustRightInd w:val="0"/>
              <w:spacing w:before="0" w:after="0"/>
              <w:rPr>
                <w:rFonts w:asciiTheme="minorHAnsi" w:hAnsiTheme="minorHAnsi" w:cs="Franklin Gothic Book"/>
                <w:color w:val="000000"/>
                <w:szCs w:val="17"/>
              </w:rPr>
            </w:pPr>
            <w:r w:rsidRPr="00D338C9">
              <w:rPr>
                <w:rFonts w:asciiTheme="minorHAnsi" w:hAnsiTheme="minorHAnsi" w:cs="Franklin Gothic Book"/>
                <w:szCs w:val="17"/>
              </w:rPr>
              <w:t>2009-16</w:t>
            </w:r>
          </w:p>
        </w:tc>
        <w:tc>
          <w:tcPr>
            <w:tcW w:w="417"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5</w:t>
            </w:r>
          </w:p>
        </w:tc>
        <w:tc>
          <w:tcPr>
            <w:tcW w:w="416" w:type="pct"/>
            <w:tcBorders>
              <w:top w:val="single" w:sz="4" w:space="0" w:color="auto"/>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6</w:t>
            </w:r>
          </w:p>
        </w:tc>
        <w:tc>
          <w:tcPr>
            <w:tcW w:w="417"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5</w:t>
            </w:r>
          </w:p>
        </w:tc>
        <w:tc>
          <w:tcPr>
            <w:tcW w:w="416"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5</w:t>
            </w:r>
          </w:p>
        </w:tc>
        <w:tc>
          <w:tcPr>
            <w:tcW w:w="417"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5</w:t>
            </w:r>
          </w:p>
        </w:tc>
        <w:tc>
          <w:tcPr>
            <w:tcW w:w="416"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7" w:type="pct"/>
            <w:tcBorders>
              <w:top w:val="single" w:sz="4" w:space="0" w:color="auto"/>
            </w:tcBorders>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5</w:t>
            </w:r>
          </w:p>
        </w:tc>
        <w:tc>
          <w:tcPr>
            <w:tcW w:w="412" w:type="pct"/>
            <w:tcBorders>
              <w:top w:val="single" w:sz="4" w:space="0" w:color="auto"/>
            </w:tcBorders>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5</w:t>
            </w:r>
          </w:p>
        </w:tc>
      </w:tr>
      <w:tr w:rsidR="00D338C9" w:rsidRPr="00D338C9" w:rsidTr="000742BA">
        <w:trPr>
          <w:cnfStyle w:val="000000010000" w:firstRow="0" w:lastRow="0" w:firstColumn="0" w:lastColumn="0" w:oddVBand="0" w:evenVBand="0" w:oddHBand="0" w:evenHBand="1" w:firstRowFirstColumn="0" w:firstRowLastColumn="0" w:lastRowFirstColumn="0" w:lastRowLastColumn="0"/>
          <w:trHeight w:val="284"/>
        </w:trPr>
        <w:tc>
          <w:tcPr>
            <w:tcW w:w="907"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rPr>
            </w:pPr>
            <w:proofErr w:type="spellStart"/>
            <w:r w:rsidRPr="00D338C9">
              <w:rPr>
                <w:rFonts w:asciiTheme="minorHAnsi" w:eastAsia="Times New Roman" w:hAnsiTheme="minorHAnsi"/>
                <w:iCs/>
                <w:szCs w:val="17"/>
              </w:rPr>
              <w:t>Strongim</w:t>
            </w:r>
            <w:proofErr w:type="spellEnd"/>
            <w:r w:rsidRPr="00D338C9">
              <w:rPr>
                <w:rFonts w:asciiTheme="minorHAnsi" w:eastAsia="Times New Roman" w:hAnsiTheme="minorHAnsi"/>
                <w:iCs/>
                <w:szCs w:val="17"/>
              </w:rPr>
              <w:t xml:space="preserve"> </w:t>
            </w:r>
            <w:proofErr w:type="spellStart"/>
            <w:r w:rsidRPr="00D338C9">
              <w:rPr>
                <w:rFonts w:asciiTheme="minorHAnsi" w:eastAsia="Times New Roman" w:hAnsiTheme="minorHAnsi"/>
                <w:iCs/>
                <w:szCs w:val="17"/>
              </w:rPr>
              <w:t>Pipol</w:t>
            </w:r>
            <w:proofErr w:type="spellEnd"/>
            <w:r w:rsidRPr="00D338C9">
              <w:rPr>
                <w:rFonts w:asciiTheme="minorHAnsi" w:eastAsia="Times New Roman" w:hAnsiTheme="minorHAnsi"/>
                <w:iCs/>
                <w:szCs w:val="17"/>
              </w:rPr>
              <w:t xml:space="preserve"> </w:t>
            </w:r>
            <w:proofErr w:type="spellStart"/>
            <w:r w:rsidRPr="00D338C9">
              <w:rPr>
                <w:rFonts w:asciiTheme="minorHAnsi" w:eastAsia="Times New Roman" w:hAnsiTheme="minorHAnsi"/>
                <w:iCs/>
                <w:szCs w:val="17"/>
              </w:rPr>
              <w:t>Strongim</w:t>
            </w:r>
            <w:proofErr w:type="spellEnd"/>
            <w:r w:rsidRPr="00D338C9">
              <w:rPr>
                <w:rFonts w:asciiTheme="minorHAnsi" w:eastAsia="Times New Roman" w:hAnsiTheme="minorHAnsi"/>
                <w:iCs/>
                <w:szCs w:val="17"/>
              </w:rPr>
              <w:t xml:space="preserve"> </w:t>
            </w:r>
            <w:proofErr w:type="spellStart"/>
            <w:r w:rsidRPr="00D338C9">
              <w:rPr>
                <w:rFonts w:asciiTheme="minorHAnsi" w:eastAsia="Times New Roman" w:hAnsiTheme="minorHAnsi"/>
                <w:iCs/>
                <w:szCs w:val="17"/>
              </w:rPr>
              <w:t>Nesen</w:t>
            </w:r>
            <w:proofErr w:type="spellEnd"/>
            <w:r w:rsidRPr="00D338C9">
              <w:rPr>
                <w:rFonts w:asciiTheme="minorHAnsi" w:eastAsia="Times New Roman" w:hAnsiTheme="minorHAnsi"/>
                <w:iCs/>
                <w:szCs w:val="17"/>
              </w:rPr>
              <w:t xml:space="preserve"> (INI382)</w:t>
            </w:r>
          </w:p>
        </w:tc>
        <w:tc>
          <w:tcPr>
            <w:tcW w:w="658"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$104m</w:t>
            </w:r>
          </w:p>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2009-16</w:t>
            </w:r>
          </w:p>
        </w:tc>
        <w:tc>
          <w:tcPr>
            <w:tcW w:w="417"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6"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5</w:t>
            </w:r>
          </w:p>
        </w:tc>
        <w:tc>
          <w:tcPr>
            <w:tcW w:w="417"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5</w:t>
            </w:r>
          </w:p>
        </w:tc>
        <w:tc>
          <w:tcPr>
            <w:tcW w:w="416"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3</w:t>
            </w:r>
          </w:p>
        </w:tc>
        <w:tc>
          <w:tcPr>
            <w:tcW w:w="417"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6"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3</w:t>
            </w:r>
          </w:p>
        </w:tc>
        <w:tc>
          <w:tcPr>
            <w:tcW w:w="417" w:type="pct"/>
            <w:tcBorders>
              <w:top w:val="single" w:sz="4" w:space="0" w:color="auto"/>
            </w:tcBorders>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5</w:t>
            </w:r>
          </w:p>
        </w:tc>
        <w:tc>
          <w:tcPr>
            <w:tcW w:w="412" w:type="pct"/>
            <w:tcBorders>
              <w:top w:val="single" w:sz="4" w:space="0" w:color="auto"/>
            </w:tcBorders>
            <w:shd w:val="clear" w:color="auto" w:fill="FFFF00"/>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r>
      <w:tr w:rsidR="00D338C9" w:rsidRPr="00D338C9" w:rsidTr="000742BA">
        <w:trPr>
          <w:cnfStyle w:val="000000010000" w:firstRow="0" w:lastRow="0" w:firstColumn="0" w:lastColumn="0" w:oddVBand="0" w:evenVBand="0" w:oddHBand="0" w:evenHBand="1" w:firstRowFirstColumn="0" w:firstRowLastColumn="0" w:lastRowFirstColumn="0" w:lastRowLastColumn="0"/>
          <w:trHeight w:val="284"/>
        </w:trPr>
        <w:tc>
          <w:tcPr>
            <w:tcW w:w="907"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Church Partnerships Program Phase II (INJ313)</w:t>
            </w:r>
          </w:p>
        </w:tc>
        <w:tc>
          <w:tcPr>
            <w:tcW w:w="658"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$50m</w:t>
            </w:r>
          </w:p>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2010-16</w:t>
            </w:r>
          </w:p>
        </w:tc>
        <w:tc>
          <w:tcPr>
            <w:tcW w:w="417"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6"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5</w:t>
            </w:r>
          </w:p>
        </w:tc>
        <w:tc>
          <w:tcPr>
            <w:tcW w:w="417"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6"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3</w:t>
            </w:r>
          </w:p>
        </w:tc>
        <w:tc>
          <w:tcPr>
            <w:tcW w:w="417"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3</w:t>
            </w:r>
          </w:p>
        </w:tc>
        <w:tc>
          <w:tcPr>
            <w:tcW w:w="416"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7" w:type="pct"/>
            <w:tcBorders>
              <w:top w:val="single" w:sz="4" w:space="0" w:color="auto"/>
            </w:tcBorders>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5</w:t>
            </w:r>
          </w:p>
        </w:tc>
        <w:tc>
          <w:tcPr>
            <w:tcW w:w="412" w:type="pct"/>
            <w:tcBorders>
              <w:top w:val="single" w:sz="4" w:space="0" w:color="auto"/>
            </w:tcBorders>
            <w:shd w:val="clear" w:color="auto" w:fill="FFFF00"/>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r>
      <w:tr w:rsidR="00D338C9" w:rsidRPr="00D338C9" w:rsidTr="000742BA">
        <w:trPr>
          <w:cnfStyle w:val="000000010000" w:firstRow="0" w:lastRow="0" w:firstColumn="0" w:lastColumn="0" w:oddVBand="0" w:evenVBand="0" w:oddHBand="0" w:evenHBand="1" w:firstRowFirstColumn="0" w:firstRowLastColumn="0" w:lastRowFirstColumn="0" w:lastRowLastColumn="0"/>
          <w:trHeight w:val="284"/>
        </w:trPr>
        <w:tc>
          <w:tcPr>
            <w:tcW w:w="908"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Kokoda Track Initiative (INH843)</w:t>
            </w:r>
          </w:p>
        </w:tc>
        <w:tc>
          <w:tcPr>
            <w:tcW w:w="658"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$26m</w:t>
            </w:r>
          </w:p>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2008-16</w:t>
            </w:r>
          </w:p>
        </w:tc>
        <w:tc>
          <w:tcPr>
            <w:tcW w:w="417"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6"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7"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3</w:t>
            </w:r>
          </w:p>
        </w:tc>
        <w:tc>
          <w:tcPr>
            <w:tcW w:w="416"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7" w:type="pct"/>
            <w:tcBorders>
              <w:top w:val="single" w:sz="4" w:space="0" w:color="auto"/>
            </w:tcBorders>
            <w:shd w:val="clear" w:color="auto" w:fill="FF00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2</w:t>
            </w:r>
          </w:p>
        </w:tc>
        <w:tc>
          <w:tcPr>
            <w:tcW w:w="416"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3</w:t>
            </w:r>
          </w:p>
        </w:tc>
        <w:tc>
          <w:tcPr>
            <w:tcW w:w="417" w:type="pct"/>
            <w:tcBorders>
              <w:top w:val="single" w:sz="4" w:space="0" w:color="auto"/>
            </w:tcBorders>
            <w:shd w:val="clear" w:color="auto" w:fill="FFC000"/>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3</w:t>
            </w:r>
          </w:p>
        </w:tc>
        <w:tc>
          <w:tcPr>
            <w:tcW w:w="412" w:type="pct"/>
            <w:tcBorders>
              <w:top w:val="single" w:sz="4" w:space="0" w:color="auto"/>
            </w:tcBorders>
            <w:shd w:val="clear" w:color="auto" w:fill="FFFF00"/>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r>
      <w:tr w:rsidR="00D338C9" w:rsidRPr="00D338C9" w:rsidTr="000742BA">
        <w:trPr>
          <w:cnfStyle w:val="000000010000" w:firstRow="0" w:lastRow="0" w:firstColumn="0" w:lastColumn="0" w:oddVBand="0" w:evenVBand="0" w:oddHBand="0" w:evenHBand="1" w:firstRowFirstColumn="0" w:firstRowLastColumn="0" w:lastRowFirstColumn="0" w:lastRowLastColumn="0"/>
          <w:trHeight w:val="284"/>
        </w:trPr>
        <w:tc>
          <w:tcPr>
            <w:tcW w:w="908"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Provincial and Local Level Governments Program (INK615)</w:t>
            </w:r>
          </w:p>
        </w:tc>
        <w:tc>
          <w:tcPr>
            <w:tcW w:w="658" w:type="pct"/>
            <w:tcBorders>
              <w:top w:val="single" w:sz="4" w:space="0" w:color="auto"/>
            </w:tcBorders>
          </w:tcPr>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$106m</w:t>
            </w:r>
          </w:p>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2012-16</w:t>
            </w:r>
          </w:p>
        </w:tc>
        <w:tc>
          <w:tcPr>
            <w:tcW w:w="417"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6" w:type="pct"/>
            <w:tcBorders>
              <w:top w:val="single" w:sz="4" w:space="0" w:color="auto"/>
            </w:tcBorders>
            <w:shd w:val="clear" w:color="auto" w:fill="92D05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5</w:t>
            </w:r>
          </w:p>
        </w:tc>
        <w:tc>
          <w:tcPr>
            <w:tcW w:w="417"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6"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3</w:t>
            </w:r>
          </w:p>
        </w:tc>
        <w:tc>
          <w:tcPr>
            <w:tcW w:w="417" w:type="pct"/>
            <w:tcBorders>
              <w:top w:val="single" w:sz="4" w:space="0" w:color="auto"/>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3</w:t>
            </w:r>
          </w:p>
        </w:tc>
        <w:tc>
          <w:tcPr>
            <w:tcW w:w="416" w:type="pct"/>
            <w:tcBorders>
              <w:top w:val="single" w:sz="4" w:space="0" w:color="auto"/>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7" w:type="pct"/>
            <w:tcBorders>
              <w:top w:val="single" w:sz="4" w:space="0" w:color="auto"/>
            </w:tcBorders>
            <w:shd w:val="clear" w:color="auto" w:fill="FFFF00"/>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2" w:type="pct"/>
            <w:tcBorders>
              <w:top w:val="single" w:sz="4" w:space="0" w:color="auto"/>
            </w:tcBorders>
            <w:shd w:val="clear" w:color="auto" w:fill="FFFF00"/>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r>
      <w:tr w:rsidR="00D338C9" w:rsidRPr="00D338C9" w:rsidTr="000742BA">
        <w:trPr>
          <w:cnfStyle w:val="000000010000" w:firstRow="0" w:lastRow="0" w:firstColumn="0" w:lastColumn="0" w:oddVBand="0" w:evenVBand="0" w:oddHBand="0" w:evenHBand="1" w:firstRowFirstColumn="0" w:firstRowLastColumn="0" w:lastRowFirstColumn="0" w:lastRowLastColumn="0"/>
          <w:trHeight w:val="284"/>
        </w:trPr>
        <w:tc>
          <w:tcPr>
            <w:tcW w:w="908" w:type="pct"/>
            <w:tcBorders>
              <w:top w:val="single" w:sz="4" w:space="0" w:color="auto"/>
              <w:bottom w:val="single" w:sz="12" w:space="0" w:color="000000" w:themeColor="text1"/>
            </w:tcBorders>
          </w:tcPr>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Economic and Public Sector Program (INI903)</w:t>
            </w:r>
          </w:p>
        </w:tc>
        <w:tc>
          <w:tcPr>
            <w:tcW w:w="657" w:type="pct"/>
            <w:tcBorders>
              <w:top w:val="single" w:sz="4" w:space="0" w:color="auto"/>
              <w:bottom w:val="single" w:sz="12" w:space="0" w:color="000000" w:themeColor="text1"/>
            </w:tcBorders>
          </w:tcPr>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$126m</w:t>
            </w:r>
          </w:p>
          <w:p w:rsidR="00D338C9" w:rsidRPr="00D338C9" w:rsidRDefault="00D338C9" w:rsidP="00D338C9">
            <w:pPr>
              <w:keepLines/>
              <w:spacing w:before="40" w:after="40" w:line="200" w:lineRule="atLeast"/>
              <w:rPr>
                <w:rFonts w:asciiTheme="minorHAnsi" w:eastAsia="Times New Roman" w:hAnsiTheme="minorHAnsi"/>
                <w:iCs/>
                <w:szCs w:val="17"/>
              </w:rPr>
            </w:pPr>
            <w:r w:rsidRPr="00D338C9">
              <w:rPr>
                <w:rFonts w:asciiTheme="minorHAnsi" w:eastAsia="Times New Roman" w:hAnsiTheme="minorHAnsi"/>
                <w:iCs/>
                <w:szCs w:val="17"/>
              </w:rPr>
              <w:t>2009-16</w:t>
            </w:r>
          </w:p>
        </w:tc>
        <w:tc>
          <w:tcPr>
            <w:tcW w:w="417" w:type="pct"/>
            <w:tcBorders>
              <w:top w:val="single" w:sz="4" w:space="0" w:color="auto"/>
              <w:bottom w:val="single" w:sz="12" w:space="0" w:color="000000" w:themeColor="text1"/>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6" w:type="pct"/>
            <w:tcBorders>
              <w:top w:val="single" w:sz="4" w:space="0" w:color="auto"/>
              <w:bottom w:val="single" w:sz="12" w:space="0" w:color="000000" w:themeColor="text1"/>
            </w:tcBorders>
            <w:shd w:val="clear" w:color="auto" w:fill="00B05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5</w:t>
            </w:r>
          </w:p>
        </w:tc>
        <w:tc>
          <w:tcPr>
            <w:tcW w:w="417" w:type="pct"/>
            <w:tcBorders>
              <w:top w:val="single" w:sz="4" w:space="0" w:color="auto"/>
              <w:bottom w:val="single" w:sz="12" w:space="0" w:color="000000" w:themeColor="text1"/>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3</w:t>
            </w:r>
          </w:p>
        </w:tc>
        <w:tc>
          <w:tcPr>
            <w:tcW w:w="416" w:type="pct"/>
            <w:tcBorders>
              <w:top w:val="single" w:sz="4" w:space="0" w:color="auto"/>
              <w:bottom w:val="single" w:sz="12" w:space="0" w:color="000000" w:themeColor="text1"/>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7" w:type="pct"/>
            <w:tcBorders>
              <w:top w:val="single" w:sz="4" w:space="0" w:color="auto"/>
              <w:bottom w:val="single" w:sz="12" w:space="0" w:color="000000" w:themeColor="text1"/>
            </w:tcBorders>
            <w:shd w:val="clear" w:color="auto" w:fill="FFFF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c>
          <w:tcPr>
            <w:tcW w:w="416" w:type="pct"/>
            <w:tcBorders>
              <w:top w:val="single" w:sz="4" w:space="0" w:color="auto"/>
              <w:bottom w:val="single" w:sz="12" w:space="0" w:color="000000" w:themeColor="text1"/>
            </w:tcBorders>
            <w:shd w:val="clear" w:color="auto" w:fill="FFC000"/>
            <w:noWrap/>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3</w:t>
            </w:r>
          </w:p>
        </w:tc>
        <w:tc>
          <w:tcPr>
            <w:tcW w:w="417" w:type="pct"/>
            <w:tcBorders>
              <w:top w:val="single" w:sz="4" w:space="0" w:color="auto"/>
              <w:bottom w:val="single" w:sz="12" w:space="0" w:color="000000" w:themeColor="text1"/>
            </w:tcBorders>
            <w:shd w:val="clear" w:color="auto" w:fill="92D050"/>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5</w:t>
            </w:r>
          </w:p>
        </w:tc>
        <w:tc>
          <w:tcPr>
            <w:tcW w:w="412" w:type="pct"/>
            <w:tcBorders>
              <w:top w:val="single" w:sz="4" w:space="0" w:color="auto"/>
              <w:bottom w:val="single" w:sz="12" w:space="0" w:color="000000" w:themeColor="text1"/>
            </w:tcBorders>
            <w:shd w:val="clear" w:color="auto" w:fill="FFFF00"/>
          </w:tcPr>
          <w:p w:rsidR="00D338C9" w:rsidRPr="00D338C9" w:rsidRDefault="00D338C9" w:rsidP="00D338C9">
            <w:pPr>
              <w:keepLines/>
              <w:spacing w:before="40" w:after="40" w:line="200" w:lineRule="atLeast"/>
              <w:jc w:val="center"/>
              <w:rPr>
                <w:rFonts w:asciiTheme="minorHAnsi" w:eastAsia="Times New Roman" w:hAnsiTheme="minorHAnsi"/>
                <w:iCs/>
                <w:szCs w:val="17"/>
              </w:rPr>
            </w:pPr>
            <w:r w:rsidRPr="00D338C9">
              <w:rPr>
                <w:rFonts w:asciiTheme="minorHAnsi" w:eastAsia="Times New Roman" w:hAnsiTheme="minorHAnsi"/>
                <w:iCs/>
                <w:szCs w:val="17"/>
              </w:rPr>
              <w:t>4</w:t>
            </w:r>
          </w:p>
        </w:tc>
      </w:tr>
    </w:tbl>
    <w:p w:rsidR="00D338C9" w:rsidRPr="00D338C9" w:rsidRDefault="00D338C9" w:rsidP="00D338C9">
      <w:pPr>
        <w:spacing w:before="20" w:after="20" w:line="180" w:lineRule="atLeast"/>
        <w:jc w:val="both"/>
        <w:rPr>
          <w:rFonts w:ascii="Franklin Gothic Book" w:eastAsia="Times New Roman" w:hAnsi="Franklin Gothic Book"/>
          <w:b/>
          <w:sz w:val="14"/>
          <w:szCs w:val="14"/>
        </w:rPr>
      </w:pPr>
    </w:p>
    <w:p w:rsidR="00D338C9" w:rsidRPr="00D338C9" w:rsidRDefault="00D338C9" w:rsidP="00D338C9">
      <w:pPr>
        <w:spacing w:before="20" w:after="20" w:line="180" w:lineRule="atLeast"/>
        <w:jc w:val="both"/>
        <w:rPr>
          <w:rFonts w:eastAsia="Times New Roman"/>
          <w:b/>
          <w:sz w:val="16"/>
          <w:szCs w:val="14"/>
        </w:rPr>
      </w:pPr>
      <w:r w:rsidRPr="00D338C9">
        <w:rPr>
          <w:rFonts w:eastAsia="Times New Roman"/>
          <w:b/>
          <w:sz w:val="16"/>
          <w:szCs w:val="14"/>
        </w:rPr>
        <w:t>Definitions of rating scale:</w:t>
      </w:r>
      <w:r w:rsidRPr="00D338C9">
        <w:rPr>
          <w:rFonts w:eastAsia="Times New Roman"/>
          <w:b/>
          <w:sz w:val="16"/>
          <w:szCs w:val="14"/>
        </w:rPr>
        <w:tab/>
      </w:r>
    </w:p>
    <w:p w:rsidR="00D338C9" w:rsidRPr="00D338C9" w:rsidRDefault="00D338C9" w:rsidP="00D338C9">
      <w:pPr>
        <w:spacing w:before="20" w:after="20" w:line="180" w:lineRule="atLeast"/>
        <w:jc w:val="both"/>
        <w:rPr>
          <w:rFonts w:eastAsia="Times New Roman"/>
          <w:b/>
          <w:sz w:val="16"/>
          <w:szCs w:val="14"/>
        </w:rPr>
      </w:pPr>
      <w:r w:rsidRPr="00D338C9">
        <w:rPr>
          <w:rFonts w:eastAsia="Times New Roman"/>
          <w:b/>
          <w:sz w:val="16"/>
          <w:szCs w:val="14"/>
        </w:rPr>
        <w:t>Satisfactory (4, 5 and 6)</w:t>
      </w:r>
    </w:p>
    <w:p w:rsidR="00D338C9" w:rsidRPr="00D338C9" w:rsidRDefault="00D338C9" w:rsidP="00D338C9">
      <w:pPr>
        <w:spacing w:before="20" w:after="20" w:line="180" w:lineRule="atLeast"/>
        <w:jc w:val="both"/>
        <w:rPr>
          <w:rFonts w:eastAsia="Times New Roman"/>
          <w:b/>
          <w:sz w:val="16"/>
          <w:szCs w:val="14"/>
        </w:rPr>
      </w:pPr>
      <w:r w:rsidRPr="00D338C9">
        <w:rPr>
          <w:rFonts w:eastAsia="Times New Roman"/>
          <w:b/>
          <w:color w:val="72AF2F"/>
          <w:sz w:val="16"/>
          <w:szCs w:val="14"/>
        </w:rPr>
        <w:sym w:font="Webdings" w:char="F067"/>
      </w:r>
      <w:r w:rsidRPr="00D338C9">
        <w:rPr>
          <w:rFonts w:eastAsia="Times New Roman"/>
          <w:b/>
          <w:sz w:val="16"/>
          <w:szCs w:val="14"/>
        </w:rPr>
        <w:t xml:space="preserve"> 6 = Very good; satisfies criteria in all areas.  </w:t>
      </w:r>
      <w:r w:rsidRPr="00D338C9">
        <w:rPr>
          <w:rFonts w:eastAsia="Times New Roman"/>
          <w:b/>
          <w:color w:val="72AF2F"/>
          <w:sz w:val="16"/>
          <w:szCs w:val="14"/>
        </w:rPr>
        <w:sym w:font="Webdings" w:char="F067"/>
      </w:r>
      <w:r w:rsidRPr="00D338C9">
        <w:rPr>
          <w:rFonts w:eastAsia="Times New Roman"/>
          <w:b/>
          <w:sz w:val="16"/>
          <w:szCs w:val="14"/>
        </w:rPr>
        <w:t xml:space="preserve"> 5 = Good; satisfies criteria in almost all areas.</w:t>
      </w:r>
    </w:p>
    <w:p w:rsidR="00D338C9" w:rsidRPr="00D338C9" w:rsidRDefault="00D338C9" w:rsidP="00D338C9">
      <w:pPr>
        <w:spacing w:before="20" w:after="20" w:line="180" w:lineRule="atLeast"/>
        <w:jc w:val="both"/>
        <w:rPr>
          <w:rFonts w:eastAsia="Times New Roman"/>
          <w:b/>
          <w:sz w:val="16"/>
          <w:szCs w:val="14"/>
        </w:rPr>
      </w:pPr>
      <w:r w:rsidRPr="00D338C9">
        <w:rPr>
          <w:rFonts w:eastAsia="Times New Roman"/>
          <w:b/>
          <w:color w:val="FFFF00"/>
          <w:sz w:val="16"/>
          <w:szCs w:val="14"/>
        </w:rPr>
        <w:sym w:font="Webdings" w:char="F067"/>
      </w:r>
      <w:r w:rsidRPr="00D338C9">
        <w:rPr>
          <w:rFonts w:eastAsia="Times New Roman"/>
          <w:b/>
          <w:sz w:val="16"/>
          <w:szCs w:val="14"/>
        </w:rPr>
        <w:t xml:space="preserve"> 4 = Adequate; on balance, satisfies criteria; does not fail in any major area.</w:t>
      </w:r>
    </w:p>
    <w:p w:rsidR="00D338C9" w:rsidRPr="00D338C9" w:rsidRDefault="00D338C9" w:rsidP="00D338C9">
      <w:pPr>
        <w:spacing w:before="20" w:after="20" w:line="180" w:lineRule="atLeast"/>
        <w:jc w:val="both"/>
        <w:rPr>
          <w:rFonts w:eastAsia="Times New Roman"/>
          <w:b/>
          <w:sz w:val="16"/>
          <w:szCs w:val="14"/>
        </w:rPr>
      </w:pPr>
      <w:r w:rsidRPr="00D338C9">
        <w:rPr>
          <w:rFonts w:eastAsia="Times New Roman"/>
          <w:b/>
          <w:sz w:val="16"/>
          <w:szCs w:val="14"/>
        </w:rPr>
        <w:t>Less than satisfactory (1, 2 and 3)</w:t>
      </w:r>
    </w:p>
    <w:p w:rsidR="00D338C9" w:rsidRPr="00D338C9" w:rsidRDefault="00D338C9" w:rsidP="00D338C9">
      <w:pPr>
        <w:spacing w:before="20" w:after="20" w:line="180" w:lineRule="atLeast"/>
        <w:jc w:val="both"/>
        <w:rPr>
          <w:rFonts w:eastAsia="Times New Roman"/>
          <w:b/>
          <w:sz w:val="16"/>
          <w:szCs w:val="14"/>
        </w:rPr>
      </w:pPr>
      <w:r w:rsidRPr="00D338C9">
        <w:rPr>
          <w:rFonts w:eastAsia="Times New Roman"/>
          <w:b/>
          <w:color w:val="E36C0A"/>
          <w:sz w:val="16"/>
          <w:szCs w:val="14"/>
        </w:rPr>
        <w:sym w:font="Webdings" w:char="F067"/>
      </w:r>
      <w:r w:rsidRPr="00D338C9">
        <w:rPr>
          <w:rFonts w:eastAsia="Times New Roman"/>
          <w:b/>
          <w:color w:val="E36C0A"/>
          <w:sz w:val="16"/>
          <w:szCs w:val="14"/>
        </w:rPr>
        <w:t xml:space="preserve"> </w:t>
      </w:r>
      <w:r w:rsidRPr="00D338C9">
        <w:rPr>
          <w:rFonts w:eastAsia="Times New Roman"/>
          <w:b/>
          <w:sz w:val="16"/>
          <w:szCs w:val="14"/>
        </w:rPr>
        <w:t>3 = Less than adequate; on balance does not satisfy criteria and/or fails in at least one major area.</w:t>
      </w:r>
    </w:p>
    <w:p w:rsidR="00D338C9" w:rsidRDefault="00D338C9" w:rsidP="00D338C9">
      <w:pPr>
        <w:spacing w:before="20" w:after="20" w:line="180" w:lineRule="atLeast"/>
      </w:pPr>
      <w:r w:rsidRPr="00D338C9">
        <w:rPr>
          <w:rFonts w:eastAsia="Times New Roman"/>
          <w:b/>
          <w:color w:val="FF0000"/>
          <w:sz w:val="16"/>
          <w:szCs w:val="14"/>
        </w:rPr>
        <w:sym w:font="Webdings" w:char="F067"/>
      </w:r>
      <w:r w:rsidRPr="00D338C9">
        <w:rPr>
          <w:rFonts w:eastAsia="Times New Roman"/>
          <w:b/>
          <w:sz w:val="16"/>
          <w:szCs w:val="14"/>
        </w:rPr>
        <w:t xml:space="preserve"> 2 = Poor; does not satisfy criteria in major areas.  </w:t>
      </w:r>
      <w:r w:rsidRPr="00D338C9">
        <w:rPr>
          <w:rFonts w:eastAsia="Times New Roman"/>
          <w:b/>
          <w:color w:val="FF0000"/>
          <w:sz w:val="16"/>
          <w:szCs w:val="14"/>
        </w:rPr>
        <w:sym w:font="Webdings" w:char="F067"/>
      </w:r>
      <w:r w:rsidRPr="00D338C9">
        <w:rPr>
          <w:rFonts w:eastAsia="Times New Roman"/>
          <w:b/>
          <w:sz w:val="16"/>
          <w:szCs w:val="14"/>
        </w:rPr>
        <w:t xml:space="preserve"> 1 = Very poor; does not satisfy criteria in many major area.</w:t>
      </w:r>
      <w:bookmarkStart w:id="0" w:name="_GoBack"/>
      <w:bookmarkEnd w:id="0"/>
    </w:p>
    <w:sectPr w:rsidR="00D338C9" w:rsidSect="00784031">
      <w:headerReference w:type="default" r:id="rId26"/>
      <w:pgSz w:w="16838" w:h="11906" w:orient="landscape" w:code="9"/>
      <w:pgMar w:top="1134" w:right="1527" w:bottom="1134" w:left="851"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664" w:rsidRDefault="00B80664" w:rsidP="00EF4574">
      <w:pPr>
        <w:spacing w:before="0" w:after="0" w:line="240" w:lineRule="auto"/>
      </w:pPr>
      <w:r>
        <w:separator/>
      </w:r>
    </w:p>
  </w:endnote>
  <w:endnote w:type="continuationSeparator" w:id="0">
    <w:p w:rsidR="00B80664" w:rsidRDefault="00B80664"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64" w:rsidRDefault="00B80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092490"/>
      <w:docPartObj>
        <w:docPartGallery w:val="Page Numbers (Bottom of Page)"/>
        <w:docPartUnique/>
      </w:docPartObj>
    </w:sdtPr>
    <w:sdtEndPr>
      <w:rPr>
        <w:noProof/>
      </w:rPr>
    </w:sdtEndPr>
    <w:sdtContent>
      <w:p w:rsidR="00B80664" w:rsidRDefault="00B80664">
        <w:pPr>
          <w:pStyle w:val="Footer"/>
        </w:pPr>
        <w:r>
          <w:fldChar w:fldCharType="begin"/>
        </w:r>
        <w:r>
          <w:instrText xml:space="preserve"> PAGE   \* MERGEFORMAT </w:instrText>
        </w:r>
        <w:r>
          <w:fldChar w:fldCharType="separate"/>
        </w:r>
        <w:r w:rsidR="00484E31">
          <w:rPr>
            <w:noProof/>
          </w:rPr>
          <w:t>34</w:t>
        </w:r>
        <w:r>
          <w:rPr>
            <w:noProof/>
          </w:rPr>
          <w:fldChar w:fldCharType="end"/>
        </w:r>
      </w:p>
    </w:sdtContent>
  </w:sdt>
  <w:p w:rsidR="00B80664" w:rsidRDefault="00B80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64" w:rsidRDefault="00B8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664" w:rsidRPr="008C5A0E" w:rsidRDefault="00B80664" w:rsidP="001D663E">
      <w:pPr>
        <w:pStyle w:val="Footer"/>
        <w:pBdr>
          <w:top w:val="single" w:sz="4" w:space="1" w:color="495965" w:themeColor="text2"/>
        </w:pBdr>
      </w:pPr>
    </w:p>
  </w:footnote>
  <w:footnote w:type="continuationSeparator" w:id="0">
    <w:p w:rsidR="00B80664" w:rsidRDefault="00B80664" w:rsidP="00EF4574">
      <w:pPr>
        <w:spacing w:before="0" w:after="0" w:line="240" w:lineRule="auto"/>
      </w:pPr>
      <w:r>
        <w:continuationSeparator/>
      </w:r>
    </w:p>
  </w:footnote>
  <w:footnote w:id="1">
    <w:p w:rsidR="00B80664" w:rsidRPr="00B6769E" w:rsidRDefault="00B80664">
      <w:pPr>
        <w:pStyle w:val="FootnoteText"/>
        <w:rPr>
          <w:lang w:val="en-AU"/>
        </w:rPr>
      </w:pPr>
      <w:r>
        <w:rPr>
          <w:rStyle w:val="FootnoteReference"/>
        </w:rPr>
        <w:footnoteRef/>
      </w:r>
      <w:r>
        <w:t xml:space="preserve"> </w:t>
      </w:r>
      <w:r>
        <w:rPr>
          <w:lang w:val="en-AU"/>
        </w:rPr>
        <w:t xml:space="preserve">PNG Department of Treasury, Mid-Year Economic and Fiscal and Fiscal Outlook Report, </w:t>
      </w:r>
      <w:hyperlink r:id="rId1" w:history="1">
        <w:r w:rsidRPr="0040304C">
          <w:rPr>
            <w:rStyle w:val="Hyperlink"/>
            <w:rFonts w:cstheme="minorBidi"/>
            <w:lang w:val="en-AU"/>
          </w:rPr>
          <w:t>www.treasury.gov.pg</w:t>
        </w:r>
      </w:hyperlink>
      <w:r>
        <w:rPr>
          <w:lang w:val="en-AU"/>
        </w:rPr>
        <w:t xml:space="preserve"> accessed August 2016.</w:t>
      </w:r>
    </w:p>
  </w:footnote>
  <w:footnote w:id="2">
    <w:p w:rsidR="00B80664" w:rsidRPr="002D62E7" w:rsidRDefault="00B80664" w:rsidP="00C6362E">
      <w:pPr>
        <w:pStyle w:val="FootnoteText"/>
        <w:rPr>
          <w:lang w:val="en-AU"/>
        </w:rPr>
      </w:pPr>
      <w:r>
        <w:rPr>
          <w:rStyle w:val="FootnoteReference"/>
        </w:rPr>
        <w:footnoteRef/>
      </w:r>
      <w:r>
        <w:t xml:space="preserve"> </w:t>
      </w:r>
      <w:r>
        <w:rPr>
          <w:lang w:val="en-AU"/>
        </w:rPr>
        <w:t xml:space="preserve">PNG National Statistical Office, </w:t>
      </w:r>
      <w:r>
        <w:rPr>
          <w:i/>
          <w:lang w:val="en-AU"/>
        </w:rPr>
        <w:t xml:space="preserve">National Population and Housing Census 2011, </w:t>
      </w:r>
      <w:hyperlink r:id="rId2" w:history="1">
        <w:r w:rsidRPr="0040304C">
          <w:rPr>
            <w:rStyle w:val="Hyperlink"/>
            <w:rFonts w:cstheme="minorBidi"/>
            <w:lang w:val="en-AU"/>
          </w:rPr>
          <w:t>www.nso.gov.pg</w:t>
        </w:r>
      </w:hyperlink>
      <w:r>
        <w:rPr>
          <w:lang w:val="en-AU"/>
        </w:rPr>
        <w:t xml:space="preserve"> accessed August 2016.</w:t>
      </w:r>
    </w:p>
  </w:footnote>
  <w:footnote w:id="3">
    <w:p w:rsidR="00B80664" w:rsidRPr="00663E3B" w:rsidRDefault="00B80664">
      <w:pPr>
        <w:pStyle w:val="FootnoteText"/>
      </w:pPr>
      <w:r>
        <w:rPr>
          <w:rStyle w:val="FootnoteReference"/>
        </w:rPr>
        <w:footnoteRef/>
      </w:r>
      <w:r>
        <w:t xml:space="preserve"> Toft, S. and </w:t>
      </w:r>
      <w:proofErr w:type="spellStart"/>
      <w:r>
        <w:t>Bonnel</w:t>
      </w:r>
      <w:proofErr w:type="spellEnd"/>
      <w:r>
        <w:t>, S. (eds.) (1985) ‘Marriage and Domestic Violence in Rural Papua New Guinea’, Law Reform Commission of Papua New Guinea. Occasional Paper No. 18.</w:t>
      </w:r>
    </w:p>
  </w:footnote>
  <w:footnote w:id="4">
    <w:p w:rsidR="00B80664" w:rsidRPr="000A5F95" w:rsidRDefault="00B80664">
      <w:pPr>
        <w:pStyle w:val="FootnoteText"/>
        <w:rPr>
          <w:lang w:val="en-AU"/>
        </w:rPr>
      </w:pPr>
      <w:r>
        <w:rPr>
          <w:rStyle w:val="FootnoteReference"/>
        </w:rPr>
        <w:footnoteRef/>
      </w:r>
      <w:r>
        <w:t xml:space="preserve"> </w:t>
      </w:r>
      <w:r w:rsidRPr="000A5F95">
        <w:t>World Health Organization</w:t>
      </w:r>
      <w:r>
        <w:t>,</w:t>
      </w:r>
      <w:r w:rsidRPr="000A5F95">
        <w:t xml:space="preserve"> </w:t>
      </w:r>
      <w:r>
        <w:t xml:space="preserve">Trends in maternal mortality: 1990 to 2015, </w:t>
      </w:r>
      <w:hyperlink r:id="rId3" w:history="1">
        <w:r w:rsidRPr="0040304C">
          <w:rPr>
            <w:rStyle w:val="Hyperlink"/>
            <w:rFonts w:cstheme="minorBidi"/>
          </w:rPr>
          <w:t>www.who.int</w:t>
        </w:r>
      </w:hyperlink>
      <w:r>
        <w:t xml:space="preserve"> Accessed August 2016. </w:t>
      </w:r>
    </w:p>
  </w:footnote>
  <w:footnote w:id="5">
    <w:p w:rsidR="00B80664" w:rsidRPr="00F90FCC" w:rsidRDefault="00B80664">
      <w:pPr>
        <w:pStyle w:val="FootnoteText"/>
        <w:rPr>
          <w:lang w:val="en-AU"/>
        </w:rPr>
      </w:pPr>
      <w:r>
        <w:rPr>
          <w:rStyle w:val="FootnoteReference"/>
        </w:rPr>
        <w:footnoteRef/>
      </w:r>
      <w:r>
        <w:t xml:space="preserve"> Government of Papua New Guinea, 2015, </w:t>
      </w:r>
      <w:r w:rsidRPr="00B6769E">
        <w:rPr>
          <w:i/>
        </w:rPr>
        <w:t>Millennium Development Goals Summary Report for Papua New Guinea 2015</w:t>
      </w:r>
    </w:p>
  </w:footnote>
  <w:footnote w:id="6">
    <w:p w:rsidR="00B80664" w:rsidRPr="00B6769E" w:rsidRDefault="00B80664">
      <w:pPr>
        <w:pStyle w:val="FootnoteText"/>
        <w:rPr>
          <w:lang w:val="en-AU"/>
        </w:rPr>
      </w:pPr>
      <w:r>
        <w:rPr>
          <w:rStyle w:val="FootnoteReference"/>
        </w:rPr>
        <w:footnoteRef/>
      </w:r>
      <w:r>
        <w:t xml:space="preserve"> </w:t>
      </w:r>
      <w:r>
        <w:rPr>
          <w:lang w:val="en-AU"/>
        </w:rPr>
        <w:t>All conversions in the document are for illustrative purposes only and reflect exchange rates as at August 2016</w:t>
      </w:r>
    </w:p>
  </w:footnote>
  <w:footnote w:id="7">
    <w:p w:rsidR="00B80664" w:rsidRPr="005A2394" w:rsidRDefault="00B80664" w:rsidP="00363478">
      <w:pPr>
        <w:pStyle w:val="FootnoteText"/>
        <w:rPr>
          <w:lang w:val="en-AU"/>
        </w:rPr>
      </w:pPr>
      <w:r>
        <w:rPr>
          <w:rStyle w:val="FootnoteReference"/>
        </w:rPr>
        <w:footnoteRef/>
      </w:r>
      <w:r>
        <w:t xml:space="preserve"> </w:t>
      </w:r>
      <w:r>
        <w:rPr>
          <w:lang w:val="en-AU"/>
        </w:rPr>
        <w:t xml:space="preserve">Asian Development Bank Member Fact Sheet, </w:t>
      </w:r>
      <w:hyperlink r:id="rId4" w:history="1">
        <w:r w:rsidRPr="0040304C">
          <w:rPr>
            <w:rStyle w:val="Hyperlink"/>
            <w:rFonts w:cstheme="minorBidi"/>
            <w:lang w:val="en-AU"/>
          </w:rPr>
          <w:t>www.adb.org</w:t>
        </w:r>
      </w:hyperlink>
      <w:r>
        <w:rPr>
          <w:lang w:val="en-AU"/>
        </w:rPr>
        <w:t xml:space="preserve"> accessed August 2016.</w:t>
      </w:r>
    </w:p>
  </w:footnote>
  <w:footnote w:id="8">
    <w:p w:rsidR="00B80664" w:rsidRPr="00B6769E" w:rsidRDefault="00B80664">
      <w:pPr>
        <w:pStyle w:val="FootnoteText"/>
        <w:rPr>
          <w:lang w:val="en-AU"/>
        </w:rPr>
      </w:pPr>
      <w:r>
        <w:rPr>
          <w:rStyle w:val="FootnoteReference"/>
        </w:rPr>
        <w:footnoteRef/>
      </w:r>
      <w:r>
        <w:t xml:space="preserve"> Department of Foreign Affairs and Trade, </w:t>
      </w:r>
      <w:r w:rsidRPr="00B6769E">
        <w:rPr>
          <w:i/>
        </w:rPr>
        <w:t>A new direction for Australian aid in PNG</w:t>
      </w:r>
      <w:r>
        <w:t xml:space="preserve">, </w:t>
      </w:r>
      <w:hyperlink r:id="rId5" w:history="1">
        <w:r w:rsidRPr="0040304C">
          <w:rPr>
            <w:rStyle w:val="Hyperlink"/>
            <w:rFonts w:cstheme="minorBidi"/>
          </w:rPr>
          <w:t>www.dfat.gov.au</w:t>
        </w:r>
      </w:hyperlink>
      <w:r>
        <w:t xml:space="preserve"> accessed August 2016.</w:t>
      </w:r>
    </w:p>
  </w:footnote>
  <w:footnote w:id="9">
    <w:p w:rsidR="00B80664" w:rsidRPr="00B6769E" w:rsidRDefault="00B80664">
      <w:pPr>
        <w:pStyle w:val="FootnoteText"/>
        <w:rPr>
          <w:lang w:val="en-AU"/>
        </w:rPr>
      </w:pPr>
      <w:r>
        <w:rPr>
          <w:rStyle w:val="FootnoteReference"/>
        </w:rPr>
        <w:footnoteRef/>
      </w:r>
      <w:r>
        <w:t xml:space="preserve"> </w:t>
      </w:r>
      <w:r>
        <w:rPr>
          <w:lang w:val="en-AU"/>
        </w:rPr>
        <w:t xml:space="preserve">UNDP, </w:t>
      </w:r>
      <w:r w:rsidRPr="001F0CE8">
        <w:rPr>
          <w:lang w:val="en-AU"/>
        </w:rPr>
        <w:t>Papua New G</w:t>
      </w:r>
      <w:r>
        <w:rPr>
          <w:lang w:val="en-AU"/>
        </w:rPr>
        <w:t xml:space="preserve">uinea: Phones against corruption, </w:t>
      </w:r>
      <w:hyperlink r:id="rId6" w:history="1">
        <w:r w:rsidRPr="0040304C">
          <w:rPr>
            <w:rStyle w:val="Hyperlink"/>
            <w:rFonts w:cstheme="minorBidi"/>
            <w:lang w:val="en-AU"/>
          </w:rPr>
          <w:t>www.asia-pacific.undp.org</w:t>
        </w:r>
      </w:hyperlink>
      <w:r>
        <w:rPr>
          <w:lang w:val="en-AU"/>
        </w:rPr>
        <w:t xml:space="preserve"> accessed August 2016.</w:t>
      </w:r>
    </w:p>
  </w:footnote>
  <w:footnote w:id="10">
    <w:p w:rsidR="00B80664" w:rsidRDefault="00B80664" w:rsidP="00C26172">
      <w:pPr>
        <w:pStyle w:val="FootnoteText"/>
      </w:pPr>
      <w:r>
        <w:rPr>
          <w:rStyle w:val="FootnoteReference"/>
        </w:rPr>
        <w:footnoteRef/>
      </w:r>
      <w:r>
        <w:t xml:space="preserve"> The decline could also be attributed to more rigorous contestation of results in the AQC process this year.</w:t>
      </w:r>
    </w:p>
    <w:p w:rsidR="00B80664" w:rsidRPr="00C26172" w:rsidRDefault="00B80664">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64" w:rsidRDefault="00B80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64" w:rsidRPr="00333501" w:rsidRDefault="00B80664" w:rsidP="008F56A8">
    <w:pPr>
      <w:pStyle w:val="Header"/>
      <w:jc w:val="left"/>
    </w:pPr>
    <w:r>
      <w:rPr>
        <w:noProof/>
        <w:lang w:val="en-AU" w:eastAsia="en-AU"/>
      </w:rPr>
      <w:drawing>
        <wp:anchor distT="0" distB="0" distL="114300" distR="114300" simplePos="0" relativeHeight="251681792" behindDoc="1" locked="1" layoutInCell="1" allowOverlap="1" wp14:anchorId="33CD281D" wp14:editId="6088AC36">
          <wp:simplePos x="0" y="0"/>
          <wp:positionH relativeFrom="page">
            <wp:posOffset>7620</wp:posOffset>
          </wp:positionH>
          <wp:positionV relativeFrom="page">
            <wp:posOffset>55880</wp:posOffset>
          </wp:positionV>
          <wp:extent cx="7545705" cy="107022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64" w:rsidRDefault="00B806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64" w:rsidRPr="00333501" w:rsidRDefault="00B80664" w:rsidP="008F56A8">
    <w:pPr>
      <w:pStyle w:val="Header"/>
      <w:jc w:val="left"/>
    </w:pPr>
    <w:r>
      <w:rPr>
        <w:noProof/>
        <w:lang w:val="en-AU" w:eastAsia="en-AU"/>
      </w:rPr>
      <w:drawing>
        <wp:anchor distT="0" distB="0" distL="114300" distR="114300" simplePos="0" relativeHeight="251683840" behindDoc="1" locked="1" layoutInCell="1" allowOverlap="1" wp14:anchorId="7294F44F" wp14:editId="576D7C53">
          <wp:simplePos x="0" y="0"/>
          <wp:positionH relativeFrom="page">
            <wp:posOffset>7620</wp:posOffset>
          </wp:positionH>
          <wp:positionV relativeFrom="page">
            <wp:posOffset>57785</wp:posOffset>
          </wp:positionV>
          <wp:extent cx="10800000" cy="7560000"/>
          <wp:effectExtent l="0" t="0" r="1905" b="317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13C3961"/>
    <w:multiLevelType w:val="hybridMultilevel"/>
    <w:tmpl w:val="E63E5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CE5F91"/>
    <w:multiLevelType w:val="hybridMultilevel"/>
    <w:tmpl w:val="142E9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FBB52C5"/>
    <w:multiLevelType w:val="hybridMultilevel"/>
    <w:tmpl w:val="13B6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EB7FCC"/>
    <w:multiLevelType w:val="hybridMultilevel"/>
    <w:tmpl w:val="13FE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4D502E"/>
    <w:multiLevelType w:val="hybridMultilevel"/>
    <w:tmpl w:val="5DE46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4413C"/>
    <w:multiLevelType w:val="hybridMultilevel"/>
    <w:tmpl w:val="B01EF3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9B541A"/>
    <w:multiLevelType w:val="hybridMultilevel"/>
    <w:tmpl w:val="4D1A5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11037E"/>
    <w:multiLevelType w:val="hybridMultilevel"/>
    <w:tmpl w:val="73D06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D6642E"/>
    <w:multiLevelType w:val="hybridMultilevel"/>
    <w:tmpl w:val="01160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EA5D6E"/>
    <w:multiLevelType w:val="hybridMultilevel"/>
    <w:tmpl w:val="297A7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D3C1EA7"/>
    <w:multiLevelType w:val="multilevel"/>
    <w:tmpl w:val="43428892"/>
    <w:numStyleLink w:val="BulletsList"/>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E3A0F87"/>
    <w:multiLevelType w:val="singleLevel"/>
    <w:tmpl w:val="D00AC34A"/>
    <w:lvl w:ilvl="0">
      <w:start w:val="1"/>
      <w:numFmt w:val="decimal"/>
      <w:pStyle w:val="AfterFirstPara"/>
      <w:lvlText w:val="%1."/>
      <w:lvlJc w:val="left"/>
      <w:pPr>
        <w:tabs>
          <w:tab w:val="num" w:pos="567"/>
        </w:tabs>
        <w:ind w:left="0" w:firstLine="0"/>
      </w:pPr>
    </w:lvl>
  </w:abstractNum>
  <w:abstractNum w:abstractNumId="31" w15:restartNumberingAfterBreak="0">
    <w:nsid w:val="5E4B285B"/>
    <w:multiLevelType w:val="hybridMultilevel"/>
    <w:tmpl w:val="EF2CF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C00AC0"/>
    <w:multiLevelType w:val="hybridMultilevel"/>
    <w:tmpl w:val="1DB03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F7467F"/>
    <w:multiLevelType w:val="hybridMultilevel"/>
    <w:tmpl w:val="6E00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815D24"/>
    <w:multiLevelType w:val="hybridMultilevel"/>
    <w:tmpl w:val="EE30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7"/>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15"/>
  </w:num>
  <w:num w:numId="23">
    <w:abstractNumId w:val="15"/>
  </w:num>
  <w:num w:numId="24">
    <w:abstractNumId w:val="28"/>
  </w:num>
  <w:num w:numId="25">
    <w:abstractNumId w:val="28"/>
  </w:num>
  <w:num w:numId="26">
    <w:abstractNumId w:val="28"/>
  </w:num>
  <w:num w:numId="27">
    <w:abstractNumId w:val="27"/>
  </w:num>
  <w:num w:numId="28">
    <w:abstractNumId w:val="10"/>
  </w:num>
  <w:num w:numId="29">
    <w:abstractNumId w:val="10"/>
  </w:num>
  <w:num w:numId="30">
    <w:abstractNumId w:val="10"/>
  </w:num>
  <w:num w:numId="31">
    <w:abstractNumId w:val="18"/>
  </w:num>
  <w:num w:numId="32">
    <w:abstractNumId w:val="26"/>
  </w:num>
  <w:num w:numId="33">
    <w:abstractNumId w:val="35"/>
  </w:num>
  <w:num w:numId="34">
    <w:abstractNumId w:val="22"/>
  </w:num>
  <w:num w:numId="35">
    <w:abstractNumId w:val="12"/>
  </w:num>
  <w:num w:numId="36">
    <w:abstractNumId w:val="33"/>
  </w:num>
  <w:num w:numId="37">
    <w:abstractNumId w:val="14"/>
  </w:num>
  <w:num w:numId="38">
    <w:abstractNumId w:val="25"/>
  </w:num>
  <w:num w:numId="39">
    <w:abstractNumId w:val="32"/>
  </w:num>
  <w:num w:numId="40">
    <w:abstractNumId w:val="17"/>
  </w:num>
  <w:num w:numId="41">
    <w:abstractNumId w:val="21"/>
  </w:num>
  <w:num w:numId="42">
    <w:abstractNumId w:val="24"/>
  </w:num>
  <w:num w:numId="43">
    <w:abstractNumId w:val="13"/>
  </w:num>
  <w:num w:numId="44">
    <w:abstractNumId w:val="20"/>
  </w:num>
  <w:num w:numId="45">
    <w:abstractNumId w:val="30"/>
    <w:lvlOverride w:ilvl="0">
      <w:startOverride w:val="1"/>
    </w:lvlOverride>
  </w:num>
  <w:num w:numId="46">
    <w:abstractNumId w:val="36"/>
  </w:num>
  <w:num w:numId="47">
    <w:abstractNumId w:val="16"/>
  </w:num>
  <w:num w:numId="48">
    <w:abstractNumId w:val="31"/>
  </w:num>
  <w:num w:numId="49">
    <w:abstractNumId w:val="19"/>
  </w:num>
  <w:num w:numId="50">
    <w:abstractNumId w:val="23"/>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5CF6"/>
    <w:rsid w:val="000060EF"/>
    <w:rsid w:val="00015316"/>
    <w:rsid w:val="00016615"/>
    <w:rsid w:val="0002080A"/>
    <w:rsid w:val="0002291B"/>
    <w:rsid w:val="00022F3D"/>
    <w:rsid w:val="00024E21"/>
    <w:rsid w:val="0002782F"/>
    <w:rsid w:val="00027E24"/>
    <w:rsid w:val="00031512"/>
    <w:rsid w:val="00041BD9"/>
    <w:rsid w:val="000444D0"/>
    <w:rsid w:val="00047C83"/>
    <w:rsid w:val="00053903"/>
    <w:rsid w:val="00054E4D"/>
    <w:rsid w:val="00055026"/>
    <w:rsid w:val="00060073"/>
    <w:rsid w:val="00060268"/>
    <w:rsid w:val="00064FB6"/>
    <w:rsid w:val="00065B59"/>
    <w:rsid w:val="000712F2"/>
    <w:rsid w:val="000742BA"/>
    <w:rsid w:val="00075606"/>
    <w:rsid w:val="0007732D"/>
    <w:rsid w:val="00077CB3"/>
    <w:rsid w:val="00080F54"/>
    <w:rsid w:val="000814E8"/>
    <w:rsid w:val="000836F7"/>
    <w:rsid w:val="00084148"/>
    <w:rsid w:val="00084483"/>
    <w:rsid w:val="000845DB"/>
    <w:rsid w:val="0008710C"/>
    <w:rsid w:val="00087948"/>
    <w:rsid w:val="000879D0"/>
    <w:rsid w:val="000A1C89"/>
    <w:rsid w:val="000A4678"/>
    <w:rsid w:val="000A4E0D"/>
    <w:rsid w:val="000A5CB9"/>
    <w:rsid w:val="000A5F95"/>
    <w:rsid w:val="000A78AB"/>
    <w:rsid w:val="000B2066"/>
    <w:rsid w:val="000B3312"/>
    <w:rsid w:val="000B3524"/>
    <w:rsid w:val="000B62C6"/>
    <w:rsid w:val="000B718F"/>
    <w:rsid w:val="000B73A9"/>
    <w:rsid w:val="000B78EB"/>
    <w:rsid w:val="000C6913"/>
    <w:rsid w:val="000D142C"/>
    <w:rsid w:val="000D66D6"/>
    <w:rsid w:val="000E090E"/>
    <w:rsid w:val="000E314A"/>
    <w:rsid w:val="000E3C52"/>
    <w:rsid w:val="000E527C"/>
    <w:rsid w:val="000E5504"/>
    <w:rsid w:val="000E5909"/>
    <w:rsid w:val="000E6CD5"/>
    <w:rsid w:val="000F2453"/>
    <w:rsid w:val="00101C75"/>
    <w:rsid w:val="00102F68"/>
    <w:rsid w:val="00103BEB"/>
    <w:rsid w:val="0010576B"/>
    <w:rsid w:val="00106ABA"/>
    <w:rsid w:val="001110F5"/>
    <w:rsid w:val="00116A68"/>
    <w:rsid w:val="00117227"/>
    <w:rsid w:val="0012164D"/>
    <w:rsid w:val="00122135"/>
    <w:rsid w:val="00126651"/>
    <w:rsid w:val="00130FF1"/>
    <w:rsid w:val="0014247A"/>
    <w:rsid w:val="00147106"/>
    <w:rsid w:val="00147441"/>
    <w:rsid w:val="001541EA"/>
    <w:rsid w:val="00154377"/>
    <w:rsid w:val="00154431"/>
    <w:rsid w:val="001565C2"/>
    <w:rsid w:val="00156BFA"/>
    <w:rsid w:val="00160884"/>
    <w:rsid w:val="00163AEE"/>
    <w:rsid w:val="00164DFC"/>
    <w:rsid w:val="00173F3A"/>
    <w:rsid w:val="001752D5"/>
    <w:rsid w:val="00176C2F"/>
    <w:rsid w:val="0018148A"/>
    <w:rsid w:val="00187006"/>
    <w:rsid w:val="0019266D"/>
    <w:rsid w:val="001960D1"/>
    <w:rsid w:val="00196783"/>
    <w:rsid w:val="001A10FD"/>
    <w:rsid w:val="001A2179"/>
    <w:rsid w:val="001A4973"/>
    <w:rsid w:val="001A7D42"/>
    <w:rsid w:val="001B1266"/>
    <w:rsid w:val="001B1A42"/>
    <w:rsid w:val="001B1F1E"/>
    <w:rsid w:val="001B5879"/>
    <w:rsid w:val="001C0A6F"/>
    <w:rsid w:val="001C1060"/>
    <w:rsid w:val="001C3020"/>
    <w:rsid w:val="001D2DD9"/>
    <w:rsid w:val="001D4B7D"/>
    <w:rsid w:val="001D4D8D"/>
    <w:rsid w:val="001D663E"/>
    <w:rsid w:val="001E0E7B"/>
    <w:rsid w:val="001E1DC0"/>
    <w:rsid w:val="001E4CF2"/>
    <w:rsid w:val="001F0CE8"/>
    <w:rsid w:val="001F0D6D"/>
    <w:rsid w:val="001F22C9"/>
    <w:rsid w:val="001F404E"/>
    <w:rsid w:val="001F4226"/>
    <w:rsid w:val="001F5C0F"/>
    <w:rsid w:val="001F759C"/>
    <w:rsid w:val="002066A0"/>
    <w:rsid w:val="00210F5C"/>
    <w:rsid w:val="00213A16"/>
    <w:rsid w:val="00215195"/>
    <w:rsid w:val="00234423"/>
    <w:rsid w:val="00236A53"/>
    <w:rsid w:val="00250CAE"/>
    <w:rsid w:val="0026143B"/>
    <w:rsid w:val="002617C3"/>
    <w:rsid w:val="0026318C"/>
    <w:rsid w:val="00263813"/>
    <w:rsid w:val="00265068"/>
    <w:rsid w:val="00266B4B"/>
    <w:rsid w:val="00273DD5"/>
    <w:rsid w:val="00273EDA"/>
    <w:rsid w:val="00275DB7"/>
    <w:rsid w:val="00282766"/>
    <w:rsid w:val="00284957"/>
    <w:rsid w:val="00285150"/>
    <w:rsid w:val="0028602A"/>
    <w:rsid w:val="002861E8"/>
    <w:rsid w:val="00292408"/>
    <w:rsid w:val="0029295C"/>
    <w:rsid w:val="00293AA8"/>
    <w:rsid w:val="002952EE"/>
    <w:rsid w:val="002A0004"/>
    <w:rsid w:val="002A17F6"/>
    <w:rsid w:val="002A2D1A"/>
    <w:rsid w:val="002A441B"/>
    <w:rsid w:val="002A51CA"/>
    <w:rsid w:val="002B3E95"/>
    <w:rsid w:val="002B46BE"/>
    <w:rsid w:val="002B4FEF"/>
    <w:rsid w:val="002B5E10"/>
    <w:rsid w:val="002C5FA3"/>
    <w:rsid w:val="002D3D79"/>
    <w:rsid w:val="002D62E7"/>
    <w:rsid w:val="002D7C0A"/>
    <w:rsid w:val="002E3B0C"/>
    <w:rsid w:val="002E5851"/>
    <w:rsid w:val="002F072E"/>
    <w:rsid w:val="002F1075"/>
    <w:rsid w:val="002F22EE"/>
    <w:rsid w:val="002F5AC0"/>
    <w:rsid w:val="002F748C"/>
    <w:rsid w:val="002F77ED"/>
    <w:rsid w:val="003002C0"/>
    <w:rsid w:val="00301144"/>
    <w:rsid w:val="00302A14"/>
    <w:rsid w:val="003058BF"/>
    <w:rsid w:val="003115CA"/>
    <w:rsid w:val="00312899"/>
    <w:rsid w:val="00313900"/>
    <w:rsid w:val="003148B7"/>
    <w:rsid w:val="003158C3"/>
    <w:rsid w:val="003212BD"/>
    <w:rsid w:val="003218DA"/>
    <w:rsid w:val="00322799"/>
    <w:rsid w:val="00326FBF"/>
    <w:rsid w:val="003274CD"/>
    <w:rsid w:val="0033145E"/>
    <w:rsid w:val="00331474"/>
    <w:rsid w:val="003319E8"/>
    <w:rsid w:val="00333501"/>
    <w:rsid w:val="0033733C"/>
    <w:rsid w:val="003457C4"/>
    <w:rsid w:val="00346213"/>
    <w:rsid w:val="0035119D"/>
    <w:rsid w:val="0035271F"/>
    <w:rsid w:val="00353BE8"/>
    <w:rsid w:val="00363478"/>
    <w:rsid w:val="0037066E"/>
    <w:rsid w:val="00370710"/>
    <w:rsid w:val="00372BA2"/>
    <w:rsid w:val="00373FA3"/>
    <w:rsid w:val="003745D8"/>
    <w:rsid w:val="00381C0C"/>
    <w:rsid w:val="00383E31"/>
    <w:rsid w:val="00390DCA"/>
    <w:rsid w:val="003977BF"/>
    <w:rsid w:val="003A7E52"/>
    <w:rsid w:val="003B0793"/>
    <w:rsid w:val="003B2AE9"/>
    <w:rsid w:val="003B2C82"/>
    <w:rsid w:val="003B4F12"/>
    <w:rsid w:val="003B561E"/>
    <w:rsid w:val="003B73BA"/>
    <w:rsid w:val="003B7990"/>
    <w:rsid w:val="003C017B"/>
    <w:rsid w:val="003C1BF4"/>
    <w:rsid w:val="003C1BFA"/>
    <w:rsid w:val="003D1C4F"/>
    <w:rsid w:val="003D352D"/>
    <w:rsid w:val="003D3F7C"/>
    <w:rsid w:val="003D636E"/>
    <w:rsid w:val="003E115F"/>
    <w:rsid w:val="003E11D5"/>
    <w:rsid w:val="003E2519"/>
    <w:rsid w:val="003F0805"/>
    <w:rsid w:val="003F40D8"/>
    <w:rsid w:val="003F52DD"/>
    <w:rsid w:val="003F59F6"/>
    <w:rsid w:val="003F759C"/>
    <w:rsid w:val="00400B0F"/>
    <w:rsid w:val="00401BA0"/>
    <w:rsid w:val="004027D7"/>
    <w:rsid w:val="00402ACC"/>
    <w:rsid w:val="00407B26"/>
    <w:rsid w:val="004120EC"/>
    <w:rsid w:val="00416F3F"/>
    <w:rsid w:val="004175C2"/>
    <w:rsid w:val="00421BF3"/>
    <w:rsid w:val="00423E2F"/>
    <w:rsid w:val="00423F31"/>
    <w:rsid w:val="004241B1"/>
    <w:rsid w:val="004251D1"/>
    <w:rsid w:val="00426227"/>
    <w:rsid w:val="00426FB9"/>
    <w:rsid w:val="004279BB"/>
    <w:rsid w:val="00431899"/>
    <w:rsid w:val="00431C48"/>
    <w:rsid w:val="00435C76"/>
    <w:rsid w:val="00435E81"/>
    <w:rsid w:val="00441D7F"/>
    <w:rsid w:val="004439F1"/>
    <w:rsid w:val="004458EE"/>
    <w:rsid w:val="00445E3E"/>
    <w:rsid w:val="00446CF8"/>
    <w:rsid w:val="00447962"/>
    <w:rsid w:val="00452254"/>
    <w:rsid w:val="00455A73"/>
    <w:rsid w:val="00456B72"/>
    <w:rsid w:val="0046001E"/>
    <w:rsid w:val="00463CDB"/>
    <w:rsid w:val="0046409F"/>
    <w:rsid w:val="0046764C"/>
    <w:rsid w:val="00473A94"/>
    <w:rsid w:val="00474D68"/>
    <w:rsid w:val="00482536"/>
    <w:rsid w:val="00484E31"/>
    <w:rsid w:val="00486804"/>
    <w:rsid w:val="0049093C"/>
    <w:rsid w:val="00491F4B"/>
    <w:rsid w:val="00496BCB"/>
    <w:rsid w:val="004977A1"/>
    <w:rsid w:val="004A64C8"/>
    <w:rsid w:val="004A745B"/>
    <w:rsid w:val="004B06EE"/>
    <w:rsid w:val="004B2B1E"/>
    <w:rsid w:val="004B3775"/>
    <w:rsid w:val="004B553C"/>
    <w:rsid w:val="004C7929"/>
    <w:rsid w:val="004D0580"/>
    <w:rsid w:val="004D059F"/>
    <w:rsid w:val="004D0BA0"/>
    <w:rsid w:val="004D387E"/>
    <w:rsid w:val="004D658E"/>
    <w:rsid w:val="004E0264"/>
    <w:rsid w:val="004E058F"/>
    <w:rsid w:val="004E3B87"/>
    <w:rsid w:val="004E5FEB"/>
    <w:rsid w:val="004E659E"/>
    <w:rsid w:val="004E7C10"/>
    <w:rsid w:val="004F022A"/>
    <w:rsid w:val="004F2F3A"/>
    <w:rsid w:val="004F559F"/>
    <w:rsid w:val="004F6ED3"/>
    <w:rsid w:val="00503BD5"/>
    <w:rsid w:val="00503CA2"/>
    <w:rsid w:val="005075C7"/>
    <w:rsid w:val="00510921"/>
    <w:rsid w:val="00510AD3"/>
    <w:rsid w:val="005131BC"/>
    <w:rsid w:val="00513348"/>
    <w:rsid w:val="00514F9E"/>
    <w:rsid w:val="00523465"/>
    <w:rsid w:val="005247F2"/>
    <w:rsid w:val="005248F7"/>
    <w:rsid w:val="005249D1"/>
    <w:rsid w:val="00524A2E"/>
    <w:rsid w:val="00526A54"/>
    <w:rsid w:val="0053397D"/>
    <w:rsid w:val="00533B5D"/>
    <w:rsid w:val="00537818"/>
    <w:rsid w:val="00546FCC"/>
    <w:rsid w:val="005504EA"/>
    <w:rsid w:val="005506F5"/>
    <w:rsid w:val="005511BF"/>
    <w:rsid w:val="00553FDF"/>
    <w:rsid w:val="005662C7"/>
    <w:rsid w:val="00570D75"/>
    <w:rsid w:val="00573152"/>
    <w:rsid w:val="00574895"/>
    <w:rsid w:val="00574ABD"/>
    <w:rsid w:val="00576B57"/>
    <w:rsid w:val="005804BE"/>
    <w:rsid w:val="005806EC"/>
    <w:rsid w:val="00584EDF"/>
    <w:rsid w:val="00585C15"/>
    <w:rsid w:val="00587092"/>
    <w:rsid w:val="005912ED"/>
    <w:rsid w:val="0059146A"/>
    <w:rsid w:val="00597511"/>
    <w:rsid w:val="005A2107"/>
    <w:rsid w:val="005A2394"/>
    <w:rsid w:val="005A735B"/>
    <w:rsid w:val="005A7D63"/>
    <w:rsid w:val="005A7FFE"/>
    <w:rsid w:val="005B3192"/>
    <w:rsid w:val="005B5769"/>
    <w:rsid w:val="005B6A6C"/>
    <w:rsid w:val="005B7050"/>
    <w:rsid w:val="005C044B"/>
    <w:rsid w:val="005C0653"/>
    <w:rsid w:val="005C1529"/>
    <w:rsid w:val="005C635F"/>
    <w:rsid w:val="005D3655"/>
    <w:rsid w:val="005D5622"/>
    <w:rsid w:val="005E5CC1"/>
    <w:rsid w:val="005E606B"/>
    <w:rsid w:val="005F058E"/>
    <w:rsid w:val="005F0D8F"/>
    <w:rsid w:val="005F59A6"/>
    <w:rsid w:val="005F7C5C"/>
    <w:rsid w:val="006056E5"/>
    <w:rsid w:val="00605FD0"/>
    <w:rsid w:val="00612AC8"/>
    <w:rsid w:val="0061444B"/>
    <w:rsid w:val="00621314"/>
    <w:rsid w:val="00621914"/>
    <w:rsid w:val="00623BA1"/>
    <w:rsid w:val="006346BC"/>
    <w:rsid w:val="00637DE6"/>
    <w:rsid w:val="006422A1"/>
    <w:rsid w:val="00643430"/>
    <w:rsid w:val="00646412"/>
    <w:rsid w:val="00650109"/>
    <w:rsid w:val="0065227A"/>
    <w:rsid w:val="00652CE8"/>
    <w:rsid w:val="00656F0A"/>
    <w:rsid w:val="00663E3B"/>
    <w:rsid w:val="0066652A"/>
    <w:rsid w:val="00666781"/>
    <w:rsid w:val="00666FF5"/>
    <w:rsid w:val="0067220B"/>
    <w:rsid w:val="00673AFB"/>
    <w:rsid w:val="0067406F"/>
    <w:rsid w:val="00675E4C"/>
    <w:rsid w:val="00680522"/>
    <w:rsid w:val="00681F08"/>
    <w:rsid w:val="00682167"/>
    <w:rsid w:val="00683185"/>
    <w:rsid w:val="00686DD4"/>
    <w:rsid w:val="0069206D"/>
    <w:rsid w:val="00692C40"/>
    <w:rsid w:val="00692D9B"/>
    <w:rsid w:val="0069377C"/>
    <w:rsid w:val="006A7764"/>
    <w:rsid w:val="006A7A17"/>
    <w:rsid w:val="006B40D7"/>
    <w:rsid w:val="006C0452"/>
    <w:rsid w:val="006C0A1C"/>
    <w:rsid w:val="006C1F5E"/>
    <w:rsid w:val="006C42AF"/>
    <w:rsid w:val="006C7117"/>
    <w:rsid w:val="006D143B"/>
    <w:rsid w:val="006D152D"/>
    <w:rsid w:val="006D37A8"/>
    <w:rsid w:val="006D57D5"/>
    <w:rsid w:val="006D6E7F"/>
    <w:rsid w:val="006E5106"/>
    <w:rsid w:val="006E53F8"/>
    <w:rsid w:val="006E6D92"/>
    <w:rsid w:val="006E770B"/>
    <w:rsid w:val="006F1C24"/>
    <w:rsid w:val="006F27B1"/>
    <w:rsid w:val="006F709F"/>
    <w:rsid w:val="00700A18"/>
    <w:rsid w:val="00704BA1"/>
    <w:rsid w:val="00706D4F"/>
    <w:rsid w:val="00711D8E"/>
    <w:rsid w:val="00711FCD"/>
    <w:rsid w:val="00712672"/>
    <w:rsid w:val="007153AC"/>
    <w:rsid w:val="00716C9B"/>
    <w:rsid w:val="007219C9"/>
    <w:rsid w:val="00723095"/>
    <w:rsid w:val="00734482"/>
    <w:rsid w:val="00734E3F"/>
    <w:rsid w:val="00735E75"/>
    <w:rsid w:val="00736985"/>
    <w:rsid w:val="00740D13"/>
    <w:rsid w:val="007452E6"/>
    <w:rsid w:val="00745DF5"/>
    <w:rsid w:val="00762179"/>
    <w:rsid w:val="0076250F"/>
    <w:rsid w:val="007628B0"/>
    <w:rsid w:val="00766316"/>
    <w:rsid w:val="00767CB6"/>
    <w:rsid w:val="00771B53"/>
    <w:rsid w:val="00784031"/>
    <w:rsid w:val="00785F55"/>
    <w:rsid w:val="00786290"/>
    <w:rsid w:val="00786BD1"/>
    <w:rsid w:val="00795470"/>
    <w:rsid w:val="00795D62"/>
    <w:rsid w:val="007A2257"/>
    <w:rsid w:val="007A4F65"/>
    <w:rsid w:val="007B3294"/>
    <w:rsid w:val="007B3976"/>
    <w:rsid w:val="007B3F01"/>
    <w:rsid w:val="007B4473"/>
    <w:rsid w:val="007B6200"/>
    <w:rsid w:val="007C2C70"/>
    <w:rsid w:val="007D62EB"/>
    <w:rsid w:val="007E200C"/>
    <w:rsid w:val="007E3858"/>
    <w:rsid w:val="007F16F5"/>
    <w:rsid w:val="007F3395"/>
    <w:rsid w:val="00800FAC"/>
    <w:rsid w:val="00801473"/>
    <w:rsid w:val="00801B9F"/>
    <w:rsid w:val="008036DC"/>
    <w:rsid w:val="00803879"/>
    <w:rsid w:val="008057FD"/>
    <w:rsid w:val="00820857"/>
    <w:rsid w:val="00825A0B"/>
    <w:rsid w:val="008262D5"/>
    <w:rsid w:val="00832C0D"/>
    <w:rsid w:val="00833E98"/>
    <w:rsid w:val="00840A35"/>
    <w:rsid w:val="00840FBF"/>
    <w:rsid w:val="00844408"/>
    <w:rsid w:val="008463E0"/>
    <w:rsid w:val="00847556"/>
    <w:rsid w:val="008475F0"/>
    <w:rsid w:val="008477B2"/>
    <w:rsid w:val="00847C98"/>
    <w:rsid w:val="00847EDF"/>
    <w:rsid w:val="00847F6F"/>
    <w:rsid w:val="00852EC3"/>
    <w:rsid w:val="008609CD"/>
    <w:rsid w:val="00861259"/>
    <w:rsid w:val="00864210"/>
    <w:rsid w:val="00864A81"/>
    <w:rsid w:val="00866F51"/>
    <w:rsid w:val="0087069D"/>
    <w:rsid w:val="0087168E"/>
    <w:rsid w:val="008738EA"/>
    <w:rsid w:val="00880685"/>
    <w:rsid w:val="008816E5"/>
    <w:rsid w:val="00884510"/>
    <w:rsid w:val="00886D17"/>
    <w:rsid w:val="00886EDC"/>
    <w:rsid w:val="00891077"/>
    <w:rsid w:val="00891183"/>
    <w:rsid w:val="00891AFB"/>
    <w:rsid w:val="00892571"/>
    <w:rsid w:val="00892977"/>
    <w:rsid w:val="00896918"/>
    <w:rsid w:val="008A5A17"/>
    <w:rsid w:val="008A5AFE"/>
    <w:rsid w:val="008A61A7"/>
    <w:rsid w:val="008A7EC1"/>
    <w:rsid w:val="008B0135"/>
    <w:rsid w:val="008B0D1B"/>
    <w:rsid w:val="008B0E9E"/>
    <w:rsid w:val="008B59F4"/>
    <w:rsid w:val="008B68D7"/>
    <w:rsid w:val="008C00E1"/>
    <w:rsid w:val="008C0B8E"/>
    <w:rsid w:val="008C1441"/>
    <w:rsid w:val="008C2F58"/>
    <w:rsid w:val="008C3B44"/>
    <w:rsid w:val="008C5A0E"/>
    <w:rsid w:val="008C5DE0"/>
    <w:rsid w:val="008D09F0"/>
    <w:rsid w:val="008D24C1"/>
    <w:rsid w:val="008E375F"/>
    <w:rsid w:val="008F047B"/>
    <w:rsid w:val="008F291D"/>
    <w:rsid w:val="008F56A8"/>
    <w:rsid w:val="008F5DF1"/>
    <w:rsid w:val="008F703A"/>
    <w:rsid w:val="008F7CC9"/>
    <w:rsid w:val="009027B5"/>
    <w:rsid w:val="009073F6"/>
    <w:rsid w:val="00913869"/>
    <w:rsid w:val="00913B54"/>
    <w:rsid w:val="00917635"/>
    <w:rsid w:val="0092783C"/>
    <w:rsid w:val="009323ED"/>
    <w:rsid w:val="00935000"/>
    <w:rsid w:val="00936377"/>
    <w:rsid w:val="0093660E"/>
    <w:rsid w:val="00944DAD"/>
    <w:rsid w:val="00945BC8"/>
    <w:rsid w:val="00952770"/>
    <w:rsid w:val="009624E6"/>
    <w:rsid w:val="009644BC"/>
    <w:rsid w:val="00964BB5"/>
    <w:rsid w:val="00964DFB"/>
    <w:rsid w:val="00974CBD"/>
    <w:rsid w:val="0097648B"/>
    <w:rsid w:val="00977D82"/>
    <w:rsid w:val="00977D91"/>
    <w:rsid w:val="009803C7"/>
    <w:rsid w:val="009903F3"/>
    <w:rsid w:val="00991C83"/>
    <w:rsid w:val="00992190"/>
    <w:rsid w:val="00992C76"/>
    <w:rsid w:val="009946C7"/>
    <w:rsid w:val="00997DC9"/>
    <w:rsid w:val="009A0EE1"/>
    <w:rsid w:val="009A3109"/>
    <w:rsid w:val="009A498A"/>
    <w:rsid w:val="009A504A"/>
    <w:rsid w:val="009B14F6"/>
    <w:rsid w:val="009B4D3B"/>
    <w:rsid w:val="009B640F"/>
    <w:rsid w:val="009C1AB8"/>
    <w:rsid w:val="009C4A3E"/>
    <w:rsid w:val="009C56DF"/>
    <w:rsid w:val="009C6911"/>
    <w:rsid w:val="009D3729"/>
    <w:rsid w:val="009D7407"/>
    <w:rsid w:val="009E0866"/>
    <w:rsid w:val="009E6A57"/>
    <w:rsid w:val="009F1F48"/>
    <w:rsid w:val="009F2572"/>
    <w:rsid w:val="009F4085"/>
    <w:rsid w:val="009F5022"/>
    <w:rsid w:val="009F5488"/>
    <w:rsid w:val="009F6423"/>
    <w:rsid w:val="00A00265"/>
    <w:rsid w:val="00A10635"/>
    <w:rsid w:val="00A1142A"/>
    <w:rsid w:val="00A133CD"/>
    <w:rsid w:val="00A16B42"/>
    <w:rsid w:val="00A177E0"/>
    <w:rsid w:val="00A20D75"/>
    <w:rsid w:val="00A21D61"/>
    <w:rsid w:val="00A22624"/>
    <w:rsid w:val="00A23DC4"/>
    <w:rsid w:val="00A24A62"/>
    <w:rsid w:val="00A24AB6"/>
    <w:rsid w:val="00A31C9F"/>
    <w:rsid w:val="00A3568F"/>
    <w:rsid w:val="00A41253"/>
    <w:rsid w:val="00A4144F"/>
    <w:rsid w:val="00A427C6"/>
    <w:rsid w:val="00A429FF"/>
    <w:rsid w:val="00A43693"/>
    <w:rsid w:val="00A53F0D"/>
    <w:rsid w:val="00A56A20"/>
    <w:rsid w:val="00A56F14"/>
    <w:rsid w:val="00A63C49"/>
    <w:rsid w:val="00A67503"/>
    <w:rsid w:val="00A67FA8"/>
    <w:rsid w:val="00A71BC6"/>
    <w:rsid w:val="00A73FE4"/>
    <w:rsid w:val="00A77175"/>
    <w:rsid w:val="00A80F95"/>
    <w:rsid w:val="00A8197B"/>
    <w:rsid w:val="00A86FB2"/>
    <w:rsid w:val="00A87A6D"/>
    <w:rsid w:val="00A94A84"/>
    <w:rsid w:val="00A96692"/>
    <w:rsid w:val="00AA1AAF"/>
    <w:rsid w:val="00AA4B2F"/>
    <w:rsid w:val="00AA4BC8"/>
    <w:rsid w:val="00AA63C7"/>
    <w:rsid w:val="00AA7BE3"/>
    <w:rsid w:val="00AA7C80"/>
    <w:rsid w:val="00AB5381"/>
    <w:rsid w:val="00AB64D9"/>
    <w:rsid w:val="00AB686C"/>
    <w:rsid w:val="00AB6E24"/>
    <w:rsid w:val="00AC164A"/>
    <w:rsid w:val="00AC4333"/>
    <w:rsid w:val="00AC54B9"/>
    <w:rsid w:val="00AD1002"/>
    <w:rsid w:val="00AD100B"/>
    <w:rsid w:val="00AD3189"/>
    <w:rsid w:val="00AD33E3"/>
    <w:rsid w:val="00AE19F2"/>
    <w:rsid w:val="00AE20B5"/>
    <w:rsid w:val="00AE34C0"/>
    <w:rsid w:val="00AE65A0"/>
    <w:rsid w:val="00AE667F"/>
    <w:rsid w:val="00AE7875"/>
    <w:rsid w:val="00AE79E5"/>
    <w:rsid w:val="00AF1B85"/>
    <w:rsid w:val="00AF2050"/>
    <w:rsid w:val="00AF491A"/>
    <w:rsid w:val="00AF5E3E"/>
    <w:rsid w:val="00B02124"/>
    <w:rsid w:val="00B03CA8"/>
    <w:rsid w:val="00B03D05"/>
    <w:rsid w:val="00B10382"/>
    <w:rsid w:val="00B169A8"/>
    <w:rsid w:val="00B21F50"/>
    <w:rsid w:val="00B26421"/>
    <w:rsid w:val="00B31683"/>
    <w:rsid w:val="00B331DC"/>
    <w:rsid w:val="00B3636F"/>
    <w:rsid w:val="00B40D0A"/>
    <w:rsid w:val="00B421EB"/>
    <w:rsid w:val="00B438D3"/>
    <w:rsid w:val="00B55E19"/>
    <w:rsid w:val="00B57D70"/>
    <w:rsid w:val="00B61298"/>
    <w:rsid w:val="00B63FA1"/>
    <w:rsid w:val="00B64E88"/>
    <w:rsid w:val="00B6769E"/>
    <w:rsid w:val="00B70C86"/>
    <w:rsid w:val="00B727C9"/>
    <w:rsid w:val="00B77BF2"/>
    <w:rsid w:val="00B77FBB"/>
    <w:rsid w:val="00B803F0"/>
    <w:rsid w:val="00B80664"/>
    <w:rsid w:val="00B83D20"/>
    <w:rsid w:val="00B9049E"/>
    <w:rsid w:val="00B9136A"/>
    <w:rsid w:val="00BA4B35"/>
    <w:rsid w:val="00BA4B6D"/>
    <w:rsid w:val="00BA5540"/>
    <w:rsid w:val="00BB186C"/>
    <w:rsid w:val="00BB26C5"/>
    <w:rsid w:val="00BB42CE"/>
    <w:rsid w:val="00BB676A"/>
    <w:rsid w:val="00BC0BA0"/>
    <w:rsid w:val="00BC169C"/>
    <w:rsid w:val="00BC279A"/>
    <w:rsid w:val="00BC4085"/>
    <w:rsid w:val="00BD219D"/>
    <w:rsid w:val="00BE6EDA"/>
    <w:rsid w:val="00BF0668"/>
    <w:rsid w:val="00BF4DE6"/>
    <w:rsid w:val="00BF7403"/>
    <w:rsid w:val="00C004B9"/>
    <w:rsid w:val="00C00FA7"/>
    <w:rsid w:val="00C04FC8"/>
    <w:rsid w:val="00C0718C"/>
    <w:rsid w:val="00C07192"/>
    <w:rsid w:val="00C11172"/>
    <w:rsid w:val="00C1434E"/>
    <w:rsid w:val="00C14A42"/>
    <w:rsid w:val="00C21D93"/>
    <w:rsid w:val="00C26172"/>
    <w:rsid w:val="00C2773B"/>
    <w:rsid w:val="00C27DBD"/>
    <w:rsid w:val="00C34FD2"/>
    <w:rsid w:val="00C36556"/>
    <w:rsid w:val="00C37F21"/>
    <w:rsid w:val="00C40D67"/>
    <w:rsid w:val="00C41051"/>
    <w:rsid w:val="00C41BCB"/>
    <w:rsid w:val="00C42CDE"/>
    <w:rsid w:val="00C432D7"/>
    <w:rsid w:val="00C43F6C"/>
    <w:rsid w:val="00C47AF0"/>
    <w:rsid w:val="00C50DCD"/>
    <w:rsid w:val="00C5182A"/>
    <w:rsid w:val="00C51874"/>
    <w:rsid w:val="00C52F8F"/>
    <w:rsid w:val="00C5368D"/>
    <w:rsid w:val="00C60711"/>
    <w:rsid w:val="00C62A1D"/>
    <w:rsid w:val="00C62A3A"/>
    <w:rsid w:val="00C6362E"/>
    <w:rsid w:val="00C63EE9"/>
    <w:rsid w:val="00C6626C"/>
    <w:rsid w:val="00C70748"/>
    <w:rsid w:val="00C7782B"/>
    <w:rsid w:val="00C77F73"/>
    <w:rsid w:val="00C80775"/>
    <w:rsid w:val="00C80C8A"/>
    <w:rsid w:val="00C835A8"/>
    <w:rsid w:val="00C85508"/>
    <w:rsid w:val="00C9379B"/>
    <w:rsid w:val="00C93E68"/>
    <w:rsid w:val="00CA37B1"/>
    <w:rsid w:val="00CB101E"/>
    <w:rsid w:val="00CB1959"/>
    <w:rsid w:val="00CB520C"/>
    <w:rsid w:val="00CC5270"/>
    <w:rsid w:val="00CC5813"/>
    <w:rsid w:val="00CC6064"/>
    <w:rsid w:val="00CD0E28"/>
    <w:rsid w:val="00CD0E4B"/>
    <w:rsid w:val="00CD131A"/>
    <w:rsid w:val="00CE0155"/>
    <w:rsid w:val="00CE020B"/>
    <w:rsid w:val="00CE09ED"/>
    <w:rsid w:val="00CE624D"/>
    <w:rsid w:val="00CF1113"/>
    <w:rsid w:val="00CF5037"/>
    <w:rsid w:val="00CF505A"/>
    <w:rsid w:val="00D00802"/>
    <w:rsid w:val="00D0296C"/>
    <w:rsid w:val="00D06398"/>
    <w:rsid w:val="00D146A2"/>
    <w:rsid w:val="00D15A00"/>
    <w:rsid w:val="00D17BCD"/>
    <w:rsid w:val="00D2169C"/>
    <w:rsid w:val="00D226E6"/>
    <w:rsid w:val="00D23032"/>
    <w:rsid w:val="00D338C9"/>
    <w:rsid w:val="00D358AF"/>
    <w:rsid w:val="00D435AA"/>
    <w:rsid w:val="00D45CC8"/>
    <w:rsid w:val="00D46597"/>
    <w:rsid w:val="00D5563D"/>
    <w:rsid w:val="00D60AB1"/>
    <w:rsid w:val="00D60C1A"/>
    <w:rsid w:val="00D61D2E"/>
    <w:rsid w:val="00D64BD1"/>
    <w:rsid w:val="00D67A51"/>
    <w:rsid w:val="00D72760"/>
    <w:rsid w:val="00D7580A"/>
    <w:rsid w:val="00D77B7B"/>
    <w:rsid w:val="00D82156"/>
    <w:rsid w:val="00D845CB"/>
    <w:rsid w:val="00D86BAF"/>
    <w:rsid w:val="00D86D84"/>
    <w:rsid w:val="00D928B5"/>
    <w:rsid w:val="00D9327C"/>
    <w:rsid w:val="00D95C51"/>
    <w:rsid w:val="00D966AF"/>
    <w:rsid w:val="00DA05E3"/>
    <w:rsid w:val="00DA0BEE"/>
    <w:rsid w:val="00DA447E"/>
    <w:rsid w:val="00DA53D5"/>
    <w:rsid w:val="00DB485D"/>
    <w:rsid w:val="00DB4DDC"/>
    <w:rsid w:val="00DB5CC3"/>
    <w:rsid w:val="00DB6E5C"/>
    <w:rsid w:val="00DC6F9C"/>
    <w:rsid w:val="00DC7040"/>
    <w:rsid w:val="00DD1986"/>
    <w:rsid w:val="00DD3147"/>
    <w:rsid w:val="00DD3E78"/>
    <w:rsid w:val="00DD7072"/>
    <w:rsid w:val="00DE084C"/>
    <w:rsid w:val="00DE7F9D"/>
    <w:rsid w:val="00DF3350"/>
    <w:rsid w:val="00DF4E14"/>
    <w:rsid w:val="00DF5C64"/>
    <w:rsid w:val="00E0142B"/>
    <w:rsid w:val="00E0270A"/>
    <w:rsid w:val="00E11C75"/>
    <w:rsid w:val="00E11D2C"/>
    <w:rsid w:val="00E215C9"/>
    <w:rsid w:val="00E27026"/>
    <w:rsid w:val="00E357B7"/>
    <w:rsid w:val="00E379DF"/>
    <w:rsid w:val="00E37B96"/>
    <w:rsid w:val="00E473D1"/>
    <w:rsid w:val="00E51AFE"/>
    <w:rsid w:val="00E53800"/>
    <w:rsid w:val="00E6081F"/>
    <w:rsid w:val="00E61BE2"/>
    <w:rsid w:val="00E62E5D"/>
    <w:rsid w:val="00E715AF"/>
    <w:rsid w:val="00E71DD6"/>
    <w:rsid w:val="00E73FD2"/>
    <w:rsid w:val="00E74B4A"/>
    <w:rsid w:val="00E82EA0"/>
    <w:rsid w:val="00E86697"/>
    <w:rsid w:val="00E9590B"/>
    <w:rsid w:val="00EA04B2"/>
    <w:rsid w:val="00EA20F3"/>
    <w:rsid w:val="00EA2518"/>
    <w:rsid w:val="00EA48CA"/>
    <w:rsid w:val="00EA4DD7"/>
    <w:rsid w:val="00EA4EA9"/>
    <w:rsid w:val="00EB0B2C"/>
    <w:rsid w:val="00EB148F"/>
    <w:rsid w:val="00EB6713"/>
    <w:rsid w:val="00EC2994"/>
    <w:rsid w:val="00EC30DD"/>
    <w:rsid w:val="00EC3996"/>
    <w:rsid w:val="00EC47D9"/>
    <w:rsid w:val="00EC5F7A"/>
    <w:rsid w:val="00EC6329"/>
    <w:rsid w:val="00EC76BD"/>
    <w:rsid w:val="00ED0D3F"/>
    <w:rsid w:val="00ED236B"/>
    <w:rsid w:val="00ED2831"/>
    <w:rsid w:val="00ED43D1"/>
    <w:rsid w:val="00ED4B92"/>
    <w:rsid w:val="00ED767D"/>
    <w:rsid w:val="00ED7A71"/>
    <w:rsid w:val="00EE0081"/>
    <w:rsid w:val="00EE09B8"/>
    <w:rsid w:val="00EE27B2"/>
    <w:rsid w:val="00EE4EE1"/>
    <w:rsid w:val="00EE6A53"/>
    <w:rsid w:val="00EF4574"/>
    <w:rsid w:val="00EF55DF"/>
    <w:rsid w:val="00EF578B"/>
    <w:rsid w:val="00F03B40"/>
    <w:rsid w:val="00F05597"/>
    <w:rsid w:val="00F15931"/>
    <w:rsid w:val="00F15D5E"/>
    <w:rsid w:val="00F20BEA"/>
    <w:rsid w:val="00F2684E"/>
    <w:rsid w:val="00F27C3B"/>
    <w:rsid w:val="00F34A39"/>
    <w:rsid w:val="00F43FA4"/>
    <w:rsid w:val="00F44EBA"/>
    <w:rsid w:val="00F464FA"/>
    <w:rsid w:val="00F465BC"/>
    <w:rsid w:val="00F5404C"/>
    <w:rsid w:val="00F55D64"/>
    <w:rsid w:val="00F671F3"/>
    <w:rsid w:val="00F678C0"/>
    <w:rsid w:val="00F729EF"/>
    <w:rsid w:val="00F74BAE"/>
    <w:rsid w:val="00F75A5C"/>
    <w:rsid w:val="00F762E0"/>
    <w:rsid w:val="00F77CAE"/>
    <w:rsid w:val="00F81E7D"/>
    <w:rsid w:val="00F82271"/>
    <w:rsid w:val="00F83428"/>
    <w:rsid w:val="00F84ABF"/>
    <w:rsid w:val="00F85A6C"/>
    <w:rsid w:val="00F90FCC"/>
    <w:rsid w:val="00F9356D"/>
    <w:rsid w:val="00F94E19"/>
    <w:rsid w:val="00F95AB2"/>
    <w:rsid w:val="00F96336"/>
    <w:rsid w:val="00F96BB9"/>
    <w:rsid w:val="00FA0DC2"/>
    <w:rsid w:val="00FA1A74"/>
    <w:rsid w:val="00FA39FC"/>
    <w:rsid w:val="00FA4AA4"/>
    <w:rsid w:val="00FA7B61"/>
    <w:rsid w:val="00FC2595"/>
    <w:rsid w:val="00FD64CA"/>
    <w:rsid w:val="00FE5346"/>
    <w:rsid w:val="00FE6D51"/>
    <w:rsid w:val="00FF09F3"/>
    <w:rsid w:val="00FF4B1D"/>
    <w:rsid w:val="00FF5B4B"/>
    <w:rsid w:val="00FF5E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aliases w:val="ftref,Normal + Font:9 Point,Superscript 3 Point Times,(NECG) Footnote Reference,Ref,de nota al pie,FnR-ANZDEC,Fußnotenzeichen DISS,fr,16 Point,Superscript 6 Point,Footnote Ref in FtNote,SUPERS,Footnote text,BVI fnr,BVI fnr Zchn Char"/>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paragraph" w:styleId="ListParagraph">
    <w:name w:val="List Paragraph"/>
    <w:basedOn w:val="Normal"/>
    <w:uiPriority w:val="34"/>
    <w:qFormat/>
    <w:rsid w:val="00C41051"/>
    <w:pPr>
      <w:ind w:left="720"/>
      <w:contextualSpacing/>
    </w:pPr>
  </w:style>
  <w:style w:type="character" w:styleId="CommentReference">
    <w:name w:val="annotation reference"/>
    <w:basedOn w:val="DefaultParagraphFont"/>
    <w:unhideWhenUsed/>
    <w:rsid w:val="00861259"/>
    <w:rPr>
      <w:sz w:val="16"/>
      <w:szCs w:val="16"/>
    </w:rPr>
  </w:style>
  <w:style w:type="paragraph" w:styleId="CommentText">
    <w:name w:val="annotation text"/>
    <w:basedOn w:val="Normal"/>
    <w:link w:val="CommentTextChar"/>
    <w:unhideWhenUsed/>
    <w:rsid w:val="00861259"/>
    <w:pPr>
      <w:spacing w:line="240" w:lineRule="auto"/>
    </w:pPr>
    <w:rPr>
      <w:sz w:val="20"/>
      <w:szCs w:val="20"/>
    </w:rPr>
  </w:style>
  <w:style w:type="character" w:customStyle="1" w:styleId="CommentTextChar">
    <w:name w:val="Comment Text Char"/>
    <w:basedOn w:val="DefaultParagraphFont"/>
    <w:link w:val="CommentText"/>
    <w:rsid w:val="0086125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861259"/>
    <w:rPr>
      <w:b/>
      <w:bCs/>
    </w:rPr>
  </w:style>
  <w:style w:type="character" w:customStyle="1" w:styleId="CommentSubjectChar">
    <w:name w:val="Comment Subject Char"/>
    <w:basedOn w:val="CommentTextChar"/>
    <w:link w:val="CommentSubject"/>
    <w:uiPriority w:val="99"/>
    <w:semiHidden/>
    <w:rsid w:val="00861259"/>
    <w:rPr>
      <w:b/>
      <w:bCs/>
      <w:color w:val="495965" w:themeColor="text2"/>
      <w:sz w:val="20"/>
      <w:szCs w:val="20"/>
      <w:lang w:val="en-GB"/>
    </w:rPr>
  </w:style>
  <w:style w:type="paragraph" w:customStyle="1" w:styleId="AfterFirstPara">
    <w:name w:val="AfterFirstPara"/>
    <w:basedOn w:val="Normal"/>
    <w:rsid w:val="008F291D"/>
    <w:pPr>
      <w:numPr>
        <w:numId w:val="45"/>
      </w:numPr>
      <w:suppressAutoHyphens w:val="0"/>
      <w:spacing w:after="120" w:line="240" w:lineRule="auto"/>
    </w:pPr>
    <w:rPr>
      <w:rFonts w:ascii="Times New Roman" w:eastAsia="Times New Roman" w:hAnsi="Times New Roman" w:cs="Times New Roman"/>
      <w:color w:val="auto"/>
      <w:sz w:val="24"/>
      <w:szCs w:val="24"/>
      <w:lang w:eastAsia="zh-CN"/>
    </w:rPr>
  </w:style>
  <w:style w:type="paragraph" w:styleId="Revision">
    <w:name w:val="Revision"/>
    <w:hidden/>
    <w:uiPriority w:val="99"/>
    <w:semiHidden/>
    <w:rsid w:val="00913B54"/>
    <w:pPr>
      <w:spacing w:after="0" w:line="240" w:lineRule="auto"/>
    </w:pPr>
    <w:rPr>
      <w:color w:val="495965" w:themeColor="text2"/>
      <w:lang w:val="en-GB"/>
    </w:rPr>
  </w:style>
  <w:style w:type="table" w:customStyle="1" w:styleId="APPR1">
    <w:name w:val="APPR1"/>
    <w:basedOn w:val="TableNormal"/>
    <w:uiPriority w:val="99"/>
    <w:rsid w:val="00D338C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15236">
      <w:bodyDiv w:val="1"/>
      <w:marLeft w:val="0"/>
      <w:marRight w:val="0"/>
      <w:marTop w:val="0"/>
      <w:marBottom w:val="0"/>
      <w:divBdr>
        <w:top w:val="none" w:sz="0" w:space="0" w:color="auto"/>
        <w:left w:val="none" w:sz="0" w:space="0" w:color="auto"/>
        <w:bottom w:val="none" w:sz="0" w:space="0" w:color="auto"/>
        <w:right w:val="none" w:sz="0" w:space="0" w:color="auto"/>
      </w:divBdr>
    </w:div>
    <w:div w:id="836923448">
      <w:bodyDiv w:val="1"/>
      <w:marLeft w:val="0"/>
      <w:marRight w:val="0"/>
      <w:marTop w:val="0"/>
      <w:marBottom w:val="0"/>
      <w:divBdr>
        <w:top w:val="none" w:sz="0" w:space="0" w:color="auto"/>
        <w:left w:val="none" w:sz="0" w:space="0" w:color="auto"/>
        <w:bottom w:val="none" w:sz="0" w:space="0" w:color="auto"/>
        <w:right w:val="none" w:sz="0" w:space="0" w:color="auto"/>
      </w:divBdr>
    </w:div>
    <w:div w:id="1431852474">
      <w:bodyDiv w:val="1"/>
      <w:marLeft w:val="0"/>
      <w:marRight w:val="0"/>
      <w:marTop w:val="0"/>
      <w:marBottom w:val="0"/>
      <w:divBdr>
        <w:top w:val="none" w:sz="0" w:space="0" w:color="auto"/>
        <w:left w:val="none" w:sz="0" w:space="0" w:color="auto"/>
        <w:bottom w:val="none" w:sz="0" w:space="0" w:color="auto"/>
        <w:right w:val="none" w:sz="0" w:space="0" w:color="auto"/>
      </w:divBdr>
    </w:div>
    <w:div w:id="20296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5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70.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0.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 TargetMode="External"/><Relationship Id="rId2" Type="http://schemas.openxmlformats.org/officeDocument/2006/relationships/hyperlink" Target="http://www.nso.gov.pg" TargetMode="External"/><Relationship Id="rId1" Type="http://schemas.openxmlformats.org/officeDocument/2006/relationships/hyperlink" Target="http://www.treasury.gov.pg" TargetMode="External"/><Relationship Id="rId6" Type="http://schemas.openxmlformats.org/officeDocument/2006/relationships/hyperlink" Target="http://www.asia-pacific.undp.org" TargetMode="External"/><Relationship Id="rId5" Type="http://schemas.openxmlformats.org/officeDocument/2006/relationships/hyperlink" Target="http://www.dfat.gov.au/" TargetMode="External"/><Relationship Id="rId4" Type="http://schemas.openxmlformats.org/officeDocument/2006/relationships/hyperlink" Target="http://www.adb.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B5BDF-0927-4B09-AFFF-A008AB938477}"/>
</file>

<file path=customXml/itemProps2.xml><?xml version="1.0" encoding="utf-8"?>
<ds:datastoreItem xmlns:ds="http://schemas.openxmlformats.org/officeDocument/2006/customXml" ds:itemID="{DBDA437E-6B72-483C-A5E3-D650667A3FF2}"/>
</file>

<file path=customXml/itemProps3.xml><?xml version="1.0" encoding="utf-8"?>
<ds:datastoreItem xmlns:ds="http://schemas.openxmlformats.org/officeDocument/2006/customXml" ds:itemID="{92217CAB-611A-4ADB-A37F-F3F193181EE2}"/>
</file>

<file path=customXml/itemProps4.xml><?xml version="1.0" encoding="utf-8"?>
<ds:datastoreItem xmlns:ds="http://schemas.openxmlformats.org/officeDocument/2006/customXml" ds:itemID="{72C133A9-6AC7-4809-B521-7797F5E71803}"/>
</file>

<file path=docProps/app.xml><?xml version="1.0" encoding="utf-8"?>
<Properties xmlns="http://schemas.openxmlformats.org/officeDocument/2006/extended-properties" xmlns:vt="http://schemas.openxmlformats.org/officeDocument/2006/docPropsVTypes">
  <Template>Normal.dotm</Template>
  <TotalTime>0</TotalTime>
  <Pages>36</Pages>
  <Words>17055</Words>
  <Characters>97217</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2017-01-20T01:34:00Z</dcterms:created>
  <dcterms:modified xsi:type="dcterms:W3CDTF">2017-02-14T01:08:00Z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10de4c78-43b7-4ab6-b130-0b3a1c625078</vt:lpwstr>
  </property>
  <property fmtid="{D5CDD505-2E9C-101B-9397-08002B2CF9AE}" pid="3" name="ContentTypeId">
    <vt:lpwstr>0x01010050F19AC2165D2E47A5E6B7F563E4CF00</vt:lpwstr>
  </property>
  <property fmtid="{D5CDD505-2E9C-101B-9397-08002B2CF9AE}" pid="4" name="Order">
    <vt:r8>1070300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UNCLASSIFIED</vt:lpwstr>
  </property>
  <property fmtid="{D5CDD505-2E9C-101B-9397-08002B2CF9AE}" pid="11" name="DLM">
    <vt:lpwstr>No DLM</vt:lpwstr>
  </property>
</Properties>
</file>