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r w:rsidRPr="001227C3">
        <w:rPr>
          <w:noProof/>
          <w:color w:val="FFFFFF"/>
          <w:spacing w:val="0"/>
          <w:sz w:val="50"/>
          <w:szCs w:val="50"/>
        </w:rPr>
        <w:drawing>
          <wp:anchor distT="0" distB="0" distL="114300" distR="114300" simplePos="0" relativeHeight="251662336" behindDoc="1" locked="1" layoutInCell="1" allowOverlap="1" wp14:anchorId="2D397AC7" wp14:editId="1127EAA7">
            <wp:simplePos x="0" y="0"/>
            <wp:positionH relativeFrom="page">
              <wp:posOffset>-209550</wp:posOffset>
            </wp:positionH>
            <wp:positionV relativeFrom="page">
              <wp:posOffset>-200025</wp:posOffset>
            </wp:positionV>
            <wp:extent cx="7962900" cy="11263630"/>
            <wp:effectExtent l="0" t="0" r="0"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62900" cy="11263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Default="00822C95"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Papua New Guinea</w:t>
      </w:r>
    </w:p>
    <w:p w:rsidR="00DD4C80" w:rsidRDefault="00DD4C80" w:rsidP="00DD4C80">
      <w:pPr>
        <w:rPr>
          <w:lang w:val="en-US" w:eastAsia="en-US"/>
        </w:rPr>
      </w:pPr>
    </w:p>
    <w:p w:rsidR="00AD23A8" w:rsidRPr="00DD4C80" w:rsidRDefault="00CE1DFB" w:rsidP="00DD4C80">
      <w:pPr>
        <w:pStyle w:val="Date"/>
        <w:spacing w:before="200" w:after="600" w:line="380" w:lineRule="atLeast"/>
        <w:ind w:left="2694" w:right="-624"/>
        <w:rPr>
          <w:rFonts w:ascii="Helvetica" w:eastAsia="Times New Roman" w:hAnsi="Helvetica"/>
          <w:noProof/>
          <w:color w:val="FFFFFF"/>
          <w:kern w:val="28"/>
          <w:sz w:val="24"/>
          <w:lang w:val="en-US" w:eastAsia="en-US"/>
        </w:rPr>
      </w:pPr>
      <w:r>
        <w:rPr>
          <w:lang w:val="en-US" w:eastAsia="en-US"/>
        </w:rPr>
        <w:tab/>
      </w:r>
      <w:r>
        <w:rPr>
          <w:lang w:val="en-US" w:eastAsia="en-US"/>
        </w:rPr>
        <w:tab/>
      </w:r>
      <w:r>
        <w:rPr>
          <w:lang w:val="en-US" w:eastAsia="en-US"/>
        </w:rPr>
        <w:tab/>
      </w:r>
      <w:r w:rsidR="00822C95">
        <w:rPr>
          <w:lang w:val="en-US" w:eastAsia="en-US"/>
        </w:rPr>
        <w:tab/>
      </w:r>
      <w:r w:rsidR="00822C95">
        <w:rPr>
          <w:lang w:val="en-US" w:eastAsia="en-US"/>
        </w:rPr>
        <w:tab/>
      </w:r>
      <w:r w:rsidR="00822C95">
        <w:rPr>
          <w:lang w:val="en-US" w:eastAsia="en-US"/>
        </w:rPr>
        <w:tab/>
      </w:r>
      <w:r w:rsidR="00125002">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sidR="00125002">
        <w:rPr>
          <w:rFonts w:ascii="Helvetica" w:eastAsia="Times New Roman" w:hAnsi="Helvetica"/>
          <w:noProof/>
          <w:color w:val="FFFFFF"/>
          <w:kern w:val="28"/>
          <w:sz w:val="24"/>
          <w:lang w:val="en-US" w:eastAsia="en-US"/>
        </w:rPr>
        <w:t>5</w:t>
      </w:r>
      <w:r w:rsidR="000D733F">
        <w:rPr>
          <w:sz w:val="32"/>
          <w:szCs w:val="32"/>
        </w:rPr>
        <w:tab/>
      </w:r>
      <w:r w:rsidR="000D733F">
        <w:rPr>
          <w:sz w:val="32"/>
          <w:szCs w:val="32"/>
        </w:rPr>
        <w:tab/>
      </w:r>
      <w:r w:rsidR="000D733F">
        <w:rPr>
          <w:sz w:val="32"/>
          <w:szCs w:val="32"/>
        </w:rPr>
        <w:tab/>
      </w:r>
    </w:p>
    <w:p w:rsidR="00AD23A8" w:rsidRPr="00DE44D1" w:rsidRDefault="00AD23A8" w:rsidP="00DE44D1">
      <w:pPr>
        <w:pStyle w:val="Heading2"/>
        <w:rPr>
          <w:sz w:val="28"/>
        </w:rPr>
      </w:pPr>
      <w:r w:rsidRPr="002660AA">
        <w:rPr>
          <w:sz w:val="28"/>
        </w:rPr>
        <w:lastRenderedPageBreak/>
        <w:t>Key Messages</w:t>
      </w:r>
      <w:r w:rsidRPr="002660AA">
        <w:rPr>
          <w:sz w:val="28"/>
        </w:rPr>
        <w:tab/>
      </w:r>
    </w:p>
    <w:p w:rsidR="00A749B2" w:rsidRDefault="00636999" w:rsidP="00994EC7">
      <w:pPr>
        <w:pStyle w:val="ListBullet"/>
        <w:numPr>
          <w:ilvl w:val="0"/>
          <w:numId w:val="0"/>
        </w:numPr>
        <w:spacing w:line="276" w:lineRule="auto"/>
        <w:ind w:left="142"/>
      </w:pPr>
      <w:r w:rsidRPr="00B93271">
        <w:t>Australia’s aid expenditure in 201</w:t>
      </w:r>
      <w:r w:rsidR="00B93271">
        <w:t>4-15</w:t>
      </w:r>
      <w:r w:rsidRPr="00B93271">
        <w:t xml:space="preserve"> </w:t>
      </w:r>
      <w:r w:rsidRPr="00DE44D1">
        <w:t>($5</w:t>
      </w:r>
      <w:r w:rsidR="00B93271" w:rsidRPr="00DE44D1">
        <w:t>28</w:t>
      </w:r>
      <w:r w:rsidRPr="00DE44D1">
        <w:t>.4 million</w:t>
      </w:r>
      <w:r w:rsidRPr="00AD23A8">
        <w:t>)</w:t>
      </w:r>
      <w:r w:rsidRPr="00B93271">
        <w:t xml:space="preserve"> continued to support reforms and service delivery in P</w:t>
      </w:r>
      <w:r w:rsidR="00E46FDC">
        <w:t xml:space="preserve">apua </w:t>
      </w:r>
      <w:r w:rsidRPr="00B93271">
        <w:t>N</w:t>
      </w:r>
      <w:r w:rsidR="00E46FDC">
        <w:t xml:space="preserve">ew </w:t>
      </w:r>
      <w:r w:rsidRPr="00B93271">
        <w:t>G</w:t>
      </w:r>
      <w:r w:rsidR="00E46FDC">
        <w:t>uinea (PNG)</w:t>
      </w:r>
      <w:r w:rsidRPr="00B93271">
        <w:t xml:space="preserve"> across four key sectors</w:t>
      </w:r>
      <w:r w:rsidR="009117CE">
        <w:t>:</w:t>
      </w:r>
      <w:r w:rsidRPr="00B93271">
        <w:t xml:space="preserve"> health and HIV, education, transport and law and justice</w:t>
      </w:r>
      <w:r w:rsidR="009117CE">
        <w:t xml:space="preserve">.  We also provided </w:t>
      </w:r>
      <w:r w:rsidRPr="00B93271">
        <w:t>support to governance</w:t>
      </w:r>
      <w:r w:rsidR="00B93271" w:rsidRPr="00B93271">
        <w:t>,</w:t>
      </w:r>
      <w:r w:rsidRPr="00B93271">
        <w:t xml:space="preserve"> </w:t>
      </w:r>
      <w:r w:rsidR="00EE60E8">
        <w:t xml:space="preserve">private sector development, </w:t>
      </w:r>
      <w:r w:rsidRPr="00B93271">
        <w:t xml:space="preserve">gender </w:t>
      </w:r>
      <w:r w:rsidR="00EC7719">
        <w:t xml:space="preserve">equality </w:t>
      </w:r>
      <w:r w:rsidR="00B93271" w:rsidRPr="00B93271">
        <w:t xml:space="preserve">and disability inclusive development as </w:t>
      </w:r>
      <w:r w:rsidRPr="00B93271">
        <w:t>key cross cutting issue</w:t>
      </w:r>
      <w:r w:rsidR="00D83A35">
        <w:t>s</w:t>
      </w:r>
      <w:r w:rsidRPr="00B93271">
        <w:t>.</w:t>
      </w:r>
      <w:r w:rsidR="00741B48">
        <w:t xml:space="preserve"> </w:t>
      </w:r>
      <w:r w:rsidR="00977EEC">
        <w:t xml:space="preserve"> </w:t>
      </w:r>
    </w:p>
    <w:p w:rsidR="00B14A25" w:rsidRPr="002E3D50" w:rsidRDefault="00B14A25" w:rsidP="00994EC7">
      <w:pPr>
        <w:pStyle w:val="ListBullet"/>
        <w:numPr>
          <w:ilvl w:val="0"/>
          <w:numId w:val="0"/>
        </w:numPr>
        <w:spacing w:line="276" w:lineRule="auto"/>
        <w:ind w:left="142"/>
      </w:pPr>
      <w:r w:rsidRPr="00407292">
        <w:t xml:space="preserve">The Australian aid program in PNG is </w:t>
      </w:r>
      <w:r w:rsidRPr="002E3D50">
        <w:t xml:space="preserve">currently implemented in accordance with the </w:t>
      </w:r>
      <w:hyperlink r:id="rId10" w:history="1">
        <w:r w:rsidRPr="00994EC7">
          <w:rPr>
            <w:rStyle w:val="Hyperlink"/>
            <w:sz w:val="21"/>
            <w:szCs w:val="24"/>
          </w:rPr>
          <w:t>PNG-Australia Partnership for Development</w:t>
        </w:r>
        <w:r w:rsidR="0003033E" w:rsidRPr="00994EC7">
          <w:rPr>
            <w:rStyle w:val="Hyperlink"/>
            <w:sz w:val="21"/>
            <w:szCs w:val="24"/>
          </w:rPr>
          <w:t xml:space="preserve"> (2008)</w:t>
        </w:r>
      </w:hyperlink>
      <w:r w:rsidRPr="002E3D50">
        <w:t xml:space="preserve"> and the </w:t>
      </w:r>
      <w:hyperlink r:id="rId11" w:history="1">
        <w:r w:rsidRPr="00994EC7">
          <w:rPr>
            <w:rStyle w:val="Hyperlink"/>
            <w:sz w:val="21"/>
            <w:szCs w:val="24"/>
          </w:rPr>
          <w:t xml:space="preserve">Joint Understanding between Australia and Papua New Guinea on further bilateral cooperation on </w:t>
        </w:r>
        <w:r w:rsidR="00FC6FBB" w:rsidRPr="00994EC7">
          <w:rPr>
            <w:rStyle w:val="Hyperlink"/>
            <w:sz w:val="21"/>
            <w:szCs w:val="24"/>
          </w:rPr>
          <w:t>health</w:t>
        </w:r>
        <w:r w:rsidRPr="00994EC7">
          <w:rPr>
            <w:rStyle w:val="Hyperlink"/>
            <w:sz w:val="21"/>
            <w:szCs w:val="24"/>
          </w:rPr>
          <w:t xml:space="preserve">, </w:t>
        </w:r>
        <w:r w:rsidR="00FC6FBB" w:rsidRPr="00994EC7">
          <w:rPr>
            <w:rStyle w:val="Hyperlink"/>
            <w:sz w:val="21"/>
            <w:szCs w:val="24"/>
          </w:rPr>
          <w:t xml:space="preserve">education </w:t>
        </w:r>
        <w:r w:rsidRPr="00994EC7">
          <w:rPr>
            <w:rStyle w:val="Hyperlink"/>
            <w:sz w:val="21"/>
            <w:szCs w:val="24"/>
          </w:rPr>
          <w:t xml:space="preserve">and </w:t>
        </w:r>
        <w:r w:rsidR="00FC6FBB" w:rsidRPr="00994EC7">
          <w:rPr>
            <w:rStyle w:val="Hyperlink"/>
            <w:sz w:val="21"/>
            <w:szCs w:val="24"/>
          </w:rPr>
          <w:t xml:space="preserve">law </w:t>
        </w:r>
        <w:r w:rsidRPr="00994EC7">
          <w:rPr>
            <w:rStyle w:val="Hyperlink"/>
            <w:sz w:val="21"/>
            <w:szCs w:val="24"/>
          </w:rPr>
          <w:t xml:space="preserve">and </w:t>
        </w:r>
        <w:r w:rsidR="00FC6FBB" w:rsidRPr="00994EC7">
          <w:rPr>
            <w:rStyle w:val="Hyperlink"/>
            <w:sz w:val="21"/>
            <w:szCs w:val="24"/>
          </w:rPr>
          <w:t xml:space="preserve">order </w:t>
        </w:r>
        <w:r w:rsidR="0003033E" w:rsidRPr="00994EC7">
          <w:rPr>
            <w:rStyle w:val="Hyperlink"/>
            <w:sz w:val="21"/>
            <w:szCs w:val="24"/>
          </w:rPr>
          <w:t>(2013)</w:t>
        </w:r>
      </w:hyperlink>
      <w:r w:rsidRPr="002E3D50">
        <w:t>.</w:t>
      </w:r>
      <w:r w:rsidR="00F91B52" w:rsidRPr="002E3D50">
        <w:t xml:space="preserve"> </w:t>
      </w:r>
      <w:r w:rsidR="00741B48" w:rsidRPr="002E3D50">
        <w:t xml:space="preserve"> </w:t>
      </w:r>
      <w:r w:rsidRPr="002E3D50">
        <w:t xml:space="preserve">Together, these set out mutually agreed priorities and commitments for </w:t>
      </w:r>
      <w:r w:rsidR="009117CE" w:rsidRPr="002E3D50">
        <w:t xml:space="preserve">PNG and Australia </w:t>
      </w:r>
      <w:r w:rsidRPr="002E3D50">
        <w:t xml:space="preserve">to work together </w:t>
      </w:r>
      <w:r w:rsidR="006239A6" w:rsidRPr="002E3D50">
        <w:t>on</w:t>
      </w:r>
      <w:r w:rsidR="00994EC7">
        <w:t>,</w:t>
      </w:r>
      <w:r w:rsidR="006239A6" w:rsidRPr="002E3D50">
        <w:t xml:space="preserve"> </w:t>
      </w:r>
      <w:r w:rsidRPr="002E3D50">
        <w:t xml:space="preserve">to improve development outcomes for all Papua New Guineans.  </w:t>
      </w:r>
    </w:p>
    <w:p w:rsidR="00B14A25" w:rsidRDefault="00B14A25" w:rsidP="00994EC7">
      <w:pPr>
        <w:pStyle w:val="ListBullet"/>
        <w:numPr>
          <w:ilvl w:val="0"/>
          <w:numId w:val="0"/>
        </w:numPr>
        <w:spacing w:line="276" w:lineRule="auto"/>
        <w:ind w:left="142"/>
      </w:pPr>
      <w:r w:rsidRPr="002E3D50">
        <w:t>The 2014 PNG Aid Assessment (</w:t>
      </w:r>
      <w:hyperlink r:id="rId12" w:history="1">
        <w:r w:rsidRPr="00994EC7">
          <w:rPr>
            <w:rStyle w:val="Hyperlink"/>
            <w:sz w:val="21"/>
            <w:szCs w:val="24"/>
          </w:rPr>
          <w:t>A new direction for aid in PNG: refocusing Australian aid to help unlock PNG’s economic potential</w:t>
        </w:r>
      </w:hyperlink>
      <w:r w:rsidRPr="002E3D50">
        <w:t xml:space="preserve">) considered ways in which Australia’s aid program could more closely align with both </w:t>
      </w:r>
      <w:r w:rsidR="00FC6FBB" w:rsidRPr="002E3D50">
        <w:t xml:space="preserve">governments’ </w:t>
      </w:r>
      <w:r w:rsidRPr="002E3D50">
        <w:t xml:space="preserve">priorities. </w:t>
      </w:r>
      <w:r w:rsidR="00741B48" w:rsidRPr="002E3D50">
        <w:t xml:space="preserve"> </w:t>
      </w:r>
      <w:r w:rsidRPr="002E3D50">
        <w:t xml:space="preserve">This included options to better address key constraints to economic growth and equitable development in PNG. </w:t>
      </w:r>
      <w:r w:rsidR="00741B48" w:rsidRPr="002E3D50">
        <w:t xml:space="preserve"> </w:t>
      </w:r>
      <w:r w:rsidRPr="002E3D50">
        <w:t xml:space="preserve">The recommendations of this Assessment were agreed by the Australian and PNG </w:t>
      </w:r>
      <w:r w:rsidR="00422C27">
        <w:t>G</w:t>
      </w:r>
      <w:r w:rsidR="00741B48" w:rsidRPr="002E3D50">
        <w:t xml:space="preserve">overnments </w:t>
      </w:r>
      <w:r w:rsidR="005F7415">
        <w:t xml:space="preserve">in 2014 </w:t>
      </w:r>
      <w:r w:rsidRPr="002E3D50">
        <w:t xml:space="preserve">and represent a strategic shift in Australia’s approach to aid in PNG. </w:t>
      </w:r>
      <w:r w:rsidR="00741B48" w:rsidRPr="002E3D50">
        <w:t xml:space="preserve"> </w:t>
      </w:r>
      <w:r w:rsidRPr="002E3D50">
        <w:t>Consistent with the directions set out in Australia’s aid policy (</w:t>
      </w:r>
      <w:hyperlink r:id="rId13" w:history="1">
        <w:r w:rsidRPr="00994EC7">
          <w:rPr>
            <w:rStyle w:val="Hyperlink"/>
            <w:sz w:val="21"/>
            <w:szCs w:val="24"/>
          </w:rPr>
          <w:t>Australian aid: promoting prosperity, reducing poverty, enhancing stability</w:t>
        </w:r>
      </w:hyperlink>
      <w:r w:rsidRPr="002E3D50">
        <w:t>) the outcomes of the Assessment</w:t>
      </w:r>
      <w:r>
        <w:t xml:space="preserve"> are guiding where and how Australian aid is spent in PNG.</w:t>
      </w:r>
    </w:p>
    <w:p w:rsidR="00C22B12" w:rsidRDefault="00C22B12" w:rsidP="00994EC7">
      <w:pPr>
        <w:pStyle w:val="ListBullet"/>
        <w:numPr>
          <w:ilvl w:val="0"/>
          <w:numId w:val="0"/>
        </w:numPr>
        <w:spacing w:line="276" w:lineRule="auto"/>
        <w:ind w:left="142"/>
      </w:pPr>
      <w:r>
        <w:t>Key shifts during the reporting period include:</w:t>
      </w:r>
    </w:p>
    <w:p w:rsidR="00C22B12" w:rsidRPr="00AC6A03" w:rsidRDefault="00FC6FBB" w:rsidP="00994EC7">
      <w:pPr>
        <w:pStyle w:val="ListBullet"/>
        <w:numPr>
          <w:ilvl w:val="0"/>
          <w:numId w:val="32"/>
        </w:numPr>
        <w:spacing w:line="276" w:lineRule="auto"/>
      </w:pPr>
      <w:r>
        <w:t>Gi</w:t>
      </w:r>
      <w:r w:rsidRPr="008A7CF5">
        <w:t xml:space="preserve">ven </w:t>
      </w:r>
      <w:r w:rsidR="00A749B2" w:rsidRPr="008A7CF5">
        <w:t xml:space="preserve">PNG’s sovereign responsibility and financial ability to undertake basic service delivery, </w:t>
      </w:r>
      <w:r w:rsidR="00E46FDC">
        <w:t>we</w:t>
      </w:r>
      <w:r w:rsidR="00906737" w:rsidRPr="008A7CF5">
        <w:t xml:space="preserve"> </w:t>
      </w:r>
      <w:r w:rsidR="00A749B2" w:rsidRPr="008A7CF5">
        <w:t>increasingly focus</w:t>
      </w:r>
      <w:r w:rsidR="00E46FDC">
        <w:t>ed</w:t>
      </w:r>
      <w:r w:rsidR="00A749B2" w:rsidRPr="008A7CF5">
        <w:t xml:space="preserve"> </w:t>
      </w:r>
      <w:r w:rsidR="00C22B12">
        <w:t>our</w:t>
      </w:r>
      <w:r w:rsidR="00C22B12" w:rsidRPr="008A7CF5">
        <w:t xml:space="preserve"> </w:t>
      </w:r>
      <w:r w:rsidR="00A749B2" w:rsidRPr="008A7CF5">
        <w:t xml:space="preserve">efforts in the health, education, infrastructure and law and justice sectors </w:t>
      </w:r>
      <w:r w:rsidR="00A749B2">
        <w:t>to further develop</w:t>
      </w:r>
      <w:r w:rsidR="00A749B2" w:rsidRPr="008A7CF5">
        <w:t xml:space="preserve"> PNG’s </w:t>
      </w:r>
      <w:r w:rsidR="00A749B2">
        <w:t xml:space="preserve">own </w:t>
      </w:r>
      <w:r w:rsidR="00A749B2" w:rsidRPr="008A7CF5">
        <w:t xml:space="preserve">capacity to </w:t>
      </w:r>
      <w:r w:rsidR="00A749B2" w:rsidRPr="00AC6A03">
        <w:t xml:space="preserve">deliver services to its population using its own </w:t>
      </w:r>
      <w:r w:rsidR="004F23AF" w:rsidRPr="00AC6A03">
        <w:t>resources.</w:t>
      </w:r>
      <w:r w:rsidR="00A749B2" w:rsidRPr="00AC6A03">
        <w:t xml:space="preserve">  </w:t>
      </w:r>
    </w:p>
    <w:p w:rsidR="004A3443" w:rsidRPr="00C4792B" w:rsidRDefault="00DE0178" w:rsidP="00994EC7">
      <w:pPr>
        <w:pStyle w:val="ListBullet"/>
        <w:numPr>
          <w:ilvl w:val="0"/>
          <w:numId w:val="32"/>
        </w:numPr>
        <w:spacing w:line="276" w:lineRule="auto"/>
      </w:pPr>
      <w:r>
        <w:t>An increase in</w:t>
      </w:r>
      <w:r w:rsidRPr="00C4792B">
        <w:t xml:space="preserve"> </w:t>
      </w:r>
      <w:r w:rsidR="004A3443" w:rsidRPr="00C4792B">
        <w:t xml:space="preserve">initiatives focused on private sector-led growth and aid for trade. </w:t>
      </w:r>
      <w:r w:rsidR="00741B48" w:rsidRPr="00C4792B">
        <w:t xml:space="preserve"> </w:t>
      </w:r>
    </w:p>
    <w:p w:rsidR="00C22B12" w:rsidRDefault="00DE0178" w:rsidP="00994EC7">
      <w:pPr>
        <w:pStyle w:val="ListBullet"/>
        <w:numPr>
          <w:ilvl w:val="0"/>
          <w:numId w:val="32"/>
        </w:numPr>
        <w:spacing w:line="276" w:lineRule="auto"/>
      </w:pPr>
      <w:r>
        <w:t>Expanded</w:t>
      </w:r>
      <w:r w:rsidRPr="008A7CF5">
        <w:t xml:space="preserve"> </w:t>
      </w:r>
      <w:r w:rsidR="00A749B2" w:rsidRPr="008A7CF5">
        <w:t>partnerships with the private sector</w:t>
      </w:r>
      <w:r w:rsidR="00A749B2">
        <w:t>, including</w:t>
      </w:r>
      <w:r w:rsidR="00A749B2" w:rsidRPr="008A7CF5">
        <w:t xml:space="preserve"> engag</w:t>
      </w:r>
      <w:r w:rsidR="004F23AF">
        <w:t>ing</w:t>
      </w:r>
      <w:r w:rsidR="00A749B2" w:rsidRPr="008A7CF5">
        <w:t xml:space="preserve"> with business.</w:t>
      </w:r>
      <w:r w:rsidR="00A749B2">
        <w:t xml:space="preserve"> </w:t>
      </w:r>
      <w:r w:rsidR="00A749B2" w:rsidRPr="008A7CF5">
        <w:t xml:space="preserve"> </w:t>
      </w:r>
    </w:p>
    <w:p w:rsidR="00A749B2" w:rsidRPr="00C22B12" w:rsidRDefault="00DE0178" w:rsidP="00994EC7">
      <w:pPr>
        <w:pStyle w:val="ListBullet"/>
        <w:numPr>
          <w:ilvl w:val="0"/>
          <w:numId w:val="32"/>
        </w:numPr>
        <w:spacing w:line="276" w:lineRule="auto"/>
      </w:pPr>
      <w:r>
        <w:t>Augmented</w:t>
      </w:r>
      <w:r w:rsidR="00A749B2" w:rsidRPr="008A7CF5">
        <w:t xml:space="preserve"> policing and public sector</w:t>
      </w:r>
      <w:r w:rsidR="00636999">
        <w:t xml:space="preserve"> </w:t>
      </w:r>
      <w:r w:rsidR="00FC6FBB">
        <w:t>capacity-</w:t>
      </w:r>
      <w:r w:rsidR="00636999">
        <w:t xml:space="preserve">building assistance, including through the reshaping of the </w:t>
      </w:r>
      <w:r w:rsidR="00A16136">
        <w:t xml:space="preserve">Australian Federal Police </w:t>
      </w:r>
      <w:r w:rsidR="00FC6FBB">
        <w:t xml:space="preserve">(AFP) </w:t>
      </w:r>
      <w:r w:rsidR="00636999">
        <w:t xml:space="preserve">deployment to PNG and </w:t>
      </w:r>
      <w:r w:rsidR="00636999" w:rsidRPr="00C22B12">
        <w:t>the establishment of the new Pacific Leadership and Governance Precinct.</w:t>
      </w:r>
    </w:p>
    <w:p w:rsidR="00C22B12" w:rsidRPr="00254B84" w:rsidRDefault="00DE0178" w:rsidP="00994EC7">
      <w:pPr>
        <w:pStyle w:val="ListBullet"/>
        <w:numPr>
          <w:ilvl w:val="0"/>
          <w:numId w:val="32"/>
        </w:numPr>
        <w:spacing w:line="276" w:lineRule="auto"/>
      </w:pPr>
      <w:r>
        <w:rPr>
          <w:rStyle w:val="Strong"/>
          <w:rFonts w:eastAsia="SimSun"/>
          <w:b w:val="0"/>
          <w:lang w:val="en-US"/>
        </w:rPr>
        <w:t>E</w:t>
      </w:r>
      <w:r w:rsidRPr="00DE44D1">
        <w:rPr>
          <w:rStyle w:val="Strong"/>
          <w:rFonts w:eastAsia="SimSun"/>
          <w:b w:val="0"/>
          <w:lang w:val="en-US"/>
        </w:rPr>
        <w:t>xpand</w:t>
      </w:r>
      <w:r>
        <w:rPr>
          <w:rStyle w:val="Strong"/>
          <w:rFonts w:eastAsia="SimSun"/>
          <w:b w:val="0"/>
          <w:lang w:val="en-US"/>
        </w:rPr>
        <w:t>ed</w:t>
      </w:r>
      <w:r w:rsidRPr="00DE44D1">
        <w:rPr>
          <w:rStyle w:val="Strong"/>
          <w:rFonts w:eastAsia="SimSun"/>
          <w:b w:val="0"/>
          <w:lang w:val="en-US"/>
        </w:rPr>
        <w:t xml:space="preserve"> </w:t>
      </w:r>
      <w:r w:rsidR="00C22B12" w:rsidRPr="00DE44D1">
        <w:rPr>
          <w:rStyle w:val="Strong"/>
          <w:rFonts w:eastAsia="SimSun"/>
          <w:b w:val="0"/>
          <w:lang w:val="en-US"/>
        </w:rPr>
        <w:t>support to women’s empowerment through an</w:t>
      </w:r>
      <w:r w:rsidR="00C22B12" w:rsidRPr="00C22B12">
        <w:rPr>
          <w:lang w:val="en-US"/>
        </w:rPr>
        <w:t xml:space="preserve"> increased focus on women’s effective participation in the economy</w:t>
      </w:r>
      <w:r w:rsidR="00C22B12">
        <w:rPr>
          <w:lang w:val="en-US"/>
        </w:rPr>
        <w:t>; women’s leadership in public and community life; and improved security in public and private spaces.</w:t>
      </w:r>
    </w:p>
    <w:p w:rsidR="00C22B12" w:rsidRDefault="002548AA" w:rsidP="00994EC7">
      <w:pPr>
        <w:pStyle w:val="ListBullet"/>
        <w:numPr>
          <w:ilvl w:val="0"/>
          <w:numId w:val="0"/>
        </w:numPr>
        <w:spacing w:line="276" w:lineRule="auto"/>
        <w:ind w:left="142"/>
      </w:pPr>
      <w:r>
        <w:t xml:space="preserve">Australia’s aid investments largely </w:t>
      </w:r>
      <w:r w:rsidR="00DE0178">
        <w:t xml:space="preserve">worked </w:t>
      </w:r>
      <w:r>
        <w:t>as intended</w:t>
      </w:r>
      <w:r w:rsidR="005F7415">
        <w:t>, however, the</w:t>
      </w:r>
      <w:r w:rsidR="00636999">
        <w:t xml:space="preserve"> results for Australia’s aid program to PNG in 2014-15 varied between sectors. </w:t>
      </w:r>
      <w:r w:rsidR="00741B48">
        <w:t xml:space="preserve"> </w:t>
      </w:r>
      <w:r w:rsidR="00AD0920">
        <w:t xml:space="preserve">Our support to transport infrastructure </w:t>
      </w:r>
      <w:r w:rsidR="00DE0178">
        <w:t xml:space="preserve">reflected </w:t>
      </w:r>
      <w:r w:rsidR="00AD0920">
        <w:t>consiste</w:t>
      </w:r>
      <w:r w:rsidR="00994AA1">
        <w:t>nt progress against our program</w:t>
      </w:r>
      <w:r w:rsidR="00AD0920">
        <w:t xml:space="preserve"> objectives</w:t>
      </w:r>
      <w:r w:rsidR="00B93271" w:rsidRPr="00B93271">
        <w:t xml:space="preserve">. </w:t>
      </w:r>
      <w:r w:rsidR="00741B48">
        <w:t xml:space="preserve"> </w:t>
      </w:r>
      <w:r w:rsidR="00B93271" w:rsidRPr="00B93271">
        <w:t>Modest gains were made from</w:t>
      </w:r>
      <w:r w:rsidR="00EF77B0">
        <w:t xml:space="preserve"> health,</w:t>
      </w:r>
      <w:r w:rsidR="00B93271" w:rsidRPr="00B93271">
        <w:t xml:space="preserve"> education and law and justice investments. </w:t>
      </w:r>
      <w:r w:rsidR="00741B48">
        <w:t xml:space="preserve"> </w:t>
      </w:r>
      <w:r w:rsidR="00B93271" w:rsidRPr="00B93271">
        <w:t>The challenging political and security environment in PNG limited the achievement of outcomes for Australian-supported activities in the governance sector.</w:t>
      </w:r>
      <w:r w:rsidR="00BE2C11">
        <w:t xml:space="preserve"> </w:t>
      </w:r>
      <w:r w:rsidR="00741B48">
        <w:t xml:space="preserve"> </w:t>
      </w:r>
      <w:r w:rsidR="00BE2C11" w:rsidRPr="00B93271">
        <w:t>Disability</w:t>
      </w:r>
      <w:r w:rsidR="00FC6FBB">
        <w:t>-</w:t>
      </w:r>
      <w:r w:rsidR="00BE2C11" w:rsidRPr="00B93271">
        <w:t xml:space="preserve">inclusive development </w:t>
      </w:r>
      <w:r w:rsidR="00E5680B" w:rsidRPr="00B93271">
        <w:t>continue</w:t>
      </w:r>
      <w:r w:rsidR="006143C5">
        <w:t>s</w:t>
      </w:r>
      <w:r w:rsidR="00E5680B" w:rsidRPr="00B93271">
        <w:t xml:space="preserve"> </w:t>
      </w:r>
      <w:r w:rsidR="00BE2C11" w:rsidRPr="00B93271">
        <w:t xml:space="preserve">to be an area requiring additional focus, </w:t>
      </w:r>
      <w:r w:rsidR="00EE26F1">
        <w:t xml:space="preserve">but PNG’s launching of the </w:t>
      </w:r>
      <w:r w:rsidR="00EE26F1" w:rsidRPr="00994EC7">
        <w:rPr>
          <w:szCs w:val="21"/>
        </w:rPr>
        <w:t>National Policy on Disability 2015-25</w:t>
      </w:r>
      <w:r w:rsidR="00EE26F1">
        <w:rPr>
          <w:i/>
          <w:szCs w:val="21"/>
        </w:rPr>
        <w:t xml:space="preserve"> </w:t>
      </w:r>
      <w:r w:rsidR="00EE26F1">
        <w:rPr>
          <w:szCs w:val="21"/>
        </w:rPr>
        <w:t xml:space="preserve">in May 2015 (developed with Australia’s support) was a notable achievement. </w:t>
      </w:r>
      <w:r w:rsidR="00741B48">
        <w:rPr>
          <w:szCs w:val="21"/>
        </w:rPr>
        <w:t xml:space="preserve"> </w:t>
      </w:r>
      <w:r w:rsidR="00B93271" w:rsidRPr="00B93271">
        <w:t>There was encouraging progress in the implementation of our programs supporting gender equality and women’s empowerment</w:t>
      </w:r>
      <w:r w:rsidR="00BE2C11">
        <w:t>,</w:t>
      </w:r>
      <w:r w:rsidR="00F91B52">
        <w:t xml:space="preserve"> </w:t>
      </w:r>
      <w:r w:rsidR="00EE60E8">
        <w:t xml:space="preserve">and in </w:t>
      </w:r>
      <w:r w:rsidR="004A3443">
        <w:t xml:space="preserve">the development of a PNG Private Sector Development Framework which has been agreed between </w:t>
      </w:r>
      <w:r w:rsidR="00FC6FBB">
        <w:t>governments</w:t>
      </w:r>
      <w:r w:rsidR="00BE2C11">
        <w:t>.</w:t>
      </w:r>
    </w:p>
    <w:p w:rsidR="00103FBA" w:rsidRDefault="00103FBA" w:rsidP="00994EC7">
      <w:pPr>
        <w:pStyle w:val="ListBullet"/>
        <w:numPr>
          <w:ilvl w:val="0"/>
          <w:numId w:val="0"/>
        </w:numPr>
        <w:spacing w:line="276" w:lineRule="auto"/>
        <w:ind w:left="142"/>
      </w:pPr>
      <w:r>
        <w:lastRenderedPageBreak/>
        <w:t xml:space="preserve">Our aid investments in the Autonomous Region of </w:t>
      </w:r>
      <w:r w:rsidRPr="00407292">
        <w:t xml:space="preserve">Bougainville </w:t>
      </w:r>
      <w:r w:rsidR="005F7415">
        <w:t xml:space="preserve">worked </w:t>
      </w:r>
      <w:r>
        <w:t xml:space="preserve">to support stability and prosperity as the </w:t>
      </w:r>
      <w:r w:rsidR="00FC6FBB">
        <w:t>Go</w:t>
      </w:r>
      <w:r w:rsidR="00677DE1">
        <w:t xml:space="preserve">vernments </w:t>
      </w:r>
      <w:r>
        <w:t xml:space="preserve">of PNG and Bougainville continue to implement autonomy and other arrangements under the 2001 Bougainville Peace Agreement. </w:t>
      </w:r>
    </w:p>
    <w:p w:rsidR="00E544E9" w:rsidRDefault="00E544E9" w:rsidP="00994EC7">
      <w:pPr>
        <w:pStyle w:val="ListBullet"/>
        <w:numPr>
          <w:ilvl w:val="0"/>
          <w:numId w:val="0"/>
        </w:numPr>
        <w:spacing w:line="276" w:lineRule="auto"/>
        <w:ind w:left="142"/>
      </w:pPr>
      <w:r>
        <w:t xml:space="preserve">A key constraint to effectively and consistently tracking performance across Australia’s aid investments in PNG has been the need for better defined performance benchmarks for Australia’s contribution to </w:t>
      </w:r>
      <w:r w:rsidR="00AD0920">
        <w:t xml:space="preserve">many </w:t>
      </w:r>
      <w:r>
        <w:t>sector</w:t>
      </w:r>
      <w:r w:rsidR="00AD0920">
        <w:t>s</w:t>
      </w:r>
      <w:r>
        <w:t>.</w:t>
      </w:r>
      <w:r w:rsidR="00741B48">
        <w:t xml:space="preserve"> </w:t>
      </w:r>
      <w:r>
        <w:t xml:space="preserve"> We also need to articulate how these benchmarks interact with the Government of PNG’s own development goals. </w:t>
      </w:r>
      <w:r w:rsidR="00741B48">
        <w:t xml:space="preserve"> </w:t>
      </w:r>
      <w:r w:rsidR="00BE2C11">
        <w:t xml:space="preserve">The availability of timely and accurate data sets upon which to base an assessment of progress against benchmarks </w:t>
      </w:r>
      <w:r w:rsidR="00E5680B">
        <w:t xml:space="preserve">also </w:t>
      </w:r>
      <w:r w:rsidR="00BE2C11">
        <w:t>remains a challenge</w:t>
      </w:r>
      <w:r w:rsidR="00677DE1">
        <w:t>.</w:t>
      </w:r>
    </w:p>
    <w:p w:rsidR="00B14A25" w:rsidRDefault="00B14A25" w:rsidP="00994EC7">
      <w:pPr>
        <w:pStyle w:val="ListBullet"/>
        <w:numPr>
          <w:ilvl w:val="0"/>
          <w:numId w:val="0"/>
        </w:numPr>
        <w:spacing w:line="276" w:lineRule="auto"/>
        <w:ind w:left="142"/>
      </w:pPr>
      <w:r>
        <w:t>A new bilateral Aid Partnership is expected to be agreed between the Governments of Australia and PNG in 2015</w:t>
      </w:r>
      <w:r w:rsidR="005208F2">
        <w:t>-16</w:t>
      </w:r>
      <w:r>
        <w:t>.</w:t>
      </w:r>
      <w:r w:rsidR="00741B48">
        <w:t xml:space="preserve">  </w:t>
      </w:r>
      <w:r>
        <w:t xml:space="preserve">It will align with the priorities outlined in </w:t>
      </w:r>
      <w:r w:rsidR="002D5FDB" w:rsidRPr="00994EC7">
        <w:t xml:space="preserve">DFAT’s new </w:t>
      </w:r>
      <w:hyperlink r:id="rId14" w:history="1">
        <w:r w:rsidR="00422C27">
          <w:rPr>
            <w:rStyle w:val="Hyperlink"/>
            <w:sz w:val="21"/>
            <w:szCs w:val="24"/>
          </w:rPr>
          <w:t>PNG Aid Investment Plan</w:t>
        </w:r>
      </w:hyperlink>
      <w:r>
        <w:t xml:space="preserve"> and in PNG’s </w:t>
      </w:r>
      <w:hyperlink r:id="rId15" w:history="1">
        <w:r w:rsidR="002D5FDB">
          <w:rPr>
            <w:rStyle w:val="Hyperlink"/>
            <w:sz w:val="21"/>
            <w:szCs w:val="24"/>
          </w:rPr>
          <w:t>Medium Term Development Plan 2 (2016-17)</w:t>
        </w:r>
      </w:hyperlink>
      <w:r>
        <w:t xml:space="preserve">. </w:t>
      </w:r>
      <w:r w:rsidR="00741B48">
        <w:t xml:space="preserve"> </w:t>
      </w:r>
      <w:r w:rsidR="0052404D">
        <w:br/>
      </w:r>
      <w:r w:rsidR="005208F2">
        <w:t xml:space="preserve">Australia and PNG will agree to </w:t>
      </w:r>
      <w:r>
        <w:t>benchmarks and mutual obligations for the PNG aid program through the new Aid Partnership, including schedules for education, health, law and justice, transport and governance.</w:t>
      </w:r>
      <w:r w:rsidR="0048534C">
        <w:t xml:space="preserve">  </w:t>
      </w:r>
      <w:r>
        <w:t xml:space="preserve">Gender equality and women’s empowerment outcomes will be more clearly defined and measured, and there will be an increased focus on private sector development. </w:t>
      </w:r>
      <w:r w:rsidR="00F91B52">
        <w:t xml:space="preserve"> </w:t>
      </w:r>
      <w:r w:rsidR="00F40F13">
        <w:t xml:space="preserve">Whole of Australian Government Sector Investment Plans and sector-level </w:t>
      </w:r>
      <w:r w:rsidR="00F40F13" w:rsidRPr="00025703">
        <w:t xml:space="preserve">performance </w:t>
      </w:r>
      <w:r w:rsidR="00F40F13">
        <w:t xml:space="preserve">assessment </w:t>
      </w:r>
      <w:r w:rsidR="00F40F13" w:rsidRPr="00025703">
        <w:t>framework</w:t>
      </w:r>
      <w:r w:rsidR="00F40F13">
        <w:t>s</w:t>
      </w:r>
      <w:r w:rsidR="00F40F13" w:rsidRPr="00025703">
        <w:t xml:space="preserve"> </w:t>
      </w:r>
      <w:r w:rsidR="00F40F13">
        <w:t>will also be developed to</w:t>
      </w:r>
      <w:r w:rsidR="00F40F13" w:rsidRPr="00025703">
        <w:t xml:space="preserve"> inform allocations for investments so it is clear how each investment cont</w:t>
      </w:r>
      <w:r w:rsidR="00F40F13">
        <w:t>ributes to overall results.</w:t>
      </w:r>
      <w:r>
        <w:t xml:space="preserve">  </w:t>
      </w:r>
    </w:p>
    <w:p w:rsidR="00B14A25" w:rsidRDefault="00B14A25" w:rsidP="00994EC7">
      <w:pPr>
        <w:pStyle w:val="ListBullet"/>
        <w:numPr>
          <w:ilvl w:val="0"/>
          <w:numId w:val="0"/>
        </w:numPr>
        <w:spacing w:line="276" w:lineRule="auto"/>
        <w:ind w:left="142"/>
      </w:pPr>
      <w:r w:rsidRPr="008215F1">
        <w:t>The Australian Government</w:t>
      </w:r>
      <w:r w:rsidR="00FA0A14">
        <w:t xml:space="preserve"> </w:t>
      </w:r>
      <w:r>
        <w:t>provides approximately</w:t>
      </w:r>
      <w:r w:rsidRPr="008215F1">
        <w:t xml:space="preserve"> 68 per cent of </w:t>
      </w:r>
      <w:r w:rsidR="0048534C">
        <w:t xml:space="preserve">the </w:t>
      </w:r>
      <w:r w:rsidRPr="008215F1">
        <w:t>total Official Development Assistance</w:t>
      </w:r>
      <w:r w:rsidR="0048534C">
        <w:t xml:space="preserve"> that PNG receives</w:t>
      </w:r>
      <w:r w:rsidRPr="008215F1">
        <w:t xml:space="preserve">. </w:t>
      </w:r>
      <w:r w:rsidR="00741B48">
        <w:t xml:space="preserve"> </w:t>
      </w:r>
      <w:r w:rsidRPr="008215F1">
        <w:t xml:space="preserve">The other </w:t>
      </w:r>
      <w:r>
        <w:t xml:space="preserve">main </w:t>
      </w:r>
      <w:r w:rsidRPr="008215F1">
        <w:t>bilateral donor</w:t>
      </w:r>
      <w:r w:rsidR="00F40F13">
        <w:t>s</w:t>
      </w:r>
      <w:r w:rsidRPr="008215F1">
        <w:t xml:space="preserve"> </w:t>
      </w:r>
      <w:r w:rsidR="004F23AF">
        <w:t>include</w:t>
      </w:r>
      <w:r w:rsidR="004F23AF" w:rsidRPr="008215F1">
        <w:t xml:space="preserve"> </w:t>
      </w:r>
      <w:r w:rsidRPr="008215F1">
        <w:t xml:space="preserve">New Zealand, Japan, the European Union and the United States of America. </w:t>
      </w:r>
      <w:r w:rsidR="00741B48">
        <w:t xml:space="preserve"> </w:t>
      </w:r>
      <w:r w:rsidR="00F40F13">
        <w:t>Australia will continue to engage with</w:t>
      </w:r>
      <w:r w:rsidRPr="008215F1">
        <w:t xml:space="preserve"> China </w:t>
      </w:r>
      <w:r w:rsidR="00F40F13">
        <w:t>in PNG as it begins to</w:t>
      </w:r>
      <w:r w:rsidR="00F40F13" w:rsidRPr="008215F1">
        <w:t xml:space="preserve"> </w:t>
      </w:r>
      <w:r w:rsidRPr="008215F1">
        <w:t>play a more significant and active role as an emerging donor.</w:t>
      </w:r>
      <w:r w:rsidR="00F91B52">
        <w:t xml:space="preserve"> </w:t>
      </w:r>
      <w:r w:rsidR="006143C5">
        <w:t xml:space="preserve"> </w:t>
      </w:r>
      <w:r w:rsidRPr="008215F1">
        <w:t>Multilateral partners are critical to development in PNG including, the Asia Development Bank</w:t>
      </w:r>
      <w:r>
        <w:t xml:space="preserve">, the World Bank </w:t>
      </w:r>
      <w:r w:rsidRPr="008215F1">
        <w:t>and the Global Fund</w:t>
      </w:r>
      <w:r>
        <w:t xml:space="preserve"> to Fight AIDS, Tuberculosis and Malaria.</w:t>
      </w:r>
    </w:p>
    <w:p w:rsidR="000D733F" w:rsidRPr="00B43B60" w:rsidRDefault="000D733F"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235483" w:rsidRPr="008A7CF5" w:rsidRDefault="00235483" w:rsidP="00994EC7">
      <w:pPr>
        <w:pStyle w:val="ListBullet"/>
        <w:numPr>
          <w:ilvl w:val="0"/>
          <w:numId w:val="0"/>
        </w:numPr>
        <w:spacing w:line="276" w:lineRule="auto"/>
        <w:ind w:left="142"/>
      </w:pPr>
      <w:r w:rsidRPr="008A7CF5">
        <w:t xml:space="preserve">Australia values its longstanding ties with </w:t>
      </w:r>
      <w:r w:rsidR="00A16136">
        <w:t>PNG</w:t>
      </w:r>
      <w:r w:rsidRPr="008A7CF5">
        <w:t xml:space="preserve"> – we have a shared history and a shared geography. </w:t>
      </w:r>
      <w:r>
        <w:t xml:space="preserve"> </w:t>
      </w:r>
      <w:r w:rsidR="00C552FE">
        <w:t>A</w:t>
      </w:r>
      <w:r>
        <w:t xml:space="preserve"> stable and prosperous PNG is in Australia’s interest.</w:t>
      </w:r>
      <w:r w:rsidRPr="008A7CF5">
        <w:t xml:space="preserve"> </w:t>
      </w:r>
      <w:r w:rsidR="004F23AF">
        <w:t xml:space="preserve"> </w:t>
      </w:r>
    </w:p>
    <w:p w:rsidR="00087FA0" w:rsidRPr="008A7CF5" w:rsidRDefault="00087FA0" w:rsidP="00994EC7">
      <w:pPr>
        <w:pStyle w:val="ListBullet"/>
        <w:numPr>
          <w:ilvl w:val="0"/>
          <w:numId w:val="0"/>
        </w:numPr>
        <w:spacing w:line="276" w:lineRule="auto"/>
        <w:ind w:left="142"/>
      </w:pPr>
      <w:r w:rsidRPr="008A7CF5">
        <w:t xml:space="preserve">PNG has experienced robust economic growth </w:t>
      </w:r>
      <w:r>
        <w:t>for over a</w:t>
      </w:r>
      <w:r w:rsidRPr="008A7CF5">
        <w:t xml:space="preserve"> decade, with expanding formal employment opportunities and strong growth in </w:t>
      </w:r>
      <w:r w:rsidR="00FC6FBB">
        <w:t>g</w:t>
      </w:r>
      <w:r w:rsidRPr="008A7CF5">
        <w:t>over</w:t>
      </w:r>
      <w:r>
        <w:t>nment expenditure and revenues.</w:t>
      </w:r>
      <w:r w:rsidRPr="008A7CF5">
        <w:t xml:space="preserve"> </w:t>
      </w:r>
      <w:r w:rsidR="009B1B5F">
        <w:t xml:space="preserve"> </w:t>
      </w:r>
      <w:r w:rsidRPr="008A7CF5">
        <w:t>This economic performance has been driven by high international prices for PNG’s m</w:t>
      </w:r>
      <w:r>
        <w:t xml:space="preserve">ining and agricultural exports, </w:t>
      </w:r>
      <w:r w:rsidRPr="008A7CF5">
        <w:t xml:space="preserve">and </w:t>
      </w:r>
      <w:r>
        <w:t xml:space="preserve">in </w:t>
      </w:r>
      <w:r w:rsidRPr="008A7CF5">
        <w:t>more recent</w:t>
      </w:r>
      <w:r>
        <w:t xml:space="preserve"> years</w:t>
      </w:r>
      <w:r w:rsidRPr="008A7CF5">
        <w:t xml:space="preserve"> construction activity related to the </w:t>
      </w:r>
      <w:r>
        <w:t>liquefied natural gas (</w:t>
      </w:r>
      <w:r w:rsidRPr="008A7CF5">
        <w:t>LNG</w:t>
      </w:r>
      <w:r>
        <w:t>)</w:t>
      </w:r>
      <w:r w:rsidRPr="008A7CF5">
        <w:t xml:space="preserve"> project</w:t>
      </w:r>
      <w:r w:rsidR="00741B48" w:rsidRPr="008A7CF5">
        <w:t>.</w:t>
      </w:r>
      <w:r w:rsidR="00741B48">
        <w:t xml:space="preserve">  </w:t>
      </w:r>
      <w:r w:rsidRPr="00E62C91">
        <w:t xml:space="preserve">In 2015, with the first full year of LNG exports, </w:t>
      </w:r>
      <w:r w:rsidRPr="00E62C91">
        <w:rPr>
          <w:bCs/>
        </w:rPr>
        <w:t>gross domestic product</w:t>
      </w:r>
      <w:r w:rsidRPr="00E62C91">
        <w:t xml:space="preserve"> (GDP) growth is estimated at 11</w:t>
      </w:r>
      <w:r w:rsidR="00050557">
        <w:t xml:space="preserve"> </w:t>
      </w:r>
      <w:r w:rsidRPr="00E62C91">
        <w:t xml:space="preserve">per cent, although non-mining GDP growth estimates remains more subdued at a forecast </w:t>
      </w:r>
      <w:r w:rsidR="003D7EDC">
        <w:t>3.3</w:t>
      </w:r>
      <w:r w:rsidR="003D7EDC" w:rsidRPr="00E62C91">
        <w:t xml:space="preserve"> </w:t>
      </w:r>
      <w:r w:rsidRPr="00E62C91">
        <w:t>per cent.</w:t>
      </w:r>
      <w:r w:rsidR="00F40F13">
        <w:rPr>
          <w:rStyle w:val="FootnoteReference"/>
        </w:rPr>
        <w:footnoteReference w:id="1"/>
      </w:r>
      <w:r w:rsidRPr="00E62C91">
        <w:t xml:space="preserve"> </w:t>
      </w:r>
      <w:r w:rsidR="00741B48">
        <w:t xml:space="preserve"> </w:t>
      </w:r>
      <w:r w:rsidRPr="00E62C91">
        <w:t>However, given PNG’</w:t>
      </w:r>
      <w:r w:rsidR="003C47CC">
        <w:t>s</w:t>
      </w:r>
      <w:r w:rsidRPr="00E62C91">
        <w:t xml:space="preserve"> dependence on the natural resources sector, it now faces significant fiscal challenges with declining international commodity prices and increasing public debt levels.</w:t>
      </w:r>
      <w:r w:rsidRPr="008A7CF5">
        <w:t xml:space="preserve"> </w:t>
      </w:r>
    </w:p>
    <w:p w:rsidR="00087FA0" w:rsidRDefault="00087FA0" w:rsidP="00994EC7">
      <w:pPr>
        <w:pStyle w:val="ListBullet"/>
        <w:numPr>
          <w:ilvl w:val="0"/>
          <w:numId w:val="0"/>
        </w:numPr>
        <w:spacing w:line="276" w:lineRule="auto"/>
        <w:ind w:left="142"/>
      </w:pPr>
      <w:r>
        <w:lastRenderedPageBreak/>
        <w:t xml:space="preserve">PNG’s </w:t>
      </w:r>
      <w:r w:rsidRPr="002F6BF7">
        <w:t xml:space="preserve">strong overall growth </w:t>
      </w:r>
      <w:r>
        <w:t xml:space="preserve">has </w:t>
      </w:r>
      <w:r w:rsidRPr="002F6BF7">
        <w:t xml:space="preserve">not translated into equitable development for Papua New Guineans. </w:t>
      </w:r>
      <w:r>
        <w:t xml:space="preserve"> </w:t>
      </w:r>
      <w:r w:rsidR="00C552FE">
        <w:t>PNG’s</w:t>
      </w:r>
      <w:r w:rsidR="00375A09">
        <w:t xml:space="preserve"> </w:t>
      </w:r>
      <w:r>
        <w:t>poor</w:t>
      </w:r>
      <w:r w:rsidRPr="002F6BF7">
        <w:t xml:space="preserve"> law and order</w:t>
      </w:r>
      <w:r>
        <w:t>,</w:t>
      </w:r>
      <w:r w:rsidRPr="002F6BF7">
        <w:t xml:space="preserve"> lack of infrastructure</w:t>
      </w:r>
      <w:r>
        <w:t>,</w:t>
      </w:r>
      <w:r w:rsidRPr="002F6BF7">
        <w:t xml:space="preserve"> </w:t>
      </w:r>
      <w:r w:rsidR="00C552FE">
        <w:t xml:space="preserve">dispersed geography, </w:t>
      </w:r>
      <w:r w:rsidRPr="002F6BF7">
        <w:t xml:space="preserve">complex governance arrangements, </w:t>
      </w:r>
      <w:r>
        <w:t xml:space="preserve">weak public service, </w:t>
      </w:r>
      <w:r w:rsidRPr="002F6BF7">
        <w:t>inequality between men and women</w:t>
      </w:r>
      <w:r>
        <w:t>, poor</w:t>
      </w:r>
      <w:r w:rsidRPr="002F6BF7">
        <w:t xml:space="preserve"> health and education services, and rapidly growing population are challenges to its future prosperity.</w:t>
      </w:r>
      <w:r w:rsidR="009B1B5F">
        <w:t xml:space="preserve"> </w:t>
      </w:r>
      <w:r w:rsidR="00741B48">
        <w:t xml:space="preserve"> </w:t>
      </w:r>
      <w:r w:rsidR="000460F2">
        <w:t xml:space="preserve">PNG is </w:t>
      </w:r>
      <w:r w:rsidR="00050557">
        <w:t>also</w:t>
      </w:r>
      <w:r w:rsidR="00D11585">
        <w:t xml:space="preserve"> </w:t>
      </w:r>
      <w:r w:rsidR="000460F2">
        <w:t xml:space="preserve">vulnerable to natural disasters including earthquakes, </w:t>
      </w:r>
      <w:r w:rsidR="0048534C">
        <w:t xml:space="preserve">volcanic </w:t>
      </w:r>
      <w:r w:rsidR="000460F2">
        <w:t>eruptions, and extreme weather events.</w:t>
      </w:r>
    </w:p>
    <w:p w:rsidR="00087FA0" w:rsidRDefault="00087FA0" w:rsidP="00994EC7">
      <w:pPr>
        <w:pStyle w:val="ListBullet"/>
        <w:numPr>
          <w:ilvl w:val="0"/>
          <w:numId w:val="0"/>
        </w:numPr>
        <w:spacing w:line="276" w:lineRule="auto"/>
        <w:ind w:left="142"/>
      </w:pPr>
      <w:r w:rsidRPr="002F6BF7">
        <w:t xml:space="preserve">PNG will not meet any of the </w:t>
      </w:r>
      <w:hyperlink r:id="rId16" w:history="1">
        <w:r w:rsidRPr="00E15E6A">
          <w:rPr>
            <w:rStyle w:val="Hyperlink"/>
            <w:sz w:val="21"/>
            <w:szCs w:val="24"/>
          </w:rPr>
          <w:t>Millennium Development Goals</w:t>
        </w:r>
      </w:hyperlink>
      <w:r w:rsidR="00915E87">
        <w:t xml:space="preserve"> (MDGs). </w:t>
      </w:r>
      <w:r w:rsidR="006143C5">
        <w:t xml:space="preserve"> </w:t>
      </w:r>
      <w:r>
        <w:t>O</w:t>
      </w:r>
      <w:r w:rsidRPr="002F6BF7">
        <w:t xml:space="preserve">ver </w:t>
      </w:r>
      <w:r>
        <w:t xml:space="preserve">three </w:t>
      </w:r>
      <w:r w:rsidRPr="002F6BF7">
        <w:t>million people</w:t>
      </w:r>
      <w:r w:rsidR="00741B48">
        <w:t xml:space="preserve"> </w:t>
      </w:r>
      <w:r w:rsidRPr="002F6BF7">
        <w:t xml:space="preserve">– or 40 per cent of the population </w:t>
      </w:r>
      <w:r w:rsidR="00AC6A03">
        <w:t xml:space="preserve">– </w:t>
      </w:r>
      <w:r w:rsidRPr="002F6BF7">
        <w:t>remain poor and/or face hardship</w:t>
      </w:r>
      <w:r>
        <w:t xml:space="preserve">: </w:t>
      </w:r>
      <w:r w:rsidRPr="002F6BF7">
        <w:t xml:space="preserve"> </w:t>
      </w:r>
    </w:p>
    <w:p w:rsidR="007308B5" w:rsidRDefault="007308B5" w:rsidP="00994EC7">
      <w:pPr>
        <w:pStyle w:val="ListBullet"/>
        <w:numPr>
          <w:ilvl w:val="0"/>
          <w:numId w:val="28"/>
        </w:numPr>
        <w:tabs>
          <w:tab w:val="clear" w:pos="284"/>
        </w:tabs>
        <w:spacing w:line="276" w:lineRule="auto"/>
      </w:pPr>
      <w:r>
        <w:t>Malnutrition rates are high</w:t>
      </w:r>
      <w:r w:rsidR="0039021C">
        <w:t xml:space="preserve"> (</w:t>
      </w:r>
      <w:r>
        <w:t>45 per cent of children stunted and 14 per cent wasting</w:t>
      </w:r>
      <w:r w:rsidR="003B7B88">
        <w:t>)</w:t>
      </w:r>
      <w:r>
        <w:t xml:space="preserve">. </w:t>
      </w:r>
    </w:p>
    <w:p w:rsidR="00087FA0" w:rsidRDefault="00087FA0" w:rsidP="00994EC7">
      <w:pPr>
        <w:pStyle w:val="ListBullet"/>
        <w:numPr>
          <w:ilvl w:val="0"/>
          <w:numId w:val="28"/>
        </w:numPr>
        <w:tabs>
          <w:tab w:val="clear" w:pos="284"/>
        </w:tabs>
        <w:spacing w:line="276" w:lineRule="auto"/>
      </w:pPr>
      <w:r w:rsidRPr="002F6BF7">
        <w:t>Around 80 per cent of the population reside in traditional rural</w:t>
      </w:r>
      <w:r>
        <w:t xml:space="preserve"> and remote coastal</w:t>
      </w:r>
      <w:r w:rsidRPr="002F6BF7">
        <w:t xml:space="preserve"> communities and secure their livelihoods from subsistence </w:t>
      </w:r>
      <w:r>
        <w:t>farming, fishing</w:t>
      </w:r>
      <w:r w:rsidRPr="002F6BF7">
        <w:t xml:space="preserve"> and small</w:t>
      </w:r>
      <w:r w:rsidRPr="002F6BF7">
        <w:noBreakHyphen/>
        <w:t xml:space="preserve">scale cash cropping. </w:t>
      </w:r>
      <w:r>
        <w:t xml:space="preserve"> </w:t>
      </w:r>
    </w:p>
    <w:p w:rsidR="00087FA0" w:rsidRDefault="00087FA0" w:rsidP="00994EC7">
      <w:pPr>
        <w:pStyle w:val="ListBullet"/>
        <w:numPr>
          <w:ilvl w:val="0"/>
          <w:numId w:val="28"/>
        </w:numPr>
        <w:tabs>
          <w:tab w:val="clear" w:pos="284"/>
        </w:tabs>
        <w:spacing w:line="276" w:lineRule="auto"/>
      </w:pPr>
      <w:r>
        <w:t>L</w:t>
      </w:r>
      <w:r w:rsidRPr="002F6BF7">
        <w:t xml:space="preserve">ife expectancy </w:t>
      </w:r>
      <w:r>
        <w:t xml:space="preserve">is </w:t>
      </w:r>
      <w:r w:rsidRPr="002F6BF7">
        <w:t>only 62 years</w:t>
      </w:r>
      <w:r w:rsidR="00003C96">
        <w:t xml:space="preserve"> (compared with 60 years in 2005)</w:t>
      </w:r>
      <w:r>
        <w:t xml:space="preserve"> and infant mortality is 47.3 per 1,000 live births</w:t>
      </w:r>
      <w:r w:rsidR="00003C96">
        <w:t xml:space="preserve"> (compared with </w:t>
      </w:r>
      <w:r w:rsidR="00003C96" w:rsidRPr="00ED65FD">
        <w:t xml:space="preserve">51.5 </w:t>
      </w:r>
      <w:r w:rsidR="00003C96">
        <w:t>per 1,000 in 2005)</w:t>
      </w:r>
      <w:r w:rsidRPr="002F6BF7">
        <w:t>.</w:t>
      </w:r>
    </w:p>
    <w:p w:rsidR="00087FA0" w:rsidRDefault="00087FA0" w:rsidP="00994EC7">
      <w:pPr>
        <w:pStyle w:val="ListBullet"/>
        <w:numPr>
          <w:ilvl w:val="0"/>
          <w:numId w:val="28"/>
        </w:numPr>
        <w:tabs>
          <w:tab w:val="clear" w:pos="284"/>
        </w:tabs>
        <w:spacing w:line="276" w:lineRule="auto"/>
      </w:pPr>
      <w:r w:rsidRPr="002F6BF7">
        <w:t xml:space="preserve">Women and girls suffer unacceptably high death rates related to pregnancy and </w:t>
      </w:r>
      <w:r>
        <w:t>childbirth</w:t>
      </w:r>
      <w:r w:rsidRPr="002F6BF7">
        <w:t>, and the majority experience sexual and family violence.</w:t>
      </w:r>
    </w:p>
    <w:p w:rsidR="00087FA0" w:rsidRDefault="00087FA0" w:rsidP="00994EC7">
      <w:pPr>
        <w:pStyle w:val="ListBullet"/>
        <w:numPr>
          <w:ilvl w:val="0"/>
          <w:numId w:val="28"/>
        </w:numPr>
        <w:tabs>
          <w:tab w:val="clear" w:pos="284"/>
        </w:tabs>
        <w:spacing w:line="276" w:lineRule="auto"/>
      </w:pPr>
      <w:r>
        <w:t xml:space="preserve">It is estimated that around 15 per cent of the population </w:t>
      </w:r>
      <w:r w:rsidR="003F59DC">
        <w:t xml:space="preserve">has </w:t>
      </w:r>
      <w:r>
        <w:t>some form of disability.</w:t>
      </w:r>
    </w:p>
    <w:p w:rsidR="00087FA0" w:rsidRDefault="00087FA0" w:rsidP="00994EC7">
      <w:pPr>
        <w:pStyle w:val="ListBullet"/>
        <w:numPr>
          <w:ilvl w:val="0"/>
          <w:numId w:val="0"/>
        </w:numPr>
        <w:spacing w:line="276" w:lineRule="auto"/>
        <w:ind w:left="142"/>
      </w:pPr>
      <w:r w:rsidRPr="008A7CF5">
        <w:t xml:space="preserve">Despite these development challenges, PNG is seeking to achieve </w:t>
      </w:r>
      <w:r>
        <w:t xml:space="preserve">upper </w:t>
      </w:r>
      <w:r w:rsidRPr="008A7CF5">
        <w:t>middle-income country status by 20</w:t>
      </w:r>
      <w:r>
        <w:t>5</w:t>
      </w:r>
      <w:r w:rsidRPr="008A7CF5">
        <w:t>0.</w:t>
      </w:r>
      <w:r w:rsidR="006143C5">
        <w:rPr>
          <w:rStyle w:val="FootnoteReference"/>
        </w:rPr>
        <w:footnoteReference w:id="2"/>
      </w:r>
      <w:r>
        <w:t xml:space="preserve"> </w:t>
      </w:r>
      <w:r w:rsidR="00AC6A03">
        <w:t xml:space="preserve"> </w:t>
      </w:r>
      <w:r w:rsidRPr="008A7CF5">
        <w:t xml:space="preserve">Sector priorities, as set out in the </w:t>
      </w:r>
      <w:r>
        <w:t xml:space="preserve">PNG Government’s </w:t>
      </w:r>
      <w:hyperlink r:id="rId17" w:history="1">
        <w:r w:rsidRPr="00B5247F">
          <w:rPr>
            <w:rStyle w:val="Hyperlink"/>
            <w:sz w:val="21"/>
            <w:szCs w:val="24"/>
          </w:rPr>
          <w:t>2012 Alotau Accord</w:t>
        </w:r>
      </w:hyperlink>
      <w:r>
        <w:t>,</w:t>
      </w:r>
      <w:r w:rsidRPr="008A7CF5">
        <w:t xml:space="preserve"> include </w:t>
      </w:r>
      <w:r w:rsidRPr="00D7252C">
        <w:t>education, health, law and justice, infrastructure and sustainable economic growth.</w:t>
      </w:r>
      <w:r w:rsidRPr="008A7CF5">
        <w:t xml:space="preserve"> </w:t>
      </w:r>
      <w:r>
        <w:t xml:space="preserve"> </w:t>
      </w:r>
      <w:r w:rsidRPr="008A7CF5">
        <w:t>PNG’s economic growth agenda focuses upon investments in ‘high impact infrastructure’</w:t>
      </w:r>
      <w:r w:rsidR="00AC6A03">
        <w:t xml:space="preserve"> –</w:t>
      </w:r>
      <w:r w:rsidR="00AC6A03" w:rsidRPr="008A7CF5">
        <w:t xml:space="preserve"> </w:t>
      </w:r>
      <w:r w:rsidRPr="008A7CF5">
        <w:t>key roads, ports, power, and hospitals; job skills development; and partnering with the private sector</w:t>
      </w:r>
      <w:r>
        <w:t xml:space="preserve">, </w:t>
      </w:r>
      <w:r w:rsidRPr="008A7CF5">
        <w:t xml:space="preserve">including supporting its role in service delivery. </w:t>
      </w:r>
    </w:p>
    <w:p w:rsidR="00087FA0" w:rsidRPr="009C685D" w:rsidRDefault="00087FA0" w:rsidP="00994EC7">
      <w:pPr>
        <w:pStyle w:val="ListBullet"/>
        <w:numPr>
          <w:ilvl w:val="0"/>
          <w:numId w:val="0"/>
        </w:numPr>
        <w:spacing w:line="276" w:lineRule="auto"/>
        <w:ind w:left="142"/>
      </w:pPr>
      <w:r>
        <w:t>PNG has a strong focus on improving service delivery at the local level through the introduction of District Development Authorities (DDAs).</w:t>
      </w:r>
      <w:r w:rsidR="00F91B52">
        <w:t xml:space="preserve"> </w:t>
      </w:r>
      <w:r w:rsidR="00AC6A03">
        <w:t xml:space="preserve"> </w:t>
      </w:r>
      <w:r>
        <w:t xml:space="preserve">While this process is intended to consolidate greater financial resources at the district level, providing effective assistance at the sub-national level may be challenging.  </w:t>
      </w:r>
    </w:p>
    <w:p w:rsidR="00087FA0" w:rsidRDefault="00087FA0" w:rsidP="00994EC7">
      <w:pPr>
        <w:pStyle w:val="ListBullet"/>
        <w:numPr>
          <w:ilvl w:val="0"/>
          <w:numId w:val="0"/>
        </w:numPr>
        <w:spacing w:line="276" w:lineRule="auto"/>
        <w:ind w:left="142"/>
      </w:pPr>
      <w:r w:rsidRPr="008A7CF5">
        <w:t>PNG’s</w:t>
      </w:r>
      <w:r>
        <w:t xml:space="preserve"> decade of</w:t>
      </w:r>
      <w:r w:rsidRPr="008A7CF5">
        <w:t xml:space="preserve"> economic expansion</w:t>
      </w:r>
      <w:r>
        <w:t xml:space="preserve"> </w:t>
      </w:r>
      <w:r w:rsidRPr="008A7CF5">
        <w:t>has led to a reduction in the comparative size of Australian aid</w:t>
      </w:r>
      <w:r w:rsidR="00254B84">
        <w:t xml:space="preserve"> as a contributor to PNG’s development budget</w:t>
      </w:r>
      <w:r>
        <w:t xml:space="preserve">. </w:t>
      </w:r>
      <w:r w:rsidR="00AC6A03">
        <w:t xml:space="preserve"> </w:t>
      </w:r>
      <w:r>
        <w:t>At</w:t>
      </w:r>
      <w:r w:rsidRPr="008A7CF5">
        <w:t xml:space="preserve"> independence in 1975</w:t>
      </w:r>
      <w:r>
        <w:t>,</w:t>
      </w:r>
      <w:r w:rsidRPr="008A7CF5">
        <w:t xml:space="preserve"> Australian aid represented 40 per cent of PNG’s budget, </w:t>
      </w:r>
      <w:r>
        <w:t xml:space="preserve">but </w:t>
      </w:r>
      <w:r w:rsidRPr="008A7CF5">
        <w:t xml:space="preserve">today it represents </w:t>
      </w:r>
      <w:r>
        <w:t xml:space="preserve">around </w:t>
      </w:r>
      <w:r w:rsidR="007341AE">
        <w:t xml:space="preserve">8 </w:t>
      </w:r>
      <w:r w:rsidRPr="008A7CF5">
        <w:t>per cent</w:t>
      </w:r>
      <w:r>
        <w:t xml:space="preserve">, </w:t>
      </w:r>
      <w:r w:rsidRPr="008A7CF5">
        <w:t>even as</w:t>
      </w:r>
      <w:r>
        <w:t xml:space="preserve"> Australia remains</w:t>
      </w:r>
      <w:r w:rsidRPr="008A7CF5">
        <w:t xml:space="preserve"> PNG’s largest bilateral aid donor. </w:t>
      </w:r>
      <w:r w:rsidR="00AC6A03">
        <w:t xml:space="preserve"> </w:t>
      </w:r>
      <w:r>
        <w:t xml:space="preserve">As such, </w:t>
      </w:r>
      <w:r w:rsidRPr="008A7CF5">
        <w:t xml:space="preserve">Australia’s aid investment must increasingly focus on assisting PNG to mobilise its own resources </w:t>
      </w:r>
      <w:r w:rsidR="005F7415">
        <w:t>to support growth and deliver services to its people</w:t>
      </w:r>
      <w:r w:rsidRPr="008A7CF5">
        <w:t xml:space="preserve">. </w:t>
      </w:r>
    </w:p>
    <w:p w:rsidR="00AC6A03" w:rsidRDefault="00AC6A03" w:rsidP="00087FA0">
      <w:pPr>
        <w:pStyle w:val="ListBullet"/>
        <w:numPr>
          <w:ilvl w:val="0"/>
          <w:numId w:val="0"/>
        </w:numPr>
        <w:ind w:left="142"/>
      </w:pPr>
    </w:p>
    <w:p w:rsidR="000D733F" w:rsidRPr="009E38C1" w:rsidRDefault="000D733F" w:rsidP="000D733F">
      <w:pPr>
        <w:pStyle w:val="Heading2"/>
        <w:rPr>
          <w:sz w:val="28"/>
        </w:rPr>
      </w:pPr>
      <w:r w:rsidRPr="009E38C1">
        <w:rPr>
          <w:sz w:val="28"/>
        </w:rPr>
        <w:lastRenderedPageBreak/>
        <w:t>Expenditure</w:t>
      </w:r>
    </w:p>
    <w:p w:rsidR="000D733F" w:rsidRDefault="000D733F" w:rsidP="00687B2F">
      <w:pPr>
        <w:pStyle w:val="Caption"/>
        <w:keepLines/>
      </w:pPr>
      <w:bookmarkStart w:id="0" w:name="_Toc373853206"/>
      <w:r w:rsidRPr="005901D2">
        <w:t xml:space="preserve">Table </w:t>
      </w:r>
      <w:r w:rsidR="00924076">
        <w:fldChar w:fldCharType="begin"/>
      </w:r>
      <w:r w:rsidR="00924076">
        <w:instrText xml:space="preserve"> SEQ Table \* ARABIC </w:instrText>
      </w:r>
      <w:r w:rsidR="00924076">
        <w:fldChar w:fldCharType="separate"/>
      </w:r>
      <w:r w:rsidR="00AC2B9B">
        <w:rPr>
          <w:noProof/>
        </w:rPr>
        <w:t>1</w:t>
      </w:r>
      <w:r w:rsidR="00924076">
        <w:rPr>
          <w:noProof/>
        </w:rPr>
        <w:fldChar w:fldCharType="end"/>
      </w:r>
      <w:r w:rsidRPr="005901D2">
        <w:t xml:space="preserve"> </w:t>
      </w:r>
      <w:r w:rsidR="00687B2F">
        <w:t>Total ODA Expenditure in FY 2014-15</w:t>
      </w:r>
    </w:p>
    <w:tbl>
      <w:tblPr>
        <w:tblW w:w="8335" w:type="dxa"/>
        <w:tblInd w:w="93" w:type="dxa"/>
        <w:tblLook w:val="04A0" w:firstRow="1" w:lastRow="0" w:firstColumn="1" w:lastColumn="0" w:noHBand="0" w:noVBand="1"/>
      </w:tblPr>
      <w:tblGrid>
        <w:gridCol w:w="6394"/>
        <w:gridCol w:w="948"/>
        <w:gridCol w:w="993"/>
      </w:tblGrid>
      <w:tr w:rsidR="0050064E" w:rsidRPr="0050064E" w:rsidTr="0050064E">
        <w:trPr>
          <w:trHeight w:val="315"/>
        </w:trPr>
        <w:tc>
          <w:tcPr>
            <w:tcW w:w="6394" w:type="dxa"/>
            <w:tcBorders>
              <w:top w:val="single" w:sz="12" w:space="0" w:color="auto"/>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b/>
                <w:bCs/>
                <w:color w:val="000000"/>
                <w:sz w:val="17"/>
                <w:szCs w:val="17"/>
              </w:rPr>
            </w:pPr>
            <w:r w:rsidRPr="0050064E">
              <w:rPr>
                <w:rFonts w:ascii="Franklin Gothic Book" w:eastAsia="Times New Roman" w:hAnsi="Franklin Gothic Book" w:cs="Calibri"/>
                <w:b/>
                <w:bCs/>
                <w:color w:val="000000"/>
                <w:sz w:val="17"/>
                <w:szCs w:val="17"/>
              </w:rPr>
              <w:t>Objective</w:t>
            </w:r>
          </w:p>
        </w:tc>
        <w:tc>
          <w:tcPr>
            <w:tcW w:w="948" w:type="dxa"/>
            <w:tcBorders>
              <w:top w:val="single" w:sz="12" w:space="0" w:color="auto"/>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b/>
                <w:bCs/>
                <w:color w:val="000000"/>
                <w:sz w:val="17"/>
                <w:szCs w:val="17"/>
              </w:rPr>
            </w:pPr>
            <w:r w:rsidRPr="0050064E">
              <w:rPr>
                <w:rFonts w:ascii="Franklin Gothic Book" w:eastAsia="Times New Roman" w:hAnsi="Franklin Gothic Book" w:cs="Calibri"/>
                <w:b/>
                <w:bCs/>
                <w:color w:val="000000"/>
                <w:sz w:val="17"/>
                <w:szCs w:val="17"/>
              </w:rPr>
              <w:t>$ million</w:t>
            </w:r>
          </w:p>
        </w:tc>
        <w:tc>
          <w:tcPr>
            <w:tcW w:w="993" w:type="dxa"/>
            <w:tcBorders>
              <w:top w:val="single" w:sz="12" w:space="0" w:color="auto"/>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b/>
                <w:bCs/>
                <w:color w:val="000000"/>
                <w:sz w:val="17"/>
                <w:szCs w:val="17"/>
              </w:rPr>
            </w:pPr>
            <w:r w:rsidRPr="0050064E">
              <w:rPr>
                <w:rFonts w:ascii="Franklin Gothic Book" w:eastAsia="Times New Roman" w:hAnsi="Franklin Gothic Book" w:cs="Calibri"/>
                <w:b/>
                <w:bCs/>
                <w:color w:val="000000"/>
                <w:sz w:val="17"/>
                <w:szCs w:val="17"/>
              </w:rPr>
              <w:t>% of total ODA</w:t>
            </w:r>
          </w:p>
        </w:tc>
      </w:tr>
      <w:tr w:rsidR="0050064E" w:rsidRPr="0050064E" w:rsidTr="0050064E">
        <w:trPr>
          <w:trHeight w:val="315"/>
        </w:trPr>
        <w:tc>
          <w:tcPr>
            <w:tcW w:w="6394"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b/>
                <w:bCs/>
                <w:i/>
                <w:iCs/>
                <w:color w:val="000000"/>
                <w:sz w:val="17"/>
                <w:szCs w:val="17"/>
              </w:rPr>
            </w:pPr>
            <w:r w:rsidRPr="0050064E">
              <w:rPr>
                <w:rFonts w:ascii="Franklin Gothic Book" w:eastAsia="Times New Roman" w:hAnsi="Franklin Gothic Book" w:cs="Calibri"/>
                <w:b/>
                <w:bCs/>
                <w:i/>
                <w:iCs/>
                <w:color w:val="000000"/>
                <w:sz w:val="17"/>
                <w:szCs w:val="17"/>
              </w:rPr>
              <w:t xml:space="preserve">Bilateral </w:t>
            </w:r>
          </w:p>
        </w:tc>
        <w:tc>
          <w:tcPr>
            <w:tcW w:w="948"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b/>
                <w:bCs/>
                <w:color w:val="000000"/>
                <w:sz w:val="17"/>
                <w:szCs w:val="17"/>
              </w:rPr>
            </w:pPr>
          </w:p>
        </w:tc>
        <w:tc>
          <w:tcPr>
            <w:tcW w:w="993"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b/>
                <w:bCs/>
                <w:color w:val="000000"/>
                <w:sz w:val="17"/>
                <w:szCs w:val="17"/>
              </w:rPr>
            </w:pPr>
          </w:p>
        </w:tc>
      </w:tr>
      <w:tr w:rsidR="0050064E" w:rsidRPr="0050064E" w:rsidTr="0050064E">
        <w:trPr>
          <w:trHeight w:val="315"/>
        </w:trPr>
        <w:tc>
          <w:tcPr>
            <w:tcW w:w="6394" w:type="dxa"/>
            <w:tcBorders>
              <w:top w:val="single" w:sz="12" w:space="0" w:color="000000"/>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Objective 1 – Improved health and HIV/AIDs outcomes</w:t>
            </w:r>
          </w:p>
        </w:tc>
        <w:tc>
          <w:tcPr>
            <w:tcW w:w="948" w:type="dxa"/>
            <w:tcBorders>
              <w:top w:val="single" w:sz="4" w:space="0" w:color="auto"/>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99.9</w:t>
            </w:r>
          </w:p>
        </w:tc>
        <w:tc>
          <w:tcPr>
            <w:tcW w:w="993" w:type="dxa"/>
            <w:tcBorders>
              <w:top w:val="single" w:sz="4" w:space="0" w:color="auto"/>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18.9%</w:t>
            </w:r>
          </w:p>
        </w:tc>
      </w:tr>
      <w:tr w:rsidR="0050064E" w:rsidRPr="0050064E" w:rsidTr="0050064E">
        <w:trPr>
          <w:trHeight w:val="300"/>
        </w:trPr>
        <w:tc>
          <w:tcPr>
            <w:tcW w:w="6394"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Objective 2 - Improved access to quality education at all levels</w:t>
            </w:r>
          </w:p>
        </w:tc>
        <w:tc>
          <w:tcPr>
            <w:tcW w:w="948" w:type="dxa"/>
            <w:tcBorders>
              <w:top w:val="nil"/>
              <w:left w:val="nil"/>
              <w:bottom w:val="nil"/>
              <w:right w:val="nil"/>
            </w:tcBorders>
            <w:shd w:val="clear" w:color="auto" w:fill="auto"/>
            <w:vAlign w:val="center"/>
            <w:hideMark/>
          </w:tcPr>
          <w:p w:rsidR="0050064E" w:rsidRPr="0050064E" w:rsidRDefault="0050064E" w:rsidP="0082706F">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63.</w:t>
            </w:r>
            <w:r w:rsidR="0082706F">
              <w:rPr>
                <w:rFonts w:ascii="Franklin Gothic Book" w:eastAsia="Times New Roman" w:hAnsi="Franklin Gothic Book" w:cs="Calibri"/>
                <w:color w:val="000000"/>
                <w:sz w:val="17"/>
                <w:szCs w:val="17"/>
              </w:rPr>
              <w:t>9</w:t>
            </w:r>
          </w:p>
        </w:tc>
        <w:tc>
          <w:tcPr>
            <w:tcW w:w="993"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12.1%</w:t>
            </w:r>
          </w:p>
        </w:tc>
      </w:tr>
      <w:tr w:rsidR="0050064E" w:rsidRPr="0050064E" w:rsidTr="0050064E">
        <w:trPr>
          <w:trHeight w:val="300"/>
        </w:trPr>
        <w:tc>
          <w:tcPr>
            <w:tcW w:w="6394"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 xml:space="preserve">Objective 3 - Improved law and justice  </w:t>
            </w:r>
          </w:p>
        </w:tc>
        <w:tc>
          <w:tcPr>
            <w:tcW w:w="948"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26.3</w:t>
            </w:r>
          </w:p>
        </w:tc>
        <w:tc>
          <w:tcPr>
            <w:tcW w:w="993"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5.0%</w:t>
            </w:r>
          </w:p>
        </w:tc>
      </w:tr>
      <w:tr w:rsidR="0050064E" w:rsidRPr="0050064E" w:rsidTr="0050064E">
        <w:trPr>
          <w:trHeight w:val="300"/>
        </w:trPr>
        <w:tc>
          <w:tcPr>
            <w:tcW w:w="6394"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 xml:space="preserve">Objective 4 - Improved transport services to facilitate social and economic development </w:t>
            </w:r>
          </w:p>
        </w:tc>
        <w:tc>
          <w:tcPr>
            <w:tcW w:w="948" w:type="dxa"/>
            <w:tcBorders>
              <w:top w:val="nil"/>
              <w:left w:val="nil"/>
              <w:bottom w:val="nil"/>
              <w:right w:val="nil"/>
            </w:tcBorders>
            <w:shd w:val="clear" w:color="auto" w:fill="auto"/>
            <w:vAlign w:val="center"/>
            <w:hideMark/>
          </w:tcPr>
          <w:p w:rsidR="0050064E" w:rsidRPr="0050064E" w:rsidRDefault="0050064E" w:rsidP="006239A6">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71.</w:t>
            </w:r>
            <w:r w:rsidR="006239A6">
              <w:rPr>
                <w:rFonts w:ascii="Franklin Gothic Book" w:eastAsia="Times New Roman" w:hAnsi="Franklin Gothic Book" w:cs="Calibri"/>
                <w:color w:val="000000"/>
                <w:sz w:val="17"/>
                <w:szCs w:val="17"/>
              </w:rPr>
              <w:t>2</w:t>
            </w:r>
          </w:p>
        </w:tc>
        <w:tc>
          <w:tcPr>
            <w:tcW w:w="993"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13.5%</w:t>
            </w:r>
          </w:p>
        </w:tc>
      </w:tr>
      <w:tr w:rsidR="0050064E" w:rsidRPr="0050064E" w:rsidTr="0050064E">
        <w:trPr>
          <w:trHeight w:val="300"/>
        </w:trPr>
        <w:tc>
          <w:tcPr>
            <w:tcW w:w="6394"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Objective 5 - Strengthened governance</w:t>
            </w:r>
          </w:p>
        </w:tc>
        <w:tc>
          <w:tcPr>
            <w:tcW w:w="948"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112.7</w:t>
            </w:r>
          </w:p>
        </w:tc>
        <w:tc>
          <w:tcPr>
            <w:tcW w:w="993"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21.3%</w:t>
            </w:r>
          </w:p>
        </w:tc>
      </w:tr>
      <w:tr w:rsidR="0050064E" w:rsidRPr="0050064E" w:rsidTr="0050064E">
        <w:trPr>
          <w:trHeight w:val="300"/>
        </w:trPr>
        <w:tc>
          <w:tcPr>
            <w:tcW w:w="6394"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Other (Gender, Humanitarian, Program Support, Private Sector and Bougainville)</w:t>
            </w:r>
          </w:p>
        </w:tc>
        <w:tc>
          <w:tcPr>
            <w:tcW w:w="948"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76.6</w:t>
            </w:r>
          </w:p>
        </w:tc>
        <w:tc>
          <w:tcPr>
            <w:tcW w:w="993"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14.5%</w:t>
            </w:r>
          </w:p>
        </w:tc>
      </w:tr>
      <w:tr w:rsidR="0050064E" w:rsidRPr="0050064E" w:rsidTr="0050064E">
        <w:trPr>
          <w:trHeight w:val="300"/>
        </w:trPr>
        <w:tc>
          <w:tcPr>
            <w:tcW w:w="6394"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b/>
                <w:bCs/>
                <w:color w:val="000000"/>
                <w:sz w:val="17"/>
                <w:szCs w:val="17"/>
              </w:rPr>
            </w:pPr>
            <w:r w:rsidRPr="0050064E">
              <w:rPr>
                <w:rFonts w:ascii="Franklin Gothic Book" w:eastAsia="Times New Roman" w:hAnsi="Franklin Gothic Book" w:cs="Calibri"/>
                <w:b/>
                <w:bCs/>
                <w:color w:val="000000"/>
                <w:sz w:val="17"/>
                <w:szCs w:val="17"/>
              </w:rPr>
              <w:t>Sub-Total Bilateral</w:t>
            </w:r>
          </w:p>
        </w:tc>
        <w:tc>
          <w:tcPr>
            <w:tcW w:w="948"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b/>
                <w:bCs/>
                <w:color w:val="000000"/>
                <w:sz w:val="17"/>
                <w:szCs w:val="17"/>
              </w:rPr>
            </w:pPr>
            <w:r w:rsidRPr="0050064E">
              <w:rPr>
                <w:rFonts w:ascii="Franklin Gothic Book" w:eastAsia="Times New Roman" w:hAnsi="Franklin Gothic Book" w:cs="Calibri"/>
                <w:b/>
                <w:bCs/>
                <w:color w:val="000000"/>
                <w:sz w:val="17"/>
                <w:szCs w:val="17"/>
              </w:rPr>
              <w:t>450.6</w:t>
            </w:r>
          </w:p>
        </w:tc>
        <w:tc>
          <w:tcPr>
            <w:tcW w:w="993"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85.3%</w:t>
            </w:r>
          </w:p>
        </w:tc>
      </w:tr>
      <w:tr w:rsidR="0050064E" w:rsidRPr="0050064E" w:rsidTr="0050064E">
        <w:trPr>
          <w:trHeight w:val="300"/>
        </w:trPr>
        <w:tc>
          <w:tcPr>
            <w:tcW w:w="6394"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Regional and Global</w:t>
            </w:r>
          </w:p>
        </w:tc>
        <w:tc>
          <w:tcPr>
            <w:tcW w:w="948"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42.6</w:t>
            </w:r>
          </w:p>
        </w:tc>
        <w:tc>
          <w:tcPr>
            <w:tcW w:w="993"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8.1%</w:t>
            </w:r>
          </w:p>
        </w:tc>
      </w:tr>
      <w:tr w:rsidR="0050064E" w:rsidRPr="0050064E" w:rsidTr="0050064E">
        <w:trPr>
          <w:trHeight w:val="300"/>
        </w:trPr>
        <w:tc>
          <w:tcPr>
            <w:tcW w:w="6394" w:type="dxa"/>
            <w:tcBorders>
              <w:top w:val="nil"/>
              <w:left w:val="nil"/>
              <w:bottom w:val="nil"/>
              <w:right w:val="nil"/>
            </w:tcBorders>
            <w:shd w:val="clear" w:color="auto" w:fill="auto"/>
            <w:vAlign w:val="center"/>
            <w:hideMark/>
          </w:tcPr>
          <w:p w:rsidR="0050064E" w:rsidRPr="0050064E" w:rsidRDefault="0050064E" w:rsidP="0050064E">
            <w:pPr>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Other Government Departments</w:t>
            </w:r>
          </w:p>
        </w:tc>
        <w:tc>
          <w:tcPr>
            <w:tcW w:w="948"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35.2</w:t>
            </w:r>
          </w:p>
        </w:tc>
        <w:tc>
          <w:tcPr>
            <w:tcW w:w="993" w:type="dxa"/>
            <w:tcBorders>
              <w:top w:val="nil"/>
              <w:left w:val="nil"/>
              <w:bottom w:val="nil"/>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6.7%</w:t>
            </w:r>
          </w:p>
        </w:tc>
      </w:tr>
      <w:tr w:rsidR="0050064E" w:rsidRPr="0050064E" w:rsidTr="0050064E">
        <w:trPr>
          <w:trHeight w:val="315"/>
        </w:trPr>
        <w:tc>
          <w:tcPr>
            <w:tcW w:w="6394" w:type="dxa"/>
            <w:tcBorders>
              <w:top w:val="nil"/>
              <w:left w:val="nil"/>
              <w:bottom w:val="single" w:sz="12" w:space="0" w:color="auto"/>
              <w:right w:val="nil"/>
            </w:tcBorders>
            <w:shd w:val="clear" w:color="auto" w:fill="auto"/>
            <w:vAlign w:val="center"/>
            <w:hideMark/>
          </w:tcPr>
          <w:p w:rsidR="0050064E" w:rsidRPr="0050064E" w:rsidRDefault="0050064E" w:rsidP="0050064E">
            <w:pPr>
              <w:rPr>
                <w:rFonts w:ascii="Franklin Gothic Book" w:eastAsia="Times New Roman" w:hAnsi="Franklin Gothic Book" w:cs="Calibri"/>
                <w:b/>
                <w:bCs/>
                <w:color w:val="000000"/>
                <w:sz w:val="17"/>
                <w:szCs w:val="17"/>
              </w:rPr>
            </w:pPr>
            <w:r w:rsidRPr="0050064E">
              <w:rPr>
                <w:rFonts w:ascii="Franklin Gothic Book" w:eastAsia="Times New Roman" w:hAnsi="Franklin Gothic Book" w:cs="Calibri"/>
                <w:b/>
                <w:bCs/>
                <w:color w:val="000000"/>
                <w:sz w:val="17"/>
                <w:szCs w:val="17"/>
              </w:rPr>
              <w:t>Total ODA Expenditure</w:t>
            </w:r>
          </w:p>
        </w:tc>
        <w:tc>
          <w:tcPr>
            <w:tcW w:w="948" w:type="dxa"/>
            <w:tcBorders>
              <w:top w:val="nil"/>
              <w:left w:val="nil"/>
              <w:bottom w:val="single" w:sz="12" w:space="0" w:color="auto"/>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b/>
                <w:bCs/>
                <w:color w:val="000000"/>
                <w:sz w:val="17"/>
                <w:szCs w:val="17"/>
              </w:rPr>
            </w:pPr>
            <w:r w:rsidRPr="0050064E">
              <w:rPr>
                <w:rFonts w:ascii="Franklin Gothic Book" w:eastAsia="Times New Roman" w:hAnsi="Franklin Gothic Book" w:cs="Calibri"/>
                <w:b/>
                <w:bCs/>
                <w:color w:val="000000"/>
                <w:sz w:val="17"/>
                <w:szCs w:val="17"/>
              </w:rPr>
              <w:t>528.4</w:t>
            </w:r>
          </w:p>
        </w:tc>
        <w:tc>
          <w:tcPr>
            <w:tcW w:w="993" w:type="dxa"/>
            <w:tcBorders>
              <w:top w:val="nil"/>
              <w:left w:val="nil"/>
              <w:bottom w:val="single" w:sz="4" w:space="0" w:color="auto"/>
              <w:right w:val="nil"/>
            </w:tcBorders>
            <w:shd w:val="clear" w:color="auto" w:fill="auto"/>
            <w:vAlign w:val="center"/>
            <w:hideMark/>
          </w:tcPr>
          <w:p w:rsidR="0050064E" w:rsidRPr="0050064E" w:rsidRDefault="0050064E" w:rsidP="0050064E">
            <w:pPr>
              <w:jc w:val="right"/>
              <w:rPr>
                <w:rFonts w:ascii="Franklin Gothic Book" w:eastAsia="Times New Roman" w:hAnsi="Franklin Gothic Book" w:cs="Calibri"/>
                <w:color w:val="000000"/>
                <w:sz w:val="17"/>
                <w:szCs w:val="17"/>
              </w:rPr>
            </w:pPr>
            <w:r w:rsidRPr="0050064E">
              <w:rPr>
                <w:rFonts w:ascii="Franklin Gothic Book" w:eastAsia="Times New Roman" w:hAnsi="Franklin Gothic Book" w:cs="Calibri"/>
                <w:color w:val="000000"/>
                <w:sz w:val="17"/>
                <w:szCs w:val="17"/>
              </w:rPr>
              <w:t>100.0%</w:t>
            </w:r>
          </w:p>
        </w:tc>
      </w:tr>
    </w:tbl>
    <w:p w:rsidR="000D733F" w:rsidRDefault="00511A0F" w:rsidP="00511A0F">
      <w:pPr>
        <w:pStyle w:val="Heading2"/>
        <w:rPr>
          <w:sz w:val="28"/>
        </w:rPr>
      </w:pPr>
      <w:r>
        <w:rPr>
          <w:sz w:val="28"/>
        </w:rPr>
        <w:t xml:space="preserve">Progress </w:t>
      </w:r>
      <w:r w:rsidR="00E15678">
        <w:rPr>
          <w:sz w:val="28"/>
        </w:rPr>
        <w:t>towards</w:t>
      </w:r>
      <w:r>
        <w:rPr>
          <w:sz w:val="28"/>
        </w:rPr>
        <w:t xml:space="preserve"> O</w:t>
      </w:r>
      <w:r w:rsidR="000D733F" w:rsidRPr="00511A0F">
        <w:rPr>
          <w:sz w:val="28"/>
        </w:rPr>
        <w:t>bjectives</w:t>
      </w:r>
      <w:r w:rsidR="000D733F" w:rsidRPr="00511A0F">
        <w:rPr>
          <w:sz w:val="28"/>
        </w:rPr>
        <w:tab/>
      </w:r>
    </w:p>
    <w:p w:rsidR="008852A6" w:rsidRDefault="008852A6" w:rsidP="00994EC7">
      <w:pPr>
        <w:pStyle w:val="BodyText"/>
        <w:spacing w:line="276" w:lineRule="auto"/>
      </w:pPr>
      <w:r>
        <w:t xml:space="preserve">This APPR reports on performance </w:t>
      </w:r>
      <w:r w:rsidRPr="00616677">
        <w:t>against agreed objectives under the 2008 PNG-Australia Partnership for Development and individual Aid Quality Check ratings</w:t>
      </w:r>
      <w:r w:rsidRPr="00ED65FD">
        <w:t xml:space="preserve"> over 2014-15</w:t>
      </w:r>
      <w:r w:rsidRPr="00616677">
        <w:t xml:space="preserve">. </w:t>
      </w:r>
      <w:r w:rsidR="0048534C">
        <w:t xml:space="preserve"> </w:t>
      </w:r>
      <w:r w:rsidR="005208F2">
        <w:t>T</w:t>
      </w:r>
      <w:r w:rsidRPr="00ED65FD">
        <w:t xml:space="preserve">here are currently no </w:t>
      </w:r>
      <w:r w:rsidR="00990B26">
        <w:t xml:space="preserve">specific </w:t>
      </w:r>
      <w:r w:rsidRPr="00ED65FD">
        <w:t xml:space="preserve">schedules for </w:t>
      </w:r>
      <w:r w:rsidRPr="00616677">
        <w:t>governance, gender equality, disability and private sector development.</w:t>
      </w:r>
      <w:r w:rsidR="00990B26">
        <w:t xml:space="preserve">  </w:t>
      </w:r>
      <w:r w:rsidRPr="00616677">
        <w:t xml:space="preserve">Reflecting the priorities of the Australian </w:t>
      </w:r>
      <w:r>
        <w:t>Government’s new aid policy, private sector development has been included as a cross</w:t>
      </w:r>
      <w:r w:rsidR="0048534C">
        <w:t>-</w:t>
      </w:r>
      <w:r>
        <w:t xml:space="preserve">cutting issue for the first time. </w:t>
      </w:r>
      <w:r w:rsidR="00990B26">
        <w:t xml:space="preserve"> </w:t>
      </w:r>
      <w:r w:rsidR="00677DE1">
        <w:t xml:space="preserve">Assistance to the Autonomous Region of Bougainville is not rated separately as </w:t>
      </w:r>
      <w:r w:rsidR="00990B26">
        <w:t>these</w:t>
      </w:r>
      <w:r w:rsidR="00677DE1">
        <w:t xml:space="preserve"> activities are assessed under Objectives and Cross-cutting issues</w:t>
      </w:r>
      <w:r w:rsidR="00912FBC">
        <w:t xml:space="preserve"> sections below</w:t>
      </w:r>
      <w:r w:rsidR="00990B26">
        <w:t xml:space="preserve">. </w:t>
      </w:r>
    </w:p>
    <w:p w:rsidR="000D733F" w:rsidRDefault="000D733F" w:rsidP="005901D2">
      <w:pPr>
        <w:pStyle w:val="Caption"/>
      </w:pPr>
      <w:r>
        <w:t xml:space="preserve">Table </w:t>
      </w:r>
      <w:r w:rsidR="00924076">
        <w:fldChar w:fldCharType="begin"/>
      </w:r>
      <w:r w:rsidR="00924076">
        <w:instrText xml:space="preserve"> SEQ Table \* ARABIC </w:instrText>
      </w:r>
      <w:r w:rsidR="00924076">
        <w:fldChar w:fldCharType="separate"/>
      </w:r>
      <w:r w:rsidR="00AC2B9B">
        <w:rPr>
          <w:noProof/>
        </w:rPr>
        <w:t>2</w:t>
      </w:r>
      <w:r w:rsidR="00924076">
        <w:rPr>
          <w:noProof/>
        </w:rPr>
        <w:fldChar w:fldCharType="end"/>
      </w:r>
      <w:r w:rsidR="00582C22">
        <w:t xml:space="preserve"> Rating of the Program's P</w:t>
      </w:r>
      <w:r>
        <w:t xml:space="preserve">rogress towards Australia’s </w:t>
      </w:r>
      <w:r w:rsidR="00582C22">
        <w:t>A</w:t>
      </w:r>
      <w:r w:rsidR="00D206B3">
        <w:t xml:space="preserve">id </w:t>
      </w:r>
      <w:r w:rsidR="00582C22">
        <w:t>O</w:t>
      </w:r>
      <w:r>
        <w:t>bjectives</w:t>
      </w:r>
    </w:p>
    <w:tbl>
      <w:tblPr>
        <w:tblStyle w:val="APPR"/>
        <w:tblW w:w="5000" w:type="pct"/>
        <w:tblLook w:val="0000" w:firstRow="0" w:lastRow="0" w:firstColumn="0" w:lastColumn="0" w:noHBand="0" w:noVBand="0"/>
      </w:tblPr>
      <w:tblGrid>
        <w:gridCol w:w="6231"/>
        <w:gridCol w:w="1030"/>
        <w:gridCol w:w="426"/>
        <w:gridCol w:w="1090"/>
      </w:tblGrid>
      <w:tr w:rsidR="000D733F" w:rsidRPr="0019341B" w:rsidTr="000D733F">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0D733F" w:rsidRPr="0019341B" w:rsidRDefault="000D733F" w:rsidP="00DB7628">
            <w:pPr>
              <w:pStyle w:val="TableTextColumnHeading"/>
            </w:pPr>
            <w:r w:rsidRPr="0019341B">
              <w:rPr>
                <w:noProof/>
                <w:lang w:eastAsia="en-AU"/>
              </w:rPr>
              <w:drawing>
                <wp:anchor distT="0" distB="0" distL="114300" distR="114300" simplePos="0" relativeHeight="251663360" behindDoc="0" locked="0" layoutInCell="1" allowOverlap="1" wp14:anchorId="72A3C63D" wp14:editId="0FF8F8F7">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rsidR="000D733F" w:rsidRPr="0019341B" w:rsidRDefault="004F4630" w:rsidP="00DB7628">
            <w:pPr>
              <w:pStyle w:val="TableTextColumnHeading"/>
            </w:pPr>
            <w:r>
              <w:t>Previous Rating</w:t>
            </w:r>
          </w:p>
        </w:tc>
        <w:tc>
          <w:tcPr>
            <w:tcW w:w="388" w:type="dxa"/>
          </w:tcPr>
          <w:p w:rsidR="000D733F" w:rsidRDefault="000D733F" w:rsidP="00DB7628">
            <w:pPr>
              <w:pStyle w:val="TableTextColumnHeading"/>
            </w:pPr>
          </w:p>
        </w:tc>
        <w:tc>
          <w:tcPr>
            <w:tcW w:w="1021" w:type="dxa"/>
          </w:tcPr>
          <w:p w:rsidR="000D733F" w:rsidRPr="0019341B" w:rsidRDefault="00C325FA" w:rsidP="00DB7628">
            <w:pPr>
              <w:pStyle w:val="TableTextColumnHeading"/>
            </w:pPr>
            <w:r>
              <w:t>C</w:t>
            </w:r>
            <w:r w:rsidR="004F4630">
              <w:t>urrent Rating</w:t>
            </w:r>
          </w:p>
        </w:tc>
      </w:tr>
      <w:tr w:rsidR="000D733F" w:rsidRPr="009D53C4" w:rsidTr="00C325FA">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19341B" w:rsidRDefault="000D733F" w:rsidP="000D733F">
            <w:pPr>
              <w:pStyle w:val="TableTextEntries"/>
            </w:pPr>
            <w:r>
              <w:t>Objective 1</w:t>
            </w:r>
            <w:r w:rsidR="00C325FA">
              <w:t xml:space="preserve"> – Improved health and HIV/AIDs outcomes</w:t>
            </w:r>
          </w:p>
        </w:tc>
        <w:tc>
          <w:tcPr>
            <w:tcW w:w="972" w:type="dxa"/>
            <w:shd w:val="clear" w:color="auto" w:fill="E36C0A" w:themeFill="accent6" w:themeFillShade="BF"/>
            <w:noWrap/>
          </w:tcPr>
          <w:p w:rsidR="000D733F" w:rsidRPr="00443639" w:rsidRDefault="00C325FA" w:rsidP="000D733F">
            <w:pPr>
              <w:pStyle w:val="TableTextEntries"/>
              <w:jc w:val="center"/>
              <w:rPr>
                <w:color w:val="FFFFFF" w:themeColor="background1"/>
              </w:rPr>
            </w:pPr>
            <w:r>
              <w:rPr>
                <w:color w:val="FFFFFF" w:themeColor="background1"/>
              </w:rPr>
              <w:t>Amber</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E36C0A"/>
            <w:noWrap/>
          </w:tcPr>
          <w:p w:rsidR="000D733F" w:rsidRPr="00443639" w:rsidRDefault="000D733F" w:rsidP="000D733F">
            <w:pPr>
              <w:pStyle w:val="TableTextEntries"/>
              <w:jc w:val="center"/>
              <w:rPr>
                <w:color w:val="FFFFFF" w:themeColor="background1"/>
              </w:rPr>
            </w:pPr>
            <w:r w:rsidRPr="00443639">
              <w:rPr>
                <w:color w:val="FFFFFF" w:themeColor="background1"/>
              </w:rPr>
              <w:t>Amber</w:t>
            </w:r>
          </w:p>
        </w:tc>
      </w:tr>
      <w:tr w:rsidR="000D733F" w:rsidRPr="009D53C4" w:rsidTr="00B57224">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19341B" w:rsidRDefault="000D733F" w:rsidP="000D733F">
            <w:pPr>
              <w:pStyle w:val="TableTextEntries"/>
            </w:pPr>
            <w:r>
              <w:t>Objective 2</w:t>
            </w:r>
            <w:r w:rsidR="00C325FA">
              <w:t xml:space="preserve"> – Improved access to quality education at all levels</w:t>
            </w:r>
          </w:p>
        </w:tc>
        <w:tc>
          <w:tcPr>
            <w:tcW w:w="972" w:type="dxa"/>
            <w:shd w:val="clear" w:color="auto" w:fill="E36C0A" w:themeFill="accent6" w:themeFillShade="BF"/>
            <w:noWrap/>
          </w:tcPr>
          <w:p w:rsidR="000D733F" w:rsidRPr="00443639" w:rsidRDefault="000D733F" w:rsidP="000D733F">
            <w:pPr>
              <w:pStyle w:val="TableTextEntries"/>
              <w:jc w:val="center"/>
              <w:rPr>
                <w:color w:val="FFFFFF" w:themeColor="background1"/>
              </w:rPr>
            </w:pPr>
            <w:r w:rsidRPr="00443639">
              <w:rPr>
                <w:color w:val="FFFFFF" w:themeColor="background1"/>
              </w:rPr>
              <w:t>Amber</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E36C0A" w:themeFill="accent6" w:themeFillShade="BF"/>
            <w:noWrap/>
          </w:tcPr>
          <w:p w:rsidR="000D733F" w:rsidRPr="00443639" w:rsidRDefault="00B57224" w:rsidP="000D733F">
            <w:pPr>
              <w:pStyle w:val="TableTextEntries"/>
              <w:jc w:val="center"/>
              <w:rPr>
                <w:color w:val="FFFFFF" w:themeColor="background1"/>
              </w:rPr>
            </w:pPr>
            <w:r>
              <w:rPr>
                <w:color w:val="FFFFFF" w:themeColor="background1"/>
              </w:rPr>
              <w:t>Amber</w:t>
            </w:r>
          </w:p>
        </w:tc>
      </w:tr>
      <w:tr w:rsidR="000D733F" w:rsidRPr="009D53C4" w:rsidTr="00B57224">
        <w:trPr>
          <w:cnfStyle w:val="000000010000" w:firstRow="0" w:lastRow="0" w:firstColumn="0" w:lastColumn="0" w:oddVBand="0" w:evenVBand="0" w:oddHBand="0" w:evenHBand="1" w:firstRowFirstColumn="0" w:firstRowLastColumn="0" w:lastRowFirstColumn="0" w:lastRowLastColumn="0"/>
        </w:trPr>
        <w:tc>
          <w:tcPr>
            <w:tcW w:w="6029" w:type="dxa"/>
          </w:tcPr>
          <w:p w:rsidR="000D733F" w:rsidRDefault="000D733F" w:rsidP="000D733F">
            <w:pPr>
              <w:pStyle w:val="TableTextEntries"/>
            </w:pPr>
            <w:r>
              <w:t>Objective 3</w:t>
            </w:r>
            <w:r w:rsidR="00C325FA">
              <w:t xml:space="preserve"> – Improved law and justice</w:t>
            </w:r>
          </w:p>
        </w:tc>
        <w:tc>
          <w:tcPr>
            <w:tcW w:w="972" w:type="dxa"/>
            <w:shd w:val="clear" w:color="auto" w:fill="E36C0A" w:themeFill="accent6" w:themeFillShade="BF"/>
            <w:noWrap/>
          </w:tcPr>
          <w:p w:rsidR="000D733F" w:rsidRPr="00443639" w:rsidRDefault="00C325FA" w:rsidP="000D733F">
            <w:pPr>
              <w:pStyle w:val="TableTextEntries"/>
              <w:jc w:val="center"/>
              <w:rPr>
                <w:color w:val="FFFFFF" w:themeColor="background1"/>
              </w:rPr>
            </w:pPr>
            <w:r>
              <w:rPr>
                <w:color w:val="FFFFFF" w:themeColor="background1"/>
              </w:rPr>
              <w:t>Amber</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E36C0A" w:themeFill="accent6" w:themeFillShade="BF"/>
            <w:noWrap/>
          </w:tcPr>
          <w:p w:rsidR="000D733F" w:rsidRPr="00443639" w:rsidRDefault="00B57224" w:rsidP="000D733F">
            <w:pPr>
              <w:pStyle w:val="TableTextEntries"/>
              <w:jc w:val="center"/>
              <w:rPr>
                <w:color w:val="FFFFFF" w:themeColor="background1"/>
              </w:rPr>
            </w:pPr>
            <w:r>
              <w:rPr>
                <w:color w:val="FFFFFF" w:themeColor="background1"/>
              </w:rPr>
              <w:t>Amber</w:t>
            </w:r>
          </w:p>
        </w:tc>
      </w:tr>
      <w:tr w:rsidR="00C325FA" w:rsidRPr="009D53C4" w:rsidTr="00A45630">
        <w:trPr>
          <w:cnfStyle w:val="000000010000" w:firstRow="0" w:lastRow="0" w:firstColumn="0" w:lastColumn="0" w:oddVBand="0" w:evenVBand="0" w:oddHBand="0" w:evenHBand="1" w:firstRowFirstColumn="0" w:firstRowLastColumn="0" w:lastRowFirstColumn="0" w:lastRowLastColumn="0"/>
        </w:trPr>
        <w:tc>
          <w:tcPr>
            <w:tcW w:w="6029" w:type="dxa"/>
          </w:tcPr>
          <w:p w:rsidR="00C325FA" w:rsidRDefault="00C325FA" w:rsidP="000D733F">
            <w:pPr>
              <w:pStyle w:val="TableTextEntries"/>
            </w:pPr>
            <w:r>
              <w:t>Objective 4 – Improved transport services to facilitate social and economic development</w:t>
            </w:r>
          </w:p>
        </w:tc>
        <w:tc>
          <w:tcPr>
            <w:tcW w:w="972" w:type="dxa"/>
            <w:shd w:val="clear" w:color="auto" w:fill="92D050"/>
            <w:noWrap/>
          </w:tcPr>
          <w:p w:rsidR="00C325FA" w:rsidRPr="00443639" w:rsidRDefault="00A45630" w:rsidP="000D733F">
            <w:pPr>
              <w:pStyle w:val="TableTextEntries"/>
              <w:jc w:val="center"/>
              <w:rPr>
                <w:color w:val="FFFFFF" w:themeColor="background1"/>
              </w:rPr>
            </w:pPr>
            <w:r>
              <w:rPr>
                <w:color w:val="FFFFFF" w:themeColor="background1"/>
              </w:rPr>
              <w:t>Green</w:t>
            </w:r>
          </w:p>
        </w:tc>
        <w:tc>
          <w:tcPr>
            <w:tcW w:w="388" w:type="dxa"/>
          </w:tcPr>
          <w:p w:rsidR="00C325FA" w:rsidRPr="00443639" w:rsidRDefault="00C325FA" w:rsidP="000D733F">
            <w:pPr>
              <w:pStyle w:val="TableTextEntries"/>
              <w:jc w:val="center"/>
              <w:rPr>
                <w:color w:val="FFFFFF" w:themeColor="background1"/>
              </w:rPr>
            </w:pPr>
          </w:p>
        </w:tc>
        <w:tc>
          <w:tcPr>
            <w:tcW w:w="1021" w:type="dxa"/>
            <w:shd w:val="clear" w:color="auto" w:fill="92D050"/>
            <w:noWrap/>
          </w:tcPr>
          <w:p w:rsidR="00C325FA" w:rsidRPr="00443639" w:rsidRDefault="00B57224" w:rsidP="00B57224">
            <w:pPr>
              <w:pStyle w:val="TableTextEntries"/>
              <w:tabs>
                <w:tab w:val="left" w:pos="210"/>
                <w:tab w:val="center" w:pos="443"/>
              </w:tabs>
              <w:rPr>
                <w:color w:val="FFFFFF" w:themeColor="background1"/>
              </w:rPr>
            </w:pPr>
            <w:r>
              <w:rPr>
                <w:color w:val="FFFFFF" w:themeColor="background1"/>
              </w:rPr>
              <w:tab/>
            </w:r>
            <w:r w:rsidRPr="00B57224">
              <w:rPr>
                <w:color w:val="FFFFFF" w:themeColor="background1"/>
                <w:shd w:val="clear" w:color="auto" w:fill="92D050"/>
              </w:rPr>
              <w:tab/>
              <w:t>Green</w:t>
            </w:r>
          </w:p>
        </w:tc>
      </w:tr>
      <w:tr w:rsidR="00C325FA" w:rsidRPr="009D53C4" w:rsidTr="00C91AB1">
        <w:trPr>
          <w:cnfStyle w:val="000000010000" w:firstRow="0" w:lastRow="0" w:firstColumn="0" w:lastColumn="0" w:oddVBand="0" w:evenVBand="0" w:oddHBand="0" w:evenHBand="1" w:firstRowFirstColumn="0" w:firstRowLastColumn="0" w:lastRowFirstColumn="0" w:lastRowLastColumn="0"/>
        </w:trPr>
        <w:tc>
          <w:tcPr>
            <w:tcW w:w="6029" w:type="dxa"/>
          </w:tcPr>
          <w:p w:rsidR="00C325FA" w:rsidRDefault="00C325FA" w:rsidP="000D733F">
            <w:pPr>
              <w:pStyle w:val="TableTextEntries"/>
            </w:pPr>
            <w:r>
              <w:t>Objective 5 – Strengthened governance</w:t>
            </w:r>
          </w:p>
        </w:tc>
        <w:tc>
          <w:tcPr>
            <w:tcW w:w="972" w:type="dxa"/>
            <w:shd w:val="clear" w:color="auto" w:fill="E36C0A" w:themeFill="accent6" w:themeFillShade="BF"/>
            <w:noWrap/>
          </w:tcPr>
          <w:p w:rsidR="00C325FA" w:rsidRPr="00443639" w:rsidRDefault="00C325FA" w:rsidP="000D733F">
            <w:pPr>
              <w:pStyle w:val="TableTextEntries"/>
              <w:jc w:val="center"/>
              <w:rPr>
                <w:color w:val="FFFFFF" w:themeColor="background1"/>
              </w:rPr>
            </w:pPr>
            <w:r>
              <w:rPr>
                <w:color w:val="FFFFFF" w:themeColor="background1"/>
              </w:rPr>
              <w:t>Amber</w:t>
            </w:r>
          </w:p>
        </w:tc>
        <w:tc>
          <w:tcPr>
            <w:tcW w:w="388" w:type="dxa"/>
          </w:tcPr>
          <w:p w:rsidR="00C325FA" w:rsidRPr="00443639" w:rsidRDefault="00C325FA" w:rsidP="000D733F">
            <w:pPr>
              <w:pStyle w:val="TableTextEntries"/>
              <w:jc w:val="center"/>
              <w:rPr>
                <w:color w:val="FFFFFF" w:themeColor="background1"/>
              </w:rPr>
            </w:pPr>
          </w:p>
        </w:tc>
        <w:tc>
          <w:tcPr>
            <w:tcW w:w="1021" w:type="dxa"/>
            <w:shd w:val="clear" w:color="auto" w:fill="E36C0A" w:themeFill="accent6" w:themeFillShade="BF"/>
            <w:noWrap/>
          </w:tcPr>
          <w:p w:rsidR="00C325FA" w:rsidRPr="00443639" w:rsidRDefault="00C91AB1" w:rsidP="000D733F">
            <w:pPr>
              <w:pStyle w:val="TableTextEntries"/>
              <w:jc w:val="center"/>
              <w:rPr>
                <w:color w:val="FFFFFF" w:themeColor="background1"/>
              </w:rPr>
            </w:pPr>
            <w:r>
              <w:rPr>
                <w:color w:val="FFFFFF" w:themeColor="background1"/>
              </w:rPr>
              <w:t>Amber</w:t>
            </w:r>
          </w:p>
        </w:tc>
      </w:tr>
      <w:tr w:rsidR="00C325FA" w:rsidRPr="009D53C4" w:rsidTr="00C325FA">
        <w:trPr>
          <w:cnfStyle w:val="000000010000" w:firstRow="0" w:lastRow="0" w:firstColumn="0" w:lastColumn="0" w:oddVBand="0" w:evenVBand="0" w:oddHBand="0" w:evenHBand="1" w:firstRowFirstColumn="0" w:firstRowLastColumn="0" w:lastRowFirstColumn="0" w:lastRowLastColumn="0"/>
        </w:trPr>
        <w:tc>
          <w:tcPr>
            <w:tcW w:w="6029" w:type="dxa"/>
          </w:tcPr>
          <w:p w:rsidR="00C325FA" w:rsidRPr="00C325FA" w:rsidRDefault="00C325FA" w:rsidP="000D733F">
            <w:pPr>
              <w:pStyle w:val="TableTextEntries"/>
              <w:rPr>
                <w:u w:val="single"/>
              </w:rPr>
            </w:pPr>
            <w:r w:rsidRPr="00C325FA">
              <w:rPr>
                <w:u w:val="single"/>
              </w:rPr>
              <w:t>Cross-cutting</w:t>
            </w:r>
          </w:p>
        </w:tc>
        <w:tc>
          <w:tcPr>
            <w:tcW w:w="972" w:type="dxa"/>
            <w:shd w:val="clear" w:color="auto" w:fill="FFFFFF" w:themeFill="background1"/>
            <w:noWrap/>
          </w:tcPr>
          <w:p w:rsidR="00C325FA" w:rsidRPr="00443639" w:rsidRDefault="00C325FA" w:rsidP="000D733F">
            <w:pPr>
              <w:pStyle w:val="TableTextEntries"/>
              <w:jc w:val="center"/>
              <w:rPr>
                <w:color w:val="FFFFFF" w:themeColor="background1"/>
              </w:rPr>
            </w:pPr>
          </w:p>
        </w:tc>
        <w:tc>
          <w:tcPr>
            <w:tcW w:w="388" w:type="dxa"/>
            <w:shd w:val="clear" w:color="auto" w:fill="FFFFFF" w:themeFill="background1"/>
          </w:tcPr>
          <w:p w:rsidR="00C325FA" w:rsidRPr="00C91AB1" w:rsidRDefault="00C325FA" w:rsidP="000D733F">
            <w:pPr>
              <w:pStyle w:val="TableTextEntries"/>
              <w:jc w:val="center"/>
              <w:rPr>
                <w:color w:val="FFFFFF" w:themeColor="background1"/>
              </w:rPr>
            </w:pPr>
          </w:p>
        </w:tc>
        <w:tc>
          <w:tcPr>
            <w:tcW w:w="1021" w:type="dxa"/>
            <w:shd w:val="clear" w:color="auto" w:fill="FFFFFF" w:themeFill="background1"/>
            <w:noWrap/>
          </w:tcPr>
          <w:p w:rsidR="00C325FA" w:rsidRPr="00443639" w:rsidRDefault="00C325FA" w:rsidP="000D733F">
            <w:pPr>
              <w:pStyle w:val="TableTextEntries"/>
              <w:jc w:val="center"/>
              <w:rPr>
                <w:color w:val="FFFFFF" w:themeColor="background1"/>
              </w:rPr>
            </w:pPr>
          </w:p>
        </w:tc>
      </w:tr>
      <w:tr w:rsidR="00C325FA" w:rsidRPr="009D53C4" w:rsidTr="0053086E">
        <w:trPr>
          <w:cnfStyle w:val="000000010000" w:firstRow="0" w:lastRow="0" w:firstColumn="0" w:lastColumn="0" w:oddVBand="0" w:evenVBand="0" w:oddHBand="0" w:evenHBand="1" w:firstRowFirstColumn="0" w:firstRowLastColumn="0" w:lastRowFirstColumn="0" w:lastRowLastColumn="0"/>
        </w:trPr>
        <w:tc>
          <w:tcPr>
            <w:tcW w:w="6029" w:type="dxa"/>
          </w:tcPr>
          <w:p w:rsidR="00C325FA" w:rsidRPr="00C325FA" w:rsidRDefault="00C325FA" w:rsidP="00C325FA">
            <w:pPr>
              <w:pStyle w:val="TableTextEntries"/>
            </w:pPr>
            <w:r>
              <w:t>Gender equality and women’s empowerment</w:t>
            </w:r>
          </w:p>
        </w:tc>
        <w:tc>
          <w:tcPr>
            <w:tcW w:w="972" w:type="dxa"/>
            <w:shd w:val="clear" w:color="auto" w:fill="E36C0A" w:themeFill="accent6" w:themeFillShade="BF"/>
            <w:noWrap/>
          </w:tcPr>
          <w:p w:rsidR="00C325FA" w:rsidRPr="00443639" w:rsidRDefault="00C325FA" w:rsidP="000D733F">
            <w:pPr>
              <w:pStyle w:val="TableTextEntries"/>
              <w:jc w:val="center"/>
              <w:rPr>
                <w:color w:val="FFFFFF" w:themeColor="background1"/>
              </w:rPr>
            </w:pPr>
            <w:r>
              <w:rPr>
                <w:color w:val="FFFFFF" w:themeColor="background1"/>
              </w:rPr>
              <w:t>Amber</w:t>
            </w:r>
          </w:p>
        </w:tc>
        <w:tc>
          <w:tcPr>
            <w:tcW w:w="388" w:type="dxa"/>
            <w:shd w:val="clear" w:color="auto" w:fill="FFFFFF" w:themeFill="background1"/>
          </w:tcPr>
          <w:p w:rsidR="00C325FA" w:rsidRPr="00443639" w:rsidRDefault="00C325FA" w:rsidP="000D733F">
            <w:pPr>
              <w:pStyle w:val="TableTextEntries"/>
              <w:jc w:val="center"/>
              <w:rPr>
                <w:color w:val="FFFFFF" w:themeColor="background1"/>
              </w:rPr>
            </w:pPr>
          </w:p>
        </w:tc>
        <w:tc>
          <w:tcPr>
            <w:tcW w:w="1021" w:type="dxa"/>
            <w:shd w:val="clear" w:color="auto" w:fill="E36C0A" w:themeFill="accent6" w:themeFillShade="BF"/>
            <w:noWrap/>
          </w:tcPr>
          <w:p w:rsidR="00C325FA" w:rsidRPr="00443639" w:rsidRDefault="0053086E" w:rsidP="0053086E">
            <w:pPr>
              <w:pStyle w:val="TableTextEntries"/>
              <w:jc w:val="center"/>
              <w:rPr>
                <w:color w:val="FFFFFF" w:themeColor="background1"/>
              </w:rPr>
            </w:pPr>
            <w:r>
              <w:rPr>
                <w:color w:val="FFFFFF" w:themeColor="background1"/>
              </w:rPr>
              <w:t>Amber</w:t>
            </w:r>
          </w:p>
        </w:tc>
      </w:tr>
      <w:tr w:rsidR="00C325FA" w:rsidRPr="009D53C4" w:rsidTr="00B57224">
        <w:trPr>
          <w:cnfStyle w:val="000000010000" w:firstRow="0" w:lastRow="0" w:firstColumn="0" w:lastColumn="0" w:oddVBand="0" w:evenVBand="0" w:oddHBand="0" w:evenHBand="1" w:firstRowFirstColumn="0" w:firstRowLastColumn="0" w:lastRowFirstColumn="0" w:lastRowLastColumn="0"/>
        </w:trPr>
        <w:tc>
          <w:tcPr>
            <w:tcW w:w="6029" w:type="dxa"/>
          </w:tcPr>
          <w:p w:rsidR="00C325FA" w:rsidRPr="00C325FA" w:rsidRDefault="00C325FA" w:rsidP="00C325FA">
            <w:pPr>
              <w:pStyle w:val="TableTextEntries"/>
            </w:pPr>
            <w:r>
              <w:t>Disability-inclusive development</w:t>
            </w:r>
          </w:p>
        </w:tc>
        <w:tc>
          <w:tcPr>
            <w:tcW w:w="972" w:type="dxa"/>
            <w:shd w:val="clear" w:color="auto" w:fill="E36C0A" w:themeFill="accent6" w:themeFillShade="BF"/>
            <w:noWrap/>
          </w:tcPr>
          <w:p w:rsidR="00C325FA" w:rsidRPr="00443639" w:rsidRDefault="00C325FA" w:rsidP="000D733F">
            <w:pPr>
              <w:pStyle w:val="TableTextEntries"/>
              <w:jc w:val="center"/>
              <w:rPr>
                <w:color w:val="FFFFFF" w:themeColor="background1"/>
              </w:rPr>
            </w:pPr>
            <w:r>
              <w:rPr>
                <w:color w:val="FFFFFF" w:themeColor="background1"/>
              </w:rPr>
              <w:t>Amber</w:t>
            </w:r>
          </w:p>
        </w:tc>
        <w:tc>
          <w:tcPr>
            <w:tcW w:w="388" w:type="dxa"/>
            <w:shd w:val="clear" w:color="auto" w:fill="FFFFFF" w:themeFill="background1"/>
          </w:tcPr>
          <w:p w:rsidR="00C325FA" w:rsidRPr="00443639" w:rsidRDefault="00C325FA" w:rsidP="000D733F">
            <w:pPr>
              <w:pStyle w:val="TableTextEntries"/>
              <w:jc w:val="center"/>
              <w:rPr>
                <w:color w:val="FFFFFF" w:themeColor="background1"/>
              </w:rPr>
            </w:pPr>
          </w:p>
        </w:tc>
        <w:tc>
          <w:tcPr>
            <w:tcW w:w="1021" w:type="dxa"/>
            <w:shd w:val="clear" w:color="auto" w:fill="E36C0A" w:themeFill="accent6" w:themeFillShade="BF"/>
            <w:noWrap/>
          </w:tcPr>
          <w:p w:rsidR="00C325FA" w:rsidRPr="00443639" w:rsidRDefault="00B57224" w:rsidP="00B57224">
            <w:pPr>
              <w:pStyle w:val="TableTextEntries"/>
              <w:jc w:val="center"/>
              <w:rPr>
                <w:color w:val="FFFFFF" w:themeColor="background1"/>
              </w:rPr>
            </w:pPr>
            <w:r>
              <w:rPr>
                <w:color w:val="FFFFFF" w:themeColor="background1"/>
              </w:rPr>
              <w:t>Amber</w:t>
            </w:r>
          </w:p>
        </w:tc>
      </w:tr>
      <w:tr w:rsidR="00C325FA" w:rsidRPr="009D53C4" w:rsidTr="000A71AF">
        <w:trPr>
          <w:cnfStyle w:val="000000010000" w:firstRow="0" w:lastRow="0" w:firstColumn="0" w:lastColumn="0" w:oddVBand="0" w:evenVBand="0" w:oddHBand="0" w:evenHBand="1" w:firstRowFirstColumn="0" w:firstRowLastColumn="0" w:lastRowFirstColumn="0" w:lastRowLastColumn="0"/>
        </w:trPr>
        <w:tc>
          <w:tcPr>
            <w:tcW w:w="6029" w:type="dxa"/>
          </w:tcPr>
          <w:p w:rsidR="00E32C30" w:rsidRPr="00E32C30" w:rsidRDefault="00E32C30" w:rsidP="000D733F">
            <w:pPr>
              <w:pStyle w:val="TableTextEntries"/>
            </w:pPr>
            <w:r w:rsidRPr="00E32C30">
              <w:t>Private Sector development</w:t>
            </w:r>
          </w:p>
          <w:p w:rsidR="00C325FA" w:rsidRPr="00C325FA" w:rsidRDefault="00C325FA" w:rsidP="000D733F">
            <w:pPr>
              <w:pStyle w:val="TableTextEntries"/>
              <w:rPr>
                <w:u w:val="single"/>
              </w:rPr>
            </w:pPr>
            <w:r>
              <w:rPr>
                <w:u w:val="single"/>
              </w:rPr>
              <w:t>Additional assistance</w:t>
            </w:r>
          </w:p>
        </w:tc>
        <w:tc>
          <w:tcPr>
            <w:tcW w:w="972" w:type="dxa"/>
            <w:shd w:val="clear" w:color="auto" w:fill="FFFFFF" w:themeFill="background1"/>
            <w:noWrap/>
          </w:tcPr>
          <w:p w:rsidR="00C325FA" w:rsidRPr="00443639" w:rsidRDefault="00E32C30" w:rsidP="000D733F">
            <w:pPr>
              <w:pStyle w:val="TableTextEntries"/>
              <w:jc w:val="center"/>
              <w:rPr>
                <w:color w:val="FFFFFF" w:themeColor="background1"/>
              </w:rPr>
            </w:pPr>
            <w:r>
              <w:t>Not rated</w:t>
            </w:r>
          </w:p>
        </w:tc>
        <w:tc>
          <w:tcPr>
            <w:tcW w:w="388" w:type="dxa"/>
            <w:shd w:val="clear" w:color="auto" w:fill="FFFFFF" w:themeFill="background1"/>
          </w:tcPr>
          <w:p w:rsidR="00C325FA" w:rsidRPr="00443639" w:rsidRDefault="00C325FA" w:rsidP="000D733F">
            <w:pPr>
              <w:pStyle w:val="TableTextEntries"/>
              <w:jc w:val="center"/>
              <w:rPr>
                <w:color w:val="FFFFFF" w:themeColor="background1"/>
              </w:rPr>
            </w:pPr>
          </w:p>
        </w:tc>
        <w:tc>
          <w:tcPr>
            <w:tcW w:w="1021" w:type="dxa"/>
            <w:shd w:val="clear" w:color="auto" w:fill="92D050"/>
            <w:noWrap/>
          </w:tcPr>
          <w:p w:rsidR="00C325FA" w:rsidRPr="00443639" w:rsidRDefault="000A71AF" w:rsidP="000D733F">
            <w:pPr>
              <w:pStyle w:val="TableTextEntries"/>
              <w:jc w:val="center"/>
              <w:rPr>
                <w:color w:val="FFFFFF" w:themeColor="background1"/>
              </w:rPr>
            </w:pPr>
            <w:r>
              <w:rPr>
                <w:color w:val="FFFFFF" w:themeColor="background1"/>
              </w:rPr>
              <w:t>Green</w:t>
            </w:r>
          </w:p>
        </w:tc>
      </w:tr>
      <w:tr w:rsidR="00C325FA" w:rsidRPr="009D53C4" w:rsidTr="0089127D">
        <w:trPr>
          <w:cnfStyle w:val="000000010000" w:firstRow="0" w:lastRow="0" w:firstColumn="0" w:lastColumn="0" w:oddVBand="0" w:evenVBand="0" w:oddHBand="0" w:evenHBand="1" w:firstRowFirstColumn="0" w:firstRowLastColumn="0" w:lastRowFirstColumn="0" w:lastRowLastColumn="0"/>
        </w:trPr>
        <w:tc>
          <w:tcPr>
            <w:tcW w:w="6029" w:type="dxa"/>
          </w:tcPr>
          <w:p w:rsidR="00C325FA" w:rsidRPr="00C325FA" w:rsidRDefault="00C325FA" w:rsidP="000D733F">
            <w:pPr>
              <w:pStyle w:val="TableTextEntries"/>
            </w:pPr>
            <w:r>
              <w:t>Bougainville</w:t>
            </w:r>
          </w:p>
        </w:tc>
        <w:tc>
          <w:tcPr>
            <w:tcW w:w="972" w:type="dxa"/>
            <w:shd w:val="clear" w:color="auto" w:fill="FFFFFF" w:themeFill="background1"/>
            <w:noWrap/>
          </w:tcPr>
          <w:p w:rsidR="00C325FA" w:rsidRPr="00443639" w:rsidRDefault="00C325FA" w:rsidP="00C325FA">
            <w:pPr>
              <w:pStyle w:val="TableTextEntries"/>
              <w:rPr>
                <w:color w:val="FFFFFF" w:themeColor="background1"/>
              </w:rPr>
            </w:pPr>
            <w:r w:rsidRPr="00C325FA">
              <w:t>Not rated</w:t>
            </w:r>
          </w:p>
        </w:tc>
        <w:tc>
          <w:tcPr>
            <w:tcW w:w="388" w:type="dxa"/>
            <w:shd w:val="clear" w:color="auto" w:fill="FFFFFF" w:themeFill="background1"/>
          </w:tcPr>
          <w:p w:rsidR="00C325FA" w:rsidRPr="00443639" w:rsidRDefault="00C325FA" w:rsidP="000D733F">
            <w:pPr>
              <w:pStyle w:val="TableTextEntries"/>
              <w:jc w:val="center"/>
              <w:rPr>
                <w:color w:val="FFFFFF" w:themeColor="background1"/>
              </w:rPr>
            </w:pPr>
          </w:p>
        </w:tc>
        <w:tc>
          <w:tcPr>
            <w:tcW w:w="1021" w:type="dxa"/>
            <w:shd w:val="clear" w:color="auto" w:fill="auto"/>
            <w:noWrap/>
          </w:tcPr>
          <w:p w:rsidR="00C325FA" w:rsidRPr="00443639" w:rsidRDefault="0089127D" w:rsidP="000D733F">
            <w:pPr>
              <w:pStyle w:val="TableTextEntries"/>
              <w:jc w:val="center"/>
              <w:rPr>
                <w:color w:val="FFFFFF" w:themeColor="background1"/>
              </w:rPr>
            </w:pPr>
            <w:r w:rsidRPr="00C325FA">
              <w:t>Not rated</w:t>
            </w:r>
          </w:p>
        </w:tc>
      </w:tr>
    </w:tbl>
    <w:p w:rsidR="000D733F" w:rsidRPr="00180B19" w:rsidRDefault="000D733F" w:rsidP="00582C22">
      <w:pPr>
        <w:pStyle w:val="Note"/>
      </w:pPr>
      <w:r w:rsidRPr="00180B19">
        <w:t xml:space="preserve">Note: </w:t>
      </w:r>
    </w:p>
    <w:p w:rsidR="000D733F" w:rsidRPr="00180B19" w:rsidRDefault="000D733F" w:rsidP="00582C22">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w:t>
      </w:r>
      <w:r w:rsidR="00581979">
        <w:t xml:space="preserve">at this stage of implementation </w:t>
      </w:r>
      <w:r w:rsidRPr="00180B19">
        <w:t>and it is likely that the objective will be achieved. Standard program management practices are sufficient.</w:t>
      </w:r>
    </w:p>
    <w:p w:rsidR="000D733F" w:rsidRPr="00180B19" w:rsidRDefault="000D733F" w:rsidP="00582C22">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rsidR="00581979">
        <w:t xml:space="preserve">at this stage of implementation </w:t>
      </w:r>
      <w:r w:rsidRPr="00180B19">
        <w:t>and restorative action will be necessary if the objective is to be achieved. Close performance monitoring is recommended.</w:t>
      </w:r>
    </w:p>
    <w:p w:rsidR="000D733F" w:rsidRDefault="000D733F" w:rsidP="00582C22">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w:t>
      </w:r>
      <w:r w:rsidR="00581979">
        <w:t xml:space="preserve">at this stage of implementation </w:t>
      </w:r>
      <w:r w:rsidRPr="00180B19">
        <w:t>and the objective is not likely to be met given available resources and priorities. Recasting the objective may be required.</w:t>
      </w:r>
    </w:p>
    <w:p w:rsidR="000460F2" w:rsidRDefault="000460F2" w:rsidP="00ED65FD">
      <w:pPr>
        <w:pStyle w:val="Note"/>
        <w:rPr>
          <w:highlight w:val="yellow"/>
        </w:rPr>
      </w:pPr>
    </w:p>
    <w:p w:rsidR="00076F8A" w:rsidRDefault="00076F8A">
      <w:pPr>
        <w:pStyle w:val="Heading3"/>
      </w:pPr>
      <w:r>
        <w:lastRenderedPageBreak/>
        <w:t>Objective 1 – Improved health and HIV/AIDs outcomes</w:t>
      </w:r>
      <w:r w:rsidR="001D04B8">
        <w:t xml:space="preserve"> </w:t>
      </w:r>
    </w:p>
    <w:p w:rsidR="00076F8A" w:rsidRDefault="00076F8A" w:rsidP="00994EC7">
      <w:pPr>
        <w:pStyle w:val="BodyText"/>
        <w:spacing w:line="276" w:lineRule="auto"/>
        <w:rPr>
          <w:lang w:eastAsia="zh-CN"/>
        </w:rPr>
      </w:pPr>
      <w:r>
        <w:rPr>
          <w:lang w:eastAsia="zh-CN"/>
        </w:rPr>
        <w:t xml:space="preserve">Progress has continued in many areas, </w:t>
      </w:r>
      <w:r w:rsidR="00376ACE">
        <w:rPr>
          <w:lang w:eastAsia="zh-CN"/>
        </w:rPr>
        <w:t>however</w:t>
      </w:r>
      <w:r w:rsidR="00912FBC">
        <w:rPr>
          <w:lang w:eastAsia="zh-CN"/>
        </w:rPr>
        <w:t>,</w:t>
      </w:r>
      <w:r w:rsidR="00376ACE">
        <w:rPr>
          <w:lang w:eastAsia="zh-CN"/>
        </w:rPr>
        <w:t xml:space="preserve"> </w:t>
      </w:r>
      <w:r>
        <w:rPr>
          <w:lang w:eastAsia="zh-CN"/>
        </w:rPr>
        <w:t>the most recent national health information system data (2013) shows static or declining performance against key maternal and child health indicators.</w:t>
      </w:r>
      <w:r w:rsidR="007308B5">
        <w:rPr>
          <w:lang w:eastAsia="zh-CN"/>
        </w:rPr>
        <w:t xml:space="preserve"> </w:t>
      </w:r>
      <w:r w:rsidR="00C4792B">
        <w:rPr>
          <w:lang w:eastAsia="zh-CN"/>
        </w:rPr>
        <w:t xml:space="preserve"> </w:t>
      </w:r>
      <w:r w:rsidR="007308B5" w:rsidRPr="00661E85">
        <w:rPr>
          <w:lang w:eastAsia="zh-CN"/>
        </w:rPr>
        <w:t xml:space="preserve">The challenges in the </w:t>
      </w:r>
      <w:r w:rsidR="007308B5">
        <w:rPr>
          <w:lang w:eastAsia="zh-CN"/>
        </w:rPr>
        <w:t>health and HIV</w:t>
      </w:r>
      <w:r w:rsidR="007308B5" w:rsidRPr="00661E85">
        <w:rPr>
          <w:lang w:eastAsia="zh-CN"/>
        </w:rPr>
        <w:t xml:space="preserve"> sector are immense and PNG will not meet MDG </w:t>
      </w:r>
      <w:r w:rsidR="007308B5">
        <w:rPr>
          <w:lang w:eastAsia="zh-CN"/>
        </w:rPr>
        <w:t>3</w:t>
      </w:r>
      <w:r w:rsidR="007308B5" w:rsidRPr="00661E85">
        <w:rPr>
          <w:lang w:eastAsia="zh-CN"/>
        </w:rPr>
        <w:t xml:space="preserve"> </w:t>
      </w:r>
      <w:r w:rsidR="00C4792B">
        <w:rPr>
          <w:lang w:eastAsia="zh-CN"/>
        </w:rPr>
        <w:t xml:space="preserve">(promotion of </w:t>
      </w:r>
      <w:r w:rsidR="007308B5">
        <w:rPr>
          <w:lang w:eastAsia="zh-CN"/>
        </w:rPr>
        <w:t>gender equality</w:t>
      </w:r>
      <w:r w:rsidR="00C4792B">
        <w:rPr>
          <w:lang w:eastAsia="zh-CN"/>
        </w:rPr>
        <w:t>)</w:t>
      </w:r>
      <w:r w:rsidR="007308B5">
        <w:rPr>
          <w:lang w:eastAsia="zh-CN"/>
        </w:rPr>
        <w:t xml:space="preserve">, MDG 4 </w:t>
      </w:r>
      <w:r w:rsidR="00C4792B">
        <w:rPr>
          <w:lang w:eastAsia="zh-CN"/>
        </w:rPr>
        <w:t>(</w:t>
      </w:r>
      <w:r w:rsidR="007308B5">
        <w:rPr>
          <w:lang w:eastAsia="zh-CN"/>
        </w:rPr>
        <w:t>reduced child mortality</w:t>
      </w:r>
      <w:r w:rsidR="00C4792B">
        <w:rPr>
          <w:lang w:eastAsia="zh-CN"/>
        </w:rPr>
        <w:t>)</w:t>
      </w:r>
      <w:r w:rsidR="007308B5">
        <w:rPr>
          <w:lang w:eastAsia="zh-CN"/>
        </w:rPr>
        <w:t xml:space="preserve">, MDG 5 </w:t>
      </w:r>
      <w:r w:rsidR="00C4792B">
        <w:rPr>
          <w:lang w:eastAsia="zh-CN"/>
        </w:rPr>
        <w:t>(</w:t>
      </w:r>
      <w:r w:rsidR="007308B5">
        <w:rPr>
          <w:lang w:eastAsia="zh-CN"/>
        </w:rPr>
        <w:t>improved maternal health</w:t>
      </w:r>
      <w:r w:rsidR="00C4792B">
        <w:rPr>
          <w:lang w:eastAsia="zh-CN"/>
        </w:rPr>
        <w:t>)</w:t>
      </w:r>
      <w:r w:rsidR="007308B5">
        <w:rPr>
          <w:lang w:eastAsia="zh-CN"/>
        </w:rPr>
        <w:t xml:space="preserve">, or MDG 6 </w:t>
      </w:r>
      <w:r w:rsidR="00C4792B">
        <w:rPr>
          <w:lang w:eastAsia="zh-CN"/>
        </w:rPr>
        <w:t xml:space="preserve">(combat </w:t>
      </w:r>
      <w:r w:rsidR="007308B5">
        <w:rPr>
          <w:lang w:eastAsia="zh-CN"/>
        </w:rPr>
        <w:t>HIV/AIDS, malaria and other diseases</w:t>
      </w:r>
      <w:r w:rsidR="00C4792B">
        <w:rPr>
          <w:lang w:eastAsia="zh-CN"/>
        </w:rPr>
        <w:t>)</w:t>
      </w:r>
      <w:r w:rsidR="007308B5">
        <w:rPr>
          <w:lang w:eastAsia="zh-CN"/>
        </w:rPr>
        <w:t>.</w:t>
      </w:r>
    </w:p>
    <w:p w:rsidR="006143C5" w:rsidRDefault="00451B21" w:rsidP="00994EC7">
      <w:pPr>
        <w:pStyle w:val="BodyText"/>
        <w:spacing w:line="276" w:lineRule="auto"/>
        <w:rPr>
          <w:lang w:val="en-US"/>
        </w:rPr>
      </w:pPr>
      <w:r>
        <w:rPr>
          <w:lang w:eastAsia="zh-CN"/>
        </w:rPr>
        <w:t xml:space="preserve">Our shared goal in the Partnership for Development is </w:t>
      </w:r>
      <w:r>
        <w:rPr>
          <w:lang w:val="en-US"/>
        </w:rPr>
        <w:t xml:space="preserve">improving health outcomes by providing assistance for PNG to vaccinate more children, increase the percentage of births supervised by skilled staff, increase the availability of essential medical supplies, and strengthen prevention and improve access to treatment for HIV/AIDS, tuberculosis </w:t>
      </w:r>
      <w:r w:rsidR="009D435A">
        <w:rPr>
          <w:lang w:val="en-US"/>
        </w:rPr>
        <w:t xml:space="preserve">(TB) </w:t>
      </w:r>
      <w:r>
        <w:rPr>
          <w:lang w:val="en-US"/>
        </w:rPr>
        <w:t xml:space="preserve">and malaria.  </w:t>
      </w:r>
    </w:p>
    <w:p w:rsidR="00076F8A" w:rsidRDefault="00076F8A" w:rsidP="00994EC7">
      <w:pPr>
        <w:pStyle w:val="BodyText"/>
        <w:spacing w:after="240" w:line="276" w:lineRule="auto"/>
        <w:rPr>
          <w:szCs w:val="21"/>
        </w:rPr>
      </w:pPr>
      <w:r>
        <w:rPr>
          <w:lang w:eastAsia="zh-CN"/>
        </w:rPr>
        <w:t xml:space="preserve">In 2014-15, the PNG Government continued to </w:t>
      </w:r>
      <w:r w:rsidR="00EE26F1">
        <w:rPr>
          <w:lang w:eastAsia="zh-CN"/>
        </w:rPr>
        <w:t xml:space="preserve">indicate </w:t>
      </w:r>
      <w:r>
        <w:rPr>
          <w:lang w:eastAsia="zh-CN"/>
        </w:rPr>
        <w:t xml:space="preserve">commitment to health expenditure, increasing the </w:t>
      </w:r>
      <w:r w:rsidR="00EE26F1">
        <w:rPr>
          <w:lang w:eastAsia="zh-CN"/>
        </w:rPr>
        <w:t xml:space="preserve">nominal </w:t>
      </w:r>
      <w:r>
        <w:rPr>
          <w:lang w:eastAsia="zh-CN"/>
        </w:rPr>
        <w:t xml:space="preserve">budget </w:t>
      </w:r>
      <w:r w:rsidR="00EE26F1">
        <w:rPr>
          <w:lang w:eastAsia="zh-CN"/>
        </w:rPr>
        <w:t xml:space="preserve">for health </w:t>
      </w:r>
      <w:r>
        <w:rPr>
          <w:lang w:eastAsia="zh-CN"/>
        </w:rPr>
        <w:t xml:space="preserve">from </w:t>
      </w:r>
      <w:r>
        <w:rPr>
          <w:szCs w:val="21"/>
        </w:rPr>
        <w:t xml:space="preserve">PGK1.4 billion in 2014 to PGK1.7 billion in 2015. </w:t>
      </w:r>
      <w:r w:rsidR="009B1B5F">
        <w:rPr>
          <w:szCs w:val="21"/>
        </w:rPr>
        <w:t xml:space="preserve"> </w:t>
      </w:r>
      <w:r>
        <w:rPr>
          <w:szCs w:val="21"/>
        </w:rPr>
        <w:t xml:space="preserve">Systematic capacity constraints such as poor public financial management are </w:t>
      </w:r>
      <w:r w:rsidR="0021064E">
        <w:rPr>
          <w:szCs w:val="21"/>
        </w:rPr>
        <w:t xml:space="preserve">continuing </w:t>
      </w:r>
      <w:r>
        <w:rPr>
          <w:szCs w:val="21"/>
        </w:rPr>
        <w:t xml:space="preserve">to prevent the full and effective use of these funds. </w:t>
      </w:r>
      <w:r w:rsidR="009D435A">
        <w:rPr>
          <w:szCs w:val="21"/>
        </w:rPr>
        <w:t xml:space="preserve"> </w:t>
      </w:r>
    </w:p>
    <w:p w:rsidR="00076F8A" w:rsidRPr="0088483E" w:rsidRDefault="00076F8A" w:rsidP="00994EC7">
      <w:pPr>
        <w:pStyle w:val="Heading4"/>
      </w:pPr>
      <w:r w:rsidRPr="0088483E">
        <w:t xml:space="preserve">Australia’s contribution </w:t>
      </w:r>
      <w:r w:rsidR="003B7B88" w:rsidRPr="0088483E">
        <w:br/>
      </w:r>
    </w:p>
    <w:p w:rsidR="00076F8A" w:rsidRDefault="00076F8A" w:rsidP="00994EC7">
      <w:pPr>
        <w:pStyle w:val="BodyText"/>
        <w:spacing w:line="276" w:lineRule="auto"/>
        <w:rPr>
          <w:lang w:val="en-US"/>
        </w:rPr>
      </w:pPr>
      <w:r>
        <w:rPr>
          <w:lang w:val="en-US"/>
        </w:rPr>
        <w:t>In 2014-15, Australia invested approximately $100 million to improve health outcomes in PNG, through five initiatives: financing; procurement; capacity development and service delivery; multilateral partnerships; and in-country scholarships.</w:t>
      </w:r>
    </w:p>
    <w:p w:rsidR="00076F8A" w:rsidRDefault="00076F8A" w:rsidP="00994EC7">
      <w:pPr>
        <w:pStyle w:val="BodyText"/>
        <w:spacing w:line="276" w:lineRule="auto"/>
        <w:rPr>
          <w:lang w:val="en-US"/>
        </w:rPr>
      </w:pPr>
      <w:r>
        <w:rPr>
          <w:lang w:val="en-US"/>
        </w:rPr>
        <w:t xml:space="preserve">In line with the Health Delivery Strategy, Australia’s aid program has directly contributed to </w:t>
      </w:r>
      <w:r w:rsidRPr="00076F8A">
        <w:rPr>
          <w:lang w:val="en-US"/>
        </w:rPr>
        <w:t xml:space="preserve">providing </w:t>
      </w:r>
      <w:r w:rsidRPr="00DE44D1">
        <w:rPr>
          <w:lang w:val="en-US"/>
        </w:rPr>
        <w:t>health services for women and children</w:t>
      </w:r>
      <w:r w:rsidR="000A2AAB">
        <w:rPr>
          <w:lang w:val="en-US"/>
        </w:rPr>
        <w:t>.</w:t>
      </w:r>
      <w:r>
        <w:rPr>
          <w:lang w:val="en-US"/>
        </w:rPr>
        <w:t xml:space="preserve"> </w:t>
      </w:r>
      <w:r w:rsidR="006143C5">
        <w:rPr>
          <w:lang w:val="en-US"/>
        </w:rPr>
        <w:t xml:space="preserve"> </w:t>
      </w:r>
      <w:r>
        <w:rPr>
          <w:lang w:val="en-US"/>
        </w:rPr>
        <w:t xml:space="preserve">Australian support resulted in </w:t>
      </w:r>
      <w:r w:rsidR="003A0E05">
        <w:rPr>
          <w:lang w:val="en-US"/>
        </w:rPr>
        <w:t>12,437</w:t>
      </w:r>
      <w:r>
        <w:rPr>
          <w:lang w:val="en-US"/>
        </w:rPr>
        <w:t xml:space="preserve"> women accessing rural outreach services provided by Susu Mamas and Marie Stopes International reached 14,666 clients with </w:t>
      </w:r>
      <w:r w:rsidR="003A0E05">
        <w:rPr>
          <w:lang w:val="en-US"/>
        </w:rPr>
        <w:t xml:space="preserve">permanent and short-term </w:t>
      </w:r>
      <w:r>
        <w:rPr>
          <w:lang w:val="en-US"/>
        </w:rPr>
        <w:t>family planning methods. However</w:t>
      </w:r>
      <w:r w:rsidR="00DD6E1D">
        <w:rPr>
          <w:lang w:val="en-US"/>
        </w:rPr>
        <w:t>,</w:t>
      </w:r>
      <w:r>
        <w:rPr>
          <w:lang w:val="en-US"/>
        </w:rPr>
        <w:t xml:space="preserve"> while skilled birth attendance progress is partially on track</w:t>
      </w:r>
      <w:r w:rsidR="00A95B09">
        <w:rPr>
          <w:lang w:val="en-US"/>
        </w:rPr>
        <w:t xml:space="preserve"> at 44</w:t>
      </w:r>
      <w:r w:rsidR="00B41968">
        <w:rPr>
          <w:lang w:val="en-US"/>
        </w:rPr>
        <w:t xml:space="preserve"> per cent</w:t>
      </w:r>
      <w:r>
        <w:rPr>
          <w:lang w:val="en-US"/>
        </w:rPr>
        <w:t xml:space="preserve">, use of family planning across PNG </w:t>
      </w:r>
      <w:r w:rsidR="004D374D">
        <w:rPr>
          <w:lang w:val="en-US"/>
        </w:rPr>
        <w:t xml:space="preserve">appeared to </w:t>
      </w:r>
      <w:r>
        <w:rPr>
          <w:lang w:val="en-US"/>
        </w:rPr>
        <w:t>drop by more than 50 per cent between 2009 and 2013</w:t>
      </w:r>
      <w:r w:rsidR="00F91B52">
        <w:rPr>
          <w:lang w:val="en-US"/>
        </w:rPr>
        <w:t>.</w:t>
      </w:r>
      <w:r>
        <w:rPr>
          <w:lang w:val="en-US"/>
        </w:rPr>
        <w:t xml:space="preserve"> </w:t>
      </w:r>
      <w:r w:rsidR="009D435A">
        <w:rPr>
          <w:lang w:val="en-US"/>
        </w:rPr>
        <w:t xml:space="preserve"> </w:t>
      </w:r>
      <w:r>
        <w:rPr>
          <w:lang w:val="en-US"/>
        </w:rPr>
        <w:t>Child health targets are similarly partially on track</w:t>
      </w:r>
      <w:r w:rsidR="009D435A">
        <w:rPr>
          <w:lang w:val="en-US"/>
        </w:rPr>
        <w:t xml:space="preserve"> – </w:t>
      </w:r>
      <w:r>
        <w:rPr>
          <w:lang w:val="en-US"/>
        </w:rPr>
        <w:t>although a reported drop in the vaccination rates (from 69</w:t>
      </w:r>
      <w:r w:rsidR="00B41968">
        <w:rPr>
          <w:lang w:val="en-US"/>
        </w:rPr>
        <w:t xml:space="preserve"> per cent </w:t>
      </w:r>
      <w:r>
        <w:rPr>
          <w:lang w:val="en-US"/>
        </w:rPr>
        <w:t>in 2013 to 65</w:t>
      </w:r>
      <w:r w:rsidR="00B41968">
        <w:rPr>
          <w:lang w:val="en-US"/>
        </w:rPr>
        <w:t xml:space="preserve"> per cent </w:t>
      </w:r>
      <w:r>
        <w:rPr>
          <w:lang w:val="en-US"/>
        </w:rPr>
        <w:t>in 2014 for measles vaccination) has been affected by an increase in the target population estimate used.</w:t>
      </w:r>
    </w:p>
    <w:p w:rsidR="00076F8A" w:rsidRPr="00FA0618" w:rsidRDefault="00076F8A" w:rsidP="00994EC7">
      <w:pPr>
        <w:pStyle w:val="BodyText"/>
        <w:spacing w:line="276" w:lineRule="auto"/>
        <w:rPr>
          <w:color w:val="000000" w:themeColor="text1"/>
        </w:rPr>
      </w:pPr>
      <w:r>
        <w:rPr>
          <w:lang w:val="en-US"/>
        </w:rPr>
        <w:t xml:space="preserve">In 2014, Australia supported the distribution of over 3.7 million condoms, </w:t>
      </w:r>
      <w:r w:rsidRPr="00076F8A">
        <w:rPr>
          <w:lang w:val="en-US"/>
        </w:rPr>
        <w:t xml:space="preserve">and </w:t>
      </w:r>
      <w:r w:rsidRPr="00DE44D1">
        <w:rPr>
          <w:lang w:val="en-US"/>
        </w:rPr>
        <w:t>HIV</w:t>
      </w:r>
      <w:r>
        <w:rPr>
          <w:lang w:val="en-US"/>
        </w:rPr>
        <w:t xml:space="preserve"> testing for</w:t>
      </w:r>
      <w:r w:rsidRPr="00EB3AE1">
        <w:rPr>
          <w:lang w:val="en-US"/>
        </w:rPr>
        <w:t xml:space="preserve"> 78,737 people (39.7 pe</w:t>
      </w:r>
      <w:r>
        <w:rPr>
          <w:lang w:val="en-US"/>
        </w:rPr>
        <w:t>r cent of all national testing)</w:t>
      </w:r>
      <w:r w:rsidR="00050557">
        <w:rPr>
          <w:lang w:val="en-US"/>
        </w:rPr>
        <w:t>,</w:t>
      </w:r>
      <w:r>
        <w:rPr>
          <w:lang w:val="en-US"/>
        </w:rPr>
        <w:t xml:space="preserve"> including 43,414 pregnant women. Increasing access to anti-retroviral drugs is on track, but the proportion of HIV</w:t>
      </w:r>
      <w:r>
        <w:rPr>
          <w:lang w:val="en-US"/>
        </w:rPr>
        <w:noBreakHyphen/>
        <w:t>positive pregnant women accessing treatment (55 per cent) is well below the target (80 per cent)</w:t>
      </w:r>
      <w:r w:rsidRPr="00A06A96">
        <w:rPr>
          <w:color w:val="000000" w:themeColor="text1"/>
          <w:lang w:val="en-US"/>
        </w:rPr>
        <w:t xml:space="preserve">. </w:t>
      </w:r>
      <w:r w:rsidR="009D435A">
        <w:rPr>
          <w:color w:val="000000" w:themeColor="text1"/>
          <w:lang w:val="en-US"/>
        </w:rPr>
        <w:t xml:space="preserve"> </w:t>
      </w:r>
      <w:r w:rsidR="00A95B09" w:rsidRPr="00A06A96">
        <w:rPr>
          <w:color w:val="000000" w:themeColor="text1"/>
        </w:rPr>
        <w:t>Australian investment in Western Province for TB control has seen improvements in diagnosis and treatment of both drug sensitive and drug resistant TB and</w:t>
      </w:r>
      <w:r w:rsidR="009B1B5F" w:rsidRPr="00A06A96">
        <w:rPr>
          <w:color w:val="000000" w:themeColor="text1"/>
          <w:lang w:val="en-US"/>
        </w:rPr>
        <w:t xml:space="preserve"> </w:t>
      </w:r>
      <w:r w:rsidR="00A95B09" w:rsidRPr="00A06A96">
        <w:rPr>
          <w:color w:val="000000" w:themeColor="text1"/>
          <w:szCs w:val="21"/>
        </w:rPr>
        <w:t>p</w:t>
      </w:r>
      <w:r w:rsidRPr="00A06A96">
        <w:rPr>
          <w:color w:val="000000" w:themeColor="text1"/>
          <w:szCs w:val="21"/>
        </w:rPr>
        <w:t xml:space="preserve">rogress has also been made in establishing and convening TB governance and coordination forums. </w:t>
      </w:r>
      <w:r w:rsidR="009B1B5F" w:rsidRPr="00A06A96">
        <w:rPr>
          <w:color w:val="000000" w:themeColor="text1"/>
          <w:szCs w:val="21"/>
        </w:rPr>
        <w:t xml:space="preserve"> </w:t>
      </w:r>
      <w:r w:rsidRPr="00A06A96">
        <w:rPr>
          <w:color w:val="000000" w:themeColor="text1"/>
          <w:szCs w:val="21"/>
        </w:rPr>
        <w:t>However National TB program targets cannot be assessed, as the Nationa</w:t>
      </w:r>
      <w:r>
        <w:rPr>
          <w:szCs w:val="21"/>
        </w:rPr>
        <w:t xml:space="preserve">l </w:t>
      </w:r>
      <w:r w:rsidRPr="00FA0618">
        <w:rPr>
          <w:color w:val="000000" w:themeColor="text1"/>
        </w:rPr>
        <w:t xml:space="preserve">Tuberculosis Program has not yet released 2014 data. </w:t>
      </w:r>
      <w:r w:rsidR="009B1B5F" w:rsidRPr="00FA0618">
        <w:rPr>
          <w:color w:val="000000" w:themeColor="text1"/>
        </w:rPr>
        <w:t xml:space="preserve"> </w:t>
      </w:r>
      <w:r w:rsidRPr="00FA0618">
        <w:rPr>
          <w:color w:val="000000" w:themeColor="text1"/>
        </w:rPr>
        <w:t>National malaria program targets are on track to be achieved, with continued reductions in malaria incidence.</w:t>
      </w:r>
      <w:r w:rsidR="009B1B5F" w:rsidRPr="00FA0618">
        <w:rPr>
          <w:color w:val="000000" w:themeColor="text1"/>
        </w:rPr>
        <w:t xml:space="preserve"> </w:t>
      </w:r>
      <w:r w:rsidRPr="00FA0618">
        <w:rPr>
          <w:color w:val="000000" w:themeColor="text1"/>
        </w:rPr>
        <w:t xml:space="preserve"> Implementation of the PNG, Australia and China trilateral malaria cooperation program </w:t>
      </w:r>
      <w:r w:rsidR="005F7415">
        <w:rPr>
          <w:color w:val="000000" w:themeColor="text1"/>
        </w:rPr>
        <w:t>will</w:t>
      </w:r>
      <w:r w:rsidR="0082706F">
        <w:rPr>
          <w:color w:val="000000" w:themeColor="text1"/>
        </w:rPr>
        <w:t xml:space="preserve"> start in early 2016.</w:t>
      </w:r>
    </w:p>
    <w:p w:rsidR="00076F8A" w:rsidRPr="00FA0618" w:rsidRDefault="00050557" w:rsidP="00994EC7">
      <w:pPr>
        <w:pStyle w:val="BodyText"/>
        <w:spacing w:line="276" w:lineRule="auto"/>
        <w:rPr>
          <w:color w:val="000000" w:themeColor="text1"/>
        </w:rPr>
      </w:pPr>
      <w:r>
        <w:rPr>
          <w:color w:val="000000" w:themeColor="text1"/>
        </w:rPr>
        <w:t>F</w:t>
      </w:r>
      <w:r w:rsidR="00076F8A" w:rsidRPr="00FA0618">
        <w:rPr>
          <w:color w:val="000000" w:themeColor="text1"/>
        </w:rPr>
        <w:t>inancing</w:t>
      </w:r>
      <w:r>
        <w:rPr>
          <w:color w:val="000000" w:themeColor="text1"/>
        </w:rPr>
        <w:t xml:space="preserve"> of the health sector</w:t>
      </w:r>
      <w:r w:rsidR="00076F8A" w:rsidRPr="00FA0618">
        <w:rPr>
          <w:color w:val="000000" w:themeColor="text1"/>
        </w:rPr>
        <w:t xml:space="preserve"> has continued to improve, but pace has slowed. </w:t>
      </w:r>
      <w:r w:rsidR="009B1B5F" w:rsidRPr="00FA0618">
        <w:rPr>
          <w:color w:val="000000" w:themeColor="text1"/>
        </w:rPr>
        <w:t xml:space="preserve"> </w:t>
      </w:r>
      <w:r w:rsidR="00076F8A" w:rsidRPr="00FA0618">
        <w:rPr>
          <w:color w:val="000000" w:themeColor="text1"/>
        </w:rPr>
        <w:t>PNG’s budget included an increase to funding for Christian Health Services (following an Australian-supported technical assistance mission in 2013), which is expected to have a major impact on rural health facility performance.</w:t>
      </w:r>
      <w:r w:rsidR="00556B2D">
        <w:rPr>
          <w:color w:val="000000" w:themeColor="text1"/>
        </w:rPr>
        <w:t xml:space="preserve"> </w:t>
      </w:r>
      <w:r w:rsidR="00076F8A" w:rsidRPr="00FA0618">
        <w:rPr>
          <w:color w:val="000000" w:themeColor="text1"/>
        </w:rPr>
        <w:t xml:space="preserve"> However Australia’s other budget priorities</w:t>
      </w:r>
      <w:r w:rsidR="00556B2D">
        <w:rPr>
          <w:color w:val="000000" w:themeColor="text1"/>
        </w:rPr>
        <w:t xml:space="preserve"> (</w:t>
      </w:r>
      <w:r w:rsidR="00076F8A" w:rsidRPr="00FA0618">
        <w:rPr>
          <w:color w:val="000000" w:themeColor="text1"/>
        </w:rPr>
        <w:t xml:space="preserve">health workforce, TB response, and the redevelopment of ANGAU </w:t>
      </w:r>
      <w:r w:rsidR="00556B2D">
        <w:rPr>
          <w:color w:val="000000" w:themeColor="text1"/>
        </w:rPr>
        <w:t>H</w:t>
      </w:r>
      <w:r w:rsidR="00076F8A" w:rsidRPr="00FA0618">
        <w:rPr>
          <w:color w:val="000000" w:themeColor="text1"/>
        </w:rPr>
        <w:t>ospital</w:t>
      </w:r>
      <w:r w:rsidR="00556B2D">
        <w:rPr>
          <w:color w:val="000000" w:themeColor="text1"/>
        </w:rPr>
        <w:t xml:space="preserve">) </w:t>
      </w:r>
      <w:r w:rsidR="00076F8A" w:rsidRPr="00FA0618">
        <w:rPr>
          <w:color w:val="000000" w:themeColor="text1"/>
        </w:rPr>
        <w:t>did not receive sufficient funding</w:t>
      </w:r>
      <w:r w:rsidR="0082706F">
        <w:rPr>
          <w:color w:val="000000" w:themeColor="text1"/>
        </w:rPr>
        <w:t xml:space="preserve"> from the Government of PNG</w:t>
      </w:r>
      <w:r w:rsidR="00076F8A" w:rsidRPr="00FA0618">
        <w:rPr>
          <w:color w:val="000000" w:themeColor="text1"/>
        </w:rPr>
        <w:t xml:space="preserve">. </w:t>
      </w:r>
    </w:p>
    <w:p w:rsidR="00076F8A" w:rsidRPr="00FA0618" w:rsidRDefault="00E73265" w:rsidP="00994EC7">
      <w:pPr>
        <w:pStyle w:val="BodyText"/>
        <w:spacing w:line="276" w:lineRule="auto"/>
        <w:rPr>
          <w:color w:val="000000" w:themeColor="text1"/>
        </w:rPr>
      </w:pPr>
      <w:r w:rsidRPr="00FA0618">
        <w:rPr>
          <w:color w:val="000000" w:themeColor="text1"/>
        </w:rPr>
        <w:t>Health workforce pre-service performance targets are on track, with 297 midwifery, 297 nursing, and 350 Community Health Worker scholarships awarded</w:t>
      </w:r>
      <w:r w:rsidR="00556B2D">
        <w:rPr>
          <w:color w:val="000000" w:themeColor="text1"/>
        </w:rPr>
        <w:t xml:space="preserve"> in 2014-15</w:t>
      </w:r>
      <w:r w:rsidRPr="00FA0618">
        <w:rPr>
          <w:color w:val="000000" w:themeColor="text1"/>
        </w:rPr>
        <w:t xml:space="preserve">.  Health </w:t>
      </w:r>
      <w:r w:rsidRPr="00FA0618">
        <w:rPr>
          <w:color w:val="000000" w:themeColor="text1"/>
        </w:rPr>
        <w:lastRenderedPageBreak/>
        <w:t>workforce training</w:t>
      </w:r>
      <w:r>
        <w:rPr>
          <w:color w:val="000000" w:themeColor="text1"/>
        </w:rPr>
        <w:t xml:space="preserve"> predominantly </w:t>
      </w:r>
      <w:r w:rsidR="00556B2D">
        <w:rPr>
          <w:color w:val="000000" w:themeColor="text1"/>
        </w:rPr>
        <w:t>benefits women</w:t>
      </w:r>
      <w:r>
        <w:rPr>
          <w:color w:val="000000" w:themeColor="text1"/>
        </w:rPr>
        <w:t xml:space="preserve"> (</w:t>
      </w:r>
      <w:r w:rsidRPr="00FA0618">
        <w:rPr>
          <w:color w:val="000000" w:themeColor="text1"/>
        </w:rPr>
        <w:t>71 per cent</w:t>
      </w:r>
      <w:r>
        <w:rPr>
          <w:color w:val="000000" w:themeColor="text1"/>
        </w:rPr>
        <w:t xml:space="preserve">), </w:t>
      </w:r>
      <w:r w:rsidR="00556B2D">
        <w:rPr>
          <w:color w:val="000000" w:themeColor="text1"/>
        </w:rPr>
        <w:t>increasing</w:t>
      </w:r>
      <w:r>
        <w:rPr>
          <w:color w:val="000000" w:themeColor="text1"/>
        </w:rPr>
        <w:t xml:space="preserve"> their access to promotion and employment opportunities</w:t>
      </w:r>
      <w:r w:rsidRPr="00FA0618">
        <w:rPr>
          <w:color w:val="000000" w:themeColor="text1"/>
        </w:rPr>
        <w:t>.</w:t>
      </w:r>
      <w:r w:rsidR="00556B2D">
        <w:rPr>
          <w:color w:val="000000" w:themeColor="text1"/>
        </w:rPr>
        <w:t xml:space="preserve">  </w:t>
      </w:r>
      <w:r w:rsidRPr="00FA0618">
        <w:rPr>
          <w:color w:val="000000" w:themeColor="text1"/>
        </w:rPr>
        <w:t xml:space="preserve">Australian support has also contributed to </w:t>
      </w:r>
      <w:r w:rsidR="00556B2D">
        <w:rPr>
          <w:color w:val="000000" w:themeColor="text1"/>
        </w:rPr>
        <w:t xml:space="preserve">improving the </w:t>
      </w:r>
      <w:r w:rsidRPr="00FA0618">
        <w:rPr>
          <w:color w:val="000000" w:themeColor="text1"/>
        </w:rPr>
        <w:t>quality of the midwifery curriculum, and increasing the registration of trained midwives</w:t>
      </w:r>
      <w:r w:rsidR="006D438F" w:rsidRPr="00FA0618">
        <w:rPr>
          <w:color w:val="000000" w:themeColor="text1"/>
        </w:rPr>
        <w:t>.</w:t>
      </w:r>
      <w:r w:rsidR="00076F8A" w:rsidRPr="00FA0618">
        <w:rPr>
          <w:color w:val="000000" w:themeColor="text1"/>
        </w:rPr>
        <w:t xml:space="preserve"> </w:t>
      </w:r>
    </w:p>
    <w:p w:rsidR="00716A5F" w:rsidRPr="00FA0618" w:rsidRDefault="00716A5F" w:rsidP="00994EC7">
      <w:pPr>
        <w:pStyle w:val="BodyText"/>
        <w:spacing w:line="276" w:lineRule="auto"/>
        <w:rPr>
          <w:color w:val="000000" w:themeColor="text1"/>
        </w:rPr>
      </w:pPr>
      <w:r w:rsidRPr="00FA0618">
        <w:rPr>
          <w:color w:val="000000" w:themeColor="text1"/>
        </w:rPr>
        <w:t xml:space="preserve">Through support to the </w:t>
      </w:r>
      <w:r w:rsidR="00E5680B" w:rsidRPr="00FA0618">
        <w:rPr>
          <w:color w:val="000000" w:themeColor="text1"/>
        </w:rPr>
        <w:t>A</w:t>
      </w:r>
      <w:r w:rsidR="00E5680B">
        <w:rPr>
          <w:color w:val="000000" w:themeColor="text1"/>
        </w:rPr>
        <w:t>sian Development Bank</w:t>
      </w:r>
      <w:r w:rsidR="00E5680B" w:rsidRPr="00FA0618">
        <w:rPr>
          <w:color w:val="000000" w:themeColor="text1"/>
        </w:rPr>
        <w:t xml:space="preserve">’s </w:t>
      </w:r>
      <w:r w:rsidRPr="00FA0618">
        <w:rPr>
          <w:color w:val="000000" w:themeColor="text1"/>
        </w:rPr>
        <w:t xml:space="preserve">Rural Primary Health Services Development Program (RPHSDP), </w:t>
      </w:r>
      <w:r w:rsidR="00050557">
        <w:rPr>
          <w:color w:val="000000" w:themeColor="text1"/>
        </w:rPr>
        <w:t>Australia</w:t>
      </w:r>
      <w:r w:rsidR="00050557" w:rsidRPr="00FA0618">
        <w:rPr>
          <w:color w:val="000000" w:themeColor="text1"/>
        </w:rPr>
        <w:t xml:space="preserve"> </w:t>
      </w:r>
      <w:r w:rsidRPr="00FA0618">
        <w:rPr>
          <w:color w:val="000000" w:themeColor="text1"/>
        </w:rPr>
        <w:t xml:space="preserve">contributed to the development of the National Health Sector Gender Policy and plans, review of clinical guidelines for responding to sexual violence, and a curriculum to improve health worker skills. </w:t>
      </w:r>
      <w:r w:rsidR="00556B2D">
        <w:rPr>
          <w:color w:val="000000" w:themeColor="text1"/>
        </w:rPr>
        <w:t xml:space="preserve"> </w:t>
      </w:r>
      <w:r w:rsidRPr="00FA0618">
        <w:rPr>
          <w:color w:val="000000" w:themeColor="text1"/>
        </w:rPr>
        <w:t>Family and Sexual Violence prevention and care courses were also reviewed to ensure they can be appropriately used in catchment villages.</w:t>
      </w:r>
    </w:p>
    <w:p w:rsidR="00076F8A" w:rsidRPr="00FA0618" w:rsidRDefault="00076F8A" w:rsidP="00994EC7">
      <w:pPr>
        <w:pStyle w:val="BodyText"/>
        <w:spacing w:after="240" w:line="276" w:lineRule="auto"/>
        <w:rPr>
          <w:color w:val="000000" w:themeColor="text1"/>
        </w:rPr>
      </w:pPr>
      <w:r w:rsidRPr="00FA0618">
        <w:rPr>
          <w:color w:val="000000" w:themeColor="text1"/>
        </w:rPr>
        <w:t xml:space="preserve">Infrastructure performance targets are </w:t>
      </w:r>
      <w:r w:rsidR="00AD0920" w:rsidRPr="00FA0618">
        <w:rPr>
          <w:color w:val="000000" w:themeColor="text1"/>
        </w:rPr>
        <w:t>progressing towards expected outputs</w:t>
      </w:r>
      <w:r w:rsidRPr="00FA0618">
        <w:rPr>
          <w:color w:val="000000" w:themeColor="text1"/>
        </w:rPr>
        <w:t xml:space="preserve">. </w:t>
      </w:r>
      <w:r w:rsidR="009B1B5F" w:rsidRPr="00FA0618">
        <w:rPr>
          <w:color w:val="000000" w:themeColor="text1"/>
        </w:rPr>
        <w:t xml:space="preserve"> </w:t>
      </w:r>
      <w:r w:rsidR="007308B5" w:rsidRPr="00FA0618">
        <w:rPr>
          <w:color w:val="000000" w:themeColor="text1"/>
        </w:rPr>
        <w:t xml:space="preserve">The Master Plan for the ANGAU Hospital was completed in June 2015. </w:t>
      </w:r>
      <w:r w:rsidR="006143C5">
        <w:rPr>
          <w:color w:val="000000" w:themeColor="text1"/>
        </w:rPr>
        <w:t xml:space="preserve"> </w:t>
      </w:r>
      <w:r w:rsidR="007308B5" w:rsidRPr="00FA0618">
        <w:rPr>
          <w:color w:val="000000" w:themeColor="text1"/>
        </w:rPr>
        <w:t>A consultancy for an analysis of the financing options for PNG and Australia to jointly fund the reconstruction of the ANGAU</w:t>
      </w:r>
      <w:r w:rsidR="00556B2D">
        <w:rPr>
          <w:color w:val="000000" w:themeColor="text1"/>
        </w:rPr>
        <w:t xml:space="preserve"> H</w:t>
      </w:r>
      <w:r w:rsidR="00556B2D" w:rsidRPr="00FA0618">
        <w:rPr>
          <w:color w:val="000000" w:themeColor="text1"/>
        </w:rPr>
        <w:t xml:space="preserve">ospital </w:t>
      </w:r>
      <w:r w:rsidR="007308B5" w:rsidRPr="00FA0618">
        <w:rPr>
          <w:color w:val="000000" w:themeColor="text1"/>
        </w:rPr>
        <w:t>is underway and the initial recommendations were presented in June 2015.</w:t>
      </w:r>
      <w:r w:rsidRPr="00FA0618">
        <w:rPr>
          <w:color w:val="000000" w:themeColor="text1"/>
        </w:rPr>
        <w:t xml:space="preserve"> </w:t>
      </w:r>
      <w:r w:rsidR="006143C5">
        <w:rPr>
          <w:color w:val="000000" w:themeColor="text1"/>
        </w:rPr>
        <w:t xml:space="preserve"> </w:t>
      </w:r>
      <w:r w:rsidRPr="00FA0618">
        <w:rPr>
          <w:color w:val="000000" w:themeColor="text1"/>
        </w:rPr>
        <w:t xml:space="preserve">Australia continued to invest in health worker training school infrastructure to increase the PNG health workforce, </w:t>
      </w:r>
      <w:r w:rsidR="003B7B88" w:rsidRPr="00FA0618">
        <w:rPr>
          <w:color w:val="000000" w:themeColor="text1"/>
        </w:rPr>
        <w:t xml:space="preserve">including </w:t>
      </w:r>
      <w:r w:rsidRPr="00FA0618">
        <w:rPr>
          <w:color w:val="000000" w:themeColor="text1"/>
        </w:rPr>
        <w:t>completion of a new midwifery school at St Mary’s School of Nursing.</w:t>
      </w:r>
    </w:p>
    <w:p w:rsidR="00076F8A" w:rsidRPr="00F1610C" w:rsidRDefault="00076F8A" w:rsidP="00994EC7">
      <w:pPr>
        <w:pStyle w:val="Heading4"/>
        <w:rPr>
          <w:szCs w:val="21"/>
        </w:rPr>
      </w:pPr>
      <w:r>
        <w:t xml:space="preserve">Key risks and challenges </w:t>
      </w:r>
      <w:r w:rsidR="00C37E40">
        <w:br/>
      </w:r>
    </w:p>
    <w:p w:rsidR="00CF3593" w:rsidRPr="00994EC7" w:rsidRDefault="00DD6E1D" w:rsidP="00994EC7">
      <w:pPr>
        <w:spacing w:line="276" w:lineRule="auto"/>
        <w:rPr>
          <w:rFonts w:cs="Calibri"/>
          <w:sz w:val="21"/>
          <w:szCs w:val="21"/>
        </w:rPr>
      </w:pPr>
      <w:r w:rsidRPr="00994EC7">
        <w:rPr>
          <w:rFonts w:ascii="Franklin Gothic Book" w:hAnsi="Franklin Gothic Book" w:cs="Calibri"/>
          <w:sz w:val="21"/>
          <w:szCs w:val="21"/>
        </w:rPr>
        <w:t xml:space="preserve">There is a highly effective working relationship between the Australian health program and PNG national partners, principally the National Department of Health (NDoH).  </w:t>
      </w:r>
      <w:r w:rsidR="003627EC" w:rsidRPr="00994EC7">
        <w:rPr>
          <w:rFonts w:ascii="Franklin Gothic Book" w:hAnsi="Franklin Gothic Book" w:cs="Calibri"/>
          <w:sz w:val="21"/>
          <w:szCs w:val="21"/>
        </w:rPr>
        <w:t>I</w:t>
      </w:r>
      <w:r w:rsidRPr="00994EC7">
        <w:rPr>
          <w:rFonts w:ascii="Franklin Gothic Book" w:hAnsi="Franklin Gothic Book" w:cs="Calibri"/>
          <w:sz w:val="21"/>
          <w:szCs w:val="21"/>
        </w:rPr>
        <w:t>mproving health governance remains complex,</w:t>
      </w:r>
      <w:r w:rsidR="003627EC" w:rsidRPr="00994EC7">
        <w:rPr>
          <w:rFonts w:ascii="Franklin Gothic Book" w:hAnsi="Franklin Gothic Book" w:cs="Calibri"/>
          <w:sz w:val="21"/>
          <w:szCs w:val="21"/>
        </w:rPr>
        <w:t xml:space="preserve"> however,</w:t>
      </w:r>
      <w:r w:rsidRPr="00994EC7">
        <w:rPr>
          <w:rFonts w:ascii="Franklin Gothic Book" w:hAnsi="Franklin Gothic Book" w:cs="Calibri"/>
          <w:sz w:val="21"/>
          <w:szCs w:val="21"/>
        </w:rPr>
        <w:t xml:space="preserve"> with the NDoH disbanding the Health Sector Partnership Committee due to poor performance.  </w:t>
      </w:r>
      <w:r w:rsidR="00B04070" w:rsidRPr="00994EC7">
        <w:rPr>
          <w:rFonts w:ascii="Franklin Gothic Book" w:hAnsi="Franklin Gothic Book" w:cs="Calibri"/>
          <w:sz w:val="21"/>
          <w:szCs w:val="21"/>
        </w:rPr>
        <w:t xml:space="preserve">The Government of PNG has delayed the roll-out of new </w:t>
      </w:r>
      <w:r w:rsidRPr="00994EC7">
        <w:rPr>
          <w:rFonts w:ascii="Franklin Gothic Book" w:hAnsi="Franklin Gothic Book" w:cs="Calibri"/>
          <w:sz w:val="21"/>
          <w:szCs w:val="21"/>
        </w:rPr>
        <w:t xml:space="preserve">Provincial Health Authorities (PHA) pending a second Australian-funded independent review, and it remains unclear if the PHA Act will be repealed in favour of transferring health functions to </w:t>
      </w:r>
      <w:r w:rsidR="00473BF2" w:rsidRPr="00994EC7">
        <w:rPr>
          <w:rFonts w:ascii="Franklin Gothic Book" w:hAnsi="Franklin Gothic Book" w:cs="Calibri"/>
          <w:sz w:val="21"/>
          <w:szCs w:val="21"/>
        </w:rPr>
        <w:t xml:space="preserve">the </w:t>
      </w:r>
      <w:r w:rsidRPr="00994EC7">
        <w:rPr>
          <w:rFonts w:ascii="Franklin Gothic Book" w:hAnsi="Franklin Gothic Book" w:cs="Calibri"/>
          <w:sz w:val="21"/>
          <w:szCs w:val="21"/>
        </w:rPr>
        <w:t>District Development Authorities.</w:t>
      </w:r>
    </w:p>
    <w:p w:rsidR="00CF3593" w:rsidRPr="00994EC7" w:rsidRDefault="00CF3593" w:rsidP="00994EC7">
      <w:pPr>
        <w:spacing w:line="276" w:lineRule="auto"/>
        <w:rPr>
          <w:rFonts w:cs="Calibri"/>
          <w:sz w:val="21"/>
          <w:szCs w:val="21"/>
        </w:rPr>
      </w:pPr>
    </w:p>
    <w:p w:rsidR="00CF3593" w:rsidRDefault="00076F8A" w:rsidP="00994EC7">
      <w:pPr>
        <w:spacing w:line="276" w:lineRule="auto"/>
        <w:rPr>
          <w:rFonts w:cs="Calibri"/>
          <w:sz w:val="21"/>
          <w:szCs w:val="21"/>
        </w:rPr>
      </w:pPr>
      <w:r w:rsidRPr="00994EC7">
        <w:rPr>
          <w:rFonts w:ascii="Franklin Gothic Book" w:hAnsi="Franklin Gothic Book" w:cs="Calibri"/>
          <w:sz w:val="21"/>
          <w:szCs w:val="21"/>
        </w:rPr>
        <w:t>In 2014</w:t>
      </w:r>
      <w:r w:rsidR="00F72048" w:rsidRPr="00994EC7">
        <w:rPr>
          <w:rFonts w:ascii="Franklin Gothic Book" w:hAnsi="Franklin Gothic Book" w:cs="Calibri"/>
          <w:sz w:val="21"/>
          <w:szCs w:val="21"/>
        </w:rPr>
        <w:t>,</w:t>
      </w:r>
      <w:r w:rsidRPr="00994EC7">
        <w:rPr>
          <w:rFonts w:ascii="Franklin Gothic Book" w:hAnsi="Franklin Gothic Book" w:cs="Calibri"/>
          <w:sz w:val="21"/>
          <w:szCs w:val="21"/>
        </w:rPr>
        <w:t xml:space="preserve"> the Health and HIV program commissioned an independent assessment of its aid portfolio over 2011</w:t>
      </w:r>
      <w:r w:rsidR="00DD6E1D" w:rsidRPr="00994EC7">
        <w:rPr>
          <w:rFonts w:ascii="Franklin Gothic Book" w:hAnsi="Franklin Gothic Book" w:cs="Calibri"/>
          <w:sz w:val="21"/>
          <w:szCs w:val="21"/>
        </w:rPr>
        <w:t>-</w:t>
      </w:r>
      <w:r w:rsidRPr="00994EC7">
        <w:rPr>
          <w:rFonts w:ascii="Franklin Gothic Book" w:hAnsi="Franklin Gothic Book" w:cs="Calibri"/>
          <w:sz w:val="21"/>
          <w:szCs w:val="21"/>
        </w:rPr>
        <w:t xml:space="preserve">14. </w:t>
      </w:r>
      <w:r w:rsidR="00D54A11" w:rsidRPr="00994EC7">
        <w:rPr>
          <w:rFonts w:ascii="Franklin Gothic Book" w:hAnsi="Franklin Gothic Book" w:cs="Calibri"/>
          <w:sz w:val="21"/>
          <w:szCs w:val="21"/>
        </w:rPr>
        <w:t xml:space="preserve"> </w:t>
      </w:r>
      <w:r w:rsidRPr="00994EC7">
        <w:rPr>
          <w:rFonts w:ascii="Franklin Gothic Book" w:hAnsi="Franklin Gothic Book" w:cs="Calibri"/>
          <w:sz w:val="21"/>
          <w:szCs w:val="21"/>
        </w:rPr>
        <w:t xml:space="preserve">The evaluation concluded that Australia has largely delivered on its broad and ambitious PNG-Australia Health Delivery Strategy 2011-15. </w:t>
      </w:r>
      <w:r w:rsidR="00D54A11" w:rsidRPr="00994EC7">
        <w:rPr>
          <w:rFonts w:ascii="Franklin Gothic Book" w:hAnsi="Franklin Gothic Book" w:cs="Calibri"/>
          <w:sz w:val="21"/>
          <w:szCs w:val="21"/>
        </w:rPr>
        <w:t xml:space="preserve"> </w:t>
      </w:r>
      <w:r w:rsidRPr="00994EC7">
        <w:rPr>
          <w:rFonts w:ascii="Franklin Gothic Book" w:hAnsi="Franklin Gothic Book" w:cs="Calibri"/>
          <w:sz w:val="21"/>
          <w:szCs w:val="21"/>
        </w:rPr>
        <w:t>The assessment recommended that reproductive, maternal and child health should remain the core focus of the program, but that more could be achieved in the longer term with stronger accountability mechanisms, and a gradual move to greater Government of PNG oversight and management</w:t>
      </w:r>
    </w:p>
    <w:p w:rsidR="00A22A01" w:rsidRDefault="009F0446" w:rsidP="00994EC7">
      <w:pPr>
        <w:spacing w:line="276" w:lineRule="auto"/>
      </w:pPr>
      <w:r w:rsidRPr="00994EC7">
        <w:rPr>
          <w:rFonts w:ascii="Franklin Gothic Book" w:hAnsi="Franklin Gothic Book" w:cs="Calibri"/>
          <w:sz w:val="21"/>
          <w:szCs w:val="21"/>
        </w:rPr>
        <w:br/>
      </w:r>
      <w:r w:rsidR="0021064E" w:rsidRPr="00994EC7">
        <w:rPr>
          <w:rFonts w:ascii="Franklin Gothic Book" w:hAnsi="Franklin Gothic Book" w:cs="Calibri"/>
          <w:sz w:val="21"/>
          <w:szCs w:val="21"/>
        </w:rPr>
        <w:t xml:space="preserve">The ability to achieve progress in areas including health workforce, TB, and the redevelopment of the ANGAU </w:t>
      </w:r>
      <w:r w:rsidR="00473BF2" w:rsidRPr="00994EC7">
        <w:rPr>
          <w:rFonts w:ascii="Franklin Gothic Book" w:hAnsi="Franklin Gothic Book" w:cs="Calibri"/>
          <w:sz w:val="21"/>
          <w:szCs w:val="21"/>
        </w:rPr>
        <w:t xml:space="preserve">Hospital </w:t>
      </w:r>
      <w:r w:rsidR="0021064E" w:rsidRPr="00994EC7">
        <w:rPr>
          <w:rFonts w:ascii="Franklin Gothic Book" w:hAnsi="Franklin Gothic Book" w:cs="Calibri"/>
          <w:sz w:val="21"/>
          <w:szCs w:val="21"/>
        </w:rPr>
        <w:t>rely on continued and increased funding from the Government of PNG</w:t>
      </w:r>
      <w:r w:rsidR="003627EC" w:rsidRPr="00994EC7">
        <w:rPr>
          <w:rFonts w:ascii="Franklin Gothic Book" w:hAnsi="Franklin Gothic Book" w:cs="Calibri"/>
          <w:sz w:val="21"/>
          <w:szCs w:val="21"/>
        </w:rPr>
        <w:t>.</w:t>
      </w:r>
      <w:r w:rsidR="0021064E" w:rsidRPr="00994EC7">
        <w:rPr>
          <w:rFonts w:ascii="Franklin Gothic Book" w:hAnsi="Franklin Gothic Book" w:cs="Calibri"/>
          <w:sz w:val="21"/>
          <w:szCs w:val="21"/>
        </w:rPr>
        <w:t xml:space="preserve"> </w:t>
      </w:r>
      <w:r w:rsidR="003627EC" w:rsidRPr="00994EC7">
        <w:rPr>
          <w:rFonts w:ascii="Franklin Gothic Book" w:hAnsi="Franklin Gothic Book" w:cs="Calibri"/>
          <w:sz w:val="21"/>
          <w:szCs w:val="21"/>
        </w:rPr>
        <w:t>W</w:t>
      </w:r>
      <w:r w:rsidR="0021064E" w:rsidRPr="00994EC7">
        <w:rPr>
          <w:rFonts w:ascii="Franklin Gothic Book" w:hAnsi="Franklin Gothic Book" w:cs="Calibri"/>
          <w:sz w:val="21"/>
          <w:szCs w:val="21"/>
        </w:rPr>
        <w:t>hile Australia welcomed the initial increase to PNG’s health budget in 2015, it was subsequently reduced in July to PGK1.3 billion.</w:t>
      </w:r>
      <w:r w:rsidR="00473BF2" w:rsidRPr="00994EC7">
        <w:rPr>
          <w:rFonts w:ascii="Franklin Gothic Book" w:hAnsi="Franklin Gothic Book" w:cs="Calibri"/>
          <w:sz w:val="21"/>
          <w:szCs w:val="21"/>
        </w:rPr>
        <w:t xml:space="preserve"> </w:t>
      </w:r>
      <w:r w:rsidR="0021064E" w:rsidRPr="00994EC7">
        <w:rPr>
          <w:rFonts w:ascii="Franklin Gothic Book" w:hAnsi="Franklin Gothic Book" w:cs="Calibri"/>
          <w:sz w:val="21"/>
          <w:szCs w:val="21"/>
        </w:rPr>
        <w:t xml:space="preserve"> </w:t>
      </w:r>
      <w:r w:rsidR="00473BF2" w:rsidRPr="00994EC7">
        <w:rPr>
          <w:rFonts w:ascii="Franklin Gothic Book" w:hAnsi="Franklin Gothic Book" w:cs="Calibri"/>
          <w:sz w:val="21"/>
          <w:szCs w:val="21"/>
        </w:rPr>
        <w:t>Under</w:t>
      </w:r>
      <w:r w:rsidR="00076F8A" w:rsidRPr="00994EC7">
        <w:rPr>
          <w:rFonts w:ascii="Franklin Gothic Book" w:hAnsi="Franklin Gothic Book" w:cs="Calibri"/>
          <w:sz w:val="21"/>
          <w:szCs w:val="21"/>
        </w:rPr>
        <w:t>performance, lack of financial reporting, land acquisition for development</w:t>
      </w:r>
      <w:r w:rsidR="00D06C28">
        <w:rPr>
          <w:rFonts w:ascii="Franklin Gothic Book" w:hAnsi="Franklin Gothic Book" w:cs="Calibri"/>
          <w:sz w:val="21"/>
          <w:szCs w:val="21"/>
        </w:rPr>
        <w:t>, and</w:t>
      </w:r>
      <w:r w:rsidR="00076F8A" w:rsidRPr="00994EC7">
        <w:rPr>
          <w:rFonts w:ascii="Franklin Gothic Book" w:hAnsi="Franklin Gothic Book" w:cs="Calibri"/>
          <w:sz w:val="21"/>
          <w:szCs w:val="21"/>
        </w:rPr>
        <w:t xml:space="preserve"> agencies not meeting their co-financing commitments are the main risks to the </w:t>
      </w:r>
      <w:r w:rsidR="00C552FE" w:rsidRPr="00994EC7">
        <w:rPr>
          <w:rFonts w:ascii="Franklin Gothic Book" w:hAnsi="Franklin Gothic Book" w:cs="Calibri"/>
          <w:sz w:val="21"/>
          <w:szCs w:val="21"/>
        </w:rPr>
        <w:t>p</w:t>
      </w:r>
      <w:r w:rsidR="00076F8A" w:rsidRPr="00994EC7">
        <w:rPr>
          <w:rFonts w:ascii="Franklin Gothic Book" w:hAnsi="Franklin Gothic Book" w:cs="Calibri"/>
          <w:sz w:val="21"/>
          <w:szCs w:val="21"/>
        </w:rPr>
        <w:t>rogram.</w:t>
      </w:r>
      <w:r w:rsidRPr="00994EC7">
        <w:rPr>
          <w:rFonts w:ascii="Franklin Gothic Book" w:hAnsi="Franklin Gothic Book" w:cs="Calibri"/>
          <w:sz w:val="21"/>
          <w:szCs w:val="21"/>
        </w:rPr>
        <w:t xml:space="preserve">  </w:t>
      </w:r>
      <w:r w:rsidR="00076F8A" w:rsidRPr="00994EC7">
        <w:rPr>
          <w:rFonts w:ascii="Franklin Gothic Book" w:hAnsi="Franklin Gothic Book" w:cs="Calibri"/>
          <w:sz w:val="21"/>
          <w:szCs w:val="21"/>
        </w:rPr>
        <w:t xml:space="preserve">These continue to be </w:t>
      </w:r>
      <w:r w:rsidR="008D2D98" w:rsidRPr="00994EC7">
        <w:rPr>
          <w:rFonts w:ascii="Franklin Gothic Book" w:hAnsi="Franklin Gothic Book" w:cs="Calibri"/>
          <w:sz w:val="21"/>
          <w:szCs w:val="21"/>
        </w:rPr>
        <w:t xml:space="preserve">managed </w:t>
      </w:r>
      <w:r w:rsidR="00076F8A" w:rsidRPr="00994EC7">
        <w:rPr>
          <w:rFonts w:ascii="Franklin Gothic Book" w:hAnsi="Franklin Gothic Book" w:cs="Calibri"/>
          <w:sz w:val="21"/>
          <w:szCs w:val="21"/>
        </w:rPr>
        <w:t xml:space="preserve">through </w:t>
      </w:r>
      <w:r w:rsidR="00D06C28">
        <w:rPr>
          <w:rFonts w:ascii="Franklin Gothic Book" w:hAnsi="Franklin Gothic Book" w:cs="Calibri"/>
          <w:sz w:val="21"/>
          <w:szCs w:val="21"/>
        </w:rPr>
        <w:t>active engagement by DFAT with</w:t>
      </w:r>
      <w:r w:rsidR="00C552FE" w:rsidRPr="00994EC7">
        <w:rPr>
          <w:rFonts w:ascii="Franklin Gothic Book" w:hAnsi="Franklin Gothic Book" w:cs="Calibri"/>
          <w:sz w:val="21"/>
          <w:szCs w:val="21"/>
        </w:rPr>
        <w:t xml:space="preserve"> relevant stake</w:t>
      </w:r>
      <w:r w:rsidR="00076F8A" w:rsidRPr="00994EC7">
        <w:rPr>
          <w:rFonts w:ascii="Franklin Gothic Book" w:hAnsi="Franklin Gothic Book" w:cs="Calibri"/>
          <w:sz w:val="21"/>
          <w:szCs w:val="21"/>
        </w:rPr>
        <w:t>holders, and stronger program management by DFAT</w:t>
      </w:r>
      <w:r w:rsidR="00076F8A" w:rsidRPr="00994EC7">
        <w:rPr>
          <w:rFonts w:ascii="Franklin Gothic Book" w:eastAsia="Times New Roman" w:hAnsi="Franklin Gothic Book" w:cs="Calibri"/>
          <w:sz w:val="21"/>
          <w:szCs w:val="21"/>
        </w:rPr>
        <w:t>.</w:t>
      </w:r>
      <w:r w:rsidR="005B57AE" w:rsidRPr="00994EC7">
        <w:br/>
      </w:r>
    </w:p>
    <w:p w:rsidR="00E662E3" w:rsidRPr="009F0446" w:rsidRDefault="00E662E3">
      <w:pPr>
        <w:pStyle w:val="Heading3"/>
      </w:pPr>
      <w:r w:rsidRPr="009F0446">
        <w:t xml:space="preserve">Objective 2 – Improved access to quality education at all levels </w:t>
      </w:r>
    </w:p>
    <w:p w:rsidR="00944E87" w:rsidRDefault="00D57411" w:rsidP="00994EC7">
      <w:pPr>
        <w:pStyle w:val="BodyText"/>
        <w:spacing w:before="120" w:line="276" w:lineRule="auto"/>
        <w:rPr>
          <w:lang w:eastAsia="zh-CN"/>
        </w:rPr>
      </w:pPr>
      <w:r>
        <w:rPr>
          <w:lang w:eastAsia="zh-CN"/>
        </w:rPr>
        <w:t>T</w:t>
      </w:r>
      <w:r w:rsidR="00944E87">
        <w:rPr>
          <w:lang w:eastAsia="zh-CN"/>
        </w:rPr>
        <w:t xml:space="preserve">here has been notable progress against some program objectives (for example, exceeding the target for Australia Awards going to women), </w:t>
      </w:r>
      <w:r>
        <w:rPr>
          <w:lang w:eastAsia="zh-CN"/>
        </w:rPr>
        <w:t xml:space="preserve">however, </w:t>
      </w:r>
      <w:r w:rsidR="00DD6E1D">
        <w:rPr>
          <w:lang w:eastAsia="zh-CN"/>
        </w:rPr>
        <w:t xml:space="preserve">it has been </w:t>
      </w:r>
      <w:r w:rsidR="002315D6">
        <w:rPr>
          <w:lang w:eastAsia="zh-CN"/>
        </w:rPr>
        <w:t>difficult to quantify progress</w:t>
      </w:r>
      <w:r w:rsidR="00DD6E1D">
        <w:rPr>
          <w:lang w:eastAsia="zh-CN"/>
        </w:rPr>
        <w:t xml:space="preserve"> in other areas</w:t>
      </w:r>
      <w:r w:rsidR="00944E87">
        <w:rPr>
          <w:lang w:eastAsia="zh-CN"/>
        </w:rPr>
        <w:t xml:space="preserve">. </w:t>
      </w:r>
      <w:r w:rsidR="00D54A11">
        <w:rPr>
          <w:lang w:eastAsia="zh-CN"/>
        </w:rPr>
        <w:t xml:space="preserve"> </w:t>
      </w:r>
    </w:p>
    <w:p w:rsidR="00944E87" w:rsidRDefault="00944E87" w:rsidP="00994EC7">
      <w:pPr>
        <w:pStyle w:val="BodyText"/>
        <w:spacing w:line="276" w:lineRule="auto"/>
        <w:rPr>
          <w:rFonts w:cstheme="minorHAnsi"/>
          <w:szCs w:val="21"/>
        </w:rPr>
      </w:pPr>
      <w:r w:rsidRPr="00F10893">
        <w:rPr>
          <w:rFonts w:cstheme="minorHAnsi"/>
          <w:szCs w:val="21"/>
          <w:lang w:eastAsia="zh-CN"/>
        </w:rPr>
        <w:t>Under the Partnership for Development</w:t>
      </w:r>
      <w:r w:rsidR="006E2F68">
        <w:rPr>
          <w:rFonts w:cstheme="minorHAnsi"/>
          <w:szCs w:val="21"/>
          <w:lang w:eastAsia="zh-CN"/>
        </w:rPr>
        <w:t>,</w:t>
      </w:r>
      <w:r w:rsidRPr="00F10893">
        <w:rPr>
          <w:rFonts w:cstheme="minorHAnsi"/>
          <w:szCs w:val="21"/>
          <w:lang w:eastAsia="zh-CN"/>
        </w:rPr>
        <w:t xml:space="preserve"> Australia and </w:t>
      </w:r>
      <w:r w:rsidR="00DF4495">
        <w:rPr>
          <w:rFonts w:cstheme="minorHAnsi"/>
          <w:szCs w:val="21"/>
          <w:lang w:eastAsia="zh-CN"/>
        </w:rPr>
        <w:t>PNG</w:t>
      </w:r>
      <w:r w:rsidRPr="00F10893">
        <w:rPr>
          <w:rFonts w:cstheme="minorHAnsi"/>
          <w:szCs w:val="21"/>
          <w:lang w:eastAsia="zh-CN"/>
        </w:rPr>
        <w:t xml:space="preserve"> agreed </w:t>
      </w:r>
      <w:r w:rsidRPr="00E52C72">
        <w:rPr>
          <w:rFonts w:cstheme="minorHAnsi"/>
          <w:i/>
          <w:szCs w:val="21"/>
          <w:lang w:eastAsia="zh-CN"/>
        </w:rPr>
        <w:t>‘</w:t>
      </w:r>
      <w:r w:rsidRPr="00ED65FD">
        <w:rPr>
          <w:rFonts w:cstheme="minorHAnsi"/>
          <w:szCs w:val="21"/>
        </w:rPr>
        <w:t>to pursue significant measurable progress towards the achievement of Universal Basic Education and improve access to quality education at basic, secondary, technical and tertiary education levels by 2015</w:t>
      </w:r>
      <w:r w:rsidRPr="00616677">
        <w:rPr>
          <w:rFonts w:cstheme="minorHAnsi"/>
          <w:szCs w:val="21"/>
        </w:rPr>
        <w:t>’.</w:t>
      </w:r>
      <w:r>
        <w:rPr>
          <w:rFonts w:cstheme="minorHAnsi"/>
          <w:szCs w:val="21"/>
        </w:rPr>
        <w:t xml:space="preserve"> </w:t>
      </w:r>
      <w:r w:rsidR="00870F43">
        <w:rPr>
          <w:rFonts w:cstheme="minorHAnsi"/>
          <w:szCs w:val="21"/>
        </w:rPr>
        <w:t xml:space="preserve"> </w:t>
      </w:r>
      <w:r>
        <w:rPr>
          <w:rFonts w:cstheme="minorHAnsi"/>
          <w:szCs w:val="21"/>
        </w:rPr>
        <w:t>The challenges in the education sector in PNG are immense and PNG will not meet M</w:t>
      </w:r>
      <w:r w:rsidR="00C54483">
        <w:rPr>
          <w:rFonts w:cstheme="minorHAnsi"/>
          <w:szCs w:val="21"/>
        </w:rPr>
        <w:t>DG</w:t>
      </w:r>
      <w:r>
        <w:rPr>
          <w:rFonts w:cstheme="minorHAnsi"/>
          <w:szCs w:val="21"/>
        </w:rPr>
        <w:t xml:space="preserve"> 2 </w:t>
      </w:r>
      <w:r w:rsidR="00C54483">
        <w:rPr>
          <w:rFonts w:cstheme="minorHAnsi"/>
          <w:szCs w:val="21"/>
        </w:rPr>
        <w:t>(</w:t>
      </w:r>
      <w:r>
        <w:rPr>
          <w:rFonts w:cstheme="minorHAnsi"/>
          <w:szCs w:val="21"/>
        </w:rPr>
        <w:t>universal basic education</w:t>
      </w:r>
      <w:r w:rsidR="00C54483">
        <w:rPr>
          <w:rFonts w:cstheme="minorHAnsi"/>
          <w:szCs w:val="21"/>
        </w:rPr>
        <w:t>)</w:t>
      </w:r>
      <w:r>
        <w:rPr>
          <w:rFonts w:cstheme="minorHAnsi"/>
          <w:szCs w:val="21"/>
        </w:rPr>
        <w:t xml:space="preserve">. </w:t>
      </w:r>
      <w:r w:rsidR="00D54A11">
        <w:rPr>
          <w:rFonts w:cstheme="minorHAnsi"/>
          <w:szCs w:val="21"/>
        </w:rPr>
        <w:t xml:space="preserve"> </w:t>
      </w:r>
      <w:r>
        <w:rPr>
          <w:rFonts w:cstheme="minorHAnsi"/>
          <w:szCs w:val="21"/>
        </w:rPr>
        <w:t xml:space="preserve">Our </w:t>
      </w:r>
      <w:r w:rsidR="00C636BA">
        <w:rPr>
          <w:rFonts w:cstheme="minorHAnsi"/>
          <w:szCs w:val="21"/>
        </w:rPr>
        <w:t xml:space="preserve">education </w:t>
      </w:r>
      <w:r>
        <w:rPr>
          <w:rFonts w:cstheme="minorHAnsi"/>
          <w:szCs w:val="21"/>
        </w:rPr>
        <w:t xml:space="preserve">program is broad in scope and reflects the needs </w:t>
      </w:r>
      <w:r>
        <w:rPr>
          <w:rFonts w:cstheme="minorHAnsi"/>
          <w:szCs w:val="21"/>
        </w:rPr>
        <w:lastRenderedPageBreak/>
        <w:t>across the sector: we fund technical assistance to sector governance, infrastructure, scholarships, internationally recognised vocational training, provide targeted budget support and support analysis of data in areas of policy priority.</w:t>
      </w:r>
    </w:p>
    <w:p w:rsidR="00944E87" w:rsidRDefault="00870F43" w:rsidP="00994EC7">
      <w:pPr>
        <w:pStyle w:val="BodyText"/>
        <w:spacing w:after="240" w:line="276" w:lineRule="auto"/>
        <w:rPr>
          <w:rFonts w:cstheme="minorHAnsi"/>
          <w:szCs w:val="21"/>
        </w:rPr>
      </w:pPr>
      <w:r>
        <w:rPr>
          <w:rFonts w:cstheme="minorHAnsi"/>
          <w:szCs w:val="21"/>
        </w:rPr>
        <w:t xml:space="preserve">Australia </w:t>
      </w:r>
      <w:r w:rsidR="00944E87">
        <w:rPr>
          <w:rFonts w:cstheme="minorHAnsi"/>
          <w:szCs w:val="21"/>
        </w:rPr>
        <w:t>work</w:t>
      </w:r>
      <w:r>
        <w:rPr>
          <w:rFonts w:cstheme="minorHAnsi"/>
          <w:szCs w:val="21"/>
        </w:rPr>
        <w:t>s</w:t>
      </w:r>
      <w:r w:rsidR="00944E87">
        <w:rPr>
          <w:rFonts w:cstheme="minorHAnsi"/>
          <w:szCs w:val="21"/>
        </w:rPr>
        <w:t xml:space="preserve"> with multiple </w:t>
      </w:r>
      <w:r w:rsidR="00E838D5">
        <w:rPr>
          <w:rFonts w:cstheme="minorHAnsi"/>
          <w:szCs w:val="21"/>
        </w:rPr>
        <w:t xml:space="preserve">stakeholders </w:t>
      </w:r>
      <w:r w:rsidR="00944E87">
        <w:rPr>
          <w:rFonts w:cstheme="minorHAnsi"/>
          <w:szCs w:val="21"/>
        </w:rPr>
        <w:t xml:space="preserve">in </w:t>
      </w:r>
      <w:r w:rsidR="006E2F68">
        <w:rPr>
          <w:rFonts w:cstheme="minorHAnsi"/>
          <w:szCs w:val="21"/>
        </w:rPr>
        <w:t>g</w:t>
      </w:r>
      <w:r w:rsidR="00944E87">
        <w:rPr>
          <w:rFonts w:cstheme="minorHAnsi"/>
          <w:szCs w:val="21"/>
        </w:rPr>
        <w:t xml:space="preserve">overnment, private sector and civil society. In particular, </w:t>
      </w:r>
      <w:r>
        <w:rPr>
          <w:rFonts w:cstheme="minorHAnsi"/>
          <w:szCs w:val="21"/>
        </w:rPr>
        <w:t>we</w:t>
      </w:r>
      <w:r w:rsidR="00944E87">
        <w:rPr>
          <w:rFonts w:cstheme="minorHAnsi"/>
          <w:szCs w:val="21"/>
        </w:rPr>
        <w:t xml:space="preserve"> manage large and multi-faceted relationships with the National Department of Education (DoE) and the National Department of Higher Education Science Research and Training (DHERST) – the key policy makers and financiers of the education sector. </w:t>
      </w:r>
      <w:r w:rsidR="00D54A11">
        <w:rPr>
          <w:rFonts w:cstheme="minorHAnsi"/>
          <w:szCs w:val="21"/>
        </w:rPr>
        <w:t xml:space="preserve"> </w:t>
      </w:r>
      <w:r w:rsidR="00C636BA">
        <w:rPr>
          <w:rFonts w:cstheme="minorHAnsi"/>
          <w:szCs w:val="21"/>
        </w:rPr>
        <w:t>Australia</w:t>
      </w:r>
      <w:r w:rsidR="00944E87">
        <w:rPr>
          <w:rFonts w:cstheme="minorHAnsi"/>
          <w:szCs w:val="21"/>
        </w:rPr>
        <w:t xml:space="preserve"> supported both </w:t>
      </w:r>
      <w:r w:rsidR="006E2F68">
        <w:rPr>
          <w:rFonts w:cstheme="minorHAnsi"/>
          <w:szCs w:val="21"/>
        </w:rPr>
        <w:t xml:space="preserve">departments </w:t>
      </w:r>
      <w:r w:rsidR="00944E87">
        <w:rPr>
          <w:rFonts w:cstheme="minorHAnsi"/>
          <w:szCs w:val="21"/>
        </w:rPr>
        <w:t xml:space="preserve">to deliver key policy initiatives, including the Tuition Fee Free policy and the quality assessments for universities. </w:t>
      </w:r>
      <w:r w:rsidR="00D54A11">
        <w:rPr>
          <w:rFonts w:cstheme="minorHAnsi"/>
          <w:szCs w:val="21"/>
        </w:rPr>
        <w:t xml:space="preserve"> </w:t>
      </w:r>
      <w:r w:rsidR="00944E87">
        <w:rPr>
          <w:rFonts w:cstheme="minorHAnsi"/>
          <w:szCs w:val="21"/>
        </w:rPr>
        <w:t>In addition, the program has continued to support both departments on fundamental program delivery to improve access to and quality of education in PNG</w:t>
      </w:r>
      <w:r w:rsidR="002315D6">
        <w:rPr>
          <w:rFonts w:cstheme="minorHAnsi"/>
          <w:szCs w:val="21"/>
        </w:rPr>
        <w:t>.</w:t>
      </w:r>
      <w:r w:rsidR="00944E87">
        <w:rPr>
          <w:rFonts w:cstheme="minorHAnsi"/>
          <w:szCs w:val="21"/>
        </w:rPr>
        <w:t xml:space="preserve"> </w:t>
      </w:r>
      <w:r w:rsidR="00C636BA">
        <w:rPr>
          <w:rFonts w:cstheme="minorHAnsi"/>
          <w:szCs w:val="21"/>
        </w:rPr>
        <w:t>Australia</w:t>
      </w:r>
      <w:r w:rsidR="002315D6">
        <w:rPr>
          <w:rFonts w:cstheme="minorHAnsi"/>
          <w:szCs w:val="21"/>
        </w:rPr>
        <w:t xml:space="preserve"> worked with the private sector to explore future areas of partnership, particularly in the TVET sector</w:t>
      </w:r>
      <w:r w:rsidR="00944E87">
        <w:rPr>
          <w:rFonts w:cstheme="minorHAnsi"/>
          <w:szCs w:val="21"/>
        </w:rPr>
        <w:t xml:space="preserve">, and delivered the Australia Awards scholarships program. </w:t>
      </w:r>
      <w:r w:rsidR="00D54A11">
        <w:rPr>
          <w:rFonts w:cstheme="minorHAnsi"/>
          <w:szCs w:val="21"/>
        </w:rPr>
        <w:t xml:space="preserve"> </w:t>
      </w:r>
      <w:r w:rsidR="00C636BA">
        <w:rPr>
          <w:rFonts w:cstheme="minorHAnsi"/>
          <w:szCs w:val="21"/>
        </w:rPr>
        <w:t>We</w:t>
      </w:r>
      <w:r w:rsidR="00944E87">
        <w:rPr>
          <w:rFonts w:cstheme="minorHAnsi"/>
          <w:szCs w:val="21"/>
        </w:rPr>
        <w:t xml:space="preserve"> also </w:t>
      </w:r>
      <w:r w:rsidR="00C636BA">
        <w:rPr>
          <w:rFonts w:cstheme="minorHAnsi"/>
          <w:szCs w:val="21"/>
        </w:rPr>
        <w:t xml:space="preserve">provided </w:t>
      </w:r>
      <w:r w:rsidR="00944E87">
        <w:rPr>
          <w:rFonts w:cstheme="minorHAnsi"/>
          <w:szCs w:val="21"/>
        </w:rPr>
        <w:t>a targeted package of support to Manus and Bougainville.</w:t>
      </w:r>
    </w:p>
    <w:p w:rsidR="00944E87" w:rsidRDefault="00944E87" w:rsidP="00994EC7">
      <w:pPr>
        <w:pStyle w:val="Heading4"/>
      </w:pPr>
      <w:r w:rsidRPr="008A008A">
        <w:t>Australia’s contribution</w:t>
      </w:r>
      <w:r w:rsidR="00C37E40">
        <w:br/>
      </w:r>
    </w:p>
    <w:p w:rsidR="00944E87" w:rsidRDefault="00944E87" w:rsidP="00994EC7">
      <w:pPr>
        <w:pStyle w:val="BodyText"/>
        <w:spacing w:line="276" w:lineRule="auto"/>
        <w:rPr>
          <w:rFonts w:cstheme="minorHAnsi"/>
          <w:szCs w:val="21"/>
        </w:rPr>
      </w:pPr>
      <w:r w:rsidRPr="00182569">
        <w:rPr>
          <w:lang w:eastAsia="zh-CN"/>
        </w:rPr>
        <w:t>In 2</w:t>
      </w:r>
      <w:r>
        <w:rPr>
          <w:lang w:eastAsia="zh-CN"/>
        </w:rPr>
        <w:t>014</w:t>
      </w:r>
      <w:r w:rsidR="00A45630">
        <w:rPr>
          <w:lang w:eastAsia="zh-CN"/>
        </w:rPr>
        <w:t>-</w:t>
      </w:r>
      <w:r>
        <w:rPr>
          <w:lang w:eastAsia="zh-CN"/>
        </w:rPr>
        <w:t xml:space="preserve">15, </w:t>
      </w:r>
      <w:r w:rsidRPr="006C58BB">
        <w:rPr>
          <w:rFonts w:cstheme="minorHAnsi"/>
          <w:szCs w:val="21"/>
        </w:rPr>
        <w:t>Australia invest</w:t>
      </w:r>
      <w:r>
        <w:rPr>
          <w:rFonts w:cstheme="minorHAnsi"/>
          <w:szCs w:val="21"/>
        </w:rPr>
        <w:t xml:space="preserve">ed approximately $75 million towards improved education outcomes for students in PNG, delivered across the </w:t>
      </w:r>
      <w:r w:rsidRPr="006C58BB">
        <w:rPr>
          <w:rFonts w:cstheme="minorHAnsi"/>
          <w:szCs w:val="21"/>
        </w:rPr>
        <w:t>basic, secondary,</w:t>
      </w:r>
      <w:r>
        <w:rPr>
          <w:rFonts w:cstheme="minorHAnsi"/>
          <w:szCs w:val="21"/>
        </w:rPr>
        <w:t xml:space="preserve"> technical and higher education sectors. </w:t>
      </w:r>
    </w:p>
    <w:p w:rsidR="00944E87" w:rsidRDefault="00944E87" w:rsidP="00994EC7">
      <w:pPr>
        <w:pStyle w:val="BodyText"/>
        <w:spacing w:line="276" w:lineRule="auto"/>
        <w:rPr>
          <w:rFonts w:cstheme="minorHAnsi"/>
          <w:szCs w:val="21"/>
        </w:rPr>
      </w:pPr>
      <w:r>
        <w:rPr>
          <w:rFonts w:cstheme="minorHAnsi"/>
          <w:szCs w:val="21"/>
        </w:rPr>
        <w:t xml:space="preserve">Some </w:t>
      </w:r>
      <w:r w:rsidR="00E838D5">
        <w:rPr>
          <w:rFonts w:cstheme="minorHAnsi"/>
          <w:szCs w:val="21"/>
        </w:rPr>
        <w:t xml:space="preserve">notable </w:t>
      </w:r>
      <w:r>
        <w:rPr>
          <w:rFonts w:cstheme="minorHAnsi"/>
          <w:szCs w:val="21"/>
        </w:rPr>
        <w:t>achievements of the program in 2014</w:t>
      </w:r>
      <w:r w:rsidR="000202EA">
        <w:rPr>
          <w:rFonts w:cstheme="minorHAnsi"/>
          <w:szCs w:val="21"/>
        </w:rPr>
        <w:t>-15 include</w:t>
      </w:r>
      <w:r>
        <w:rPr>
          <w:rFonts w:cstheme="minorHAnsi"/>
          <w:szCs w:val="21"/>
        </w:rPr>
        <w:t>:</w:t>
      </w:r>
    </w:p>
    <w:p w:rsidR="00944E87" w:rsidRDefault="00944E87" w:rsidP="00994EC7">
      <w:pPr>
        <w:pStyle w:val="BodyText"/>
        <w:numPr>
          <w:ilvl w:val="0"/>
          <w:numId w:val="33"/>
        </w:numPr>
        <w:spacing w:line="276" w:lineRule="auto"/>
        <w:rPr>
          <w:rFonts w:cstheme="minorHAnsi"/>
          <w:szCs w:val="21"/>
        </w:rPr>
      </w:pPr>
      <w:r>
        <w:rPr>
          <w:rFonts w:cstheme="minorHAnsi"/>
          <w:szCs w:val="21"/>
        </w:rPr>
        <w:t>55</w:t>
      </w:r>
      <w:r w:rsidR="00B41968">
        <w:rPr>
          <w:rFonts w:cstheme="minorHAnsi"/>
          <w:szCs w:val="21"/>
        </w:rPr>
        <w:t xml:space="preserve"> per cent</w:t>
      </w:r>
      <w:r>
        <w:rPr>
          <w:rFonts w:cstheme="minorHAnsi"/>
          <w:szCs w:val="21"/>
        </w:rPr>
        <w:t xml:space="preserve"> of scholarships to study in Australia</w:t>
      </w:r>
      <w:r w:rsidR="00C636BA">
        <w:rPr>
          <w:rFonts w:cstheme="minorHAnsi"/>
          <w:szCs w:val="21"/>
        </w:rPr>
        <w:t xml:space="preserve"> were</w:t>
      </w:r>
      <w:r>
        <w:rPr>
          <w:rFonts w:cstheme="minorHAnsi"/>
          <w:szCs w:val="21"/>
        </w:rPr>
        <w:t xml:space="preserve"> awarded to women</w:t>
      </w:r>
      <w:r w:rsidR="000202EA">
        <w:rPr>
          <w:rFonts w:cstheme="minorHAnsi"/>
          <w:szCs w:val="21"/>
        </w:rPr>
        <w:t xml:space="preserve"> (primarily in </w:t>
      </w:r>
      <w:r w:rsidR="004438B9">
        <w:rPr>
          <w:rFonts w:cstheme="minorHAnsi"/>
          <w:szCs w:val="21"/>
        </w:rPr>
        <w:t xml:space="preserve">the health </w:t>
      </w:r>
      <w:r w:rsidR="000202EA">
        <w:rPr>
          <w:rFonts w:cstheme="minorHAnsi"/>
          <w:szCs w:val="21"/>
        </w:rPr>
        <w:t>sector</w:t>
      </w:r>
      <w:r w:rsidR="00C636BA">
        <w:rPr>
          <w:rFonts w:cstheme="minorHAnsi"/>
          <w:szCs w:val="21"/>
        </w:rPr>
        <w:t xml:space="preserve">).  </w:t>
      </w:r>
      <w:r>
        <w:rPr>
          <w:rFonts w:cstheme="minorHAnsi"/>
          <w:szCs w:val="21"/>
        </w:rPr>
        <w:t>This exceeded the target of 50</w:t>
      </w:r>
      <w:r w:rsidR="00B41968">
        <w:rPr>
          <w:rFonts w:cstheme="minorHAnsi"/>
          <w:szCs w:val="21"/>
        </w:rPr>
        <w:t xml:space="preserve"> per cent</w:t>
      </w:r>
      <w:r>
        <w:rPr>
          <w:rFonts w:cstheme="minorHAnsi"/>
          <w:szCs w:val="21"/>
        </w:rPr>
        <w:t xml:space="preserve"> set in 2014, and will increase the cadre of highly educated PNG women able to contribute to PNG</w:t>
      </w:r>
      <w:r w:rsidR="00C636BA">
        <w:rPr>
          <w:rFonts w:cstheme="minorHAnsi"/>
          <w:szCs w:val="21"/>
        </w:rPr>
        <w:t xml:space="preserve">’s </w:t>
      </w:r>
      <w:r>
        <w:rPr>
          <w:rFonts w:cstheme="minorHAnsi"/>
          <w:szCs w:val="21"/>
        </w:rPr>
        <w:t>development.</w:t>
      </w:r>
    </w:p>
    <w:p w:rsidR="00944E87" w:rsidRDefault="00E838D5" w:rsidP="00994EC7">
      <w:pPr>
        <w:pStyle w:val="BodyText"/>
        <w:numPr>
          <w:ilvl w:val="0"/>
          <w:numId w:val="33"/>
        </w:numPr>
        <w:spacing w:line="276" w:lineRule="auto"/>
        <w:rPr>
          <w:rFonts w:cstheme="minorHAnsi"/>
          <w:szCs w:val="21"/>
        </w:rPr>
      </w:pPr>
      <w:r>
        <w:rPr>
          <w:rFonts w:cstheme="minorHAnsi"/>
          <w:szCs w:val="21"/>
        </w:rPr>
        <w:t>Policy dialogue and technical assistance</w:t>
      </w:r>
      <w:r w:rsidDel="00E838D5">
        <w:rPr>
          <w:rFonts w:cstheme="minorHAnsi"/>
          <w:szCs w:val="21"/>
        </w:rPr>
        <w:t xml:space="preserve"> </w:t>
      </w:r>
      <w:r w:rsidR="00944E87">
        <w:rPr>
          <w:rFonts w:cstheme="minorHAnsi"/>
          <w:szCs w:val="21"/>
        </w:rPr>
        <w:t xml:space="preserve"> to </w:t>
      </w:r>
      <w:r>
        <w:rPr>
          <w:rFonts w:cstheme="minorHAnsi"/>
          <w:szCs w:val="21"/>
        </w:rPr>
        <w:t xml:space="preserve">support the </w:t>
      </w:r>
      <w:r w:rsidR="00944E87">
        <w:rPr>
          <w:rFonts w:cstheme="minorHAnsi"/>
          <w:szCs w:val="21"/>
        </w:rPr>
        <w:t>deliver</w:t>
      </w:r>
      <w:r>
        <w:rPr>
          <w:rFonts w:cstheme="minorHAnsi"/>
          <w:szCs w:val="21"/>
        </w:rPr>
        <w:t>y of</w:t>
      </w:r>
      <w:r w:rsidR="00944E87">
        <w:rPr>
          <w:rFonts w:cstheme="minorHAnsi"/>
          <w:szCs w:val="21"/>
        </w:rPr>
        <w:t xml:space="preserve"> the</w:t>
      </w:r>
      <w:r w:rsidR="00D54A11">
        <w:rPr>
          <w:rFonts w:cstheme="minorHAnsi"/>
          <w:szCs w:val="21"/>
        </w:rPr>
        <w:t xml:space="preserve"> National Education Plan 2015-</w:t>
      </w:r>
      <w:r w:rsidR="00944E87">
        <w:rPr>
          <w:rFonts w:cstheme="minorHAnsi"/>
          <w:szCs w:val="21"/>
        </w:rPr>
        <w:t>20 and the National Training a</w:t>
      </w:r>
      <w:r w:rsidR="00A279FD">
        <w:rPr>
          <w:rFonts w:cstheme="minorHAnsi"/>
          <w:szCs w:val="21"/>
        </w:rPr>
        <w:t>nd Higher Education Plan 2015</w:t>
      </w:r>
      <w:r>
        <w:rPr>
          <w:rFonts w:cstheme="minorHAnsi"/>
          <w:szCs w:val="21"/>
        </w:rPr>
        <w:t xml:space="preserve">-19. </w:t>
      </w:r>
      <w:r w:rsidR="00944E87">
        <w:rPr>
          <w:rFonts w:cstheme="minorHAnsi"/>
          <w:szCs w:val="21"/>
        </w:rPr>
        <w:t xml:space="preserve">These documents set the strategy for the education sector over the next five years. </w:t>
      </w:r>
      <w:r w:rsidR="00D54A11">
        <w:rPr>
          <w:rFonts w:cstheme="minorHAnsi"/>
          <w:szCs w:val="21"/>
        </w:rPr>
        <w:t xml:space="preserve"> </w:t>
      </w:r>
    </w:p>
    <w:p w:rsidR="002315D6" w:rsidRDefault="00E838D5" w:rsidP="00994EC7">
      <w:pPr>
        <w:pStyle w:val="BodyText"/>
        <w:numPr>
          <w:ilvl w:val="0"/>
          <w:numId w:val="33"/>
        </w:numPr>
        <w:spacing w:line="276" w:lineRule="auto"/>
        <w:rPr>
          <w:rFonts w:cstheme="minorHAnsi"/>
          <w:szCs w:val="21"/>
        </w:rPr>
      </w:pPr>
      <w:r>
        <w:rPr>
          <w:rFonts w:cstheme="minorHAnsi"/>
          <w:szCs w:val="21"/>
        </w:rPr>
        <w:t>Construction</w:t>
      </w:r>
      <w:r w:rsidR="002315D6">
        <w:rPr>
          <w:rFonts w:cstheme="minorHAnsi"/>
          <w:szCs w:val="21"/>
        </w:rPr>
        <w:t xml:space="preserve"> </w:t>
      </w:r>
      <w:r>
        <w:rPr>
          <w:rFonts w:cstheme="minorHAnsi"/>
          <w:szCs w:val="21"/>
        </w:rPr>
        <w:t>(</w:t>
      </w:r>
      <w:r w:rsidR="002315D6">
        <w:rPr>
          <w:rFonts w:cstheme="minorHAnsi"/>
          <w:szCs w:val="21"/>
        </w:rPr>
        <w:t>in line with NDoE specifications</w:t>
      </w:r>
      <w:r>
        <w:rPr>
          <w:rFonts w:cstheme="minorHAnsi"/>
          <w:szCs w:val="21"/>
        </w:rPr>
        <w:t>)</w:t>
      </w:r>
      <w:r w:rsidR="002315D6">
        <w:rPr>
          <w:rFonts w:cstheme="minorHAnsi"/>
          <w:szCs w:val="21"/>
        </w:rPr>
        <w:t xml:space="preserve"> </w:t>
      </w:r>
      <w:r w:rsidR="002315D6" w:rsidRPr="003E128F">
        <w:rPr>
          <w:rFonts w:cstheme="minorHAnsi"/>
          <w:szCs w:val="21"/>
        </w:rPr>
        <w:t>of 80 double classrooms, 40 teacher houses and 48 ablution blocks for boys and girls, in areas of need identified by provincial authorities, helping the DoE to meet critical infrastructure gaps at schools and provide safe spaces for learning for around 3</w:t>
      </w:r>
      <w:r w:rsidR="00C636BA">
        <w:rPr>
          <w:rFonts w:cstheme="minorHAnsi"/>
          <w:szCs w:val="21"/>
        </w:rPr>
        <w:t>,</w:t>
      </w:r>
      <w:r w:rsidR="002315D6" w:rsidRPr="003E128F">
        <w:rPr>
          <w:rFonts w:cstheme="minorHAnsi"/>
          <w:szCs w:val="21"/>
        </w:rPr>
        <w:t xml:space="preserve">200 students, especially for girls.  </w:t>
      </w:r>
    </w:p>
    <w:p w:rsidR="002315D6" w:rsidRDefault="002315D6" w:rsidP="00994EC7">
      <w:pPr>
        <w:pStyle w:val="BodyText"/>
        <w:numPr>
          <w:ilvl w:val="0"/>
          <w:numId w:val="33"/>
        </w:numPr>
        <w:spacing w:line="276" w:lineRule="auto"/>
        <w:rPr>
          <w:rFonts w:cstheme="minorHAnsi"/>
          <w:szCs w:val="21"/>
        </w:rPr>
      </w:pPr>
      <w:r>
        <w:rPr>
          <w:rFonts w:cstheme="minorHAnsi"/>
          <w:szCs w:val="21"/>
        </w:rPr>
        <w:t>Strengthened teacher quality through the development of the competency of 50 language lecturer</w:t>
      </w:r>
      <w:r w:rsidR="00E838D5">
        <w:rPr>
          <w:rFonts w:cstheme="minorHAnsi"/>
          <w:szCs w:val="21"/>
        </w:rPr>
        <w:t>s</w:t>
      </w:r>
      <w:r>
        <w:rPr>
          <w:rFonts w:cstheme="minorHAnsi"/>
          <w:szCs w:val="21"/>
        </w:rPr>
        <w:t xml:space="preserve"> at teacher colleges.</w:t>
      </w:r>
    </w:p>
    <w:p w:rsidR="002315D6" w:rsidRDefault="002315D6" w:rsidP="00994EC7">
      <w:pPr>
        <w:pStyle w:val="BodyText"/>
        <w:numPr>
          <w:ilvl w:val="0"/>
          <w:numId w:val="33"/>
        </w:numPr>
        <w:spacing w:line="276" w:lineRule="auto"/>
        <w:rPr>
          <w:rFonts w:cstheme="minorHAnsi"/>
          <w:szCs w:val="21"/>
        </w:rPr>
      </w:pPr>
      <w:r>
        <w:rPr>
          <w:rFonts w:cstheme="minorHAnsi"/>
          <w:szCs w:val="21"/>
        </w:rPr>
        <w:t>Support for 5</w:t>
      </w:r>
      <w:r w:rsidR="00C636BA">
        <w:rPr>
          <w:rFonts w:cstheme="minorHAnsi"/>
          <w:szCs w:val="21"/>
        </w:rPr>
        <w:t>,</w:t>
      </w:r>
      <w:r>
        <w:rPr>
          <w:rFonts w:cstheme="minorHAnsi"/>
          <w:szCs w:val="21"/>
        </w:rPr>
        <w:t>000 student teachers to improve their competency in teaching reading, writing, speaking and listening.</w:t>
      </w:r>
    </w:p>
    <w:p w:rsidR="002315D6" w:rsidRPr="00934AAC" w:rsidRDefault="008444E4" w:rsidP="00994EC7">
      <w:pPr>
        <w:pStyle w:val="BodyText"/>
        <w:numPr>
          <w:ilvl w:val="0"/>
          <w:numId w:val="33"/>
        </w:numPr>
        <w:spacing w:line="276" w:lineRule="auto"/>
        <w:rPr>
          <w:rFonts w:cstheme="minorHAnsi"/>
          <w:szCs w:val="21"/>
        </w:rPr>
      </w:pPr>
      <w:r>
        <w:rPr>
          <w:rFonts w:cstheme="minorHAnsi"/>
          <w:szCs w:val="21"/>
        </w:rPr>
        <w:t>S</w:t>
      </w:r>
      <w:r w:rsidR="002315D6">
        <w:rPr>
          <w:rFonts w:cstheme="minorHAnsi"/>
          <w:szCs w:val="21"/>
        </w:rPr>
        <w:t>upport</w:t>
      </w:r>
      <w:r>
        <w:rPr>
          <w:rFonts w:cstheme="minorHAnsi"/>
          <w:szCs w:val="21"/>
        </w:rPr>
        <w:t>ing</w:t>
      </w:r>
      <w:r w:rsidR="002315D6">
        <w:rPr>
          <w:rFonts w:cstheme="minorHAnsi"/>
          <w:szCs w:val="21"/>
        </w:rPr>
        <w:t xml:space="preserve"> the drafting of the 2015 Pacific Island Literacy and Numeracy Assessment, and the National Quality Schools Standards Framework.</w:t>
      </w:r>
    </w:p>
    <w:p w:rsidR="00C636BA" w:rsidRDefault="00944E87" w:rsidP="00994EC7">
      <w:pPr>
        <w:pStyle w:val="BodyText"/>
        <w:numPr>
          <w:ilvl w:val="0"/>
          <w:numId w:val="33"/>
        </w:numPr>
        <w:spacing w:line="276" w:lineRule="auto"/>
        <w:rPr>
          <w:rFonts w:cstheme="minorHAnsi"/>
          <w:szCs w:val="21"/>
        </w:rPr>
      </w:pPr>
      <w:r>
        <w:rPr>
          <w:rFonts w:cstheme="minorHAnsi"/>
          <w:szCs w:val="21"/>
        </w:rPr>
        <w:t xml:space="preserve">Improved </w:t>
      </w:r>
      <w:r w:rsidR="00505378">
        <w:rPr>
          <w:rFonts w:cstheme="minorHAnsi"/>
          <w:szCs w:val="21"/>
        </w:rPr>
        <w:t xml:space="preserve">Information and Communications Technology </w:t>
      </w:r>
      <w:r>
        <w:rPr>
          <w:rFonts w:cstheme="minorHAnsi"/>
          <w:szCs w:val="21"/>
        </w:rPr>
        <w:t>planning and infrastructure for schools, resulting in improved data for education sector budgeting</w:t>
      </w:r>
      <w:r w:rsidR="006E2F68">
        <w:rPr>
          <w:rFonts w:cstheme="minorHAnsi"/>
          <w:szCs w:val="21"/>
        </w:rPr>
        <w:t xml:space="preserve"> and</w:t>
      </w:r>
      <w:r>
        <w:rPr>
          <w:rFonts w:cstheme="minorHAnsi"/>
          <w:szCs w:val="21"/>
        </w:rPr>
        <w:t xml:space="preserve"> evidence based policy making.</w:t>
      </w:r>
    </w:p>
    <w:p w:rsidR="002315D6" w:rsidRDefault="00944E87" w:rsidP="00994EC7">
      <w:pPr>
        <w:pStyle w:val="BodyText"/>
        <w:numPr>
          <w:ilvl w:val="0"/>
          <w:numId w:val="33"/>
        </w:numPr>
        <w:spacing w:line="276" w:lineRule="auto"/>
      </w:pPr>
      <w:r w:rsidRPr="00C636BA">
        <w:rPr>
          <w:rFonts w:cstheme="minorHAnsi"/>
          <w:szCs w:val="21"/>
        </w:rPr>
        <w:t>Completion of the quality assessment process of universities, and support to universities to develop quality improvement action plans.</w:t>
      </w:r>
      <w:r w:rsidR="00D54A11" w:rsidRPr="00C636BA">
        <w:rPr>
          <w:rFonts w:cstheme="minorHAnsi"/>
          <w:szCs w:val="21"/>
        </w:rPr>
        <w:t xml:space="preserve"> </w:t>
      </w:r>
      <w:r w:rsidRPr="00C636BA">
        <w:rPr>
          <w:rFonts w:cstheme="minorHAnsi"/>
          <w:szCs w:val="21"/>
        </w:rPr>
        <w:t xml:space="preserve"> </w:t>
      </w:r>
    </w:p>
    <w:p w:rsidR="0063565A" w:rsidRDefault="0063565A" w:rsidP="00994EC7">
      <w:pPr>
        <w:pStyle w:val="BodyText"/>
        <w:numPr>
          <w:ilvl w:val="0"/>
          <w:numId w:val="46"/>
        </w:numPr>
        <w:spacing w:after="240"/>
      </w:pPr>
      <w:r>
        <w:t>327 Papua New Guineans</w:t>
      </w:r>
      <w:r w:rsidR="008444E4">
        <w:t xml:space="preserve"> (</w:t>
      </w:r>
      <w:r>
        <w:t>71 women</w:t>
      </w:r>
      <w:r w:rsidR="008444E4">
        <w:t>)</w:t>
      </w:r>
      <w:r>
        <w:t xml:space="preserve"> graduated from the Australian Pacific Technical College (APTC) campus in Port Moresby in 2014</w:t>
      </w:r>
      <w:r w:rsidR="008750BB">
        <w:t>-</w:t>
      </w:r>
      <w:r>
        <w:t>15</w:t>
      </w:r>
      <w:r w:rsidR="008750BB">
        <w:t>.</w:t>
      </w:r>
      <w:r w:rsidR="00C636BA">
        <w:t xml:space="preserve">  </w:t>
      </w:r>
      <w:r>
        <w:t>A further 48 Papua New Guineans graduated from APTC campuses across the Pacific</w:t>
      </w:r>
      <w:r w:rsidR="008750BB">
        <w:t>.</w:t>
      </w:r>
    </w:p>
    <w:p w:rsidR="00C37E40" w:rsidRPr="00994EC7" w:rsidRDefault="00944E87" w:rsidP="00994EC7">
      <w:pPr>
        <w:pStyle w:val="Heading4"/>
        <w:rPr>
          <w:b w:val="0"/>
        </w:rPr>
      </w:pPr>
      <w:r w:rsidRPr="008A008A">
        <w:lastRenderedPageBreak/>
        <w:t>Key risks and challenges</w:t>
      </w:r>
      <w:r>
        <w:t xml:space="preserve"> </w:t>
      </w:r>
      <w:r w:rsidR="00C37E40">
        <w:br/>
      </w:r>
    </w:p>
    <w:p w:rsidR="00944E87" w:rsidRDefault="00944E87" w:rsidP="00994EC7">
      <w:pPr>
        <w:spacing w:after="160" w:line="276" w:lineRule="auto"/>
        <w:rPr>
          <w:rFonts w:ascii="Franklin Gothic Book" w:hAnsi="Franklin Gothic Book"/>
          <w:sz w:val="21"/>
          <w:lang w:eastAsia="zh-CN"/>
        </w:rPr>
      </w:pPr>
      <w:r w:rsidRPr="00BB102D">
        <w:rPr>
          <w:rFonts w:ascii="Franklin Gothic Book" w:hAnsi="Franklin Gothic Book"/>
          <w:sz w:val="21"/>
          <w:lang w:eastAsia="zh-CN"/>
        </w:rPr>
        <w:t>While some progress is being made, PNG’s education</w:t>
      </w:r>
      <w:r w:rsidR="00C636BA">
        <w:rPr>
          <w:rFonts w:ascii="Franklin Gothic Book" w:hAnsi="Franklin Gothic Book"/>
          <w:sz w:val="21"/>
          <w:lang w:eastAsia="zh-CN"/>
        </w:rPr>
        <w:t xml:space="preserve"> </w:t>
      </w:r>
      <w:r w:rsidRPr="00BB102D">
        <w:rPr>
          <w:rFonts w:ascii="Franklin Gothic Book" w:hAnsi="Franklin Gothic Book"/>
          <w:sz w:val="21"/>
          <w:lang w:eastAsia="zh-CN"/>
        </w:rPr>
        <w:t>system continues to face</w:t>
      </w:r>
      <w:r>
        <w:rPr>
          <w:rFonts w:ascii="Franklin Gothic Book" w:hAnsi="Franklin Gothic Book"/>
          <w:sz w:val="21"/>
          <w:lang w:eastAsia="zh-CN"/>
        </w:rPr>
        <w:t xml:space="preserve"> numerous </w:t>
      </w:r>
      <w:r w:rsidRPr="00BB102D">
        <w:rPr>
          <w:rFonts w:ascii="Franklin Gothic Book" w:hAnsi="Franklin Gothic Book"/>
          <w:sz w:val="21"/>
          <w:lang w:eastAsia="zh-CN"/>
        </w:rPr>
        <w:t xml:space="preserve">challenges, </w:t>
      </w:r>
      <w:r w:rsidR="002315D6" w:rsidRPr="00BB102D">
        <w:rPr>
          <w:rFonts w:ascii="Franklin Gothic Book" w:hAnsi="Franklin Gothic Book"/>
          <w:sz w:val="21"/>
          <w:lang w:eastAsia="zh-CN"/>
        </w:rPr>
        <w:t>including low retention rates</w:t>
      </w:r>
      <w:r w:rsidR="00785363">
        <w:rPr>
          <w:rFonts w:ascii="Franklin Gothic Book" w:hAnsi="Franklin Gothic Book"/>
          <w:sz w:val="21"/>
          <w:lang w:eastAsia="zh-CN"/>
        </w:rPr>
        <w:t>;</w:t>
      </w:r>
      <w:r w:rsidR="002315D6" w:rsidRPr="00BB102D">
        <w:rPr>
          <w:rFonts w:ascii="Franklin Gothic Book" w:hAnsi="Franklin Gothic Book"/>
          <w:sz w:val="21"/>
          <w:lang w:eastAsia="zh-CN"/>
        </w:rPr>
        <w:t xml:space="preserve"> barriers </w:t>
      </w:r>
      <w:r w:rsidR="002315D6">
        <w:rPr>
          <w:rFonts w:ascii="Franklin Gothic Book" w:hAnsi="Franklin Gothic Book"/>
          <w:sz w:val="21"/>
          <w:lang w:eastAsia="zh-CN"/>
        </w:rPr>
        <w:t>to access, particularly for girls</w:t>
      </w:r>
      <w:r w:rsidR="00785363">
        <w:rPr>
          <w:rFonts w:ascii="Franklin Gothic Book" w:hAnsi="Franklin Gothic Book"/>
          <w:sz w:val="21"/>
          <w:lang w:eastAsia="zh-CN"/>
        </w:rPr>
        <w:t>;</w:t>
      </w:r>
      <w:r w:rsidR="002315D6">
        <w:rPr>
          <w:rFonts w:ascii="Franklin Gothic Book" w:hAnsi="Franklin Gothic Book"/>
          <w:sz w:val="21"/>
          <w:lang w:eastAsia="zh-CN"/>
        </w:rPr>
        <w:t xml:space="preserve"> and poor results from learning assessments</w:t>
      </w:r>
      <w:r>
        <w:rPr>
          <w:rFonts w:ascii="Franklin Gothic Book" w:hAnsi="Franklin Gothic Book"/>
          <w:sz w:val="21"/>
          <w:lang w:eastAsia="zh-CN"/>
        </w:rPr>
        <w:t xml:space="preserve">. </w:t>
      </w:r>
      <w:r w:rsidR="00D54A11">
        <w:rPr>
          <w:rFonts w:ascii="Franklin Gothic Book" w:hAnsi="Franklin Gothic Book"/>
          <w:sz w:val="21"/>
          <w:lang w:eastAsia="zh-CN"/>
        </w:rPr>
        <w:t xml:space="preserve"> </w:t>
      </w:r>
      <w:r w:rsidR="00A279FD" w:rsidRPr="00A279FD">
        <w:rPr>
          <w:rFonts w:ascii="Franklin Gothic Book" w:hAnsi="Franklin Gothic Book"/>
          <w:sz w:val="21"/>
          <w:lang w:eastAsia="zh-CN"/>
        </w:rPr>
        <w:t>While increased enrolment is encouraging</w:t>
      </w:r>
      <w:r w:rsidR="00785363">
        <w:rPr>
          <w:rFonts w:ascii="Franklin Gothic Book" w:hAnsi="Franklin Gothic Book"/>
          <w:sz w:val="21"/>
          <w:lang w:eastAsia="zh-CN"/>
        </w:rPr>
        <w:t>,</w:t>
      </w:r>
      <w:r w:rsidR="00853926">
        <w:rPr>
          <w:rFonts w:ascii="Franklin Gothic Book" w:hAnsi="Franklin Gothic Book"/>
          <w:sz w:val="21"/>
          <w:lang w:eastAsia="zh-CN"/>
        </w:rPr>
        <w:t xml:space="preserve"> t</w:t>
      </w:r>
      <w:r>
        <w:rPr>
          <w:rFonts w:ascii="Franklin Gothic Book" w:hAnsi="Franklin Gothic Book"/>
          <w:sz w:val="21"/>
          <w:lang w:eastAsia="zh-CN"/>
        </w:rPr>
        <w:t>he proportion of students able to progress through the system remains low – out of every 100 students who start elementary</w:t>
      </w:r>
      <w:r w:rsidR="006E2F68">
        <w:rPr>
          <w:rFonts w:ascii="Franklin Gothic Book" w:hAnsi="Franklin Gothic Book"/>
          <w:sz w:val="21"/>
          <w:lang w:eastAsia="zh-CN"/>
        </w:rPr>
        <w:t xml:space="preserve"> schools</w:t>
      </w:r>
      <w:r>
        <w:rPr>
          <w:rFonts w:ascii="Franklin Gothic Book" w:hAnsi="Franklin Gothic Book"/>
          <w:sz w:val="21"/>
          <w:lang w:eastAsia="zh-CN"/>
        </w:rPr>
        <w:t xml:space="preserve">, only 8 boys and 5 girls will finish Grade 12. </w:t>
      </w:r>
      <w:r w:rsidR="00D54A11">
        <w:rPr>
          <w:rFonts w:ascii="Franklin Gothic Book" w:hAnsi="Franklin Gothic Book"/>
          <w:sz w:val="21"/>
          <w:lang w:eastAsia="zh-CN"/>
        </w:rPr>
        <w:t xml:space="preserve"> </w:t>
      </w:r>
      <w:r>
        <w:rPr>
          <w:rFonts w:ascii="Franklin Gothic Book" w:hAnsi="Franklin Gothic Book"/>
          <w:sz w:val="21"/>
          <w:lang w:eastAsia="zh-CN"/>
        </w:rPr>
        <w:t>For 2014 and 2015 PNG has been without a national curriculum for basic education.</w:t>
      </w:r>
    </w:p>
    <w:p w:rsidR="00944E87" w:rsidRDefault="00944E87" w:rsidP="00994EC7">
      <w:pPr>
        <w:spacing w:after="160" w:line="276" w:lineRule="auto"/>
        <w:rPr>
          <w:rFonts w:ascii="Franklin Gothic Book" w:hAnsi="Franklin Gothic Book"/>
          <w:sz w:val="21"/>
          <w:lang w:eastAsia="zh-CN"/>
        </w:rPr>
      </w:pPr>
      <w:r>
        <w:rPr>
          <w:rFonts w:ascii="Franklin Gothic Book" w:hAnsi="Franklin Gothic Book"/>
          <w:sz w:val="21"/>
          <w:lang w:eastAsia="zh-CN"/>
        </w:rPr>
        <w:t>Against the challenges for system capacity, PNG is pushing ahead with a free education policy, and has a rapidly growing population of young people.</w:t>
      </w:r>
      <w:r w:rsidR="00D54A11">
        <w:rPr>
          <w:rFonts w:ascii="Franklin Gothic Book" w:hAnsi="Franklin Gothic Book"/>
          <w:sz w:val="21"/>
          <w:lang w:eastAsia="zh-CN"/>
        </w:rPr>
        <w:t xml:space="preserve"> </w:t>
      </w:r>
      <w:r>
        <w:rPr>
          <w:rFonts w:ascii="Franklin Gothic Book" w:hAnsi="Franklin Gothic Book"/>
          <w:sz w:val="21"/>
          <w:lang w:eastAsia="zh-CN"/>
        </w:rPr>
        <w:t xml:space="preserve"> </w:t>
      </w:r>
      <w:r w:rsidR="00C415D2">
        <w:rPr>
          <w:rFonts w:ascii="Franklin Gothic Book" w:hAnsi="Franklin Gothic Book"/>
          <w:sz w:val="21"/>
          <w:lang w:eastAsia="zh-CN"/>
        </w:rPr>
        <w:t>T</w:t>
      </w:r>
      <w:r>
        <w:rPr>
          <w:rFonts w:ascii="Franklin Gothic Book" w:hAnsi="Franklin Gothic Book"/>
          <w:sz w:val="21"/>
          <w:lang w:eastAsia="zh-CN"/>
        </w:rPr>
        <w:t>he numbers of enrolments in basic education have consistently increased in real terms each year since 2011</w:t>
      </w:r>
      <w:r w:rsidR="00C415D2">
        <w:rPr>
          <w:rFonts w:ascii="Franklin Gothic Book" w:hAnsi="Franklin Gothic Book"/>
          <w:sz w:val="21"/>
          <w:lang w:eastAsia="zh-CN"/>
        </w:rPr>
        <w:t xml:space="preserve">. </w:t>
      </w:r>
      <w:r w:rsidR="00785363">
        <w:rPr>
          <w:rFonts w:ascii="Franklin Gothic Book" w:hAnsi="Franklin Gothic Book"/>
          <w:sz w:val="21"/>
          <w:lang w:eastAsia="zh-CN"/>
        </w:rPr>
        <w:t xml:space="preserve"> </w:t>
      </w:r>
      <w:r w:rsidR="00C415D2">
        <w:rPr>
          <w:rFonts w:ascii="Franklin Gothic Book" w:hAnsi="Franklin Gothic Book"/>
          <w:sz w:val="21"/>
          <w:lang w:eastAsia="zh-CN"/>
        </w:rPr>
        <w:t xml:space="preserve">Despite this, there are still more boys than girls enrolled in school, which suggests </w:t>
      </w:r>
      <w:r w:rsidR="004450A9">
        <w:rPr>
          <w:rFonts w:ascii="Franklin Gothic Book" w:hAnsi="Franklin Gothic Book"/>
          <w:sz w:val="21"/>
          <w:lang w:eastAsia="zh-CN"/>
        </w:rPr>
        <w:t xml:space="preserve">the need for targeted interventions </w:t>
      </w:r>
      <w:r w:rsidR="00C415D2">
        <w:rPr>
          <w:rFonts w:ascii="Franklin Gothic Book" w:hAnsi="Franklin Gothic Book"/>
          <w:sz w:val="21"/>
          <w:lang w:eastAsia="zh-CN"/>
        </w:rPr>
        <w:t>to improve gender parity, and not just a general mainstreaming approach</w:t>
      </w:r>
      <w:r w:rsidR="004450A9">
        <w:rPr>
          <w:rFonts w:ascii="Franklin Gothic Book" w:hAnsi="Franklin Gothic Book"/>
          <w:sz w:val="21"/>
          <w:lang w:eastAsia="zh-CN"/>
        </w:rPr>
        <w:t xml:space="preserve">. </w:t>
      </w:r>
      <w:r w:rsidR="00C415D2">
        <w:rPr>
          <w:rFonts w:ascii="Franklin Gothic Book" w:hAnsi="Franklin Gothic Book"/>
          <w:sz w:val="21"/>
          <w:lang w:eastAsia="zh-CN"/>
        </w:rPr>
        <w:t xml:space="preserve"> Fewer than 40 per cent of students in each year level are of the correct age.</w:t>
      </w:r>
      <w:r w:rsidR="00785363">
        <w:rPr>
          <w:rFonts w:ascii="Franklin Gothic Book" w:hAnsi="Franklin Gothic Book"/>
          <w:sz w:val="21"/>
          <w:lang w:eastAsia="zh-CN"/>
        </w:rPr>
        <w:t xml:space="preserve"> </w:t>
      </w:r>
      <w:r w:rsidR="00C415D2">
        <w:rPr>
          <w:rFonts w:ascii="Franklin Gothic Book" w:hAnsi="Franklin Gothic Book"/>
          <w:sz w:val="21"/>
          <w:lang w:eastAsia="zh-CN"/>
        </w:rPr>
        <w:t xml:space="preserve"> </w:t>
      </w:r>
      <w:r w:rsidR="004450A9">
        <w:rPr>
          <w:rFonts w:ascii="Franklin Gothic Book" w:hAnsi="Franklin Gothic Book"/>
          <w:sz w:val="21"/>
          <w:lang w:eastAsia="zh-CN"/>
        </w:rPr>
        <w:t>I</w:t>
      </w:r>
      <w:r w:rsidR="00505378">
        <w:rPr>
          <w:rFonts w:ascii="Franklin Gothic Book" w:hAnsi="Franklin Gothic Book"/>
          <w:sz w:val="21"/>
          <w:lang w:eastAsia="zh-CN"/>
        </w:rPr>
        <w:t xml:space="preserve">t is now increasingly likely that older youths and young adults will attend the same classes as 6-12 year old children, which exacerbates risks associated with child protection. </w:t>
      </w:r>
      <w:r>
        <w:rPr>
          <w:rFonts w:ascii="Franklin Gothic Book" w:hAnsi="Franklin Gothic Book"/>
          <w:sz w:val="21"/>
          <w:lang w:eastAsia="zh-CN"/>
        </w:rPr>
        <w:t xml:space="preserve"> </w:t>
      </w:r>
    </w:p>
    <w:p w:rsidR="00944E87" w:rsidRDefault="00944E87" w:rsidP="00994EC7">
      <w:pPr>
        <w:spacing w:after="120" w:line="276" w:lineRule="auto"/>
        <w:rPr>
          <w:rFonts w:ascii="Franklin Gothic Book" w:hAnsi="Franklin Gothic Book"/>
          <w:sz w:val="21"/>
          <w:lang w:eastAsia="zh-CN"/>
        </w:rPr>
      </w:pPr>
      <w:r>
        <w:rPr>
          <w:rFonts w:ascii="Franklin Gothic Book" w:hAnsi="Franklin Gothic Book"/>
          <w:sz w:val="21"/>
          <w:lang w:eastAsia="zh-CN"/>
        </w:rPr>
        <w:t xml:space="preserve">Since 2011, the </w:t>
      </w:r>
      <w:r w:rsidR="004438B9">
        <w:rPr>
          <w:rFonts w:ascii="Franklin Gothic Book" w:hAnsi="Franklin Gothic Book"/>
          <w:sz w:val="21"/>
          <w:lang w:eastAsia="zh-CN"/>
        </w:rPr>
        <w:t xml:space="preserve">PNG </w:t>
      </w:r>
      <w:r>
        <w:rPr>
          <w:rFonts w:ascii="Franklin Gothic Book" w:hAnsi="Franklin Gothic Book"/>
          <w:sz w:val="21"/>
          <w:lang w:eastAsia="zh-CN"/>
        </w:rPr>
        <w:t>education budget has matched the rapid increases in enrolments, and still resulted in an increase in funding per student in real terms.</w:t>
      </w:r>
      <w:r w:rsidR="00D54A11">
        <w:rPr>
          <w:rFonts w:ascii="Franklin Gothic Book" w:hAnsi="Franklin Gothic Book"/>
          <w:sz w:val="21"/>
          <w:lang w:eastAsia="zh-CN"/>
        </w:rPr>
        <w:t xml:space="preserve"> </w:t>
      </w:r>
      <w:r>
        <w:rPr>
          <w:rFonts w:ascii="Franklin Gothic Book" w:hAnsi="Franklin Gothic Book"/>
          <w:sz w:val="21"/>
          <w:lang w:eastAsia="zh-CN"/>
        </w:rPr>
        <w:t xml:space="preserve"> However, the fiscal situation in PNG and the political nature of the education policy space continues to remain a risk to stable and effective program delivery. </w:t>
      </w:r>
      <w:r w:rsidR="00785363">
        <w:rPr>
          <w:rFonts w:ascii="Franklin Gothic Book" w:hAnsi="Franklin Gothic Book"/>
          <w:sz w:val="21"/>
          <w:lang w:eastAsia="zh-CN"/>
        </w:rPr>
        <w:t xml:space="preserve"> </w:t>
      </w:r>
      <w:r>
        <w:rPr>
          <w:rFonts w:ascii="Franklin Gothic Book" w:hAnsi="Franklin Gothic Book"/>
          <w:sz w:val="21"/>
          <w:lang w:eastAsia="zh-CN"/>
        </w:rPr>
        <w:t>The National Education Plan sets ambitious targets for improving access to quality education in PNG, and there is a risk the education budget will not be able to maintain the trajectory of current growth, or adequately finance the implementation of the plan.</w:t>
      </w:r>
      <w:r w:rsidR="00D54A11">
        <w:rPr>
          <w:rFonts w:ascii="Franklin Gothic Book" w:hAnsi="Franklin Gothic Book"/>
          <w:sz w:val="21"/>
          <w:lang w:eastAsia="zh-CN"/>
        </w:rPr>
        <w:t xml:space="preserve"> </w:t>
      </w:r>
      <w:r>
        <w:rPr>
          <w:rFonts w:ascii="Franklin Gothic Book" w:hAnsi="Franklin Gothic Book"/>
          <w:sz w:val="21"/>
          <w:lang w:eastAsia="zh-CN"/>
        </w:rPr>
        <w:t xml:space="preserve"> This poses difficulty for sustained policy dialogue with the national departments</w:t>
      </w:r>
      <w:r w:rsidR="002315D6" w:rsidRPr="002315D6">
        <w:rPr>
          <w:rFonts w:ascii="Franklin Gothic Book" w:hAnsi="Franklin Gothic Book"/>
          <w:sz w:val="21"/>
          <w:lang w:eastAsia="zh-CN"/>
        </w:rPr>
        <w:t xml:space="preserve"> </w:t>
      </w:r>
      <w:r w:rsidR="002315D6">
        <w:rPr>
          <w:rFonts w:ascii="Franklin Gothic Book" w:hAnsi="Franklin Gothic Book"/>
          <w:sz w:val="21"/>
          <w:lang w:eastAsia="zh-CN"/>
        </w:rPr>
        <w:t>but an opportunity to work with increasingly well-resourced sub-national authorities</w:t>
      </w:r>
      <w:r>
        <w:rPr>
          <w:rFonts w:ascii="Franklin Gothic Book" w:hAnsi="Franklin Gothic Book"/>
          <w:sz w:val="21"/>
          <w:lang w:eastAsia="zh-CN"/>
        </w:rPr>
        <w:t xml:space="preserve">. </w:t>
      </w:r>
      <w:r w:rsidR="00D54A11">
        <w:rPr>
          <w:rFonts w:ascii="Franklin Gothic Book" w:hAnsi="Franklin Gothic Book"/>
          <w:sz w:val="21"/>
          <w:lang w:eastAsia="zh-CN"/>
        </w:rPr>
        <w:t xml:space="preserve"> </w:t>
      </w:r>
    </w:p>
    <w:p w:rsidR="00B57224" w:rsidRDefault="00987DE1">
      <w:pPr>
        <w:pStyle w:val="Heading3"/>
      </w:pPr>
      <w:r>
        <w:br/>
      </w:r>
      <w:r w:rsidR="00B57224">
        <w:t xml:space="preserve">Objective 3 – Improved </w:t>
      </w:r>
      <w:r w:rsidR="009A2B95">
        <w:t xml:space="preserve">law and justice </w:t>
      </w:r>
    </w:p>
    <w:p w:rsidR="006D20F6" w:rsidRPr="00994EC7" w:rsidRDefault="00993093" w:rsidP="00994EC7">
      <w:pPr>
        <w:spacing w:after="160" w:line="276" w:lineRule="auto"/>
        <w:rPr>
          <w:lang w:eastAsia="zh-CN"/>
        </w:rPr>
      </w:pPr>
      <w:r w:rsidRPr="00994EC7">
        <w:rPr>
          <w:rFonts w:ascii="Franklin Gothic Book" w:hAnsi="Franklin Gothic Book"/>
          <w:sz w:val="21"/>
          <w:lang w:eastAsia="zh-CN"/>
        </w:rPr>
        <w:t>W</w:t>
      </w:r>
      <w:r w:rsidR="005A0325" w:rsidRPr="00994EC7">
        <w:rPr>
          <w:rFonts w:ascii="Franklin Gothic Book" w:hAnsi="Franklin Gothic Book"/>
          <w:sz w:val="21"/>
          <w:lang w:eastAsia="zh-CN"/>
        </w:rPr>
        <w:t>hile</w:t>
      </w:r>
      <w:r w:rsidR="006D20F6" w:rsidRPr="00994EC7">
        <w:rPr>
          <w:rFonts w:ascii="Franklin Gothic Book" w:hAnsi="Franklin Gothic Book"/>
          <w:sz w:val="21"/>
          <w:lang w:eastAsia="zh-CN"/>
        </w:rPr>
        <w:t xml:space="preserve"> the </w:t>
      </w:r>
      <w:r w:rsidRPr="00994EC7">
        <w:rPr>
          <w:rFonts w:ascii="Franklin Gothic Book" w:hAnsi="Franklin Gothic Book"/>
          <w:sz w:val="21"/>
          <w:lang w:eastAsia="zh-CN"/>
        </w:rPr>
        <w:t xml:space="preserve">law and justice </w:t>
      </w:r>
      <w:r w:rsidR="006D20F6" w:rsidRPr="00994EC7">
        <w:rPr>
          <w:rFonts w:ascii="Franklin Gothic Book" w:hAnsi="Franklin Gothic Book"/>
          <w:sz w:val="21"/>
          <w:lang w:eastAsia="zh-CN"/>
        </w:rPr>
        <w:t xml:space="preserve">program had a number of achievements, it </w:t>
      </w:r>
      <w:r w:rsidR="008B2F4E" w:rsidRPr="00994EC7">
        <w:rPr>
          <w:rFonts w:ascii="Franklin Gothic Book" w:hAnsi="Franklin Gothic Book"/>
          <w:sz w:val="21"/>
          <w:lang w:eastAsia="zh-CN"/>
        </w:rPr>
        <w:t xml:space="preserve">continues to be </w:t>
      </w:r>
      <w:r w:rsidR="006D20F6" w:rsidRPr="00994EC7">
        <w:rPr>
          <w:rFonts w:ascii="Franklin Gothic Book" w:hAnsi="Franklin Gothic Book"/>
          <w:sz w:val="21"/>
          <w:lang w:eastAsia="zh-CN"/>
        </w:rPr>
        <w:t xml:space="preserve">difficult to attribute progress against outcome areas identified </w:t>
      </w:r>
      <w:r w:rsidR="005A0325" w:rsidRPr="00994EC7">
        <w:rPr>
          <w:rFonts w:ascii="Franklin Gothic Book" w:hAnsi="Franklin Gothic Book"/>
          <w:sz w:val="21"/>
          <w:lang w:eastAsia="zh-CN"/>
        </w:rPr>
        <w:t>under</w:t>
      </w:r>
      <w:r w:rsidR="006D20F6" w:rsidRPr="00994EC7">
        <w:rPr>
          <w:rFonts w:ascii="Franklin Gothic Book" w:hAnsi="Franklin Gothic Book"/>
          <w:sz w:val="21"/>
          <w:lang w:eastAsia="zh-CN"/>
        </w:rPr>
        <w:t xml:space="preserve"> the Partnership for Development to Australia’s support</w:t>
      </w:r>
      <w:r w:rsidR="008B2F4E" w:rsidRPr="00994EC7">
        <w:rPr>
          <w:rFonts w:ascii="Franklin Gothic Book" w:hAnsi="Franklin Gothic Book"/>
          <w:sz w:val="21"/>
          <w:lang w:eastAsia="zh-CN"/>
        </w:rPr>
        <w:t xml:space="preserve"> alone</w:t>
      </w:r>
      <w:r w:rsidR="006D20F6" w:rsidRPr="00994EC7">
        <w:rPr>
          <w:rFonts w:ascii="Franklin Gothic Book" w:hAnsi="Franklin Gothic Book"/>
          <w:sz w:val="21"/>
          <w:lang w:eastAsia="zh-CN"/>
        </w:rPr>
        <w:t>.</w:t>
      </w:r>
    </w:p>
    <w:p w:rsidR="001B2631" w:rsidRPr="00994EC7" w:rsidRDefault="006D20F6" w:rsidP="006F39D6">
      <w:pPr>
        <w:pStyle w:val="Heading4"/>
        <w:spacing w:after="120" w:line="276" w:lineRule="auto"/>
      </w:pPr>
      <w:r w:rsidRPr="00994EC7">
        <w:rPr>
          <w:b w:val="0"/>
        </w:rPr>
        <w:t xml:space="preserve">The PNG Government’s long-term goal for the justice sector is </w:t>
      </w:r>
      <w:r w:rsidR="005A0325" w:rsidRPr="00994EC7">
        <w:rPr>
          <w:b w:val="0"/>
        </w:rPr>
        <w:t>‘</w:t>
      </w:r>
      <w:r w:rsidRPr="00994EC7">
        <w:rPr>
          <w:b w:val="0"/>
        </w:rPr>
        <w:t>a just, safe and secure society for all</w:t>
      </w:r>
      <w:r w:rsidR="005A0325" w:rsidRPr="00994EC7">
        <w:rPr>
          <w:b w:val="0"/>
        </w:rPr>
        <w:t>’</w:t>
      </w:r>
      <w:r w:rsidRPr="00994EC7">
        <w:rPr>
          <w:b w:val="0"/>
        </w:rPr>
        <w:t xml:space="preserve">. </w:t>
      </w:r>
      <w:r w:rsidR="006A4FE2" w:rsidRPr="00994EC7">
        <w:rPr>
          <w:b w:val="0"/>
        </w:rPr>
        <w:t xml:space="preserve"> </w:t>
      </w:r>
      <w:r w:rsidRPr="00994EC7">
        <w:rPr>
          <w:b w:val="0"/>
        </w:rPr>
        <w:t xml:space="preserve">Law and justice is a priority sector under </w:t>
      </w:r>
      <w:r w:rsidR="0027024C" w:rsidRPr="00994EC7">
        <w:rPr>
          <w:b w:val="0"/>
        </w:rPr>
        <w:t xml:space="preserve">PNG’s </w:t>
      </w:r>
      <w:hyperlink r:id="rId19" w:history="1">
        <w:r w:rsidR="0027024C" w:rsidRPr="00994EC7">
          <w:rPr>
            <w:b w:val="0"/>
          </w:rPr>
          <w:t>Mid-Term Development Plan 2 (2016-2017)</w:t>
        </w:r>
      </w:hyperlink>
      <w:r w:rsidRPr="00994EC7">
        <w:rPr>
          <w:b w:val="0"/>
        </w:rPr>
        <w:t xml:space="preserve">. </w:t>
      </w:r>
      <w:r w:rsidR="00310D32" w:rsidRPr="00994EC7">
        <w:rPr>
          <w:b w:val="0"/>
        </w:rPr>
        <w:t xml:space="preserve"> </w:t>
      </w:r>
      <w:r w:rsidRPr="00994EC7">
        <w:rPr>
          <w:b w:val="0"/>
        </w:rPr>
        <w:t xml:space="preserve">The shared Australia-PNG goal, identified in the Partnership for Development, is </w:t>
      </w:r>
      <w:r w:rsidR="005A0325" w:rsidRPr="00994EC7">
        <w:rPr>
          <w:b w:val="0"/>
        </w:rPr>
        <w:t>‘</w:t>
      </w:r>
      <w:r w:rsidRPr="00994EC7">
        <w:rPr>
          <w:b w:val="0"/>
        </w:rPr>
        <w:t>improved law and justice</w:t>
      </w:r>
      <w:r w:rsidR="005A0325" w:rsidRPr="00994EC7">
        <w:rPr>
          <w:b w:val="0"/>
        </w:rPr>
        <w:t>’</w:t>
      </w:r>
      <w:r w:rsidRPr="00994EC7">
        <w:rPr>
          <w:b w:val="0"/>
        </w:rPr>
        <w:t xml:space="preserve">. </w:t>
      </w:r>
      <w:r w:rsidR="00310D32" w:rsidRPr="00994EC7">
        <w:rPr>
          <w:b w:val="0"/>
        </w:rPr>
        <w:t xml:space="preserve"> </w:t>
      </w:r>
      <w:r w:rsidR="000270F4" w:rsidRPr="00994EC7">
        <w:rPr>
          <w:b w:val="0"/>
        </w:rPr>
        <w:t xml:space="preserve">The Partnership specifies that </w:t>
      </w:r>
      <w:r w:rsidRPr="00994EC7">
        <w:rPr>
          <w:b w:val="0"/>
        </w:rPr>
        <w:t xml:space="preserve">Australia’s four priority outcomes are: communities will have improved security with police better trained and better resourced to maintain law and order; victims of family and sexual violence will have improved recourse and protection; women and men will have increased access to justice; and PNG will have enhanced ability to prevent and combat corruption. </w:t>
      </w:r>
      <w:r w:rsidR="006A4FE2" w:rsidRPr="00994EC7">
        <w:rPr>
          <w:b w:val="0"/>
        </w:rPr>
        <w:t xml:space="preserve"> </w:t>
      </w:r>
      <w:r w:rsidRPr="00994EC7">
        <w:rPr>
          <w:b w:val="0"/>
        </w:rPr>
        <w:t xml:space="preserve">Australia’s assistance </w:t>
      </w:r>
      <w:r w:rsidR="0074010B" w:rsidRPr="00994EC7">
        <w:rPr>
          <w:b w:val="0"/>
        </w:rPr>
        <w:t>wa</w:t>
      </w:r>
      <w:r w:rsidRPr="00994EC7">
        <w:rPr>
          <w:b w:val="0"/>
        </w:rPr>
        <w:t xml:space="preserve">s provided through programs delivered </w:t>
      </w:r>
      <w:r w:rsidR="0027024C" w:rsidRPr="00994EC7">
        <w:rPr>
          <w:b w:val="0"/>
        </w:rPr>
        <w:t xml:space="preserve">by </w:t>
      </w:r>
      <w:r w:rsidR="00422C27" w:rsidRPr="00994EC7">
        <w:rPr>
          <w:b w:val="0"/>
        </w:rPr>
        <w:t xml:space="preserve">DFAT </w:t>
      </w:r>
      <w:r w:rsidR="003779D9" w:rsidRPr="00994EC7">
        <w:rPr>
          <w:b w:val="0"/>
        </w:rPr>
        <w:t>(through the PNG-Australia Law and Justice Partnership)</w:t>
      </w:r>
      <w:r w:rsidRPr="00994EC7">
        <w:rPr>
          <w:b w:val="0"/>
        </w:rPr>
        <w:t xml:space="preserve">, the </w:t>
      </w:r>
      <w:r w:rsidR="00C552FE" w:rsidRPr="00994EC7">
        <w:rPr>
          <w:b w:val="0"/>
        </w:rPr>
        <w:t>Australian Federal Police (</w:t>
      </w:r>
      <w:r w:rsidRPr="00994EC7">
        <w:rPr>
          <w:b w:val="0"/>
        </w:rPr>
        <w:t>AFP</w:t>
      </w:r>
      <w:r w:rsidR="00C552FE" w:rsidRPr="00994EC7">
        <w:rPr>
          <w:b w:val="0"/>
        </w:rPr>
        <w:t>)</w:t>
      </w:r>
      <w:r w:rsidRPr="00994EC7">
        <w:rPr>
          <w:b w:val="0"/>
        </w:rPr>
        <w:t xml:space="preserve">, </w:t>
      </w:r>
      <w:r w:rsidR="00372FE3" w:rsidRPr="00994EC7">
        <w:rPr>
          <w:b w:val="0"/>
        </w:rPr>
        <w:t>Attorney-General’s Department (</w:t>
      </w:r>
      <w:r w:rsidRPr="00994EC7">
        <w:rPr>
          <w:b w:val="0"/>
        </w:rPr>
        <w:t>AGD</w:t>
      </w:r>
      <w:r w:rsidR="00372FE3" w:rsidRPr="00994EC7">
        <w:rPr>
          <w:b w:val="0"/>
        </w:rPr>
        <w:t>)</w:t>
      </w:r>
      <w:r w:rsidRPr="00994EC7">
        <w:rPr>
          <w:b w:val="0"/>
        </w:rPr>
        <w:t xml:space="preserve"> and </w:t>
      </w:r>
      <w:r w:rsidR="00372FE3" w:rsidRPr="00994EC7">
        <w:rPr>
          <w:b w:val="0"/>
        </w:rPr>
        <w:t>Australian Transaction Reports and Analysis Centre (</w:t>
      </w:r>
      <w:r w:rsidRPr="00994EC7">
        <w:rPr>
          <w:b w:val="0"/>
        </w:rPr>
        <w:t>AUSTRAC</w:t>
      </w:r>
      <w:r w:rsidR="00372FE3" w:rsidRPr="00994EC7">
        <w:rPr>
          <w:b w:val="0"/>
        </w:rPr>
        <w:t>).</w:t>
      </w:r>
      <w:r w:rsidR="00987DE1">
        <w:br/>
      </w:r>
      <w:r w:rsidR="00987DE1">
        <w:br/>
      </w:r>
      <w:r w:rsidRPr="006D20F6">
        <w:t>Australia’s Contribution</w:t>
      </w:r>
      <w:r w:rsidR="00C37E40">
        <w:br/>
      </w:r>
      <w:r w:rsidR="001B2631">
        <w:br/>
      </w:r>
      <w:r w:rsidRPr="00994EC7">
        <w:rPr>
          <w:b w:val="0"/>
        </w:rPr>
        <w:t>In 2014-15</w:t>
      </w:r>
      <w:r w:rsidR="0025378C" w:rsidRPr="00994EC7">
        <w:rPr>
          <w:b w:val="0"/>
        </w:rPr>
        <w:t>,</w:t>
      </w:r>
      <w:r w:rsidRPr="00994EC7">
        <w:rPr>
          <w:b w:val="0"/>
        </w:rPr>
        <w:t xml:space="preserve"> Australia invested approximately $</w:t>
      </w:r>
      <w:r w:rsidR="00FE6E18" w:rsidRPr="00994EC7">
        <w:rPr>
          <w:b w:val="0"/>
        </w:rPr>
        <w:t xml:space="preserve">72.5 </w:t>
      </w:r>
      <w:r w:rsidRPr="00994EC7">
        <w:rPr>
          <w:b w:val="0"/>
        </w:rPr>
        <w:t xml:space="preserve">million in the law and justice sector. </w:t>
      </w:r>
      <w:r w:rsidR="0052404D" w:rsidRPr="00994EC7">
        <w:rPr>
          <w:b w:val="0"/>
        </w:rPr>
        <w:br/>
      </w:r>
      <w:r w:rsidRPr="00994EC7">
        <w:rPr>
          <w:b w:val="0"/>
        </w:rPr>
        <w:t xml:space="preserve">This represents only a small proportion of the total </w:t>
      </w:r>
      <w:r w:rsidR="00320A9D" w:rsidRPr="00994EC7">
        <w:rPr>
          <w:b w:val="0"/>
        </w:rPr>
        <w:t xml:space="preserve">2015 </w:t>
      </w:r>
      <w:r w:rsidRPr="00994EC7">
        <w:rPr>
          <w:b w:val="0"/>
        </w:rPr>
        <w:t>PNG law and justice sector budget</w:t>
      </w:r>
      <w:r w:rsidR="0025378C" w:rsidRPr="00994EC7">
        <w:rPr>
          <w:b w:val="0"/>
        </w:rPr>
        <w:t xml:space="preserve"> of </w:t>
      </w:r>
      <w:r w:rsidR="00320A9D" w:rsidRPr="00994EC7">
        <w:rPr>
          <w:b w:val="0"/>
        </w:rPr>
        <w:t>approximately $</w:t>
      </w:r>
      <w:r w:rsidR="00086B54" w:rsidRPr="00994EC7">
        <w:rPr>
          <w:b w:val="0"/>
        </w:rPr>
        <w:t>650</w:t>
      </w:r>
      <w:r w:rsidR="00320A9D" w:rsidRPr="00994EC7">
        <w:rPr>
          <w:b w:val="0"/>
        </w:rPr>
        <w:t xml:space="preserve"> million (K1.</w:t>
      </w:r>
      <w:r w:rsidR="00086B54" w:rsidRPr="00994EC7">
        <w:rPr>
          <w:b w:val="0"/>
        </w:rPr>
        <w:t>29</w:t>
      </w:r>
      <w:r w:rsidR="00320A9D" w:rsidRPr="00994EC7">
        <w:rPr>
          <w:b w:val="0"/>
        </w:rPr>
        <w:t xml:space="preserve"> billion) </w:t>
      </w:r>
      <w:r w:rsidR="008B2F4E" w:rsidRPr="00994EC7">
        <w:rPr>
          <w:b w:val="0"/>
        </w:rPr>
        <w:t>(</w:t>
      </w:r>
      <w:r w:rsidR="00086B54" w:rsidRPr="00994EC7">
        <w:rPr>
          <w:b w:val="0"/>
        </w:rPr>
        <w:t>not</w:t>
      </w:r>
      <w:r w:rsidR="00240631" w:rsidRPr="00994EC7">
        <w:rPr>
          <w:b w:val="0"/>
        </w:rPr>
        <w:t xml:space="preserve"> </w:t>
      </w:r>
      <w:r w:rsidR="00320A9D" w:rsidRPr="00994EC7">
        <w:rPr>
          <w:b w:val="0"/>
        </w:rPr>
        <w:t>including defence</w:t>
      </w:r>
      <w:r w:rsidR="008B2F4E" w:rsidRPr="00994EC7">
        <w:rPr>
          <w:b w:val="0"/>
        </w:rPr>
        <w:t>)</w:t>
      </w:r>
      <w:r w:rsidR="0025378C" w:rsidRPr="00994EC7">
        <w:rPr>
          <w:b w:val="0"/>
        </w:rPr>
        <w:t>.</w:t>
      </w:r>
      <w:r w:rsidRPr="00994EC7">
        <w:rPr>
          <w:b w:val="0"/>
        </w:rPr>
        <w:t xml:space="preserve"> </w:t>
      </w:r>
      <w:r w:rsidR="006A4FE2" w:rsidRPr="00994EC7">
        <w:rPr>
          <w:b w:val="0"/>
        </w:rPr>
        <w:t xml:space="preserve"> </w:t>
      </w:r>
      <w:r w:rsidRPr="00994EC7">
        <w:rPr>
          <w:b w:val="0"/>
        </w:rPr>
        <w:t xml:space="preserve">The sector continues to face many challenges, including chronic underfunding of the police and law and justice agencies, low </w:t>
      </w:r>
      <w:r w:rsidRPr="00994EC7">
        <w:rPr>
          <w:b w:val="0"/>
        </w:rPr>
        <w:lastRenderedPageBreak/>
        <w:t xml:space="preserve">trust in them by the community, and difficulties in coordination. </w:t>
      </w:r>
      <w:r w:rsidR="006A4FE2" w:rsidRPr="00994EC7">
        <w:rPr>
          <w:b w:val="0"/>
        </w:rPr>
        <w:t xml:space="preserve"> </w:t>
      </w:r>
      <w:r w:rsidR="00310D32" w:rsidRPr="00994EC7">
        <w:rPr>
          <w:b w:val="0"/>
        </w:rPr>
        <w:t>N</w:t>
      </w:r>
      <w:r w:rsidRPr="00994EC7">
        <w:rPr>
          <w:b w:val="0"/>
        </w:rPr>
        <w:t xml:space="preserve">evertheless, in 2014-15 Australia </w:t>
      </w:r>
      <w:r w:rsidR="008B2F4E" w:rsidRPr="00994EC7">
        <w:rPr>
          <w:b w:val="0"/>
        </w:rPr>
        <w:t xml:space="preserve">contributed to </w:t>
      </w:r>
      <w:r w:rsidRPr="00994EC7">
        <w:rPr>
          <w:b w:val="0"/>
        </w:rPr>
        <w:t>some significant achievements</w:t>
      </w:r>
      <w:r w:rsidRPr="006D20F6">
        <w:t>.</w:t>
      </w:r>
    </w:p>
    <w:p w:rsidR="006D20F6" w:rsidRPr="00320A9D" w:rsidRDefault="006D20F6" w:rsidP="006F39D6">
      <w:pPr>
        <w:pStyle w:val="BodyText"/>
        <w:spacing w:after="120" w:line="276" w:lineRule="auto"/>
      </w:pPr>
      <w:r w:rsidRPr="00AE756F">
        <w:t xml:space="preserve">Australia contributed to improved security and policing in PNG, with 73 AFP officers </w:t>
      </w:r>
      <w:r w:rsidR="00FE6E18">
        <w:t xml:space="preserve">(including unsworn civilian staff and contractors) </w:t>
      </w:r>
      <w:r w:rsidRPr="00AE756F">
        <w:t>working closely with counterparts in Port Moresby and Lae to improve police capacity</w:t>
      </w:r>
      <w:r w:rsidR="00FE6E18">
        <w:t xml:space="preserve">. </w:t>
      </w:r>
      <w:r w:rsidR="00946B2B">
        <w:t xml:space="preserve"> </w:t>
      </w:r>
      <w:r w:rsidR="00310D32">
        <w:t xml:space="preserve">Australia </w:t>
      </w:r>
      <w:r w:rsidR="00FE6E18">
        <w:t xml:space="preserve">supported </w:t>
      </w:r>
      <w:r w:rsidR="0038722B">
        <w:t>extensive police infrastructure and training activities</w:t>
      </w:r>
      <w:r w:rsidR="00FE6E18">
        <w:t xml:space="preserve">, </w:t>
      </w:r>
      <w:r w:rsidR="0038722B">
        <w:t>including the Autonomous Region of Bougainville</w:t>
      </w:r>
      <w:r w:rsidRPr="00AE756F">
        <w:t xml:space="preserve">. </w:t>
      </w:r>
      <w:r w:rsidR="006A4FE2" w:rsidRPr="00AE756F">
        <w:t xml:space="preserve"> </w:t>
      </w:r>
      <w:r w:rsidR="00310D32">
        <w:t>We</w:t>
      </w:r>
      <w:r w:rsidR="00310D32" w:rsidRPr="00AE756F">
        <w:t xml:space="preserve"> </w:t>
      </w:r>
      <w:r w:rsidRPr="00AE756F">
        <w:t xml:space="preserve">delivered training to 1,175 police officers (221 women) and to 2,906 other </w:t>
      </w:r>
      <w:r w:rsidR="00D9247D" w:rsidRPr="00AE756F">
        <w:t>law and justice</w:t>
      </w:r>
      <w:r w:rsidRPr="00AE756F">
        <w:t xml:space="preserve"> officials</w:t>
      </w:r>
      <w:r w:rsidR="008B2F4E">
        <w:t xml:space="preserve"> </w:t>
      </w:r>
      <w:r w:rsidR="008B2F4E" w:rsidRPr="002D42BB">
        <w:t>(917 women)</w:t>
      </w:r>
      <w:r w:rsidRPr="00AE756F">
        <w:t>.</w:t>
      </w:r>
      <w:r w:rsidR="006A4FE2" w:rsidRPr="00AE756F">
        <w:t xml:space="preserve"> </w:t>
      </w:r>
      <w:r w:rsidRPr="00AE756F">
        <w:t xml:space="preserve"> </w:t>
      </w:r>
      <w:r w:rsidR="00310D32">
        <w:t>The AFP</w:t>
      </w:r>
      <w:r w:rsidR="0031119B">
        <w:t xml:space="preserve"> supported an overhaul of the curriculum at Bomana Police Training College to bring it in line with current policing methods and added modules on gender, ethics, accountability and leadership. </w:t>
      </w:r>
      <w:r w:rsidRPr="00AE756F">
        <w:t xml:space="preserve"> </w:t>
      </w:r>
      <w:r w:rsidR="004450A9" w:rsidRPr="00A06A96">
        <w:t xml:space="preserve">560 </w:t>
      </w:r>
      <w:r w:rsidRPr="00A06A96">
        <w:t xml:space="preserve">recruits </w:t>
      </w:r>
      <w:r w:rsidR="00C552FE" w:rsidRPr="00A06A96">
        <w:t>(</w:t>
      </w:r>
      <w:r w:rsidR="004450A9" w:rsidRPr="00A06A96">
        <w:t xml:space="preserve">83 females) </w:t>
      </w:r>
      <w:r w:rsidR="0031119B" w:rsidRPr="00A06A96">
        <w:t>gradua</w:t>
      </w:r>
      <w:r w:rsidR="0031119B">
        <w:t>ted</w:t>
      </w:r>
      <w:r w:rsidR="0031119B" w:rsidRPr="00A06A96">
        <w:t xml:space="preserve"> </w:t>
      </w:r>
      <w:r w:rsidRPr="00A06A96">
        <w:t>f</w:t>
      </w:r>
      <w:r w:rsidR="00C552FE" w:rsidRPr="00A06A96">
        <w:t xml:space="preserve">rom </w:t>
      </w:r>
      <w:r w:rsidR="0031119B">
        <w:t>the College</w:t>
      </w:r>
      <w:r w:rsidR="00C552FE" w:rsidRPr="00A06A96">
        <w:t xml:space="preserve"> in 2014</w:t>
      </w:r>
      <w:r w:rsidRPr="00A06A96">
        <w:t xml:space="preserve">, </w:t>
      </w:r>
      <w:r w:rsidR="004450A9" w:rsidRPr="00A06A96">
        <w:t xml:space="preserve">compared to 229 (46 </w:t>
      </w:r>
      <w:r w:rsidR="00946B2B">
        <w:t>women</w:t>
      </w:r>
      <w:r w:rsidR="004450A9" w:rsidRPr="00A06A96">
        <w:t>) in 2013</w:t>
      </w:r>
      <w:r w:rsidRPr="00A06A96">
        <w:t>.</w:t>
      </w:r>
      <w:r w:rsidR="006A4FE2" w:rsidRPr="00AE756F">
        <w:t xml:space="preserve"> </w:t>
      </w:r>
      <w:r w:rsidRPr="00AE756F">
        <w:t xml:space="preserve"> </w:t>
      </w:r>
      <w:r w:rsidR="00310D32">
        <w:t>Australia</w:t>
      </w:r>
      <w:r w:rsidR="0038722B">
        <w:t xml:space="preserve"> constructed and/or refurbished </w:t>
      </w:r>
      <w:r w:rsidR="00863CAC">
        <w:t>two</w:t>
      </w:r>
      <w:r w:rsidR="00320A9D" w:rsidRPr="00A06A96">
        <w:t xml:space="preserve"> law and justice sector agency offices, </w:t>
      </w:r>
      <w:r w:rsidR="00863CAC">
        <w:t>seven</w:t>
      </w:r>
      <w:r w:rsidR="00320A9D" w:rsidRPr="00A06A96">
        <w:t xml:space="preserve"> police barracks, </w:t>
      </w:r>
      <w:r w:rsidR="00863CAC">
        <w:t>eight</w:t>
      </w:r>
      <w:r w:rsidR="00320A9D" w:rsidRPr="00A06A96">
        <w:t xml:space="preserve"> houses for law and justice officials, </w:t>
      </w:r>
      <w:r w:rsidR="00863CAC">
        <w:t>two</w:t>
      </w:r>
      <w:r w:rsidR="00320A9D" w:rsidRPr="00A06A96">
        <w:t xml:space="preserve"> training facilities, </w:t>
      </w:r>
      <w:r w:rsidR="00863CAC">
        <w:t>four</w:t>
      </w:r>
      <w:r w:rsidR="0035667D">
        <w:t xml:space="preserve"> NCD police buildings and Lae </w:t>
      </w:r>
      <w:r w:rsidR="00FE6E18">
        <w:t xml:space="preserve">Police </w:t>
      </w:r>
      <w:r w:rsidR="0035667D">
        <w:t>Headquarters</w:t>
      </w:r>
      <w:r w:rsidR="00A259FE">
        <w:t xml:space="preserve"> </w:t>
      </w:r>
      <w:r w:rsidR="00320A9D" w:rsidRPr="00A06A96">
        <w:t xml:space="preserve">and </w:t>
      </w:r>
      <w:r w:rsidR="00863CAC">
        <w:t>one</w:t>
      </w:r>
      <w:r w:rsidR="00320A9D" w:rsidRPr="00A06A96">
        <w:t xml:space="preserve"> Family Support Centre</w:t>
      </w:r>
      <w:r w:rsidR="00FE6E18">
        <w:t xml:space="preserve">. </w:t>
      </w:r>
      <w:r w:rsidR="0052404D">
        <w:t xml:space="preserve"> </w:t>
      </w:r>
      <w:r w:rsidR="00FE6E18">
        <w:t>T</w:t>
      </w:r>
      <w:r w:rsidR="00320A9D" w:rsidRPr="00A06A96">
        <w:t>ogether with the completion of security and related enhancements to existing facilities</w:t>
      </w:r>
      <w:r w:rsidR="00FE6E18">
        <w:t>, these projects</w:t>
      </w:r>
      <w:r w:rsidR="00320A9D" w:rsidRPr="00A06A96">
        <w:t xml:space="preserve"> helped meet critical infrastructure needs and enable increased access to law and justice services.  </w:t>
      </w:r>
      <w:r w:rsidR="00FE6E18">
        <w:t>D</w:t>
      </w:r>
      <w:r w:rsidRPr="00320A9D">
        <w:t xml:space="preserve">espite these achievements, the 2015 Community Perception Survey </w:t>
      </w:r>
      <w:r w:rsidR="00FE6E18">
        <w:t xml:space="preserve">highlights that up to </w:t>
      </w:r>
      <w:r w:rsidR="00FE6E18" w:rsidRPr="00320A9D">
        <w:t xml:space="preserve">50 per cent of people </w:t>
      </w:r>
      <w:r w:rsidR="00FE6E18">
        <w:t xml:space="preserve">still </w:t>
      </w:r>
      <w:r w:rsidR="00FE6E18" w:rsidRPr="00320A9D">
        <w:t xml:space="preserve">do not trust the police.  </w:t>
      </w:r>
      <w:r w:rsidR="00FE6E18">
        <w:t xml:space="preserve">Respect for police in Port Moresby and Lae remains quite high and perceptions of their visibility have improved. </w:t>
      </w:r>
      <w:r w:rsidR="0052404D">
        <w:br/>
      </w:r>
      <w:r w:rsidR="00FE6E18">
        <w:t>However people’s</w:t>
      </w:r>
      <w:r w:rsidR="00FE6E18" w:rsidRPr="00A06A96">
        <w:t xml:space="preserve"> trust in police</w:t>
      </w:r>
      <w:r w:rsidR="00310D32">
        <w:t>, and their</w:t>
      </w:r>
      <w:r w:rsidR="00FE6E18" w:rsidRPr="00A06A96">
        <w:t xml:space="preserve"> belief that police are honest and treat people fairly</w:t>
      </w:r>
      <w:r w:rsidR="00310D32">
        <w:t>,</w:t>
      </w:r>
      <w:r w:rsidR="00FE6E18" w:rsidRPr="00A06A96">
        <w:t xml:space="preserve"> </w:t>
      </w:r>
      <w:r w:rsidR="00FE6E18">
        <w:t>ha</w:t>
      </w:r>
      <w:r w:rsidR="00310D32">
        <w:t>s</w:t>
      </w:r>
      <w:r w:rsidR="00FE6E18">
        <w:t xml:space="preserve"> declined since 2013.</w:t>
      </w:r>
      <w:r w:rsidRPr="00320A9D">
        <w:t xml:space="preserve"> </w:t>
      </w:r>
    </w:p>
    <w:p w:rsidR="00DB345C" w:rsidRDefault="006D20F6" w:rsidP="006D20F6">
      <w:pPr>
        <w:pStyle w:val="BodyText"/>
      </w:pPr>
      <w:r w:rsidRPr="006D20F6">
        <w:t xml:space="preserve">Australia helped </w:t>
      </w:r>
      <w:r w:rsidRPr="00DE44D1">
        <w:t>survivors of violence receive improved recourse and protection</w:t>
      </w:r>
      <w:r w:rsidR="002968BF">
        <w:t xml:space="preserve">. </w:t>
      </w:r>
      <w:r w:rsidR="00310D32">
        <w:t xml:space="preserve"> </w:t>
      </w:r>
      <w:r w:rsidR="002968BF">
        <w:t xml:space="preserve">By June 2015, DFAT had supported PNG to establish 15 </w:t>
      </w:r>
      <w:r w:rsidR="00310D32">
        <w:t xml:space="preserve">Family and Sexual Violence Units (FSVUs) </w:t>
      </w:r>
      <w:r w:rsidR="002968BF">
        <w:t xml:space="preserve">and </w:t>
      </w:r>
      <w:r w:rsidR="00946B2B">
        <w:t xml:space="preserve">four </w:t>
      </w:r>
      <w:r w:rsidR="002968BF">
        <w:t>Family and Sexual Violence Desks in police stations across the country.</w:t>
      </w:r>
      <w:r w:rsidR="00622C51">
        <w:t xml:space="preserve"> </w:t>
      </w:r>
      <w:r w:rsidR="00DB345C">
        <w:t xml:space="preserve"> </w:t>
      </w:r>
      <w:r w:rsidRPr="006D20F6">
        <w:t xml:space="preserve">Since 2010, over 35,800 survivors of violence, mostly women, have received support from these </w:t>
      </w:r>
      <w:r w:rsidR="00310D32">
        <w:t>units</w:t>
      </w:r>
      <w:r w:rsidRPr="006D20F6">
        <w:t xml:space="preserve">, including counselling, medical referral and prosecution support. </w:t>
      </w:r>
      <w:r w:rsidR="006A4FE2">
        <w:t xml:space="preserve"> </w:t>
      </w:r>
      <w:r w:rsidR="00B6020F">
        <w:t>I</w:t>
      </w:r>
      <w:r w:rsidRPr="006D20F6">
        <w:t xml:space="preserve">n 2014, 11,272 </w:t>
      </w:r>
      <w:r w:rsidR="00DE7488">
        <w:t xml:space="preserve">(mostly female) </w:t>
      </w:r>
      <w:r w:rsidRPr="006D20F6">
        <w:t xml:space="preserve">survivors of violence received services, up 20 per cent from 2013. </w:t>
      </w:r>
      <w:r w:rsidR="006A4FE2">
        <w:t xml:space="preserve"> </w:t>
      </w:r>
      <w:r w:rsidRPr="006D20F6">
        <w:t xml:space="preserve">In 2014, </w:t>
      </w:r>
      <w:r w:rsidR="008B2F4E">
        <w:t>D</w:t>
      </w:r>
      <w:r w:rsidRPr="006D20F6">
        <w:t xml:space="preserve">istrict </w:t>
      </w:r>
      <w:r w:rsidR="008B2F4E">
        <w:t>C</w:t>
      </w:r>
      <w:r w:rsidR="008B2F4E" w:rsidRPr="006D20F6">
        <w:t xml:space="preserve">ourt </w:t>
      </w:r>
      <w:r w:rsidR="008B2F4E">
        <w:t>M</w:t>
      </w:r>
      <w:r w:rsidR="008B2F4E" w:rsidRPr="006D20F6">
        <w:t xml:space="preserve">agistrates </w:t>
      </w:r>
      <w:r w:rsidRPr="006D20F6">
        <w:t>granted and completed more Interim Protection Orders, which provide legal protection to women from violence and abuse</w:t>
      </w:r>
      <w:r w:rsidR="00310D32" w:rsidRPr="006D20F6">
        <w:t>.</w:t>
      </w:r>
      <w:r w:rsidR="00310D32">
        <w:t xml:space="preserve">  </w:t>
      </w:r>
      <w:r w:rsidRPr="006D20F6">
        <w:t xml:space="preserve">The number of completed </w:t>
      </w:r>
      <w:r w:rsidR="008B2F4E">
        <w:t>I</w:t>
      </w:r>
      <w:r w:rsidR="00D9247D">
        <w:t xml:space="preserve">nterim </w:t>
      </w:r>
      <w:r w:rsidR="008B2F4E">
        <w:t>Protection Orders</w:t>
      </w:r>
      <w:r w:rsidR="008B2F4E" w:rsidRPr="006D20F6">
        <w:t xml:space="preserve"> </w:t>
      </w:r>
      <w:r w:rsidRPr="006D20F6">
        <w:t xml:space="preserve">increased from 67.7 per cent in 2013 to 71.8 per cent in 2014. </w:t>
      </w:r>
      <w:r w:rsidR="006A4FE2">
        <w:t xml:space="preserve"> </w:t>
      </w:r>
      <w:r w:rsidRPr="006D20F6">
        <w:t xml:space="preserve">Australian training for judicial officers and staff increased their knowledge of the PNG Family Protection Act. </w:t>
      </w:r>
      <w:r w:rsidR="00310D32">
        <w:t xml:space="preserve"> </w:t>
      </w:r>
      <w:r w:rsidR="0052404D">
        <w:br/>
      </w:r>
      <w:r w:rsidR="00DB345C">
        <w:t>Despite this, o</w:t>
      </w:r>
      <w:r w:rsidRPr="006D20F6">
        <w:t xml:space="preserve">btaining convictions for family and sexual violence offences remains </w:t>
      </w:r>
      <w:r w:rsidR="00310D32">
        <w:t xml:space="preserve">very </w:t>
      </w:r>
      <w:r w:rsidRPr="006D20F6">
        <w:t>challenging</w:t>
      </w:r>
      <w:r w:rsidR="00DB345C">
        <w:t xml:space="preserve">. </w:t>
      </w:r>
      <w:r w:rsidR="00622C51">
        <w:t xml:space="preserve"> </w:t>
      </w:r>
      <w:r w:rsidR="00987DE1">
        <w:t>Attorney-General’s Department (</w:t>
      </w:r>
      <w:r w:rsidR="005404E2">
        <w:t>AGD</w:t>
      </w:r>
      <w:r w:rsidR="00987DE1">
        <w:t>)</w:t>
      </w:r>
      <w:r w:rsidR="005404E2">
        <w:t xml:space="preserve"> </w:t>
      </w:r>
      <w:r w:rsidR="00C041C0" w:rsidRPr="00AD6E61">
        <w:t>Strongim Gavman Program</w:t>
      </w:r>
      <w:r w:rsidR="00C041C0">
        <w:t xml:space="preserve"> (</w:t>
      </w:r>
      <w:r w:rsidR="00DB345C">
        <w:t>SGP</w:t>
      </w:r>
      <w:r w:rsidR="00C041C0">
        <w:t>)</w:t>
      </w:r>
      <w:r w:rsidR="00DB345C">
        <w:t xml:space="preserve"> deployees</w:t>
      </w:r>
      <w:r w:rsidR="008D2D98">
        <w:t xml:space="preserve"> </w:t>
      </w:r>
      <w:r w:rsidR="00DB345C">
        <w:t xml:space="preserve">and the AFP </w:t>
      </w:r>
      <w:r w:rsidRPr="006D20F6">
        <w:t>continue to work with PNG counterparts to address</w:t>
      </w:r>
      <w:r w:rsidR="00DB345C">
        <w:t xml:space="preserve"> barriers.</w:t>
      </w:r>
    </w:p>
    <w:p w:rsidR="00DB345C" w:rsidRDefault="0038722B" w:rsidP="00994EC7">
      <w:pPr>
        <w:pStyle w:val="BodyText"/>
        <w:spacing w:line="276" w:lineRule="auto"/>
      </w:pPr>
      <w:r>
        <w:t>DFAT</w:t>
      </w:r>
      <w:r w:rsidR="006D20F6" w:rsidRPr="006D20F6">
        <w:t xml:space="preserve"> contributed to </w:t>
      </w:r>
      <w:r w:rsidR="006D20F6" w:rsidRPr="00DE44D1">
        <w:t>improved access to justice</w:t>
      </w:r>
      <w:r w:rsidR="006D20F6" w:rsidRPr="006D20F6">
        <w:t xml:space="preserve"> including through the network of 1,525 </w:t>
      </w:r>
      <w:r w:rsidR="008B2F4E">
        <w:t>Village Court</w:t>
      </w:r>
      <w:r w:rsidR="006D20F6" w:rsidRPr="006D20F6">
        <w:t xml:space="preserve">s, and over 16,775 </w:t>
      </w:r>
      <w:r w:rsidR="008B2F4E">
        <w:t>Village Court</w:t>
      </w:r>
      <w:r w:rsidR="006D20F6" w:rsidRPr="006D20F6">
        <w:t xml:space="preserve"> officials across PNG. </w:t>
      </w:r>
      <w:r w:rsidR="006A4FE2">
        <w:t xml:space="preserve"> </w:t>
      </w:r>
      <w:r w:rsidR="006D20F6" w:rsidRPr="006D20F6">
        <w:t>In 2014</w:t>
      </w:r>
      <w:r w:rsidR="0025378C">
        <w:t>,</w:t>
      </w:r>
      <w:r w:rsidR="006D20F6" w:rsidRPr="006D20F6">
        <w:t xml:space="preserve"> DFAT supported a comprehensive review of the </w:t>
      </w:r>
      <w:r w:rsidR="008B2F4E">
        <w:t>Village Court</w:t>
      </w:r>
      <w:r w:rsidR="006D20F6" w:rsidRPr="006D20F6">
        <w:t xml:space="preserve"> training curriculum, with a revised curriculum now delivered to 992 </w:t>
      </w:r>
      <w:r w:rsidR="008B2F4E">
        <w:t>Village Court</w:t>
      </w:r>
      <w:r w:rsidR="006D20F6" w:rsidRPr="006D20F6">
        <w:t xml:space="preserve"> officials across PNG. </w:t>
      </w:r>
      <w:r w:rsidR="006A4FE2">
        <w:t xml:space="preserve"> </w:t>
      </w:r>
      <w:r w:rsidR="006D20F6" w:rsidRPr="006D20F6">
        <w:t xml:space="preserve">This is enabling around 459,000 people to access better standards of justice. </w:t>
      </w:r>
      <w:r w:rsidR="006A4FE2">
        <w:t xml:space="preserve"> </w:t>
      </w:r>
      <w:r w:rsidR="006D20F6" w:rsidRPr="006D20F6">
        <w:t>Eleven SGP officers</w:t>
      </w:r>
      <w:r w:rsidR="008D2D98">
        <w:t xml:space="preserve"> from AGD</w:t>
      </w:r>
      <w:r w:rsidR="006D20F6" w:rsidRPr="006D20F6">
        <w:t xml:space="preserve"> continued to provide support for PNG law and justice agencies,</w:t>
      </w:r>
      <w:r w:rsidR="00FE6E18">
        <w:t xml:space="preserve"> contributing to strategic law and justice priorities and supporting</w:t>
      </w:r>
      <w:r w:rsidR="006D20F6" w:rsidRPr="006D20F6">
        <w:t xml:space="preserve"> improvements in capacity and leadership within these offices. </w:t>
      </w:r>
      <w:r w:rsidR="006A4FE2">
        <w:t xml:space="preserve"> </w:t>
      </w:r>
      <w:r w:rsidR="006D20F6" w:rsidRPr="006D20F6">
        <w:t>Notably, the proportion of women in law and justice agencies has increased significantly with Australian support</w:t>
      </w:r>
      <w:r w:rsidR="00C041C0" w:rsidRPr="006D20F6">
        <w:t>.</w:t>
      </w:r>
      <w:r w:rsidR="00C041C0" w:rsidRPr="001B4D14">
        <w:t xml:space="preserve"> </w:t>
      </w:r>
      <w:r w:rsidR="005404E2">
        <w:t xml:space="preserve"> </w:t>
      </w:r>
      <w:r w:rsidR="00C041C0">
        <w:t>For example, in</w:t>
      </w:r>
      <w:r w:rsidR="00C041C0" w:rsidRPr="001B4D14">
        <w:t xml:space="preserve"> </w:t>
      </w:r>
      <w:r w:rsidR="00C041C0">
        <w:t xml:space="preserve">the </w:t>
      </w:r>
      <w:r w:rsidR="00C041C0" w:rsidRPr="001B4D14">
        <w:t>O</w:t>
      </w:r>
      <w:r w:rsidR="00C041C0">
        <w:t xml:space="preserve">ffice of the Public Prosecutor, </w:t>
      </w:r>
      <w:r w:rsidR="00C041C0" w:rsidRPr="001B4D14">
        <w:t>44</w:t>
      </w:r>
      <w:r w:rsidR="00C041C0">
        <w:t xml:space="preserve"> per cent</w:t>
      </w:r>
      <w:r w:rsidR="00C041C0" w:rsidRPr="001B4D14">
        <w:t xml:space="preserve"> of lawyers are female</w:t>
      </w:r>
      <w:r w:rsidR="00C041C0">
        <w:t>.</w:t>
      </w:r>
      <w:r w:rsidR="00C041C0" w:rsidRPr="006D20F6">
        <w:t xml:space="preserve"> </w:t>
      </w:r>
      <w:r>
        <w:t>DFAT</w:t>
      </w:r>
      <w:r w:rsidR="006D20F6" w:rsidRPr="006D20F6">
        <w:t xml:space="preserve">’s support for the PNG Legal Training Institute resulted in a record number of legal practitioners graduating and being admitted in March 2015 (110), including the highest number of females since independence (43). </w:t>
      </w:r>
      <w:r w:rsidR="006A4FE2">
        <w:t xml:space="preserve"> </w:t>
      </w:r>
      <w:r w:rsidR="006D20F6" w:rsidRPr="006D20F6">
        <w:t xml:space="preserve">Many law and justice officials are also benefiting from ongoing legal education and leadership training provided by DFAT. </w:t>
      </w:r>
      <w:r w:rsidR="006A4FE2">
        <w:t xml:space="preserve"> </w:t>
      </w:r>
      <w:r w:rsidR="00DB345C">
        <w:t xml:space="preserve">An innovative partnership with Exxon-Mobil for a Community Safety Adviser in Hela </w:t>
      </w:r>
      <w:r w:rsidR="0027024C">
        <w:t>P</w:t>
      </w:r>
      <w:r w:rsidR="00DB345C">
        <w:t xml:space="preserve">rovince is facilitating the delivery of more effective law and justice services in the province. </w:t>
      </w:r>
    </w:p>
    <w:p w:rsidR="006D20F6" w:rsidRPr="006D20F6" w:rsidRDefault="006D20F6" w:rsidP="00994EC7">
      <w:pPr>
        <w:pStyle w:val="BodyText"/>
        <w:spacing w:line="276" w:lineRule="auto"/>
      </w:pPr>
      <w:r w:rsidRPr="006D20F6">
        <w:lastRenderedPageBreak/>
        <w:t>A review of Australia</w:t>
      </w:r>
      <w:r w:rsidR="000A2AAB">
        <w:t>n</w:t>
      </w:r>
      <w:r w:rsidRPr="006D20F6">
        <w:t xml:space="preserve"> funded infrastructure in 2014 found that Australia’s assistance is improving access (though not necessarily quality) of law and justice services. </w:t>
      </w:r>
      <w:r w:rsidR="00622C51">
        <w:t xml:space="preserve"> </w:t>
      </w:r>
      <w:r w:rsidRPr="006D20F6">
        <w:t>Despite these achievements, access to justice remains an issue for many people in PNG, with access limited by distance</w:t>
      </w:r>
      <w:r w:rsidR="008852A6">
        <w:t xml:space="preserve"> and </w:t>
      </w:r>
      <w:r w:rsidRPr="006D20F6">
        <w:t>cost</w:t>
      </w:r>
      <w:r w:rsidR="008852A6">
        <w:t xml:space="preserve"> in particular</w:t>
      </w:r>
      <w:r w:rsidRPr="006D20F6">
        <w:t xml:space="preserve">. </w:t>
      </w:r>
    </w:p>
    <w:p w:rsidR="006D20F6" w:rsidRDefault="006A4FE2" w:rsidP="00994EC7">
      <w:pPr>
        <w:pStyle w:val="BodyText"/>
        <w:spacing w:line="276" w:lineRule="auto"/>
        <w:rPr>
          <w:lang w:eastAsia="zh-CN"/>
        </w:rPr>
      </w:pPr>
      <w:r w:rsidRPr="006D20F6">
        <w:rPr>
          <w:lang w:eastAsia="zh-CN"/>
        </w:rPr>
        <w:t xml:space="preserve">Corruption is a serious issue </w:t>
      </w:r>
      <w:r>
        <w:rPr>
          <w:lang w:eastAsia="zh-CN"/>
        </w:rPr>
        <w:t>for</w:t>
      </w:r>
      <w:r w:rsidRPr="006D20F6">
        <w:rPr>
          <w:lang w:eastAsia="zh-CN"/>
        </w:rPr>
        <w:t xml:space="preserve"> PNG.</w:t>
      </w:r>
      <w:r w:rsidR="00622C51">
        <w:rPr>
          <w:lang w:eastAsia="zh-CN"/>
        </w:rPr>
        <w:t xml:space="preserve"> </w:t>
      </w:r>
      <w:r>
        <w:rPr>
          <w:lang w:eastAsia="zh-CN"/>
        </w:rPr>
        <w:t xml:space="preserve"> </w:t>
      </w:r>
      <w:r w:rsidR="006D20F6" w:rsidRPr="006D20F6">
        <w:rPr>
          <w:lang w:eastAsia="zh-CN"/>
        </w:rPr>
        <w:t xml:space="preserve">Australia supported PNG-led efforts to </w:t>
      </w:r>
      <w:r w:rsidR="006D20F6" w:rsidRPr="00A45630">
        <w:rPr>
          <w:lang w:eastAsia="zh-CN"/>
        </w:rPr>
        <w:t>combat corruption</w:t>
      </w:r>
      <w:r w:rsidR="006D20F6" w:rsidRPr="006D20F6">
        <w:rPr>
          <w:lang w:eastAsia="zh-CN"/>
        </w:rPr>
        <w:t xml:space="preserve">, including through the </w:t>
      </w:r>
      <w:r w:rsidR="00FE6E18">
        <w:rPr>
          <w:lang w:eastAsia="zh-CN"/>
        </w:rPr>
        <w:t>joint efforts of the</w:t>
      </w:r>
      <w:r w:rsidR="005404E2">
        <w:rPr>
          <w:lang w:eastAsia="zh-CN"/>
        </w:rPr>
        <w:t xml:space="preserve"> AGD</w:t>
      </w:r>
      <w:r w:rsidR="00FE6E18">
        <w:rPr>
          <w:lang w:eastAsia="zh-CN"/>
        </w:rPr>
        <w:t xml:space="preserve"> SGP law and justice advisers and</w:t>
      </w:r>
      <w:r w:rsidR="00FE6E18" w:rsidRPr="006D20F6">
        <w:rPr>
          <w:lang w:eastAsia="zh-CN"/>
        </w:rPr>
        <w:t xml:space="preserve"> </w:t>
      </w:r>
      <w:r w:rsidR="00FD61F8">
        <w:rPr>
          <w:lang w:eastAsia="zh-CN"/>
        </w:rPr>
        <w:t xml:space="preserve">the </w:t>
      </w:r>
      <w:r w:rsidR="0038722B">
        <w:rPr>
          <w:lang w:eastAsia="zh-CN"/>
        </w:rPr>
        <w:t xml:space="preserve">DFAT-funded </w:t>
      </w:r>
      <w:r w:rsidR="006D20F6" w:rsidRPr="006D20F6">
        <w:rPr>
          <w:lang w:eastAsia="zh-CN"/>
        </w:rPr>
        <w:t>AGD-AUSTRAC Combating Corruption program.</w:t>
      </w:r>
      <w:r>
        <w:rPr>
          <w:lang w:eastAsia="zh-CN"/>
        </w:rPr>
        <w:t xml:space="preserve"> </w:t>
      </w:r>
      <w:r w:rsidR="006D20F6" w:rsidRPr="006D20F6">
        <w:rPr>
          <w:lang w:eastAsia="zh-CN"/>
        </w:rPr>
        <w:t xml:space="preserve"> In February 2014, PNG was publically grey listed by the Financial Action Task Force (FATF) as having serious deficiencies in its anti-money laundering regime. </w:t>
      </w:r>
      <w:r>
        <w:rPr>
          <w:lang w:eastAsia="zh-CN"/>
        </w:rPr>
        <w:t xml:space="preserve"> </w:t>
      </w:r>
      <w:r w:rsidR="00FE6E18">
        <w:rPr>
          <w:lang w:eastAsia="zh-CN"/>
        </w:rPr>
        <w:t>SGP and t</w:t>
      </w:r>
      <w:r>
        <w:rPr>
          <w:lang w:eastAsia="zh-CN"/>
        </w:rPr>
        <w:t xml:space="preserve">he </w:t>
      </w:r>
      <w:r w:rsidRPr="006D20F6">
        <w:rPr>
          <w:lang w:eastAsia="zh-CN"/>
        </w:rPr>
        <w:t>Combating Corruption</w:t>
      </w:r>
      <w:r>
        <w:rPr>
          <w:lang w:eastAsia="zh-CN"/>
        </w:rPr>
        <w:t xml:space="preserve"> program</w:t>
      </w:r>
      <w:r w:rsidR="00FE6E18">
        <w:rPr>
          <w:lang w:eastAsia="zh-CN"/>
        </w:rPr>
        <w:t xml:space="preserve"> are</w:t>
      </w:r>
      <w:r w:rsidR="0070006C">
        <w:rPr>
          <w:lang w:eastAsia="zh-CN"/>
        </w:rPr>
        <w:t xml:space="preserve"> </w:t>
      </w:r>
      <w:r w:rsidR="006D20F6" w:rsidRPr="006D20F6">
        <w:rPr>
          <w:lang w:eastAsia="zh-CN"/>
        </w:rPr>
        <w:t xml:space="preserve">assisting PNG to meet its targets against its FATF Action Plan, with progress reviewed favourably by the Regional Review Group in early 2015. </w:t>
      </w:r>
      <w:r w:rsidR="00DB345C">
        <w:rPr>
          <w:lang w:eastAsia="zh-CN"/>
        </w:rPr>
        <w:t xml:space="preserve"> Through SGP, Australia </w:t>
      </w:r>
      <w:r>
        <w:rPr>
          <w:lang w:eastAsia="zh-CN"/>
        </w:rPr>
        <w:t>also supported the PNG</w:t>
      </w:r>
      <w:r w:rsidR="006D20F6" w:rsidRPr="006D20F6">
        <w:rPr>
          <w:lang w:eastAsia="zh-CN"/>
        </w:rPr>
        <w:t xml:space="preserve"> Department of Justice and Attorney General </w:t>
      </w:r>
      <w:r>
        <w:rPr>
          <w:lang w:eastAsia="zh-CN"/>
        </w:rPr>
        <w:t>to finalise</w:t>
      </w:r>
      <w:r w:rsidR="006D20F6" w:rsidRPr="006D20F6">
        <w:rPr>
          <w:lang w:eastAsia="zh-CN"/>
        </w:rPr>
        <w:t xml:space="preserve"> the </w:t>
      </w:r>
      <w:r>
        <w:rPr>
          <w:lang w:eastAsia="zh-CN"/>
        </w:rPr>
        <w:t xml:space="preserve">bill </w:t>
      </w:r>
      <w:r w:rsidR="006D20F6" w:rsidRPr="006D20F6">
        <w:rPr>
          <w:lang w:eastAsia="zh-CN"/>
        </w:rPr>
        <w:t xml:space="preserve">to establish </w:t>
      </w:r>
      <w:r w:rsidR="003779D9">
        <w:rPr>
          <w:lang w:eastAsia="zh-CN"/>
        </w:rPr>
        <w:t>a</w:t>
      </w:r>
      <w:r w:rsidR="00542132">
        <w:rPr>
          <w:lang w:eastAsia="zh-CN"/>
        </w:rPr>
        <w:t>n Independent</w:t>
      </w:r>
      <w:r w:rsidR="006D20F6" w:rsidRPr="006D20F6">
        <w:rPr>
          <w:lang w:eastAsia="zh-CN"/>
        </w:rPr>
        <w:t xml:space="preserve"> Commission Against</w:t>
      </w:r>
      <w:r>
        <w:rPr>
          <w:lang w:eastAsia="zh-CN"/>
        </w:rPr>
        <w:t xml:space="preserve"> Corruption (ICAC).</w:t>
      </w:r>
      <w:r w:rsidR="006D20F6" w:rsidRPr="006D20F6">
        <w:rPr>
          <w:lang w:eastAsia="zh-CN"/>
        </w:rPr>
        <w:t xml:space="preserve"> </w:t>
      </w:r>
      <w:r>
        <w:rPr>
          <w:lang w:eastAsia="zh-CN"/>
        </w:rPr>
        <w:t xml:space="preserve"> </w:t>
      </w:r>
      <w:r w:rsidR="00A45630">
        <w:rPr>
          <w:lang w:eastAsia="zh-CN"/>
        </w:rPr>
        <w:t xml:space="preserve">The Government of PNG noted its commitment to introduce the bill into Parliament in </w:t>
      </w:r>
      <w:r w:rsidR="00EF77B0">
        <w:t>PNG’s Medium Term Development Plan 2 (2016-2017)</w:t>
      </w:r>
      <w:r w:rsidR="00A45630">
        <w:rPr>
          <w:lang w:eastAsia="zh-CN"/>
        </w:rPr>
        <w:t>.</w:t>
      </w:r>
      <w:r w:rsidR="0038722B">
        <w:rPr>
          <w:lang w:eastAsia="zh-CN"/>
        </w:rPr>
        <w:t xml:space="preserve"> </w:t>
      </w:r>
    </w:p>
    <w:p w:rsidR="006D20F6" w:rsidRPr="006D20F6" w:rsidRDefault="0031119B" w:rsidP="00994EC7">
      <w:pPr>
        <w:pStyle w:val="BodyText"/>
        <w:spacing w:after="240" w:line="276" w:lineRule="auto"/>
      </w:pPr>
      <w:r>
        <w:rPr>
          <w:lang w:eastAsia="zh-CN"/>
        </w:rPr>
        <w:t>To improve the coordination, monitoring and reporting on Australia’s assistance, Australia has established a whole</w:t>
      </w:r>
      <w:r w:rsidRPr="00FD3093">
        <w:rPr>
          <w:lang w:eastAsia="zh-CN"/>
        </w:rPr>
        <w:t>-of-Australian-</w:t>
      </w:r>
      <w:r w:rsidR="00FC6FBB">
        <w:rPr>
          <w:lang w:eastAsia="zh-CN"/>
        </w:rPr>
        <w:t>G</w:t>
      </w:r>
      <w:r w:rsidRPr="00FD3093">
        <w:rPr>
          <w:lang w:eastAsia="zh-CN"/>
        </w:rPr>
        <w:t xml:space="preserve">overnment </w:t>
      </w:r>
      <w:r w:rsidR="00622C51">
        <w:rPr>
          <w:lang w:eastAsia="zh-CN"/>
        </w:rPr>
        <w:t xml:space="preserve">Law and Justice </w:t>
      </w:r>
      <w:r w:rsidRPr="00FD3093">
        <w:rPr>
          <w:lang w:eastAsia="zh-CN"/>
        </w:rPr>
        <w:t>Sector Investment Plan</w:t>
      </w:r>
      <w:r>
        <w:rPr>
          <w:lang w:eastAsia="zh-CN"/>
        </w:rPr>
        <w:t xml:space="preserve">.  This key </w:t>
      </w:r>
      <w:r w:rsidR="00030397">
        <w:rPr>
          <w:lang w:eastAsia="zh-CN"/>
        </w:rPr>
        <w:t xml:space="preserve">program management tool will assist DFAT to coordinate Australia’s assistance in the sector </w:t>
      </w:r>
      <w:r w:rsidR="008D2D98">
        <w:rPr>
          <w:lang w:eastAsia="zh-CN"/>
        </w:rPr>
        <w:t xml:space="preserve">with our partners </w:t>
      </w:r>
      <w:r w:rsidR="00030397">
        <w:rPr>
          <w:lang w:eastAsia="zh-CN"/>
        </w:rPr>
        <w:t>and help to monitor and report on progress.</w:t>
      </w:r>
      <w:r>
        <w:rPr>
          <w:lang w:eastAsia="zh-CN"/>
        </w:rPr>
        <w:t xml:space="preserve"> </w:t>
      </w:r>
      <w:r w:rsidRPr="00FD3093">
        <w:rPr>
          <w:lang w:eastAsia="zh-CN"/>
        </w:rPr>
        <w:t xml:space="preserve"> </w:t>
      </w:r>
    </w:p>
    <w:p w:rsidR="006D20F6" w:rsidRPr="00994EC7" w:rsidRDefault="006D20F6" w:rsidP="00994EC7">
      <w:pPr>
        <w:pStyle w:val="Heading4"/>
        <w:rPr>
          <w:b w:val="0"/>
        </w:rPr>
      </w:pPr>
      <w:r w:rsidRPr="004472AF">
        <w:t>Key Risks and Challenges</w:t>
      </w:r>
    </w:p>
    <w:p w:rsidR="0027024C" w:rsidRPr="00396063" w:rsidRDefault="006D20F6">
      <w:pPr>
        <w:pStyle w:val="Heading3"/>
      </w:pPr>
      <w:r w:rsidRPr="00994EC7">
        <w:rPr>
          <w:rFonts w:cs="Times New Roman"/>
          <w:b w:val="0"/>
          <w:color w:val="auto"/>
          <w:kern w:val="0"/>
          <w:sz w:val="21"/>
          <w:szCs w:val="24"/>
          <w:lang w:eastAsia="en-AU"/>
        </w:rPr>
        <w:t xml:space="preserve">Improving outcomes in PNG’s law and justice sector is affected by a wide range of factors. </w:t>
      </w:r>
      <w:r w:rsidR="006A4FE2" w:rsidRPr="00994EC7">
        <w:rPr>
          <w:rFonts w:cs="Times New Roman"/>
          <w:b w:val="0"/>
          <w:color w:val="auto"/>
          <w:kern w:val="0"/>
          <w:sz w:val="21"/>
          <w:szCs w:val="24"/>
          <w:lang w:eastAsia="en-AU"/>
        </w:rPr>
        <w:t xml:space="preserve"> </w:t>
      </w:r>
      <w:r w:rsidR="0052404D" w:rsidRPr="00994EC7">
        <w:rPr>
          <w:rFonts w:cs="Times New Roman"/>
          <w:b w:val="0"/>
          <w:color w:val="auto"/>
          <w:kern w:val="0"/>
          <w:sz w:val="21"/>
          <w:szCs w:val="24"/>
          <w:lang w:eastAsia="en-AU"/>
        </w:rPr>
        <w:br/>
      </w:r>
      <w:r w:rsidRPr="00994EC7">
        <w:rPr>
          <w:rFonts w:cs="Times New Roman"/>
          <w:b w:val="0"/>
          <w:color w:val="auto"/>
          <w:kern w:val="0"/>
          <w:sz w:val="21"/>
          <w:szCs w:val="24"/>
          <w:lang w:eastAsia="en-AU"/>
        </w:rPr>
        <w:t xml:space="preserve">High rates of crime coupled with low levels of trust by the community </w:t>
      </w:r>
      <w:r w:rsidR="00CD7911" w:rsidRPr="00994EC7">
        <w:rPr>
          <w:rFonts w:cs="Times New Roman"/>
          <w:b w:val="0"/>
          <w:color w:val="auto"/>
          <w:kern w:val="0"/>
          <w:sz w:val="21"/>
          <w:szCs w:val="24"/>
          <w:lang w:eastAsia="en-AU"/>
        </w:rPr>
        <w:t xml:space="preserve">(especially women and children) </w:t>
      </w:r>
      <w:r w:rsidRPr="00994EC7">
        <w:rPr>
          <w:rFonts w:cs="Times New Roman"/>
          <w:b w:val="0"/>
          <w:color w:val="auto"/>
          <w:kern w:val="0"/>
          <w:sz w:val="21"/>
          <w:szCs w:val="24"/>
          <w:lang w:eastAsia="en-AU"/>
        </w:rPr>
        <w:t xml:space="preserve">and businesses in the police and judiciary remains a challenge. </w:t>
      </w:r>
      <w:r w:rsidR="006A4FE2" w:rsidRPr="00994EC7">
        <w:rPr>
          <w:rFonts w:cs="Times New Roman"/>
          <w:b w:val="0"/>
          <w:color w:val="auto"/>
          <w:kern w:val="0"/>
          <w:sz w:val="21"/>
          <w:szCs w:val="24"/>
          <w:lang w:eastAsia="en-AU"/>
        </w:rPr>
        <w:t xml:space="preserve"> </w:t>
      </w:r>
      <w:r w:rsidRPr="00994EC7">
        <w:rPr>
          <w:rFonts w:cs="Times New Roman"/>
          <w:b w:val="0"/>
          <w:color w:val="auto"/>
          <w:kern w:val="0"/>
          <w:sz w:val="21"/>
          <w:szCs w:val="24"/>
          <w:lang w:eastAsia="en-AU"/>
        </w:rPr>
        <w:t>Failure to enforce the law is seen as a cause as well as a consequence of increasing corruption.</w:t>
      </w:r>
      <w:r w:rsidR="006A4FE2" w:rsidRPr="00994EC7">
        <w:rPr>
          <w:rFonts w:cs="Times New Roman"/>
          <w:b w:val="0"/>
          <w:color w:val="auto"/>
          <w:kern w:val="0"/>
          <w:sz w:val="21"/>
          <w:szCs w:val="24"/>
          <w:lang w:eastAsia="en-AU"/>
        </w:rPr>
        <w:t xml:space="preserve">  </w:t>
      </w:r>
      <w:r w:rsidRPr="00994EC7">
        <w:rPr>
          <w:rFonts w:cs="Times New Roman"/>
          <w:b w:val="0"/>
          <w:color w:val="auto"/>
          <w:kern w:val="0"/>
          <w:sz w:val="21"/>
          <w:szCs w:val="24"/>
          <w:lang w:eastAsia="en-AU"/>
        </w:rPr>
        <w:t xml:space="preserve">The per capita numbers of police, judicial and other law and justice officials remain very low by international and regional standards. </w:t>
      </w:r>
      <w:r w:rsidR="006A4FE2" w:rsidRPr="00994EC7">
        <w:rPr>
          <w:rFonts w:cs="Times New Roman"/>
          <w:b w:val="0"/>
          <w:color w:val="auto"/>
          <w:kern w:val="0"/>
          <w:sz w:val="21"/>
          <w:szCs w:val="24"/>
          <w:lang w:eastAsia="en-AU"/>
        </w:rPr>
        <w:t xml:space="preserve"> </w:t>
      </w:r>
      <w:r w:rsidRPr="00994EC7">
        <w:rPr>
          <w:rFonts w:cs="Times New Roman"/>
          <w:b w:val="0"/>
          <w:color w:val="auto"/>
          <w:kern w:val="0"/>
          <w:sz w:val="21"/>
          <w:szCs w:val="24"/>
          <w:lang w:eastAsia="en-AU"/>
        </w:rPr>
        <w:t>While recruitment of more police is a PNG Government priority, the capacity to provide the necessary support for them, including</w:t>
      </w:r>
      <w:r w:rsidR="006A4FE2" w:rsidRPr="00994EC7">
        <w:rPr>
          <w:rFonts w:cs="Times New Roman"/>
          <w:b w:val="0"/>
          <w:color w:val="auto"/>
          <w:kern w:val="0"/>
          <w:sz w:val="21"/>
          <w:szCs w:val="24"/>
          <w:lang w:eastAsia="en-AU"/>
        </w:rPr>
        <w:t xml:space="preserve"> via housing</w:t>
      </w:r>
      <w:r w:rsidRPr="00994EC7">
        <w:rPr>
          <w:rFonts w:cs="Times New Roman"/>
          <w:b w:val="0"/>
          <w:color w:val="auto"/>
          <w:kern w:val="0"/>
          <w:sz w:val="21"/>
          <w:szCs w:val="24"/>
          <w:lang w:eastAsia="en-AU"/>
        </w:rPr>
        <w:t xml:space="preserve"> is very limited. </w:t>
      </w:r>
      <w:r w:rsidR="006A4FE2" w:rsidRPr="00994EC7">
        <w:rPr>
          <w:rFonts w:cs="Times New Roman"/>
          <w:b w:val="0"/>
          <w:color w:val="auto"/>
          <w:kern w:val="0"/>
          <w:sz w:val="21"/>
          <w:szCs w:val="24"/>
          <w:lang w:eastAsia="en-AU"/>
        </w:rPr>
        <w:t xml:space="preserve"> </w:t>
      </w:r>
      <w:r w:rsidR="0052404D" w:rsidRPr="00994EC7">
        <w:rPr>
          <w:rFonts w:cs="Times New Roman"/>
          <w:b w:val="0"/>
          <w:color w:val="auto"/>
          <w:kern w:val="0"/>
          <w:sz w:val="21"/>
          <w:szCs w:val="24"/>
          <w:lang w:eastAsia="en-AU"/>
        </w:rPr>
        <w:br/>
      </w:r>
      <w:r w:rsidRPr="00994EC7">
        <w:rPr>
          <w:rFonts w:cs="Times New Roman"/>
          <w:b w:val="0"/>
          <w:color w:val="auto"/>
          <w:kern w:val="0"/>
          <w:sz w:val="21"/>
          <w:szCs w:val="24"/>
          <w:lang w:eastAsia="en-AU"/>
        </w:rPr>
        <w:t>Setting strategic priorities and coordinating across the sector is a particular challenge given the large number of constitutionally independent PNG agencies involved.</w:t>
      </w:r>
      <w:r w:rsidR="008B2F4E" w:rsidRPr="00994EC7">
        <w:rPr>
          <w:rFonts w:cs="Times New Roman"/>
          <w:b w:val="0"/>
          <w:color w:val="auto"/>
          <w:kern w:val="0"/>
          <w:sz w:val="21"/>
          <w:szCs w:val="24"/>
          <w:lang w:eastAsia="en-AU"/>
        </w:rPr>
        <w:t xml:space="preserve"> </w:t>
      </w:r>
      <w:r w:rsidR="00622C51" w:rsidRPr="00994EC7">
        <w:rPr>
          <w:rFonts w:cs="Times New Roman"/>
          <w:b w:val="0"/>
          <w:color w:val="auto"/>
          <w:kern w:val="0"/>
          <w:sz w:val="21"/>
          <w:szCs w:val="24"/>
          <w:lang w:eastAsia="en-AU"/>
        </w:rPr>
        <w:t xml:space="preserve"> </w:t>
      </w:r>
      <w:r w:rsidR="008D2D98" w:rsidRPr="00994EC7">
        <w:rPr>
          <w:rFonts w:cs="Times New Roman"/>
          <w:b w:val="0"/>
          <w:color w:val="auto"/>
          <w:kern w:val="0"/>
          <w:sz w:val="21"/>
          <w:szCs w:val="24"/>
          <w:lang w:eastAsia="en-AU"/>
        </w:rPr>
        <w:t>PNG b</w:t>
      </w:r>
      <w:r w:rsidR="008B2F4E" w:rsidRPr="00994EC7">
        <w:rPr>
          <w:rFonts w:cs="Times New Roman"/>
          <w:b w:val="0"/>
          <w:color w:val="auto"/>
          <w:kern w:val="0"/>
          <w:sz w:val="21"/>
          <w:szCs w:val="24"/>
          <w:lang w:eastAsia="en-AU"/>
        </w:rPr>
        <w:t>udget constraints will affect the ability of agencies to deliver core services, let alone additional activities.</w:t>
      </w:r>
      <w:r w:rsidR="00C34D7A" w:rsidRPr="00C34D7A">
        <w:br/>
      </w:r>
      <w:r w:rsidR="008852A6">
        <w:br/>
      </w:r>
      <w:r w:rsidR="00987DE1">
        <w:br/>
      </w:r>
      <w:r w:rsidR="009A2B95">
        <w:t>Objective 4 – Improved transport services</w:t>
      </w:r>
    </w:p>
    <w:p w:rsidR="00D17211" w:rsidRDefault="00D17211" w:rsidP="00D17211">
      <w:pPr>
        <w:pStyle w:val="BodyText"/>
        <w:rPr>
          <w:lang w:eastAsia="zh-CN"/>
        </w:rPr>
      </w:pPr>
      <w:r w:rsidRPr="00965F27">
        <w:rPr>
          <w:lang w:eastAsia="zh-CN"/>
        </w:rPr>
        <w:t>The transport infrastructu</w:t>
      </w:r>
      <w:r>
        <w:rPr>
          <w:lang w:eastAsia="zh-CN"/>
        </w:rPr>
        <w:t xml:space="preserve">re sector </w:t>
      </w:r>
      <w:r w:rsidRPr="00965F27">
        <w:rPr>
          <w:lang w:eastAsia="zh-CN"/>
        </w:rPr>
        <w:t>has delivered on its commitments, notwithstanding persistent challenges.</w:t>
      </w:r>
      <w:r w:rsidR="008852A6">
        <w:rPr>
          <w:lang w:eastAsia="zh-CN"/>
        </w:rPr>
        <w:t xml:space="preserve">  </w:t>
      </w:r>
      <w:r w:rsidR="008852A6" w:rsidRPr="00FD3093">
        <w:rPr>
          <w:lang w:eastAsia="zh-CN"/>
        </w:rPr>
        <w:t xml:space="preserve">Australia achieved green ratings against the </w:t>
      </w:r>
      <w:r w:rsidR="008852A6">
        <w:rPr>
          <w:lang w:eastAsia="zh-CN"/>
        </w:rPr>
        <w:t xml:space="preserve">Partnership for Development </w:t>
      </w:r>
      <w:r w:rsidR="008852A6" w:rsidRPr="00FD3093">
        <w:rPr>
          <w:lang w:eastAsia="zh-CN"/>
        </w:rPr>
        <w:t>targets</w:t>
      </w:r>
      <w:r w:rsidR="008852A6">
        <w:rPr>
          <w:lang w:eastAsia="zh-CN"/>
        </w:rPr>
        <w:t xml:space="preserve"> to achieve</w:t>
      </w:r>
      <w:r w:rsidR="008852A6" w:rsidRPr="00FD3093">
        <w:rPr>
          <w:lang w:eastAsia="zh-CN"/>
        </w:rPr>
        <w:t xml:space="preserve"> </w:t>
      </w:r>
      <w:r w:rsidR="008852A6">
        <w:rPr>
          <w:lang w:eastAsia="zh-CN"/>
        </w:rPr>
        <w:t>‘</w:t>
      </w:r>
      <w:r w:rsidR="008852A6" w:rsidRPr="00FD3093">
        <w:rPr>
          <w:lang w:eastAsia="zh-CN"/>
        </w:rPr>
        <w:t xml:space="preserve">75 per cent of the 16 National </w:t>
      </w:r>
      <w:r w:rsidR="008852A6" w:rsidRPr="00867B30">
        <w:rPr>
          <w:lang w:eastAsia="zh-CN"/>
        </w:rPr>
        <w:t xml:space="preserve">Priority roads in </w:t>
      </w:r>
      <w:r w:rsidR="00FD61F8">
        <w:rPr>
          <w:lang w:eastAsia="zh-CN"/>
        </w:rPr>
        <w:t>“</w:t>
      </w:r>
      <w:r w:rsidR="008852A6" w:rsidRPr="00867B30">
        <w:rPr>
          <w:lang w:eastAsia="zh-CN"/>
        </w:rPr>
        <w:t>good</w:t>
      </w:r>
      <w:r w:rsidR="00FD61F8">
        <w:rPr>
          <w:lang w:eastAsia="zh-CN"/>
        </w:rPr>
        <w:t>”</w:t>
      </w:r>
      <w:r w:rsidR="008852A6" w:rsidRPr="00867B30">
        <w:rPr>
          <w:lang w:eastAsia="zh-CN"/>
        </w:rPr>
        <w:t xml:space="preserve"> condition</w:t>
      </w:r>
      <w:r w:rsidR="008852A6">
        <w:rPr>
          <w:lang w:eastAsia="zh-CN"/>
        </w:rPr>
        <w:t>’</w:t>
      </w:r>
      <w:r w:rsidR="008852A6" w:rsidRPr="00867B30">
        <w:rPr>
          <w:lang w:eastAsia="zh-CN"/>
        </w:rPr>
        <w:t xml:space="preserve"> and</w:t>
      </w:r>
      <w:r w:rsidR="008852A6">
        <w:rPr>
          <w:lang w:eastAsia="zh-CN"/>
        </w:rPr>
        <w:t xml:space="preserve"> have</w:t>
      </w:r>
      <w:r w:rsidR="008852A6" w:rsidRPr="00867B30">
        <w:rPr>
          <w:lang w:eastAsia="zh-CN"/>
        </w:rPr>
        <w:t xml:space="preserve"> </w:t>
      </w:r>
      <w:r w:rsidR="008852A6">
        <w:rPr>
          <w:lang w:eastAsia="zh-CN"/>
        </w:rPr>
        <w:t>‘</w:t>
      </w:r>
      <w:r w:rsidR="008852A6" w:rsidRPr="00867B30">
        <w:rPr>
          <w:lang w:eastAsia="zh-CN"/>
        </w:rPr>
        <w:t>aviation and maritime transport services consistently moving towards full compliance with international safety and security standards</w:t>
      </w:r>
      <w:r w:rsidR="008852A6">
        <w:rPr>
          <w:lang w:eastAsia="zh-CN"/>
        </w:rPr>
        <w:t>’</w:t>
      </w:r>
      <w:r w:rsidR="008852A6" w:rsidRPr="00867B30">
        <w:rPr>
          <w:lang w:eastAsia="zh-CN"/>
        </w:rPr>
        <w:t xml:space="preserve">. </w:t>
      </w:r>
      <w:r w:rsidR="008852A6">
        <w:rPr>
          <w:lang w:eastAsia="zh-CN"/>
        </w:rPr>
        <w:t xml:space="preserve"> The</w:t>
      </w:r>
      <w:r w:rsidR="008852A6" w:rsidRPr="00867B30">
        <w:rPr>
          <w:lang w:eastAsia="zh-CN"/>
        </w:rPr>
        <w:t xml:space="preserve"> green rating for the first target </w:t>
      </w:r>
      <w:r w:rsidR="008852A6">
        <w:rPr>
          <w:lang w:eastAsia="zh-CN"/>
        </w:rPr>
        <w:t xml:space="preserve">reflects solid progress against the program objectives alongside a </w:t>
      </w:r>
      <w:r w:rsidR="008852A6" w:rsidRPr="00867B30">
        <w:rPr>
          <w:lang w:eastAsia="zh-CN"/>
        </w:rPr>
        <w:t xml:space="preserve">proposed recasting of this target ahead of the </w:t>
      </w:r>
      <w:r w:rsidR="008852A6">
        <w:rPr>
          <w:lang w:eastAsia="zh-CN"/>
        </w:rPr>
        <w:t>new A</w:t>
      </w:r>
      <w:r w:rsidR="008852A6" w:rsidRPr="00867B30">
        <w:rPr>
          <w:lang w:eastAsia="zh-CN"/>
        </w:rPr>
        <w:t xml:space="preserve">id </w:t>
      </w:r>
      <w:r w:rsidR="008852A6">
        <w:rPr>
          <w:lang w:eastAsia="zh-CN"/>
        </w:rPr>
        <w:t>P</w:t>
      </w:r>
      <w:r w:rsidR="008852A6" w:rsidRPr="00867B30">
        <w:rPr>
          <w:lang w:eastAsia="zh-CN"/>
        </w:rPr>
        <w:t>artnership.</w:t>
      </w:r>
    </w:p>
    <w:p w:rsidR="00D17211" w:rsidRPr="00FD3093" w:rsidRDefault="00D17211" w:rsidP="00994EC7">
      <w:pPr>
        <w:pStyle w:val="BodyText"/>
        <w:spacing w:line="276" w:lineRule="auto"/>
        <w:rPr>
          <w:lang w:eastAsia="zh-CN"/>
        </w:rPr>
      </w:pPr>
      <w:r w:rsidRPr="00FD3093">
        <w:rPr>
          <w:lang w:eastAsia="zh-CN"/>
        </w:rPr>
        <w:t xml:space="preserve">In 2015, the </w:t>
      </w:r>
      <w:r>
        <w:rPr>
          <w:lang w:eastAsia="zh-CN"/>
        </w:rPr>
        <w:t>PNG Government</w:t>
      </w:r>
      <w:r w:rsidRPr="00FD3093">
        <w:rPr>
          <w:lang w:eastAsia="zh-CN"/>
        </w:rPr>
        <w:t xml:space="preserve"> allocated PG</w:t>
      </w:r>
      <w:r w:rsidR="00A259FE">
        <w:rPr>
          <w:lang w:eastAsia="zh-CN"/>
        </w:rPr>
        <w:t>K</w:t>
      </w:r>
      <w:r w:rsidRPr="00FD3093">
        <w:rPr>
          <w:lang w:eastAsia="zh-CN"/>
        </w:rPr>
        <w:t>1.8 billion to the PNG transport sector</w:t>
      </w:r>
      <w:r>
        <w:rPr>
          <w:lang w:eastAsia="zh-CN"/>
        </w:rPr>
        <w:t xml:space="preserve"> in its annual budget</w:t>
      </w:r>
      <w:r w:rsidRPr="00FD3093">
        <w:rPr>
          <w:lang w:eastAsia="zh-CN"/>
        </w:rPr>
        <w:t>, an increase of approximately 30</w:t>
      </w:r>
      <w:r w:rsidR="00B41968">
        <w:rPr>
          <w:lang w:eastAsia="zh-CN"/>
        </w:rPr>
        <w:t xml:space="preserve"> per cent </w:t>
      </w:r>
      <w:r w:rsidRPr="00FD3093">
        <w:rPr>
          <w:lang w:eastAsia="zh-CN"/>
        </w:rPr>
        <w:t>from the 20</w:t>
      </w:r>
      <w:r>
        <w:rPr>
          <w:lang w:eastAsia="zh-CN"/>
        </w:rPr>
        <w:t>14 budge</w:t>
      </w:r>
      <w:r w:rsidR="00AD0920">
        <w:rPr>
          <w:lang w:eastAsia="zh-CN"/>
        </w:rPr>
        <w:t>t</w:t>
      </w:r>
      <w:r>
        <w:rPr>
          <w:lang w:eastAsia="zh-CN"/>
        </w:rPr>
        <w:t xml:space="preserve">. </w:t>
      </w:r>
      <w:r w:rsidR="005404E2">
        <w:rPr>
          <w:lang w:eastAsia="zh-CN"/>
        </w:rPr>
        <w:t xml:space="preserve"> </w:t>
      </w:r>
      <w:r w:rsidR="00622C51">
        <w:rPr>
          <w:lang w:eastAsia="zh-CN"/>
        </w:rPr>
        <w:t>Australia’s</w:t>
      </w:r>
      <w:r w:rsidR="00D7387F">
        <w:rPr>
          <w:lang w:eastAsia="zh-CN"/>
        </w:rPr>
        <w:t xml:space="preserve"> investment</w:t>
      </w:r>
      <w:r w:rsidRPr="00FD3093">
        <w:rPr>
          <w:lang w:eastAsia="zh-CN"/>
        </w:rPr>
        <w:t xml:space="preserve"> during 2014</w:t>
      </w:r>
      <w:r w:rsidR="00AD0920">
        <w:rPr>
          <w:lang w:eastAsia="zh-CN"/>
        </w:rPr>
        <w:t>-15</w:t>
      </w:r>
      <w:r w:rsidRPr="00FD3093">
        <w:rPr>
          <w:lang w:eastAsia="zh-CN"/>
        </w:rPr>
        <w:t xml:space="preserve"> was a small proportion of this, at approximately </w:t>
      </w:r>
      <w:r w:rsidR="00B41968">
        <w:rPr>
          <w:lang w:eastAsia="zh-CN"/>
        </w:rPr>
        <w:t>$7</w:t>
      </w:r>
      <w:r w:rsidR="00AD0920">
        <w:rPr>
          <w:lang w:eastAsia="zh-CN"/>
        </w:rPr>
        <w:t>2.5 million (</w:t>
      </w:r>
      <w:r w:rsidR="00AD0920" w:rsidRPr="00FD3093">
        <w:rPr>
          <w:lang w:eastAsia="zh-CN"/>
        </w:rPr>
        <w:t>PG</w:t>
      </w:r>
      <w:r w:rsidR="00A259FE">
        <w:rPr>
          <w:lang w:eastAsia="zh-CN"/>
        </w:rPr>
        <w:t>K</w:t>
      </w:r>
      <w:r w:rsidR="00AD0920" w:rsidRPr="00FD3093">
        <w:rPr>
          <w:lang w:eastAsia="zh-CN"/>
        </w:rPr>
        <w:t>1</w:t>
      </w:r>
      <w:r w:rsidR="00AD0920">
        <w:rPr>
          <w:lang w:eastAsia="zh-CN"/>
        </w:rPr>
        <w:t>4</w:t>
      </w:r>
      <w:r w:rsidR="00AD0920" w:rsidRPr="00FD3093">
        <w:rPr>
          <w:lang w:eastAsia="zh-CN"/>
        </w:rPr>
        <w:t xml:space="preserve">0 </w:t>
      </w:r>
      <w:r w:rsidRPr="00FD3093">
        <w:rPr>
          <w:lang w:eastAsia="zh-CN"/>
        </w:rPr>
        <w:t>million</w:t>
      </w:r>
      <w:r w:rsidR="00AD0920">
        <w:rPr>
          <w:lang w:eastAsia="zh-CN"/>
        </w:rPr>
        <w:t>)</w:t>
      </w:r>
      <w:r>
        <w:rPr>
          <w:lang w:eastAsia="zh-CN"/>
        </w:rPr>
        <w:t>.</w:t>
      </w:r>
    </w:p>
    <w:p w:rsidR="00EA222E" w:rsidRDefault="00D17211" w:rsidP="00994EC7">
      <w:pPr>
        <w:pStyle w:val="BodyText"/>
        <w:spacing w:after="240" w:line="276" w:lineRule="auto"/>
        <w:rPr>
          <w:lang w:eastAsia="zh-CN"/>
        </w:rPr>
      </w:pPr>
      <w:r>
        <w:rPr>
          <w:lang w:eastAsia="zh-CN"/>
        </w:rPr>
        <w:t xml:space="preserve">Australia’s support to PNG’s transport sector is part of a long term strategy to strengthen the sector as a vital contributor to PNG’s development and economic growth. </w:t>
      </w:r>
      <w:r w:rsidR="00C812EF">
        <w:rPr>
          <w:lang w:eastAsia="zh-CN"/>
        </w:rPr>
        <w:t xml:space="preserve"> </w:t>
      </w:r>
      <w:r w:rsidR="00D7387F">
        <w:rPr>
          <w:lang w:eastAsia="zh-CN"/>
        </w:rPr>
        <w:t xml:space="preserve">This </w:t>
      </w:r>
      <w:r>
        <w:rPr>
          <w:lang w:eastAsia="zh-CN"/>
        </w:rPr>
        <w:t xml:space="preserve">support aligns with PNG’s priorities as set out in the National Transport Sector (NTS) and Medium Term Transport Plan (MTTP) and </w:t>
      </w:r>
      <w:r w:rsidRPr="00FD3093">
        <w:rPr>
          <w:lang w:eastAsia="zh-CN"/>
        </w:rPr>
        <w:t xml:space="preserve">is guided by priorities identified in </w:t>
      </w:r>
      <w:r>
        <w:rPr>
          <w:lang w:eastAsia="zh-CN"/>
        </w:rPr>
        <w:t>the Partnership for Development.</w:t>
      </w:r>
    </w:p>
    <w:p w:rsidR="00D17211" w:rsidRPr="00316277" w:rsidRDefault="00D17211" w:rsidP="00994EC7">
      <w:pPr>
        <w:pStyle w:val="Heading4"/>
        <w:spacing w:after="240" w:line="276" w:lineRule="auto"/>
      </w:pPr>
      <w:r w:rsidRPr="00316277">
        <w:lastRenderedPageBreak/>
        <w:t>Australia’s Contribution</w:t>
      </w:r>
    </w:p>
    <w:p w:rsidR="00D17211" w:rsidRPr="00FD3093" w:rsidRDefault="00D17211" w:rsidP="00994EC7">
      <w:pPr>
        <w:pStyle w:val="BodyText"/>
        <w:spacing w:line="276" w:lineRule="auto"/>
        <w:rPr>
          <w:lang w:eastAsia="zh-CN"/>
        </w:rPr>
      </w:pPr>
      <w:r w:rsidRPr="006A0FBF">
        <w:rPr>
          <w:lang w:eastAsia="zh-CN"/>
        </w:rPr>
        <w:t xml:space="preserve">Australia’s support to transport infrastructure focuses on: maintenance and rehabilitation of PNG’s national priority roads; improvement of aviation and maritime safety and security standards; and operational </w:t>
      </w:r>
      <w:r w:rsidR="00AD0920" w:rsidRPr="006A0FBF">
        <w:rPr>
          <w:lang w:eastAsia="zh-CN"/>
        </w:rPr>
        <w:t>reform</w:t>
      </w:r>
      <w:r w:rsidR="00AD0920">
        <w:rPr>
          <w:lang w:eastAsia="zh-CN"/>
        </w:rPr>
        <w:t xml:space="preserve">s to improve the performance </w:t>
      </w:r>
      <w:r w:rsidR="00AD0920" w:rsidRPr="006A0FBF">
        <w:rPr>
          <w:lang w:eastAsia="zh-CN"/>
        </w:rPr>
        <w:t xml:space="preserve">of </w:t>
      </w:r>
      <w:r w:rsidRPr="006A0FBF">
        <w:rPr>
          <w:lang w:eastAsia="zh-CN"/>
        </w:rPr>
        <w:t xml:space="preserve">transport sector agencies. </w:t>
      </w:r>
      <w:r w:rsidR="007C43E9">
        <w:rPr>
          <w:lang w:eastAsia="zh-CN"/>
        </w:rPr>
        <w:t xml:space="preserve"> </w:t>
      </w:r>
      <w:r w:rsidRPr="006A0FBF">
        <w:rPr>
          <w:lang w:eastAsia="zh-CN"/>
        </w:rPr>
        <w:t>Australian assistance to the sector is delivered through an integrated program that includes the Transport Sector Support Program (TSSP), Whole of (Australian) Government support through</w:t>
      </w:r>
      <w:r w:rsidR="003E0CF8">
        <w:rPr>
          <w:lang w:eastAsia="zh-CN"/>
        </w:rPr>
        <w:t xml:space="preserve"> SGP</w:t>
      </w:r>
      <w:r w:rsidRPr="006A0FBF">
        <w:rPr>
          <w:lang w:eastAsia="zh-CN"/>
        </w:rPr>
        <w:t xml:space="preserve"> </w:t>
      </w:r>
      <w:r w:rsidR="007C43E9">
        <w:rPr>
          <w:lang w:eastAsia="zh-CN"/>
        </w:rPr>
        <w:t>and the PNG-</w:t>
      </w:r>
      <w:r w:rsidRPr="006A0FBF">
        <w:rPr>
          <w:lang w:eastAsia="zh-CN"/>
        </w:rPr>
        <w:t>Australia Transport Memorandum of Understanding</w:t>
      </w:r>
      <w:r>
        <w:rPr>
          <w:lang w:eastAsia="zh-CN"/>
        </w:rPr>
        <w:t xml:space="preserve">. </w:t>
      </w:r>
      <w:r w:rsidR="005404E2">
        <w:rPr>
          <w:lang w:eastAsia="zh-CN"/>
        </w:rPr>
        <w:t xml:space="preserve"> </w:t>
      </w:r>
    </w:p>
    <w:p w:rsidR="00D17211" w:rsidRPr="00690746" w:rsidRDefault="00EA222E" w:rsidP="00994EC7">
      <w:pPr>
        <w:pStyle w:val="BodyText"/>
        <w:spacing w:line="276" w:lineRule="auto"/>
        <w:rPr>
          <w:lang w:eastAsia="zh-CN"/>
        </w:rPr>
      </w:pPr>
      <w:r w:rsidRPr="00EE60E8">
        <w:rPr>
          <w:lang w:eastAsia="zh-CN"/>
        </w:rPr>
        <w:t>I</w:t>
      </w:r>
      <w:r w:rsidR="00316277" w:rsidRPr="00690746">
        <w:rPr>
          <w:lang w:eastAsia="zh-CN"/>
        </w:rPr>
        <w:t>n 2014, Australia</w:t>
      </w:r>
      <w:r w:rsidR="00D17211" w:rsidRPr="00690746">
        <w:rPr>
          <w:lang w:eastAsia="zh-CN"/>
        </w:rPr>
        <w:t xml:space="preserve"> maintained and rehabilitated 2125km of National Priority Roads (including in Bougainville) which play a vital role in promoting access to services and reducing the cost of doing business.</w:t>
      </w:r>
      <w:r w:rsidRPr="00690746">
        <w:rPr>
          <w:lang w:eastAsia="zh-CN"/>
        </w:rPr>
        <w:t xml:space="preserve"> </w:t>
      </w:r>
      <w:r w:rsidR="007C43E9" w:rsidRPr="00690746">
        <w:rPr>
          <w:lang w:eastAsia="zh-CN"/>
        </w:rPr>
        <w:t xml:space="preserve"> </w:t>
      </w:r>
      <w:r w:rsidR="00D17211" w:rsidRPr="00690746">
        <w:rPr>
          <w:lang w:eastAsia="zh-CN"/>
        </w:rPr>
        <w:t>Australia’s support for the Visual Road Condition Survey (VRCS) has yielded results in the PNG Department of Works with more than 6,000 km of video footage of PNG’s national road network</w:t>
      </w:r>
      <w:r w:rsidR="00BB3E6A">
        <w:rPr>
          <w:lang w:eastAsia="zh-CN"/>
        </w:rPr>
        <w:t xml:space="preserve"> recorded</w:t>
      </w:r>
      <w:r w:rsidR="00D17211" w:rsidRPr="00690746">
        <w:rPr>
          <w:lang w:eastAsia="zh-CN"/>
        </w:rPr>
        <w:t xml:space="preserve"> (this represents almost 75</w:t>
      </w:r>
      <w:r w:rsidR="00682DF0" w:rsidRPr="00690746">
        <w:rPr>
          <w:lang w:eastAsia="zh-CN"/>
        </w:rPr>
        <w:t xml:space="preserve"> per cent </w:t>
      </w:r>
      <w:r w:rsidR="00D17211" w:rsidRPr="00690746">
        <w:rPr>
          <w:lang w:eastAsia="zh-CN"/>
        </w:rPr>
        <w:t xml:space="preserve">of the national </w:t>
      </w:r>
      <w:r w:rsidR="00AD0920" w:rsidRPr="00690746">
        <w:rPr>
          <w:lang w:eastAsia="zh-CN"/>
        </w:rPr>
        <w:t xml:space="preserve">priority road </w:t>
      </w:r>
      <w:r w:rsidR="00D17211" w:rsidRPr="00690746">
        <w:rPr>
          <w:lang w:eastAsia="zh-CN"/>
        </w:rPr>
        <w:t xml:space="preserve">network). </w:t>
      </w:r>
      <w:r w:rsidR="007C43E9" w:rsidRPr="00690746">
        <w:rPr>
          <w:lang w:eastAsia="zh-CN"/>
        </w:rPr>
        <w:t xml:space="preserve"> </w:t>
      </w:r>
      <w:r w:rsidR="00D17211" w:rsidRPr="00690746">
        <w:rPr>
          <w:lang w:eastAsia="zh-CN"/>
        </w:rPr>
        <w:t>VRCS data</w:t>
      </w:r>
      <w:r w:rsidR="00690746">
        <w:rPr>
          <w:lang w:eastAsia="zh-CN"/>
        </w:rPr>
        <w:t xml:space="preserve"> </w:t>
      </w:r>
      <w:r w:rsidR="00D17211" w:rsidRPr="00690746">
        <w:rPr>
          <w:lang w:eastAsia="zh-CN"/>
        </w:rPr>
        <w:t>will give PNG evidence to more accurately report on road network condition</w:t>
      </w:r>
      <w:r w:rsidR="00D7387F">
        <w:rPr>
          <w:lang w:eastAsia="zh-CN"/>
        </w:rPr>
        <w:t>s.</w:t>
      </w:r>
    </w:p>
    <w:p w:rsidR="00D17211" w:rsidRPr="00EA222E" w:rsidRDefault="00D17211" w:rsidP="00994EC7">
      <w:pPr>
        <w:pStyle w:val="BodyText"/>
        <w:spacing w:after="240" w:line="276" w:lineRule="auto"/>
        <w:rPr>
          <w:lang w:eastAsia="zh-CN"/>
        </w:rPr>
      </w:pPr>
      <w:r w:rsidRPr="00FD3093">
        <w:rPr>
          <w:lang w:eastAsia="zh-CN"/>
        </w:rPr>
        <w:t>Australia and PNG share an airspace boundary across which more than 70 aircraft pass every day, representing about 17</w:t>
      </w:r>
      <w:r w:rsidR="00682DF0">
        <w:rPr>
          <w:lang w:eastAsia="zh-CN"/>
        </w:rPr>
        <w:t xml:space="preserve"> per cent</w:t>
      </w:r>
      <w:r w:rsidR="00682DF0" w:rsidRPr="00FD3093">
        <w:rPr>
          <w:lang w:eastAsia="zh-CN"/>
        </w:rPr>
        <w:t xml:space="preserve"> </w:t>
      </w:r>
      <w:r w:rsidRPr="00FD3093">
        <w:rPr>
          <w:lang w:eastAsia="zh-CN"/>
        </w:rPr>
        <w:t>of Australia’s international air traffic.</w:t>
      </w:r>
      <w:r w:rsidR="007C43E9">
        <w:rPr>
          <w:lang w:eastAsia="zh-CN"/>
        </w:rPr>
        <w:t xml:space="preserve"> </w:t>
      </w:r>
      <w:r w:rsidRPr="00FD3093">
        <w:rPr>
          <w:lang w:eastAsia="zh-CN"/>
        </w:rPr>
        <w:t xml:space="preserve"> Australia has played a significant role in PNG’s recent aviation and maritime policy reforms, helping PNG progress towards international best practice in aviation and maritime safety.</w:t>
      </w:r>
      <w:r w:rsidR="00EA222E">
        <w:rPr>
          <w:lang w:eastAsia="zh-CN"/>
        </w:rPr>
        <w:t xml:space="preserve"> </w:t>
      </w:r>
      <w:r w:rsidR="007C43E9">
        <w:rPr>
          <w:lang w:eastAsia="zh-CN"/>
        </w:rPr>
        <w:t xml:space="preserve"> </w:t>
      </w:r>
      <w:r w:rsidRPr="00EA222E">
        <w:rPr>
          <w:lang w:eastAsia="zh-CN"/>
        </w:rPr>
        <w:t xml:space="preserve">The </w:t>
      </w:r>
      <w:r w:rsidR="00AD0920" w:rsidRPr="00206E02">
        <w:rPr>
          <w:lang w:eastAsia="zh-CN"/>
        </w:rPr>
        <w:t xml:space="preserve">World Geodetic System </w:t>
      </w:r>
      <w:r w:rsidR="0052404D" w:rsidRPr="00206E02">
        <w:rPr>
          <w:lang w:eastAsia="zh-CN"/>
        </w:rPr>
        <w:t xml:space="preserve">1984 </w:t>
      </w:r>
      <w:r w:rsidR="0052404D" w:rsidRPr="00EA222E">
        <w:rPr>
          <w:lang w:eastAsia="zh-CN"/>
        </w:rPr>
        <w:t>project</w:t>
      </w:r>
      <w:r w:rsidRPr="00EA222E">
        <w:rPr>
          <w:lang w:eastAsia="zh-CN"/>
        </w:rPr>
        <w:t xml:space="preserve">, funded by the Australian Government, enables PNG </w:t>
      </w:r>
      <w:r w:rsidR="00542132">
        <w:rPr>
          <w:lang w:eastAsia="zh-CN"/>
        </w:rPr>
        <w:t xml:space="preserve">to fulfil </w:t>
      </w:r>
      <w:r w:rsidRPr="00EA222E">
        <w:rPr>
          <w:lang w:eastAsia="zh-CN"/>
        </w:rPr>
        <w:t xml:space="preserve">an essential aviation safety requirement to assist pilots to accurately reference points of interest. </w:t>
      </w:r>
      <w:r w:rsidR="007C43E9">
        <w:rPr>
          <w:lang w:eastAsia="zh-CN"/>
        </w:rPr>
        <w:t xml:space="preserve"> </w:t>
      </w:r>
      <w:r w:rsidRPr="00EA222E">
        <w:rPr>
          <w:lang w:eastAsia="zh-CN"/>
        </w:rPr>
        <w:t xml:space="preserve">The project included a full survey of PNG’s 29 major airports. </w:t>
      </w:r>
      <w:r w:rsidR="007C43E9">
        <w:rPr>
          <w:lang w:eastAsia="zh-CN"/>
        </w:rPr>
        <w:t xml:space="preserve"> </w:t>
      </w:r>
      <w:r w:rsidRPr="00EA222E">
        <w:rPr>
          <w:lang w:eastAsia="zh-CN"/>
        </w:rPr>
        <w:t>PNG aeronautical charts, which are a critical safety requirement for aviators to navigate across the skies, are now being updated based on the inf</w:t>
      </w:r>
      <w:r w:rsidR="007C43E9">
        <w:rPr>
          <w:lang w:eastAsia="zh-CN"/>
        </w:rPr>
        <w:t>ormation provided through this project</w:t>
      </w:r>
      <w:r w:rsidRPr="00EA222E">
        <w:rPr>
          <w:lang w:eastAsia="zh-CN"/>
        </w:rPr>
        <w:t xml:space="preserve">. </w:t>
      </w:r>
    </w:p>
    <w:p w:rsidR="00E47B6F" w:rsidRDefault="00D17211" w:rsidP="00994EC7">
      <w:pPr>
        <w:pStyle w:val="Heading4"/>
      </w:pPr>
      <w:r w:rsidRPr="00994EC7">
        <w:t>Key Risks and Challenges</w:t>
      </w:r>
      <w:r w:rsidR="00C37E40" w:rsidRPr="00994EC7">
        <w:br/>
      </w:r>
    </w:p>
    <w:p w:rsidR="004B3CE4" w:rsidRPr="00994EC7" w:rsidRDefault="00D17211" w:rsidP="00994EC7">
      <w:pPr>
        <w:pStyle w:val="BodyText"/>
        <w:spacing w:line="276" w:lineRule="auto"/>
        <w:rPr>
          <w:lang w:eastAsia="zh-CN"/>
        </w:rPr>
      </w:pPr>
      <w:r w:rsidRPr="00994EC7">
        <w:rPr>
          <w:lang w:eastAsia="zh-CN"/>
        </w:rPr>
        <w:t>In light of the increasingly constrained fiscal environment, continued efforts are required to promote a targeted approach to public infrastructure investments</w:t>
      </w:r>
      <w:r w:rsidR="00C041C0" w:rsidRPr="00994EC7">
        <w:rPr>
          <w:lang w:eastAsia="zh-CN"/>
        </w:rPr>
        <w:t xml:space="preserve">; </w:t>
      </w:r>
      <w:r w:rsidRPr="00994EC7">
        <w:rPr>
          <w:lang w:eastAsia="zh-CN"/>
        </w:rPr>
        <w:t xml:space="preserve">a life-cycle approach to asset management; improved approaches to procurement, contract and quality management; and to enhance the sector’s ability to leverage funds from a variety of sources to improve and maintain its assets across the land, aviation and maritime sectors. </w:t>
      </w:r>
      <w:r w:rsidR="007C43E9" w:rsidRPr="00994EC7">
        <w:rPr>
          <w:lang w:eastAsia="zh-CN"/>
        </w:rPr>
        <w:t xml:space="preserve"> </w:t>
      </w:r>
      <w:r w:rsidR="00D129B4" w:rsidRPr="00994EC7">
        <w:rPr>
          <w:lang w:eastAsia="zh-CN"/>
        </w:rPr>
        <w:t xml:space="preserve">Limited institutional capacity and ongoing delays in procurement and contracting of major projects may also affect progress towards agreed targets. </w:t>
      </w:r>
      <w:r w:rsidR="0052404D" w:rsidRPr="00994EC7">
        <w:rPr>
          <w:lang w:eastAsia="zh-CN"/>
        </w:rPr>
        <w:t xml:space="preserve"> </w:t>
      </w:r>
      <w:r w:rsidR="00D129B4" w:rsidRPr="00994EC7">
        <w:rPr>
          <w:lang w:eastAsia="zh-CN"/>
        </w:rPr>
        <w:t xml:space="preserve">Agency Support Arrangements between DFAT and respective transport agencies will allow TSSP to address some of these key constraints though targeted support. </w:t>
      </w:r>
      <w:r w:rsidR="0052404D" w:rsidRPr="00994EC7">
        <w:rPr>
          <w:lang w:eastAsia="zh-CN"/>
        </w:rPr>
        <w:br/>
      </w:r>
      <w:r w:rsidR="00D129B4" w:rsidRPr="00994EC7">
        <w:rPr>
          <w:lang w:eastAsia="zh-CN"/>
        </w:rPr>
        <w:t xml:space="preserve">For example, TSSP’s support for tailored executive programs to improve corporate accountability and for workforce planning and trainee driven recruitment will help build institutional capacity. </w:t>
      </w:r>
      <w:r w:rsidR="0052404D" w:rsidRPr="00994EC7">
        <w:rPr>
          <w:lang w:eastAsia="zh-CN"/>
        </w:rPr>
        <w:t xml:space="preserve"> </w:t>
      </w:r>
      <w:r w:rsidR="00D129B4" w:rsidRPr="00994EC7">
        <w:rPr>
          <w:lang w:eastAsia="zh-CN"/>
        </w:rPr>
        <w:t>TSSP also continues to work with counterpart departments to improve procurement practice.</w:t>
      </w:r>
      <w:r w:rsidR="004B3CE4" w:rsidRPr="00994EC7">
        <w:rPr>
          <w:lang w:eastAsia="zh-CN"/>
        </w:rPr>
        <w:t xml:space="preserve">  </w:t>
      </w:r>
    </w:p>
    <w:p w:rsidR="00434A85" w:rsidRPr="00994EC7" w:rsidRDefault="00D17211" w:rsidP="00994EC7">
      <w:pPr>
        <w:pStyle w:val="BodyText"/>
        <w:spacing w:line="276" w:lineRule="auto"/>
      </w:pPr>
      <w:r w:rsidRPr="00E47B6F">
        <w:rPr>
          <w:lang w:eastAsia="zh-CN"/>
        </w:rPr>
        <w:t xml:space="preserve">It has been difficult to effectively track how activities are addressing gender and disability, </w:t>
      </w:r>
      <w:r w:rsidR="00550F46" w:rsidRPr="00E47B6F">
        <w:rPr>
          <w:lang w:eastAsia="zh-CN"/>
        </w:rPr>
        <w:t xml:space="preserve">and as such </w:t>
      </w:r>
      <w:r w:rsidRPr="00E47B6F">
        <w:rPr>
          <w:lang w:eastAsia="zh-CN"/>
        </w:rPr>
        <w:t>this will be a focus area for improvement in 2015-16.</w:t>
      </w:r>
    </w:p>
    <w:p w:rsidR="00434A85" w:rsidRDefault="00C06367">
      <w:pPr>
        <w:pStyle w:val="Heading3"/>
      </w:pPr>
      <w:r>
        <w:br/>
      </w:r>
      <w:r w:rsidR="00434A85">
        <w:t xml:space="preserve">Objective 5 – Strengthened governance </w:t>
      </w:r>
    </w:p>
    <w:p w:rsidR="00434A85" w:rsidRPr="00FD3093" w:rsidRDefault="00993093" w:rsidP="00994EC7">
      <w:pPr>
        <w:pStyle w:val="BodyText"/>
        <w:spacing w:after="120" w:line="276" w:lineRule="auto"/>
        <w:rPr>
          <w:lang w:eastAsia="zh-CN"/>
        </w:rPr>
      </w:pPr>
      <w:r>
        <w:rPr>
          <w:lang w:eastAsia="zh-CN"/>
        </w:rPr>
        <w:t>W</w:t>
      </w:r>
      <w:r w:rsidR="00550F46">
        <w:t>hile gains have been made, PNG continues to</w:t>
      </w:r>
      <w:r w:rsidR="00550F46" w:rsidRPr="001274BE">
        <w:t xml:space="preserve"> face a range of ongoing governance challenges</w:t>
      </w:r>
      <w:r w:rsidR="00550F46">
        <w:rPr>
          <w:lang w:eastAsia="zh-CN"/>
        </w:rPr>
        <w:t xml:space="preserve">.  </w:t>
      </w:r>
      <w:r w:rsidR="00434A85">
        <w:rPr>
          <w:lang w:eastAsia="zh-CN"/>
        </w:rPr>
        <w:t>T</w:t>
      </w:r>
      <w:r w:rsidR="00434A85">
        <w:t xml:space="preserve">here have been improvements in program performance across </w:t>
      </w:r>
      <w:r w:rsidR="00550F46">
        <w:t xml:space="preserve">most </w:t>
      </w:r>
      <w:r w:rsidR="00434A85">
        <w:t>individual investments within the governance portfolio</w:t>
      </w:r>
      <w:r w:rsidR="009547D4">
        <w:t>, however these have not been sufficient to lift the overall rating for this objective</w:t>
      </w:r>
      <w:r w:rsidR="00C40BE1">
        <w:t xml:space="preserve">. </w:t>
      </w:r>
    </w:p>
    <w:p w:rsidR="001D510A" w:rsidRPr="001E45EE" w:rsidRDefault="008852A6" w:rsidP="00994EC7">
      <w:pPr>
        <w:pStyle w:val="BodyText"/>
        <w:spacing w:after="120" w:line="276" w:lineRule="auto"/>
      </w:pPr>
      <w:r w:rsidRPr="00A96A16">
        <w:rPr>
          <w:lang w:eastAsia="zh-CN"/>
        </w:rPr>
        <w:lastRenderedPageBreak/>
        <w:t>Improved governance will increase PNG’s stability and prosperity, which is in Australia's national interest</w:t>
      </w:r>
      <w:r>
        <w:rPr>
          <w:lang w:eastAsia="zh-CN"/>
        </w:rPr>
        <w:t xml:space="preserve">, however this remains a difficult and a long term challenge.  </w:t>
      </w:r>
      <w:r w:rsidR="00434A85" w:rsidRPr="00F10289">
        <w:rPr>
          <w:lang w:eastAsia="zh-CN"/>
        </w:rPr>
        <w:t xml:space="preserve">Australia’s governance programs contribute to </w:t>
      </w:r>
      <w:r w:rsidR="00434A85">
        <w:rPr>
          <w:lang w:eastAsia="zh-CN"/>
        </w:rPr>
        <w:t xml:space="preserve">joint </w:t>
      </w:r>
      <w:r w:rsidR="00434A85" w:rsidRPr="00F10289">
        <w:rPr>
          <w:lang w:eastAsia="zh-CN"/>
        </w:rPr>
        <w:t>priorities set out in the Partnership for Development</w:t>
      </w:r>
      <w:r w:rsidR="00434A85">
        <w:rPr>
          <w:lang w:eastAsia="zh-CN"/>
        </w:rPr>
        <w:t xml:space="preserve">, </w:t>
      </w:r>
      <w:r w:rsidR="00434A85" w:rsidRPr="00F10289">
        <w:rPr>
          <w:lang w:eastAsia="zh-CN"/>
        </w:rPr>
        <w:t>which are aimed at supporting and building demand for effective governance</w:t>
      </w:r>
      <w:r w:rsidR="00434A85">
        <w:rPr>
          <w:lang w:eastAsia="zh-CN"/>
        </w:rPr>
        <w:t xml:space="preserve">. </w:t>
      </w:r>
      <w:r w:rsidR="001E4ADB">
        <w:rPr>
          <w:lang w:eastAsia="zh-CN"/>
        </w:rPr>
        <w:t xml:space="preserve"> </w:t>
      </w:r>
      <w:r w:rsidR="001E4ADB" w:rsidRPr="00AD6E61">
        <w:rPr>
          <w:szCs w:val="21"/>
        </w:rPr>
        <w:t xml:space="preserve">The scope of Australia’s objective for improved governance includes macroeconomic stability; professionalisation of the PNG public service; improved public financial management; decentralised public administration; </w:t>
      </w:r>
      <w:r w:rsidR="001E4ADB" w:rsidRPr="001E45EE">
        <w:t>democratic elections; even greater private sector development; and service delivery through churches and civil society.</w:t>
      </w:r>
    </w:p>
    <w:p w:rsidR="00434A85" w:rsidRPr="00994EC7" w:rsidRDefault="00C37E40" w:rsidP="00994EC7">
      <w:pPr>
        <w:pStyle w:val="Heading4"/>
        <w:spacing w:after="240"/>
      </w:pPr>
      <w:r w:rsidRPr="00994EC7">
        <w:br/>
      </w:r>
      <w:r w:rsidR="00434A85" w:rsidRPr="00994EC7">
        <w:t>Australia’s contribution</w:t>
      </w:r>
    </w:p>
    <w:p w:rsidR="00434A85" w:rsidRPr="00AD6E61" w:rsidRDefault="00434A85" w:rsidP="00994EC7">
      <w:pPr>
        <w:pStyle w:val="BodyText"/>
        <w:spacing w:after="240"/>
        <w:rPr>
          <w:lang w:eastAsia="zh-CN"/>
        </w:rPr>
      </w:pPr>
      <w:r w:rsidRPr="00AD6E61">
        <w:rPr>
          <w:lang w:eastAsia="zh-CN"/>
        </w:rPr>
        <w:t xml:space="preserve">During 2014-15, Australia’s support for </w:t>
      </w:r>
      <w:r w:rsidR="00616677">
        <w:rPr>
          <w:lang w:eastAsia="zh-CN"/>
        </w:rPr>
        <w:t>strengthened</w:t>
      </w:r>
      <w:r w:rsidR="00616677" w:rsidRPr="00AD6E61">
        <w:rPr>
          <w:lang w:eastAsia="zh-CN"/>
        </w:rPr>
        <w:t xml:space="preserve"> </w:t>
      </w:r>
      <w:r w:rsidRPr="00AD6E61">
        <w:rPr>
          <w:lang w:eastAsia="zh-CN"/>
        </w:rPr>
        <w:t>governance in PNG (totalling approximately $</w:t>
      </w:r>
      <w:r w:rsidR="00C041C0" w:rsidRPr="001B4D14">
        <w:rPr>
          <w:lang w:eastAsia="zh-CN"/>
        </w:rPr>
        <w:t xml:space="preserve">112 </w:t>
      </w:r>
      <w:r w:rsidRPr="001B4D14">
        <w:rPr>
          <w:lang w:eastAsia="zh-CN"/>
        </w:rPr>
        <w:t>million</w:t>
      </w:r>
      <w:r w:rsidRPr="00AD6E61">
        <w:rPr>
          <w:lang w:eastAsia="zh-CN"/>
        </w:rPr>
        <w:t>) was delivered through the following initiatives:</w:t>
      </w:r>
    </w:p>
    <w:p w:rsidR="00434A85" w:rsidRPr="00AD6E61" w:rsidRDefault="00434A85" w:rsidP="00994EC7">
      <w:pPr>
        <w:pStyle w:val="BodyText"/>
        <w:numPr>
          <w:ilvl w:val="0"/>
          <w:numId w:val="50"/>
        </w:numPr>
        <w:spacing w:after="0" w:line="240" w:lineRule="auto"/>
        <w:ind w:right="1656"/>
        <w:contextualSpacing/>
      </w:pPr>
      <w:r w:rsidRPr="00AD6E61">
        <w:t>Strongim Gavman Program (SGP)</w:t>
      </w:r>
      <w:r w:rsidR="006642C9">
        <w:rPr>
          <w:rStyle w:val="FootnoteReference"/>
        </w:rPr>
        <w:footnoteReference w:id="3"/>
      </w:r>
      <w:r w:rsidRPr="00AD6E61">
        <w:t xml:space="preserve"> </w:t>
      </w:r>
    </w:p>
    <w:p w:rsidR="00434A85" w:rsidRPr="00AD6E61" w:rsidRDefault="00434A85" w:rsidP="00994EC7">
      <w:pPr>
        <w:pStyle w:val="BodyText"/>
        <w:numPr>
          <w:ilvl w:val="0"/>
          <w:numId w:val="50"/>
        </w:numPr>
        <w:spacing w:after="0" w:line="240" w:lineRule="auto"/>
        <w:contextualSpacing/>
      </w:pPr>
      <w:r w:rsidRPr="00AD6E61">
        <w:t xml:space="preserve">Economic Public Sector Program (EPSP) </w:t>
      </w:r>
    </w:p>
    <w:p w:rsidR="00434A85" w:rsidRPr="00AD6E61" w:rsidRDefault="00434A85" w:rsidP="00994EC7">
      <w:pPr>
        <w:pStyle w:val="BodyText"/>
        <w:numPr>
          <w:ilvl w:val="0"/>
          <w:numId w:val="50"/>
        </w:numPr>
        <w:spacing w:after="0" w:line="240" w:lineRule="auto"/>
        <w:contextualSpacing/>
      </w:pPr>
      <w:r w:rsidRPr="00AD6E61">
        <w:t xml:space="preserve">Provincial and Local Level Government Program (PLGP) </w:t>
      </w:r>
    </w:p>
    <w:p w:rsidR="00434A85" w:rsidRPr="00AD6E61" w:rsidRDefault="00434A85" w:rsidP="00994EC7">
      <w:pPr>
        <w:pStyle w:val="BodyText"/>
        <w:numPr>
          <w:ilvl w:val="0"/>
          <w:numId w:val="50"/>
        </w:numPr>
        <w:spacing w:after="0" w:line="240" w:lineRule="auto"/>
        <w:contextualSpacing/>
        <w:rPr>
          <w:lang w:eastAsia="zh-CN"/>
        </w:rPr>
      </w:pPr>
      <w:r w:rsidRPr="00AD6E61">
        <w:t xml:space="preserve">Electoral Support </w:t>
      </w:r>
      <w:r w:rsidRPr="00AD6E61">
        <w:rPr>
          <w:lang w:eastAsia="zh-CN"/>
        </w:rPr>
        <w:t xml:space="preserve">Program (ESP) </w:t>
      </w:r>
    </w:p>
    <w:p w:rsidR="00434A85" w:rsidRPr="00AD6E61" w:rsidRDefault="00434A85" w:rsidP="00994EC7">
      <w:pPr>
        <w:pStyle w:val="BodyText"/>
        <w:numPr>
          <w:ilvl w:val="0"/>
          <w:numId w:val="50"/>
        </w:numPr>
        <w:spacing w:after="0" w:line="240" w:lineRule="auto"/>
        <w:contextualSpacing/>
        <w:rPr>
          <w:lang w:eastAsia="zh-CN"/>
        </w:rPr>
      </w:pPr>
      <w:r w:rsidRPr="00AD6E61">
        <w:rPr>
          <w:lang w:eastAsia="zh-CN"/>
        </w:rPr>
        <w:t xml:space="preserve">Strongim Pipol Strongim Nesen (SPSN) </w:t>
      </w:r>
    </w:p>
    <w:p w:rsidR="00434A85" w:rsidRPr="00AD6E61" w:rsidRDefault="00434A85" w:rsidP="00994EC7">
      <w:pPr>
        <w:pStyle w:val="BodyText"/>
        <w:numPr>
          <w:ilvl w:val="0"/>
          <w:numId w:val="50"/>
        </w:numPr>
        <w:spacing w:after="0" w:line="240" w:lineRule="auto"/>
        <w:contextualSpacing/>
      </w:pPr>
      <w:r w:rsidRPr="00AD6E61">
        <w:rPr>
          <w:lang w:eastAsia="zh-CN"/>
        </w:rPr>
        <w:t xml:space="preserve">Church Partnerships Program (CPP) </w:t>
      </w:r>
    </w:p>
    <w:p w:rsidR="00550F46" w:rsidRDefault="00C40BE1" w:rsidP="00994EC7">
      <w:pPr>
        <w:pStyle w:val="BodyText"/>
        <w:numPr>
          <w:ilvl w:val="0"/>
          <w:numId w:val="50"/>
        </w:numPr>
        <w:spacing w:after="0" w:line="240" w:lineRule="auto"/>
        <w:contextualSpacing/>
      </w:pPr>
      <w:r>
        <w:rPr>
          <w:lang w:eastAsia="zh-CN"/>
        </w:rPr>
        <w:t xml:space="preserve">The </w:t>
      </w:r>
      <w:r w:rsidR="00550F46">
        <w:rPr>
          <w:lang w:eastAsia="zh-CN"/>
        </w:rPr>
        <w:t>Kokoda</w:t>
      </w:r>
      <w:r>
        <w:rPr>
          <w:lang w:eastAsia="zh-CN"/>
        </w:rPr>
        <w:t xml:space="preserve"> Initiative</w:t>
      </w:r>
    </w:p>
    <w:p w:rsidR="00550F46" w:rsidRDefault="00FD61F8" w:rsidP="00994EC7">
      <w:pPr>
        <w:pStyle w:val="BodyText"/>
        <w:numPr>
          <w:ilvl w:val="0"/>
          <w:numId w:val="50"/>
        </w:numPr>
        <w:spacing w:after="0" w:line="240" w:lineRule="auto"/>
        <w:contextualSpacing/>
      </w:pPr>
      <w:r>
        <w:t xml:space="preserve">The </w:t>
      </w:r>
      <w:r w:rsidR="00550F46" w:rsidRPr="002A412F">
        <w:t xml:space="preserve">Pacific Leadership </w:t>
      </w:r>
      <w:r w:rsidR="00AE561D">
        <w:t>and</w:t>
      </w:r>
      <w:r w:rsidR="00550F46" w:rsidRPr="002A412F">
        <w:t xml:space="preserve"> Governance Precinct</w:t>
      </w:r>
      <w:r>
        <w:t xml:space="preserve"> </w:t>
      </w:r>
    </w:p>
    <w:p w:rsidR="005B57AE" w:rsidRDefault="00434A85" w:rsidP="00994EC7">
      <w:pPr>
        <w:pStyle w:val="BodyText"/>
        <w:spacing w:after="120" w:line="276" w:lineRule="auto"/>
      </w:pPr>
      <w:r>
        <w:rPr>
          <w:lang w:eastAsia="zh-CN"/>
        </w:rPr>
        <w:br/>
      </w:r>
      <w:r w:rsidR="002A304A" w:rsidRPr="001635EB">
        <w:t xml:space="preserve">Through budget and fiscal policy advice </w:t>
      </w:r>
      <w:r w:rsidR="00616677">
        <w:t xml:space="preserve">delivered </w:t>
      </w:r>
      <w:r w:rsidR="002A304A" w:rsidRPr="00616677">
        <w:t>through SGP</w:t>
      </w:r>
      <w:r w:rsidR="005404E2">
        <w:t xml:space="preserve"> (by the Department of Finance and the Treasury)</w:t>
      </w:r>
      <w:r w:rsidR="002A304A" w:rsidRPr="00616677">
        <w:t xml:space="preserve"> and EPSP,</w:t>
      </w:r>
      <w:r w:rsidR="002A304A" w:rsidRPr="001635EB">
        <w:t xml:space="preserve"> Australia has supported </w:t>
      </w:r>
      <w:r w:rsidR="00FD61F8">
        <w:t xml:space="preserve">the </w:t>
      </w:r>
      <w:r w:rsidR="002A304A" w:rsidRPr="001635EB">
        <w:t>Government of PNG</w:t>
      </w:r>
      <w:r w:rsidR="00FD61F8">
        <w:t>’s</w:t>
      </w:r>
      <w:r w:rsidR="002A304A" w:rsidRPr="001635EB">
        <w:t xml:space="preserve"> efforts to manage the economy for macroeconomic stability</w:t>
      </w:r>
      <w:r w:rsidR="004A3443" w:rsidRPr="00616677">
        <w:t>.  Support</w:t>
      </w:r>
      <w:r w:rsidR="004A3443">
        <w:t xml:space="preserve"> provided through both of these programs contributed to </w:t>
      </w:r>
      <w:r w:rsidR="00AE78D6">
        <w:t xml:space="preserve">the </w:t>
      </w:r>
      <w:r w:rsidR="004E19A2">
        <w:t xml:space="preserve">PNG Tax Review (with new revenue policies expected to be introduced as part of the 2016 Budget), </w:t>
      </w:r>
      <w:r w:rsidR="004A3443">
        <w:t>improved revenue collection practices, financial management processes</w:t>
      </w:r>
      <w:r w:rsidR="00672FEF">
        <w:t xml:space="preserve"> (including the integration of the operational and capital budgets)</w:t>
      </w:r>
      <w:r w:rsidR="004A3443">
        <w:t xml:space="preserve">, auditing </w:t>
      </w:r>
      <w:r w:rsidR="004A3443" w:rsidRPr="00994EC7">
        <w:t xml:space="preserve">and the passing of legislation to underpin a PNG </w:t>
      </w:r>
      <w:r w:rsidR="000A2AAB" w:rsidRPr="00994EC7">
        <w:t>S</w:t>
      </w:r>
      <w:r w:rsidR="004A3443" w:rsidRPr="00994EC7">
        <w:t xml:space="preserve">overeign </w:t>
      </w:r>
      <w:r w:rsidR="000A2AAB" w:rsidRPr="00994EC7">
        <w:t>W</w:t>
      </w:r>
      <w:r w:rsidR="004A3443" w:rsidRPr="00994EC7">
        <w:t xml:space="preserve">ealth </w:t>
      </w:r>
      <w:r w:rsidR="000A2AAB" w:rsidRPr="00994EC7">
        <w:t>F</w:t>
      </w:r>
      <w:r w:rsidR="004A3443" w:rsidRPr="00994EC7">
        <w:t>und</w:t>
      </w:r>
      <w:r w:rsidR="004E19A2" w:rsidRPr="00994EC7">
        <w:t>, the Kumul consolidation of state assets</w:t>
      </w:r>
      <w:r w:rsidR="004A3443" w:rsidRPr="00994EC7">
        <w:t xml:space="preserve"> and a </w:t>
      </w:r>
      <w:r w:rsidR="00FD61F8" w:rsidRPr="00994EC7">
        <w:t>Public-</w:t>
      </w:r>
      <w:r w:rsidR="004A3443" w:rsidRPr="00994EC7">
        <w:t xml:space="preserve">Private Partnership Act. </w:t>
      </w:r>
      <w:r w:rsidR="00725CD1" w:rsidRPr="00994EC7">
        <w:t xml:space="preserve"> </w:t>
      </w:r>
      <w:r w:rsidR="004A3443" w:rsidRPr="00994EC7">
        <w:t>Support for border management, through customs and immigration assistance</w:t>
      </w:r>
      <w:r w:rsidR="00C041C0" w:rsidRPr="00994EC7">
        <w:t>,</w:t>
      </w:r>
      <w:r w:rsidR="004A3443" w:rsidRPr="00994EC7">
        <w:t xml:space="preserve"> has also improved the capability and effectiveness of PNG border services. Support through the Provincial and Local Level Government Program has contributed to </w:t>
      </w:r>
      <w:r w:rsidR="00616677" w:rsidRPr="00994EC7">
        <w:t xml:space="preserve">stronger </w:t>
      </w:r>
      <w:r w:rsidR="004A3443" w:rsidRPr="00994EC7">
        <w:t>national monitoring and coordination of sub-national governments</w:t>
      </w:r>
      <w:r w:rsidR="005B57AE" w:rsidRPr="00994EC7">
        <w:t>.</w:t>
      </w:r>
    </w:p>
    <w:p w:rsidR="00CD7911" w:rsidRPr="00994EC7" w:rsidRDefault="00434A85" w:rsidP="00994EC7">
      <w:pPr>
        <w:pStyle w:val="BodyText"/>
        <w:spacing w:after="120" w:line="276" w:lineRule="auto"/>
      </w:pPr>
      <w:r w:rsidRPr="00994EC7">
        <w:t xml:space="preserve">The Pacific Leadership and Governance Precinct was established </w:t>
      </w:r>
      <w:r w:rsidR="00AE78D6" w:rsidRPr="00994EC7">
        <w:t>in</w:t>
      </w:r>
      <w:r w:rsidRPr="00994EC7">
        <w:t xml:space="preserve"> December 2014. </w:t>
      </w:r>
      <w:r w:rsidR="007C43E9" w:rsidRPr="00994EC7">
        <w:t xml:space="preserve"> </w:t>
      </w:r>
      <w:r w:rsidR="0052404D" w:rsidRPr="00994EC7">
        <w:br/>
      </w:r>
      <w:r w:rsidRPr="00994EC7">
        <w:t xml:space="preserve">The Precinct is providing public sector education and training through the University of PNG and the Institute of Public Administration to develop the next generation of ethical leaders in PNG. </w:t>
      </w:r>
      <w:r w:rsidR="007C43E9" w:rsidRPr="00994EC7">
        <w:t xml:space="preserve"> </w:t>
      </w:r>
      <w:r w:rsidRPr="00994EC7">
        <w:t xml:space="preserve">Within the reporting period, </w:t>
      </w:r>
      <w:r w:rsidR="00CA4D91" w:rsidRPr="00994EC7">
        <w:t>12</w:t>
      </w:r>
      <w:r w:rsidR="0021064E" w:rsidRPr="00994EC7">
        <w:t>5</w:t>
      </w:r>
      <w:r w:rsidR="00CA4D91" w:rsidRPr="00994EC7">
        <w:t xml:space="preserve"> </w:t>
      </w:r>
      <w:r w:rsidRPr="00994EC7">
        <w:t xml:space="preserve">UPNG School of Business Administration students </w:t>
      </w:r>
      <w:r w:rsidR="00FE4CA9" w:rsidRPr="00994EC7">
        <w:t>(</w:t>
      </w:r>
      <w:r w:rsidR="0021064E" w:rsidRPr="00994EC7">
        <w:t xml:space="preserve">44 </w:t>
      </w:r>
      <w:r w:rsidR="00CA4D91" w:rsidRPr="00994EC7">
        <w:t xml:space="preserve">females) </w:t>
      </w:r>
      <w:r w:rsidR="00542132" w:rsidRPr="00994EC7">
        <w:t>participated in</w:t>
      </w:r>
      <w:r w:rsidRPr="00994EC7">
        <w:t xml:space="preserve"> courses led by a visiting Australian National University lecturer; 96 PNG public servants </w:t>
      </w:r>
      <w:r w:rsidR="00CA4D91" w:rsidRPr="00994EC7">
        <w:t>(</w:t>
      </w:r>
      <w:r w:rsidR="0021064E" w:rsidRPr="00994EC7">
        <w:t>26</w:t>
      </w:r>
      <w:r w:rsidR="00CA4D91" w:rsidRPr="00994EC7">
        <w:t xml:space="preserve"> females) </w:t>
      </w:r>
      <w:r w:rsidRPr="00994EC7">
        <w:t xml:space="preserve">received Australian-certified diploma level training in </w:t>
      </w:r>
      <w:r w:rsidR="00FD61F8" w:rsidRPr="00994EC7">
        <w:t xml:space="preserve">accounting </w:t>
      </w:r>
      <w:r w:rsidRPr="00994EC7">
        <w:t xml:space="preserve">and </w:t>
      </w:r>
      <w:r w:rsidR="00FD61F8" w:rsidRPr="00994EC7">
        <w:t xml:space="preserve">public administration </w:t>
      </w:r>
      <w:r w:rsidRPr="00994EC7">
        <w:t xml:space="preserve">through the IPA, in partnership with the Australia Public Service </w:t>
      </w:r>
      <w:r w:rsidRPr="00994EC7">
        <w:lastRenderedPageBreak/>
        <w:t>Commission (APSC</w:t>
      </w:r>
      <w:r w:rsidR="00FE4CA9" w:rsidRPr="00994EC7">
        <w:t>).</w:t>
      </w:r>
      <w:r w:rsidR="009C12A3" w:rsidRPr="00994EC7">
        <w:t xml:space="preserve"> </w:t>
      </w:r>
      <w:r w:rsidR="00FE4CA9" w:rsidRPr="00994EC7">
        <w:t xml:space="preserve"> In total, over </w:t>
      </w:r>
      <w:r w:rsidRPr="00994EC7">
        <w:t xml:space="preserve">300 public and private sector professionals </w:t>
      </w:r>
      <w:r w:rsidR="00CA4D91" w:rsidRPr="00994EC7">
        <w:t>(</w:t>
      </w:r>
      <w:r w:rsidR="0021064E" w:rsidRPr="00994EC7">
        <w:t>43</w:t>
      </w:r>
      <w:r w:rsidR="00682DF0" w:rsidRPr="00994EC7">
        <w:t xml:space="preserve"> per cent </w:t>
      </w:r>
      <w:r w:rsidR="00CA4D91" w:rsidRPr="00994EC7">
        <w:t xml:space="preserve">female) </w:t>
      </w:r>
      <w:r w:rsidRPr="00994EC7">
        <w:t xml:space="preserve">have engaged in innovative short learning experiences. </w:t>
      </w:r>
      <w:r w:rsidR="007C43E9" w:rsidRPr="00994EC7">
        <w:t xml:space="preserve"> </w:t>
      </w:r>
      <w:r w:rsidRPr="00994EC7">
        <w:t>The University of Queensland and Australia-New Zealand School of Government (ANZSOG) have led discussion</w:t>
      </w:r>
      <w:r w:rsidR="00AE78D6" w:rsidRPr="00994EC7">
        <w:t>s</w:t>
      </w:r>
      <w:r w:rsidRPr="00994EC7">
        <w:t xml:space="preserve"> around leadership, business ethics, corruption and other issues relevant to PNG’s leaders.</w:t>
      </w:r>
      <w:r w:rsidR="007C43E9" w:rsidRPr="00994EC7">
        <w:t xml:space="preserve"> </w:t>
      </w:r>
      <w:r w:rsidRPr="005B57AE">
        <w:t xml:space="preserve"> </w:t>
      </w:r>
    </w:p>
    <w:p w:rsidR="00434A85" w:rsidRPr="00A43278" w:rsidRDefault="00434A85" w:rsidP="00994EC7">
      <w:pPr>
        <w:pStyle w:val="BodyText"/>
        <w:spacing w:line="276" w:lineRule="auto"/>
        <w:rPr>
          <w:szCs w:val="21"/>
        </w:rPr>
      </w:pPr>
      <w:r w:rsidRPr="00994EC7">
        <w:t xml:space="preserve">Australian electoral support to PNG was delivered by the Australian Electoral Commission (AEC) under a new phase of its partnership with the PNG Electoral Commission. </w:t>
      </w:r>
      <w:r w:rsidR="007C43E9" w:rsidRPr="00994EC7">
        <w:t xml:space="preserve"> </w:t>
      </w:r>
      <w:r w:rsidRPr="00994EC7">
        <w:t>The focus in 2014 was on improving PNGEC’s approach to updating the el</w:t>
      </w:r>
      <w:r w:rsidR="007C43E9" w:rsidRPr="00994EC7">
        <w:t xml:space="preserve">ectoral roll and included five </w:t>
      </w:r>
      <w:r w:rsidRPr="00994EC7">
        <w:t xml:space="preserve">electoral role update pilots across PNG. </w:t>
      </w:r>
      <w:r w:rsidR="007C43E9" w:rsidRPr="00994EC7">
        <w:t xml:space="preserve"> </w:t>
      </w:r>
      <w:r w:rsidRPr="00994EC7">
        <w:t xml:space="preserve">While the quality of the delivery of the pilots was mixed, they </w:t>
      </w:r>
      <w:r w:rsidR="00AE78D6" w:rsidRPr="00994EC7">
        <w:t xml:space="preserve">have </w:t>
      </w:r>
      <w:r w:rsidRPr="00994EC7">
        <w:t>supported preparations for PNG</w:t>
      </w:r>
      <w:r w:rsidR="00C041C0" w:rsidRPr="00994EC7">
        <w:t>’</w:t>
      </w:r>
      <w:r w:rsidRPr="00994EC7">
        <w:t>s next general</w:t>
      </w:r>
      <w:r w:rsidRPr="00A43278">
        <w:rPr>
          <w:szCs w:val="21"/>
        </w:rPr>
        <w:t xml:space="preserve"> election in 2017. </w:t>
      </w:r>
    </w:p>
    <w:p w:rsidR="00434A85" w:rsidRPr="00A43278" w:rsidRDefault="001D510A" w:rsidP="00994EC7">
      <w:pPr>
        <w:pStyle w:val="BodyText"/>
        <w:spacing w:line="276" w:lineRule="auto"/>
        <w:rPr>
          <w:szCs w:val="21"/>
        </w:rPr>
      </w:pPr>
      <w:r>
        <w:rPr>
          <w:szCs w:val="21"/>
        </w:rPr>
        <w:t>K</w:t>
      </w:r>
      <w:r w:rsidR="00434A85" w:rsidRPr="00A06A96">
        <w:rPr>
          <w:szCs w:val="21"/>
        </w:rPr>
        <w:t xml:space="preserve">ey PNG civil society organisations </w:t>
      </w:r>
      <w:r>
        <w:rPr>
          <w:szCs w:val="21"/>
        </w:rPr>
        <w:t>received support to promote</w:t>
      </w:r>
      <w:r w:rsidR="00434A85" w:rsidRPr="00A06A96">
        <w:rPr>
          <w:szCs w:val="21"/>
        </w:rPr>
        <w:t xml:space="preserve"> greater government accountability</w:t>
      </w:r>
      <w:r w:rsidR="003C3CA9">
        <w:rPr>
          <w:szCs w:val="21"/>
        </w:rPr>
        <w:t xml:space="preserve"> and community resilience</w:t>
      </w:r>
      <w:r w:rsidR="00D129B4">
        <w:rPr>
          <w:szCs w:val="21"/>
        </w:rPr>
        <w:t>, including t</w:t>
      </w:r>
      <w:r w:rsidR="00434A85" w:rsidRPr="00A06A96">
        <w:rPr>
          <w:szCs w:val="21"/>
        </w:rPr>
        <w:t>he Consultative Implementation and Monitoring Council; Transparency International PNG</w:t>
      </w:r>
      <w:r w:rsidR="009D4660">
        <w:rPr>
          <w:szCs w:val="21"/>
        </w:rPr>
        <w:t xml:space="preserve"> (TIPNG)</w:t>
      </w:r>
      <w:r w:rsidR="00434A85" w:rsidRPr="00A06A96">
        <w:rPr>
          <w:szCs w:val="21"/>
        </w:rPr>
        <w:t xml:space="preserve">; the Media for Development Initiative; City Mission PNG; Callan Services and Eastern Highlands Family Voice. </w:t>
      </w:r>
      <w:r w:rsidR="009C12A3">
        <w:rPr>
          <w:szCs w:val="21"/>
        </w:rPr>
        <w:t xml:space="preserve"> </w:t>
      </w:r>
      <w:r w:rsidR="009D4660" w:rsidRPr="009D4660">
        <w:rPr>
          <w:szCs w:val="21"/>
        </w:rPr>
        <w:t xml:space="preserve">TIPNG trained 9,106 young people (8,412 female) </w:t>
      </w:r>
      <w:r w:rsidR="003B76AD">
        <w:rPr>
          <w:szCs w:val="21"/>
        </w:rPr>
        <w:t>in</w:t>
      </w:r>
      <w:r w:rsidR="009D4660" w:rsidRPr="009D4660">
        <w:rPr>
          <w:szCs w:val="21"/>
        </w:rPr>
        <w:t xml:space="preserve"> rights/ leadership and good governance through the Open Parliament project and the Mike Manning Youth Against Corruption Camp. </w:t>
      </w:r>
      <w:r w:rsidR="00CD7911" w:rsidRPr="00A43278">
        <w:rPr>
          <w:szCs w:val="21"/>
        </w:rPr>
        <w:t>Australia supported the mainstream churches to develop a ‘theology of gender’ with a view to helping the church community improve women’s influence and participation.</w:t>
      </w:r>
    </w:p>
    <w:p w:rsidR="00434A85" w:rsidRPr="00A43278" w:rsidRDefault="007C43E9" w:rsidP="00994EC7">
      <w:pPr>
        <w:pStyle w:val="BodyText"/>
        <w:spacing w:line="276" w:lineRule="auto"/>
        <w:rPr>
          <w:szCs w:val="21"/>
        </w:rPr>
      </w:pPr>
      <w:r>
        <w:rPr>
          <w:szCs w:val="21"/>
        </w:rPr>
        <w:t>On</w:t>
      </w:r>
      <w:r w:rsidR="00434A85" w:rsidRPr="00AD6E61">
        <w:rPr>
          <w:szCs w:val="21"/>
        </w:rPr>
        <w:t xml:space="preserve"> Manus Island, Australia provided grants for youth and sport initiatives, enabling the Manus Games, which comprised 1</w:t>
      </w:r>
      <w:r w:rsidR="009C12A3">
        <w:rPr>
          <w:szCs w:val="21"/>
        </w:rPr>
        <w:t>,</w:t>
      </w:r>
      <w:r w:rsidR="00434A85" w:rsidRPr="00AD6E61">
        <w:rPr>
          <w:szCs w:val="21"/>
        </w:rPr>
        <w:t>800 participants.  Australia entered</w:t>
      </w:r>
      <w:r w:rsidR="0057403A">
        <w:rPr>
          <w:szCs w:val="21"/>
        </w:rPr>
        <w:t xml:space="preserve"> into</w:t>
      </w:r>
      <w:r w:rsidR="00434A85" w:rsidRPr="00AD6E61">
        <w:rPr>
          <w:szCs w:val="21"/>
        </w:rPr>
        <w:t xml:space="preserve"> a partnership with the Reef and R</w:t>
      </w:r>
      <w:r>
        <w:rPr>
          <w:szCs w:val="21"/>
        </w:rPr>
        <w:t>ainforest Research Centre</w:t>
      </w:r>
      <w:r w:rsidR="00434A85" w:rsidRPr="00AD6E61">
        <w:rPr>
          <w:szCs w:val="21"/>
        </w:rPr>
        <w:t xml:space="preserve"> to improve the resilience of the Central and Eastern villages in South Fly District</w:t>
      </w:r>
      <w:r w:rsidR="0057403A">
        <w:rPr>
          <w:szCs w:val="21"/>
        </w:rPr>
        <w:t xml:space="preserve"> in Western Province.</w:t>
      </w:r>
    </w:p>
    <w:p w:rsidR="00434A85" w:rsidRPr="00A43278" w:rsidRDefault="00434A85" w:rsidP="00994EC7">
      <w:pPr>
        <w:pStyle w:val="BodyText"/>
        <w:spacing w:line="276" w:lineRule="auto"/>
        <w:rPr>
          <w:szCs w:val="21"/>
        </w:rPr>
      </w:pPr>
      <w:r w:rsidRPr="00AD6E61">
        <w:rPr>
          <w:szCs w:val="21"/>
        </w:rPr>
        <w:t xml:space="preserve">The Australian Government, through the </w:t>
      </w:r>
      <w:r w:rsidR="004A3443">
        <w:rPr>
          <w:szCs w:val="21"/>
        </w:rPr>
        <w:t>EPSP</w:t>
      </w:r>
      <w:r w:rsidRPr="00AD6E61">
        <w:rPr>
          <w:szCs w:val="21"/>
        </w:rPr>
        <w:t xml:space="preserve">, continues to support the roll-out of PNG’s Gender and Social Inclusion Policy (GESI). </w:t>
      </w:r>
      <w:r w:rsidR="007C43E9">
        <w:rPr>
          <w:szCs w:val="21"/>
        </w:rPr>
        <w:t xml:space="preserve"> </w:t>
      </w:r>
      <w:r w:rsidRPr="00AD6E61">
        <w:rPr>
          <w:szCs w:val="21"/>
        </w:rPr>
        <w:t>This has yielded significant results</w:t>
      </w:r>
      <w:r w:rsidR="00D129B4">
        <w:rPr>
          <w:szCs w:val="21"/>
        </w:rPr>
        <w:t xml:space="preserve"> such as</w:t>
      </w:r>
      <w:r w:rsidRPr="00AD6E61">
        <w:rPr>
          <w:szCs w:val="21"/>
        </w:rPr>
        <w:t xml:space="preserve"> the policy being included in the new Public Service Management Act in 2014</w:t>
      </w:r>
      <w:r w:rsidR="00CD7911">
        <w:rPr>
          <w:szCs w:val="21"/>
        </w:rPr>
        <w:t xml:space="preserve">; </w:t>
      </w:r>
      <w:r w:rsidR="00AE78D6">
        <w:rPr>
          <w:szCs w:val="21"/>
        </w:rPr>
        <w:t xml:space="preserve">setting of </w:t>
      </w:r>
      <w:r w:rsidR="00CD7911">
        <w:rPr>
          <w:szCs w:val="21"/>
        </w:rPr>
        <w:t>targets to improve the numbers of women in leadership in the public service (30</w:t>
      </w:r>
      <w:r w:rsidR="00682DF0">
        <w:rPr>
          <w:szCs w:val="21"/>
        </w:rPr>
        <w:t xml:space="preserve"> per cent</w:t>
      </w:r>
      <w:r w:rsidR="00CD7911">
        <w:rPr>
          <w:szCs w:val="21"/>
        </w:rPr>
        <w:t xml:space="preserve">); and release of departmental budgets linked to </w:t>
      </w:r>
      <w:r w:rsidR="0019273D">
        <w:rPr>
          <w:szCs w:val="21"/>
        </w:rPr>
        <w:t xml:space="preserve">the </w:t>
      </w:r>
      <w:r w:rsidR="00CD7911">
        <w:rPr>
          <w:szCs w:val="21"/>
        </w:rPr>
        <w:t>establishment of GESI desks to support women at work.</w:t>
      </w:r>
    </w:p>
    <w:p w:rsidR="00434A85" w:rsidRDefault="00434A85" w:rsidP="00994EC7">
      <w:pPr>
        <w:pStyle w:val="BodyText"/>
        <w:spacing w:line="276" w:lineRule="auto"/>
        <w:rPr>
          <w:szCs w:val="21"/>
        </w:rPr>
      </w:pPr>
      <w:r w:rsidRPr="00AD6E61">
        <w:rPr>
          <w:szCs w:val="21"/>
        </w:rPr>
        <w:t xml:space="preserve">Supported by the SPSN program, the new national disability policy </w:t>
      </w:r>
      <w:r w:rsidR="00E10E2E">
        <w:rPr>
          <w:szCs w:val="21"/>
        </w:rPr>
        <w:t xml:space="preserve">was launched in May 2015. </w:t>
      </w:r>
      <w:r w:rsidRPr="00AD6E61">
        <w:rPr>
          <w:szCs w:val="21"/>
        </w:rPr>
        <w:t>The new policy has included collaboration with the Pacific Islands Forum Secretariat and PNG’s Disability Working Group.</w:t>
      </w:r>
    </w:p>
    <w:p w:rsidR="003F59DC" w:rsidRPr="00A43278" w:rsidRDefault="00E819F2" w:rsidP="00994EC7">
      <w:pPr>
        <w:pStyle w:val="BodyText"/>
        <w:spacing w:line="276" w:lineRule="auto"/>
        <w:rPr>
          <w:szCs w:val="21"/>
        </w:rPr>
      </w:pPr>
      <w:r w:rsidRPr="00A43278">
        <w:rPr>
          <w:szCs w:val="21"/>
        </w:rPr>
        <w:t xml:space="preserve">The Kokoda initiative </w:t>
      </w:r>
      <w:r w:rsidR="004A3443" w:rsidRPr="00A43278">
        <w:rPr>
          <w:szCs w:val="21"/>
        </w:rPr>
        <w:t xml:space="preserve">remains a flagship element of our bilateral support. </w:t>
      </w:r>
      <w:r w:rsidR="00ED65FD" w:rsidRPr="00F36621">
        <w:rPr>
          <w:szCs w:val="21"/>
        </w:rPr>
        <w:t xml:space="preserve"> In 2014-15 the Kokoda Initiative continued to support the maintenance of the track, improve the quality of life for communities living and working along it, and help protect its natural and cultural resources. </w:t>
      </w:r>
    </w:p>
    <w:p w:rsidR="00434A85" w:rsidRPr="00A43278" w:rsidRDefault="00434A85" w:rsidP="00994EC7">
      <w:pPr>
        <w:pStyle w:val="BodyText"/>
        <w:spacing w:after="240" w:line="276" w:lineRule="auto"/>
        <w:rPr>
          <w:szCs w:val="21"/>
        </w:rPr>
      </w:pPr>
      <w:r w:rsidRPr="00A43278">
        <w:rPr>
          <w:szCs w:val="21"/>
        </w:rPr>
        <w:t xml:space="preserve">In May 2015, the PNG and Australian </w:t>
      </w:r>
      <w:r w:rsidR="00FC6FBB" w:rsidRPr="00A43278">
        <w:rPr>
          <w:szCs w:val="21"/>
        </w:rPr>
        <w:t>G</w:t>
      </w:r>
      <w:r w:rsidRPr="00A43278">
        <w:rPr>
          <w:szCs w:val="21"/>
        </w:rPr>
        <w:t xml:space="preserve">overnments agreed to support five provinces and districts to pilot the implementation of District Development Authorities (DDAs) through the </w:t>
      </w:r>
      <w:r w:rsidR="009C12A3">
        <w:rPr>
          <w:szCs w:val="21"/>
        </w:rPr>
        <w:t xml:space="preserve">PLGP. </w:t>
      </w:r>
      <w:r w:rsidR="003B76AD">
        <w:rPr>
          <w:szCs w:val="21"/>
        </w:rPr>
        <w:t xml:space="preserve"> </w:t>
      </w:r>
      <w:r w:rsidRPr="00A43278">
        <w:rPr>
          <w:szCs w:val="21"/>
        </w:rPr>
        <w:t xml:space="preserve">Six Australian funded advisers have been deployed to the five provinces and districts to assist with implementation. </w:t>
      </w:r>
      <w:r w:rsidR="007C43E9" w:rsidRPr="00A43278">
        <w:rPr>
          <w:szCs w:val="21"/>
        </w:rPr>
        <w:t xml:space="preserve"> </w:t>
      </w:r>
      <w:r w:rsidRPr="00A43278">
        <w:rPr>
          <w:szCs w:val="21"/>
        </w:rPr>
        <w:t xml:space="preserve">The pilots provide an important opportunity to test the DDA approach, inform implementation of DDAs across PNG and determine how Australia can support PNG into the future. </w:t>
      </w:r>
      <w:r w:rsidR="007C43E9" w:rsidRPr="00A43278">
        <w:rPr>
          <w:szCs w:val="21"/>
        </w:rPr>
        <w:t xml:space="preserve"> </w:t>
      </w:r>
      <w:r w:rsidRPr="00A43278">
        <w:rPr>
          <w:szCs w:val="21"/>
        </w:rPr>
        <w:t xml:space="preserve">At the national level, assistance continues to be provided to the National Economic and Fiscal Commission, who are a key element of the management and direction of public finances at the sub-national level. </w:t>
      </w:r>
    </w:p>
    <w:p w:rsidR="00434A85" w:rsidRPr="00A43278" w:rsidRDefault="00434A85" w:rsidP="00994EC7">
      <w:pPr>
        <w:pStyle w:val="Heading4"/>
      </w:pPr>
      <w:r w:rsidRPr="00A43278">
        <w:t xml:space="preserve">Key risks and challenges </w:t>
      </w:r>
      <w:r w:rsidR="00C37E40">
        <w:br/>
      </w:r>
    </w:p>
    <w:p w:rsidR="008F5173" w:rsidRPr="008F5173" w:rsidRDefault="00434A85" w:rsidP="00994EC7">
      <w:pPr>
        <w:pStyle w:val="BodyText"/>
        <w:spacing w:line="276" w:lineRule="auto"/>
        <w:rPr>
          <w:szCs w:val="21"/>
        </w:rPr>
      </w:pPr>
      <w:r w:rsidRPr="00A43278">
        <w:rPr>
          <w:szCs w:val="21"/>
        </w:rPr>
        <w:t>PNG continues to face a range of ongoing governance challenges, including poor accountability for public expenditure and service delivery outcomes</w:t>
      </w:r>
      <w:r w:rsidR="00C041C0">
        <w:rPr>
          <w:szCs w:val="21"/>
        </w:rPr>
        <w:t>,</w:t>
      </w:r>
      <w:r w:rsidRPr="00A43278">
        <w:rPr>
          <w:szCs w:val="21"/>
        </w:rPr>
        <w:t xml:space="preserve"> and a lack of service delivery</w:t>
      </w:r>
      <w:r w:rsidR="00542132" w:rsidRPr="00A43278">
        <w:rPr>
          <w:szCs w:val="21"/>
        </w:rPr>
        <w:t xml:space="preserve"> and revenue collection</w:t>
      </w:r>
      <w:r w:rsidRPr="00A43278">
        <w:rPr>
          <w:szCs w:val="21"/>
        </w:rPr>
        <w:t xml:space="preserve"> capacity.</w:t>
      </w:r>
      <w:r w:rsidR="00672FEF" w:rsidRPr="00A43278">
        <w:rPr>
          <w:szCs w:val="21"/>
        </w:rPr>
        <w:t xml:space="preserve"> </w:t>
      </w:r>
      <w:r w:rsidR="009C12A3">
        <w:rPr>
          <w:szCs w:val="21"/>
        </w:rPr>
        <w:t xml:space="preserve"> </w:t>
      </w:r>
      <w:r w:rsidR="00672FEF" w:rsidRPr="00A43278">
        <w:rPr>
          <w:szCs w:val="21"/>
        </w:rPr>
        <w:t xml:space="preserve">Despite Australia’s efforts and achievements in supporting public financial management reforms, PNG continues to face growing fiscal pressures. </w:t>
      </w:r>
      <w:r w:rsidR="009C12A3">
        <w:rPr>
          <w:szCs w:val="21"/>
        </w:rPr>
        <w:t xml:space="preserve"> </w:t>
      </w:r>
      <w:r w:rsidR="00672FEF" w:rsidRPr="00A43278">
        <w:rPr>
          <w:szCs w:val="21"/>
        </w:rPr>
        <w:t>This is mainly due to dropping commodity prices, and is reflected by growing budget deficits.</w:t>
      </w:r>
      <w:r w:rsidR="009C12A3">
        <w:rPr>
          <w:szCs w:val="21"/>
        </w:rPr>
        <w:t xml:space="preserve"> </w:t>
      </w:r>
      <w:r w:rsidR="00672FEF" w:rsidRPr="00A43278">
        <w:rPr>
          <w:szCs w:val="21"/>
        </w:rPr>
        <w:t xml:space="preserve"> PNG’s hosting of high-</w:t>
      </w:r>
      <w:r w:rsidR="00672FEF" w:rsidRPr="00A43278">
        <w:rPr>
          <w:szCs w:val="21"/>
        </w:rPr>
        <w:lastRenderedPageBreak/>
        <w:t>profile international events in the near future will provide a further barrier to reducing expenditure.</w:t>
      </w:r>
      <w:r w:rsidRPr="00A43278">
        <w:rPr>
          <w:szCs w:val="21"/>
        </w:rPr>
        <w:t xml:space="preserve"> </w:t>
      </w:r>
      <w:r w:rsidR="009C12A3">
        <w:rPr>
          <w:szCs w:val="21"/>
        </w:rPr>
        <w:t xml:space="preserve"> </w:t>
      </w:r>
      <w:r w:rsidRPr="00A43278">
        <w:rPr>
          <w:szCs w:val="21"/>
        </w:rPr>
        <w:t xml:space="preserve">The introduction of DDAs will continue to be complex and challenging. </w:t>
      </w:r>
      <w:r w:rsidR="007C43E9" w:rsidRPr="008F5173">
        <w:rPr>
          <w:szCs w:val="21"/>
        </w:rPr>
        <w:t xml:space="preserve"> </w:t>
      </w:r>
      <w:r w:rsidRPr="008F5173">
        <w:rPr>
          <w:szCs w:val="21"/>
        </w:rPr>
        <w:t>To implement this agenda effectively, PNG will need to grapple with capacity limitations at the district level and redefine the roles of the national, provincial and local governments to ensure that monies and resources are effectively distributed.</w:t>
      </w:r>
      <w:r w:rsidR="007C43E9" w:rsidRPr="008F5173">
        <w:rPr>
          <w:szCs w:val="21"/>
        </w:rPr>
        <w:t xml:space="preserve"> </w:t>
      </w:r>
      <w:r w:rsidRPr="008F5173">
        <w:rPr>
          <w:szCs w:val="21"/>
        </w:rPr>
        <w:t xml:space="preserve"> Throughout 2014-15 Australian assistance for the decentralised (sub-national) system of administration has been recalibrated to respond to these </w:t>
      </w:r>
      <w:r w:rsidR="007C43E9" w:rsidRPr="008F5173">
        <w:rPr>
          <w:szCs w:val="21"/>
        </w:rPr>
        <w:t>shifts;</w:t>
      </w:r>
      <w:r w:rsidRPr="008F5173">
        <w:rPr>
          <w:szCs w:val="21"/>
        </w:rPr>
        <w:t xml:space="preserve"> however this process will need to continue into 2015-16 and beyond.</w:t>
      </w:r>
    </w:p>
    <w:p w:rsidR="002F427A" w:rsidRPr="000C39F6" w:rsidRDefault="000C39F6" w:rsidP="00994EC7">
      <w:pPr>
        <w:pStyle w:val="Heading3"/>
      </w:pPr>
      <w:r>
        <w:br/>
      </w:r>
      <w:r w:rsidRPr="00A749B2">
        <w:t xml:space="preserve">Cross-cutting: </w:t>
      </w:r>
      <w:r>
        <w:t>Gender equality and women’s empowerment</w:t>
      </w:r>
      <w:r w:rsidRPr="00A749B2">
        <w:t xml:space="preserve"> </w:t>
      </w:r>
    </w:p>
    <w:p w:rsidR="002F427A" w:rsidRPr="00FD3093" w:rsidRDefault="00993093" w:rsidP="00994EC7">
      <w:pPr>
        <w:pStyle w:val="BodyText"/>
        <w:spacing w:line="276" w:lineRule="auto"/>
        <w:rPr>
          <w:lang w:eastAsia="zh-CN"/>
        </w:rPr>
      </w:pPr>
      <w:r>
        <w:rPr>
          <w:lang w:eastAsia="zh-CN"/>
        </w:rPr>
        <w:t>W</w:t>
      </w:r>
      <w:r w:rsidR="00434A85">
        <w:rPr>
          <w:lang w:eastAsia="zh-CN"/>
        </w:rPr>
        <w:t xml:space="preserve">hile there were </w:t>
      </w:r>
      <w:r w:rsidR="002F427A">
        <w:rPr>
          <w:lang w:eastAsia="zh-CN"/>
        </w:rPr>
        <w:t>strong achievements in the Gender Equality/Gender Based Violence Program</w:t>
      </w:r>
      <w:r w:rsidR="00434A85">
        <w:rPr>
          <w:lang w:eastAsia="zh-CN"/>
        </w:rPr>
        <w:t>,</w:t>
      </w:r>
      <w:r w:rsidR="00E37B5A">
        <w:rPr>
          <w:lang w:eastAsia="zh-CN"/>
        </w:rPr>
        <w:t xml:space="preserve"> delays</w:t>
      </w:r>
      <w:r w:rsidR="006E6B3D">
        <w:rPr>
          <w:lang w:eastAsia="zh-CN"/>
        </w:rPr>
        <w:t xml:space="preserve"> to the planned support unit for Pacific Women Shaping Pacific Development for PNG </w:t>
      </w:r>
      <w:r w:rsidR="00E37B5A">
        <w:rPr>
          <w:lang w:eastAsia="zh-CN"/>
        </w:rPr>
        <w:t>limited the efficiency of this program</w:t>
      </w:r>
      <w:r w:rsidR="006E6B3D">
        <w:rPr>
          <w:lang w:eastAsia="zh-CN"/>
        </w:rPr>
        <w:t xml:space="preserve">. </w:t>
      </w:r>
      <w:r w:rsidR="00E37B5A">
        <w:rPr>
          <w:lang w:eastAsia="zh-CN"/>
        </w:rPr>
        <w:t xml:space="preserve"> </w:t>
      </w:r>
      <w:r w:rsidR="006E6B3D">
        <w:rPr>
          <w:lang w:eastAsia="zh-CN"/>
        </w:rPr>
        <w:t xml:space="preserve">In addition, while 95 per cent of investments were assessed as effectively addressing gender, </w:t>
      </w:r>
      <w:r w:rsidR="00E73265">
        <w:rPr>
          <w:lang w:eastAsia="zh-CN"/>
        </w:rPr>
        <w:t xml:space="preserve">two </w:t>
      </w:r>
      <w:r w:rsidR="006E6B3D">
        <w:rPr>
          <w:lang w:eastAsia="zh-CN"/>
        </w:rPr>
        <w:t>initiatives</w:t>
      </w:r>
      <w:r w:rsidR="009C12A3">
        <w:rPr>
          <w:lang w:eastAsia="zh-CN"/>
        </w:rPr>
        <w:t xml:space="preserve"> (the Kokoda Initiative and SGP) were</w:t>
      </w:r>
      <w:r w:rsidR="006E6B3D">
        <w:rPr>
          <w:lang w:eastAsia="zh-CN"/>
        </w:rPr>
        <w:t xml:space="preserve"> rated as less than adequate against the gender criteria</w:t>
      </w:r>
      <w:r w:rsidR="002F427A">
        <w:rPr>
          <w:lang w:eastAsia="zh-CN"/>
        </w:rPr>
        <w:t xml:space="preserve">. </w:t>
      </w:r>
    </w:p>
    <w:p w:rsidR="002F427A" w:rsidRDefault="002F427A" w:rsidP="00994EC7">
      <w:pPr>
        <w:pStyle w:val="BodyText"/>
        <w:spacing w:line="276" w:lineRule="auto"/>
        <w:rPr>
          <w:lang w:eastAsia="zh-CN"/>
        </w:rPr>
      </w:pPr>
      <w:r>
        <w:rPr>
          <w:lang w:eastAsia="zh-CN"/>
        </w:rPr>
        <w:t xml:space="preserve">The Australian </w:t>
      </w:r>
      <w:r w:rsidR="00E008A3">
        <w:rPr>
          <w:lang w:eastAsia="zh-CN"/>
        </w:rPr>
        <w:t>Government</w:t>
      </w:r>
      <w:r>
        <w:rPr>
          <w:lang w:eastAsia="zh-CN"/>
        </w:rPr>
        <w:t xml:space="preserve"> recognise</w:t>
      </w:r>
      <w:r w:rsidR="00E008A3">
        <w:rPr>
          <w:lang w:eastAsia="zh-CN"/>
        </w:rPr>
        <w:t>s</w:t>
      </w:r>
      <w:r>
        <w:rPr>
          <w:lang w:eastAsia="zh-CN"/>
        </w:rPr>
        <w:t xml:space="preserve"> that gender equality and women’s empowerment are essential to PNG’s economic and human development. </w:t>
      </w:r>
      <w:r w:rsidR="009C12A3">
        <w:rPr>
          <w:lang w:eastAsia="zh-CN"/>
        </w:rPr>
        <w:t xml:space="preserve"> </w:t>
      </w:r>
      <w:r>
        <w:rPr>
          <w:lang w:eastAsia="zh-CN"/>
        </w:rPr>
        <w:t xml:space="preserve">PNG’s policy framework for gender equality includes the </w:t>
      </w:r>
      <w:r w:rsidRPr="00FD3093">
        <w:rPr>
          <w:lang w:eastAsia="zh-CN"/>
        </w:rPr>
        <w:t xml:space="preserve">Vision 2050, </w:t>
      </w:r>
      <w:r w:rsidR="00EF77B0">
        <w:t>PNG’s Medium Term Development Plan 2 (2016-2017)</w:t>
      </w:r>
      <w:r w:rsidRPr="00FD3093">
        <w:rPr>
          <w:lang w:eastAsia="zh-CN"/>
        </w:rPr>
        <w:t>, the National Policy for Women</w:t>
      </w:r>
      <w:r>
        <w:rPr>
          <w:lang w:eastAsia="zh-CN"/>
        </w:rPr>
        <w:t xml:space="preserve"> and Gender Equality 2011-2015 </w:t>
      </w:r>
      <w:r w:rsidRPr="00FD3093">
        <w:rPr>
          <w:lang w:eastAsia="zh-CN"/>
        </w:rPr>
        <w:t>and the National Public Service Gender Equity and Social Inclusion (GESI) Policy</w:t>
      </w:r>
      <w:r>
        <w:rPr>
          <w:lang w:eastAsia="zh-CN"/>
        </w:rPr>
        <w:t xml:space="preserve">. </w:t>
      </w:r>
      <w:r w:rsidR="007C43E9">
        <w:rPr>
          <w:lang w:eastAsia="zh-CN"/>
        </w:rPr>
        <w:t xml:space="preserve"> </w:t>
      </w:r>
      <w:r>
        <w:rPr>
          <w:lang w:eastAsia="zh-CN"/>
        </w:rPr>
        <w:t>The Partnership for Development specifically identifies gender equality as a fundamental and cross-cutting issue</w:t>
      </w:r>
      <w:r w:rsidR="008274FC">
        <w:rPr>
          <w:lang w:eastAsia="zh-CN"/>
        </w:rPr>
        <w:t>, and i</w:t>
      </w:r>
      <w:r>
        <w:rPr>
          <w:lang w:eastAsia="zh-CN"/>
        </w:rPr>
        <w:t xml:space="preserve">n 2014, </w:t>
      </w:r>
      <w:r w:rsidR="00E008A3">
        <w:rPr>
          <w:lang w:eastAsia="zh-CN"/>
        </w:rPr>
        <w:t xml:space="preserve">the </w:t>
      </w:r>
      <w:r w:rsidR="00E37B5A">
        <w:rPr>
          <w:lang w:eastAsia="zh-CN"/>
        </w:rPr>
        <w:t>Australian</w:t>
      </w:r>
      <w:r w:rsidR="00E008A3">
        <w:rPr>
          <w:lang w:eastAsia="zh-CN"/>
        </w:rPr>
        <w:t xml:space="preserve"> and PNG </w:t>
      </w:r>
      <w:r w:rsidR="00FC6FBB">
        <w:rPr>
          <w:lang w:eastAsia="zh-CN"/>
        </w:rPr>
        <w:t>G</w:t>
      </w:r>
      <w:r>
        <w:rPr>
          <w:lang w:eastAsia="zh-CN"/>
        </w:rPr>
        <w:t>overnments agreed</w:t>
      </w:r>
      <w:r w:rsidR="00CD096D">
        <w:rPr>
          <w:lang w:eastAsia="zh-CN"/>
        </w:rPr>
        <w:t xml:space="preserve"> as an outcome of </w:t>
      </w:r>
      <w:r w:rsidR="00CD096D" w:rsidRPr="00CD096D">
        <w:rPr>
          <w:lang w:eastAsia="zh-CN"/>
        </w:rPr>
        <w:t>the PNG Aid Assessment</w:t>
      </w:r>
      <w:r w:rsidRPr="00CD096D">
        <w:rPr>
          <w:lang w:eastAsia="zh-CN"/>
        </w:rPr>
        <w:t xml:space="preserve"> to expand</w:t>
      </w:r>
      <w:r>
        <w:rPr>
          <w:lang w:eastAsia="zh-CN"/>
        </w:rPr>
        <w:t xml:space="preserve"> support to women’s empowerment. </w:t>
      </w:r>
    </w:p>
    <w:p w:rsidR="002F427A" w:rsidRPr="00FD3093" w:rsidRDefault="002F427A" w:rsidP="00994EC7">
      <w:pPr>
        <w:pStyle w:val="BodyText"/>
        <w:spacing w:after="240" w:line="276" w:lineRule="auto"/>
        <w:rPr>
          <w:lang w:eastAsia="zh-CN"/>
        </w:rPr>
      </w:pPr>
      <w:r>
        <w:rPr>
          <w:lang w:eastAsia="zh-CN"/>
        </w:rPr>
        <w:t>I</w:t>
      </w:r>
      <w:r w:rsidRPr="00FD3093">
        <w:rPr>
          <w:lang w:eastAsia="zh-CN"/>
        </w:rPr>
        <w:t xml:space="preserve">n April 2015 </w:t>
      </w:r>
      <w:r>
        <w:rPr>
          <w:lang w:eastAsia="zh-CN"/>
        </w:rPr>
        <w:t xml:space="preserve">both </w:t>
      </w:r>
      <w:r w:rsidR="008274FC">
        <w:rPr>
          <w:lang w:eastAsia="zh-CN"/>
        </w:rPr>
        <w:t>G</w:t>
      </w:r>
      <w:r>
        <w:rPr>
          <w:lang w:eastAsia="zh-CN"/>
        </w:rPr>
        <w:t xml:space="preserve">overnments agreed to the </w:t>
      </w:r>
      <w:r w:rsidRPr="00FD3093">
        <w:rPr>
          <w:lang w:eastAsia="zh-CN"/>
        </w:rPr>
        <w:t>second PNG country plan for Pacific Women Shaping P</w:t>
      </w:r>
      <w:r>
        <w:rPr>
          <w:lang w:eastAsia="zh-CN"/>
        </w:rPr>
        <w:t xml:space="preserve">acific Development, </w:t>
      </w:r>
      <w:r w:rsidR="008274FC">
        <w:rPr>
          <w:lang w:eastAsia="zh-CN"/>
        </w:rPr>
        <w:t xml:space="preserve">a regional DFAT program </w:t>
      </w:r>
      <w:r>
        <w:rPr>
          <w:lang w:eastAsia="zh-CN"/>
        </w:rPr>
        <w:t>which commits $</w:t>
      </w:r>
      <w:r w:rsidR="00CD7911">
        <w:rPr>
          <w:lang w:eastAsia="zh-CN"/>
        </w:rPr>
        <w:t xml:space="preserve">58 </w:t>
      </w:r>
      <w:r>
        <w:rPr>
          <w:lang w:eastAsia="zh-CN"/>
        </w:rPr>
        <w:t>million over five years to enhancing w</w:t>
      </w:r>
      <w:r w:rsidRPr="00FD3093">
        <w:rPr>
          <w:lang w:eastAsia="zh-CN"/>
        </w:rPr>
        <w:t>omen’s voice in decision-making, leadership and peace-building</w:t>
      </w:r>
      <w:r>
        <w:rPr>
          <w:lang w:eastAsia="zh-CN"/>
        </w:rPr>
        <w:t>; w</w:t>
      </w:r>
      <w:r w:rsidRPr="00FD3093">
        <w:rPr>
          <w:lang w:eastAsia="zh-CN"/>
        </w:rPr>
        <w:t>omen’s economic empowerment</w:t>
      </w:r>
      <w:r w:rsidR="00C041C0">
        <w:rPr>
          <w:lang w:eastAsia="zh-CN"/>
        </w:rPr>
        <w:t>;</w:t>
      </w:r>
      <w:r w:rsidRPr="00FD3093">
        <w:rPr>
          <w:lang w:eastAsia="zh-CN"/>
        </w:rPr>
        <w:t xml:space="preserve"> and</w:t>
      </w:r>
      <w:r>
        <w:rPr>
          <w:lang w:eastAsia="zh-CN"/>
        </w:rPr>
        <w:t xml:space="preserve"> to ending </w:t>
      </w:r>
      <w:r w:rsidRPr="00FD3093">
        <w:rPr>
          <w:lang w:eastAsia="zh-CN"/>
        </w:rPr>
        <w:t>violence against women and girls</w:t>
      </w:r>
      <w:r w:rsidR="009B6251">
        <w:rPr>
          <w:lang w:eastAsia="zh-CN"/>
        </w:rPr>
        <w:t>.</w:t>
      </w:r>
    </w:p>
    <w:p w:rsidR="002F427A" w:rsidRPr="00994EC7" w:rsidRDefault="002F427A" w:rsidP="00994EC7">
      <w:pPr>
        <w:pStyle w:val="Heading4"/>
        <w:rPr>
          <w:b w:val="0"/>
        </w:rPr>
      </w:pPr>
      <w:r w:rsidRPr="004472AF">
        <w:t>Australia’s contribution</w:t>
      </w:r>
      <w:r w:rsidR="00C37E40">
        <w:br/>
      </w:r>
    </w:p>
    <w:p w:rsidR="0050627A" w:rsidRDefault="002F427A" w:rsidP="00994EC7">
      <w:pPr>
        <w:pStyle w:val="BodyText"/>
        <w:spacing w:line="276" w:lineRule="auto"/>
        <w:rPr>
          <w:lang w:eastAsia="zh-CN"/>
        </w:rPr>
      </w:pPr>
      <w:r>
        <w:rPr>
          <w:lang w:eastAsia="zh-CN"/>
        </w:rPr>
        <w:t xml:space="preserve">Over the past year there has been an increased focus on gender equality and women’s empowerment across Australia’s investments in PNG. </w:t>
      </w:r>
      <w:r w:rsidR="007C43E9">
        <w:rPr>
          <w:lang w:eastAsia="zh-CN"/>
        </w:rPr>
        <w:t xml:space="preserve"> </w:t>
      </w:r>
      <w:r>
        <w:rPr>
          <w:lang w:eastAsia="zh-CN"/>
        </w:rPr>
        <w:t xml:space="preserve">Assistance is delivered through </w:t>
      </w:r>
      <w:r w:rsidR="0050627A" w:rsidRPr="00FD3093">
        <w:rPr>
          <w:lang w:eastAsia="zh-CN"/>
        </w:rPr>
        <w:t xml:space="preserve">sector programs as well as through the PNG </w:t>
      </w:r>
      <w:r w:rsidR="00CD7911">
        <w:rPr>
          <w:lang w:eastAsia="zh-CN"/>
        </w:rPr>
        <w:t>Pacific Women</w:t>
      </w:r>
      <w:r w:rsidR="0050627A" w:rsidRPr="00FD3093">
        <w:rPr>
          <w:lang w:eastAsia="zh-CN"/>
        </w:rPr>
        <w:t xml:space="preserve"> program</w:t>
      </w:r>
      <w:r>
        <w:rPr>
          <w:lang w:eastAsia="zh-CN"/>
        </w:rPr>
        <w:t xml:space="preserve">. </w:t>
      </w:r>
      <w:r w:rsidR="007C43E9">
        <w:rPr>
          <w:lang w:eastAsia="zh-CN"/>
        </w:rPr>
        <w:t xml:space="preserve"> </w:t>
      </w:r>
      <w:r w:rsidR="009B6251">
        <w:rPr>
          <w:lang w:eastAsia="zh-CN"/>
        </w:rPr>
        <w:t>G</w:t>
      </w:r>
      <w:r w:rsidR="009B6251" w:rsidRPr="00FD3093">
        <w:rPr>
          <w:lang w:eastAsia="zh-CN"/>
        </w:rPr>
        <w:t xml:space="preserve">ender </w:t>
      </w:r>
      <w:r w:rsidRPr="00FD3093">
        <w:rPr>
          <w:lang w:eastAsia="zh-CN"/>
        </w:rPr>
        <w:t>has gone from being relatively peripheral to being a key focus within investments</w:t>
      </w:r>
      <w:r>
        <w:rPr>
          <w:lang w:eastAsia="zh-CN"/>
        </w:rPr>
        <w:t>.</w:t>
      </w:r>
      <w:r w:rsidR="007C43E9">
        <w:rPr>
          <w:lang w:eastAsia="zh-CN"/>
        </w:rPr>
        <w:t xml:space="preserve"> </w:t>
      </w:r>
      <w:r w:rsidR="009C12A3">
        <w:rPr>
          <w:lang w:eastAsia="zh-CN"/>
        </w:rPr>
        <w:t xml:space="preserve"> </w:t>
      </w:r>
      <w:r>
        <w:rPr>
          <w:lang w:eastAsia="zh-CN"/>
        </w:rPr>
        <w:t>Ge</w:t>
      </w:r>
      <w:r w:rsidRPr="00FD3093">
        <w:rPr>
          <w:lang w:eastAsia="zh-CN"/>
        </w:rPr>
        <w:t xml:space="preserve">nder equity is now more concretely incorporated into </w:t>
      </w:r>
      <w:r w:rsidR="009B6251">
        <w:rPr>
          <w:lang w:eastAsia="zh-CN"/>
        </w:rPr>
        <w:t>Partnership for Development</w:t>
      </w:r>
      <w:r w:rsidRPr="00FD3093">
        <w:rPr>
          <w:lang w:eastAsia="zh-CN"/>
        </w:rPr>
        <w:t xml:space="preserve"> schedules, which have, with the exception of transport, articulated gender targets. </w:t>
      </w:r>
    </w:p>
    <w:p w:rsidR="002F427A" w:rsidRDefault="002F427A" w:rsidP="00994EC7">
      <w:pPr>
        <w:pStyle w:val="BodyText"/>
        <w:spacing w:line="276" w:lineRule="auto"/>
        <w:rPr>
          <w:lang w:eastAsia="zh-CN"/>
        </w:rPr>
      </w:pPr>
      <w:r>
        <w:rPr>
          <w:lang w:eastAsia="zh-CN"/>
        </w:rPr>
        <w:t>Australian investments are addressing all three pillars of the Government of Australia gender equ</w:t>
      </w:r>
      <w:r w:rsidR="00CD7911">
        <w:rPr>
          <w:lang w:eastAsia="zh-CN"/>
        </w:rPr>
        <w:t>al</w:t>
      </w:r>
      <w:r>
        <w:rPr>
          <w:lang w:eastAsia="zh-CN"/>
        </w:rPr>
        <w:t>ity policy</w:t>
      </w:r>
      <w:r w:rsidR="003F59DC">
        <w:rPr>
          <w:lang w:eastAsia="zh-CN"/>
        </w:rPr>
        <w:t>:</w:t>
      </w:r>
      <w:r w:rsidR="00CD7911">
        <w:rPr>
          <w:lang w:eastAsia="zh-CN"/>
        </w:rPr>
        <w:t xml:space="preserve"> reducing violence and increasing access to support services; increasing women’s economic empowerment</w:t>
      </w:r>
      <w:r w:rsidR="003F59DC">
        <w:rPr>
          <w:lang w:eastAsia="zh-CN"/>
        </w:rPr>
        <w:t>;</w:t>
      </w:r>
      <w:r w:rsidR="00CD7911">
        <w:rPr>
          <w:lang w:eastAsia="zh-CN"/>
        </w:rPr>
        <w:t xml:space="preserve"> and </w:t>
      </w:r>
      <w:r w:rsidR="003F59DC">
        <w:rPr>
          <w:lang w:eastAsia="zh-CN"/>
        </w:rPr>
        <w:t>strengthening women’s leadership</w:t>
      </w:r>
      <w:r w:rsidR="00CD7911">
        <w:rPr>
          <w:lang w:eastAsia="zh-CN"/>
        </w:rPr>
        <w:t>.</w:t>
      </w:r>
    </w:p>
    <w:p w:rsidR="0094337B" w:rsidRPr="00AE756F" w:rsidRDefault="002F427A" w:rsidP="00994EC7">
      <w:pPr>
        <w:pStyle w:val="BodyText"/>
        <w:spacing w:line="276" w:lineRule="auto"/>
        <w:rPr>
          <w:lang w:eastAsia="zh-CN"/>
        </w:rPr>
      </w:pPr>
      <w:r>
        <w:rPr>
          <w:lang w:eastAsia="zh-CN"/>
        </w:rPr>
        <w:t xml:space="preserve">Australia’s support for enhancing </w:t>
      </w:r>
      <w:r w:rsidRPr="008274FC">
        <w:rPr>
          <w:lang w:eastAsia="zh-CN"/>
        </w:rPr>
        <w:t>women’s voice in leadership and decision-making</w:t>
      </w:r>
      <w:r>
        <w:rPr>
          <w:b/>
          <w:lang w:eastAsia="zh-CN"/>
        </w:rPr>
        <w:t xml:space="preserve"> </w:t>
      </w:r>
      <w:r>
        <w:rPr>
          <w:lang w:eastAsia="zh-CN"/>
        </w:rPr>
        <w:t xml:space="preserve">assisted the PNG Government to adopt the </w:t>
      </w:r>
      <w:r w:rsidR="00AA6699">
        <w:rPr>
          <w:lang w:eastAsia="zh-CN"/>
        </w:rPr>
        <w:t>GESI</w:t>
      </w:r>
      <w:r w:rsidR="008427E2" w:rsidRPr="00FD3093">
        <w:rPr>
          <w:lang w:eastAsia="zh-CN"/>
        </w:rPr>
        <w:t xml:space="preserve"> Policy</w:t>
      </w:r>
      <w:r>
        <w:rPr>
          <w:lang w:eastAsia="zh-CN"/>
        </w:rPr>
        <w:t>, resulting</w:t>
      </w:r>
      <w:r w:rsidR="008427E2" w:rsidRPr="00FD3093">
        <w:rPr>
          <w:lang w:eastAsia="zh-CN"/>
        </w:rPr>
        <w:t xml:space="preserve"> in a renewed focus on gender equity within central government agencies</w:t>
      </w:r>
      <w:r w:rsidR="0094337B" w:rsidRPr="00FD3093">
        <w:rPr>
          <w:lang w:eastAsia="zh-CN"/>
        </w:rPr>
        <w:t xml:space="preserve">. </w:t>
      </w:r>
      <w:r w:rsidR="007C43E9">
        <w:rPr>
          <w:lang w:eastAsia="zh-CN"/>
        </w:rPr>
        <w:t xml:space="preserve"> </w:t>
      </w:r>
      <w:r>
        <w:rPr>
          <w:lang w:eastAsia="zh-CN"/>
        </w:rPr>
        <w:t xml:space="preserve">As well as helping to improve women’s career paths and improve their safety at work, this assistance has contributed to a marked increase in the number of women in leadership positions, particularly </w:t>
      </w:r>
      <w:r w:rsidRPr="00AE756F">
        <w:rPr>
          <w:lang w:eastAsia="zh-CN"/>
        </w:rPr>
        <w:t>within the law and justice and transport sectors.</w:t>
      </w:r>
      <w:r w:rsidR="009C12A3">
        <w:rPr>
          <w:lang w:eastAsia="zh-CN"/>
        </w:rPr>
        <w:t xml:space="preserve"> </w:t>
      </w:r>
      <w:r w:rsidRPr="00AE756F">
        <w:rPr>
          <w:lang w:eastAsia="zh-CN"/>
        </w:rPr>
        <w:t xml:space="preserve"> At the local government level, </w:t>
      </w:r>
      <w:r w:rsidR="00AD30D4" w:rsidRPr="00AE756F">
        <w:rPr>
          <w:lang w:eastAsia="zh-CN"/>
        </w:rPr>
        <w:t>women’s representation on district and ward council</w:t>
      </w:r>
      <w:r w:rsidR="00CD7911" w:rsidRPr="00AE756F">
        <w:rPr>
          <w:lang w:eastAsia="zh-CN"/>
        </w:rPr>
        <w:t>s</w:t>
      </w:r>
      <w:r w:rsidR="00AD30D4" w:rsidRPr="00AE756F">
        <w:rPr>
          <w:lang w:eastAsia="zh-CN"/>
        </w:rPr>
        <w:t xml:space="preserve"> remains a challenge. </w:t>
      </w:r>
      <w:r w:rsidR="007C43E9" w:rsidRPr="00AE756F">
        <w:rPr>
          <w:lang w:eastAsia="zh-CN"/>
        </w:rPr>
        <w:t xml:space="preserve"> </w:t>
      </w:r>
      <w:r w:rsidR="00AD30D4" w:rsidRPr="00AE756F">
        <w:rPr>
          <w:lang w:eastAsia="zh-CN"/>
        </w:rPr>
        <w:t>Australian investments have, in select</w:t>
      </w:r>
      <w:r w:rsidR="005404E2">
        <w:rPr>
          <w:lang w:eastAsia="zh-CN"/>
        </w:rPr>
        <w:t>ed</w:t>
      </w:r>
      <w:r w:rsidR="00AD30D4" w:rsidRPr="00AE756F">
        <w:rPr>
          <w:lang w:eastAsia="zh-CN"/>
        </w:rPr>
        <w:t xml:space="preserve"> areas, supported women’s active participation in community development initiatives. </w:t>
      </w:r>
      <w:r w:rsidR="007C43E9" w:rsidRPr="00AE756F">
        <w:rPr>
          <w:lang w:eastAsia="zh-CN"/>
        </w:rPr>
        <w:t xml:space="preserve"> </w:t>
      </w:r>
      <w:r w:rsidR="00AD30D4" w:rsidRPr="00AE756F">
        <w:rPr>
          <w:lang w:eastAsia="zh-CN"/>
        </w:rPr>
        <w:t xml:space="preserve">For example, in the Inclusive </w:t>
      </w:r>
      <w:r w:rsidR="0094337B" w:rsidRPr="00AE756F">
        <w:rPr>
          <w:lang w:eastAsia="zh-CN"/>
        </w:rPr>
        <w:t>Development in Bougainville project</w:t>
      </w:r>
      <w:r w:rsidR="00AD30D4" w:rsidRPr="00AE756F">
        <w:rPr>
          <w:lang w:eastAsia="zh-CN"/>
        </w:rPr>
        <w:t xml:space="preserve">, </w:t>
      </w:r>
      <w:r w:rsidR="0094337B" w:rsidRPr="00AE756F">
        <w:rPr>
          <w:lang w:eastAsia="zh-CN"/>
        </w:rPr>
        <w:t>20 of the 3</w:t>
      </w:r>
      <w:r w:rsidR="00103FBA">
        <w:rPr>
          <w:lang w:eastAsia="zh-CN"/>
        </w:rPr>
        <w:t>5</w:t>
      </w:r>
      <w:r w:rsidR="009C12A3">
        <w:rPr>
          <w:lang w:eastAsia="zh-CN"/>
        </w:rPr>
        <w:t xml:space="preserve"> </w:t>
      </w:r>
      <w:r w:rsidR="0094337B" w:rsidRPr="00AE756F">
        <w:rPr>
          <w:lang w:eastAsia="zh-CN"/>
        </w:rPr>
        <w:t xml:space="preserve">women who recently ran for Parliament in Bougainville elections </w:t>
      </w:r>
      <w:r w:rsidR="008012EE">
        <w:rPr>
          <w:lang w:eastAsia="zh-CN"/>
        </w:rPr>
        <w:t>had participated</w:t>
      </w:r>
      <w:r w:rsidR="00AD30D4" w:rsidRPr="00AE756F">
        <w:rPr>
          <w:lang w:eastAsia="zh-CN"/>
        </w:rPr>
        <w:t xml:space="preserve"> in the program.</w:t>
      </w:r>
    </w:p>
    <w:p w:rsidR="009C4AE0" w:rsidRPr="004F23AF" w:rsidRDefault="0094337B" w:rsidP="00994EC7">
      <w:pPr>
        <w:pStyle w:val="BodyText"/>
        <w:spacing w:line="276" w:lineRule="auto"/>
        <w:rPr>
          <w:lang w:eastAsia="zh-CN"/>
        </w:rPr>
      </w:pPr>
      <w:r w:rsidRPr="004F23AF">
        <w:rPr>
          <w:lang w:eastAsia="zh-CN"/>
        </w:rPr>
        <w:lastRenderedPageBreak/>
        <w:t>Australia promot</w:t>
      </w:r>
      <w:r w:rsidR="00AA6699">
        <w:rPr>
          <w:lang w:eastAsia="zh-CN"/>
        </w:rPr>
        <w:t>ed</w:t>
      </w:r>
      <w:r w:rsidRPr="004F23AF">
        <w:rPr>
          <w:lang w:eastAsia="zh-CN"/>
        </w:rPr>
        <w:t xml:space="preserve"> women’s economic empowerment</w:t>
      </w:r>
      <w:r w:rsidR="00AD30D4" w:rsidRPr="004F23AF">
        <w:rPr>
          <w:lang w:eastAsia="zh-CN"/>
        </w:rPr>
        <w:t xml:space="preserve"> through </w:t>
      </w:r>
      <w:r w:rsidR="007D56E2" w:rsidRPr="004F23AF">
        <w:rPr>
          <w:lang w:eastAsia="zh-CN"/>
        </w:rPr>
        <w:t xml:space="preserve">investments in the private sector and rural development. </w:t>
      </w:r>
      <w:r w:rsidR="007C43E9" w:rsidRPr="004F23AF">
        <w:rPr>
          <w:lang w:eastAsia="zh-CN"/>
        </w:rPr>
        <w:t xml:space="preserve"> </w:t>
      </w:r>
      <w:r w:rsidR="007D56E2" w:rsidRPr="004F23AF">
        <w:rPr>
          <w:lang w:eastAsia="zh-CN"/>
        </w:rPr>
        <w:t xml:space="preserve">Australia has designed a </w:t>
      </w:r>
      <w:r w:rsidRPr="004F23AF">
        <w:rPr>
          <w:lang w:eastAsia="zh-CN"/>
        </w:rPr>
        <w:t>variety of initiatives</w:t>
      </w:r>
      <w:r w:rsidR="007D56E2" w:rsidRPr="004F23AF">
        <w:rPr>
          <w:lang w:eastAsia="zh-CN"/>
        </w:rPr>
        <w:t>,</w:t>
      </w:r>
      <w:r w:rsidRPr="004F23AF">
        <w:rPr>
          <w:lang w:eastAsia="zh-CN"/>
        </w:rPr>
        <w:t xml:space="preserve"> within the private sector, to mentor female business leaders, integrate a gender perspective into product design and market research, improve women’s financial literacy, and increase their access to finance and safe banking services</w:t>
      </w:r>
      <w:r w:rsidR="007D56E2" w:rsidRPr="004F23AF">
        <w:rPr>
          <w:lang w:eastAsia="zh-CN"/>
        </w:rPr>
        <w:t xml:space="preserve">. </w:t>
      </w:r>
      <w:r w:rsidR="0052404D">
        <w:rPr>
          <w:lang w:eastAsia="zh-CN"/>
        </w:rPr>
        <w:t xml:space="preserve"> </w:t>
      </w:r>
      <w:r w:rsidR="009C4AE0" w:rsidRPr="004F23AF">
        <w:rPr>
          <w:lang w:eastAsia="zh-CN"/>
        </w:rPr>
        <w:t>The Business Coalition for Women has developed a model policy on domestic violence for the business community</w:t>
      </w:r>
      <w:r w:rsidR="009C12A3" w:rsidRPr="004F23AF">
        <w:rPr>
          <w:lang w:eastAsia="zh-CN"/>
        </w:rPr>
        <w:t>.</w:t>
      </w:r>
      <w:r w:rsidR="009C12A3">
        <w:rPr>
          <w:lang w:eastAsia="zh-CN"/>
        </w:rPr>
        <w:t xml:space="preserve">  </w:t>
      </w:r>
      <w:r w:rsidR="0057403A">
        <w:rPr>
          <w:lang w:eastAsia="zh-CN"/>
        </w:rPr>
        <w:t>T</w:t>
      </w:r>
      <w:r w:rsidR="009C4AE0" w:rsidRPr="004F23AF">
        <w:rPr>
          <w:lang w:eastAsia="zh-CN"/>
        </w:rPr>
        <w:t>wo of the 60 Coalition members are implementing the policy, with more companies expected to follow.</w:t>
      </w:r>
    </w:p>
    <w:p w:rsidR="0094337B" w:rsidRPr="00AE756F" w:rsidRDefault="007C43E9" w:rsidP="00994EC7">
      <w:pPr>
        <w:pStyle w:val="BodyText"/>
        <w:spacing w:line="276" w:lineRule="auto"/>
        <w:rPr>
          <w:lang w:eastAsia="zh-CN"/>
        </w:rPr>
      </w:pPr>
      <w:r w:rsidRPr="00AE756F">
        <w:rPr>
          <w:lang w:eastAsia="zh-CN"/>
        </w:rPr>
        <w:t>T</w:t>
      </w:r>
      <w:r w:rsidR="007D56E2" w:rsidRPr="00AE756F">
        <w:rPr>
          <w:lang w:eastAsia="zh-CN"/>
        </w:rPr>
        <w:t>he UN Women Safe Cities Program</w:t>
      </w:r>
      <w:r w:rsidR="0011685A">
        <w:rPr>
          <w:lang w:eastAsia="zh-CN"/>
        </w:rPr>
        <w:t xml:space="preserve"> ($9.7 million over 5 years, 2014-19)</w:t>
      </w:r>
      <w:r w:rsidR="007D56E2" w:rsidRPr="00AE756F">
        <w:rPr>
          <w:lang w:eastAsia="zh-CN"/>
        </w:rPr>
        <w:t xml:space="preserve"> </w:t>
      </w:r>
      <w:r w:rsidR="00AA6699">
        <w:rPr>
          <w:lang w:eastAsia="zh-CN"/>
        </w:rPr>
        <w:t>improved</w:t>
      </w:r>
      <w:r w:rsidR="007D56E2" w:rsidRPr="00AE756F">
        <w:rPr>
          <w:lang w:eastAsia="zh-CN"/>
        </w:rPr>
        <w:t xml:space="preserve"> safety for women in Port Moresby produce markets so they can trade without fear of violence. </w:t>
      </w:r>
      <w:r w:rsidRPr="00AE756F">
        <w:rPr>
          <w:lang w:eastAsia="zh-CN"/>
        </w:rPr>
        <w:t xml:space="preserve"> </w:t>
      </w:r>
      <w:r w:rsidR="007D56E2" w:rsidRPr="00AE756F">
        <w:rPr>
          <w:lang w:eastAsia="zh-CN"/>
        </w:rPr>
        <w:t xml:space="preserve">Australia helped open up </w:t>
      </w:r>
      <w:r w:rsidR="0094337B" w:rsidRPr="00AE756F">
        <w:rPr>
          <w:lang w:eastAsia="zh-CN"/>
        </w:rPr>
        <w:t xml:space="preserve">cash-cropping opportunities for women in </w:t>
      </w:r>
      <w:r w:rsidR="00B12492">
        <w:rPr>
          <w:lang w:eastAsia="zh-CN"/>
        </w:rPr>
        <w:t xml:space="preserve">the </w:t>
      </w:r>
      <w:r w:rsidR="0094337B" w:rsidRPr="00AE756F">
        <w:rPr>
          <w:lang w:eastAsia="zh-CN"/>
        </w:rPr>
        <w:t>Eastern Highlands Province</w:t>
      </w:r>
      <w:r w:rsidR="007D56E2" w:rsidRPr="00AE756F">
        <w:rPr>
          <w:lang w:eastAsia="zh-CN"/>
        </w:rPr>
        <w:t>,</w:t>
      </w:r>
      <w:r w:rsidR="009C12A3">
        <w:rPr>
          <w:lang w:eastAsia="zh-CN"/>
        </w:rPr>
        <w:t xml:space="preserve"> with</w:t>
      </w:r>
      <w:r w:rsidR="007D56E2" w:rsidRPr="00AE756F">
        <w:rPr>
          <w:lang w:eastAsia="zh-CN"/>
        </w:rPr>
        <w:t xml:space="preserve"> </w:t>
      </w:r>
      <w:r w:rsidR="00656939" w:rsidRPr="00A06A96">
        <w:rPr>
          <w:lang w:eastAsia="zh-CN"/>
        </w:rPr>
        <w:t>over 2</w:t>
      </w:r>
      <w:r w:rsidR="00AB04A1" w:rsidRPr="00A06A96">
        <w:rPr>
          <w:lang w:eastAsia="zh-CN"/>
        </w:rPr>
        <w:t>,</w:t>
      </w:r>
      <w:r w:rsidR="00656939" w:rsidRPr="00A06A96">
        <w:rPr>
          <w:lang w:eastAsia="zh-CN"/>
        </w:rPr>
        <w:t>000 extension workers, farmers and family members</w:t>
      </w:r>
      <w:r w:rsidR="00656939" w:rsidRPr="00AE756F">
        <w:rPr>
          <w:lang w:eastAsia="zh-CN"/>
        </w:rPr>
        <w:t xml:space="preserve"> </w:t>
      </w:r>
      <w:r w:rsidR="0094337B" w:rsidRPr="00AE756F">
        <w:rPr>
          <w:lang w:eastAsia="zh-CN"/>
        </w:rPr>
        <w:t xml:space="preserve"> trained on gender equity and diversity, family business management, and training and facilitation skills</w:t>
      </w:r>
      <w:r w:rsidR="007D56E2" w:rsidRPr="00AE756F">
        <w:rPr>
          <w:lang w:eastAsia="zh-CN"/>
        </w:rPr>
        <w:t xml:space="preserve">. </w:t>
      </w:r>
      <w:r w:rsidR="00AA6699">
        <w:rPr>
          <w:lang w:eastAsia="zh-CN"/>
        </w:rPr>
        <w:t xml:space="preserve"> </w:t>
      </w:r>
      <w:r w:rsidR="00656939" w:rsidRPr="00A06A96">
        <w:rPr>
          <w:lang w:eastAsia="zh-CN"/>
        </w:rPr>
        <w:t>Thirty two per</w:t>
      </w:r>
      <w:r w:rsidR="00B41968">
        <w:rPr>
          <w:lang w:eastAsia="zh-CN"/>
        </w:rPr>
        <w:t xml:space="preserve"> </w:t>
      </w:r>
      <w:r w:rsidR="00656939" w:rsidRPr="00A06A96">
        <w:rPr>
          <w:lang w:eastAsia="zh-CN"/>
        </w:rPr>
        <w:t>cent were women</w:t>
      </w:r>
      <w:r w:rsidR="009C12A3">
        <w:rPr>
          <w:lang w:eastAsia="zh-CN"/>
        </w:rPr>
        <w:t>,</w:t>
      </w:r>
      <w:r w:rsidR="009C12A3" w:rsidRPr="00A06A96">
        <w:rPr>
          <w:lang w:eastAsia="zh-CN"/>
        </w:rPr>
        <w:t xml:space="preserve"> </w:t>
      </w:r>
      <w:r w:rsidR="00656939" w:rsidRPr="00A06A96">
        <w:rPr>
          <w:lang w:eastAsia="zh-CN"/>
        </w:rPr>
        <w:t>up from 10</w:t>
      </w:r>
      <w:r w:rsidR="00682DF0">
        <w:rPr>
          <w:lang w:eastAsia="zh-CN"/>
        </w:rPr>
        <w:t xml:space="preserve"> per cent </w:t>
      </w:r>
      <w:r w:rsidR="00656939" w:rsidRPr="00A06A96">
        <w:rPr>
          <w:lang w:eastAsia="zh-CN"/>
        </w:rPr>
        <w:t xml:space="preserve">before DFAT </w:t>
      </w:r>
      <w:r w:rsidR="00B12492">
        <w:rPr>
          <w:lang w:eastAsia="zh-CN"/>
        </w:rPr>
        <w:t xml:space="preserve">provided </w:t>
      </w:r>
      <w:r w:rsidR="00656939" w:rsidRPr="00A06A96">
        <w:rPr>
          <w:lang w:eastAsia="zh-CN"/>
        </w:rPr>
        <w:t>support over the last year.</w:t>
      </w:r>
      <w:r w:rsidR="0030187A">
        <w:rPr>
          <w:lang w:eastAsia="zh-CN"/>
        </w:rPr>
        <w:t xml:space="preserve"> </w:t>
      </w:r>
    </w:p>
    <w:p w:rsidR="003F59DC" w:rsidRDefault="0094337B" w:rsidP="00994EC7">
      <w:pPr>
        <w:pStyle w:val="BodyText"/>
        <w:spacing w:line="276" w:lineRule="auto"/>
        <w:rPr>
          <w:lang w:eastAsia="zh-CN"/>
        </w:rPr>
      </w:pPr>
      <w:r w:rsidRPr="00AE756F">
        <w:rPr>
          <w:lang w:eastAsia="zh-CN"/>
        </w:rPr>
        <w:t xml:space="preserve">Australia is supporting the Government of PNG to </w:t>
      </w:r>
      <w:r w:rsidR="006F0C73">
        <w:rPr>
          <w:lang w:eastAsia="zh-CN"/>
        </w:rPr>
        <w:t>eliminate</w:t>
      </w:r>
      <w:r w:rsidR="006F0C73" w:rsidRPr="00AE756F">
        <w:rPr>
          <w:lang w:eastAsia="zh-CN"/>
        </w:rPr>
        <w:t xml:space="preserve"> </w:t>
      </w:r>
      <w:r w:rsidRPr="00AE756F">
        <w:rPr>
          <w:lang w:eastAsia="zh-CN"/>
        </w:rPr>
        <w:t>violence against women and girls</w:t>
      </w:r>
      <w:r w:rsidR="007D56E2" w:rsidRPr="00AE756F">
        <w:rPr>
          <w:lang w:eastAsia="zh-CN"/>
        </w:rPr>
        <w:t>.</w:t>
      </w:r>
      <w:r w:rsidR="007C43E9" w:rsidRPr="00AE756F">
        <w:rPr>
          <w:lang w:eastAsia="zh-CN"/>
        </w:rPr>
        <w:t xml:space="preserve"> </w:t>
      </w:r>
      <w:r w:rsidR="007D56E2" w:rsidRPr="00AE756F">
        <w:rPr>
          <w:lang w:eastAsia="zh-CN"/>
        </w:rPr>
        <w:t xml:space="preserve"> This support has included: strengthening the national legal and policy framework</w:t>
      </w:r>
      <w:r w:rsidR="006E6B3D" w:rsidRPr="00AE756F">
        <w:rPr>
          <w:lang w:eastAsia="zh-CN"/>
        </w:rPr>
        <w:t xml:space="preserve"> </w:t>
      </w:r>
      <w:r w:rsidR="006E6B3D" w:rsidRPr="00A06A96">
        <w:rPr>
          <w:lang w:eastAsia="zh-CN"/>
        </w:rPr>
        <w:t>to develop a Family and Sexual Violence whole of government strategy; writing the regulations for the Family Protection Act; providing technical assistance for the recently agreed National Action Plan to reduce sorcery related violence</w:t>
      </w:r>
      <w:r w:rsidR="007D56E2" w:rsidRPr="00AE756F">
        <w:rPr>
          <w:lang w:eastAsia="zh-CN"/>
        </w:rPr>
        <w:t xml:space="preserve">; improving the Family and Sexual Violence Action Committee’s capacity for coordination and strategic planning; promoting attitude and behaviour change through mass media campaigns; </w:t>
      </w:r>
      <w:r w:rsidR="000E185F">
        <w:rPr>
          <w:lang w:eastAsia="zh-CN"/>
        </w:rPr>
        <w:t xml:space="preserve">supporting </w:t>
      </w:r>
      <w:r w:rsidR="007D56E2" w:rsidRPr="00AE756F">
        <w:rPr>
          <w:lang w:eastAsia="zh-CN"/>
        </w:rPr>
        <w:t xml:space="preserve">community-level advocacy and men’s advocacy networks; increasing women’s access to justice by strengthening police, prosecutorial court </w:t>
      </w:r>
      <w:r w:rsidR="007C43E9" w:rsidRPr="00AE756F">
        <w:rPr>
          <w:lang w:eastAsia="zh-CN"/>
        </w:rPr>
        <w:t>capacity</w:t>
      </w:r>
      <w:r w:rsidR="007D56E2" w:rsidRPr="00AE756F">
        <w:rPr>
          <w:lang w:eastAsia="zh-CN"/>
        </w:rPr>
        <w:t xml:space="preserve">; and improving women’s access to counselling, health and refuge services through </w:t>
      </w:r>
      <w:r w:rsidR="00FC6FBB">
        <w:rPr>
          <w:lang w:eastAsia="zh-CN"/>
        </w:rPr>
        <w:t>g</w:t>
      </w:r>
      <w:r w:rsidR="00FC6FBB" w:rsidRPr="00AE756F">
        <w:rPr>
          <w:lang w:eastAsia="zh-CN"/>
        </w:rPr>
        <w:t xml:space="preserve">overnment </w:t>
      </w:r>
      <w:r w:rsidR="007D56E2" w:rsidRPr="00AE756F">
        <w:rPr>
          <w:lang w:eastAsia="zh-CN"/>
        </w:rPr>
        <w:t>and civil society organisation service providers.</w:t>
      </w:r>
      <w:r w:rsidR="007C43E9" w:rsidRPr="00AE756F">
        <w:rPr>
          <w:lang w:eastAsia="zh-CN"/>
        </w:rPr>
        <w:t xml:space="preserve"> </w:t>
      </w:r>
      <w:r w:rsidR="007D56E2" w:rsidRPr="00AE756F">
        <w:rPr>
          <w:lang w:eastAsia="zh-CN"/>
        </w:rPr>
        <w:t xml:space="preserve"> </w:t>
      </w:r>
    </w:p>
    <w:p w:rsidR="00DB7628" w:rsidRPr="00AE756F" w:rsidRDefault="007D56E2" w:rsidP="00915F3E">
      <w:pPr>
        <w:pStyle w:val="BodyText"/>
        <w:spacing w:after="0" w:line="276" w:lineRule="auto"/>
        <w:rPr>
          <w:lang w:eastAsia="zh-CN"/>
        </w:rPr>
      </w:pPr>
      <w:r w:rsidRPr="00AE756F">
        <w:rPr>
          <w:lang w:eastAsia="zh-CN"/>
        </w:rPr>
        <w:t>However, family and sexual violence is an entrenched and widespread problem in PNG</w:t>
      </w:r>
      <w:r w:rsidR="00CD7911" w:rsidRPr="00AE756F">
        <w:rPr>
          <w:lang w:eastAsia="zh-CN"/>
        </w:rPr>
        <w:t xml:space="preserve">. Australian Government support has increased the ability for women and children </w:t>
      </w:r>
      <w:r w:rsidR="00863CAC">
        <w:rPr>
          <w:lang w:eastAsia="zh-CN"/>
        </w:rPr>
        <w:t xml:space="preserve">to seek a support service, but </w:t>
      </w:r>
      <w:r w:rsidR="00CD7911" w:rsidRPr="00AE756F">
        <w:rPr>
          <w:lang w:eastAsia="zh-CN"/>
        </w:rPr>
        <w:t xml:space="preserve">the </w:t>
      </w:r>
      <w:r w:rsidRPr="00AE756F">
        <w:rPr>
          <w:lang w:eastAsia="zh-CN"/>
        </w:rPr>
        <w:t xml:space="preserve">impact that these initiatives are having </w:t>
      </w:r>
      <w:r w:rsidR="00CD7911" w:rsidRPr="00AE756F">
        <w:rPr>
          <w:lang w:eastAsia="zh-CN"/>
        </w:rPr>
        <w:t xml:space="preserve">in preventing or reducing violence </w:t>
      </w:r>
      <w:r w:rsidRPr="00AE756F">
        <w:rPr>
          <w:lang w:eastAsia="zh-CN"/>
        </w:rPr>
        <w:t xml:space="preserve">has yet to be fully assessed. </w:t>
      </w:r>
      <w:r w:rsidR="007C43E9" w:rsidRPr="00AE756F">
        <w:rPr>
          <w:lang w:eastAsia="zh-CN"/>
        </w:rPr>
        <w:t xml:space="preserve"> </w:t>
      </w:r>
      <w:r w:rsidRPr="00AE756F">
        <w:rPr>
          <w:lang w:eastAsia="zh-CN"/>
        </w:rPr>
        <w:t xml:space="preserve">Available data suggests that the range of </w:t>
      </w:r>
      <w:r w:rsidR="00DB7628" w:rsidRPr="00AE756F">
        <w:rPr>
          <w:lang w:eastAsia="zh-CN"/>
        </w:rPr>
        <w:t xml:space="preserve">reporting and successful prosecution of family and sexual violence cases is very low, and there remain a number of barriers to women </w:t>
      </w:r>
      <w:r w:rsidR="006165C9" w:rsidRPr="00AE756F">
        <w:rPr>
          <w:lang w:eastAsia="zh-CN"/>
        </w:rPr>
        <w:t xml:space="preserve">accessing </w:t>
      </w:r>
      <w:r w:rsidR="006165C9">
        <w:rPr>
          <w:lang w:eastAsia="zh-CN"/>
        </w:rPr>
        <w:t>justice</w:t>
      </w:r>
      <w:r w:rsidR="00DB7628" w:rsidRPr="00AE756F">
        <w:rPr>
          <w:lang w:eastAsia="zh-CN"/>
        </w:rPr>
        <w:t xml:space="preserve"> and appropriate support services.</w:t>
      </w:r>
    </w:p>
    <w:p w:rsidR="000B079C" w:rsidRPr="00DB7628" w:rsidRDefault="00D11585" w:rsidP="00994EC7">
      <w:pPr>
        <w:pStyle w:val="Heading4"/>
      </w:pPr>
      <w:r>
        <w:br/>
      </w:r>
      <w:r w:rsidR="000B079C" w:rsidRPr="00DB7628">
        <w:t>Key risks and challenges</w:t>
      </w:r>
      <w:r w:rsidR="00C37E40">
        <w:br/>
      </w:r>
    </w:p>
    <w:p w:rsidR="0094337B" w:rsidRDefault="00DB7628" w:rsidP="00994EC7">
      <w:pPr>
        <w:pStyle w:val="BodyText"/>
        <w:spacing w:line="276" w:lineRule="auto"/>
        <w:rPr>
          <w:lang w:eastAsia="zh-CN"/>
        </w:rPr>
      </w:pPr>
      <w:r>
        <w:rPr>
          <w:lang w:eastAsia="zh-CN"/>
        </w:rPr>
        <w:t xml:space="preserve">Australia’s gender equality programming faces a number of challenges, which begin with the very dire situation for gender equality in PNG generally. </w:t>
      </w:r>
      <w:r w:rsidR="007C43E9">
        <w:rPr>
          <w:lang w:eastAsia="zh-CN"/>
        </w:rPr>
        <w:t xml:space="preserve"> </w:t>
      </w:r>
      <w:r w:rsidR="00832984" w:rsidRPr="00FD3093">
        <w:rPr>
          <w:lang w:eastAsia="zh-CN"/>
        </w:rPr>
        <w:t>Gender indicators in PNG are among the lowest in the world</w:t>
      </w:r>
      <w:r w:rsidR="0095440B">
        <w:rPr>
          <w:lang w:eastAsia="zh-CN"/>
        </w:rPr>
        <w:t>.</w:t>
      </w:r>
      <w:r w:rsidR="003F59DC">
        <w:rPr>
          <w:lang w:eastAsia="zh-CN"/>
        </w:rPr>
        <w:t xml:space="preserve"> </w:t>
      </w:r>
      <w:r w:rsidR="00B80700">
        <w:rPr>
          <w:lang w:eastAsia="zh-CN"/>
        </w:rPr>
        <w:t>PNG has a 2014 Gender-Related Development Index (GDI) of 157 (out of 187), meaning women face sever</w:t>
      </w:r>
      <w:r w:rsidR="0095440B">
        <w:rPr>
          <w:lang w:eastAsia="zh-CN"/>
        </w:rPr>
        <w:t>e</w:t>
      </w:r>
      <w:r w:rsidR="00B80700">
        <w:rPr>
          <w:lang w:eastAsia="zh-CN"/>
        </w:rPr>
        <w:t xml:space="preserve"> discrimination in all spheres of life: social, cultural, economic and political.</w:t>
      </w:r>
      <w:r w:rsidR="009C12A3">
        <w:rPr>
          <w:lang w:eastAsia="zh-CN"/>
        </w:rPr>
        <w:t xml:space="preserve"> </w:t>
      </w:r>
      <w:r w:rsidR="00B80700">
        <w:rPr>
          <w:lang w:eastAsia="zh-CN"/>
        </w:rPr>
        <w:t xml:space="preserve"> Unlike most countries in the world, life expectancy for women in PNG is lower than that of men.</w:t>
      </w:r>
      <w:r w:rsidR="009C12A3">
        <w:rPr>
          <w:lang w:eastAsia="zh-CN"/>
        </w:rPr>
        <w:t xml:space="preserve">  </w:t>
      </w:r>
      <w:r w:rsidR="00832984" w:rsidRPr="00FD3093">
        <w:rPr>
          <w:lang w:eastAsia="zh-CN"/>
        </w:rPr>
        <w:t xml:space="preserve">Women are 25 per cent less </w:t>
      </w:r>
      <w:r>
        <w:rPr>
          <w:lang w:eastAsia="zh-CN"/>
        </w:rPr>
        <w:t xml:space="preserve">likely than men to be literate, and the </w:t>
      </w:r>
      <w:r w:rsidR="00832984" w:rsidRPr="00FD3093">
        <w:rPr>
          <w:lang w:eastAsia="zh-CN"/>
        </w:rPr>
        <w:t xml:space="preserve">maternal mortality ratio in </w:t>
      </w:r>
      <w:r w:rsidR="00301009">
        <w:rPr>
          <w:lang w:eastAsia="zh-CN"/>
        </w:rPr>
        <w:t>PNG</w:t>
      </w:r>
      <w:r w:rsidR="00832984" w:rsidRPr="00FD3093">
        <w:rPr>
          <w:lang w:eastAsia="zh-CN"/>
        </w:rPr>
        <w:t xml:space="preserve"> is unacceptably high. </w:t>
      </w:r>
    </w:p>
    <w:p w:rsidR="00B80700" w:rsidRDefault="00B80700" w:rsidP="00994EC7">
      <w:pPr>
        <w:pStyle w:val="BodyText"/>
        <w:spacing w:line="276" w:lineRule="auto"/>
        <w:rPr>
          <w:lang w:eastAsia="zh-CN"/>
        </w:rPr>
      </w:pPr>
      <w:r>
        <w:rPr>
          <w:lang w:eastAsia="zh-CN"/>
        </w:rPr>
        <w:t>Women lack influence at all levels of governance in PNG, with few women in positions of leadership</w:t>
      </w:r>
      <w:r w:rsidR="0095440B">
        <w:rPr>
          <w:lang w:eastAsia="zh-CN"/>
        </w:rPr>
        <w:t xml:space="preserve">. </w:t>
      </w:r>
      <w:r w:rsidR="009C12A3">
        <w:rPr>
          <w:lang w:eastAsia="zh-CN"/>
        </w:rPr>
        <w:t xml:space="preserve"> </w:t>
      </w:r>
      <w:r w:rsidR="0095440B">
        <w:rPr>
          <w:lang w:eastAsia="zh-CN"/>
        </w:rPr>
        <w:t>There are only three women members in PNG’s 111-seat Parliament (2.7</w:t>
      </w:r>
      <w:r w:rsidR="00682DF0">
        <w:rPr>
          <w:lang w:eastAsia="zh-CN"/>
        </w:rPr>
        <w:t xml:space="preserve"> per cent</w:t>
      </w:r>
      <w:r w:rsidR="0095440B">
        <w:rPr>
          <w:lang w:eastAsia="zh-CN"/>
        </w:rPr>
        <w:t>) and wo</w:t>
      </w:r>
      <w:r>
        <w:rPr>
          <w:lang w:eastAsia="zh-CN"/>
        </w:rPr>
        <w:t>men’s interests rarely featur</w:t>
      </w:r>
      <w:r w:rsidR="0095440B">
        <w:rPr>
          <w:lang w:eastAsia="zh-CN"/>
        </w:rPr>
        <w:t>e</w:t>
      </w:r>
      <w:r>
        <w:rPr>
          <w:lang w:eastAsia="zh-CN"/>
        </w:rPr>
        <w:t xml:space="preserve"> in government decision-making</w:t>
      </w:r>
      <w:r w:rsidR="009C12A3">
        <w:rPr>
          <w:lang w:eastAsia="zh-CN"/>
        </w:rPr>
        <w:t xml:space="preserve">.  </w:t>
      </w:r>
      <w:r w:rsidR="0095440B">
        <w:rPr>
          <w:lang w:eastAsia="zh-CN"/>
        </w:rPr>
        <w:t xml:space="preserve">The customary position of women within PNG also impacts on their economic lives. Family and sexual violence is estimated to impact two-thirds of women in PNG. </w:t>
      </w:r>
      <w:r w:rsidR="009C12A3">
        <w:rPr>
          <w:lang w:eastAsia="zh-CN"/>
        </w:rPr>
        <w:t xml:space="preserve"> </w:t>
      </w:r>
      <w:r w:rsidR="0095440B">
        <w:rPr>
          <w:lang w:eastAsia="zh-CN"/>
        </w:rPr>
        <w:t>Although violence is a criminal offence, it continues to be viewed as a private matter and a normal part of women’s lives.</w:t>
      </w:r>
    </w:p>
    <w:p w:rsidR="00DA2EA0" w:rsidRDefault="00DA2EA0" w:rsidP="00994EC7">
      <w:pPr>
        <w:pStyle w:val="BodyText"/>
        <w:spacing w:line="276" w:lineRule="auto"/>
        <w:rPr>
          <w:lang w:eastAsia="zh-CN"/>
        </w:rPr>
      </w:pPr>
      <w:r w:rsidRPr="00A06A96">
        <w:rPr>
          <w:lang w:eastAsia="zh-CN"/>
        </w:rPr>
        <w:t>More than half of PNG’s population is under the age of 18, and children make up the majority of cases seen at Family Support Centres in hospitals.</w:t>
      </w:r>
      <w:r>
        <w:rPr>
          <w:lang w:eastAsia="zh-CN"/>
        </w:rPr>
        <w:t xml:space="preserve"> </w:t>
      </w:r>
      <w:r w:rsidRPr="00A06A96">
        <w:rPr>
          <w:lang w:eastAsia="zh-CN"/>
        </w:rPr>
        <w:t xml:space="preserve"> A revamped </w:t>
      </w:r>
      <w:r w:rsidRPr="00FA0618">
        <w:rPr>
          <w:i/>
          <w:lang w:eastAsia="zh-CN"/>
        </w:rPr>
        <w:t>Lukautim Pikinini Act</w:t>
      </w:r>
      <w:r w:rsidRPr="00A06A96">
        <w:rPr>
          <w:lang w:eastAsia="zh-CN"/>
        </w:rPr>
        <w:t xml:space="preserve"> has been passed which strengthens the legislative framework for protection of children, but the Government will struggle to implement it. </w:t>
      </w:r>
      <w:r>
        <w:rPr>
          <w:lang w:eastAsia="zh-CN"/>
        </w:rPr>
        <w:t xml:space="preserve"> </w:t>
      </w:r>
      <w:r w:rsidRPr="00A06A96">
        <w:rPr>
          <w:lang w:eastAsia="zh-CN"/>
        </w:rPr>
        <w:t xml:space="preserve">A draft National Family and Sexual Violence Strategy </w:t>
      </w:r>
      <w:r w:rsidRPr="00A06A96">
        <w:rPr>
          <w:lang w:eastAsia="zh-CN"/>
        </w:rPr>
        <w:lastRenderedPageBreak/>
        <w:t xml:space="preserve">which includes protection of children is awaiting National Executive Council agreement. Australia is supporting child protection through its investments – for example, the Lae Case Management Centre employs a child protection specialist and offers specific support to children traumatised by violence; and three new investments with UNICEF include a child protection campaign, a healthy parenting program in partnership with the Catholic Church, and a partnership with the Education Department in Bougainville to reduce violence against children. Yet although children are included in aid investments designed to provide support to survivors of family and sexual violence, they have their own specific needs and it cannot be assumed that their needs will be addressed within service delivery aimed primarily at mothers. </w:t>
      </w:r>
      <w:r>
        <w:rPr>
          <w:lang w:eastAsia="zh-CN"/>
        </w:rPr>
        <w:t xml:space="preserve"> </w:t>
      </w:r>
      <w:r w:rsidRPr="00A06A96">
        <w:rPr>
          <w:lang w:eastAsia="zh-CN"/>
        </w:rPr>
        <w:t xml:space="preserve">There is a need for a more coordinated approach to providing support for child protection and there is also the opportunity to provide more rigorous support to </w:t>
      </w:r>
      <w:r>
        <w:rPr>
          <w:lang w:eastAsia="zh-CN"/>
        </w:rPr>
        <w:t>g</w:t>
      </w:r>
      <w:r w:rsidRPr="00A06A96">
        <w:rPr>
          <w:lang w:eastAsia="zh-CN"/>
        </w:rPr>
        <w:t>overnment.</w:t>
      </w:r>
    </w:p>
    <w:p w:rsidR="00656939" w:rsidRDefault="0095440B" w:rsidP="00994EC7">
      <w:pPr>
        <w:pStyle w:val="BodyText"/>
        <w:spacing w:line="276" w:lineRule="auto"/>
        <w:rPr>
          <w:lang w:eastAsia="zh-CN"/>
        </w:rPr>
      </w:pPr>
      <w:r w:rsidRPr="00AE756F">
        <w:rPr>
          <w:lang w:eastAsia="zh-CN"/>
        </w:rPr>
        <w:t xml:space="preserve">Incorporating gender equality into Australia’s programs requires ongoing effort. </w:t>
      </w:r>
      <w:r w:rsidR="009C12A3">
        <w:rPr>
          <w:lang w:eastAsia="zh-CN"/>
        </w:rPr>
        <w:t xml:space="preserve"> </w:t>
      </w:r>
      <w:r w:rsidRPr="00AE756F">
        <w:rPr>
          <w:lang w:eastAsia="zh-CN"/>
        </w:rPr>
        <w:t xml:space="preserve">There is a need </w:t>
      </w:r>
      <w:r w:rsidRPr="00A06A96">
        <w:rPr>
          <w:lang w:eastAsia="zh-CN"/>
        </w:rPr>
        <w:t xml:space="preserve">to focus on particular areas of discrimination rather than relying on mainstreaming to shift entrenched barriers.  </w:t>
      </w:r>
      <w:r w:rsidRPr="00AE756F">
        <w:rPr>
          <w:lang w:eastAsia="zh-CN"/>
        </w:rPr>
        <w:t>Monitoring and evaluating impact remains a challenge</w:t>
      </w:r>
      <w:r w:rsidRPr="00A06A96">
        <w:rPr>
          <w:lang w:eastAsia="zh-CN"/>
        </w:rPr>
        <w:t xml:space="preserve"> with many programs not capturing </w:t>
      </w:r>
      <w:r w:rsidR="009C12A3" w:rsidRPr="00A06A96">
        <w:rPr>
          <w:lang w:eastAsia="zh-CN"/>
        </w:rPr>
        <w:t>sex</w:t>
      </w:r>
      <w:r w:rsidR="009C12A3">
        <w:rPr>
          <w:lang w:eastAsia="zh-CN"/>
        </w:rPr>
        <w:t>-</w:t>
      </w:r>
      <w:r w:rsidRPr="00A06A96">
        <w:rPr>
          <w:lang w:eastAsia="zh-CN"/>
        </w:rPr>
        <w:t xml:space="preserve">disaggregated data. </w:t>
      </w:r>
      <w:r w:rsidR="009C12A3">
        <w:rPr>
          <w:lang w:eastAsia="zh-CN"/>
        </w:rPr>
        <w:t xml:space="preserve"> </w:t>
      </w:r>
      <w:r w:rsidR="00301009">
        <w:rPr>
          <w:lang w:eastAsia="zh-CN"/>
        </w:rPr>
        <w:t>A</w:t>
      </w:r>
      <w:r w:rsidRPr="00A06A96">
        <w:rPr>
          <w:lang w:eastAsia="zh-CN"/>
        </w:rPr>
        <w:t xml:space="preserve"> </w:t>
      </w:r>
      <w:r w:rsidR="009C12A3">
        <w:rPr>
          <w:lang w:eastAsia="zh-CN"/>
        </w:rPr>
        <w:t xml:space="preserve">recently finalised </w:t>
      </w:r>
      <w:r w:rsidRPr="00A06A96">
        <w:rPr>
          <w:lang w:eastAsia="zh-CN"/>
        </w:rPr>
        <w:t xml:space="preserve">Gender Action Plan </w:t>
      </w:r>
      <w:r w:rsidR="009C12A3">
        <w:rPr>
          <w:lang w:eastAsia="zh-CN"/>
        </w:rPr>
        <w:t>will help</w:t>
      </w:r>
      <w:r w:rsidR="009C12A3" w:rsidRPr="00A06A96">
        <w:rPr>
          <w:lang w:eastAsia="zh-CN"/>
        </w:rPr>
        <w:t xml:space="preserve"> </w:t>
      </w:r>
      <w:r w:rsidRPr="00A06A96">
        <w:rPr>
          <w:lang w:eastAsia="zh-CN"/>
        </w:rPr>
        <w:t>address these challenges from 2015-</w:t>
      </w:r>
      <w:r w:rsidR="00301009" w:rsidRPr="00A06A96">
        <w:rPr>
          <w:lang w:eastAsia="zh-CN"/>
        </w:rPr>
        <w:t>16</w:t>
      </w:r>
      <w:r w:rsidR="00301009">
        <w:rPr>
          <w:lang w:eastAsia="zh-CN"/>
        </w:rPr>
        <w:t xml:space="preserve"> </w:t>
      </w:r>
      <w:r w:rsidR="00301009" w:rsidRPr="00A06A96">
        <w:rPr>
          <w:lang w:eastAsia="zh-CN"/>
        </w:rPr>
        <w:t>onwards</w:t>
      </w:r>
      <w:r w:rsidRPr="00AE756F">
        <w:rPr>
          <w:lang w:eastAsia="zh-CN"/>
        </w:rPr>
        <w:t>.</w:t>
      </w:r>
    </w:p>
    <w:p w:rsidR="00FC263E" w:rsidRDefault="00334E33" w:rsidP="00994EC7">
      <w:pPr>
        <w:pStyle w:val="Heading3"/>
      </w:pPr>
      <w:r>
        <w:br/>
      </w:r>
      <w:r w:rsidR="00FC263E" w:rsidRPr="00A749B2">
        <w:t>Cross-cutting: Disability-inclusive development</w:t>
      </w:r>
    </w:p>
    <w:p w:rsidR="00FC263E" w:rsidRPr="008971D1" w:rsidRDefault="00993093" w:rsidP="00F65E75">
      <w:pPr>
        <w:pStyle w:val="BodyText"/>
        <w:rPr>
          <w:lang w:eastAsia="zh-CN"/>
        </w:rPr>
      </w:pPr>
      <w:r>
        <w:rPr>
          <w:lang w:eastAsia="zh-CN"/>
        </w:rPr>
        <w:t>W</w:t>
      </w:r>
      <w:r w:rsidR="00C00413" w:rsidRPr="008971D1">
        <w:rPr>
          <w:lang w:eastAsia="zh-CN"/>
        </w:rPr>
        <w:t>hil</w:t>
      </w:r>
      <w:r w:rsidR="00C00413">
        <w:rPr>
          <w:lang w:eastAsia="zh-CN"/>
        </w:rPr>
        <w:t>e</w:t>
      </w:r>
      <w:r w:rsidR="00C00413" w:rsidRPr="008971D1">
        <w:rPr>
          <w:lang w:eastAsia="zh-CN"/>
        </w:rPr>
        <w:t xml:space="preserve"> </w:t>
      </w:r>
      <w:r w:rsidR="00ED65FD">
        <w:rPr>
          <w:lang w:eastAsia="zh-CN"/>
        </w:rPr>
        <w:t>d</w:t>
      </w:r>
      <w:r w:rsidR="00DE7A8E">
        <w:rPr>
          <w:lang w:eastAsia="zh-CN"/>
        </w:rPr>
        <w:t>isability inclusive development continues to be well addressed through a limited number of initiatives</w:t>
      </w:r>
      <w:r w:rsidR="00B12492">
        <w:rPr>
          <w:lang w:eastAsia="zh-CN"/>
        </w:rPr>
        <w:t>,</w:t>
      </w:r>
      <w:r w:rsidR="00ED65FD">
        <w:rPr>
          <w:lang w:eastAsia="zh-CN"/>
        </w:rPr>
        <w:t xml:space="preserve"> </w:t>
      </w:r>
      <w:r w:rsidR="00DE7A8E">
        <w:rPr>
          <w:lang w:eastAsia="zh-CN"/>
        </w:rPr>
        <w:t>more could be done to mainstream disability throughout all investments.</w:t>
      </w:r>
    </w:p>
    <w:p w:rsidR="00FC263E" w:rsidRPr="00F65E75" w:rsidRDefault="00FC263E" w:rsidP="00994EC7">
      <w:pPr>
        <w:pStyle w:val="BodyText"/>
        <w:spacing w:line="276" w:lineRule="auto"/>
        <w:rPr>
          <w:lang w:eastAsia="zh-CN"/>
        </w:rPr>
      </w:pPr>
      <w:r w:rsidRPr="008971D1">
        <w:rPr>
          <w:lang w:eastAsia="zh-CN"/>
        </w:rPr>
        <w:t>In 2013</w:t>
      </w:r>
      <w:r w:rsidR="007C43E9">
        <w:rPr>
          <w:lang w:eastAsia="zh-CN"/>
        </w:rPr>
        <w:t>,</w:t>
      </w:r>
      <w:r w:rsidRPr="008971D1">
        <w:rPr>
          <w:lang w:eastAsia="zh-CN"/>
        </w:rPr>
        <w:t xml:space="preserve"> PNG ratified </w:t>
      </w:r>
      <w:r w:rsidRPr="007F5CDE">
        <w:rPr>
          <w:lang w:eastAsia="zh-CN"/>
        </w:rPr>
        <w:t>the United Nations Convention on the Rights of Persons with A Disability</w:t>
      </w:r>
      <w:r w:rsidR="00F65E75" w:rsidRPr="00994EC7">
        <w:rPr>
          <w:lang w:eastAsia="zh-CN"/>
        </w:rPr>
        <w:t xml:space="preserve">. </w:t>
      </w:r>
      <w:r w:rsidR="009C12A3" w:rsidRPr="007F5CDE">
        <w:rPr>
          <w:lang w:eastAsia="zh-CN"/>
        </w:rPr>
        <w:t>Subsequently</w:t>
      </w:r>
      <w:r w:rsidR="00F65E75" w:rsidRPr="007F5CDE">
        <w:rPr>
          <w:lang w:eastAsia="zh-CN"/>
        </w:rPr>
        <w:t xml:space="preserve">, </w:t>
      </w:r>
      <w:r w:rsidRPr="00994EC7">
        <w:rPr>
          <w:lang w:eastAsia="zh-CN"/>
        </w:rPr>
        <w:t>Australia supported PNG to develop the National Policy on Disability 2015-2025</w:t>
      </w:r>
      <w:r w:rsidR="00C00413" w:rsidRPr="00994EC7">
        <w:rPr>
          <w:lang w:eastAsia="zh-CN"/>
        </w:rPr>
        <w:t xml:space="preserve">, which </w:t>
      </w:r>
      <w:r w:rsidRPr="00994EC7">
        <w:rPr>
          <w:lang w:eastAsia="zh-CN"/>
        </w:rPr>
        <w:t xml:space="preserve">was launched </w:t>
      </w:r>
      <w:r w:rsidR="00ED65FD" w:rsidRPr="00994EC7">
        <w:rPr>
          <w:lang w:eastAsia="zh-CN"/>
        </w:rPr>
        <w:t>in May</w:t>
      </w:r>
      <w:r w:rsidR="00F65E75" w:rsidRPr="00994EC7">
        <w:rPr>
          <w:lang w:eastAsia="zh-CN"/>
        </w:rPr>
        <w:t xml:space="preserve"> 2015</w:t>
      </w:r>
      <w:r w:rsidRPr="00994EC7">
        <w:rPr>
          <w:lang w:eastAsia="zh-CN"/>
        </w:rPr>
        <w:t xml:space="preserve">. </w:t>
      </w:r>
      <w:r w:rsidR="007C43E9" w:rsidRPr="00994EC7">
        <w:rPr>
          <w:lang w:eastAsia="zh-CN"/>
        </w:rPr>
        <w:t xml:space="preserve"> </w:t>
      </w:r>
      <w:r w:rsidRPr="00994EC7">
        <w:rPr>
          <w:lang w:eastAsia="zh-CN"/>
        </w:rPr>
        <w:t xml:space="preserve">The policy is built around three pillars: the Department for Community Development and </w:t>
      </w:r>
      <w:r w:rsidRPr="00A749B2">
        <w:rPr>
          <w:lang w:eastAsia="zh-CN"/>
        </w:rPr>
        <w:t>Religion</w:t>
      </w:r>
      <w:r w:rsidR="00ED65FD">
        <w:rPr>
          <w:lang w:eastAsia="zh-CN"/>
        </w:rPr>
        <w:t xml:space="preserve"> (legislative framework)</w:t>
      </w:r>
      <w:r w:rsidRPr="00A749B2">
        <w:rPr>
          <w:lang w:eastAsia="zh-CN"/>
        </w:rPr>
        <w:t>; the PNG Assembly of Disabled Persons (the advocates); and the National Board of Disabled Persons (who deliver the services). It is accompanied by a performance framework and action plan.</w:t>
      </w:r>
    </w:p>
    <w:p w:rsidR="00B91EA9" w:rsidRDefault="00FC263E" w:rsidP="00994EC7">
      <w:pPr>
        <w:pStyle w:val="Heading4"/>
        <w:spacing w:line="276" w:lineRule="auto"/>
      </w:pPr>
      <w:r w:rsidRPr="00994EC7">
        <w:rPr>
          <w:rFonts w:eastAsia="Times New Roman"/>
          <w:b w:val="0"/>
        </w:rPr>
        <w:t xml:space="preserve">The disability policy will be implemented at a national, provincial and local level. </w:t>
      </w:r>
      <w:r w:rsidR="009C12A3" w:rsidRPr="00994EC7">
        <w:rPr>
          <w:rFonts w:eastAsia="Times New Roman"/>
          <w:b w:val="0"/>
        </w:rPr>
        <w:t xml:space="preserve"> </w:t>
      </w:r>
      <w:r w:rsidRPr="00994EC7">
        <w:rPr>
          <w:rFonts w:eastAsia="Times New Roman"/>
          <w:b w:val="0"/>
        </w:rPr>
        <w:t>Integration at the provincial and local levels is already happening</w:t>
      </w:r>
      <w:r w:rsidR="003F59DC" w:rsidRPr="00994EC7">
        <w:rPr>
          <w:rFonts w:eastAsia="Times New Roman"/>
          <w:b w:val="0"/>
        </w:rPr>
        <w:t xml:space="preserve"> – </w:t>
      </w:r>
      <w:r w:rsidRPr="00994EC7">
        <w:rPr>
          <w:rFonts w:eastAsia="Times New Roman"/>
          <w:b w:val="0"/>
        </w:rPr>
        <w:t xml:space="preserve">in East and West New Britain for instance, provincial planning forums are taking place, provincial budgets have been secured and there are disability officers in place. </w:t>
      </w:r>
      <w:r w:rsidR="007C43E9" w:rsidRPr="00994EC7">
        <w:rPr>
          <w:rFonts w:eastAsia="Times New Roman"/>
          <w:b w:val="0"/>
        </w:rPr>
        <w:t xml:space="preserve"> </w:t>
      </w:r>
      <w:r w:rsidRPr="00994EC7">
        <w:rPr>
          <w:rFonts w:eastAsia="Times New Roman"/>
          <w:b w:val="0"/>
        </w:rPr>
        <w:t>In West New Britain they have also trialled the registration of people with disability</w:t>
      </w:r>
      <w:r w:rsidR="00CD7911" w:rsidRPr="00994EC7">
        <w:rPr>
          <w:rFonts w:eastAsia="Times New Roman"/>
          <w:b w:val="0"/>
        </w:rPr>
        <w:t xml:space="preserve"> in order to trial a pension</w:t>
      </w:r>
      <w:r w:rsidRPr="00994EC7">
        <w:rPr>
          <w:rFonts w:eastAsia="Times New Roman"/>
          <w:b w:val="0"/>
        </w:rPr>
        <w:t xml:space="preserve">. </w:t>
      </w:r>
      <w:r w:rsidR="007C43E9" w:rsidRPr="00994EC7">
        <w:rPr>
          <w:rFonts w:eastAsia="Times New Roman"/>
          <w:b w:val="0"/>
        </w:rPr>
        <w:t xml:space="preserve"> </w:t>
      </w:r>
      <w:r w:rsidRPr="00994EC7">
        <w:rPr>
          <w:rFonts w:eastAsia="Times New Roman"/>
          <w:b w:val="0"/>
        </w:rPr>
        <w:t>The data collected through these pilots will help determine provincial budgets to support disabled people in the provinces</w:t>
      </w:r>
      <w:r w:rsidRPr="00C34D7A">
        <w:t>.</w:t>
      </w:r>
      <w:r w:rsidR="0052404D" w:rsidRPr="00994EC7">
        <w:rPr>
          <w:b w:val="0"/>
        </w:rPr>
        <w:br/>
      </w:r>
      <w:r w:rsidR="0052404D">
        <w:br/>
      </w:r>
      <w:r w:rsidR="006504D2" w:rsidRPr="004472AF">
        <w:t>Australia’s contribution</w:t>
      </w:r>
      <w:r w:rsidR="00B91EA9">
        <w:br/>
      </w:r>
    </w:p>
    <w:p w:rsidR="00FC263E" w:rsidRPr="00A749B2" w:rsidRDefault="006504D2" w:rsidP="00A43278">
      <w:pPr>
        <w:pStyle w:val="BodyText"/>
        <w:rPr>
          <w:lang w:eastAsia="zh-CN"/>
        </w:rPr>
      </w:pPr>
      <w:r>
        <w:rPr>
          <w:lang w:eastAsia="zh-CN"/>
        </w:rPr>
        <w:t>T</w:t>
      </w:r>
      <w:r w:rsidR="00FC263E" w:rsidRPr="00A749B2">
        <w:rPr>
          <w:lang w:eastAsia="zh-CN"/>
        </w:rPr>
        <w:t xml:space="preserve">hrough </w:t>
      </w:r>
      <w:r w:rsidR="00C00413">
        <w:rPr>
          <w:lang w:eastAsia="zh-CN"/>
        </w:rPr>
        <w:t xml:space="preserve">the </w:t>
      </w:r>
      <w:r w:rsidR="00FC263E" w:rsidRPr="00A749B2">
        <w:rPr>
          <w:lang w:eastAsia="zh-CN"/>
        </w:rPr>
        <w:t>S</w:t>
      </w:r>
      <w:r w:rsidR="00C00413">
        <w:rPr>
          <w:lang w:eastAsia="zh-CN"/>
        </w:rPr>
        <w:t xml:space="preserve">trongim </w:t>
      </w:r>
      <w:r w:rsidR="00FC263E" w:rsidRPr="00A749B2">
        <w:rPr>
          <w:lang w:eastAsia="zh-CN"/>
        </w:rPr>
        <w:t>P</w:t>
      </w:r>
      <w:r w:rsidR="00C00413">
        <w:rPr>
          <w:lang w:eastAsia="zh-CN"/>
        </w:rPr>
        <w:t xml:space="preserve">ipol </w:t>
      </w:r>
      <w:r w:rsidR="00FC263E" w:rsidRPr="00A749B2">
        <w:rPr>
          <w:lang w:eastAsia="zh-CN"/>
        </w:rPr>
        <w:t>S</w:t>
      </w:r>
      <w:r w:rsidR="00C00413">
        <w:rPr>
          <w:lang w:eastAsia="zh-CN"/>
        </w:rPr>
        <w:t xml:space="preserve">trongim </w:t>
      </w:r>
      <w:r w:rsidR="00FC263E" w:rsidRPr="00A749B2">
        <w:rPr>
          <w:lang w:eastAsia="zh-CN"/>
        </w:rPr>
        <w:t>N</w:t>
      </w:r>
      <w:r w:rsidR="00C00413">
        <w:rPr>
          <w:lang w:eastAsia="zh-CN"/>
        </w:rPr>
        <w:t>esen (SPSN) program</w:t>
      </w:r>
      <w:r>
        <w:rPr>
          <w:lang w:eastAsia="zh-CN"/>
        </w:rPr>
        <w:t>,</w:t>
      </w:r>
      <w:r w:rsidR="00FC263E" w:rsidRPr="00A749B2">
        <w:rPr>
          <w:lang w:eastAsia="zh-CN"/>
        </w:rPr>
        <w:t xml:space="preserve"> Australia provides grants to lead disability organisations such as the National Orthotics and Prosthetics Service</w:t>
      </w:r>
      <w:r w:rsidR="005C67CD" w:rsidRPr="00A749B2">
        <w:rPr>
          <w:lang w:eastAsia="zh-CN"/>
        </w:rPr>
        <w:t xml:space="preserve"> (NOPS)</w:t>
      </w:r>
      <w:r w:rsidR="00FC263E" w:rsidRPr="00A749B2">
        <w:rPr>
          <w:lang w:eastAsia="zh-CN"/>
        </w:rPr>
        <w:t xml:space="preserve"> and Motivation Australia who distribute assistive devices.</w:t>
      </w:r>
      <w:r w:rsidR="007C43E9">
        <w:rPr>
          <w:lang w:eastAsia="zh-CN"/>
        </w:rPr>
        <w:t xml:space="preserve"> </w:t>
      </w:r>
      <w:r w:rsidR="00FC263E" w:rsidRPr="00A749B2">
        <w:rPr>
          <w:lang w:eastAsia="zh-CN"/>
        </w:rPr>
        <w:t xml:space="preserve"> In 2014, approximately $1.8 million in grants were provided to implement health sector related disability-inclusive development initiatives</w:t>
      </w:r>
      <w:r w:rsidR="003B7B88">
        <w:rPr>
          <w:lang w:eastAsia="zh-CN"/>
        </w:rPr>
        <w:t xml:space="preserve">. </w:t>
      </w:r>
      <w:r w:rsidR="0052404D">
        <w:rPr>
          <w:lang w:eastAsia="zh-CN"/>
        </w:rPr>
        <w:t xml:space="preserve"> </w:t>
      </w:r>
      <w:r w:rsidR="003B7B88">
        <w:rPr>
          <w:lang w:eastAsia="zh-CN"/>
        </w:rPr>
        <w:t xml:space="preserve">Key results include </w:t>
      </w:r>
      <w:r w:rsidR="00FC263E" w:rsidRPr="00A749B2">
        <w:rPr>
          <w:lang w:eastAsia="zh-CN"/>
        </w:rPr>
        <w:t>the distribution of 400 wheelchairs including technical fitting and training by</w:t>
      </w:r>
      <w:r w:rsidR="005C67CD" w:rsidRPr="00A749B2">
        <w:rPr>
          <w:lang w:eastAsia="zh-CN"/>
        </w:rPr>
        <w:t xml:space="preserve"> Motivation Australia, NOPS</w:t>
      </w:r>
      <w:r w:rsidR="00FC263E" w:rsidRPr="00A749B2">
        <w:rPr>
          <w:lang w:eastAsia="zh-CN"/>
        </w:rPr>
        <w:t xml:space="preserve"> and PNG Assembly of Disabled Persons</w:t>
      </w:r>
      <w:r w:rsidR="006642DE">
        <w:rPr>
          <w:lang w:eastAsia="zh-CN"/>
        </w:rPr>
        <w:t>;</w:t>
      </w:r>
      <w:r w:rsidR="00ED65FD">
        <w:rPr>
          <w:lang w:eastAsia="zh-CN"/>
        </w:rPr>
        <w:t xml:space="preserve"> and</w:t>
      </w:r>
      <w:r w:rsidR="003B7B88">
        <w:rPr>
          <w:lang w:eastAsia="zh-CN"/>
        </w:rPr>
        <w:t xml:space="preserve"> </w:t>
      </w:r>
      <w:r w:rsidR="006642DE">
        <w:rPr>
          <w:lang w:eastAsia="zh-CN"/>
        </w:rPr>
        <w:t>the</w:t>
      </w:r>
      <w:r w:rsidR="00ED65FD" w:rsidRPr="00A749B2">
        <w:rPr>
          <w:lang w:eastAsia="zh-CN"/>
        </w:rPr>
        <w:t xml:space="preserve"> </w:t>
      </w:r>
      <w:r w:rsidR="003B7B88">
        <w:rPr>
          <w:lang w:eastAsia="zh-CN"/>
        </w:rPr>
        <w:t>d</w:t>
      </w:r>
      <w:r w:rsidR="00ED65FD" w:rsidRPr="00A749B2">
        <w:rPr>
          <w:lang w:eastAsia="zh-CN"/>
        </w:rPr>
        <w:t>istribution of</w:t>
      </w:r>
      <w:r w:rsidR="00FC263E" w:rsidRPr="00A749B2">
        <w:rPr>
          <w:lang w:eastAsia="zh-CN"/>
        </w:rPr>
        <w:t xml:space="preserve"> 8,000 assistive devices</w:t>
      </w:r>
      <w:r w:rsidR="00ED65FD">
        <w:rPr>
          <w:lang w:eastAsia="zh-CN"/>
        </w:rPr>
        <w:t xml:space="preserve">, </w:t>
      </w:r>
      <w:r w:rsidR="00FC263E" w:rsidRPr="00A749B2">
        <w:rPr>
          <w:lang w:eastAsia="zh-CN"/>
        </w:rPr>
        <w:t>mostly in rural areas</w:t>
      </w:r>
      <w:r w:rsidR="00ED65FD">
        <w:rPr>
          <w:lang w:eastAsia="zh-CN"/>
        </w:rPr>
        <w:t>.</w:t>
      </w:r>
    </w:p>
    <w:p w:rsidR="006504D2" w:rsidRPr="00334E33" w:rsidRDefault="00FC263E" w:rsidP="00994EC7">
      <w:pPr>
        <w:pStyle w:val="BodyText"/>
        <w:spacing w:after="360"/>
        <w:rPr>
          <w:lang w:eastAsia="zh-CN"/>
        </w:rPr>
      </w:pPr>
      <w:r w:rsidRPr="00A749B2">
        <w:rPr>
          <w:lang w:eastAsia="zh-CN"/>
        </w:rPr>
        <w:t xml:space="preserve">The Australia Awards Scholarship Program received a commendation from DFAT's Disability Ambassador in 2014. </w:t>
      </w:r>
      <w:r w:rsidR="007C43E9">
        <w:rPr>
          <w:lang w:eastAsia="zh-CN"/>
        </w:rPr>
        <w:t xml:space="preserve"> </w:t>
      </w:r>
      <w:r w:rsidRPr="00A749B2">
        <w:rPr>
          <w:lang w:eastAsia="zh-CN"/>
        </w:rPr>
        <w:t>Throughout the year, approximately nine per cent of awardees</w:t>
      </w:r>
      <w:r w:rsidR="006642DE">
        <w:rPr>
          <w:lang w:eastAsia="zh-CN"/>
        </w:rPr>
        <w:t xml:space="preserve"> were</w:t>
      </w:r>
      <w:r w:rsidRPr="00A749B2">
        <w:rPr>
          <w:lang w:eastAsia="zh-CN"/>
        </w:rPr>
        <w:t xml:space="preserve"> living with disability (up from three per cent in 2013) with the program providing additional </w:t>
      </w:r>
      <w:r w:rsidR="003A0E05" w:rsidRPr="00A749B2">
        <w:rPr>
          <w:lang w:eastAsia="zh-CN"/>
        </w:rPr>
        <w:t xml:space="preserve">support for equipment and other aids so that students were able to study in Australia without any barriers. </w:t>
      </w:r>
    </w:p>
    <w:p w:rsidR="006504D2" w:rsidRPr="006504D2" w:rsidRDefault="006504D2" w:rsidP="00994EC7">
      <w:pPr>
        <w:pStyle w:val="Heading4"/>
      </w:pPr>
      <w:r w:rsidRPr="006504D2">
        <w:lastRenderedPageBreak/>
        <w:t>Key risks and challenges</w:t>
      </w:r>
      <w:r w:rsidR="00C37E40">
        <w:br/>
      </w:r>
    </w:p>
    <w:p w:rsidR="00FC263E" w:rsidRPr="005D12B3" w:rsidRDefault="00FC263E" w:rsidP="00994EC7">
      <w:pPr>
        <w:pStyle w:val="BodyText"/>
        <w:spacing w:line="276" w:lineRule="auto"/>
        <w:rPr>
          <w:lang w:eastAsia="zh-CN"/>
        </w:rPr>
      </w:pPr>
      <w:r w:rsidRPr="00A749B2">
        <w:rPr>
          <w:lang w:eastAsia="zh-CN"/>
        </w:rPr>
        <w:t xml:space="preserve">Key risks and challenges to </w:t>
      </w:r>
      <w:r w:rsidR="00A749B2" w:rsidRPr="00A749B2">
        <w:rPr>
          <w:lang w:eastAsia="zh-CN"/>
        </w:rPr>
        <w:t xml:space="preserve">achieving disability </w:t>
      </w:r>
      <w:r w:rsidR="00E32C30" w:rsidRPr="00A749B2">
        <w:rPr>
          <w:lang w:eastAsia="zh-CN"/>
        </w:rPr>
        <w:t>inclusiv</w:t>
      </w:r>
      <w:r w:rsidR="00E32C30">
        <w:rPr>
          <w:lang w:eastAsia="zh-CN"/>
        </w:rPr>
        <w:t>e</w:t>
      </w:r>
      <w:r w:rsidR="00E32C30" w:rsidRPr="00A749B2">
        <w:rPr>
          <w:lang w:eastAsia="zh-CN"/>
        </w:rPr>
        <w:t>ness</w:t>
      </w:r>
      <w:r w:rsidR="00A749B2" w:rsidRPr="00A749B2">
        <w:rPr>
          <w:lang w:eastAsia="zh-CN"/>
        </w:rPr>
        <w:t xml:space="preserve"> development in PNG</w:t>
      </w:r>
      <w:r w:rsidRPr="00A749B2">
        <w:rPr>
          <w:lang w:eastAsia="zh-CN"/>
        </w:rPr>
        <w:t xml:space="preserve"> include a </w:t>
      </w:r>
      <w:r w:rsidRPr="005D12B3">
        <w:rPr>
          <w:lang w:eastAsia="zh-CN"/>
        </w:rPr>
        <w:t xml:space="preserve">general lack of capacity within the PNG Department for Community Development, Youth and Religion, the Department charged with implementing PNG’s new disability policy. </w:t>
      </w:r>
      <w:r w:rsidR="007C43E9" w:rsidRPr="005D12B3">
        <w:rPr>
          <w:lang w:eastAsia="zh-CN"/>
        </w:rPr>
        <w:t xml:space="preserve"> </w:t>
      </w:r>
      <w:r w:rsidRPr="005D12B3">
        <w:rPr>
          <w:lang w:eastAsia="zh-CN"/>
        </w:rPr>
        <w:t>This may result in a lack of effective implementation of the policy</w:t>
      </w:r>
      <w:r w:rsidR="00AA6150" w:rsidRPr="005D12B3">
        <w:rPr>
          <w:lang w:eastAsia="zh-CN"/>
        </w:rPr>
        <w:t xml:space="preserve"> </w:t>
      </w:r>
    </w:p>
    <w:p w:rsidR="00185287" w:rsidRPr="00994EC7" w:rsidRDefault="00ED65FD" w:rsidP="00994EC7">
      <w:pPr>
        <w:pStyle w:val="Heading3"/>
      </w:pPr>
      <w:r w:rsidRPr="00DA2CD4">
        <w:rPr>
          <w:rFonts w:cs="Times New Roman"/>
          <w:b w:val="0"/>
          <w:color w:val="auto"/>
          <w:kern w:val="0"/>
          <w:sz w:val="21"/>
          <w:szCs w:val="24"/>
        </w:rPr>
        <w:t>The requirement to adhere to the DFAT’s Development for All 2015-2020: Strategy for strengthening disability-inclusive development in Australia’s aid program and Accessibility Design Guide: Universal design principles for Australia’s aid program were referenced in all design documents during the reporting period.  Further attention will need to be paid to this issue during the implementation of the new programs.</w:t>
      </w:r>
      <w:r w:rsidR="00C37E40" w:rsidRPr="00994EC7">
        <w:rPr>
          <w:sz w:val="21"/>
        </w:rPr>
        <w:br/>
      </w:r>
      <w:r w:rsidR="00E32C30" w:rsidRPr="00994EC7">
        <w:br/>
      </w:r>
      <w:r w:rsidR="00C64470">
        <w:br/>
      </w:r>
      <w:r w:rsidR="00E32C30" w:rsidRPr="00994EC7">
        <w:t>Cross-cutting: Private Sector Development</w:t>
      </w:r>
    </w:p>
    <w:p w:rsidR="003244BE" w:rsidRPr="005D12B3" w:rsidRDefault="00993093" w:rsidP="00994EC7">
      <w:pPr>
        <w:pStyle w:val="BodyText"/>
        <w:spacing w:line="276" w:lineRule="auto"/>
        <w:rPr>
          <w:lang w:eastAsia="zh-CN"/>
        </w:rPr>
      </w:pPr>
      <w:r w:rsidRPr="005D12B3">
        <w:rPr>
          <w:lang w:eastAsia="zh-CN"/>
        </w:rPr>
        <w:t>There was</w:t>
      </w:r>
      <w:r w:rsidR="003244BE" w:rsidRPr="005D12B3">
        <w:rPr>
          <w:lang w:eastAsia="zh-CN"/>
        </w:rPr>
        <w:t xml:space="preserve"> s</w:t>
      </w:r>
      <w:r w:rsidR="0030187A" w:rsidRPr="005D12B3">
        <w:rPr>
          <w:lang w:eastAsia="zh-CN"/>
        </w:rPr>
        <w:t>trong</w:t>
      </w:r>
      <w:r w:rsidR="003244BE" w:rsidRPr="005D12B3">
        <w:rPr>
          <w:lang w:eastAsia="zh-CN"/>
        </w:rPr>
        <w:t xml:space="preserve"> progress in </w:t>
      </w:r>
      <w:r w:rsidR="0030187A" w:rsidRPr="005D12B3">
        <w:rPr>
          <w:lang w:eastAsia="zh-CN"/>
        </w:rPr>
        <w:t>reprioritising our focus on the private sector while noting that the Private Sector Development Framework will largely commence delivery in 2015-16</w:t>
      </w:r>
      <w:r w:rsidR="00E10E2E" w:rsidRPr="005D12B3">
        <w:rPr>
          <w:lang w:eastAsia="zh-CN"/>
        </w:rPr>
        <w:t>.</w:t>
      </w:r>
    </w:p>
    <w:p w:rsidR="00185287" w:rsidRDefault="00185287" w:rsidP="00994EC7">
      <w:pPr>
        <w:pStyle w:val="BodyText"/>
        <w:spacing w:line="276" w:lineRule="auto"/>
        <w:rPr>
          <w:lang w:eastAsia="zh-CN"/>
        </w:rPr>
      </w:pPr>
      <w:r w:rsidRPr="005D12B3">
        <w:rPr>
          <w:lang w:eastAsia="zh-CN"/>
        </w:rPr>
        <w:t xml:space="preserve">Despite its sustained period of high economic growth, PNG has not yet harnessed the full potential of the private sector to promote broad-based, inclusive growth. </w:t>
      </w:r>
      <w:r w:rsidR="007C43E9" w:rsidRPr="005D12B3">
        <w:rPr>
          <w:lang w:eastAsia="zh-CN"/>
        </w:rPr>
        <w:t xml:space="preserve"> </w:t>
      </w:r>
      <w:r w:rsidRPr="005D12B3">
        <w:rPr>
          <w:lang w:eastAsia="zh-CN"/>
        </w:rPr>
        <w:t xml:space="preserve">The country’s growth is heavily dependent on the mining and petroleum sectors and needs to </w:t>
      </w:r>
      <w:r w:rsidR="00542132" w:rsidRPr="005D12B3">
        <w:rPr>
          <w:lang w:eastAsia="zh-CN"/>
        </w:rPr>
        <w:t xml:space="preserve">broaden </w:t>
      </w:r>
      <w:r w:rsidRPr="005D12B3">
        <w:rPr>
          <w:lang w:eastAsia="zh-CN"/>
        </w:rPr>
        <w:t>if it is to withstand future price shocks and ensure greater inclusion.</w:t>
      </w:r>
      <w:r w:rsidR="007C43E9" w:rsidRPr="005D12B3">
        <w:rPr>
          <w:lang w:eastAsia="zh-CN"/>
        </w:rPr>
        <w:t xml:space="preserve"> </w:t>
      </w:r>
      <w:r w:rsidRPr="005D12B3">
        <w:rPr>
          <w:lang w:eastAsia="zh-CN"/>
        </w:rPr>
        <w:t xml:space="preserve"> In </w:t>
      </w:r>
      <w:r w:rsidRPr="001C5F11">
        <w:rPr>
          <w:lang w:eastAsia="zh-CN"/>
        </w:rPr>
        <w:t xml:space="preserve">the </w:t>
      </w:r>
      <w:hyperlink r:id="rId20" w:history="1">
        <w:r w:rsidRPr="00994EC7">
          <w:rPr>
            <w:rStyle w:val="Hyperlink"/>
            <w:sz w:val="21"/>
            <w:szCs w:val="24"/>
          </w:rPr>
          <w:t>World Bank’s 2015 Cost of Doing Business</w:t>
        </w:r>
      </w:hyperlink>
      <w:r w:rsidR="006642DE" w:rsidRPr="001C5F11">
        <w:rPr>
          <w:lang w:eastAsia="zh-CN"/>
        </w:rPr>
        <w:t xml:space="preserve"> report</w:t>
      </w:r>
      <w:r w:rsidRPr="005D12B3">
        <w:rPr>
          <w:lang w:eastAsia="zh-CN"/>
        </w:rPr>
        <w:t>, PNG ranked 133 out of 189 economies surveyed (the lower the ranking, the higher the costs).</w:t>
      </w:r>
      <w:r w:rsidR="006642DE" w:rsidRPr="005D12B3">
        <w:rPr>
          <w:lang w:eastAsia="zh-CN"/>
        </w:rPr>
        <w:t xml:space="preserve"> </w:t>
      </w:r>
      <w:r w:rsidRPr="005D12B3">
        <w:rPr>
          <w:lang w:eastAsia="zh-CN"/>
        </w:rPr>
        <w:t xml:space="preserve"> PNG also rated particularly poorly in the category of ‘enforcing contracts’ (181 out of 189). </w:t>
      </w:r>
    </w:p>
    <w:p w:rsidR="000F41B6" w:rsidRPr="006504D2" w:rsidRDefault="00CD375C" w:rsidP="00994EC7">
      <w:pPr>
        <w:pStyle w:val="BodyText"/>
        <w:spacing w:line="276" w:lineRule="auto"/>
        <w:rPr>
          <w:lang w:eastAsia="zh-CN"/>
        </w:rPr>
      </w:pPr>
      <w:r w:rsidRPr="00A43278">
        <w:rPr>
          <w:lang w:eastAsia="zh-CN"/>
        </w:rPr>
        <w:t xml:space="preserve">In 2014-15, </w:t>
      </w:r>
      <w:r w:rsidR="0030187A" w:rsidRPr="00A43278">
        <w:rPr>
          <w:lang w:eastAsia="zh-CN"/>
        </w:rPr>
        <w:t>Australia’s aid</w:t>
      </w:r>
      <w:r w:rsidRPr="00A43278">
        <w:rPr>
          <w:lang w:eastAsia="zh-CN"/>
        </w:rPr>
        <w:t xml:space="preserve"> </w:t>
      </w:r>
      <w:r w:rsidR="0030187A" w:rsidRPr="00A43278">
        <w:rPr>
          <w:lang w:eastAsia="zh-CN"/>
        </w:rPr>
        <w:t xml:space="preserve">for trade to PNG </w:t>
      </w:r>
      <w:r w:rsidRPr="00A43278">
        <w:rPr>
          <w:lang w:eastAsia="zh-CN"/>
        </w:rPr>
        <w:t>was 20 per cent</w:t>
      </w:r>
      <w:r w:rsidR="004B318C" w:rsidRPr="00A43278">
        <w:rPr>
          <w:lang w:eastAsia="zh-CN"/>
        </w:rPr>
        <w:t xml:space="preserve">. </w:t>
      </w:r>
      <w:r w:rsidR="006642DE">
        <w:rPr>
          <w:lang w:eastAsia="zh-CN"/>
        </w:rPr>
        <w:t xml:space="preserve"> Our</w:t>
      </w:r>
      <w:r w:rsidRPr="00A43278">
        <w:rPr>
          <w:lang w:eastAsia="zh-CN"/>
        </w:rPr>
        <w:t xml:space="preserve"> efforts to increase </w:t>
      </w:r>
      <w:r w:rsidR="004B318C" w:rsidRPr="00A43278">
        <w:rPr>
          <w:lang w:eastAsia="zh-CN"/>
        </w:rPr>
        <w:t>aid for trade in PNG</w:t>
      </w:r>
      <w:r w:rsidRPr="00A43278">
        <w:rPr>
          <w:lang w:eastAsia="zh-CN"/>
        </w:rPr>
        <w:t xml:space="preserve"> to </w:t>
      </w:r>
      <w:r w:rsidR="004B318C" w:rsidRPr="00A43278">
        <w:rPr>
          <w:lang w:eastAsia="zh-CN"/>
        </w:rPr>
        <w:t xml:space="preserve">30 per cent by 2017 are well on track. </w:t>
      </w:r>
      <w:r w:rsidR="0030187A" w:rsidRPr="004B318C">
        <w:rPr>
          <w:lang w:eastAsia="zh-CN"/>
        </w:rPr>
        <w:t xml:space="preserve"> </w:t>
      </w:r>
      <w:r w:rsidR="0030187A" w:rsidRPr="00DE44D1">
        <w:rPr>
          <w:lang w:eastAsia="zh-CN"/>
        </w:rPr>
        <w:t xml:space="preserve">In scaling up aid for trade, Australia </w:t>
      </w:r>
      <w:r w:rsidR="0030187A">
        <w:rPr>
          <w:lang w:eastAsia="zh-CN"/>
        </w:rPr>
        <w:t>is</w:t>
      </w:r>
      <w:r w:rsidR="0030187A" w:rsidRPr="00DE44D1">
        <w:rPr>
          <w:lang w:eastAsia="zh-CN"/>
        </w:rPr>
        <w:t xml:space="preserve"> target</w:t>
      </w:r>
      <w:r w:rsidR="0030187A">
        <w:rPr>
          <w:lang w:eastAsia="zh-CN"/>
        </w:rPr>
        <w:t>ing</w:t>
      </w:r>
      <w:r w:rsidR="0030187A" w:rsidRPr="00DE44D1">
        <w:rPr>
          <w:lang w:eastAsia="zh-CN"/>
        </w:rPr>
        <w:t xml:space="preserve"> country-specific constraints to participation in trade. </w:t>
      </w:r>
      <w:r w:rsidR="0030187A">
        <w:rPr>
          <w:lang w:eastAsia="zh-CN"/>
        </w:rPr>
        <w:t xml:space="preserve"> </w:t>
      </w:r>
      <w:r w:rsidR="0030187A" w:rsidRPr="00DE44D1">
        <w:rPr>
          <w:lang w:eastAsia="zh-CN"/>
        </w:rPr>
        <w:t>Areas of focus include governance and regulatory impediments, trade facilitation, infrastructure</w:t>
      </w:r>
      <w:r w:rsidR="006F0C73">
        <w:rPr>
          <w:lang w:eastAsia="zh-CN"/>
        </w:rPr>
        <w:t xml:space="preserve"> (</w:t>
      </w:r>
      <w:r w:rsidR="00ED65FD">
        <w:rPr>
          <w:lang w:eastAsia="zh-CN"/>
        </w:rPr>
        <w:t>including</w:t>
      </w:r>
      <w:r w:rsidR="006F0C73">
        <w:rPr>
          <w:lang w:eastAsia="zh-CN"/>
        </w:rPr>
        <w:t xml:space="preserve"> energy and mining)</w:t>
      </w:r>
      <w:r w:rsidR="0030187A" w:rsidRPr="00DE44D1">
        <w:rPr>
          <w:lang w:eastAsia="zh-CN"/>
        </w:rPr>
        <w:t xml:space="preserve">, private sector development, agri-food, fisheries and services, and empowering women to engage in economic activities. </w:t>
      </w:r>
      <w:r w:rsidR="0030187A">
        <w:rPr>
          <w:lang w:eastAsia="zh-CN"/>
        </w:rPr>
        <w:t xml:space="preserve"> </w:t>
      </w:r>
      <w:r w:rsidR="0030187A" w:rsidRPr="00DE44D1">
        <w:rPr>
          <w:lang w:eastAsia="zh-CN"/>
        </w:rPr>
        <w:t>The private sector, multilateral development banks and other donors will be important partners in the delivery of aid for trade outcomes.</w:t>
      </w:r>
      <w:r w:rsidR="009B1257">
        <w:rPr>
          <w:lang w:eastAsia="zh-CN"/>
        </w:rPr>
        <w:t xml:space="preserve"> </w:t>
      </w:r>
      <w:r w:rsidR="000F41B6" w:rsidRPr="00DE44D1">
        <w:rPr>
          <w:lang w:eastAsia="zh-CN"/>
        </w:rPr>
        <w:t xml:space="preserve"> </w:t>
      </w:r>
      <w:r w:rsidR="006642DE" w:rsidRPr="006F3FB6">
        <w:rPr>
          <w:lang w:eastAsia="zh-CN"/>
        </w:rPr>
        <w:t>Aid for</w:t>
      </w:r>
      <w:r w:rsidR="006642DE" w:rsidRPr="00DE44D1">
        <w:rPr>
          <w:lang w:eastAsia="zh-CN"/>
        </w:rPr>
        <w:t xml:space="preserve"> trade is an important lever to meet the Government’s broader economic diplomacy objectives.</w:t>
      </w:r>
      <w:r w:rsidR="006642DE">
        <w:rPr>
          <w:lang w:eastAsia="zh-CN"/>
        </w:rPr>
        <w:t xml:space="preserve"> </w:t>
      </w:r>
      <w:r w:rsidR="006642DE" w:rsidRPr="00DE44D1">
        <w:rPr>
          <w:lang w:eastAsia="zh-CN"/>
        </w:rPr>
        <w:t xml:space="preserve"> </w:t>
      </w:r>
    </w:p>
    <w:p w:rsidR="0030187A" w:rsidRDefault="0030187A" w:rsidP="00994EC7">
      <w:pPr>
        <w:pStyle w:val="BodyText"/>
        <w:spacing w:line="276" w:lineRule="auto"/>
      </w:pPr>
      <w:r>
        <w:rPr>
          <w:lang w:eastAsia="zh-CN"/>
        </w:rPr>
        <w:t xml:space="preserve">In 2014-15, DFAT worked closely with the Government of PNG to develop the PNG Private Sector Development Framework. </w:t>
      </w:r>
      <w:r w:rsidR="006642DE">
        <w:rPr>
          <w:lang w:eastAsia="zh-CN"/>
        </w:rPr>
        <w:t xml:space="preserve"> </w:t>
      </w:r>
      <w:r>
        <w:rPr>
          <w:lang w:eastAsia="zh-CN"/>
        </w:rPr>
        <w:t xml:space="preserve">The Framework operates on four pillars </w:t>
      </w:r>
      <w:r w:rsidRPr="00AD6E61">
        <w:rPr>
          <w:lang w:eastAsia="zh-CN"/>
        </w:rPr>
        <w:t>of cooperation, including</w:t>
      </w:r>
      <w:r>
        <w:rPr>
          <w:lang w:eastAsia="zh-CN"/>
        </w:rPr>
        <w:t>:</w:t>
      </w:r>
      <w:r w:rsidRPr="00AD6E61">
        <w:rPr>
          <w:lang w:eastAsia="zh-CN"/>
        </w:rPr>
        <w:t xml:space="preserve"> the </w:t>
      </w:r>
      <w:r w:rsidR="00CD375C">
        <w:rPr>
          <w:lang w:eastAsia="zh-CN"/>
        </w:rPr>
        <w:t>b</w:t>
      </w:r>
      <w:r w:rsidR="00CD375C" w:rsidRPr="00AD6E61">
        <w:rPr>
          <w:lang w:eastAsia="zh-CN"/>
        </w:rPr>
        <w:t xml:space="preserve">usiness </w:t>
      </w:r>
      <w:r w:rsidR="00CD375C">
        <w:rPr>
          <w:lang w:eastAsia="zh-CN"/>
        </w:rPr>
        <w:t>e</w:t>
      </w:r>
      <w:r w:rsidR="00CD375C" w:rsidRPr="00AD6E61">
        <w:rPr>
          <w:lang w:eastAsia="zh-CN"/>
        </w:rPr>
        <w:t xml:space="preserve">nabling </w:t>
      </w:r>
      <w:r w:rsidR="00CD375C">
        <w:rPr>
          <w:lang w:eastAsia="zh-CN"/>
        </w:rPr>
        <w:t>e</w:t>
      </w:r>
      <w:r w:rsidR="00CD375C" w:rsidRPr="00AD6E61">
        <w:rPr>
          <w:lang w:eastAsia="zh-CN"/>
        </w:rPr>
        <w:t>nvironment</w:t>
      </w:r>
      <w:r w:rsidRPr="00AD6E61">
        <w:rPr>
          <w:lang w:eastAsia="zh-CN"/>
        </w:rPr>
        <w:t xml:space="preserve">; </w:t>
      </w:r>
      <w:r w:rsidR="00CD375C">
        <w:rPr>
          <w:lang w:eastAsia="zh-CN"/>
        </w:rPr>
        <w:t>a</w:t>
      </w:r>
      <w:r w:rsidR="00CD375C" w:rsidRPr="00AD6E61">
        <w:rPr>
          <w:lang w:eastAsia="zh-CN"/>
        </w:rPr>
        <w:t>griculture</w:t>
      </w:r>
      <w:r w:rsidRPr="00AD6E61">
        <w:rPr>
          <w:lang w:eastAsia="zh-CN"/>
        </w:rPr>
        <w:t xml:space="preserve">, </w:t>
      </w:r>
      <w:r w:rsidR="00CD375C">
        <w:rPr>
          <w:lang w:eastAsia="zh-CN"/>
        </w:rPr>
        <w:t>r</w:t>
      </w:r>
      <w:r w:rsidR="00CD375C" w:rsidRPr="00AD6E61">
        <w:rPr>
          <w:lang w:eastAsia="zh-CN"/>
        </w:rPr>
        <w:t xml:space="preserve">ural </w:t>
      </w:r>
      <w:r w:rsidR="00CD375C">
        <w:rPr>
          <w:lang w:eastAsia="zh-CN"/>
        </w:rPr>
        <w:t>d</w:t>
      </w:r>
      <w:r w:rsidR="00CD375C" w:rsidRPr="00AD6E61">
        <w:rPr>
          <w:lang w:eastAsia="zh-CN"/>
        </w:rPr>
        <w:t>evelopment</w:t>
      </w:r>
      <w:r w:rsidRPr="00AD6E61">
        <w:rPr>
          <w:lang w:eastAsia="zh-CN"/>
        </w:rPr>
        <w:t xml:space="preserve">, </w:t>
      </w:r>
      <w:r w:rsidR="00CD375C">
        <w:rPr>
          <w:lang w:eastAsia="zh-CN"/>
        </w:rPr>
        <w:t>m</w:t>
      </w:r>
      <w:r w:rsidR="00CD375C" w:rsidRPr="00AD6E61">
        <w:rPr>
          <w:lang w:eastAsia="zh-CN"/>
        </w:rPr>
        <w:t xml:space="preserve">arkets </w:t>
      </w:r>
      <w:r w:rsidRPr="00AD6E61">
        <w:rPr>
          <w:lang w:eastAsia="zh-CN"/>
        </w:rPr>
        <w:t xml:space="preserve">and </w:t>
      </w:r>
      <w:r w:rsidR="00CD375C">
        <w:rPr>
          <w:lang w:eastAsia="zh-CN"/>
        </w:rPr>
        <w:t>t</w:t>
      </w:r>
      <w:r w:rsidR="00CD375C" w:rsidRPr="00AD6E61">
        <w:rPr>
          <w:lang w:eastAsia="zh-CN"/>
        </w:rPr>
        <w:t>rade</w:t>
      </w:r>
      <w:r w:rsidRPr="00AD6E61">
        <w:rPr>
          <w:lang w:eastAsia="zh-CN"/>
        </w:rPr>
        <w:t xml:space="preserve">; </w:t>
      </w:r>
      <w:r w:rsidR="0019273D">
        <w:rPr>
          <w:lang w:eastAsia="zh-CN"/>
        </w:rPr>
        <w:t>i</w:t>
      </w:r>
      <w:r w:rsidRPr="00AD6E61">
        <w:rPr>
          <w:lang w:eastAsia="zh-CN"/>
        </w:rPr>
        <w:t xml:space="preserve">nnovation and </w:t>
      </w:r>
      <w:r w:rsidR="0019273D">
        <w:rPr>
          <w:lang w:eastAsia="zh-CN"/>
        </w:rPr>
        <w:t>p</w:t>
      </w:r>
      <w:r w:rsidRPr="00AD6E61">
        <w:rPr>
          <w:lang w:eastAsia="zh-CN"/>
        </w:rPr>
        <w:t xml:space="preserve">artnerships; and </w:t>
      </w:r>
      <w:r w:rsidR="0019273D">
        <w:rPr>
          <w:lang w:eastAsia="zh-CN"/>
        </w:rPr>
        <w:t>f</w:t>
      </w:r>
      <w:r w:rsidRPr="00AD6E61">
        <w:rPr>
          <w:lang w:eastAsia="zh-CN"/>
        </w:rPr>
        <w:t xml:space="preserve">inancial </w:t>
      </w:r>
      <w:r w:rsidR="0019273D">
        <w:rPr>
          <w:lang w:eastAsia="zh-CN"/>
        </w:rPr>
        <w:t>i</w:t>
      </w:r>
      <w:r w:rsidRPr="00AD6E61">
        <w:rPr>
          <w:lang w:eastAsia="zh-CN"/>
        </w:rPr>
        <w:t>nclusion.</w:t>
      </w:r>
      <w:r>
        <w:rPr>
          <w:lang w:eastAsia="zh-CN"/>
        </w:rPr>
        <w:t xml:space="preserve">  </w:t>
      </w:r>
      <w:r w:rsidRPr="00AD6E61">
        <w:rPr>
          <w:lang w:eastAsia="zh-CN"/>
        </w:rPr>
        <w:t xml:space="preserve">This reporting period has seen the early establishment and contracting of new and expanded initiatives to deliver on this framework and specific assistance has been limited to strengthening the microfinance sector and increased financial literacy. </w:t>
      </w:r>
      <w:r>
        <w:rPr>
          <w:lang w:eastAsia="zh-CN"/>
        </w:rPr>
        <w:t xml:space="preserve"> </w:t>
      </w:r>
      <w:r w:rsidRPr="00AD6E61">
        <w:rPr>
          <w:szCs w:val="21"/>
        </w:rPr>
        <w:t>The Microfinance Expansion Project</w:t>
      </w:r>
      <w:r>
        <w:rPr>
          <w:szCs w:val="21"/>
        </w:rPr>
        <w:t xml:space="preserve"> (MEP), previously in operation under the Pacific Regional program, </w:t>
      </w:r>
      <w:r w:rsidRPr="00AD6E61">
        <w:rPr>
          <w:szCs w:val="21"/>
        </w:rPr>
        <w:t>is now impacting the lives of ordinary Papua New Guineans</w:t>
      </w:r>
      <w:r>
        <w:rPr>
          <w:szCs w:val="21"/>
        </w:rPr>
        <w:t xml:space="preserve">. </w:t>
      </w:r>
      <w:r w:rsidR="006642DE">
        <w:rPr>
          <w:szCs w:val="21"/>
        </w:rPr>
        <w:t xml:space="preserve"> </w:t>
      </w:r>
      <w:r>
        <w:rPr>
          <w:szCs w:val="21"/>
        </w:rPr>
        <w:t>Through the MEP</w:t>
      </w:r>
      <w:r w:rsidRPr="00AD6E61">
        <w:rPr>
          <w:szCs w:val="21"/>
        </w:rPr>
        <w:t xml:space="preserve"> </w:t>
      </w:r>
      <w:r>
        <w:rPr>
          <w:szCs w:val="21"/>
        </w:rPr>
        <w:t>around</w:t>
      </w:r>
      <w:r w:rsidRPr="00AD6E61">
        <w:rPr>
          <w:szCs w:val="21"/>
        </w:rPr>
        <w:t xml:space="preserve"> </w:t>
      </w:r>
      <w:r>
        <w:rPr>
          <w:szCs w:val="21"/>
        </w:rPr>
        <w:t xml:space="preserve">34,800 </w:t>
      </w:r>
      <w:r w:rsidRPr="00AD6E61">
        <w:rPr>
          <w:szCs w:val="21"/>
        </w:rPr>
        <w:t xml:space="preserve">people </w:t>
      </w:r>
      <w:r w:rsidR="004B318C">
        <w:rPr>
          <w:szCs w:val="21"/>
        </w:rPr>
        <w:t>received</w:t>
      </w:r>
      <w:r w:rsidR="004B318C" w:rsidRPr="00AD6E61">
        <w:rPr>
          <w:szCs w:val="21"/>
        </w:rPr>
        <w:t xml:space="preserve"> </w:t>
      </w:r>
      <w:r w:rsidRPr="00AD6E61">
        <w:rPr>
          <w:szCs w:val="21"/>
        </w:rPr>
        <w:t xml:space="preserve">financial literacy training, </w:t>
      </w:r>
      <w:r>
        <w:rPr>
          <w:szCs w:val="21"/>
        </w:rPr>
        <w:t xml:space="preserve">nearly </w:t>
      </w:r>
      <w:r w:rsidRPr="00AD6E61">
        <w:rPr>
          <w:szCs w:val="21"/>
        </w:rPr>
        <w:t xml:space="preserve">half of whom </w:t>
      </w:r>
      <w:r w:rsidR="004B318C">
        <w:rPr>
          <w:szCs w:val="21"/>
        </w:rPr>
        <w:t>a</w:t>
      </w:r>
      <w:r w:rsidR="004B318C" w:rsidRPr="00AD6E61">
        <w:rPr>
          <w:szCs w:val="21"/>
        </w:rPr>
        <w:t xml:space="preserve">re </w:t>
      </w:r>
      <w:r w:rsidRPr="00AD6E61">
        <w:rPr>
          <w:szCs w:val="21"/>
        </w:rPr>
        <w:t>women, resulting in almost 7,000 new bank accounts being opened with partner financial institutions.</w:t>
      </w:r>
      <w:r>
        <w:rPr>
          <w:szCs w:val="21"/>
        </w:rPr>
        <w:t xml:space="preserve"> </w:t>
      </w:r>
      <w:r>
        <w:t>Australia supported an entrepreneurship pilot, the Kumul GameChangers Initiative, aimed at unleashing creative solutions to development challenges.</w:t>
      </w:r>
    </w:p>
    <w:p w:rsidR="00185287" w:rsidRDefault="00185287" w:rsidP="00994EC7">
      <w:pPr>
        <w:pStyle w:val="BodyText"/>
        <w:spacing w:after="240" w:line="276" w:lineRule="auto"/>
        <w:rPr>
          <w:lang w:eastAsia="zh-CN"/>
        </w:rPr>
      </w:pPr>
      <w:r w:rsidRPr="00185287">
        <w:rPr>
          <w:lang w:eastAsia="zh-CN"/>
        </w:rPr>
        <w:t xml:space="preserve">We </w:t>
      </w:r>
      <w:r>
        <w:rPr>
          <w:lang w:eastAsia="zh-CN"/>
        </w:rPr>
        <w:t>increased</w:t>
      </w:r>
      <w:r w:rsidRPr="00185287">
        <w:rPr>
          <w:lang w:eastAsia="zh-CN"/>
        </w:rPr>
        <w:t xml:space="preserve"> support for rural livelihoods through an enhanced DFAT-Australian Centre for International Agricultural Research (ACIAR) partnership that includes a focus on developing markets</w:t>
      </w:r>
      <w:r>
        <w:rPr>
          <w:lang w:eastAsia="zh-CN"/>
        </w:rPr>
        <w:t xml:space="preserve"> in the agriculture sector.  We </w:t>
      </w:r>
      <w:r w:rsidR="004B318C">
        <w:rPr>
          <w:lang w:eastAsia="zh-CN"/>
        </w:rPr>
        <w:t xml:space="preserve">have </w:t>
      </w:r>
      <w:r w:rsidRPr="00185287">
        <w:rPr>
          <w:lang w:eastAsia="zh-CN"/>
        </w:rPr>
        <w:t>also strengthen</w:t>
      </w:r>
      <w:r w:rsidR="004B318C">
        <w:rPr>
          <w:lang w:eastAsia="zh-CN"/>
        </w:rPr>
        <w:t>ed</w:t>
      </w:r>
      <w:r w:rsidRPr="00185287">
        <w:rPr>
          <w:lang w:eastAsia="zh-CN"/>
        </w:rPr>
        <w:t xml:space="preserve"> PNG’s capacity to deal with cross-border trade issues such as quarantine and customs, helping PNG access international markets, and have offered support to PNG for its preparations for APEC 2018.</w:t>
      </w:r>
    </w:p>
    <w:p w:rsidR="00E10E2E" w:rsidRPr="00A06A96" w:rsidRDefault="00E10E2E" w:rsidP="00994EC7">
      <w:pPr>
        <w:pStyle w:val="Heading4"/>
      </w:pPr>
      <w:r w:rsidRPr="00A43278">
        <w:lastRenderedPageBreak/>
        <w:t>Key risks and challenges</w:t>
      </w:r>
      <w:r w:rsidR="00C37E40">
        <w:br/>
      </w:r>
    </w:p>
    <w:p w:rsidR="00E10E2E" w:rsidRPr="00A06A96" w:rsidRDefault="004F4E64" w:rsidP="00994EC7">
      <w:pPr>
        <w:pStyle w:val="BodyText"/>
        <w:spacing w:line="276" w:lineRule="auto"/>
        <w:rPr>
          <w:lang w:eastAsia="zh-CN"/>
        </w:rPr>
      </w:pPr>
      <w:r w:rsidRPr="00A06A96">
        <w:rPr>
          <w:lang w:eastAsia="zh-CN"/>
        </w:rPr>
        <w:t xml:space="preserve">Key risks to private sector development and economic growth </w:t>
      </w:r>
      <w:r>
        <w:rPr>
          <w:lang w:eastAsia="zh-CN"/>
        </w:rPr>
        <w:t>are the challenges</w:t>
      </w:r>
      <w:r w:rsidRPr="00A06A96">
        <w:rPr>
          <w:lang w:eastAsia="zh-CN"/>
        </w:rPr>
        <w:t xml:space="preserve"> of maintaining a stable and attractive </w:t>
      </w:r>
      <w:r>
        <w:rPr>
          <w:lang w:eastAsia="zh-CN"/>
        </w:rPr>
        <w:t>business investment</w:t>
      </w:r>
      <w:r w:rsidRPr="00A06A96">
        <w:rPr>
          <w:lang w:eastAsia="zh-CN"/>
        </w:rPr>
        <w:t xml:space="preserve"> climate.  PNG economic and fiscal </w:t>
      </w:r>
      <w:r>
        <w:rPr>
          <w:lang w:eastAsia="zh-CN"/>
        </w:rPr>
        <w:t>policy</w:t>
      </w:r>
      <w:r w:rsidRPr="00A06A96">
        <w:rPr>
          <w:lang w:eastAsia="zh-CN"/>
        </w:rPr>
        <w:t xml:space="preserve"> directly impact</w:t>
      </w:r>
      <w:r>
        <w:rPr>
          <w:lang w:eastAsia="zh-CN"/>
        </w:rPr>
        <w:t>s</w:t>
      </w:r>
      <w:r w:rsidRPr="00A06A96">
        <w:rPr>
          <w:lang w:eastAsia="zh-CN"/>
        </w:rPr>
        <w:t xml:space="preserve"> on the </w:t>
      </w:r>
      <w:r>
        <w:rPr>
          <w:lang w:eastAsia="zh-CN"/>
        </w:rPr>
        <w:t>willingness</w:t>
      </w:r>
      <w:r w:rsidRPr="00A06A96">
        <w:rPr>
          <w:lang w:eastAsia="zh-CN"/>
        </w:rPr>
        <w:t xml:space="preserve"> of the private sector to invest</w:t>
      </w:r>
      <w:r>
        <w:rPr>
          <w:lang w:eastAsia="zh-CN"/>
        </w:rPr>
        <w:t xml:space="preserve">, and on the </w:t>
      </w:r>
      <w:r w:rsidR="003D00B9">
        <w:rPr>
          <w:lang w:eastAsia="zh-CN"/>
        </w:rPr>
        <w:t xml:space="preserve">job creation </w:t>
      </w:r>
      <w:r>
        <w:rPr>
          <w:lang w:eastAsia="zh-CN"/>
        </w:rPr>
        <w:t>and public revenues that flow from economic growth</w:t>
      </w:r>
      <w:r w:rsidR="00E10E2E" w:rsidRPr="00A06A96">
        <w:rPr>
          <w:lang w:eastAsia="zh-CN"/>
        </w:rPr>
        <w:t>.</w:t>
      </w:r>
    </w:p>
    <w:p w:rsidR="00051B2B" w:rsidRDefault="00C06367" w:rsidP="00994EC7">
      <w:pPr>
        <w:pStyle w:val="Heading3"/>
      </w:pPr>
      <w:r>
        <w:br/>
      </w:r>
      <w:r w:rsidR="00051B2B" w:rsidRPr="00334E33">
        <w:t xml:space="preserve">Additional Assistance: </w:t>
      </w:r>
      <w:r w:rsidR="003914C5">
        <w:t xml:space="preserve">Autonomous Region of </w:t>
      </w:r>
      <w:r w:rsidR="00051B2B" w:rsidRPr="00334E33">
        <w:t xml:space="preserve">Bougainville </w:t>
      </w:r>
    </w:p>
    <w:p w:rsidR="00837172" w:rsidRPr="00E83349" w:rsidRDefault="00837172" w:rsidP="00994EC7">
      <w:pPr>
        <w:spacing w:line="276" w:lineRule="auto"/>
        <w:rPr>
          <w:rFonts w:ascii="Franklin Gothic Book" w:eastAsia="Times New Roman" w:hAnsi="Franklin Gothic Book"/>
          <w:sz w:val="24"/>
        </w:rPr>
      </w:pPr>
      <w:r w:rsidRPr="00E83349">
        <w:rPr>
          <w:rFonts w:ascii="Franklin Gothic Book" w:eastAsia="Times New Roman" w:hAnsi="Franklin Gothic Book"/>
          <w:sz w:val="21"/>
          <w:szCs w:val="21"/>
        </w:rPr>
        <w:t>Australia’s aid to Bougainville aims</w:t>
      </w:r>
      <w:r w:rsidRPr="00E83349">
        <w:rPr>
          <w:rFonts w:ascii="Franklin Gothic Book" w:eastAsia="Times New Roman" w:hAnsi="Franklin Gothic Book"/>
          <w:sz w:val="21"/>
        </w:rPr>
        <w:t xml:space="preserve"> to assist the PNG Government and the Autonomous Bougainville Government (ABG) to implement the 2001 Bougainville Peace Agreement – including improving autonomy arrangements and bolstering peace and stability.</w:t>
      </w:r>
      <w:r w:rsidRPr="00E83349">
        <w:rPr>
          <w:rFonts w:ascii="Franklin Gothic Book" w:eastAsia="Times New Roman" w:hAnsi="Franklin Gothic Book"/>
          <w:sz w:val="21"/>
          <w:szCs w:val="21"/>
        </w:rPr>
        <w:t xml:space="preserve"> </w:t>
      </w:r>
      <w:r w:rsidR="006642DE">
        <w:rPr>
          <w:rFonts w:ascii="Franklin Gothic Book" w:eastAsia="Times New Roman" w:hAnsi="Franklin Gothic Book"/>
          <w:sz w:val="21"/>
          <w:szCs w:val="21"/>
        </w:rPr>
        <w:t xml:space="preserve"> </w:t>
      </w:r>
      <w:r w:rsidRPr="00E83349">
        <w:rPr>
          <w:rFonts w:ascii="Franklin Gothic Book" w:eastAsia="Times New Roman" w:hAnsi="Franklin Gothic Book"/>
          <w:sz w:val="21"/>
          <w:szCs w:val="21"/>
        </w:rPr>
        <w:t xml:space="preserve">In 2014-15, the bulk of our assistance in Bougainville was provided in the areas of health, education, law and justice, transport infrastructure and governance (including elections). </w:t>
      </w:r>
      <w:r w:rsidR="006642DE">
        <w:rPr>
          <w:rFonts w:ascii="Franklin Gothic Book" w:eastAsia="Times New Roman" w:hAnsi="Franklin Gothic Book"/>
          <w:sz w:val="21"/>
          <w:szCs w:val="21"/>
        </w:rPr>
        <w:t xml:space="preserve"> </w:t>
      </w:r>
      <w:r w:rsidRPr="00E83349">
        <w:rPr>
          <w:rFonts w:ascii="Franklin Gothic Book" w:eastAsia="Times New Roman" w:hAnsi="Franklin Gothic Book"/>
          <w:sz w:val="21"/>
          <w:szCs w:val="21"/>
        </w:rPr>
        <w:t>Australia also funded Bougainville</w:t>
      </w:r>
      <w:r w:rsidRPr="00E83349">
        <w:rPr>
          <w:rFonts w:ascii="Franklin Gothic Book" w:eastAsia="Times New Roman" w:hAnsi="Franklin Gothic Book"/>
          <w:sz w:val="21"/>
          <w:szCs w:val="21"/>
        </w:rPr>
        <w:noBreakHyphen/>
        <w:t xml:space="preserve">specific initiatives that focussed on peace building, agriculture, youth and gender.  </w:t>
      </w:r>
    </w:p>
    <w:p w:rsidR="00837172" w:rsidRPr="00E83349" w:rsidRDefault="00837172" w:rsidP="00837172">
      <w:pPr>
        <w:spacing w:line="280" w:lineRule="exact"/>
        <w:rPr>
          <w:rFonts w:ascii="Franklin Gothic Book" w:eastAsia="Times New Roman" w:hAnsi="Franklin Gothic Book"/>
          <w:sz w:val="24"/>
        </w:rPr>
      </w:pPr>
    </w:p>
    <w:p w:rsidR="00837172" w:rsidRPr="00A43278" w:rsidRDefault="00837172" w:rsidP="00994EC7">
      <w:pPr>
        <w:pStyle w:val="Heading4"/>
      </w:pPr>
      <w:r w:rsidRPr="00A43278">
        <w:t>Australia’s contribution</w:t>
      </w:r>
      <w:r w:rsidR="00C37E40">
        <w:br/>
      </w:r>
    </w:p>
    <w:p w:rsidR="00837172" w:rsidRPr="00E83349" w:rsidRDefault="00837172">
      <w:pPr>
        <w:spacing w:after="120" w:line="276" w:lineRule="auto"/>
        <w:rPr>
          <w:rFonts w:ascii="Franklin Gothic Book" w:eastAsia="Times New Roman" w:hAnsi="Franklin Gothic Book"/>
          <w:sz w:val="21"/>
          <w:szCs w:val="21"/>
          <w:lang w:eastAsia="zh-CN"/>
        </w:rPr>
      </w:pPr>
      <w:r w:rsidRPr="00E83349">
        <w:rPr>
          <w:rFonts w:ascii="Franklin Gothic Book" w:eastAsia="Times New Roman" w:hAnsi="Franklin Gothic Book"/>
          <w:sz w:val="21"/>
          <w:szCs w:val="21"/>
          <w:lang w:eastAsia="zh-CN"/>
        </w:rPr>
        <w:t>As agreed by the PNG Government and the ABG, Australia’s development assistance to Bougainville increased to approximately $45.5 million in 2014-15, a $7.6 million increase on 2013-14</w:t>
      </w:r>
      <w:r w:rsidR="004D374D">
        <w:rPr>
          <w:rFonts w:ascii="Franklin Gothic Book" w:eastAsia="Times New Roman" w:hAnsi="Franklin Gothic Book"/>
          <w:sz w:val="21"/>
          <w:szCs w:val="21"/>
          <w:lang w:eastAsia="zh-CN"/>
        </w:rPr>
        <w:t xml:space="preserve">. </w:t>
      </w:r>
      <w:r w:rsidR="006642DE">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 xml:space="preserve">The increase reflects significant support for the 2015 ABG elections, and expanded assistance in the areas of economic development, governance, gender, peace building and youth programs. </w:t>
      </w:r>
    </w:p>
    <w:p w:rsidR="00837172" w:rsidRPr="00E83349" w:rsidRDefault="00837172">
      <w:pPr>
        <w:spacing w:after="120" w:line="276" w:lineRule="auto"/>
        <w:rPr>
          <w:rFonts w:ascii="Franklin Gothic Book" w:eastAsia="Times New Roman" w:hAnsi="Franklin Gothic Book"/>
          <w:sz w:val="21"/>
          <w:szCs w:val="21"/>
          <w:lang w:eastAsia="zh-CN"/>
        </w:rPr>
      </w:pPr>
      <w:r w:rsidRPr="00E83349">
        <w:rPr>
          <w:rFonts w:ascii="Franklin Gothic Book" w:eastAsia="Times New Roman" w:hAnsi="Franklin Gothic Book"/>
          <w:sz w:val="21"/>
          <w:szCs w:val="21"/>
          <w:lang w:eastAsia="zh-CN"/>
        </w:rPr>
        <w:t xml:space="preserve">In response to a request from the PNG Government and the ABG, Australia provided substantial support to the 2015 ABG elections. </w:t>
      </w:r>
      <w:r w:rsidR="002E3D50">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Australia engaged expert personnel through the Australian Electoral Commission and the Australian Civilian Corps, and funded the United Nations to</w:t>
      </w:r>
      <w:r w:rsidR="004D374D">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 xml:space="preserve">undertake a range of training, coordination and facilitation activities, including with media and on dispute resolution. </w:t>
      </w:r>
      <w:r w:rsidR="004A7E14">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cs="Calibri"/>
          <w:sz w:val="21"/>
          <w:szCs w:val="21"/>
        </w:rPr>
        <w:t xml:space="preserve">Australia’s support contributed to a generally smooth election process that delivered an outcome that was accepted by the people of Bougainville.  </w:t>
      </w:r>
    </w:p>
    <w:p w:rsidR="00837172" w:rsidRPr="00E83349" w:rsidRDefault="006642DE">
      <w:pPr>
        <w:spacing w:after="120" w:line="276" w:lineRule="auto"/>
        <w:rPr>
          <w:rFonts w:ascii="Franklin Gothic Book" w:eastAsia="Times New Roman" w:hAnsi="Franklin Gothic Book"/>
          <w:sz w:val="21"/>
          <w:szCs w:val="21"/>
          <w:lang w:eastAsia="zh-CN"/>
        </w:rPr>
      </w:pPr>
      <w:r>
        <w:rPr>
          <w:rFonts w:ascii="Franklin Gothic Book" w:eastAsia="Times New Roman" w:hAnsi="Franklin Gothic Book"/>
          <w:sz w:val="21"/>
          <w:szCs w:val="21"/>
          <w:lang w:eastAsia="zh-CN"/>
        </w:rPr>
        <w:t>We</w:t>
      </w:r>
      <w:r w:rsidR="00837172" w:rsidRPr="00E83349">
        <w:rPr>
          <w:rFonts w:ascii="Franklin Gothic Book" w:eastAsia="Times New Roman" w:hAnsi="Franklin Gothic Book"/>
          <w:sz w:val="21"/>
          <w:szCs w:val="21"/>
          <w:lang w:eastAsia="zh-CN"/>
        </w:rPr>
        <w:t xml:space="preserve"> continued to support the Bougainville Peace Building Program, which is a joint initiative with the ABG. In 2014-15, the program facilitated important reconciliations stemming from the Bougainville Crisis, and built local capacity to manage conflict. </w:t>
      </w:r>
    </w:p>
    <w:p w:rsidR="00837172" w:rsidRPr="00E83349" w:rsidRDefault="00837172">
      <w:pPr>
        <w:spacing w:after="120" w:line="276" w:lineRule="auto"/>
        <w:rPr>
          <w:rFonts w:ascii="Franklin Gothic Book" w:eastAsia="Times New Roman" w:hAnsi="Franklin Gothic Book"/>
          <w:sz w:val="21"/>
          <w:szCs w:val="21"/>
          <w:lang w:eastAsia="zh-CN"/>
        </w:rPr>
      </w:pPr>
      <w:r w:rsidRPr="00E83349">
        <w:rPr>
          <w:rFonts w:ascii="Franklin Gothic Book" w:eastAsia="Times New Roman" w:hAnsi="Franklin Gothic Book"/>
          <w:sz w:val="21"/>
          <w:szCs w:val="21"/>
          <w:lang w:eastAsia="zh-CN"/>
        </w:rPr>
        <w:t xml:space="preserve">Australia’s support to economic development in Bougainville involved both assistance to the enabling environment (transport, health, education, law and justice) and direct interventions to promote private sector engagement, particularly in agriculture. </w:t>
      </w:r>
      <w:r w:rsidR="004A7E14">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 xml:space="preserve">Australia is investing $6.6 million across 2015-20 in an </w:t>
      </w:r>
      <w:r w:rsidR="00B12492">
        <w:rPr>
          <w:rFonts w:ascii="Franklin Gothic Book" w:eastAsia="Times New Roman" w:hAnsi="Franklin Gothic Book"/>
          <w:sz w:val="21"/>
          <w:szCs w:val="21"/>
          <w:lang w:eastAsia="zh-CN"/>
        </w:rPr>
        <w:t>ACIAR</w:t>
      </w:r>
      <w:r w:rsidRPr="00E83349">
        <w:rPr>
          <w:rFonts w:ascii="Franklin Gothic Book" w:eastAsia="Times New Roman" w:hAnsi="Franklin Gothic Book"/>
          <w:sz w:val="21"/>
          <w:szCs w:val="21"/>
          <w:lang w:eastAsia="zh-CN"/>
        </w:rPr>
        <w:t xml:space="preserve"> project designed to improve management strategies for cocoa and food security.  We also designed a Commodity Support Facility, the pilot phase of which will support development of the cocoa and coconut industries and will explore the viability of other primary industries.    </w:t>
      </w:r>
    </w:p>
    <w:p w:rsidR="00837172" w:rsidRPr="00E83349" w:rsidRDefault="00837172">
      <w:pPr>
        <w:spacing w:after="120" w:line="276" w:lineRule="auto"/>
        <w:rPr>
          <w:rFonts w:ascii="Franklin Gothic Book" w:eastAsia="Times New Roman" w:hAnsi="Franklin Gothic Book"/>
          <w:sz w:val="21"/>
          <w:szCs w:val="21"/>
          <w:lang w:eastAsia="zh-CN"/>
        </w:rPr>
      </w:pPr>
      <w:r w:rsidRPr="00E83349">
        <w:rPr>
          <w:rFonts w:ascii="Franklin Gothic Book" w:eastAsia="Times New Roman" w:hAnsi="Franklin Gothic Book" w:cs="Calibri"/>
          <w:sz w:val="21"/>
          <w:szCs w:val="21"/>
        </w:rPr>
        <w:t>T</w:t>
      </w:r>
      <w:r w:rsidRPr="00E83349">
        <w:rPr>
          <w:rFonts w:ascii="Franklin Gothic Book" w:eastAsia="Times New Roman" w:hAnsi="Franklin Gothic Book"/>
          <w:sz w:val="21"/>
          <w:szCs w:val="21"/>
          <w:lang w:eastAsia="zh-CN"/>
        </w:rPr>
        <w:t xml:space="preserve">he Australian-funded Transport Sector Support Program supported road maintenance and rehabilitation to 403 kilometres of priority roads. </w:t>
      </w:r>
      <w:r w:rsidR="006642DE">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About 80 per cent of Bougainville’s population, schools and health facilities are within seven kilometres of this core road network.  Work on these roads has improved Bougainvilleans’ access to essential services and greatly reduced average travel times.</w:t>
      </w:r>
      <w:r w:rsidR="006642DE">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The program employed around 16,000 people across Bougainville (27 per cent were women, the highest ratio since 2004).  This work has supported gender equality with women and youth participating in direct income generation.</w:t>
      </w:r>
    </w:p>
    <w:p w:rsidR="00837172" w:rsidRPr="00E83349" w:rsidRDefault="00837172">
      <w:pPr>
        <w:spacing w:after="120" w:line="276" w:lineRule="auto"/>
        <w:rPr>
          <w:rFonts w:ascii="Franklin Gothic Book" w:eastAsia="Times New Roman" w:hAnsi="Franklin Gothic Book"/>
          <w:sz w:val="21"/>
          <w:szCs w:val="21"/>
          <w:lang w:eastAsia="zh-CN"/>
        </w:rPr>
      </w:pPr>
      <w:r w:rsidRPr="00E83349">
        <w:rPr>
          <w:rFonts w:ascii="Franklin Gothic Book" w:eastAsia="Times New Roman" w:hAnsi="Franklin Gothic Book"/>
          <w:sz w:val="21"/>
          <w:szCs w:val="21"/>
          <w:lang w:eastAsia="zh-CN"/>
        </w:rPr>
        <w:t xml:space="preserve">Support to the law and justice sector in Bougainville focused on training and infrastructure. Australia supported 40 Bougainvilleans (16 women) to graduate from the Pre-Recruit Education Program, which prepared them to undertake Royal PNG Constabulary training. </w:t>
      </w:r>
      <w:r w:rsidR="006642DE">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 xml:space="preserve">The new recruits </w:t>
      </w:r>
      <w:r w:rsidRPr="00E83349">
        <w:rPr>
          <w:rFonts w:ascii="Franklin Gothic Book" w:eastAsia="Times New Roman" w:hAnsi="Franklin Gothic Book"/>
          <w:sz w:val="21"/>
          <w:szCs w:val="21"/>
          <w:lang w:eastAsia="zh-CN"/>
        </w:rPr>
        <w:lastRenderedPageBreak/>
        <w:t>will significantly boost the numbers and capacity of the Bougainville Police Service.  The training of 175 village court officials across Bougainville will give approximately 110,000 people access to better standards of justice.  Training efforts were complemented by the construction of police stations, court houses, safe houses for women and accommodation for the National Judicial Staff Services (</w:t>
      </w:r>
      <w:r>
        <w:rPr>
          <w:rFonts w:ascii="Franklin Gothic Book" w:eastAsia="Times New Roman" w:hAnsi="Franklin Gothic Book"/>
          <w:sz w:val="21"/>
          <w:szCs w:val="21"/>
          <w:lang w:eastAsia="zh-CN"/>
        </w:rPr>
        <w:t xml:space="preserve">enabling </w:t>
      </w:r>
      <w:r w:rsidRPr="00E83349">
        <w:rPr>
          <w:rFonts w:ascii="Franklin Gothic Book" w:eastAsia="Times New Roman" w:hAnsi="Franklin Gothic Book"/>
          <w:sz w:val="21"/>
          <w:szCs w:val="21"/>
          <w:lang w:eastAsia="zh-CN"/>
        </w:rPr>
        <w:t xml:space="preserve">the permanent appointment of a National Court Judge to Bougainville). </w:t>
      </w:r>
    </w:p>
    <w:p w:rsidR="00837172" w:rsidRPr="00E83349" w:rsidRDefault="00837172">
      <w:pPr>
        <w:spacing w:after="120" w:line="276" w:lineRule="auto"/>
        <w:rPr>
          <w:rFonts w:ascii="Franklin Gothic Book" w:eastAsia="Times New Roman" w:hAnsi="Franklin Gothic Book"/>
          <w:sz w:val="21"/>
          <w:szCs w:val="21"/>
          <w:lang w:eastAsia="zh-CN"/>
        </w:rPr>
      </w:pPr>
      <w:r w:rsidRPr="00E83349">
        <w:rPr>
          <w:rFonts w:ascii="Franklin Gothic Book" w:eastAsia="Times New Roman" w:hAnsi="Franklin Gothic Book"/>
          <w:sz w:val="21"/>
          <w:szCs w:val="21"/>
          <w:lang w:eastAsia="zh-CN"/>
        </w:rPr>
        <w:t>Australia’s support to governance in Bougainville included assistance for the development of ABG priority legislation, such as electoral law changes.</w:t>
      </w:r>
      <w:r w:rsidR="006642DE">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 xml:space="preserve"> We assisted the ABG and PNG </w:t>
      </w:r>
      <w:r w:rsidR="00FC6FBB">
        <w:rPr>
          <w:rFonts w:ascii="Franklin Gothic Book" w:eastAsia="Times New Roman" w:hAnsi="Franklin Gothic Book"/>
          <w:sz w:val="21"/>
          <w:szCs w:val="21"/>
          <w:lang w:eastAsia="zh-CN"/>
        </w:rPr>
        <w:t>G</w:t>
      </w:r>
      <w:r w:rsidRPr="00E83349">
        <w:rPr>
          <w:rFonts w:ascii="Franklin Gothic Book" w:eastAsia="Times New Roman" w:hAnsi="Franklin Gothic Book"/>
          <w:sz w:val="21"/>
          <w:szCs w:val="21"/>
          <w:lang w:eastAsia="zh-CN"/>
        </w:rPr>
        <w:t>overnments to map priority powers for draw down over the next two years and</w:t>
      </w:r>
      <w:r w:rsidR="003D00B9">
        <w:rPr>
          <w:rFonts w:ascii="Franklin Gothic Book" w:eastAsia="Times New Roman" w:hAnsi="Franklin Gothic Book"/>
          <w:sz w:val="21"/>
          <w:szCs w:val="21"/>
          <w:lang w:eastAsia="zh-CN"/>
        </w:rPr>
        <w:t xml:space="preserve"> we</w:t>
      </w:r>
      <w:r w:rsidRPr="00E83349">
        <w:rPr>
          <w:rFonts w:ascii="Franklin Gothic Book" w:eastAsia="Times New Roman" w:hAnsi="Franklin Gothic Book"/>
          <w:sz w:val="21"/>
          <w:szCs w:val="21"/>
          <w:lang w:eastAsia="zh-CN"/>
        </w:rPr>
        <w:t xml:space="preserve"> improved government infrastructure. </w:t>
      </w:r>
      <w:r w:rsidR="006642DE">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 xml:space="preserve">We helped to significantly expand the capacity of the ABG Bureau of Public Affairs, Media and Communications through a mobile community radio project and development of a local government newspaper. </w:t>
      </w:r>
      <w:r w:rsidR="006642DE">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 xml:space="preserve">Australia supported a review of taxation and revenue for Bougainville. </w:t>
      </w:r>
      <w:r w:rsidR="006642DE">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The review recommended certain changes to the existing tax administration system and identified additional sources of tax revenue.</w:t>
      </w:r>
    </w:p>
    <w:p w:rsidR="00837172" w:rsidRPr="00994EC7" w:rsidRDefault="00837172">
      <w:pPr>
        <w:spacing w:after="120" w:line="276" w:lineRule="auto"/>
        <w:rPr>
          <w:rFonts w:ascii="Franklin Gothic Book" w:eastAsia="Times New Roman" w:hAnsi="Franklin Gothic Book" w:cs="Calibri"/>
          <w:sz w:val="21"/>
          <w:szCs w:val="21"/>
        </w:rPr>
      </w:pPr>
      <w:r w:rsidRPr="00E83349">
        <w:rPr>
          <w:rFonts w:ascii="Franklin Gothic Book" w:eastAsia="Times New Roman" w:hAnsi="Franklin Gothic Book"/>
          <w:sz w:val="21"/>
          <w:szCs w:val="21"/>
          <w:lang w:eastAsia="zh-CN"/>
        </w:rPr>
        <w:t>Australia established the foundations of a strong Bougainville-specific education program from elementary through to TVET levels.</w:t>
      </w:r>
      <w:r w:rsidR="006642DE">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The program has nearly completed the first stage, which includes developing baseline assessments and establishing a process for sector wide strategic planning.</w:t>
      </w:r>
      <w:r w:rsidR="006642DE">
        <w:rPr>
          <w:rFonts w:ascii="Franklin Gothic Book" w:eastAsia="Times New Roman" w:hAnsi="Franklin Gothic Book"/>
          <w:sz w:val="21"/>
          <w:szCs w:val="21"/>
          <w:lang w:eastAsia="zh-CN"/>
        </w:rPr>
        <w:t xml:space="preserve">  </w:t>
      </w:r>
      <w:r w:rsidRPr="00E83349">
        <w:rPr>
          <w:rFonts w:ascii="Franklin Gothic Book" w:eastAsia="Times New Roman" w:hAnsi="Franklin Gothic Book"/>
          <w:sz w:val="21"/>
          <w:szCs w:val="21"/>
          <w:lang w:eastAsia="zh-CN"/>
        </w:rPr>
        <w:t xml:space="preserve">Australia also piloted an adult literacy program for approximately 1,400 people who </w:t>
      </w:r>
      <w:r w:rsidRPr="00994EC7">
        <w:rPr>
          <w:rFonts w:ascii="Franklin Gothic Book" w:eastAsia="Times New Roman" w:hAnsi="Franklin Gothic Book" w:cs="Calibri"/>
          <w:sz w:val="21"/>
          <w:szCs w:val="21"/>
        </w:rPr>
        <w:t>missed out on education during the Bougainville Crisis</w:t>
      </w:r>
      <w:r w:rsidR="006642DE" w:rsidRPr="00994EC7">
        <w:rPr>
          <w:rFonts w:ascii="Franklin Gothic Book" w:eastAsia="Times New Roman" w:hAnsi="Franklin Gothic Book" w:cs="Calibri"/>
          <w:sz w:val="21"/>
          <w:szCs w:val="21"/>
        </w:rPr>
        <w:t xml:space="preserve">. </w:t>
      </w:r>
      <w:r w:rsidR="002E3D50" w:rsidRPr="00994EC7">
        <w:rPr>
          <w:rFonts w:ascii="Franklin Gothic Book" w:eastAsia="Times New Roman" w:hAnsi="Franklin Gothic Book" w:cs="Calibri"/>
          <w:sz w:val="21"/>
          <w:szCs w:val="21"/>
        </w:rPr>
        <w:t xml:space="preserve"> </w:t>
      </w:r>
      <w:r w:rsidR="006642DE" w:rsidRPr="00994EC7">
        <w:rPr>
          <w:rFonts w:ascii="Franklin Gothic Book" w:eastAsia="Times New Roman" w:hAnsi="Franklin Gothic Book" w:cs="Calibri"/>
          <w:sz w:val="21"/>
          <w:szCs w:val="21"/>
        </w:rPr>
        <w:t>S</w:t>
      </w:r>
      <w:r w:rsidRPr="00994EC7">
        <w:rPr>
          <w:rFonts w:ascii="Franklin Gothic Book" w:eastAsia="Times New Roman" w:hAnsi="Franklin Gothic Book" w:cs="Calibri"/>
          <w:sz w:val="21"/>
          <w:szCs w:val="21"/>
        </w:rPr>
        <w:t>even Bougainvilleans were awarded scholarships to study at Australian tertiary institutions.</w:t>
      </w:r>
    </w:p>
    <w:p w:rsidR="00837172" w:rsidRPr="00994EC7" w:rsidRDefault="00837172">
      <w:pPr>
        <w:spacing w:after="120" w:line="276" w:lineRule="auto"/>
        <w:rPr>
          <w:rFonts w:ascii="Franklin Gothic Book" w:eastAsia="Times New Roman" w:hAnsi="Franklin Gothic Book" w:cs="Calibri"/>
          <w:sz w:val="21"/>
          <w:szCs w:val="21"/>
        </w:rPr>
      </w:pPr>
      <w:r w:rsidRPr="00994EC7">
        <w:rPr>
          <w:rFonts w:ascii="Franklin Gothic Book" w:eastAsia="Times New Roman" w:hAnsi="Franklin Gothic Book" w:cs="Calibri"/>
          <w:sz w:val="21"/>
          <w:szCs w:val="21"/>
        </w:rPr>
        <w:t xml:space="preserve">Australia’s support for Bougainville’s health sector included family planning, sexual and reproductive health, and a malaria scoping study. </w:t>
      </w:r>
      <w:r w:rsidR="006642DE" w:rsidRPr="00994EC7">
        <w:rPr>
          <w:rFonts w:ascii="Franklin Gothic Book" w:eastAsia="Times New Roman" w:hAnsi="Franklin Gothic Book" w:cs="Calibri"/>
          <w:sz w:val="21"/>
          <w:szCs w:val="21"/>
        </w:rPr>
        <w:t xml:space="preserve"> </w:t>
      </w:r>
      <w:r w:rsidRPr="00994EC7">
        <w:rPr>
          <w:rFonts w:ascii="Franklin Gothic Book" w:eastAsia="Times New Roman" w:hAnsi="Franklin Gothic Book" w:cs="Calibri"/>
          <w:sz w:val="21"/>
          <w:szCs w:val="21"/>
        </w:rPr>
        <w:t>In maternal health, training was provided to front-line health workers in essential and emergency obstetric care.</w:t>
      </w:r>
      <w:r w:rsidR="006642DE" w:rsidRPr="00994EC7">
        <w:rPr>
          <w:rFonts w:ascii="Franklin Gothic Book" w:eastAsia="Times New Roman" w:hAnsi="Franklin Gothic Book" w:cs="Calibri"/>
          <w:sz w:val="21"/>
          <w:szCs w:val="21"/>
        </w:rPr>
        <w:t xml:space="preserve">  </w:t>
      </w:r>
      <w:r w:rsidRPr="00994EC7">
        <w:rPr>
          <w:rFonts w:ascii="Franklin Gothic Book" w:eastAsia="Times New Roman" w:hAnsi="Franklin Gothic Book" w:cs="Calibri"/>
          <w:sz w:val="21"/>
          <w:szCs w:val="21"/>
        </w:rPr>
        <w:t xml:space="preserve">To help improve health systems, we mapped National Department of Health and ABG health functions and powers, and supported the development of the Health Service Delivery Policy. </w:t>
      </w:r>
    </w:p>
    <w:p w:rsidR="00AF4625" w:rsidRPr="00023FBE" w:rsidRDefault="00837172" w:rsidP="00994EC7">
      <w:pPr>
        <w:pStyle w:val="Heading4"/>
        <w:spacing w:line="276" w:lineRule="auto"/>
        <w:rPr>
          <w:rFonts w:eastAsia="Times New Roman"/>
          <w:b w:val="0"/>
          <w:szCs w:val="21"/>
        </w:rPr>
      </w:pPr>
      <w:r w:rsidRPr="00023FBE">
        <w:rPr>
          <w:rFonts w:eastAsia="Times New Roman"/>
          <w:b w:val="0"/>
          <w:szCs w:val="21"/>
        </w:rPr>
        <w:t xml:space="preserve">Australia developed a five-year Bougainville Gender Investment Plan (2014-19) to advance gender equality in three priority areas: reducing family and sexual violence and </w:t>
      </w:r>
      <w:r w:rsidR="006642DE" w:rsidRPr="00023FBE">
        <w:rPr>
          <w:rFonts w:eastAsia="Times New Roman"/>
          <w:b w:val="0"/>
          <w:szCs w:val="21"/>
        </w:rPr>
        <w:t xml:space="preserve">providing </w:t>
      </w:r>
      <w:r w:rsidRPr="00023FBE">
        <w:rPr>
          <w:rFonts w:eastAsia="Times New Roman"/>
          <w:b w:val="0"/>
          <w:szCs w:val="21"/>
        </w:rPr>
        <w:t xml:space="preserve">assistance to survivors and women at risk; strengthening women’s leadership; and improving women’s economic activities. </w:t>
      </w:r>
      <w:r w:rsidR="00B67E41" w:rsidRPr="00023FBE">
        <w:rPr>
          <w:rFonts w:eastAsia="Times New Roman"/>
          <w:b w:val="0"/>
          <w:szCs w:val="21"/>
        </w:rPr>
        <w:t xml:space="preserve"> </w:t>
      </w:r>
      <w:r w:rsidRPr="00023FBE">
        <w:rPr>
          <w:rFonts w:eastAsia="Times New Roman"/>
          <w:b w:val="0"/>
          <w:szCs w:val="21"/>
        </w:rPr>
        <w:t xml:space="preserve">A number of major grants and projects </w:t>
      </w:r>
      <w:r w:rsidR="006642DE" w:rsidRPr="00023FBE">
        <w:rPr>
          <w:rFonts w:eastAsia="Times New Roman"/>
          <w:b w:val="0"/>
          <w:szCs w:val="21"/>
        </w:rPr>
        <w:t>began</w:t>
      </w:r>
      <w:r w:rsidRPr="00023FBE">
        <w:rPr>
          <w:rFonts w:eastAsia="Times New Roman"/>
          <w:b w:val="0"/>
          <w:szCs w:val="21"/>
        </w:rPr>
        <w:t xml:space="preserve"> </w:t>
      </w:r>
      <w:r w:rsidR="006642DE" w:rsidRPr="00023FBE">
        <w:rPr>
          <w:rFonts w:eastAsia="Times New Roman"/>
          <w:b w:val="0"/>
          <w:szCs w:val="21"/>
        </w:rPr>
        <w:t>in 2014-15</w:t>
      </w:r>
      <w:r w:rsidRPr="00023FBE">
        <w:rPr>
          <w:rFonts w:eastAsia="Times New Roman"/>
          <w:b w:val="0"/>
          <w:szCs w:val="21"/>
        </w:rPr>
        <w:t xml:space="preserve">. </w:t>
      </w:r>
    </w:p>
    <w:p w:rsidR="00AF4625" w:rsidRDefault="00AF4625" w:rsidP="00994EC7">
      <w:pPr>
        <w:pStyle w:val="Heading4"/>
      </w:pPr>
    </w:p>
    <w:p w:rsidR="00837172" w:rsidRPr="00E83349" w:rsidRDefault="00837172" w:rsidP="00994EC7">
      <w:pPr>
        <w:pStyle w:val="Heading4"/>
      </w:pPr>
      <w:r w:rsidRPr="00E83349">
        <w:t>Key risks and challenges</w:t>
      </w:r>
      <w:r w:rsidR="00C37E40">
        <w:br/>
      </w:r>
    </w:p>
    <w:p w:rsidR="00837172" w:rsidRPr="00E83349" w:rsidRDefault="00837172" w:rsidP="00837172">
      <w:pPr>
        <w:spacing w:after="120" w:line="276" w:lineRule="auto"/>
        <w:rPr>
          <w:rFonts w:ascii="Franklin Gothic Book" w:eastAsia="Times New Roman" w:hAnsi="Franklin Gothic Book" w:cs="Calibri"/>
          <w:sz w:val="21"/>
          <w:szCs w:val="21"/>
        </w:rPr>
      </w:pPr>
      <w:r w:rsidRPr="00E83349">
        <w:rPr>
          <w:rFonts w:ascii="Franklin Gothic Book" w:eastAsia="Times New Roman" w:hAnsi="Franklin Gothic Book" w:cs="Calibri"/>
          <w:sz w:val="21"/>
          <w:szCs w:val="21"/>
        </w:rPr>
        <w:t xml:space="preserve">Bougainville continues to face significant challenges typical of a post-conflict region. </w:t>
      </w:r>
      <w:r w:rsidR="00B67E41">
        <w:rPr>
          <w:rFonts w:ascii="Franklin Gothic Book" w:eastAsia="Times New Roman" w:hAnsi="Franklin Gothic Book" w:cs="Calibri"/>
          <w:sz w:val="21"/>
          <w:szCs w:val="21"/>
        </w:rPr>
        <w:t xml:space="preserve"> </w:t>
      </w:r>
      <w:r w:rsidRPr="00E83349">
        <w:rPr>
          <w:rFonts w:ascii="Franklin Gothic Book" w:eastAsia="Times New Roman" w:hAnsi="Franklin Gothic Book" w:cs="Calibri"/>
          <w:sz w:val="21"/>
          <w:szCs w:val="21"/>
        </w:rPr>
        <w:t xml:space="preserve">Weakened institutions, limited economic opportunities and a complex political environment all contribute to a more challenging environment in which to deliver aid.  </w:t>
      </w:r>
    </w:p>
    <w:p w:rsidR="00837172" w:rsidRPr="00E83349" w:rsidRDefault="00837172" w:rsidP="00837172">
      <w:pPr>
        <w:spacing w:after="120" w:line="276" w:lineRule="auto"/>
        <w:rPr>
          <w:rFonts w:ascii="Franklin Gothic Book" w:eastAsia="Times New Roman" w:hAnsi="Franklin Gothic Book" w:cs="Calibri"/>
          <w:sz w:val="21"/>
          <w:szCs w:val="21"/>
        </w:rPr>
      </w:pPr>
      <w:r w:rsidRPr="00E83349">
        <w:rPr>
          <w:rFonts w:ascii="Franklin Gothic Book" w:eastAsia="Times New Roman" w:hAnsi="Franklin Gothic Book" w:cs="Calibri"/>
          <w:sz w:val="21"/>
          <w:szCs w:val="21"/>
        </w:rPr>
        <w:t xml:space="preserve">While there has been positive progress in establishing the Bougainville Public Service, the capacity of government to deliver services is still developing. </w:t>
      </w:r>
      <w:r w:rsidR="00B67E41">
        <w:rPr>
          <w:rFonts w:ascii="Franklin Gothic Book" w:eastAsia="Times New Roman" w:hAnsi="Franklin Gothic Book" w:cs="Calibri"/>
          <w:sz w:val="21"/>
          <w:szCs w:val="21"/>
        </w:rPr>
        <w:t xml:space="preserve"> </w:t>
      </w:r>
      <w:r w:rsidRPr="00E83349">
        <w:rPr>
          <w:rFonts w:ascii="Franklin Gothic Book" w:eastAsia="Times New Roman" w:hAnsi="Franklin Gothic Book" w:cs="Calibri"/>
          <w:sz w:val="21"/>
          <w:szCs w:val="21"/>
        </w:rPr>
        <w:t xml:space="preserve">This may limit the impact of programs delivered through government systems. </w:t>
      </w:r>
      <w:r w:rsidR="00B67E41">
        <w:rPr>
          <w:rFonts w:ascii="Franklin Gothic Book" w:eastAsia="Times New Roman" w:hAnsi="Franklin Gothic Book" w:cs="Calibri"/>
          <w:sz w:val="21"/>
          <w:szCs w:val="21"/>
        </w:rPr>
        <w:t xml:space="preserve"> </w:t>
      </w:r>
      <w:r w:rsidRPr="00E83349">
        <w:rPr>
          <w:rFonts w:ascii="Franklin Gothic Book" w:eastAsia="Times New Roman" w:hAnsi="Franklin Gothic Book" w:cs="Calibri"/>
          <w:sz w:val="21"/>
          <w:szCs w:val="21"/>
        </w:rPr>
        <w:t xml:space="preserve">The NGO sector lacks capacity, limiting options for partners with which we can work. </w:t>
      </w:r>
      <w:r w:rsidR="00B67E41">
        <w:rPr>
          <w:rFonts w:ascii="Franklin Gothic Book" w:eastAsia="Times New Roman" w:hAnsi="Franklin Gothic Book" w:cs="Calibri"/>
          <w:sz w:val="21"/>
          <w:szCs w:val="21"/>
        </w:rPr>
        <w:t xml:space="preserve"> </w:t>
      </w:r>
      <w:r w:rsidRPr="00E83349">
        <w:rPr>
          <w:rFonts w:ascii="Franklin Gothic Book" w:eastAsia="Times New Roman" w:hAnsi="Franklin Gothic Book" w:cs="Calibri"/>
          <w:sz w:val="21"/>
          <w:szCs w:val="21"/>
        </w:rPr>
        <w:t xml:space="preserve">Close and supportive partnerships with the ABG, the private sector and civil society bodies are important to ensure our aid is effective. </w:t>
      </w:r>
    </w:p>
    <w:p w:rsidR="00837172" w:rsidRPr="00E83349" w:rsidRDefault="00837172" w:rsidP="00837172">
      <w:pPr>
        <w:spacing w:after="120" w:line="276" w:lineRule="auto"/>
        <w:rPr>
          <w:rFonts w:ascii="Franklin Gothic Book" w:eastAsia="Times New Roman" w:hAnsi="Franklin Gothic Book" w:cs="Calibri"/>
          <w:sz w:val="21"/>
          <w:szCs w:val="21"/>
        </w:rPr>
      </w:pPr>
      <w:r w:rsidRPr="00E83349">
        <w:rPr>
          <w:rFonts w:ascii="Franklin Gothic Book" w:eastAsia="Times New Roman" w:hAnsi="Franklin Gothic Book" w:cs="Calibri"/>
          <w:sz w:val="21"/>
          <w:szCs w:val="21"/>
        </w:rPr>
        <w:t>The ABG’s minimal revenue generation and the tight budgetary situation currently facing the PNG Government will create pressure on available funding</w:t>
      </w:r>
      <w:r w:rsidR="00D14BF2">
        <w:rPr>
          <w:rFonts w:ascii="Franklin Gothic Book" w:eastAsia="Times New Roman" w:hAnsi="Franklin Gothic Book" w:cs="Calibri"/>
          <w:sz w:val="21"/>
          <w:szCs w:val="21"/>
        </w:rPr>
        <w:t>,</w:t>
      </w:r>
      <w:r w:rsidRPr="00E83349">
        <w:rPr>
          <w:rFonts w:ascii="Franklin Gothic Book" w:eastAsia="Times New Roman" w:hAnsi="Franklin Gothic Book" w:cs="Calibri"/>
          <w:sz w:val="21"/>
          <w:szCs w:val="21"/>
        </w:rPr>
        <w:t xml:space="preserve"> including aid provided by Australia, and may limit the ABG’s flexibility to respond to emerging priorities. </w:t>
      </w:r>
      <w:r w:rsidR="00B67E41">
        <w:rPr>
          <w:rFonts w:ascii="Franklin Gothic Book" w:eastAsia="Times New Roman" w:hAnsi="Franklin Gothic Book" w:cs="Calibri"/>
          <w:sz w:val="21"/>
          <w:szCs w:val="21"/>
        </w:rPr>
        <w:t xml:space="preserve"> </w:t>
      </w:r>
      <w:r w:rsidRPr="00E83349">
        <w:rPr>
          <w:rFonts w:ascii="Franklin Gothic Book" w:eastAsia="Times New Roman" w:hAnsi="Franklin Gothic Book" w:cs="Calibri"/>
          <w:sz w:val="21"/>
          <w:szCs w:val="21"/>
        </w:rPr>
        <w:t xml:space="preserve">Poor communications infrastructure in Bougainville may be a constraint on the ABG’s capacity to build support for and get feedback on government initiatives, including those supported by Australia. </w:t>
      </w:r>
    </w:p>
    <w:p w:rsidR="00E662E3" w:rsidRDefault="00837172" w:rsidP="00A43278">
      <w:pPr>
        <w:spacing w:after="120" w:line="276" w:lineRule="auto"/>
        <w:rPr>
          <w:lang w:eastAsia="zh-CN"/>
        </w:rPr>
      </w:pPr>
      <w:r w:rsidRPr="00E83349">
        <w:rPr>
          <w:rFonts w:ascii="Franklin Gothic Book" w:eastAsia="Times New Roman" w:hAnsi="Franklin Gothic Book" w:cs="Calibri"/>
          <w:sz w:val="21"/>
          <w:szCs w:val="21"/>
        </w:rPr>
        <w:t xml:space="preserve">With a referendum on Bougainville’s future political status due to take place between June 2015 and June 2020, the political environment in which Australia delivers its aid may become more challenging. </w:t>
      </w:r>
      <w:r w:rsidR="001E2637">
        <w:rPr>
          <w:rFonts w:ascii="Franklin Gothic Book" w:eastAsia="Times New Roman" w:hAnsi="Franklin Gothic Book" w:cs="Calibri"/>
          <w:sz w:val="21"/>
          <w:szCs w:val="21"/>
        </w:rPr>
        <w:t xml:space="preserve"> </w:t>
      </w:r>
      <w:r w:rsidRPr="00E83349">
        <w:rPr>
          <w:rFonts w:ascii="Franklin Gothic Book" w:eastAsia="Times New Roman" w:hAnsi="Franklin Gothic Book" w:cs="Calibri"/>
          <w:sz w:val="21"/>
          <w:szCs w:val="21"/>
        </w:rPr>
        <w:t xml:space="preserve">Continued close consultation with the PNG and Bougainville </w:t>
      </w:r>
      <w:r w:rsidR="00FC6FBB">
        <w:rPr>
          <w:rFonts w:ascii="Franklin Gothic Book" w:eastAsia="Times New Roman" w:hAnsi="Franklin Gothic Book" w:cs="Calibri"/>
          <w:sz w:val="21"/>
          <w:szCs w:val="21"/>
        </w:rPr>
        <w:t xml:space="preserve">Governments </w:t>
      </w:r>
      <w:r w:rsidRPr="00E83349">
        <w:rPr>
          <w:rFonts w:ascii="Franklin Gothic Book" w:eastAsia="Times New Roman" w:hAnsi="Franklin Gothic Book" w:cs="Calibri"/>
          <w:sz w:val="21"/>
          <w:szCs w:val="21"/>
        </w:rPr>
        <w:t xml:space="preserve">will be critical to ensure that Australian aid continues to meet shared objectives and can respond to emerging needs. </w:t>
      </w:r>
    </w:p>
    <w:p w:rsidR="00E662E3" w:rsidRDefault="00E662E3">
      <w:pPr>
        <w:pStyle w:val="Heading3"/>
      </w:pPr>
      <w:r>
        <w:lastRenderedPageBreak/>
        <w:br/>
      </w:r>
      <w:r w:rsidR="001E2637">
        <w:br/>
      </w:r>
      <w:r>
        <w:t xml:space="preserve">Performance Benchmarks </w:t>
      </w:r>
    </w:p>
    <w:p w:rsidR="000B67EF" w:rsidRPr="00423E18" w:rsidRDefault="000749A1" w:rsidP="00994EC7">
      <w:pPr>
        <w:pStyle w:val="ListBullet"/>
        <w:numPr>
          <w:ilvl w:val="0"/>
          <w:numId w:val="0"/>
        </w:numPr>
        <w:tabs>
          <w:tab w:val="clear" w:pos="284"/>
        </w:tabs>
        <w:spacing w:line="276" w:lineRule="auto"/>
      </w:pPr>
      <w:r w:rsidRPr="000749A1">
        <w:t>The 2013-14 PNG APPR identified 28 performance benchmarks for the PNG aid program in 2014-15.</w:t>
      </w:r>
      <w:r w:rsidR="00B67E41">
        <w:t xml:space="preserve">  </w:t>
      </w:r>
      <w:r w:rsidRPr="000749A1">
        <w:t xml:space="preserve">An assessment of progress against </w:t>
      </w:r>
      <w:r w:rsidR="0047225E">
        <w:t xml:space="preserve">each of </w:t>
      </w:r>
      <w:r w:rsidRPr="000749A1">
        <w:t>these performance</w:t>
      </w:r>
      <w:r w:rsidR="008019A5">
        <w:t xml:space="preserve"> benchmarks</w:t>
      </w:r>
      <w:r w:rsidRPr="000749A1">
        <w:t xml:space="preserve"> is at </w:t>
      </w:r>
      <w:r w:rsidRPr="00A43278">
        <w:rPr>
          <w:b/>
        </w:rPr>
        <w:t>Annex B</w:t>
      </w:r>
      <w:r w:rsidRPr="000749A1">
        <w:t>.</w:t>
      </w:r>
      <w:r w:rsidR="0052404D">
        <w:t xml:space="preserve"> </w:t>
      </w:r>
      <w:r w:rsidRPr="000749A1">
        <w:t xml:space="preserve"> </w:t>
      </w:r>
      <w:r w:rsidR="00B67E41">
        <w:t xml:space="preserve"> </w:t>
      </w:r>
      <w:r w:rsidR="008019A5">
        <w:t xml:space="preserve">As with the performance across the broader sectors, performance against the benchmarks was mixed. </w:t>
      </w:r>
      <w:r w:rsidR="00B67E41">
        <w:t xml:space="preserve"> </w:t>
      </w:r>
      <w:r w:rsidR="008019A5">
        <w:t xml:space="preserve">Notable achievements included Australia significantly increasing its investments in addressing tuberculosis, </w:t>
      </w:r>
      <w:r w:rsidR="0047225E">
        <w:t xml:space="preserve">increasing </w:t>
      </w:r>
      <w:r w:rsidR="00B67E41">
        <w:t>client access to</w:t>
      </w:r>
      <w:r w:rsidR="0047225E">
        <w:t xml:space="preserve"> Family and Sexual Violence Units and moving aviation and maritime transport services towards full compliance with international safety and security standards. </w:t>
      </w:r>
      <w:r w:rsidR="000B67EF">
        <w:t xml:space="preserve">Performance benchmarks for 2015-16 </w:t>
      </w:r>
      <w:r w:rsidR="00B67E41">
        <w:t>will be agreed through the</w:t>
      </w:r>
      <w:r w:rsidR="000B67EF">
        <w:t xml:space="preserve"> new Aid Partnership with the Government of PNG.</w:t>
      </w:r>
    </w:p>
    <w:p w:rsidR="00E662E3" w:rsidRDefault="00E662E3">
      <w:pPr>
        <w:pStyle w:val="Heading3"/>
      </w:pPr>
      <w:r>
        <w:br/>
        <w:t>Mutual Obligations</w:t>
      </w:r>
    </w:p>
    <w:p w:rsidR="00B67E41" w:rsidRDefault="009B1D0B">
      <w:pPr>
        <w:spacing w:after="120" w:line="276" w:lineRule="auto"/>
        <w:rPr>
          <w:rFonts w:ascii="Franklin Gothic Book" w:eastAsia="Times New Roman" w:hAnsi="Franklin Gothic Book"/>
          <w:sz w:val="21"/>
          <w:szCs w:val="21"/>
          <w:lang w:eastAsia="zh-CN"/>
        </w:rPr>
      </w:pPr>
      <w:r w:rsidRPr="00A43278">
        <w:rPr>
          <w:rFonts w:ascii="Franklin Gothic Book" w:eastAsia="Times New Roman" w:hAnsi="Franklin Gothic Book"/>
          <w:sz w:val="21"/>
          <w:szCs w:val="21"/>
          <w:lang w:eastAsia="zh-CN"/>
        </w:rPr>
        <w:t xml:space="preserve">While formal mutual obligations between </w:t>
      </w:r>
      <w:r w:rsidR="00B67E41" w:rsidRPr="00A43278">
        <w:rPr>
          <w:rFonts w:ascii="Franklin Gothic Book" w:eastAsia="Times New Roman" w:hAnsi="Franklin Gothic Book"/>
          <w:sz w:val="21"/>
          <w:szCs w:val="21"/>
          <w:lang w:eastAsia="zh-CN"/>
        </w:rPr>
        <w:t>our governments</w:t>
      </w:r>
      <w:r w:rsidRPr="00A43278">
        <w:rPr>
          <w:rFonts w:ascii="Franklin Gothic Book" w:eastAsia="Times New Roman" w:hAnsi="Franklin Gothic Book"/>
          <w:sz w:val="21"/>
          <w:szCs w:val="21"/>
          <w:lang w:eastAsia="zh-CN"/>
        </w:rPr>
        <w:t xml:space="preserve"> will be negotiated as part of the new Aid Partnership, the 2013-14 APPR </w:t>
      </w:r>
      <w:r w:rsidR="00F53796" w:rsidRPr="00A43278">
        <w:rPr>
          <w:rFonts w:ascii="Franklin Gothic Book" w:eastAsia="Times New Roman" w:hAnsi="Franklin Gothic Book"/>
          <w:sz w:val="21"/>
          <w:szCs w:val="21"/>
          <w:lang w:eastAsia="zh-CN"/>
        </w:rPr>
        <w:t>referenced</w:t>
      </w:r>
      <w:r w:rsidRPr="00A43278">
        <w:rPr>
          <w:rFonts w:ascii="Franklin Gothic Book" w:eastAsia="Times New Roman" w:hAnsi="Franklin Gothic Book"/>
          <w:sz w:val="21"/>
          <w:szCs w:val="21"/>
          <w:lang w:eastAsia="zh-CN"/>
        </w:rPr>
        <w:t xml:space="preserve"> a number of areas of mutual commitment. </w:t>
      </w:r>
      <w:r w:rsidR="0028451F" w:rsidRPr="00A43278">
        <w:rPr>
          <w:rFonts w:ascii="Franklin Gothic Book" w:eastAsia="Times New Roman" w:hAnsi="Franklin Gothic Book"/>
          <w:sz w:val="21"/>
          <w:szCs w:val="21"/>
          <w:lang w:eastAsia="zh-CN"/>
        </w:rPr>
        <w:t xml:space="preserve"> </w:t>
      </w:r>
      <w:r w:rsidR="006342AC" w:rsidRPr="00A43278">
        <w:rPr>
          <w:rFonts w:ascii="Franklin Gothic Book" w:eastAsia="Times New Roman" w:hAnsi="Franklin Gothic Book"/>
          <w:sz w:val="21"/>
          <w:szCs w:val="21"/>
          <w:lang w:eastAsia="zh-CN"/>
        </w:rPr>
        <w:t>Progress against these is described below.</w:t>
      </w:r>
    </w:p>
    <w:p w:rsidR="00E662E3" w:rsidRPr="0052404D" w:rsidRDefault="00A05067" w:rsidP="00A43278">
      <w:pPr>
        <w:spacing w:after="120" w:line="276" w:lineRule="auto"/>
        <w:rPr>
          <w:rFonts w:ascii="Franklin Gothic Book" w:eastAsia="Times New Roman" w:hAnsi="Franklin Gothic Book"/>
          <w:b/>
          <w:szCs w:val="20"/>
          <w:lang w:eastAsia="zh-CN"/>
        </w:rPr>
      </w:pPr>
      <w:r w:rsidRPr="0052404D">
        <w:rPr>
          <w:rFonts w:ascii="Franklin Gothic Book" w:eastAsia="Times New Roman" w:hAnsi="Franklin Gothic Book"/>
          <w:b/>
          <w:szCs w:val="20"/>
          <w:lang w:eastAsia="zh-CN"/>
        </w:rPr>
        <w:t>Table 3 – Progress in achieving mutual obligations</w:t>
      </w:r>
    </w:p>
    <w:tbl>
      <w:tblPr>
        <w:tblStyle w:val="TableGrid"/>
        <w:tblW w:w="8743" w:type="dxa"/>
        <w:tblInd w:w="142" w:type="dxa"/>
        <w:tblLook w:val="04A0" w:firstRow="1" w:lastRow="0" w:firstColumn="1" w:lastColumn="0" w:noHBand="0" w:noVBand="1"/>
      </w:tblPr>
      <w:tblGrid>
        <w:gridCol w:w="3227"/>
        <w:gridCol w:w="5516"/>
      </w:tblGrid>
      <w:tr w:rsidR="00E008A3" w:rsidTr="00A43278">
        <w:trPr>
          <w:trHeight w:val="603"/>
        </w:trPr>
        <w:tc>
          <w:tcPr>
            <w:tcW w:w="3227" w:type="dxa"/>
          </w:tcPr>
          <w:p w:rsidR="00E008A3" w:rsidRPr="00E008A3" w:rsidRDefault="00E008A3" w:rsidP="006342AC">
            <w:pPr>
              <w:pStyle w:val="ListBullet"/>
              <w:numPr>
                <w:ilvl w:val="0"/>
                <w:numId w:val="0"/>
              </w:numPr>
              <w:rPr>
                <w:b/>
              </w:rPr>
            </w:pPr>
            <w:r w:rsidRPr="00E008A3">
              <w:rPr>
                <w:b/>
              </w:rPr>
              <w:t>Mutual obligation identified in the 2013-14 APPR</w:t>
            </w:r>
          </w:p>
        </w:tc>
        <w:tc>
          <w:tcPr>
            <w:tcW w:w="5516" w:type="dxa"/>
          </w:tcPr>
          <w:p w:rsidR="00E008A3" w:rsidRPr="00E008A3" w:rsidRDefault="00E008A3" w:rsidP="00F53796">
            <w:pPr>
              <w:pStyle w:val="ListBullet"/>
              <w:numPr>
                <w:ilvl w:val="0"/>
                <w:numId w:val="0"/>
              </w:numPr>
              <w:rPr>
                <w:b/>
              </w:rPr>
            </w:pPr>
            <w:r>
              <w:rPr>
                <w:b/>
              </w:rPr>
              <w:t>Progress in 2014-15</w:t>
            </w:r>
          </w:p>
        </w:tc>
      </w:tr>
      <w:tr w:rsidR="006342AC" w:rsidTr="00A43278">
        <w:trPr>
          <w:trHeight w:val="564"/>
        </w:trPr>
        <w:tc>
          <w:tcPr>
            <w:tcW w:w="3227" w:type="dxa"/>
          </w:tcPr>
          <w:p w:rsidR="006342AC" w:rsidRPr="00922299" w:rsidRDefault="006342AC" w:rsidP="006342AC">
            <w:pPr>
              <w:pStyle w:val="ListBullet"/>
              <w:numPr>
                <w:ilvl w:val="0"/>
                <w:numId w:val="0"/>
              </w:numPr>
            </w:pPr>
            <w:r w:rsidRPr="00922299">
              <w:t xml:space="preserve">Effective resourcing and oversight of the Lae ANGAU Hospital Master </w:t>
            </w:r>
            <w:r>
              <w:t>P</w:t>
            </w:r>
            <w:r w:rsidRPr="00922299">
              <w:t>lan development and engagement with the Government of PNG on sustainable co-financing and governance arrangements</w:t>
            </w:r>
            <w:r w:rsidR="00B67E41">
              <w:t>.</w:t>
            </w:r>
          </w:p>
        </w:tc>
        <w:tc>
          <w:tcPr>
            <w:tcW w:w="5516" w:type="dxa"/>
          </w:tcPr>
          <w:p w:rsidR="006342AC" w:rsidRPr="00F53796" w:rsidRDefault="00C06367">
            <w:pPr>
              <w:pStyle w:val="ListBullet"/>
              <w:numPr>
                <w:ilvl w:val="0"/>
                <w:numId w:val="0"/>
              </w:numPr>
            </w:pPr>
            <w:r w:rsidRPr="00C06367">
              <w:t>The Master Plan for the ANGAU Hospital was internationally tendered and contracted, and was completed in June 2015.</w:t>
            </w:r>
            <w:r w:rsidR="00AF54FB">
              <w:t xml:space="preserve"> </w:t>
            </w:r>
            <w:r w:rsidR="00B67E41">
              <w:t xml:space="preserve"> </w:t>
            </w:r>
            <w:r w:rsidR="002E0EC0" w:rsidRPr="002E0EC0">
              <w:t xml:space="preserve">A consultancy for an analysis of the financing options for PNG and Australia to jointly fund the reconstruction of the ANGAU </w:t>
            </w:r>
            <w:r w:rsidR="00556B2D">
              <w:t>H</w:t>
            </w:r>
            <w:r w:rsidR="00556B2D" w:rsidRPr="002E0EC0">
              <w:t xml:space="preserve">ospital </w:t>
            </w:r>
            <w:r w:rsidR="002E0EC0" w:rsidRPr="002E0EC0">
              <w:t>is underway and the initial recommendations were presented in June 2015</w:t>
            </w:r>
            <w:r w:rsidR="002E0EC0">
              <w:t>.</w:t>
            </w:r>
          </w:p>
        </w:tc>
      </w:tr>
      <w:tr w:rsidR="00650549" w:rsidTr="00A43278">
        <w:trPr>
          <w:trHeight w:val="1527"/>
        </w:trPr>
        <w:tc>
          <w:tcPr>
            <w:tcW w:w="3227" w:type="dxa"/>
          </w:tcPr>
          <w:p w:rsidR="00650549" w:rsidRPr="00922299" w:rsidRDefault="00650549" w:rsidP="00D83A35">
            <w:pPr>
              <w:pStyle w:val="ListBullet"/>
              <w:numPr>
                <w:ilvl w:val="0"/>
                <w:numId w:val="0"/>
              </w:numPr>
            </w:pPr>
            <w:r w:rsidRPr="00922299">
              <w:t xml:space="preserve">PNG and Australia agreed to work together on activities supporting priority infrastructure at the University of PNG. </w:t>
            </w:r>
          </w:p>
        </w:tc>
        <w:tc>
          <w:tcPr>
            <w:tcW w:w="5516" w:type="dxa"/>
          </w:tcPr>
          <w:p w:rsidR="00650549" w:rsidRDefault="00650549" w:rsidP="00A43278">
            <w:pPr>
              <w:spacing w:after="200" w:line="276" w:lineRule="auto"/>
              <w:contextualSpacing/>
            </w:pPr>
            <w:r w:rsidRPr="002E0EC0">
              <w:rPr>
                <w:rFonts w:ascii="Franklin Gothic Book" w:eastAsia="Times New Roman" w:hAnsi="Franklin Gothic Book"/>
                <w:sz w:val="21"/>
              </w:rPr>
              <w:t>An im</w:t>
            </w:r>
            <w:r>
              <w:rPr>
                <w:rFonts w:ascii="Franklin Gothic Book" w:eastAsia="Times New Roman" w:hAnsi="Franklin Gothic Book"/>
                <w:sz w:val="21"/>
              </w:rPr>
              <w:t xml:space="preserve">plementation schedule, covering </w:t>
            </w:r>
            <w:r w:rsidRPr="002E0EC0">
              <w:rPr>
                <w:rFonts w:ascii="Franklin Gothic Book" w:eastAsia="Times New Roman" w:hAnsi="Franklin Gothic Book"/>
                <w:sz w:val="21"/>
              </w:rPr>
              <w:t>scoping, design, procurement and construction of infrastructure works was agreed on 17 September 2014.</w:t>
            </w:r>
            <w:r>
              <w:rPr>
                <w:rFonts w:ascii="Franklin Gothic Book" w:eastAsia="Times New Roman" w:hAnsi="Franklin Gothic Book"/>
                <w:sz w:val="21"/>
              </w:rPr>
              <w:t xml:space="preserve"> </w:t>
            </w:r>
            <w:r w:rsidR="00B67E41">
              <w:rPr>
                <w:rFonts w:ascii="Franklin Gothic Book" w:eastAsia="Times New Roman" w:hAnsi="Franklin Gothic Book"/>
                <w:sz w:val="21"/>
              </w:rPr>
              <w:t xml:space="preserve"> </w:t>
            </w:r>
            <w:r w:rsidRPr="002E0EC0">
              <w:rPr>
                <w:rFonts w:ascii="Franklin Gothic Book" w:eastAsia="Times New Roman" w:hAnsi="Franklin Gothic Book"/>
                <w:sz w:val="21"/>
              </w:rPr>
              <w:t>Infrastructure works at UPNG are being procured through Australia’s PNG Health and Education Procurement Facility (HEPF)</w:t>
            </w:r>
            <w:r>
              <w:rPr>
                <w:rFonts w:ascii="Franklin Gothic Book" w:eastAsia="Times New Roman" w:hAnsi="Franklin Gothic Book"/>
                <w:sz w:val="21"/>
              </w:rPr>
              <w:t>.</w:t>
            </w:r>
            <w:r w:rsidR="00C6353D" w:rsidRPr="002E0EC0" w:rsidDel="00C6353D">
              <w:t xml:space="preserve"> </w:t>
            </w:r>
          </w:p>
        </w:tc>
      </w:tr>
      <w:tr w:rsidR="00650549" w:rsidTr="00A43278">
        <w:trPr>
          <w:trHeight w:val="2170"/>
        </w:trPr>
        <w:tc>
          <w:tcPr>
            <w:tcW w:w="3227" w:type="dxa"/>
          </w:tcPr>
          <w:p w:rsidR="00650549" w:rsidRPr="00922299" w:rsidRDefault="00650549" w:rsidP="006342AC">
            <w:pPr>
              <w:pStyle w:val="ListBullet"/>
              <w:numPr>
                <w:ilvl w:val="0"/>
                <w:numId w:val="0"/>
              </w:numPr>
            </w:pPr>
            <w:r w:rsidRPr="00922299">
              <w:t>The Government of Papua New Guinea</w:t>
            </w:r>
            <w:r>
              <w:t xml:space="preserve"> </w:t>
            </w:r>
            <w:r w:rsidRPr="00922299">
              <w:t xml:space="preserve">demonstrating commitment to the fair and transparent procurement of quality assured medical supplies and the Government of Australia supporting the Government of PNG to establish an Independent Health Procurement Authority. </w:t>
            </w:r>
          </w:p>
        </w:tc>
        <w:tc>
          <w:tcPr>
            <w:tcW w:w="5516" w:type="dxa"/>
          </w:tcPr>
          <w:p w:rsidR="00650549" w:rsidRDefault="00F36621" w:rsidP="00F36621">
            <w:pPr>
              <w:pStyle w:val="ListBullet"/>
              <w:numPr>
                <w:ilvl w:val="0"/>
                <w:numId w:val="0"/>
              </w:numPr>
            </w:pPr>
            <w:r w:rsidRPr="00F53796">
              <w:t xml:space="preserve">In 2014-15, </w:t>
            </w:r>
            <w:r>
              <w:t>Australia</w:t>
            </w:r>
            <w:r w:rsidRPr="00F53796">
              <w:t xml:space="preserve"> withdr</w:t>
            </w:r>
            <w:r>
              <w:t>ew</w:t>
            </w:r>
            <w:r w:rsidRPr="00F53796">
              <w:t xml:space="preserve"> support following </w:t>
            </w:r>
            <w:r>
              <w:t xml:space="preserve">the </w:t>
            </w:r>
            <w:r w:rsidRPr="00F53796">
              <w:t>Government of PNG’s failure to meet performance-linked aid arrangements.</w:t>
            </w:r>
            <w:r>
              <w:t xml:space="preserve"> </w:t>
            </w:r>
            <w:r w:rsidR="00B67E41">
              <w:t xml:space="preserve"> </w:t>
            </w:r>
            <w:r>
              <w:t>Th</w:t>
            </w:r>
            <w:r w:rsidR="00650549" w:rsidRPr="00F53796">
              <w:t>e PNG National Department of Health assumed full responsibility for the procurement and distribution of medical supply kits</w:t>
            </w:r>
            <w:r>
              <w:t>.</w:t>
            </w:r>
            <w:r w:rsidR="00B67E41">
              <w:t xml:space="preserve"> </w:t>
            </w:r>
            <w:r>
              <w:t xml:space="preserve"> Any further support to establish an Independent Health Procurement Authority is dependent on Government of PNG’s commitment to system reform.</w:t>
            </w:r>
          </w:p>
        </w:tc>
      </w:tr>
      <w:tr w:rsidR="00650549" w:rsidTr="00A43278">
        <w:trPr>
          <w:trHeight w:val="2471"/>
        </w:trPr>
        <w:tc>
          <w:tcPr>
            <w:tcW w:w="3227" w:type="dxa"/>
          </w:tcPr>
          <w:p w:rsidR="00650549" w:rsidRPr="00922299" w:rsidRDefault="00650549" w:rsidP="006342AC">
            <w:pPr>
              <w:pStyle w:val="ListBullet"/>
              <w:numPr>
                <w:ilvl w:val="0"/>
                <w:numId w:val="0"/>
              </w:numPr>
            </w:pPr>
            <w:r w:rsidRPr="00922299">
              <w:lastRenderedPageBreak/>
              <w:t>Australia continuing to support PNG’s efforts to establish an Independent Commission Against Corruption</w:t>
            </w:r>
            <w:r w:rsidR="007A2954">
              <w:t xml:space="preserve"> (ICAC)</w:t>
            </w:r>
            <w:r w:rsidRPr="00922299">
              <w:t xml:space="preserve"> and improve its compliance with international anti-money laundering and counter terrorism financing standards.</w:t>
            </w:r>
          </w:p>
        </w:tc>
        <w:tc>
          <w:tcPr>
            <w:tcW w:w="5516" w:type="dxa"/>
          </w:tcPr>
          <w:p w:rsidR="00FE6E18" w:rsidRDefault="00FE6E18" w:rsidP="00FE6E18">
            <w:pPr>
              <w:pStyle w:val="ListBullet"/>
              <w:numPr>
                <w:ilvl w:val="0"/>
                <w:numId w:val="0"/>
              </w:numPr>
            </w:pPr>
            <w:r w:rsidRPr="00D54A11">
              <w:t xml:space="preserve">With support from Attorney-General’s Department officers under the Strongim Gavman Program, PNG </w:t>
            </w:r>
            <w:r>
              <w:t xml:space="preserve">passed a Constitutional Amendment to enable the passage of ICAC legislation and </w:t>
            </w:r>
            <w:r w:rsidRPr="00D54A11">
              <w:t xml:space="preserve">finalised the drafting of the Organic Law to establish the </w:t>
            </w:r>
            <w:r>
              <w:t>ICAC</w:t>
            </w:r>
            <w:r w:rsidRPr="00D54A11">
              <w:t xml:space="preserve">. </w:t>
            </w:r>
            <w:r w:rsidR="00B67E41">
              <w:t xml:space="preserve"> </w:t>
            </w:r>
            <w:r w:rsidRPr="00D54A11">
              <w:t>The Government of PNG has committed to introducing the Bill into Parliament.</w:t>
            </w:r>
          </w:p>
          <w:p w:rsidR="00650549" w:rsidRDefault="00FE6E18" w:rsidP="00BA6275">
            <w:pPr>
              <w:pStyle w:val="ListBullet"/>
              <w:numPr>
                <w:ilvl w:val="0"/>
                <w:numId w:val="0"/>
              </w:numPr>
            </w:pPr>
            <w:r>
              <w:t xml:space="preserve">With support from SGP </w:t>
            </w:r>
            <w:r w:rsidR="00BA6275">
              <w:t xml:space="preserve">advisers </w:t>
            </w:r>
            <w:r>
              <w:t>and the Combating Corruption program, PNG has significantly improved its compliance with international anti-money and counter terrorist financing standards. PNG’s progress against its FATF Action Plan is on track.</w:t>
            </w:r>
          </w:p>
        </w:tc>
      </w:tr>
    </w:tbl>
    <w:p w:rsidR="00E662E3" w:rsidRPr="00A43278" w:rsidRDefault="00E662E3" w:rsidP="00A43278">
      <w:pPr>
        <w:pStyle w:val="BodyText"/>
      </w:pPr>
    </w:p>
    <w:p w:rsidR="00906A81" w:rsidRPr="0007149C" w:rsidRDefault="00511A0F" w:rsidP="0007149C">
      <w:pPr>
        <w:pStyle w:val="Heading2"/>
        <w:rPr>
          <w:sz w:val="28"/>
        </w:rPr>
      </w:pPr>
      <w:r w:rsidRPr="0007149C">
        <w:rPr>
          <w:sz w:val="28"/>
        </w:rPr>
        <w:t>Program Quality</w:t>
      </w:r>
      <w:r w:rsidR="000D733F" w:rsidRPr="0007149C">
        <w:rPr>
          <w:sz w:val="28"/>
        </w:rPr>
        <w:t xml:space="preserve"> and </w:t>
      </w:r>
      <w:r w:rsidR="00581979">
        <w:rPr>
          <w:sz w:val="28"/>
        </w:rPr>
        <w:t>Partner Performance</w:t>
      </w:r>
      <w:r w:rsidR="000D733F" w:rsidRPr="0007149C">
        <w:rPr>
          <w:sz w:val="28"/>
        </w:rPr>
        <w:t xml:space="preserve"> </w:t>
      </w:r>
    </w:p>
    <w:p w:rsidR="000D733F" w:rsidRPr="006A5742" w:rsidRDefault="00906A81">
      <w:pPr>
        <w:pStyle w:val="Heading3"/>
      </w:pPr>
      <w:r w:rsidRPr="006A5742">
        <w:t>Overview</w:t>
      </w:r>
      <w:r w:rsidR="000D733F" w:rsidRPr="006A5742">
        <w:tab/>
      </w:r>
      <w:r w:rsidR="000D733F">
        <w:tab/>
      </w:r>
    </w:p>
    <w:p w:rsidR="00AD20BB" w:rsidRDefault="00AD20BB" w:rsidP="00994EC7">
      <w:pPr>
        <w:pStyle w:val="ListBullet"/>
        <w:numPr>
          <w:ilvl w:val="0"/>
          <w:numId w:val="0"/>
        </w:numPr>
        <w:tabs>
          <w:tab w:val="clear" w:pos="284"/>
        </w:tabs>
        <w:spacing w:line="276" w:lineRule="auto"/>
      </w:pPr>
      <w:r>
        <w:t xml:space="preserve">Australia’s aid program </w:t>
      </w:r>
      <w:r w:rsidR="00AF4625">
        <w:t>i</w:t>
      </w:r>
      <w:r>
        <w:t xml:space="preserve">n PNG is estimated to be $3.5 billion over the next five years. </w:t>
      </w:r>
      <w:r w:rsidR="00B67E41">
        <w:t xml:space="preserve"> </w:t>
      </w:r>
      <w:r>
        <w:t>The program currently has 44 significant aid investments</w:t>
      </w:r>
      <w:r w:rsidR="00C643F7">
        <w:t xml:space="preserve"> valued at $3 million or more</w:t>
      </w:r>
      <w:r>
        <w:t xml:space="preserve">, 24 of which are valued at $10 million or more. </w:t>
      </w:r>
      <w:r w:rsidR="00B67E41">
        <w:t xml:space="preserve"> </w:t>
      </w:r>
      <w:r>
        <w:t xml:space="preserve">Australia’s aid to PNG is aligned with the Government’s performance framework, </w:t>
      </w:r>
      <w:r w:rsidRPr="00E56107">
        <w:rPr>
          <w:i/>
        </w:rPr>
        <w:t>Making Performance Count: enhancing the accountability and effectiveness of Australian aid</w:t>
      </w:r>
      <w:r>
        <w:t xml:space="preserve">. </w:t>
      </w:r>
      <w:r w:rsidR="00B67E41">
        <w:t xml:space="preserve"> </w:t>
      </w:r>
      <w:r>
        <w:t xml:space="preserve">Program performance and quality is assessed against the 10 strategic targets; as well as program and sector-level objectives, </w:t>
      </w:r>
      <w:r w:rsidR="002C6C47">
        <w:t>benchmark</w:t>
      </w:r>
      <w:r w:rsidR="00B67E41">
        <w:t xml:space="preserve">s and </w:t>
      </w:r>
      <w:r>
        <w:t>mutual obligations.</w:t>
      </w:r>
      <w:r w:rsidR="00B67E41">
        <w:t xml:space="preserve"> </w:t>
      </w:r>
      <w:r>
        <w:t xml:space="preserve"> Consistent with the </w:t>
      </w:r>
      <w:r w:rsidRPr="00994EC7">
        <w:t>Partnership for Development,</w:t>
      </w:r>
      <w:r>
        <w:t xml:space="preserve"> the performance of Australia’s aid is reviewed and agreed annually with the PNG Government at bilateral aid partnership talks. </w:t>
      </w:r>
    </w:p>
    <w:p w:rsidR="00AD20BB" w:rsidRDefault="00AD20BB" w:rsidP="00994EC7">
      <w:pPr>
        <w:pStyle w:val="ListBullet"/>
        <w:numPr>
          <w:ilvl w:val="0"/>
          <w:numId w:val="0"/>
        </w:numPr>
        <w:tabs>
          <w:tab w:val="clear" w:pos="284"/>
        </w:tabs>
        <w:spacing w:line="276" w:lineRule="auto"/>
      </w:pPr>
      <w:r w:rsidRPr="00BD4525">
        <w:t xml:space="preserve">Investment Quality Reporting </w:t>
      </w:r>
      <w:r>
        <w:t>(IQR) is undertaken annually to review the performance of contractors, investments, sectors and the overarching program.</w:t>
      </w:r>
      <w:r w:rsidR="002C6C47">
        <w:t xml:space="preserve"> </w:t>
      </w:r>
      <w:r>
        <w:t xml:space="preserve"> For the first time, in 2014-15</w:t>
      </w:r>
      <w:r w:rsidRPr="00E56107">
        <w:t xml:space="preserve"> the PNG program </w:t>
      </w:r>
      <w:r>
        <w:t>achieved 100 per cent</w:t>
      </w:r>
      <w:r w:rsidRPr="00E56107">
        <w:t xml:space="preserve"> compliance on all </w:t>
      </w:r>
      <w:r w:rsidR="009D2DE6">
        <w:t>quality</w:t>
      </w:r>
      <w:r w:rsidR="009D2DE6" w:rsidRPr="00E56107">
        <w:t xml:space="preserve"> </w:t>
      </w:r>
      <w:r w:rsidRPr="00E56107">
        <w:t>processes</w:t>
      </w:r>
      <w:r>
        <w:t xml:space="preserve">. </w:t>
      </w:r>
      <w:r w:rsidR="002C6C47">
        <w:t xml:space="preserve"> </w:t>
      </w:r>
      <w:r>
        <w:t xml:space="preserve">The program </w:t>
      </w:r>
      <w:r w:rsidR="00C6353D">
        <w:t xml:space="preserve">completed </w:t>
      </w:r>
      <w:r>
        <w:t>44 Aid Quality Checks (AQCs), 65 Partner Performance Assessments (PPAs) and six Sector Performance Reports (SPRs), which generated evidence-based assessments of progress and reviewed and updated management actions.</w:t>
      </w:r>
      <w:r w:rsidR="004356D0">
        <w:t xml:space="preserve"> </w:t>
      </w:r>
      <w:r w:rsidR="002C6C47">
        <w:t xml:space="preserve"> </w:t>
      </w:r>
      <w:r w:rsidR="004356D0">
        <w:t xml:space="preserve">This Aid Program Performance Report draws on these products. </w:t>
      </w:r>
    </w:p>
    <w:p w:rsidR="00AD20BB" w:rsidRDefault="00AD20BB" w:rsidP="00994EC7">
      <w:pPr>
        <w:pStyle w:val="ListBullet"/>
        <w:numPr>
          <w:ilvl w:val="0"/>
          <w:numId w:val="0"/>
        </w:numPr>
        <w:tabs>
          <w:tab w:val="clear" w:pos="284"/>
        </w:tabs>
        <w:spacing w:line="276" w:lineRule="auto"/>
      </w:pPr>
      <w:r>
        <w:t xml:space="preserve">This approach enabled us to </w:t>
      </w:r>
      <w:r w:rsidR="00C643F7">
        <w:t xml:space="preserve">better </w:t>
      </w:r>
      <w:r>
        <w:t>understand what works and what does not.</w:t>
      </w:r>
      <w:r w:rsidR="002C6C47">
        <w:t xml:space="preserve"> </w:t>
      </w:r>
      <w:r>
        <w:t xml:space="preserve"> </w:t>
      </w:r>
      <w:r w:rsidR="00F65C94">
        <w:t>I</w:t>
      </w:r>
      <w:r>
        <w:t xml:space="preserve">t provided evidence that Australia’s aid investments are </w:t>
      </w:r>
      <w:r w:rsidR="00C643F7">
        <w:t xml:space="preserve">largely </w:t>
      </w:r>
      <w:r>
        <w:t xml:space="preserve">working as intended, despite PNG development levels stagnating or declining across the priority sectors. </w:t>
      </w:r>
    </w:p>
    <w:p w:rsidR="00AD20BB" w:rsidRDefault="00AD20BB" w:rsidP="00994EC7">
      <w:pPr>
        <w:pStyle w:val="ListBullet"/>
        <w:numPr>
          <w:ilvl w:val="0"/>
          <w:numId w:val="0"/>
        </w:numPr>
        <w:tabs>
          <w:tab w:val="clear" w:pos="284"/>
        </w:tabs>
        <w:spacing w:line="276" w:lineRule="auto"/>
      </w:pPr>
      <w:r>
        <w:t xml:space="preserve">The management consequences identified in 2013-14 were examined during the IQR process. Reporting shows that most management consequences were addressed in 2014-15. </w:t>
      </w:r>
      <w:r w:rsidR="002C6C47">
        <w:t xml:space="preserve"> </w:t>
      </w:r>
      <w:r w:rsidR="00C21F12">
        <w:br/>
      </w:r>
      <w:r>
        <w:t xml:space="preserve">New management consequences for 2015-16 were established as an integral part of the process and were outlined in the SPRs and below (see Management Responses). </w:t>
      </w:r>
    </w:p>
    <w:p w:rsidR="00AD20BB" w:rsidRPr="00AD20BB" w:rsidRDefault="00AD20BB" w:rsidP="00994EC7">
      <w:pPr>
        <w:pStyle w:val="ListBullet"/>
        <w:numPr>
          <w:ilvl w:val="0"/>
          <w:numId w:val="0"/>
        </w:numPr>
        <w:tabs>
          <w:tab w:val="clear" w:pos="284"/>
        </w:tabs>
        <w:spacing w:line="276" w:lineRule="auto"/>
      </w:pPr>
      <w:r>
        <w:t>In 2014-15 the Health and HIV program undertook a portfolio review, which inform</w:t>
      </w:r>
      <w:r w:rsidR="00C643F7">
        <w:t>ed</w:t>
      </w:r>
      <w:r>
        <w:t xml:space="preserve"> program decisions and led to the continuation of the </w:t>
      </w:r>
      <w:r w:rsidRPr="00E7299E">
        <w:t>Health and HIV Implementation Services Provider program</w:t>
      </w:r>
      <w:r>
        <w:t xml:space="preserve">. </w:t>
      </w:r>
      <w:r w:rsidR="002C6C47">
        <w:t xml:space="preserve"> </w:t>
      </w:r>
      <w:r>
        <w:t xml:space="preserve">The PNG program has scheduled </w:t>
      </w:r>
      <w:r w:rsidR="002C6C47">
        <w:t>five</w:t>
      </w:r>
      <w:r w:rsidR="00C643F7">
        <w:t xml:space="preserve"> </w:t>
      </w:r>
      <w:r>
        <w:t>investment reviews/evaluations to occur in 2015-16 (</w:t>
      </w:r>
      <w:r w:rsidRPr="00A43278">
        <w:rPr>
          <w:b/>
        </w:rPr>
        <w:t>Annex C</w:t>
      </w:r>
      <w:r>
        <w:t xml:space="preserve"> refers). </w:t>
      </w:r>
      <w:r w:rsidR="001E2637">
        <w:t xml:space="preserve"> </w:t>
      </w:r>
      <w:r>
        <w:t xml:space="preserve">To prepare for this, </w:t>
      </w:r>
      <w:r w:rsidR="00C6353D">
        <w:t xml:space="preserve">we have started </w:t>
      </w:r>
      <w:r>
        <w:t xml:space="preserve">to centralise aspects of the monitoring and evaluation systems and processes.  </w:t>
      </w:r>
      <w:r w:rsidR="00593DFF">
        <w:t>We have</w:t>
      </w:r>
      <w:r>
        <w:t xml:space="preserve"> also established a four-year evaluation pipeline to better space reviews/evaluations where possible.</w:t>
      </w:r>
    </w:p>
    <w:p w:rsidR="000D733F" w:rsidRDefault="000D733F">
      <w:pPr>
        <w:pStyle w:val="Heading3"/>
      </w:pPr>
      <w:r w:rsidRPr="008F5173">
        <w:lastRenderedPageBreak/>
        <w:t xml:space="preserve">Analysis of </w:t>
      </w:r>
      <w:r w:rsidR="000D2CDD" w:rsidRPr="008F5173">
        <w:t xml:space="preserve">Aid </w:t>
      </w:r>
      <w:r w:rsidRPr="008F5173">
        <w:t xml:space="preserve">Quality </w:t>
      </w:r>
      <w:r w:rsidR="000D2CDD" w:rsidRPr="008F5173">
        <w:t xml:space="preserve">Checks </w:t>
      </w:r>
      <w:r w:rsidR="0007149C" w:rsidRPr="008F5173">
        <w:t>(AQCs)</w:t>
      </w:r>
    </w:p>
    <w:p w:rsidR="00AD20BB" w:rsidRDefault="00AD20BB" w:rsidP="00994EC7">
      <w:pPr>
        <w:pStyle w:val="ListBullet"/>
        <w:numPr>
          <w:ilvl w:val="0"/>
          <w:numId w:val="0"/>
        </w:numPr>
        <w:tabs>
          <w:tab w:val="clear" w:pos="284"/>
        </w:tabs>
        <w:spacing w:line="276" w:lineRule="auto"/>
      </w:pPr>
      <w:r>
        <w:t>In 2014-15 the PNG Program completed 44 Aid Quality Check (AQC) reports, 26 of which were independently moderated (initiatives valued at $10</w:t>
      </w:r>
      <w:r w:rsidR="00593DFF">
        <w:t xml:space="preserve"> </w:t>
      </w:r>
      <w:r>
        <w:t>m</w:t>
      </w:r>
      <w:r w:rsidR="00593DFF">
        <w:t>illion</w:t>
      </w:r>
      <w:r>
        <w:t xml:space="preserve"> or over) by DFAT’s Principal Specialist for</w:t>
      </w:r>
      <w:r w:rsidRPr="009542DF">
        <w:t xml:space="preserve"> Performance Management and Results </w:t>
      </w:r>
      <w:r>
        <w:t xml:space="preserve">and members of the PNG Program. </w:t>
      </w:r>
    </w:p>
    <w:p w:rsidR="00AD20BB" w:rsidRDefault="00AD20BB" w:rsidP="00994EC7">
      <w:pPr>
        <w:pStyle w:val="ListBullet"/>
        <w:numPr>
          <w:ilvl w:val="0"/>
          <w:numId w:val="0"/>
        </w:numPr>
        <w:tabs>
          <w:tab w:val="clear" w:pos="284"/>
        </w:tabs>
        <w:spacing w:line="276" w:lineRule="auto"/>
      </w:pPr>
      <w:r>
        <w:t xml:space="preserve">Analysis shows that the AQC ratings in 2014-15 improved overall in comparison to the scores provided for Quality at Implementation (QAI) reports in 2013-14 (see </w:t>
      </w:r>
      <w:r w:rsidRPr="00A43278">
        <w:rPr>
          <w:b/>
        </w:rPr>
        <w:t>Annex D</w:t>
      </w:r>
      <w:r>
        <w:t xml:space="preserve">). </w:t>
      </w:r>
      <w:r w:rsidR="002C6C47">
        <w:t xml:space="preserve"> </w:t>
      </w:r>
      <w:r>
        <w:t>This trend is attributed to the investments performing better</w:t>
      </w:r>
      <w:r w:rsidR="00416EBA">
        <w:t xml:space="preserve"> </w:t>
      </w:r>
      <w:r>
        <w:t xml:space="preserve">and the closure/non-renewal of </w:t>
      </w:r>
      <w:r w:rsidR="00C643F7">
        <w:t>some</w:t>
      </w:r>
      <w:r>
        <w:t xml:space="preserve"> investments. </w:t>
      </w:r>
    </w:p>
    <w:p w:rsidR="00AD20BB" w:rsidRDefault="00AD20BB" w:rsidP="00994EC7">
      <w:pPr>
        <w:pStyle w:val="ListBullet"/>
        <w:numPr>
          <w:ilvl w:val="0"/>
          <w:numId w:val="0"/>
        </w:numPr>
        <w:spacing w:line="276" w:lineRule="auto"/>
      </w:pPr>
      <w:r>
        <w:t xml:space="preserve">All investments reviewed were assessed to be highly relevant to the development context and/or as a tool of foreign diplomacy. </w:t>
      </w:r>
      <w:r w:rsidR="002C6C47">
        <w:t xml:space="preserve"> </w:t>
      </w:r>
      <w:r>
        <w:t xml:space="preserve">Only one investment </w:t>
      </w:r>
      <w:r w:rsidR="001E2637">
        <w:t xml:space="preserve">was </w:t>
      </w:r>
      <w:r>
        <w:t xml:space="preserve">ineffective; three </w:t>
      </w:r>
      <w:r w:rsidR="001E2637">
        <w:t xml:space="preserve">were </w:t>
      </w:r>
      <w:r>
        <w:t xml:space="preserve">inefficient; two lacked appropriate monitoring and evaluation systems and implementation; one </w:t>
      </w:r>
      <w:r w:rsidR="001E2637">
        <w:t>wa</w:t>
      </w:r>
      <w:r>
        <w:t xml:space="preserve">s </w:t>
      </w:r>
      <w:r w:rsidR="001E2637">
        <w:t xml:space="preserve">rated as </w:t>
      </w:r>
      <w:r>
        <w:t xml:space="preserve">unsustainable; two </w:t>
      </w:r>
      <w:r w:rsidR="001E2637">
        <w:t xml:space="preserve">did </w:t>
      </w:r>
      <w:r>
        <w:t xml:space="preserve">not meet gender criteria; and one </w:t>
      </w:r>
      <w:r w:rsidR="001E2637">
        <w:t xml:space="preserve">did </w:t>
      </w:r>
      <w:r>
        <w:t xml:space="preserve">not sufficiently manage risks or address safeguards. </w:t>
      </w:r>
      <w:r w:rsidR="002C6C47">
        <w:t xml:space="preserve"> </w:t>
      </w:r>
      <w:r>
        <w:t>The PNG program has significantly improved its gender ratings</w:t>
      </w:r>
      <w:r w:rsidR="00C643F7">
        <w:t xml:space="preserve"> at the initiative level</w:t>
      </w:r>
      <w:r>
        <w:t>, with 95 per</w:t>
      </w:r>
      <w:r w:rsidR="00B41968">
        <w:t xml:space="preserve"> </w:t>
      </w:r>
      <w:r>
        <w:t xml:space="preserve">cent of investments effectively addressing gender issues in their implementation. </w:t>
      </w:r>
      <w:r w:rsidR="002C6C47">
        <w:t xml:space="preserve"> </w:t>
      </w:r>
      <w:r>
        <w:t>This is an important and purposeful achievement.</w:t>
      </w:r>
    </w:p>
    <w:p w:rsidR="00AD20BB" w:rsidRPr="00AD20BB" w:rsidRDefault="00076281" w:rsidP="00994EC7">
      <w:pPr>
        <w:pStyle w:val="ListBullet"/>
        <w:numPr>
          <w:ilvl w:val="0"/>
          <w:numId w:val="0"/>
        </w:numPr>
        <w:spacing w:line="276" w:lineRule="auto"/>
      </w:pPr>
      <w:r w:rsidRPr="004F23AF">
        <w:t xml:space="preserve">As shown at </w:t>
      </w:r>
      <w:r w:rsidRPr="00A43278">
        <w:rPr>
          <w:b/>
        </w:rPr>
        <w:t>Annex D</w:t>
      </w:r>
      <w:r w:rsidRPr="004F23AF">
        <w:t>, investments that performed less well</w:t>
      </w:r>
      <w:r w:rsidR="00BA6275">
        <w:t xml:space="preserve"> than the rest of our portfolio</w:t>
      </w:r>
      <w:r w:rsidRPr="004F23AF">
        <w:t xml:space="preserve"> in 2014-15 were the Kokoda Initiative, Strongim Gavman Program (SGP), the Gender Equality/Gender Based Violence Initiative and the Church Partnerships Program</w:t>
      </w:r>
      <w:r w:rsidR="00AD20BB" w:rsidRPr="00987B18">
        <w:t xml:space="preserve">. </w:t>
      </w:r>
      <w:r w:rsidR="002C6C47">
        <w:t xml:space="preserve"> </w:t>
      </w:r>
      <w:r w:rsidR="00451B21">
        <w:t>The 2014 mid-term review of the Kokoda Initiative made a number of recommendations, particularly to strengthen community engagement and the management of benefits and livelihood opportunities for local communities.  Adjustments have since been applied to the program, including to the scope and ongoing program management responsibilities.</w:t>
      </w:r>
      <w:r w:rsidR="00AD20BB" w:rsidRPr="00987B18">
        <w:t xml:space="preserve"> </w:t>
      </w:r>
      <w:r w:rsidR="002C6C47">
        <w:t xml:space="preserve"> </w:t>
      </w:r>
      <w:r w:rsidR="00AD20BB" w:rsidRPr="00987B18">
        <w:t xml:space="preserve">The Gender initiative suffered from delays to the </w:t>
      </w:r>
      <w:r w:rsidR="00B35CFB" w:rsidRPr="00987B18">
        <w:t>signing of the contract through the regional program for its keystone activity, Pacific Women Shaping Pacific Development</w:t>
      </w:r>
      <w:r w:rsidR="00AD20BB" w:rsidRPr="00987B18">
        <w:t>, which recently commenced.</w:t>
      </w:r>
      <w:r w:rsidR="002C6C47">
        <w:t xml:space="preserve"> </w:t>
      </w:r>
      <w:r w:rsidR="00AD20BB" w:rsidRPr="00987B18">
        <w:t xml:space="preserve"> </w:t>
      </w:r>
      <w:r w:rsidR="00987B18" w:rsidRPr="00987B18">
        <w:t xml:space="preserve">SGP shows mixed results across the quality criteria, receiving high scores in the area of relevance but </w:t>
      </w:r>
      <w:r w:rsidR="00224209">
        <w:t>its effectiveness</w:t>
      </w:r>
      <w:r w:rsidR="00224209" w:rsidRPr="00987B18">
        <w:t xml:space="preserve"> </w:t>
      </w:r>
      <w:r w:rsidR="00224209">
        <w:t xml:space="preserve">was judged as </w:t>
      </w:r>
      <w:r w:rsidR="00987B18" w:rsidRPr="00987B18">
        <w:t>adequate.  The assessment noted that SGP continues to strengthen the capacities of key PNG Government agencies and provides opportunity to broaden and reinforce relationships and collaboration between the two governments on issues of mutual interest.</w:t>
      </w:r>
      <w:r>
        <w:t xml:space="preserve"> </w:t>
      </w:r>
      <w:r w:rsidR="002C6C47">
        <w:t xml:space="preserve"> </w:t>
      </w:r>
      <w:r w:rsidRPr="004F23AF">
        <w:t xml:space="preserve">In 2016 management of the Church Partnerships Program will be outsourced to an external implementing partner (through the </w:t>
      </w:r>
      <w:r w:rsidR="00B70296">
        <w:t>new PNG Governance Facility</w:t>
      </w:r>
      <w:r w:rsidRPr="004F23AF">
        <w:t>) to improve efficiency and monitoring and evaluation</w:t>
      </w:r>
      <w:r>
        <w:t>.</w:t>
      </w:r>
      <w:r w:rsidR="00987B18" w:rsidRPr="00987B18">
        <w:t xml:space="preserve">  </w:t>
      </w:r>
    </w:p>
    <w:p w:rsidR="00AD20BB" w:rsidRDefault="00762618">
      <w:pPr>
        <w:pStyle w:val="Heading3"/>
      </w:pPr>
      <w:r>
        <w:br/>
      </w:r>
      <w:r w:rsidR="000D733F">
        <w:t xml:space="preserve">Performance </w:t>
      </w:r>
      <w:r w:rsidR="004F4630">
        <w:t>of key delivery partners</w:t>
      </w:r>
    </w:p>
    <w:p w:rsidR="00AD20BB" w:rsidRDefault="00AD20BB" w:rsidP="00994EC7">
      <w:pPr>
        <w:pStyle w:val="ListBullet"/>
        <w:numPr>
          <w:ilvl w:val="0"/>
          <w:numId w:val="0"/>
        </w:numPr>
        <w:spacing w:line="276" w:lineRule="auto"/>
      </w:pPr>
      <w:r>
        <w:t>In 2014-15 the PNG program wrote 65 PPA reports on contractors, multilateral partners and NGOs for agreements/contracts valued at $3</w:t>
      </w:r>
      <w:r w:rsidR="002C6C47">
        <w:t xml:space="preserve"> </w:t>
      </w:r>
      <w:r>
        <w:t>m</w:t>
      </w:r>
      <w:r w:rsidR="002C6C47">
        <w:t>illion</w:t>
      </w:r>
      <w:r>
        <w:t xml:space="preserve"> and over.</w:t>
      </w:r>
      <w:r w:rsidR="002C6C47">
        <w:t xml:space="preserve"> </w:t>
      </w:r>
      <w:r>
        <w:t xml:space="preserve"> Analysis indicates that managing contractors remain the most common and effective way of delivering Australian aid to PNG</w:t>
      </w:r>
      <w:r w:rsidR="00593DFF">
        <w:t xml:space="preserve">.  </w:t>
      </w:r>
      <w:r>
        <w:t xml:space="preserve">In 2014-15 approximately </w:t>
      </w:r>
      <w:r w:rsidR="00B41968">
        <w:t xml:space="preserve">$380 </w:t>
      </w:r>
      <w:r>
        <w:t xml:space="preserve">million of the </w:t>
      </w:r>
      <w:r w:rsidR="00B41968">
        <w:t>$450</w:t>
      </w:r>
      <w:r>
        <w:t xml:space="preserve">.6 million (i.e. 84 per cent) of Australia’s total bilateral program was implemented through managing contractors. </w:t>
      </w:r>
    </w:p>
    <w:p w:rsidR="00F14025" w:rsidRDefault="00AD20BB" w:rsidP="00994EC7">
      <w:pPr>
        <w:pStyle w:val="ListBullet"/>
        <w:numPr>
          <w:ilvl w:val="0"/>
          <w:numId w:val="0"/>
        </w:numPr>
        <w:spacing w:line="276" w:lineRule="auto"/>
      </w:pPr>
      <w:r w:rsidRPr="00AD20BB">
        <w:t>Analysis of the PPAs and the AQCs indicates that the performance of contractors is generally of a ‘good’ standard.</w:t>
      </w:r>
      <w:r w:rsidR="002C6C47">
        <w:t xml:space="preserve"> </w:t>
      </w:r>
      <w:r w:rsidRPr="00AD20BB">
        <w:t xml:space="preserve"> Isolated cases of underperformance are proactively addressed. </w:t>
      </w:r>
      <w:r w:rsidR="002C6C47">
        <w:t xml:space="preserve"> </w:t>
      </w:r>
      <w:r w:rsidR="00C21F12">
        <w:br/>
      </w:r>
      <w:r w:rsidRPr="00AD20BB">
        <w:t xml:space="preserve">The performance of multilateral and NGO partners in PNG is generally of a lower standard. </w:t>
      </w:r>
      <w:r w:rsidR="002C6C47">
        <w:t xml:space="preserve"> </w:t>
      </w:r>
      <w:r w:rsidRPr="00AD20BB">
        <w:t>However, both can still have a high delivery impact</w:t>
      </w:r>
      <w:r w:rsidR="002C6C47" w:rsidRPr="00AD20BB">
        <w:t>.</w:t>
      </w:r>
      <w:r w:rsidR="002C6C47">
        <w:t xml:space="preserve">  </w:t>
      </w:r>
      <w:r w:rsidRPr="00AD20BB">
        <w:t xml:space="preserve">NGOs, particularly national NGOs, can struggle to gain traction and often lack sufficient internal governance structures and fiduciary risk mitigation processes and procedures compared to Australian NGOs and International NGOs operating in PNG. </w:t>
      </w:r>
      <w:r w:rsidR="002C6C47">
        <w:t xml:space="preserve"> </w:t>
      </w:r>
      <w:r w:rsidRPr="00AD20BB">
        <w:t xml:space="preserve">For these reasons, PNG NGOs are only generally engaged by the Australian aid program via an intermediary, such as their Australian NGO partner organisation, a reputable International NGO or a managing contractor.  </w:t>
      </w:r>
    </w:p>
    <w:p w:rsidR="000D733F" w:rsidRDefault="000D733F">
      <w:pPr>
        <w:pStyle w:val="Heading3"/>
      </w:pPr>
      <w:r>
        <w:lastRenderedPageBreak/>
        <w:t>Risks</w:t>
      </w:r>
    </w:p>
    <w:p w:rsidR="0050064E" w:rsidRPr="00A43278" w:rsidRDefault="00837172" w:rsidP="0050064E">
      <w:pPr>
        <w:pStyle w:val="BodyText"/>
      </w:pPr>
      <w:r w:rsidRPr="00A43278">
        <w:t xml:space="preserve">The key program risks are summarised in the table at </w:t>
      </w:r>
      <w:r w:rsidRPr="00A43278">
        <w:rPr>
          <w:b/>
        </w:rPr>
        <w:t>Annex E</w:t>
      </w:r>
      <w:r w:rsidR="009D5E07">
        <w:t>.</w:t>
      </w:r>
    </w:p>
    <w:p w:rsidR="000D733F" w:rsidRPr="0007149C" w:rsidRDefault="000D733F" w:rsidP="0007149C">
      <w:pPr>
        <w:pStyle w:val="Heading2"/>
        <w:rPr>
          <w:sz w:val="28"/>
        </w:rPr>
      </w:pPr>
      <w:r w:rsidRPr="0007149C">
        <w:rPr>
          <w:sz w:val="28"/>
        </w:rPr>
        <w:t xml:space="preserve">Management </w:t>
      </w:r>
      <w:r w:rsidR="00805ADD" w:rsidRPr="0007149C">
        <w:rPr>
          <w:sz w:val="28"/>
        </w:rPr>
        <w:t>Responses</w:t>
      </w:r>
      <w:r w:rsidRPr="0007149C">
        <w:rPr>
          <w:sz w:val="28"/>
        </w:rPr>
        <w:tab/>
      </w:r>
      <w:r w:rsidRPr="0007149C">
        <w:rPr>
          <w:sz w:val="28"/>
        </w:rPr>
        <w:tab/>
      </w:r>
    </w:p>
    <w:p w:rsidR="00FD0192" w:rsidRDefault="00FD0192" w:rsidP="00707814">
      <w:pPr>
        <w:pStyle w:val="ListBullet"/>
        <w:numPr>
          <w:ilvl w:val="0"/>
          <w:numId w:val="0"/>
        </w:numPr>
        <w:tabs>
          <w:tab w:val="clear" w:pos="284"/>
        </w:tabs>
      </w:pPr>
      <w:r>
        <w:t xml:space="preserve">The majority of management responses identified in the 2013-14 APPR were achieved with </w:t>
      </w:r>
      <w:r w:rsidR="00AE756F">
        <w:t>four partly achieved</w:t>
      </w:r>
      <w:r>
        <w:t xml:space="preserve">. </w:t>
      </w:r>
      <w:r w:rsidR="00593DFF">
        <w:t xml:space="preserve"> </w:t>
      </w:r>
      <w:r>
        <w:t xml:space="preserve">Further details are in the table in </w:t>
      </w:r>
      <w:r w:rsidRPr="006504D2">
        <w:rPr>
          <w:b/>
        </w:rPr>
        <w:t>Annex A</w:t>
      </w:r>
      <w:r>
        <w:t xml:space="preserve">. </w:t>
      </w:r>
    </w:p>
    <w:p w:rsidR="00707814" w:rsidRDefault="00116386" w:rsidP="00707814">
      <w:pPr>
        <w:pStyle w:val="ListBullet"/>
        <w:numPr>
          <w:ilvl w:val="0"/>
          <w:numId w:val="0"/>
        </w:numPr>
        <w:tabs>
          <w:tab w:val="clear" w:pos="284"/>
        </w:tabs>
      </w:pPr>
      <w:r w:rsidRPr="00116386">
        <w:t xml:space="preserve">In 2015-16, Australia will work towards achieving program objectives </w:t>
      </w:r>
      <w:r w:rsidR="00707814">
        <w:t>through the management consequences identified below.</w:t>
      </w:r>
      <w:r w:rsidR="004A0EBC">
        <w:t xml:space="preserve"> </w:t>
      </w:r>
      <w:r w:rsidR="00C21F12">
        <w:t xml:space="preserve"> </w:t>
      </w:r>
      <w:r w:rsidR="004A0EBC">
        <w:t>Sector level management responses are detailed in the relevant Sector Performance Reports and initiative level management responses are recorded in the relevant AQC</w:t>
      </w:r>
      <w:r w:rsidR="00863CAC">
        <w:t>s</w:t>
      </w:r>
      <w:r w:rsidR="004A0EBC">
        <w:t>.</w:t>
      </w:r>
      <w:r w:rsidR="003D00B9">
        <w:t xml:space="preserve"> </w:t>
      </w:r>
      <w:r w:rsidR="00C21F12">
        <w:t xml:space="preserve"> </w:t>
      </w:r>
      <w:r w:rsidR="002874F9">
        <w:t xml:space="preserve">Noting the issues raised through the earlier analysis of </w:t>
      </w:r>
      <w:r w:rsidR="00DE0178">
        <w:t xml:space="preserve">the PNG program’s </w:t>
      </w:r>
      <w:r w:rsidR="002874F9">
        <w:t>performance under sector objectives and cross-cutting issues, the k</w:t>
      </w:r>
      <w:r w:rsidR="002C6C47">
        <w:t xml:space="preserve">ey </w:t>
      </w:r>
      <w:r w:rsidR="003D00B9">
        <w:t xml:space="preserve">management </w:t>
      </w:r>
      <w:r w:rsidR="007E1DED">
        <w:t xml:space="preserve">responses </w:t>
      </w:r>
      <w:r w:rsidR="003D00B9">
        <w:t>for 2015-16 are:</w:t>
      </w:r>
    </w:p>
    <w:p w:rsidR="004A0EBC" w:rsidRDefault="004A0EBC" w:rsidP="00994EC7">
      <w:pPr>
        <w:pStyle w:val="ListBullet"/>
        <w:numPr>
          <w:ilvl w:val="0"/>
          <w:numId w:val="34"/>
        </w:numPr>
        <w:tabs>
          <w:tab w:val="clear" w:pos="284"/>
        </w:tabs>
        <w:spacing w:after="0"/>
      </w:pPr>
      <w:r>
        <w:t>Agree</w:t>
      </w:r>
      <w:r w:rsidR="007F0266">
        <w:t xml:space="preserve"> on </w:t>
      </w:r>
      <w:r>
        <w:t>a new Aid Partnership between the Governments of Australia and PNG, including specific schedules on health, education, law and justice, infrastructure</w:t>
      </w:r>
      <w:r w:rsidR="007F0266">
        <w:t xml:space="preserve"> and governance</w:t>
      </w:r>
      <w:r w:rsidR="00050557">
        <w:t>, with clearly defined benchmarks and mutual obligations</w:t>
      </w:r>
      <w:r w:rsidR="00DE0178">
        <w:t>, in 2015-16</w:t>
      </w:r>
      <w:r w:rsidR="00D11585">
        <w:t>.</w:t>
      </w:r>
    </w:p>
    <w:p w:rsidR="00423E18" w:rsidRDefault="00423E18" w:rsidP="00994EC7">
      <w:pPr>
        <w:pStyle w:val="ListBullet"/>
        <w:numPr>
          <w:ilvl w:val="0"/>
          <w:numId w:val="34"/>
        </w:numPr>
        <w:tabs>
          <w:tab w:val="clear" w:pos="284"/>
        </w:tabs>
        <w:spacing w:after="0"/>
      </w:pPr>
      <w:r>
        <w:t>Implement</w:t>
      </w:r>
      <w:r w:rsidRPr="00423E18">
        <w:t xml:space="preserve"> the PNG Private Sector Development Framework which has been agreed between </w:t>
      </w:r>
      <w:r w:rsidR="00FC6FBB">
        <w:t>g</w:t>
      </w:r>
      <w:r w:rsidR="00FC6FBB" w:rsidRPr="00423E18">
        <w:t>overnments</w:t>
      </w:r>
      <w:r w:rsidR="003D00B9">
        <w:t>.</w:t>
      </w:r>
    </w:p>
    <w:p w:rsidR="00C668B0" w:rsidRDefault="00C668B0" w:rsidP="00994EC7">
      <w:pPr>
        <w:pStyle w:val="ListBullet"/>
        <w:numPr>
          <w:ilvl w:val="0"/>
          <w:numId w:val="34"/>
        </w:numPr>
        <w:tabs>
          <w:tab w:val="clear" w:pos="284"/>
        </w:tabs>
        <w:spacing w:after="0" w:line="240" w:lineRule="auto"/>
      </w:pPr>
      <w:r w:rsidRPr="00A23647">
        <w:rPr>
          <w:szCs w:val="21"/>
        </w:rPr>
        <w:t>Prioritise the design, tender, and implementation of the new governance program, based on an agreed multi-year governance strategy</w:t>
      </w:r>
      <w:r w:rsidR="003D00B9">
        <w:rPr>
          <w:szCs w:val="21"/>
        </w:rPr>
        <w:t>.</w:t>
      </w:r>
    </w:p>
    <w:p w:rsidR="00C668B0" w:rsidRPr="00775452" w:rsidRDefault="002C6C47" w:rsidP="00994EC7">
      <w:pPr>
        <w:pStyle w:val="ListBullet"/>
        <w:numPr>
          <w:ilvl w:val="0"/>
          <w:numId w:val="34"/>
        </w:numPr>
        <w:tabs>
          <w:tab w:val="clear" w:pos="284"/>
        </w:tabs>
        <w:spacing w:after="0"/>
      </w:pPr>
      <w:r w:rsidRPr="00FD0192">
        <w:rPr>
          <w:szCs w:val="21"/>
        </w:rPr>
        <w:t>Manag</w:t>
      </w:r>
      <w:r>
        <w:rPr>
          <w:szCs w:val="21"/>
        </w:rPr>
        <w:t>e</w:t>
      </w:r>
      <w:r w:rsidRPr="00FD0192">
        <w:rPr>
          <w:szCs w:val="21"/>
        </w:rPr>
        <w:t xml:space="preserve"> </w:t>
      </w:r>
      <w:r w:rsidR="00C668B0" w:rsidRPr="00FD0192">
        <w:rPr>
          <w:szCs w:val="21"/>
        </w:rPr>
        <w:t xml:space="preserve">the transition to </w:t>
      </w:r>
      <w:r w:rsidR="00C668B0">
        <w:rPr>
          <w:szCs w:val="21"/>
        </w:rPr>
        <w:t>the</w:t>
      </w:r>
      <w:r w:rsidR="00C668B0" w:rsidRPr="00FD0192">
        <w:rPr>
          <w:szCs w:val="21"/>
        </w:rPr>
        <w:t xml:space="preserve"> new law and justice sector program, the Justice Services </w:t>
      </w:r>
      <w:r w:rsidR="00C668B0" w:rsidRPr="00775452">
        <w:t>and Stability for Development Program, from late 2015</w:t>
      </w:r>
      <w:r w:rsidR="003D00B9">
        <w:t>.</w:t>
      </w:r>
    </w:p>
    <w:p w:rsidR="007F0266" w:rsidRDefault="00863CAC" w:rsidP="00994EC7">
      <w:pPr>
        <w:pStyle w:val="ListBullet"/>
        <w:numPr>
          <w:ilvl w:val="0"/>
          <w:numId w:val="34"/>
        </w:numPr>
        <w:tabs>
          <w:tab w:val="clear" w:pos="284"/>
        </w:tabs>
        <w:spacing w:after="0"/>
      </w:pPr>
      <w:r>
        <w:t xml:space="preserve">Implement </w:t>
      </w:r>
      <w:r w:rsidR="001C5F11">
        <w:t>the</w:t>
      </w:r>
      <w:r w:rsidR="00DE0178">
        <w:t xml:space="preserve"> </w:t>
      </w:r>
      <w:r>
        <w:t>Gender Plan of Action for Port Moresby Post</w:t>
      </w:r>
      <w:r w:rsidR="00DE0178">
        <w:t xml:space="preserve"> developed in 2015</w:t>
      </w:r>
      <w:r w:rsidR="003D00B9">
        <w:t>.</w:t>
      </w:r>
    </w:p>
    <w:p w:rsidR="00C668B0" w:rsidRDefault="00C668B0" w:rsidP="00994EC7">
      <w:pPr>
        <w:pStyle w:val="ListBullet"/>
        <w:numPr>
          <w:ilvl w:val="0"/>
          <w:numId w:val="34"/>
        </w:numPr>
        <w:tabs>
          <w:tab w:val="clear" w:pos="284"/>
        </w:tabs>
        <w:spacing w:after="0"/>
        <w:rPr>
          <w:szCs w:val="21"/>
        </w:rPr>
      </w:pPr>
      <w:r w:rsidRPr="00775452">
        <w:t>Improve the performance</w:t>
      </w:r>
      <w:r w:rsidRPr="00DC7AD5">
        <w:rPr>
          <w:szCs w:val="21"/>
        </w:rPr>
        <w:t xml:space="preserve"> of </w:t>
      </w:r>
      <w:r w:rsidR="009D5E07">
        <w:rPr>
          <w:szCs w:val="21"/>
        </w:rPr>
        <w:t>Kokoda, SGP and Church Partnership initiatives</w:t>
      </w:r>
      <w:r w:rsidR="001E2637">
        <w:rPr>
          <w:szCs w:val="21"/>
        </w:rPr>
        <w:t>:</w:t>
      </w:r>
    </w:p>
    <w:p w:rsidR="00C668B0" w:rsidRPr="00AE756F" w:rsidRDefault="006305CA" w:rsidP="00994EC7">
      <w:pPr>
        <w:pStyle w:val="ListBullet"/>
        <w:numPr>
          <w:ilvl w:val="0"/>
          <w:numId w:val="45"/>
        </w:numPr>
        <w:tabs>
          <w:tab w:val="clear" w:pos="284"/>
        </w:tabs>
        <w:spacing w:after="0"/>
        <w:rPr>
          <w:szCs w:val="21"/>
        </w:rPr>
      </w:pPr>
      <w:r w:rsidRPr="00AE756F">
        <w:rPr>
          <w:szCs w:val="21"/>
        </w:rPr>
        <w:t xml:space="preserve">Australia’s support for the Kokoda Initiative is being redesigned to address a range of management challenges. As part of that process, program management is shifting back to </w:t>
      </w:r>
      <w:r w:rsidR="001C5F11">
        <w:rPr>
          <w:szCs w:val="21"/>
        </w:rPr>
        <w:t>DFAT</w:t>
      </w:r>
      <w:r w:rsidR="001C5F11" w:rsidRPr="00AE756F">
        <w:rPr>
          <w:szCs w:val="21"/>
        </w:rPr>
        <w:t xml:space="preserve"> </w:t>
      </w:r>
      <w:r w:rsidRPr="00AE756F">
        <w:rPr>
          <w:szCs w:val="21"/>
        </w:rPr>
        <w:t>to allow closer engagement with partners on the ground, while program delivery will be increasingly undertaken by contracted service providers based in PNG.</w:t>
      </w:r>
    </w:p>
    <w:p w:rsidR="00C668B0" w:rsidRDefault="00A86139" w:rsidP="00994EC7">
      <w:pPr>
        <w:pStyle w:val="ListBullet"/>
        <w:numPr>
          <w:ilvl w:val="0"/>
          <w:numId w:val="45"/>
        </w:numPr>
        <w:tabs>
          <w:tab w:val="clear" w:pos="284"/>
        </w:tabs>
        <w:spacing w:after="0"/>
        <w:rPr>
          <w:szCs w:val="21"/>
        </w:rPr>
      </w:pPr>
      <w:r w:rsidRPr="00A06A96">
        <w:rPr>
          <w:szCs w:val="21"/>
        </w:rPr>
        <w:t xml:space="preserve">DFAT will consider arrangements for the management and deployment of </w:t>
      </w:r>
      <w:r w:rsidR="00593DFF">
        <w:rPr>
          <w:szCs w:val="21"/>
        </w:rPr>
        <w:t>SGP</w:t>
      </w:r>
      <w:r w:rsidRPr="00A06A96">
        <w:rPr>
          <w:szCs w:val="21"/>
        </w:rPr>
        <w:t xml:space="preserve"> advisers following the PNG Government’s review of aid advisers in 2015-16. </w:t>
      </w:r>
      <w:r w:rsidR="00C21F12">
        <w:rPr>
          <w:szCs w:val="21"/>
        </w:rPr>
        <w:br/>
      </w:r>
      <w:r w:rsidRPr="00A06A96">
        <w:rPr>
          <w:szCs w:val="21"/>
        </w:rPr>
        <w:t xml:space="preserve">In addition, the transition of </w:t>
      </w:r>
      <w:r w:rsidR="006A72FA">
        <w:rPr>
          <w:szCs w:val="21"/>
        </w:rPr>
        <w:t xml:space="preserve">some SGP administrative support functions </w:t>
      </w:r>
      <w:r w:rsidRPr="00A06A96">
        <w:rPr>
          <w:szCs w:val="21"/>
        </w:rPr>
        <w:t xml:space="preserve">into the PNG Governance Facility </w:t>
      </w:r>
      <w:r w:rsidR="00593DFF">
        <w:rPr>
          <w:szCs w:val="21"/>
        </w:rPr>
        <w:t xml:space="preserve">(PGF) </w:t>
      </w:r>
      <w:r w:rsidRPr="00A06A96">
        <w:rPr>
          <w:szCs w:val="21"/>
        </w:rPr>
        <w:t xml:space="preserve">will provide the opportunity to address a number of issues including </w:t>
      </w:r>
      <w:r w:rsidR="00B12492">
        <w:rPr>
          <w:szCs w:val="21"/>
        </w:rPr>
        <w:t xml:space="preserve">improved </w:t>
      </w:r>
      <w:r w:rsidRPr="00A06A96">
        <w:rPr>
          <w:szCs w:val="21"/>
        </w:rPr>
        <w:t>monitoring and evaluation.</w:t>
      </w:r>
      <w:r w:rsidR="00C668B0" w:rsidRPr="00AE756F">
        <w:rPr>
          <w:szCs w:val="21"/>
        </w:rPr>
        <w:t xml:space="preserve">  </w:t>
      </w:r>
    </w:p>
    <w:p w:rsidR="009D5E07" w:rsidRPr="00AD20BB" w:rsidRDefault="009D5E07" w:rsidP="00994EC7">
      <w:pPr>
        <w:pStyle w:val="ListBullet"/>
        <w:numPr>
          <w:ilvl w:val="0"/>
          <w:numId w:val="45"/>
        </w:numPr>
        <w:spacing w:after="0"/>
      </w:pPr>
      <w:r>
        <w:t>M</w:t>
      </w:r>
      <w:r w:rsidRPr="004F23AF">
        <w:t xml:space="preserve">anagement of the Church Partnerships Program will be outsourced to an external implementing partner (through the </w:t>
      </w:r>
      <w:r>
        <w:t xml:space="preserve">new </w:t>
      </w:r>
      <w:r w:rsidR="00593DFF">
        <w:t>PGF)</w:t>
      </w:r>
      <w:r>
        <w:t xml:space="preserve"> </w:t>
      </w:r>
      <w:r w:rsidRPr="004F23AF">
        <w:t>to improve efficiency and monitoring and evaluation</w:t>
      </w:r>
      <w:r>
        <w:t>.</w:t>
      </w:r>
      <w:r w:rsidRPr="00987B18">
        <w:t xml:space="preserve">  </w:t>
      </w:r>
    </w:p>
    <w:p w:rsidR="00A4778A" w:rsidRDefault="00A4778A" w:rsidP="00994EC7">
      <w:pPr>
        <w:pStyle w:val="BodyText"/>
        <w:numPr>
          <w:ilvl w:val="0"/>
          <w:numId w:val="34"/>
        </w:numPr>
        <w:spacing w:after="0" w:line="276" w:lineRule="auto"/>
        <w:rPr>
          <w:lang w:eastAsia="zh-CN"/>
        </w:rPr>
      </w:pPr>
      <w:r>
        <w:rPr>
          <w:lang w:eastAsia="zh-CN"/>
        </w:rPr>
        <w:t xml:space="preserve">Centralise monitoring and evaluation support at Port Moresby Post to enable the program to develop a more constructive and positive narrative on its performance and quality; and maintain 100 per cent compliance on all mandatory aid quality and performance reporting. </w:t>
      </w:r>
    </w:p>
    <w:p w:rsidR="001E45EE" w:rsidRPr="00994EC7" w:rsidRDefault="001E45EE" w:rsidP="00994EC7">
      <w:pPr>
        <w:pStyle w:val="BodyText"/>
        <w:numPr>
          <w:ilvl w:val="0"/>
          <w:numId w:val="34"/>
        </w:numPr>
        <w:spacing w:after="0" w:line="276" w:lineRule="auto"/>
        <w:rPr>
          <w:lang w:eastAsia="zh-CN"/>
        </w:rPr>
      </w:pPr>
      <w:r w:rsidRPr="00994EC7">
        <w:rPr>
          <w:lang w:eastAsia="zh-CN"/>
        </w:rPr>
        <w:t xml:space="preserve">Renew our commitment to safeguarding children by providing DFAT child protection training to all staff working on the PNG program in Port Moresby and Canberra, ensuring our partners understand and are meeting their responsibilities, and managing risks to children at all stages of the program cycle. </w:t>
      </w:r>
    </w:p>
    <w:p w:rsidR="00416EBA" w:rsidRDefault="003D00B9" w:rsidP="00994EC7">
      <w:pPr>
        <w:pStyle w:val="BodyText"/>
        <w:numPr>
          <w:ilvl w:val="0"/>
          <w:numId w:val="34"/>
        </w:numPr>
        <w:spacing w:after="0" w:line="276" w:lineRule="auto"/>
        <w:rPr>
          <w:lang w:eastAsia="zh-CN"/>
        </w:rPr>
      </w:pPr>
      <w:r>
        <w:t xml:space="preserve">Undertake </w:t>
      </w:r>
      <w:r w:rsidR="00B14A25">
        <w:t>an analysis of the PNG aid</w:t>
      </w:r>
      <w:r w:rsidR="00416EBA">
        <w:t xml:space="preserve"> program’s overall performance against the 2008-2015 Partnership for Development and PNG’s progress in meeting the </w:t>
      </w:r>
      <w:r w:rsidR="001E2637">
        <w:t>MDGs</w:t>
      </w:r>
      <w:r>
        <w:t>.</w:t>
      </w:r>
      <w:r w:rsidR="00416EBA">
        <w:t xml:space="preserve"> </w:t>
      </w:r>
    </w:p>
    <w:p w:rsidR="00416EBA" w:rsidRPr="00A0367E" w:rsidRDefault="00416EBA" w:rsidP="00994EC7">
      <w:pPr>
        <w:pStyle w:val="BodyText"/>
        <w:spacing w:after="0" w:line="276" w:lineRule="auto"/>
        <w:rPr>
          <w:lang w:eastAsia="zh-CN"/>
        </w:rPr>
        <w:sectPr w:rsidR="00416EBA" w:rsidRPr="00A0367E" w:rsidSect="00A43278">
          <w:headerReference w:type="even" r:id="rId21"/>
          <w:headerReference w:type="default" r:id="rId22"/>
          <w:footerReference w:type="even" r:id="rId23"/>
          <w:footerReference w:type="default" r:id="rId24"/>
          <w:headerReference w:type="first" r:id="rId25"/>
          <w:footerReference w:type="first" r:id="rId26"/>
          <w:pgSz w:w="11907" w:h="16840" w:code="9"/>
          <w:pgMar w:top="1560" w:right="1701" w:bottom="1135" w:left="1701" w:header="850" w:footer="567" w:gutter="0"/>
          <w:pgNumType w:start="1"/>
          <w:cols w:space="720"/>
          <w:docGrid w:linePitch="326"/>
        </w:sectPr>
      </w:pPr>
    </w:p>
    <w:p w:rsidR="005C310A" w:rsidRPr="00416B02" w:rsidRDefault="005C310A" w:rsidP="00A43278">
      <w:pPr>
        <w:pStyle w:val="Heading2"/>
      </w:pPr>
      <w:r>
        <w:rPr>
          <w:sz w:val="28"/>
        </w:rPr>
        <w:lastRenderedPageBreak/>
        <w:t>Annex A</w:t>
      </w:r>
      <w:r w:rsidRPr="009E38C1">
        <w:rPr>
          <w:sz w:val="28"/>
        </w:rPr>
        <w:t xml:space="preserve"> </w:t>
      </w:r>
      <w:r>
        <w:rPr>
          <w:sz w:val="28"/>
        </w:rPr>
        <w:t>- Progress in Addressing Management R</w:t>
      </w:r>
      <w:r w:rsidRPr="009E38C1">
        <w:rPr>
          <w:sz w:val="28"/>
        </w:rPr>
        <w:t>esponses</w:t>
      </w:r>
    </w:p>
    <w:tbl>
      <w:tblPr>
        <w:tblStyle w:val="APPR"/>
        <w:tblpPr w:leftFromText="180" w:rightFromText="180" w:vertAnchor="text" w:tblpY="1"/>
        <w:tblW w:w="5098" w:type="pct"/>
        <w:tblBorders>
          <w:top w:val="none" w:sz="0" w:space="0" w:color="auto"/>
          <w:bottom w:val="none" w:sz="0" w:space="0" w:color="auto"/>
        </w:tblBorders>
        <w:tblLayout w:type="fixed"/>
        <w:tblLook w:val="0000" w:firstRow="0" w:lastRow="0" w:firstColumn="0" w:lastColumn="0" w:noHBand="0" w:noVBand="0"/>
      </w:tblPr>
      <w:tblGrid>
        <w:gridCol w:w="6656"/>
        <w:gridCol w:w="1135"/>
        <w:gridCol w:w="6937"/>
      </w:tblGrid>
      <w:tr w:rsidR="005C310A" w:rsidRPr="00180B19" w:rsidTr="00566AED">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310A" w:rsidRPr="00180B19" w:rsidRDefault="005C310A" w:rsidP="00DB7628">
            <w:pPr>
              <w:pStyle w:val="TableTextColumnHeading"/>
            </w:pPr>
            <w:r w:rsidRPr="00FE4491">
              <w:t xml:space="preserve">Management </w:t>
            </w:r>
            <w:r>
              <w:t>respon</w:t>
            </w:r>
            <w:r w:rsidR="00F43B6E">
              <w:t>s</w:t>
            </w:r>
            <w:r>
              <w:t>e</w:t>
            </w:r>
            <w:r w:rsidRPr="00FE4491">
              <w:t>s identified in 20</w:t>
            </w:r>
            <w:r>
              <w:t>13-</w:t>
            </w:r>
            <w:r w:rsidRPr="00FE4491">
              <w:t>1</w:t>
            </w:r>
            <w:r>
              <w:t>4</w:t>
            </w:r>
            <w:r w:rsidRPr="00FE4491">
              <w:t xml:space="preserve"> </w:t>
            </w:r>
            <w:r>
              <w:t>APPR</w:t>
            </w:r>
            <w:r>
              <w:tab/>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310A" w:rsidRPr="00180B19" w:rsidRDefault="005C310A" w:rsidP="00DB7628">
            <w:pPr>
              <w:pStyle w:val="TableTextColumnHeading"/>
            </w:pPr>
            <w:r w:rsidRPr="00FE4491">
              <w:t>Rating</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310A" w:rsidRPr="00180B19" w:rsidRDefault="005C310A" w:rsidP="00DB7628">
            <w:pPr>
              <w:pStyle w:val="TableTextColumnHeading"/>
            </w:pPr>
            <w:r w:rsidRPr="00FE4491">
              <w:t xml:space="preserve">Progress made in </w:t>
            </w:r>
            <w:r>
              <w:t>2014-5</w:t>
            </w:r>
          </w:p>
        </w:tc>
      </w:tr>
      <w:tr w:rsidR="005C310A" w:rsidRPr="00180B19" w:rsidTr="00566AED">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D73248" w:rsidP="00D73248">
            <w:pPr>
              <w:spacing w:after="120"/>
              <w:ind w:right="19"/>
              <w:jc w:val="both"/>
              <w:rPr>
                <w:rFonts w:ascii="Franklin Gothic Book" w:hAnsi="Franklin Gothic Book" w:cstheme="minorHAnsi"/>
                <w:sz w:val="17"/>
                <w:szCs w:val="17"/>
              </w:rPr>
            </w:pPr>
            <w:r>
              <w:rPr>
                <w:rFonts w:ascii="Franklin Gothic Book" w:hAnsi="Franklin Gothic Book" w:cstheme="minorHAnsi"/>
                <w:sz w:val="17"/>
                <w:szCs w:val="17"/>
              </w:rPr>
              <w:t>Develop</w:t>
            </w:r>
            <w:r w:rsidRPr="00D73248">
              <w:rPr>
                <w:rFonts w:ascii="Franklin Gothic Book" w:hAnsi="Franklin Gothic Book" w:cstheme="minorHAnsi"/>
                <w:sz w:val="17"/>
                <w:szCs w:val="17"/>
              </w:rPr>
              <w:t xml:space="preserve"> a PNG Aid Investment Plan that will outline where, why and how Australian aid will be delivered in PNG after the existing Partnership for Development concludes in mid-2015 and the expected results to be achieved. </w:t>
            </w:r>
            <w:r w:rsidR="00593DFF">
              <w:rPr>
                <w:rFonts w:ascii="Franklin Gothic Book" w:hAnsi="Franklin Gothic Book" w:cstheme="minorHAnsi"/>
                <w:sz w:val="17"/>
                <w:szCs w:val="17"/>
              </w:rPr>
              <w:t xml:space="preserve"> </w:t>
            </w:r>
            <w:r w:rsidRPr="00D73248">
              <w:rPr>
                <w:rFonts w:ascii="Franklin Gothic Book" w:hAnsi="Franklin Gothic Book" w:cstheme="minorHAnsi"/>
                <w:sz w:val="17"/>
                <w:szCs w:val="17"/>
              </w:rPr>
              <w:t xml:space="preserve">The AIP will align to Australia and PNG’s shared objectives for the aid </w:t>
            </w:r>
            <w:r w:rsidR="00C21F12" w:rsidRPr="00D73248">
              <w:rPr>
                <w:rFonts w:ascii="Franklin Gothic Book" w:hAnsi="Franklin Gothic Book" w:cstheme="minorHAnsi"/>
                <w:sz w:val="17"/>
                <w:szCs w:val="17"/>
              </w:rPr>
              <w:t>program;</w:t>
            </w:r>
            <w:r w:rsidRPr="00D73248">
              <w:rPr>
                <w:rFonts w:ascii="Franklin Gothic Book" w:hAnsi="Franklin Gothic Book" w:cstheme="minorHAnsi"/>
                <w:sz w:val="17"/>
                <w:szCs w:val="17"/>
              </w:rPr>
              <w:t xml:space="preserve"> it will be based on the recommendations from the aid assessment and be guided by the new Aid Policy and PNG’s Medium Term Development Program 2015-2018</w:t>
            </w:r>
            <w:r w:rsidR="002C6C47">
              <w:rPr>
                <w:rFonts w:ascii="Franklin Gothic Book" w:hAnsi="Franklin Gothic Book" w:cstheme="minorHAnsi"/>
                <w:sz w:val="17"/>
                <w:szCs w:val="17"/>
              </w:rPr>
              <w:t>.</w:t>
            </w:r>
          </w:p>
          <w:p w:rsidR="005C310A" w:rsidRPr="00D73248" w:rsidRDefault="005C310A" w:rsidP="00445FE0">
            <w:pPr>
              <w:pStyle w:val="TableTextEntries"/>
            </w:pP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5C310A" w:rsidRPr="00D73248" w:rsidRDefault="005C310A" w:rsidP="00445FE0">
            <w:pPr>
              <w:pStyle w:val="TableTextEntries"/>
              <w:jc w:val="center"/>
              <w:rPr>
                <w:color w:val="FFFFFF" w:themeColor="background1"/>
              </w:rPr>
            </w:pPr>
            <w:r w:rsidRPr="00D73248">
              <w:rPr>
                <w:color w:val="FFFFFF" w:themeColor="background1"/>
              </w:rPr>
              <w:t>Achieved</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310A" w:rsidRPr="00D73248" w:rsidRDefault="00D73248" w:rsidP="00A12B20">
            <w:pPr>
              <w:pStyle w:val="TableTextEntries"/>
            </w:pPr>
            <w:r w:rsidRPr="00D73248">
              <w:t xml:space="preserve">The PNG Aid Investment Plan </w:t>
            </w:r>
            <w:r w:rsidR="00291D38">
              <w:t>was</w:t>
            </w:r>
            <w:r w:rsidRPr="00D73248">
              <w:t xml:space="preserve"> </w:t>
            </w:r>
            <w:r w:rsidR="00291D38">
              <w:t xml:space="preserve">published on </w:t>
            </w:r>
            <w:r w:rsidRPr="00D73248">
              <w:t>30 September 2015.</w:t>
            </w:r>
            <w:r w:rsidR="00297D57">
              <w:t xml:space="preserve"> </w:t>
            </w:r>
            <w:r w:rsidR="00297D57" w:rsidRPr="00D73248">
              <w:rPr>
                <w:rFonts w:cstheme="minorHAnsi"/>
              </w:rPr>
              <w:t xml:space="preserve"> The AIP </w:t>
            </w:r>
            <w:r w:rsidR="00297D57">
              <w:rPr>
                <w:rFonts w:cstheme="minorHAnsi"/>
              </w:rPr>
              <w:t xml:space="preserve">is </w:t>
            </w:r>
            <w:r w:rsidR="00593DFF">
              <w:rPr>
                <w:rFonts w:cstheme="minorHAnsi"/>
              </w:rPr>
              <w:t xml:space="preserve">aligned </w:t>
            </w:r>
            <w:r w:rsidR="00593DFF" w:rsidRPr="00D73248">
              <w:rPr>
                <w:rFonts w:cstheme="minorHAnsi"/>
              </w:rPr>
              <w:t>to</w:t>
            </w:r>
            <w:r w:rsidR="00297D57" w:rsidRPr="00D73248">
              <w:rPr>
                <w:rFonts w:cstheme="minorHAnsi"/>
              </w:rPr>
              <w:t xml:space="preserve"> Australia and PNG’s shared objectives for the aid program, </w:t>
            </w:r>
            <w:r w:rsidR="00297D57">
              <w:rPr>
                <w:rFonts w:cstheme="minorHAnsi"/>
              </w:rPr>
              <w:t>and is</w:t>
            </w:r>
            <w:r w:rsidR="00297D57" w:rsidRPr="00D73248">
              <w:rPr>
                <w:rFonts w:cstheme="minorHAnsi"/>
              </w:rPr>
              <w:t xml:space="preserve"> based on the recommendations from the </w:t>
            </w:r>
            <w:r w:rsidR="00297D57">
              <w:rPr>
                <w:rFonts w:cstheme="minorHAnsi"/>
              </w:rPr>
              <w:t>2014 PNG A</w:t>
            </w:r>
            <w:r w:rsidR="00297D57" w:rsidRPr="00D73248">
              <w:rPr>
                <w:rFonts w:cstheme="minorHAnsi"/>
              </w:rPr>
              <w:t xml:space="preserve">id </w:t>
            </w:r>
            <w:r w:rsidR="00297D57">
              <w:rPr>
                <w:rFonts w:cstheme="minorHAnsi"/>
              </w:rPr>
              <w:t>A</w:t>
            </w:r>
            <w:r w:rsidR="00297D57" w:rsidRPr="00D73248">
              <w:rPr>
                <w:rFonts w:cstheme="minorHAnsi"/>
              </w:rPr>
              <w:t>ssessment</w:t>
            </w:r>
            <w:r w:rsidR="00297D57">
              <w:rPr>
                <w:rFonts w:cstheme="minorHAnsi"/>
              </w:rPr>
              <w:t xml:space="preserve"> and is</w:t>
            </w:r>
            <w:r w:rsidR="00297D57" w:rsidRPr="00D73248">
              <w:rPr>
                <w:rFonts w:cstheme="minorHAnsi"/>
              </w:rPr>
              <w:t xml:space="preserve"> guided by the new Aid Policy and PNG’s Medium Term Development </w:t>
            </w:r>
            <w:r w:rsidR="00297D57">
              <w:rPr>
                <w:rFonts w:cstheme="minorHAnsi"/>
              </w:rPr>
              <w:t>Plan 2</w:t>
            </w:r>
            <w:r w:rsidR="00297D57" w:rsidRPr="00D73248">
              <w:rPr>
                <w:rFonts w:cstheme="minorHAnsi"/>
              </w:rPr>
              <w:t xml:space="preserve"> </w:t>
            </w:r>
            <w:r w:rsidR="00297D57">
              <w:rPr>
                <w:rFonts w:cstheme="minorHAnsi"/>
              </w:rPr>
              <w:t>(</w:t>
            </w:r>
            <w:r w:rsidR="00297D57" w:rsidRPr="00D73248">
              <w:rPr>
                <w:rFonts w:cstheme="minorHAnsi"/>
              </w:rPr>
              <w:t>201</w:t>
            </w:r>
            <w:r w:rsidR="00297D57">
              <w:rPr>
                <w:rFonts w:cstheme="minorHAnsi"/>
              </w:rPr>
              <w:t>6</w:t>
            </w:r>
            <w:r w:rsidR="00297D57" w:rsidRPr="00D73248">
              <w:rPr>
                <w:rFonts w:cstheme="minorHAnsi"/>
              </w:rPr>
              <w:t>-201</w:t>
            </w:r>
            <w:r w:rsidR="00297D57">
              <w:rPr>
                <w:rFonts w:cstheme="minorHAnsi"/>
              </w:rPr>
              <w:t>7)</w:t>
            </w:r>
            <w:r w:rsidR="002C6C47">
              <w:rPr>
                <w:rFonts w:cstheme="minorHAnsi"/>
              </w:rPr>
              <w:t>.</w:t>
            </w:r>
          </w:p>
        </w:tc>
      </w:tr>
      <w:tr w:rsidR="005C310A" w:rsidRPr="00180B19" w:rsidTr="00566AED">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310A" w:rsidRPr="00D73248" w:rsidRDefault="00D73248" w:rsidP="00445FE0">
            <w:pPr>
              <w:pStyle w:val="TableTextEntries"/>
            </w:pPr>
            <w:r w:rsidRPr="00D73248">
              <w:rPr>
                <w:rFonts w:cstheme="minorHAnsi"/>
              </w:rPr>
              <w:t>Developing jointly between Australia and PNG a set of robust performance benchmarks and mutual obligations, including a concrete approach to gender.  Performance benchmarks will reflect expected results from Australia’s aid investments in PNG as well as significant milestones, and measures of improved operational effectiveness to assess progress against the new AIP.  Mutual obligations will outline the key commitments from the partner government that contribute to shared development outcomes</w:t>
            </w:r>
            <w:r w:rsidR="002C6C47">
              <w:rPr>
                <w:rFonts w:cstheme="minorHAnsi"/>
              </w:rPr>
              <w:t>.</w:t>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5C310A" w:rsidRPr="00D73248" w:rsidRDefault="005C310A" w:rsidP="00445FE0">
            <w:pPr>
              <w:pStyle w:val="TableTextEntries"/>
              <w:jc w:val="center"/>
              <w:rPr>
                <w:color w:val="FFFFFF" w:themeColor="background1"/>
              </w:rPr>
            </w:pPr>
            <w:r w:rsidRPr="00D73248">
              <w:rPr>
                <w:color w:val="FFFFFF" w:themeColor="background1"/>
              </w:rPr>
              <w:t>Achieved</w:t>
            </w:r>
            <w:r w:rsidRPr="00D73248">
              <w:rPr>
                <w:color w:val="FFFFFF" w:themeColor="background1"/>
              </w:rPr>
              <w:fldChar w:fldCharType="begin"/>
            </w:r>
            <w:r w:rsidRPr="00D73248">
              <w:rPr>
                <w:color w:val="FFFFFF" w:themeColor="background1"/>
              </w:rPr>
              <w:instrText xml:space="preserve"> AUTOTEXTLIST  \s "Rating bullet"\t "Right click to choose a rating" \* MERGEFORMAT </w:instrText>
            </w:r>
            <w:r w:rsidRPr="00D73248">
              <w:rPr>
                <w:color w:val="FFFFFF" w:themeColor="background1"/>
              </w:rPr>
              <w:fldChar w:fldCharType="end"/>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310A" w:rsidRPr="00D73248" w:rsidRDefault="00995750" w:rsidP="00A12B20">
            <w:pPr>
              <w:pStyle w:val="TableTextEntries"/>
            </w:pPr>
            <w:r>
              <w:t>Performance benchmarks and mutual oblig</w:t>
            </w:r>
            <w:r w:rsidR="00291D38">
              <w:t xml:space="preserve">ations </w:t>
            </w:r>
            <w:r w:rsidR="006305CA">
              <w:t>are on track to be agreed as part of the next PNG-Australia Partnership for Development (2015</w:t>
            </w:r>
            <w:r w:rsidR="000160ED">
              <w:t>-16</w:t>
            </w:r>
            <w:r w:rsidR="006305CA">
              <w:t xml:space="preserve">), consistent with those contained </w:t>
            </w:r>
            <w:r w:rsidR="0029458F">
              <w:t>in the</w:t>
            </w:r>
            <w:r>
              <w:t xml:space="preserve"> PNG Aid Investment Plan.</w:t>
            </w:r>
          </w:p>
        </w:tc>
      </w:tr>
      <w:tr w:rsidR="0021064E" w:rsidRPr="00180B19" w:rsidTr="0089127D">
        <w:trPr>
          <w:cnfStyle w:val="000000010000" w:firstRow="0" w:lastRow="0" w:firstColumn="0" w:lastColumn="0" w:oddVBand="0" w:evenVBand="0" w:oddHBand="0" w:evenHBand="1" w:firstRowFirstColumn="0" w:firstRowLastColumn="0" w:lastRowFirstColumn="0" w:lastRowLastColumn="0"/>
        </w:trPr>
        <w:tc>
          <w:tcPr>
            <w:tcW w:w="6614" w:type="dxa"/>
          </w:tcPr>
          <w:p w:rsidR="005C310A" w:rsidRPr="00D73248" w:rsidRDefault="00D73248" w:rsidP="00445FE0">
            <w:pPr>
              <w:pStyle w:val="TableTextEntries"/>
            </w:pPr>
            <w:r w:rsidRPr="00D73248">
              <w:rPr>
                <w:rFonts w:cstheme="minorHAnsi"/>
              </w:rPr>
              <w:t>Increasing Australia’s aid to Bougainville to up to $50 million in 2014-15 to include a focus on supporting implementation of the autonomy arrangements under the Bougainville Peace Agreement and the ABG’s capacity to deliver basic services such as policing and technical education ahead of the election, and expand the aid program to Bougainville’s least developed areas – predominantly in the south</w:t>
            </w:r>
            <w:r w:rsidR="002C6C47">
              <w:rPr>
                <w:rFonts w:cstheme="minorHAnsi"/>
              </w:rPr>
              <w:t>.</w:t>
            </w:r>
          </w:p>
        </w:tc>
        <w:tc>
          <w:tcPr>
            <w:tcW w:w="1107" w:type="dxa"/>
            <w:shd w:val="clear" w:color="auto" w:fill="E36C0A" w:themeFill="accent6" w:themeFillShade="BF"/>
          </w:tcPr>
          <w:p w:rsidR="005C310A" w:rsidRPr="00D73248" w:rsidRDefault="0089127D" w:rsidP="0089127D">
            <w:pPr>
              <w:pStyle w:val="TableTextEntries"/>
              <w:jc w:val="center"/>
              <w:rPr>
                <w:color w:val="FFFFFF" w:themeColor="background1"/>
              </w:rPr>
            </w:pPr>
            <w:r>
              <w:rPr>
                <w:color w:val="FFFFFF" w:themeColor="background1"/>
              </w:rPr>
              <w:t>Partly a</w:t>
            </w:r>
            <w:r w:rsidR="002647CE" w:rsidRPr="00A06A96">
              <w:rPr>
                <w:color w:val="FFFFFF" w:themeColor="background1"/>
              </w:rPr>
              <w:t>chieved</w:t>
            </w:r>
          </w:p>
        </w:tc>
        <w:tc>
          <w:tcPr>
            <w:tcW w:w="6895" w:type="dxa"/>
          </w:tcPr>
          <w:p w:rsidR="005C310A" w:rsidRPr="00D73248" w:rsidRDefault="0089127D" w:rsidP="00837172">
            <w:pPr>
              <w:pStyle w:val="TableTextEntries"/>
            </w:pPr>
            <w:r>
              <w:t>Australia increased its support to Bougainville to approximately $4</w:t>
            </w:r>
            <w:r w:rsidR="00837172">
              <w:t>5.5</w:t>
            </w:r>
            <w:r w:rsidR="00297D57">
              <w:t xml:space="preserve"> </w:t>
            </w:r>
            <w:r>
              <w:t>million in 2014-15. New expenditure responded to the PNG Government’s, ABG’s and Australia’s priorities to support the implementation of autonomy arrangements, government capacity building, economic development, the ABG Election and peace-building.</w:t>
            </w:r>
            <w:r w:rsidR="00593DFF">
              <w:t xml:space="preserve"> </w:t>
            </w:r>
            <w:r>
              <w:t xml:space="preserve"> Development activities in central and south Bougainville were increased.    </w:t>
            </w:r>
          </w:p>
        </w:tc>
      </w:tr>
      <w:tr w:rsidR="005C310A" w:rsidRPr="00180B19" w:rsidTr="000A1C03">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310A" w:rsidRPr="00D73248" w:rsidRDefault="00D73248" w:rsidP="00445FE0">
            <w:pPr>
              <w:pStyle w:val="TableTextEntries"/>
            </w:pPr>
            <w:r w:rsidRPr="00D73248">
              <w:rPr>
                <w:rFonts w:cstheme="minorHAnsi"/>
              </w:rPr>
              <w:t>Developing a monitoring and evaluation framework, performance benchmarks and mutual commitments as well as multi-year sector specific work plans for Bougainville</w:t>
            </w:r>
            <w:r w:rsidR="002C6C47">
              <w:rPr>
                <w:rFonts w:cstheme="minorHAnsi"/>
              </w:rPr>
              <w:t>.</w:t>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hemeFill="accent6" w:themeFillShade="BF"/>
          </w:tcPr>
          <w:p w:rsidR="005C310A" w:rsidRPr="00D73248" w:rsidRDefault="002E3B11" w:rsidP="00445FE0">
            <w:pPr>
              <w:pStyle w:val="TableTextEntries"/>
              <w:jc w:val="center"/>
              <w:rPr>
                <w:color w:val="FFFFFF" w:themeColor="background1"/>
              </w:rPr>
            </w:pPr>
            <w:r>
              <w:rPr>
                <w:color w:val="FFFFFF" w:themeColor="background1"/>
              </w:rPr>
              <w:t>Partly achieved</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310A" w:rsidRPr="00D73248" w:rsidRDefault="002647CE" w:rsidP="00837172">
            <w:pPr>
              <w:pStyle w:val="TableTextEntries"/>
            </w:pPr>
            <w:r>
              <w:rPr>
                <w:szCs w:val="20"/>
              </w:rPr>
              <w:t xml:space="preserve">Drafts of a new Bougainville Aid Framework and Bougainville Performance Assessment Framework have been produced. </w:t>
            </w:r>
            <w:r w:rsidR="00593DFF">
              <w:rPr>
                <w:szCs w:val="20"/>
              </w:rPr>
              <w:t xml:space="preserve"> </w:t>
            </w:r>
            <w:r>
              <w:rPr>
                <w:szCs w:val="20"/>
              </w:rPr>
              <w:t xml:space="preserve">Australia has </w:t>
            </w:r>
            <w:r w:rsidR="00837172">
              <w:rPr>
                <w:szCs w:val="20"/>
              </w:rPr>
              <w:t>delayed</w:t>
            </w:r>
            <w:r>
              <w:rPr>
                <w:szCs w:val="20"/>
              </w:rPr>
              <w:t xml:space="preserve"> finalising these documents and sector plans to allow for further consultation with the PNG Government and new ABG following the ABG Election.</w:t>
            </w:r>
          </w:p>
        </w:tc>
      </w:tr>
      <w:tr w:rsidR="005C310A" w:rsidRPr="00180B19" w:rsidTr="00566AED">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310A" w:rsidRPr="00D73248" w:rsidRDefault="00D73248" w:rsidP="00445FE0">
            <w:pPr>
              <w:pStyle w:val="TableTextEntries"/>
            </w:pPr>
            <w:r w:rsidRPr="00D73248">
              <w:rPr>
                <w:rFonts w:cstheme="minorHAnsi"/>
              </w:rPr>
              <w:t>Expand support for women’s empowerment, including a focus on women’s effective participation in the economy; women’s leadership in public life; and improved security in public and private spaces, including a specific focus on these issues in Bougainville</w:t>
            </w:r>
            <w:r w:rsidR="002C6C47">
              <w:rPr>
                <w:rFonts w:cstheme="minorHAnsi"/>
              </w:rPr>
              <w:t>.</w:t>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5C310A" w:rsidRPr="00D73248" w:rsidRDefault="00995750" w:rsidP="00445FE0">
            <w:pPr>
              <w:pStyle w:val="TableTextEntries"/>
              <w:jc w:val="center"/>
              <w:rPr>
                <w:color w:val="FFFFFF" w:themeColor="background1"/>
              </w:rPr>
            </w:pPr>
            <w:r>
              <w:rPr>
                <w:color w:val="FFFFFF" w:themeColor="background1"/>
              </w:rPr>
              <w:t>Achieved</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128A9" w:rsidRPr="001128A9" w:rsidRDefault="001128A9" w:rsidP="001128A9">
            <w:pPr>
              <w:pStyle w:val="BodyText"/>
              <w:spacing w:line="240" w:lineRule="auto"/>
              <w:rPr>
                <w:iCs/>
                <w:sz w:val="17"/>
                <w:szCs w:val="17"/>
                <w:lang w:eastAsia="en-US"/>
              </w:rPr>
            </w:pPr>
            <w:r w:rsidRPr="001128A9">
              <w:rPr>
                <w:iCs/>
                <w:sz w:val="17"/>
                <w:szCs w:val="17"/>
                <w:lang w:eastAsia="en-US"/>
              </w:rPr>
              <w:t xml:space="preserve">Over the past year there has been an increased focus on gender equality and women’s empowerment across Australia’s investments in PNG. </w:t>
            </w:r>
            <w:r w:rsidR="00593DFF">
              <w:rPr>
                <w:iCs/>
                <w:sz w:val="17"/>
                <w:szCs w:val="17"/>
                <w:lang w:eastAsia="en-US"/>
              </w:rPr>
              <w:t xml:space="preserve">  </w:t>
            </w:r>
            <w:r w:rsidRPr="001128A9">
              <w:rPr>
                <w:iCs/>
                <w:sz w:val="17"/>
                <w:szCs w:val="17"/>
                <w:lang w:eastAsia="en-US"/>
              </w:rPr>
              <w:t>Gender has gone from being relatively peripheral to being a key focus within many investments, and all investments have at least some gender-specific policies and activities.</w:t>
            </w:r>
            <w:r w:rsidR="00593DFF">
              <w:rPr>
                <w:iCs/>
                <w:sz w:val="17"/>
                <w:szCs w:val="17"/>
                <w:lang w:eastAsia="en-US"/>
              </w:rPr>
              <w:t xml:space="preserve"> </w:t>
            </w:r>
            <w:r w:rsidRPr="001128A9">
              <w:rPr>
                <w:iCs/>
                <w:sz w:val="17"/>
                <w:szCs w:val="17"/>
                <w:lang w:eastAsia="en-US"/>
              </w:rPr>
              <w:t xml:space="preserve">Gender equity is now more concretely incorporated into Partnership for Development schedules, which have, with the exception of transport, articulated gender targets. </w:t>
            </w:r>
            <w:r w:rsidR="00593DFF" w:rsidRPr="00A43278">
              <w:rPr>
                <w:iCs/>
                <w:sz w:val="17"/>
                <w:szCs w:val="17"/>
                <w:lang w:eastAsia="en-US"/>
              </w:rPr>
              <w:t xml:space="preserve"> Australia developed a five-year Bougainville Gender Investment Plan (2014-19) </w:t>
            </w:r>
            <w:r w:rsidR="00593DFF">
              <w:rPr>
                <w:iCs/>
                <w:sz w:val="17"/>
                <w:szCs w:val="17"/>
                <w:lang w:eastAsia="en-US"/>
              </w:rPr>
              <w:t>and a number of grants and projects have begun.</w:t>
            </w:r>
          </w:p>
          <w:p w:rsidR="005C310A" w:rsidRPr="00D73248" w:rsidRDefault="005C310A" w:rsidP="00445FE0">
            <w:pPr>
              <w:pStyle w:val="TableTextEntries"/>
            </w:pPr>
          </w:p>
        </w:tc>
      </w:tr>
      <w:tr w:rsidR="00D73248" w:rsidRPr="00180B19" w:rsidTr="000A71AF">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D73248" w:rsidP="00445FE0">
            <w:pPr>
              <w:pStyle w:val="TableTextEntries"/>
              <w:rPr>
                <w:rFonts w:cstheme="minorHAnsi"/>
              </w:rPr>
            </w:pPr>
            <w:r w:rsidRPr="00D73248">
              <w:rPr>
                <w:rFonts w:cstheme="minorHAnsi"/>
              </w:rPr>
              <w:t>Agreeing a framework for implementing future private sector development programs, including in agriculture.  The Governments of Australia and PNG will establish a working group to develop an agreed approach prior to the 2014 Senior Officials Meeting</w:t>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D73248" w:rsidRPr="00D73248" w:rsidRDefault="000A71AF" w:rsidP="00713266">
            <w:pPr>
              <w:pStyle w:val="TableTextEntries"/>
              <w:jc w:val="center"/>
              <w:rPr>
                <w:color w:val="FFFFFF" w:themeColor="background1"/>
              </w:rPr>
            </w:pPr>
            <w:r>
              <w:rPr>
                <w:color w:val="FFFFFF" w:themeColor="background1"/>
              </w:rPr>
              <w:t>Achieved</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rsidR="00D73248" w:rsidRPr="00D73248" w:rsidRDefault="00713266" w:rsidP="00F36621">
            <w:pPr>
              <w:pStyle w:val="TableTextEntries"/>
            </w:pPr>
            <w:r>
              <w:t>A Private Sector Development Framework in PNG has been developed</w:t>
            </w:r>
            <w:r w:rsidR="0030187A">
              <w:t xml:space="preserve"> and agreed between our </w:t>
            </w:r>
            <w:r w:rsidR="00FC6FBB">
              <w:t>governments</w:t>
            </w:r>
            <w:r>
              <w:t xml:space="preserve">. </w:t>
            </w:r>
          </w:p>
        </w:tc>
      </w:tr>
      <w:tr w:rsidR="00D73248" w:rsidRPr="00180B19" w:rsidTr="00566AED">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D73248" w:rsidP="00445FE0">
            <w:pPr>
              <w:pStyle w:val="TableTextEntries"/>
              <w:rPr>
                <w:rFonts w:cstheme="minorHAnsi"/>
              </w:rPr>
            </w:pPr>
            <w:r w:rsidRPr="00D73248">
              <w:rPr>
                <w:rFonts w:cstheme="minorHAnsi"/>
              </w:rPr>
              <w:lastRenderedPageBreak/>
              <w:t xml:space="preserve">Supporting the PNG Government to build a more effective public service, by increasing investment in </w:t>
            </w:r>
            <w:r w:rsidR="00FC6FBB">
              <w:rPr>
                <w:rFonts w:cstheme="minorHAnsi"/>
              </w:rPr>
              <w:t>g</w:t>
            </w:r>
            <w:r w:rsidRPr="00D73248">
              <w:rPr>
                <w:rFonts w:cstheme="minorHAnsi"/>
              </w:rPr>
              <w:t>overnment-to-</w:t>
            </w:r>
            <w:r w:rsidR="00FC6FBB">
              <w:rPr>
                <w:rFonts w:cstheme="minorHAnsi"/>
              </w:rPr>
              <w:t>g</w:t>
            </w:r>
            <w:r w:rsidRPr="00D73248">
              <w:rPr>
                <w:rFonts w:cstheme="minorHAnsi"/>
              </w:rPr>
              <w:t>overnment advisory support through the Strongim Gavman Program and by partnering with the PNG Government to establish a new School of Government</w:t>
            </w:r>
            <w:r w:rsidR="002C6C47">
              <w:rPr>
                <w:rFonts w:cstheme="minorHAnsi"/>
              </w:rPr>
              <w:t>.</w:t>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hemeFill="accent6" w:themeFillShade="BF"/>
          </w:tcPr>
          <w:p w:rsidR="00D73248" w:rsidRPr="00D73248" w:rsidRDefault="00995750" w:rsidP="00445FE0">
            <w:pPr>
              <w:pStyle w:val="TableTextEntries"/>
              <w:jc w:val="center"/>
              <w:rPr>
                <w:color w:val="FFFFFF" w:themeColor="background1"/>
              </w:rPr>
            </w:pPr>
            <w:r>
              <w:rPr>
                <w:color w:val="FFFFFF" w:themeColor="background1"/>
              </w:rPr>
              <w:t>Partly achieved</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995750" w:rsidP="00224209">
            <w:pPr>
              <w:pStyle w:val="TableTextEntries"/>
            </w:pPr>
            <w:r>
              <w:t xml:space="preserve">Advisory support through the Strongim Gavman Program </w:t>
            </w:r>
            <w:r w:rsidR="00224209">
              <w:t>slightly increased from</w:t>
            </w:r>
            <w:r>
              <w:t xml:space="preserve"> 2013-14 levels (</w:t>
            </w:r>
            <w:r w:rsidR="00224209">
              <w:t xml:space="preserve">35 </w:t>
            </w:r>
            <w:r>
              <w:t>advis</w:t>
            </w:r>
            <w:r w:rsidR="00982931">
              <w:t>e</w:t>
            </w:r>
            <w:r>
              <w:t>rs in PNG Government agencies</w:t>
            </w:r>
            <w:r w:rsidR="00224209">
              <w:t xml:space="preserve"> and additional twinning activities by the Australian Bureau of Statistics</w:t>
            </w:r>
            <w:r>
              <w:t xml:space="preserve">). Work on the </w:t>
            </w:r>
            <w:r w:rsidR="00D1779D">
              <w:t>Pacific Leadership and Governance Precinct</w:t>
            </w:r>
            <w:r>
              <w:t xml:space="preserve"> commenced</w:t>
            </w:r>
            <w:r w:rsidR="00D1779D">
              <w:t xml:space="preserve"> in 2014</w:t>
            </w:r>
            <w:r>
              <w:t xml:space="preserve">, with infrastructure works planned and over </w:t>
            </w:r>
            <w:r w:rsidR="00AE756F">
              <w:t xml:space="preserve">300 </w:t>
            </w:r>
            <w:r>
              <w:t xml:space="preserve">students </w:t>
            </w:r>
            <w:r w:rsidR="00F50F93">
              <w:t xml:space="preserve">attending courses </w:t>
            </w:r>
            <w:r w:rsidR="00D1779D">
              <w:t>in 2014-15</w:t>
            </w:r>
            <w:r w:rsidR="00F50F93">
              <w:t xml:space="preserve">. </w:t>
            </w:r>
          </w:p>
        </w:tc>
      </w:tr>
      <w:tr w:rsidR="00D73248" w:rsidRPr="00180B19" w:rsidTr="00566AED">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D73248" w:rsidP="00445FE0">
            <w:pPr>
              <w:pStyle w:val="TableTextEntries"/>
              <w:rPr>
                <w:rFonts w:cstheme="minorHAnsi"/>
              </w:rPr>
            </w:pPr>
            <w:r w:rsidRPr="00D73248">
              <w:rPr>
                <w:rFonts w:cstheme="minorHAnsi"/>
              </w:rPr>
              <w:t>Designing and commissioning a new phase of the Incentive Fund program (Phase 4). The new phase will build upon its success from the previous phases, incorporate lessons learned, and will seek to leverage service delivery and economic development outcomes by engaging the private sector along with more traditional partners</w:t>
            </w:r>
            <w:r w:rsidR="002C6C47">
              <w:rPr>
                <w:rFonts w:cstheme="minorHAnsi"/>
              </w:rPr>
              <w:t>.</w:t>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D73248" w:rsidRPr="00D73248" w:rsidRDefault="00F50F93" w:rsidP="00445FE0">
            <w:pPr>
              <w:pStyle w:val="TableTextEntries"/>
              <w:jc w:val="center"/>
              <w:rPr>
                <w:color w:val="FFFFFF" w:themeColor="background1"/>
              </w:rPr>
            </w:pPr>
            <w:r>
              <w:rPr>
                <w:color w:val="FFFFFF" w:themeColor="background1"/>
              </w:rPr>
              <w:t>Achieved</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D1779D" w:rsidP="00A86139">
            <w:pPr>
              <w:pStyle w:val="TableTextEntries"/>
            </w:pPr>
            <w:r>
              <w:t>Australia and Papua New Guinea have launched phase IV of the Incentive Fund grants program.  The $</w:t>
            </w:r>
            <w:r w:rsidR="00A86139">
              <w:t xml:space="preserve">100 </w:t>
            </w:r>
            <w:r>
              <w:t>million program will provide opportunities for a wide range of high performing organisations to compete for direct funding for development projects.</w:t>
            </w:r>
          </w:p>
        </w:tc>
      </w:tr>
      <w:tr w:rsidR="00D73248" w:rsidRPr="00180B19" w:rsidTr="00155D4E">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D73248" w:rsidP="00445FE0">
            <w:pPr>
              <w:pStyle w:val="TableTextEntries"/>
              <w:rPr>
                <w:rFonts w:cstheme="minorHAnsi"/>
              </w:rPr>
            </w:pPr>
            <w:r w:rsidRPr="00D73248">
              <w:rPr>
                <w:rFonts w:cstheme="minorHAnsi"/>
              </w:rPr>
              <w:t>Increasing engagement with the private sector to determine opportunities for developing partnerships with business to support sustainable and equitable growth in PNG</w:t>
            </w:r>
            <w:r w:rsidR="002C6C47">
              <w:rPr>
                <w:rFonts w:cstheme="minorHAnsi"/>
              </w:rPr>
              <w:t>.</w:t>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D73248" w:rsidRPr="00F50F93" w:rsidRDefault="00155D4E" w:rsidP="00445FE0">
            <w:pPr>
              <w:pStyle w:val="TableTextEntries"/>
              <w:jc w:val="center"/>
            </w:pPr>
            <w:r w:rsidRPr="00155D4E">
              <w:rPr>
                <w:color w:val="FFFFFF" w:themeColor="background1"/>
              </w:rPr>
              <w:t>Achieved</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155D4E" w:rsidP="00155D4E">
            <w:pPr>
              <w:pStyle w:val="TableTextEntries"/>
            </w:pPr>
            <w:r>
              <w:t>Regular meetings have been conducted with business groups, including through the working groups of the Business and Development Roundtable, on technical and vocational education, tuberculosis and aid for trade.</w:t>
            </w:r>
          </w:p>
        </w:tc>
      </w:tr>
      <w:tr w:rsidR="00D73248" w:rsidRPr="00180B19" w:rsidTr="000A1C03">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D73248" w:rsidP="00445FE0">
            <w:pPr>
              <w:pStyle w:val="TableTextEntries"/>
              <w:rPr>
                <w:rFonts w:cstheme="minorHAnsi"/>
              </w:rPr>
            </w:pPr>
            <w:r w:rsidRPr="00D73248">
              <w:rPr>
                <w:rFonts w:cstheme="minorHAnsi"/>
              </w:rPr>
              <w:t>Addressing vulnerabilities of people with disabilities carefully in all future designs, including Law and Justice, Governance and Incentive Funds</w:t>
            </w:r>
            <w:r w:rsidR="002C6C47">
              <w:rPr>
                <w:rFonts w:cstheme="minorHAnsi"/>
              </w:rPr>
              <w:t>.</w:t>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themeFill="accent6" w:themeFillShade="BF"/>
          </w:tcPr>
          <w:p w:rsidR="00D73248" w:rsidRPr="00F50F93" w:rsidRDefault="000A1C03" w:rsidP="00445FE0">
            <w:pPr>
              <w:pStyle w:val="TableTextEntries"/>
              <w:jc w:val="center"/>
            </w:pPr>
            <w:r w:rsidRPr="000A1C03">
              <w:rPr>
                <w:color w:val="FFFFFF" w:themeColor="background1"/>
              </w:rPr>
              <w:t>Partly achieved</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A1C03" w:rsidRDefault="000A1C03" w:rsidP="000A1C03">
            <w:pPr>
              <w:pStyle w:val="Default"/>
            </w:pPr>
          </w:p>
          <w:p w:rsidR="000A1C03" w:rsidRPr="000A1C03" w:rsidRDefault="00713266" w:rsidP="000A1C03">
            <w:pPr>
              <w:pStyle w:val="Default"/>
              <w:rPr>
                <w:rFonts w:ascii="Franklin Gothic Book" w:eastAsia="Times New Roman" w:hAnsi="Franklin Gothic Book"/>
                <w:iCs/>
                <w:color w:val="auto"/>
                <w:sz w:val="17"/>
                <w:szCs w:val="17"/>
                <w:lang w:eastAsia="en-US"/>
              </w:rPr>
            </w:pPr>
            <w:r>
              <w:rPr>
                <w:rFonts w:ascii="Franklin Gothic Book" w:eastAsia="Times New Roman" w:hAnsi="Franklin Gothic Book"/>
                <w:iCs/>
                <w:color w:val="auto"/>
                <w:sz w:val="17"/>
                <w:szCs w:val="17"/>
                <w:lang w:eastAsia="en-US"/>
              </w:rPr>
              <w:t xml:space="preserve">The requirement to adhere to the </w:t>
            </w:r>
            <w:r w:rsidR="000A1C03" w:rsidRPr="000A1C03">
              <w:rPr>
                <w:rFonts w:ascii="Franklin Gothic Book" w:eastAsia="Times New Roman" w:hAnsi="Franklin Gothic Book"/>
                <w:iCs/>
                <w:color w:val="auto"/>
                <w:sz w:val="17"/>
                <w:szCs w:val="17"/>
                <w:lang w:eastAsia="en-US"/>
              </w:rPr>
              <w:t>DFAT</w:t>
            </w:r>
            <w:r>
              <w:rPr>
                <w:rFonts w:ascii="Franklin Gothic Book" w:eastAsia="Times New Roman" w:hAnsi="Franklin Gothic Book"/>
                <w:iCs/>
                <w:color w:val="auto"/>
                <w:sz w:val="17"/>
                <w:szCs w:val="17"/>
                <w:lang w:eastAsia="en-US"/>
              </w:rPr>
              <w:t>’s</w:t>
            </w:r>
            <w:r w:rsidR="000A1C03" w:rsidRPr="000A1C03">
              <w:rPr>
                <w:rFonts w:ascii="Franklin Gothic Book" w:eastAsia="Times New Roman" w:hAnsi="Franklin Gothic Book"/>
                <w:iCs/>
                <w:color w:val="auto"/>
                <w:sz w:val="17"/>
                <w:szCs w:val="17"/>
                <w:lang w:eastAsia="en-US"/>
              </w:rPr>
              <w:t xml:space="preserve"> Disability-Inclusive Development </w:t>
            </w:r>
            <w:r>
              <w:rPr>
                <w:rFonts w:ascii="Franklin Gothic Book" w:eastAsia="Times New Roman" w:hAnsi="Franklin Gothic Book"/>
                <w:iCs/>
                <w:color w:val="auto"/>
                <w:sz w:val="17"/>
                <w:szCs w:val="17"/>
                <w:lang w:eastAsia="en-US"/>
              </w:rPr>
              <w:t>policies and</w:t>
            </w:r>
            <w:r w:rsidR="000A1C03" w:rsidRPr="000A1C03">
              <w:rPr>
                <w:rFonts w:ascii="Franklin Gothic Book" w:eastAsia="Times New Roman" w:hAnsi="Franklin Gothic Book"/>
                <w:iCs/>
                <w:color w:val="auto"/>
                <w:sz w:val="17"/>
                <w:szCs w:val="17"/>
                <w:lang w:eastAsia="en-US"/>
              </w:rPr>
              <w:t xml:space="preserve"> DFAT Accessibility Design Guide </w:t>
            </w:r>
            <w:r>
              <w:rPr>
                <w:rFonts w:ascii="Franklin Gothic Book" w:eastAsia="Times New Roman" w:hAnsi="Franklin Gothic Book"/>
                <w:iCs/>
                <w:color w:val="auto"/>
                <w:sz w:val="17"/>
                <w:szCs w:val="17"/>
                <w:lang w:eastAsia="en-US"/>
              </w:rPr>
              <w:t xml:space="preserve">was referenced in all design documents. </w:t>
            </w:r>
            <w:r w:rsidR="00593DFF">
              <w:rPr>
                <w:rFonts w:ascii="Franklin Gothic Book" w:eastAsia="Times New Roman" w:hAnsi="Franklin Gothic Book"/>
                <w:iCs/>
                <w:color w:val="auto"/>
                <w:sz w:val="17"/>
                <w:szCs w:val="17"/>
                <w:lang w:eastAsia="en-US"/>
              </w:rPr>
              <w:t xml:space="preserve"> </w:t>
            </w:r>
            <w:r>
              <w:rPr>
                <w:rFonts w:ascii="Franklin Gothic Book" w:eastAsia="Times New Roman" w:hAnsi="Franklin Gothic Book"/>
                <w:iCs/>
                <w:color w:val="auto"/>
                <w:sz w:val="17"/>
                <w:szCs w:val="17"/>
                <w:lang w:eastAsia="en-US"/>
              </w:rPr>
              <w:t>Further attention will need to be paid to this issue during the implementation of the new programs.</w:t>
            </w:r>
          </w:p>
          <w:p w:rsidR="00D73248" w:rsidRPr="00D73248" w:rsidRDefault="00D73248" w:rsidP="00445FE0">
            <w:pPr>
              <w:pStyle w:val="TableTextEntries"/>
            </w:pPr>
          </w:p>
        </w:tc>
      </w:tr>
      <w:tr w:rsidR="00D73248" w:rsidRPr="00180B19" w:rsidTr="002927C7">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D73248" w:rsidP="00445FE0">
            <w:pPr>
              <w:pStyle w:val="TableTextEntries"/>
              <w:rPr>
                <w:rFonts w:cstheme="minorHAnsi"/>
              </w:rPr>
            </w:pPr>
            <w:r w:rsidRPr="00D73248">
              <w:rPr>
                <w:rFonts w:cstheme="minorHAnsi"/>
              </w:rPr>
              <w:t>Focussing on robust monitoring and evaluation across Australia’s aid investments in PNG, such as improving whole of government performance frameworks, building staff capabilities in M&amp;E and improving cohesion with and between sectoral investments</w:t>
            </w:r>
            <w:r w:rsidR="002C6C47">
              <w:rPr>
                <w:rFonts w:cstheme="minorHAnsi"/>
              </w:rPr>
              <w:t>.</w:t>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D73248" w:rsidRPr="00F50F93" w:rsidRDefault="002927C7" w:rsidP="00445FE0">
            <w:pPr>
              <w:pStyle w:val="TableTextEntries"/>
              <w:jc w:val="center"/>
            </w:pPr>
            <w:r w:rsidRPr="002927C7">
              <w:rPr>
                <w:color w:val="FFFFFF" w:themeColor="background1"/>
              </w:rPr>
              <w:t>Achieved</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927C7" w:rsidRPr="002927C7" w:rsidRDefault="002927C7" w:rsidP="002927C7">
            <w:pPr>
              <w:rPr>
                <w:rFonts w:ascii="Franklin Gothic Book" w:eastAsia="Times New Roman" w:hAnsi="Franklin Gothic Book"/>
                <w:iCs/>
                <w:sz w:val="17"/>
                <w:szCs w:val="17"/>
                <w:lang w:eastAsia="en-US"/>
              </w:rPr>
            </w:pPr>
            <w:r w:rsidRPr="002927C7">
              <w:rPr>
                <w:rFonts w:ascii="Franklin Gothic Book" w:eastAsia="Times New Roman" w:hAnsi="Franklin Gothic Book"/>
                <w:iCs/>
                <w:sz w:val="17"/>
                <w:szCs w:val="17"/>
                <w:lang w:eastAsia="en-US"/>
              </w:rPr>
              <w:t>The PNG program delivered 100</w:t>
            </w:r>
            <w:r w:rsidR="00682DF0">
              <w:rPr>
                <w:rFonts w:ascii="Franklin Gothic Book" w:eastAsia="Times New Roman" w:hAnsi="Franklin Gothic Book"/>
                <w:iCs/>
                <w:sz w:val="17"/>
                <w:szCs w:val="17"/>
                <w:lang w:eastAsia="en-US"/>
              </w:rPr>
              <w:t xml:space="preserve"> per cent</w:t>
            </w:r>
            <w:r w:rsidR="00682DF0" w:rsidRPr="002927C7">
              <w:rPr>
                <w:rFonts w:ascii="Franklin Gothic Book" w:eastAsia="Times New Roman" w:hAnsi="Franklin Gothic Book"/>
                <w:iCs/>
                <w:sz w:val="17"/>
                <w:szCs w:val="17"/>
                <w:lang w:eastAsia="en-US"/>
              </w:rPr>
              <w:t xml:space="preserve"> </w:t>
            </w:r>
            <w:r w:rsidRPr="002927C7">
              <w:rPr>
                <w:rFonts w:ascii="Franklin Gothic Book" w:eastAsia="Times New Roman" w:hAnsi="Franklin Gothic Book"/>
                <w:iCs/>
                <w:sz w:val="17"/>
                <w:szCs w:val="17"/>
                <w:lang w:eastAsia="en-US"/>
              </w:rPr>
              <w:t xml:space="preserve">compliance on Investment Quality Reporting (IQR) requirements. Mandatory initiative level reporting was supplemented by Sector Performance Reporting. </w:t>
            </w:r>
            <w:r w:rsidR="00593DFF">
              <w:rPr>
                <w:rFonts w:ascii="Franklin Gothic Book" w:eastAsia="Times New Roman" w:hAnsi="Franklin Gothic Book"/>
                <w:iCs/>
                <w:sz w:val="17"/>
                <w:szCs w:val="17"/>
                <w:lang w:eastAsia="en-US"/>
              </w:rPr>
              <w:t xml:space="preserve"> </w:t>
            </w:r>
            <w:r w:rsidRPr="002927C7">
              <w:rPr>
                <w:rFonts w:ascii="Franklin Gothic Book" w:eastAsia="Times New Roman" w:hAnsi="Franklin Gothic Book"/>
                <w:iCs/>
                <w:sz w:val="17"/>
                <w:szCs w:val="17"/>
                <w:lang w:eastAsia="en-US"/>
              </w:rPr>
              <w:t>This approach was used by the program to confirm results at a higher level.</w:t>
            </w:r>
            <w:r w:rsidR="00593DFF">
              <w:rPr>
                <w:rFonts w:ascii="Franklin Gothic Book" w:eastAsia="Times New Roman" w:hAnsi="Franklin Gothic Book"/>
                <w:iCs/>
                <w:sz w:val="17"/>
                <w:szCs w:val="17"/>
                <w:lang w:eastAsia="en-US"/>
              </w:rPr>
              <w:t xml:space="preserve"> </w:t>
            </w:r>
            <w:r w:rsidRPr="002927C7">
              <w:rPr>
                <w:rFonts w:ascii="Franklin Gothic Book" w:eastAsia="Times New Roman" w:hAnsi="Franklin Gothic Book"/>
                <w:iCs/>
                <w:sz w:val="17"/>
                <w:szCs w:val="17"/>
                <w:lang w:eastAsia="en-US"/>
              </w:rPr>
              <w:t xml:space="preserve"> A new Australian whole-of-government </w:t>
            </w:r>
            <w:r w:rsidR="00593DFF">
              <w:rPr>
                <w:rFonts w:ascii="Franklin Gothic Book" w:eastAsia="Times New Roman" w:hAnsi="Franklin Gothic Book"/>
                <w:iCs/>
                <w:sz w:val="17"/>
                <w:szCs w:val="17"/>
                <w:lang w:eastAsia="en-US"/>
              </w:rPr>
              <w:t>Sector Investment Plan</w:t>
            </w:r>
            <w:r w:rsidR="00593DFF" w:rsidRPr="002927C7">
              <w:rPr>
                <w:rFonts w:ascii="Franklin Gothic Book" w:eastAsia="Times New Roman" w:hAnsi="Franklin Gothic Book"/>
                <w:iCs/>
                <w:sz w:val="17"/>
                <w:szCs w:val="17"/>
                <w:lang w:eastAsia="en-US"/>
              </w:rPr>
              <w:t xml:space="preserve"> </w:t>
            </w:r>
            <w:r w:rsidRPr="002927C7">
              <w:rPr>
                <w:rFonts w:ascii="Franklin Gothic Book" w:eastAsia="Times New Roman" w:hAnsi="Franklin Gothic Book"/>
                <w:iCs/>
                <w:sz w:val="17"/>
                <w:szCs w:val="17"/>
                <w:lang w:eastAsia="en-US"/>
              </w:rPr>
              <w:t xml:space="preserve">was established for the </w:t>
            </w:r>
            <w:r w:rsidR="00593DFF">
              <w:rPr>
                <w:rFonts w:ascii="Franklin Gothic Book" w:eastAsia="Times New Roman" w:hAnsi="Franklin Gothic Book"/>
                <w:iCs/>
                <w:sz w:val="17"/>
                <w:szCs w:val="17"/>
                <w:lang w:eastAsia="en-US"/>
              </w:rPr>
              <w:t xml:space="preserve">law and justice sector. </w:t>
            </w:r>
            <w:r w:rsidRPr="002927C7">
              <w:rPr>
                <w:rFonts w:ascii="Franklin Gothic Book" w:eastAsia="Times New Roman" w:hAnsi="Franklin Gothic Book"/>
                <w:iCs/>
                <w:sz w:val="17"/>
                <w:szCs w:val="17"/>
                <w:lang w:eastAsia="en-US"/>
              </w:rPr>
              <w:t xml:space="preserve"> Noting the success, this will be used as a model for further whole-of-government </w:t>
            </w:r>
            <w:r w:rsidR="00593DFF">
              <w:rPr>
                <w:rFonts w:ascii="Franklin Gothic Book" w:eastAsia="Times New Roman" w:hAnsi="Franklin Gothic Book"/>
                <w:iCs/>
                <w:sz w:val="17"/>
                <w:szCs w:val="17"/>
                <w:lang w:eastAsia="en-US"/>
              </w:rPr>
              <w:t>Sector Investment Plans</w:t>
            </w:r>
            <w:r w:rsidRPr="002927C7">
              <w:rPr>
                <w:rFonts w:ascii="Franklin Gothic Book" w:eastAsia="Times New Roman" w:hAnsi="Franklin Gothic Book"/>
                <w:iCs/>
                <w:sz w:val="17"/>
                <w:szCs w:val="17"/>
                <w:lang w:eastAsia="en-US"/>
              </w:rPr>
              <w:t xml:space="preserve">. Staff capability and capacity in monitoring and evaluation was formally reviewed. This resulted in further training in Port Moresby, focusing on the new IQR requirements and a decision to establish M&amp;E </w:t>
            </w:r>
            <w:r w:rsidR="005F1165">
              <w:rPr>
                <w:rFonts w:ascii="Franklin Gothic Book" w:eastAsia="Times New Roman" w:hAnsi="Franklin Gothic Book"/>
                <w:iCs/>
                <w:sz w:val="17"/>
                <w:szCs w:val="17"/>
                <w:lang w:eastAsia="en-US"/>
              </w:rPr>
              <w:t>centralised support</w:t>
            </w:r>
            <w:r w:rsidRPr="002927C7">
              <w:rPr>
                <w:rFonts w:ascii="Franklin Gothic Book" w:eastAsia="Times New Roman" w:hAnsi="Franklin Gothic Book"/>
                <w:iCs/>
                <w:sz w:val="17"/>
                <w:szCs w:val="17"/>
                <w:lang w:eastAsia="en-US"/>
              </w:rPr>
              <w:t xml:space="preserve"> for the PNG program in 2015-16</w:t>
            </w:r>
            <w:r>
              <w:rPr>
                <w:rFonts w:ascii="Franklin Gothic Book" w:eastAsia="Times New Roman" w:hAnsi="Franklin Gothic Book"/>
                <w:iCs/>
                <w:sz w:val="17"/>
                <w:szCs w:val="17"/>
                <w:lang w:eastAsia="en-US"/>
              </w:rPr>
              <w:t>.</w:t>
            </w:r>
          </w:p>
          <w:p w:rsidR="00D73248" w:rsidRPr="00D73248" w:rsidRDefault="00D73248" w:rsidP="00445FE0">
            <w:pPr>
              <w:pStyle w:val="TableTextEntries"/>
            </w:pPr>
          </w:p>
        </w:tc>
      </w:tr>
      <w:tr w:rsidR="00D73248" w:rsidRPr="00180B19" w:rsidTr="00566AED">
        <w:trPr>
          <w:cnfStyle w:val="000000010000" w:firstRow="0" w:lastRow="0" w:firstColumn="0" w:lastColumn="0" w:oddVBand="0" w:evenVBand="0" w:oddHBand="0" w:evenHBand="1" w:firstRowFirstColumn="0" w:firstRowLastColumn="0" w:lastRowFirstColumn="0" w:lastRowLastColumn="0"/>
        </w:trPr>
        <w:tc>
          <w:tcPr>
            <w:tcW w:w="66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D73248" w:rsidP="00445FE0">
            <w:pPr>
              <w:pStyle w:val="TableTextEntries"/>
              <w:rPr>
                <w:rFonts w:cstheme="minorHAnsi"/>
              </w:rPr>
            </w:pPr>
            <w:r w:rsidRPr="00D73248">
              <w:rPr>
                <w:rFonts w:cstheme="minorHAnsi"/>
              </w:rPr>
              <w:t>Continuing the close monitoring of Australia’s aid investments and sustained emphasis on good governance, transparency and equity in PNG to manage risks facing the aid program</w:t>
            </w:r>
            <w:r w:rsidR="002C6C47">
              <w:rPr>
                <w:rFonts w:cstheme="minorHAnsi"/>
              </w:rPr>
              <w:t>.</w:t>
            </w:r>
          </w:p>
        </w:tc>
        <w:tc>
          <w:tcPr>
            <w:tcW w:w="11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D73248" w:rsidRPr="00F50F93" w:rsidRDefault="00566AED" w:rsidP="00445FE0">
            <w:pPr>
              <w:pStyle w:val="TableTextEntries"/>
              <w:jc w:val="center"/>
            </w:pPr>
            <w:r w:rsidRPr="00566AED">
              <w:rPr>
                <w:color w:val="FFFFFF" w:themeColor="background1"/>
              </w:rPr>
              <w:t>Achieved</w:t>
            </w:r>
          </w:p>
        </w:tc>
        <w:tc>
          <w:tcPr>
            <w:tcW w:w="6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73248" w:rsidRPr="00D73248" w:rsidRDefault="00566AED" w:rsidP="00A43278">
            <w:pPr>
              <w:pStyle w:val="TableTextEntries"/>
            </w:pPr>
            <w:r w:rsidRPr="00FD0192">
              <w:t>In 2014</w:t>
            </w:r>
            <w:r w:rsidR="000F7E5E">
              <w:t>-</w:t>
            </w:r>
            <w:r w:rsidRPr="00FD0192">
              <w:t>15 we tracked expenditure against forecasts</w:t>
            </w:r>
            <w:r w:rsidR="000160ED">
              <w:t xml:space="preserve"> and</w:t>
            </w:r>
            <w:r w:rsidRPr="00FD0192">
              <w:t xml:space="preserve"> had 100</w:t>
            </w:r>
            <w:r w:rsidR="00682DF0">
              <w:t xml:space="preserve"> per cent</w:t>
            </w:r>
            <w:r w:rsidR="00682DF0" w:rsidRPr="00FD0192">
              <w:t xml:space="preserve"> </w:t>
            </w:r>
            <w:r w:rsidRPr="00FD0192">
              <w:t>compliance on quality processes. Our fraud management at Post improved markedly in 2014</w:t>
            </w:r>
            <w:r w:rsidR="00593DFF">
              <w:t>-</w:t>
            </w:r>
            <w:r w:rsidRPr="00FD0192">
              <w:t>15 with more staff brought on to assist with the case load. Post also closed a number of long standing cases</w:t>
            </w:r>
            <w:r w:rsidR="002C6C47">
              <w:t>.</w:t>
            </w:r>
          </w:p>
        </w:tc>
      </w:tr>
    </w:tbl>
    <w:p w:rsidR="005C310A" w:rsidRPr="00FE4491" w:rsidRDefault="005C310A" w:rsidP="005C310A">
      <w:pPr>
        <w:pStyle w:val="Note"/>
      </w:pPr>
      <w:r w:rsidRPr="00FE4491">
        <w:t xml:space="preserve">Note: </w:t>
      </w:r>
    </w:p>
    <w:p w:rsidR="005C310A" w:rsidRPr="00671434" w:rsidRDefault="005C310A" w:rsidP="005C310A">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5C310A" w:rsidRPr="00EA3BAD" w:rsidRDefault="005C310A" w:rsidP="005C310A">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5C310A" w:rsidRDefault="005C310A" w:rsidP="005C310A">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5C310A" w:rsidRDefault="005C310A" w:rsidP="005C310A">
      <w:pPr>
        <w:pStyle w:val="BodyText"/>
      </w:pPr>
    </w:p>
    <w:p w:rsidR="005C310A" w:rsidRDefault="005C310A">
      <w:pPr>
        <w:spacing w:after="200" w:line="276" w:lineRule="auto"/>
        <w:rPr>
          <w:rFonts w:ascii="Helvetica" w:eastAsia="Times New Roman" w:hAnsi="Helvetica" w:cs="Arial"/>
          <w:color w:val="007FAD"/>
          <w:kern w:val="28"/>
          <w:sz w:val="28"/>
          <w:szCs w:val="28"/>
        </w:rPr>
      </w:pPr>
    </w:p>
    <w:p w:rsidR="00416B02" w:rsidRPr="009E38C1" w:rsidRDefault="00416B02" w:rsidP="00416B02">
      <w:pPr>
        <w:pStyle w:val="Heading2"/>
        <w:rPr>
          <w:sz w:val="28"/>
        </w:rPr>
      </w:pPr>
      <w:r w:rsidRPr="009E38C1">
        <w:rPr>
          <w:sz w:val="28"/>
        </w:rPr>
        <w:lastRenderedPageBreak/>
        <w:t>Annex</w:t>
      </w:r>
      <w:r w:rsidR="005C310A">
        <w:rPr>
          <w:sz w:val="28"/>
        </w:rPr>
        <w:t xml:space="preserve"> B</w:t>
      </w:r>
      <w:r w:rsidR="0057490F">
        <w:rPr>
          <w:sz w:val="28"/>
        </w:rPr>
        <w:t xml:space="preserve"> - </w:t>
      </w:r>
      <w:r>
        <w:rPr>
          <w:sz w:val="28"/>
        </w:rPr>
        <w:t xml:space="preserve">Progress towards </w:t>
      </w:r>
      <w:r w:rsidRPr="009E38C1">
        <w:rPr>
          <w:sz w:val="28"/>
        </w:rPr>
        <w:t xml:space="preserve">Performance Benchmarks </w:t>
      </w:r>
      <w:r>
        <w:rPr>
          <w:sz w:val="28"/>
        </w:rPr>
        <w:t xml:space="preserve">in </w:t>
      </w:r>
      <w:r w:rsidRPr="009E38C1">
        <w:rPr>
          <w:sz w:val="28"/>
        </w:rPr>
        <w:t>2014 -15</w:t>
      </w:r>
    </w:p>
    <w:tbl>
      <w:tblPr>
        <w:tblStyle w:val="DFATTable1"/>
        <w:tblW w:w="5111" w:type="pct"/>
        <w:tblBorders>
          <w:top w:val="none" w:sz="0" w:space="0" w:color="auto"/>
          <w:bottom w:val="none" w:sz="0" w:space="0" w:color="auto"/>
        </w:tblBorders>
        <w:tblLayout w:type="fixed"/>
        <w:tblLook w:val="04A0" w:firstRow="1" w:lastRow="0" w:firstColumn="1" w:lastColumn="0" w:noHBand="0" w:noVBand="1"/>
      </w:tblPr>
      <w:tblGrid>
        <w:gridCol w:w="2625"/>
        <w:gridCol w:w="4343"/>
        <w:gridCol w:w="1260"/>
        <w:gridCol w:w="6480"/>
      </w:tblGrid>
      <w:tr w:rsidR="003F59DC" w:rsidRPr="004F7D80" w:rsidTr="00A43278">
        <w:tc>
          <w:tcPr>
            <w:tcW w:w="892" w:type="pct"/>
          </w:tcPr>
          <w:p w:rsidR="00F86541" w:rsidRPr="00A43278" w:rsidRDefault="00F86541" w:rsidP="00F86541">
            <w:pPr>
              <w:pStyle w:val="TableHeading1"/>
              <w:rPr>
                <w:sz w:val="21"/>
                <w:szCs w:val="21"/>
              </w:rPr>
            </w:pPr>
            <w:r w:rsidRPr="00A43278">
              <w:rPr>
                <w:sz w:val="21"/>
                <w:szCs w:val="21"/>
              </w:rPr>
              <w:t>Aid objective</w:t>
            </w:r>
          </w:p>
        </w:tc>
        <w:tc>
          <w:tcPr>
            <w:tcW w:w="1476" w:type="pct"/>
          </w:tcPr>
          <w:p w:rsidR="00F86541" w:rsidRPr="00A43278" w:rsidRDefault="00F86541" w:rsidP="00F86541">
            <w:pPr>
              <w:pStyle w:val="TableHeading1"/>
              <w:rPr>
                <w:sz w:val="21"/>
                <w:szCs w:val="21"/>
              </w:rPr>
            </w:pPr>
            <w:r w:rsidRPr="00A43278">
              <w:rPr>
                <w:sz w:val="21"/>
                <w:szCs w:val="21"/>
              </w:rPr>
              <w:t xml:space="preserve">2014-15 benchmark </w:t>
            </w:r>
          </w:p>
        </w:tc>
        <w:tc>
          <w:tcPr>
            <w:tcW w:w="428" w:type="pct"/>
          </w:tcPr>
          <w:p w:rsidR="00F86541" w:rsidRPr="00A43278" w:rsidRDefault="00F86541" w:rsidP="00F86541">
            <w:pPr>
              <w:pStyle w:val="TableHeading1"/>
              <w:rPr>
                <w:sz w:val="21"/>
                <w:szCs w:val="21"/>
              </w:rPr>
            </w:pPr>
            <w:r w:rsidRPr="00A43278">
              <w:rPr>
                <w:sz w:val="21"/>
                <w:szCs w:val="21"/>
              </w:rPr>
              <w:t>Rating</w:t>
            </w:r>
          </w:p>
        </w:tc>
        <w:tc>
          <w:tcPr>
            <w:tcW w:w="2203" w:type="pct"/>
          </w:tcPr>
          <w:p w:rsidR="00F86541" w:rsidRPr="00A43278" w:rsidRDefault="00F86541" w:rsidP="00F86541">
            <w:pPr>
              <w:pStyle w:val="TableHeading1"/>
              <w:rPr>
                <w:sz w:val="21"/>
                <w:szCs w:val="21"/>
              </w:rPr>
            </w:pPr>
            <w:r w:rsidRPr="00A43278">
              <w:rPr>
                <w:sz w:val="21"/>
                <w:szCs w:val="21"/>
              </w:rPr>
              <w:t>Progress in 2014-15</w:t>
            </w:r>
          </w:p>
        </w:tc>
      </w:tr>
      <w:tr w:rsidR="003F59DC" w:rsidRPr="004F7D80" w:rsidTr="00A43278">
        <w:tc>
          <w:tcPr>
            <w:tcW w:w="892" w:type="pct"/>
          </w:tcPr>
          <w:p w:rsidR="00F86541" w:rsidRPr="00C4792B" w:rsidRDefault="00F86541" w:rsidP="00F86541">
            <w:pPr>
              <w:pStyle w:val="TableTextEntries"/>
              <w:rPr>
                <w:b/>
              </w:rPr>
            </w:pPr>
            <w:r w:rsidRPr="00C4792B">
              <w:rPr>
                <w:b/>
              </w:rPr>
              <w:t>Objective 1 – Improved health and HIV outcomes</w:t>
            </w:r>
          </w:p>
        </w:tc>
        <w:tc>
          <w:tcPr>
            <w:tcW w:w="1476" w:type="pct"/>
          </w:tcPr>
          <w:p w:rsidR="00F86541" w:rsidRPr="00C4792B" w:rsidRDefault="00F86541" w:rsidP="00F86541">
            <w:pPr>
              <w:pStyle w:val="TableTextEntries"/>
            </w:pPr>
          </w:p>
        </w:tc>
        <w:tc>
          <w:tcPr>
            <w:tcW w:w="428" w:type="pct"/>
          </w:tcPr>
          <w:p w:rsidR="00F86541" w:rsidRPr="00C4792B" w:rsidRDefault="00F86541" w:rsidP="00F86541">
            <w:pPr>
              <w:pStyle w:val="TableTextEntries"/>
              <w:jc w:val="center"/>
              <w:rPr>
                <w:color w:val="FFFFFF" w:themeColor="background1"/>
              </w:rPr>
            </w:pPr>
          </w:p>
        </w:tc>
        <w:tc>
          <w:tcPr>
            <w:tcW w:w="2203" w:type="pct"/>
          </w:tcPr>
          <w:p w:rsidR="00F86541" w:rsidRPr="00C4792B" w:rsidRDefault="00F86541" w:rsidP="00F86541">
            <w:pPr>
              <w:pStyle w:val="TableTextEntries"/>
            </w:pPr>
          </w:p>
        </w:tc>
      </w:tr>
      <w:tr w:rsidR="003F59DC" w:rsidRPr="004F7D80" w:rsidTr="00A43278">
        <w:tc>
          <w:tcPr>
            <w:tcW w:w="892" w:type="pct"/>
          </w:tcPr>
          <w:p w:rsidR="00F86541" w:rsidRPr="00C4792B" w:rsidRDefault="00F86541" w:rsidP="00F86541">
            <w:pPr>
              <w:pStyle w:val="TableTextEntries"/>
            </w:pPr>
            <w:r w:rsidRPr="00A43278">
              <w:rPr>
                <w:rFonts w:cstheme="minorHAnsi"/>
              </w:rPr>
              <w:t>Reduce the Burden of Communicable Diseases (Tuberculosis &amp; HIV)</w:t>
            </w:r>
          </w:p>
        </w:tc>
        <w:tc>
          <w:tcPr>
            <w:tcW w:w="1476" w:type="pct"/>
          </w:tcPr>
          <w:p w:rsidR="00F86541" w:rsidRPr="00A43278" w:rsidRDefault="00F86541" w:rsidP="00F86541">
            <w:pPr>
              <w:spacing w:after="200"/>
              <w:ind w:left="-20"/>
              <w:contextualSpacing/>
              <w:rPr>
                <w:rFonts w:ascii="Franklin Gothic Book" w:eastAsia="Calibri" w:hAnsi="Franklin Gothic Book" w:cstheme="minorHAnsi"/>
                <w:sz w:val="17"/>
                <w:szCs w:val="17"/>
                <w:lang w:eastAsia="en-US"/>
              </w:rPr>
            </w:pPr>
            <w:r w:rsidRPr="00A43278">
              <w:rPr>
                <w:rFonts w:ascii="Franklin Gothic Book" w:eastAsia="Times New Roman" w:hAnsi="Franklin Gothic Book" w:cstheme="minorHAnsi"/>
                <w:iCs/>
                <w:sz w:val="17"/>
                <w:szCs w:val="17"/>
                <w:lang w:eastAsia="en-US"/>
              </w:rPr>
              <w:t>Australia to significantly increase its national investments in TB in line with PNG Government implementation of a National TB Taskforce and increased resourcing and leadership.</w:t>
            </w:r>
            <w:r w:rsidRPr="00A43278">
              <w:rPr>
                <w:rFonts w:ascii="Franklin Gothic Book" w:eastAsia="Calibri" w:hAnsi="Franklin Gothic Book" w:cstheme="minorHAnsi"/>
                <w:sz w:val="17"/>
                <w:szCs w:val="17"/>
                <w:lang w:eastAsia="en-US"/>
              </w:rPr>
              <w:t xml:space="preserve"> </w:t>
            </w:r>
          </w:p>
        </w:tc>
        <w:tc>
          <w:tcPr>
            <w:tcW w:w="428" w:type="pct"/>
            <w:shd w:val="clear" w:color="auto" w:fill="92D050"/>
          </w:tcPr>
          <w:p w:rsidR="00F86541" w:rsidRPr="00C4792B" w:rsidRDefault="00F86541" w:rsidP="00F86541">
            <w:pPr>
              <w:pStyle w:val="TableTextEntries"/>
              <w:jc w:val="center"/>
              <w:rPr>
                <w:color w:val="FFFFFF" w:themeColor="background1"/>
              </w:rPr>
            </w:pPr>
            <w:r w:rsidRPr="00C4792B">
              <w:rPr>
                <w:color w:val="FFFFFF" w:themeColor="background1"/>
              </w:rPr>
              <w:t>Achieved</w:t>
            </w:r>
          </w:p>
        </w:tc>
        <w:tc>
          <w:tcPr>
            <w:tcW w:w="2203" w:type="pct"/>
          </w:tcPr>
          <w:p w:rsidR="00F86541" w:rsidRPr="00A43278" w:rsidRDefault="00F86541" w:rsidP="00F86541">
            <w:pPr>
              <w:spacing w:after="200"/>
              <w:ind w:left="32"/>
              <w:rPr>
                <w:rFonts w:ascii="Franklin Gothic Book" w:hAnsi="Franklin Gothic Book" w:cstheme="minorHAnsi"/>
                <w:sz w:val="17"/>
                <w:szCs w:val="17"/>
              </w:rPr>
            </w:pPr>
            <w:r w:rsidRPr="00A43278">
              <w:rPr>
                <w:rFonts w:ascii="Franklin Gothic Book" w:eastAsia="Times New Roman" w:hAnsi="Franklin Gothic Book" w:cstheme="minorHAnsi"/>
                <w:iCs/>
                <w:sz w:val="17"/>
                <w:szCs w:val="17"/>
                <w:lang w:eastAsia="en-US"/>
              </w:rPr>
              <w:t>In February 2015, Australia announced a new $15</w:t>
            </w:r>
            <w:r w:rsidR="00593DFF">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m</w:t>
            </w:r>
            <w:r w:rsidR="00593DFF">
              <w:rPr>
                <w:rFonts w:ascii="Franklin Gothic Book" w:eastAsia="Times New Roman" w:hAnsi="Franklin Gothic Book" w:cstheme="minorHAnsi"/>
                <w:iCs/>
                <w:sz w:val="17"/>
                <w:szCs w:val="17"/>
                <w:lang w:eastAsia="en-US"/>
              </w:rPr>
              <w:t>illion</w:t>
            </w:r>
            <w:r w:rsidRPr="00A43278">
              <w:rPr>
                <w:rFonts w:ascii="Franklin Gothic Book" w:eastAsia="Times New Roman" w:hAnsi="Franklin Gothic Book" w:cstheme="minorHAnsi"/>
                <w:iCs/>
                <w:sz w:val="17"/>
                <w:szCs w:val="17"/>
                <w:lang w:eastAsia="en-US"/>
              </w:rPr>
              <w:t xml:space="preserve"> package of support for TB control in NCD and Western Province.</w:t>
            </w:r>
            <w:r w:rsidR="00F135A1">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 xml:space="preserve"> In February the Government of PNG signed a new USD18.4</w:t>
            </w:r>
            <w:r w:rsidR="00593DFF">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m</w:t>
            </w:r>
            <w:r w:rsidR="00593DFF">
              <w:rPr>
                <w:rFonts w:ascii="Franklin Gothic Book" w:eastAsia="Times New Roman" w:hAnsi="Franklin Gothic Book" w:cstheme="minorHAnsi"/>
                <w:iCs/>
                <w:sz w:val="17"/>
                <w:szCs w:val="17"/>
                <w:lang w:eastAsia="en-US"/>
              </w:rPr>
              <w:t>illion</w:t>
            </w:r>
            <w:r w:rsidRPr="00A43278">
              <w:rPr>
                <w:rFonts w:ascii="Franklin Gothic Book" w:eastAsia="Times New Roman" w:hAnsi="Franklin Gothic Book" w:cstheme="minorHAnsi"/>
                <w:iCs/>
                <w:sz w:val="17"/>
                <w:szCs w:val="17"/>
                <w:lang w:eastAsia="en-US"/>
              </w:rPr>
              <w:t xml:space="preserve"> Global Fund grant for TB. </w:t>
            </w:r>
            <w:r w:rsidR="00F135A1">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The Minister for Health and HIV convened a Ministerial taskforce on TB</w:t>
            </w:r>
            <w:r w:rsidR="000232B2" w:rsidRPr="00A43278">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 xml:space="preserve"> </w:t>
            </w:r>
          </w:p>
          <w:p w:rsidR="00F86541" w:rsidRPr="00C4792B" w:rsidRDefault="00F86541" w:rsidP="00F86541">
            <w:pPr>
              <w:pStyle w:val="TableTextEntries"/>
            </w:pPr>
          </w:p>
        </w:tc>
      </w:tr>
      <w:tr w:rsidR="003F59DC" w:rsidRPr="004F7D80" w:rsidTr="00A43278">
        <w:tc>
          <w:tcPr>
            <w:tcW w:w="892" w:type="pct"/>
          </w:tcPr>
          <w:p w:rsidR="00F86541" w:rsidRPr="00C4792B" w:rsidRDefault="00F86541" w:rsidP="00F86541">
            <w:pPr>
              <w:pStyle w:val="TableTextEntries"/>
            </w:pPr>
          </w:p>
        </w:tc>
        <w:tc>
          <w:tcPr>
            <w:tcW w:w="1476" w:type="pct"/>
          </w:tcPr>
          <w:p w:rsidR="00F86541" w:rsidRPr="00A43278" w:rsidRDefault="00F86541" w:rsidP="00F86541">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Australian funded NGOs have 6,000 people on ART and 130,000 tested for HIV, with PNG Government to take on funding responsibility for Anglicare and Catholic HIV/AIDS Services</w:t>
            </w:r>
            <w:r w:rsidR="002C6C47">
              <w:rPr>
                <w:rFonts w:ascii="Franklin Gothic Book" w:eastAsia="Times New Roman" w:hAnsi="Franklin Gothic Book" w:cstheme="minorHAnsi"/>
                <w:iCs/>
                <w:sz w:val="17"/>
                <w:szCs w:val="17"/>
                <w:lang w:eastAsia="en-US"/>
              </w:rPr>
              <w:t>.</w:t>
            </w:r>
          </w:p>
        </w:tc>
        <w:tc>
          <w:tcPr>
            <w:tcW w:w="428" w:type="pct"/>
            <w:shd w:val="clear" w:color="auto" w:fill="E36C0A" w:themeFill="accent6" w:themeFillShade="BF"/>
          </w:tcPr>
          <w:p w:rsidR="00F86541" w:rsidRPr="00C4792B" w:rsidRDefault="00F86541" w:rsidP="00F86541">
            <w:pPr>
              <w:pStyle w:val="TableTextEntries"/>
              <w:jc w:val="center"/>
            </w:pPr>
            <w:r w:rsidRPr="00C4792B">
              <w:rPr>
                <w:color w:val="FFFFFF" w:themeColor="background1"/>
              </w:rPr>
              <w:t>Partly achieved</w:t>
            </w:r>
          </w:p>
        </w:tc>
        <w:tc>
          <w:tcPr>
            <w:tcW w:w="2203" w:type="pct"/>
          </w:tcPr>
          <w:p w:rsidR="00F86541" w:rsidRPr="00A43278" w:rsidRDefault="00F86541" w:rsidP="00A43278">
            <w:pPr>
              <w:spacing w:after="200"/>
              <w:ind w:left="32"/>
              <w:rPr>
                <w:rFonts w:ascii="Franklin Gothic Book" w:hAnsi="Franklin Gothic Book"/>
                <w:sz w:val="17"/>
                <w:szCs w:val="17"/>
              </w:rPr>
            </w:pPr>
            <w:r w:rsidRPr="00A43278">
              <w:rPr>
                <w:rFonts w:ascii="Franklin Gothic Book" w:eastAsia="Times New Roman" w:hAnsi="Franklin Gothic Book" w:cstheme="minorHAnsi"/>
                <w:iCs/>
                <w:sz w:val="17"/>
                <w:szCs w:val="17"/>
                <w:lang w:eastAsia="en-US"/>
              </w:rPr>
              <w:t>In 2014, Australian-funded NGOs had 4,350 people on ART, and tested a total of 78,737 people for HIV (39.7 per cent of all national testing</w:t>
            </w:r>
            <w:r w:rsidR="00F135A1" w:rsidRPr="00A43278">
              <w:rPr>
                <w:rFonts w:ascii="Franklin Gothic Book" w:eastAsia="Times New Roman" w:hAnsi="Franklin Gothic Book" w:cstheme="minorHAnsi"/>
                <w:iCs/>
                <w:sz w:val="17"/>
                <w:szCs w:val="17"/>
                <w:lang w:eastAsia="en-US"/>
              </w:rPr>
              <w:t>).</w:t>
            </w:r>
            <w:r w:rsidR="00F135A1">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Transition of HIV services to Government of PNG support is a focus for the program in 2015-16.</w:t>
            </w:r>
          </w:p>
        </w:tc>
      </w:tr>
      <w:tr w:rsidR="003F59DC" w:rsidRPr="004F7D80" w:rsidTr="00A43278">
        <w:tc>
          <w:tcPr>
            <w:tcW w:w="892" w:type="pct"/>
          </w:tcPr>
          <w:p w:rsidR="00F86541" w:rsidRPr="00C4792B" w:rsidRDefault="00F86541" w:rsidP="00F86541">
            <w:pPr>
              <w:pStyle w:val="TableTextEntries"/>
            </w:pPr>
            <w:r w:rsidRPr="00A43278">
              <w:rPr>
                <w:rFonts w:cstheme="minorHAnsi"/>
              </w:rPr>
              <w:t>Strengthen Health Systems (Health Workforce &amp; Infrastructure)</w:t>
            </w:r>
          </w:p>
        </w:tc>
        <w:tc>
          <w:tcPr>
            <w:tcW w:w="1476" w:type="pct"/>
          </w:tcPr>
          <w:p w:rsidR="00F86541" w:rsidRPr="00A43278" w:rsidRDefault="00F86541"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450 health workforce scholarships for nurses, midwives and CHWs, supported by PNG Government increasing funding for health worker training institutions and Christian Health Services.</w:t>
            </w:r>
          </w:p>
        </w:tc>
        <w:tc>
          <w:tcPr>
            <w:tcW w:w="428" w:type="pct"/>
            <w:shd w:val="clear" w:color="auto" w:fill="92D050"/>
          </w:tcPr>
          <w:p w:rsidR="00F86541" w:rsidRPr="00C4792B" w:rsidRDefault="00EA569D" w:rsidP="00F86541">
            <w:pPr>
              <w:pStyle w:val="TableTextEntries"/>
              <w:jc w:val="center"/>
              <w:rPr>
                <w:color w:val="FFFFFF" w:themeColor="background1"/>
              </w:rPr>
            </w:pPr>
            <w:r w:rsidRPr="00C4792B">
              <w:rPr>
                <w:color w:val="FFFFFF" w:themeColor="background1"/>
              </w:rPr>
              <w:t>Achieved</w:t>
            </w:r>
          </w:p>
        </w:tc>
        <w:tc>
          <w:tcPr>
            <w:tcW w:w="2203" w:type="pct"/>
          </w:tcPr>
          <w:p w:rsidR="00C237CA" w:rsidRPr="00A43278" w:rsidRDefault="00C237CA" w:rsidP="00C237CA">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In 2014, 297 midwifery (increased from 211 in 2013), 297 nurses (17 in 2013) and 350 CHW (167 in 2013) scholarships were awarded.  By the end of 2015 the target (450 per cadre) is likely to be surpassed.   </w:t>
            </w:r>
          </w:p>
          <w:p w:rsidR="00F86541" w:rsidRPr="00A43278" w:rsidRDefault="00F86541" w:rsidP="005937D2">
            <w:pPr>
              <w:pStyle w:val="TableTextEntries"/>
              <w:ind w:left="32"/>
              <w:rPr>
                <w:rFonts w:cstheme="minorHAnsi"/>
              </w:rPr>
            </w:pPr>
          </w:p>
        </w:tc>
      </w:tr>
      <w:tr w:rsidR="003F59DC" w:rsidRPr="004F7D80" w:rsidTr="00A43278">
        <w:trPr>
          <w:trHeight w:val="228"/>
        </w:trPr>
        <w:tc>
          <w:tcPr>
            <w:tcW w:w="892" w:type="pct"/>
          </w:tcPr>
          <w:p w:rsidR="00F86541" w:rsidRPr="00C4792B" w:rsidRDefault="00F86541" w:rsidP="00F86541">
            <w:pPr>
              <w:pStyle w:val="TableTextEntries"/>
            </w:pPr>
          </w:p>
        </w:tc>
        <w:tc>
          <w:tcPr>
            <w:tcW w:w="1476" w:type="pct"/>
          </w:tcPr>
          <w:p w:rsidR="00F86541" w:rsidRPr="00A43278" w:rsidRDefault="00F86541"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Increased number of health facilities in priority provinces and disadvantaged districts, and health worker training institutions, refurbished on a kina-for-kina basis.</w:t>
            </w:r>
          </w:p>
          <w:p w:rsidR="00F86541" w:rsidRPr="00A43278" w:rsidRDefault="00F86541" w:rsidP="005937D2">
            <w:pPr>
              <w:spacing w:after="200"/>
              <w:ind w:left="-20"/>
              <w:contextualSpacing/>
              <w:rPr>
                <w:rFonts w:ascii="Franklin Gothic Book" w:eastAsia="Times New Roman" w:hAnsi="Franklin Gothic Book" w:cstheme="minorHAnsi"/>
                <w:iCs/>
                <w:sz w:val="17"/>
                <w:szCs w:val="17"/>
                <w:lang w:eastAsia="en-US"/>
              </w:rPr>
            </w:pPr>
          </w:p>
        </w:tc>
        <w:tc>
          <w:tcPr>
            <w:tcW w:w="428" w:type="pct"/>
            <w:shd w:val="clear" w:color="auto" w:fill="E36C0A" w:themeFill="accent6" w:themeFillShade="BF"/>
          </w:tcPr>
          <w:p w:rsidR="00F86541" w:rsidRPr="00C4792B" w:rsidRDefault="00EA569D" w:rsidP="00F86541">
            <w:pPr>
              <w:pStyle w:val="TableTextEntries"/>
              <w:jc w:val="center"/>
              <w:rPr>
                <w:color w:val="FFFFFF" w:themeColor="background1"/>
              </w:rPr>
            </w:pPr>
            <w:r w:rsidRPr="00C4792B">
              <w:rPr>
                <w:color w:val="FFFFFF" w:themeColor="background1"/>
              </w:rPr>
              <w:t>Partly achieved</w:t>
            </w:r>
          </w:p>
        </w:tc>
        <w:tc>
          <w:tcPr>
            <w:tcW w:w="2203" w:type="pct"/>
          </w:tcPr>
          <w:p w:rsidR="00EA569D" w:rsidRPr="00A43278" w:rsidRDefault="00EA569D" w:rsidP="005937D2">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A shortfall in the Rural Primary Health Care Service Delivery Project (RPHSDP) has resulted in the Project’s focusing on construction of new Community Health Posts (CHP), putting refurbishment of existing facilities on hold until further confirmation of Government of PNG funds. </w:t>
            </w:r>
            <w:r w:rsidR="00F135A1">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 xml:space="preserve">In 2014, </w:t>
            </w:r>
            <w:r w:rsidR="00F135A1">
              <w:rPr>
                <w:rFonts w:ascii="Franklin Gothic Book" w:eastAsia="Times New Roman" w:hAnsi="Franklin Gothic Book" w:cstheme="minorHAnsi"/>
                <w:iCs/>
                <w:sz w:val="17"/>
                <w:szCs w:val="17"/>
                <w:lang w:eastAsia="en-US"/>
              </w:rPr>
              <w:t>four</w:t>
            </w:r>
            <w:r w:rsidR="00F135A1" w:rsidRPr="00A43278">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 xml:space="preserve">training institutions completed additional buildings which will enhance their capacity to increase new intakes.  Health facilities refurbishments are still progressing and most are due to be completed by 2016. </w:t>
            </w:r>
          </w:p>
          <w:p w:rsidR="00F86541" w:rsidRPr="00A43278" w:rsidRDefault="00F86541" w:rsidP="005937D2">
            <w:pPr>
              <w:pStyle w:val="TableTextEntries"/>
              <w:ind w:left="32"/>
              <w:rPr>
                <w:rFonts w:cstheme="minorHAnsi"/>
              </w:rPr>
            </w:pPr>
          </w:p>
        </w:tc>
      </w:tr>
      <w:tr w:rsidR="003F59DC" w:rsidRPr="004F7D80" w:rsidTr="00A43278">
        <w:trPr>
          <w:trHeight w:val="228"/>
        </w:trPr>
        <w:tc>
          <w:tcPr>
            <w:tcW w:w="892" w:type="pct"/>
          </w:tcPr>
          <w:p w:rsidR="00F86541" w:rsidRPr="00C4792B" w:rsidRDefault="00F86541" w:rsidP="00F86541">
            <w:pPr>
              <w:pStyle w:val="TableTextEntries"/>
            </w:pPr>
          </w:p>
        </w:tc>
        <w:tc>
          <w:tcPr>
            <w:tcW w:w="1476" w:type="pct"/>
          </w:tcPr>
          <w:p w:rsidR="00F86541" w:rsidRPr="00A43278" w:rsidRDefault="00EA569D"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Master planning phase of ANGAU Hospital completed and approved by DFAT and PNG Government stakeholders by mid-2015.</w:t>
            </w:r>
          </w:p>
        </w:tc>
        <w:tc>
          <w:tcPr>
            <w:tcW w:w="428" w:type="pct"/>
            <w:shd w:val="clear" w:color="auto" w:fill="92D050"/>
          </w:tcPr>
          <w:p w:rsidR="00F86541" w:rsidRPr="00C4792B" w:rsidRDefault="00EA569D" w:rsidP="00F86541">
            <w:pPr>
              <w:pStyle w:val="TableTextEntries"/>
              <w:jc w:val="center"/>
              <w:rPr>
                <w:color w:val="FFFFFF" w:themeColor="background1"/>
              </w:rPr>
            </w:pPr>
            <w:r w:rsidRPr="00C4792B">
              <w:rPr>
                <w:color w:val="FFFFFF" w:themeColor="background1"/>
              </w:rPr>
              <w:t>Achieved</w:t>
            </w:r>
          </w:p>
        </w:tc>
        <w:tc>
          <w:tcPr>
            <w:tcW w:w="2203" w:type="pct"/>
          </w:tcPr>
          <w:p w:rsidR="00F86541" w:rsidRPr="00A43278" w:rsidRDefault="00EA569D" w:rsidP="006D46B9">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The Master Plan </w:t>
            </w:r>
            <w:r w:rsidR="00D60556" w:rsidRPr="00A43278">
              <w:rPr>
                <w:rFonts w:ascii="Franklin Gothic Book" w:eastAsia="Times New Roman" w:hAnsi="Franklin Gothic Book" w:cstheme="minorHAnsi"/>
                <w:iCs/>
                <w:sz w:val="17"/>
                <w:szCs w:val="17"/>
                <w:lang w:eastAsia="en-US"/>
              </w:rPr>
              <w:t>has been completed</w:t>
            </w:r>
            <w:r w:rsidR="006D46B9" w:rsidRPr="00A43278">
              <w:rPr>
                <w:rFonts w:ascii="Franklin Gothic Book" w:eastAsia="Times New Roman" w:hAnsi="Franklin Gothic Book" w:cstheme="minorHAnsi"/>
                <w:iCs/>
                <w:sz w:val="17"/>
                <w:szCs w:val="17"/>
                <w:lang w:eastAsia="en-US"/>
              </w:rPr>
              <w:t>.</w:t>
            </w:r>
          </w:p>
        </w:tc>
      </w:tr>
      <w:tr w:rsidR="003F59DC" w:rsidRPr="004F7D80" w:rsidTr="00A43278">
        <w:trPr>
          <w:trHeight w:val="228"/>
        </w:trPr>
        <w:tc>
          <w:tcPr>
            <w:tcW w:w="892" w:type="pct"/>
          </w:tcPr>
          <w:p w:rsidR="00F86541" w:rsidRPr="00C4792B" w:rsidRDefault="00EA569D" w:rsidP="00F86541">
            <w:pPr>
              <w:pStyle w:val="TableTextEntries"/>
            </w:pPr>
            <w:r w:rsidRPr="00A43278">
              <w:rPr>
                <w:rFonts w:cstheme="minorHAnsi"/>
              </w:rPr>
              <w:t>Strengthen Partnerships and Coordination with Partners</w:t>
            </w:r>
          </w:p>
        </w:tc>
        <w:tc>
          <w:tcPr>
            <w:tcW w:w="1476" w:type="pct"/>
          </w:tcPr>
          <w:p w:rsidR="00F86541" w:rsidRPr="00A43278" w:rsidRDefault="00EA569D"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Effective governance in three </w:t>
            </w:r>
            <w:r w:rsidR="00963AD0">
              <w:rPr>
                <w:rFonts w:ascii="Franklin Gothic Book" w:eastAsia="Times New Roman" w:hAnsi="Franklin Gothic Book" w:cstheme="minorHAnsi"/>
                <w:iCs/>
                <w:sz w:val="17"/>
                <w:szCs w:val="17"/>
                <w:lang w:eastAsia="en-US"/>
              </w:rPr>
              <w:t>Provincial Health Authorities (</w:t>
            </w:r>
            <w:r w:rsidRPr="00A43278">
              <w:rPr>
                <w:rFonts w:ascii="Franklin Gothic Book" w:eastAsia="Times New Roman" w:hAnsi="Franklin Gothic Book" w:cstheme="minorHAnsi"/>
                <w:iCs/>
                <w:sz w:val="17"/>
                <w:szCs w:val="17"/>
                <w:lang w:eastAsia="en-US"/>
              </w:rPr>
              <w:t>PHAs</w:t>
            </w:r>
            <w:r w:rsidR="00963AD0">
              <w:rPr>
                <w:rFonts w:ascii="Franklin Gothic Book" w:eastAsia="Times New Roman" w:hAnsi="Franklin Gothic Book" w:cstheme="minorHAnsi"/>
                <w:iCs/>
                <w:sz w:val="17"/>
                <w:szCs w:val="17"/>
                <w:lang w:eastAsia="en-US"/>
              </w:rPr>
              <w:t>)</w:t>
            </w:r>
            <w:r w:rsidRPr="00A43278">
              <w:rPr>
                <w:rFonts w:ascii="Franklin Gothic Book" w:eastAsia="Times New Roman" w:hAnsi="Franklin Gothic Book" w:cstheme="minorHAnsi"/>
                <w:iCs/>
                <w:sz w:val="17"/>
                <w:szCs w:val="17"/>
                <w:lang w:eastAsia="en-US"/>
              </w:rPr>
              <w:t>, with PNG Government resolving central agency bottlenecks in the areas of legal, human resources and financial management.</w:t>
            </w:r>
          </w:p>
        </w:tc>
        <w:tc>
          <w:tcPr>
            <w:tcW w:w="428" w:type="pct"/>
            <w:shd w:val="clear" w:color="auto" w:fill="E36C0A" w:themeFill="accent6" w:themeFillShade="BF"/>
          </w:tcPr>
          <w:p w:rsidR="00F86541" w:rsidRPr="00C4792B" w:rsidRDefault="00EA569D" w:rsidP="00F86541">
            <w:pPr>
              <w:pStyle w:val="TableTextEntries"/>
              <w:jc w:val="center"/>
              <w:rPr>
                <w:color w:val="FFFFFF" w:themeColor="background1"/>
              </w:rPr>
            </w:pPr>
            <w:r w:rsidRPr="00C4792B">
              <w:rPr>
                <w:color w:val="FFFFFF" w:themeColor="background1"/>
              </w:rPr>
              <w:t>Partly achieved</w:t>
            </w:r>
          </w:p>
        </w:tc>
        <w:tc>
          <w:tcPr>
            <w:tcW w:w="2203" w:type="pct"/>
          </w:tcPr>
          <w:p w:rsidR="00EA569D" w:rsidRPr="00A43278" w:rsidRDefault="00EA569D" w:rsidP="005937D2">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A second Australian-funded independent review of PHAs in 2015 found the PHA reforms could work if adequately supported, but underlying constraints include weak leadership, inadequate resourcing, and low human resource capacity.</w:t>
            </w:r>
            <w:r w:rsidR="00F135A1">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 xml:space="preserve"> It is still unclear if the PHA Act will be repealed and health responsibilities transferred to the District Development Authorities (DDAs).</w:t>
            </w:r>
          </w:p>
          <w:p w:rsidR="00F86541" w:rsidRPr="00A43278" w:rsidRDefault="00F86541" w:rsidP="005937D2">
            <w:pPr>
              <w:pStyle w:val="TableTextEntries"/>
              <w:ind w:left="32"/>
              <w:rPr>
                <w:rFonts w:cstheme="minorHAnsi"/>
              </w:rPr>
            </w:pPr>
          </w:p>
        </w:tc>
      </w:tr>
      <w:tr w:rsidR="003F59DC" w:rsidRPr="004F7D80" w:rsidTr="00A43278">
        <w:trPr>
          <w:trHeight w:val="228"/>
        </w:trPr>
        <w:tc>
          <w:tcPr>
            <w:tcW w:w="892" w:type="pct"/>
          </w:tcPr>
          <w:p w:rsidR="000F7E5E" w:rsidRPr="00C4792B" w:rsidRDefault="000F7E5E" w:rsidP="00F86541">
            <w:pPr>
              <w:pStyle w:val="TableTextEntries"/>
              <w:rPr>
                <w:b/>
              </w:rPr>
            </w:pPr>
          </w:p>
          <w:p w:rsidR="000F7E5E" w:rsidRPr="00C4792B" w:rsidRDefault="000F7E5E" w:rsidP="00F86541">
            <w:pPr>
              <w:pStyle w:val="TableTextEntries"/>
              <w:rPr>
                <w:b/>
              </w:rPr>
            </w:pPr>
          </w:p>
          <w:p w:rsidR="000F7E5E" w:rsidRPr="00C4792B" w:rsidRDefault="000F7E5E" w:rsidP="00F86541">
            <w:pPr>
              <w:pStyle w:val="TableTextEntries"/>
              <w:rPr>
                <w:b/>
              </w:rPr>
            </w:pPr>
          </w:p>
          <w:p w:rsidR="00F86541" w:rsidRPr="00C4792B" w:rsidRDefault="00EA569D" w:rsidP="00F86541">
            <w:pPr>
              <w:pStyle w:val="TableTextEntries"/>
            </w:pPr>
            <w:r w:rsidRPr="00C4792B">
              <w:rPr>
                <w:b/>
              </w:rPr>
              <w:lastRenderedPageBreak/>
              <w:t>Objective 2 – Improved access to quality education at all levels – by 2015</w:t>
            </w:r>
          </w:p>
        </w:tc>
        <w:tc>
          <w:tcPr>
            <w:tcW w:w="1476" w:type="pct"/>
            <w:shd w:val="clear" w:color="auto" w:fill="FFFFFF" w:themeFill="background1"/>
          </w:tcPr>
          <w:p w:rsidR="00F86541" w:rsidRPr="00A43278" w:rsidRDefault="00F86541" w:rsidP="005937D2">
            <w:pPr>
              <w:spacing w:after="200"/>
              <w:ind w:left="-20"/>
              <w:contextualSpacing/>
              <w:rPr>
                <w:rFonts w:ascii="Franklin Gothic Book" w:eastAsia="Times New Roman" w:hAnsi="Franklin Gothic Book" w:cstheme="minorHAnsi"/>
                <w:iCs/>
                <w:sz w:val="17"/>
                <w:szCs w:val="17"/>
                <w:lang w:eastAsia="en-US"/>
              </w:rPr>
            </w:pPr>
          </w:p>
        </w:tc>
        <w:tc>
          <w:tcPr>
            <w:tcW w:w="428" w:type="pct"/>
            <w:shd w:val="clear" w:color="auto" w:fill="FFFFFF" w:themeFill="background1"/>
          </w:tcPr>
          <w:p w:rsidR="00F86541" w:rsidRPr="00C4792B" w:rsidRDefault="00F86541" w:rsidP="00F86541">
            <w:pPr>
              <w:pStyle w:val="TableTextEntries"/>
              <w:jc w:val="center"/>
              <w:rPr>
                <w:color w:val="FFFFFF" w:themeColor="background1"/>
              </w:rPr>
            </w:pPr>
          </w:p>
        </w:tc>
        <w:tc>
          <w:tcPr>
            <w:tcW w:w="2203" w:type="pct"/>
            <w:shd w:val="clear" w:color="auto" w:fill="FFFFFF" w:themeFill="background1"/>
          </w:tcPr>
          <w:p w:rsidR="00F86541" w:rsidRPr="00A43278" w:rsidRDefault="00F86541" w:rsidP="005937D2">
            <w:pPr>
              <w:spacing w:after="200"/>
              <w:ind w:left="32"/>
              <w:rPr>
                <w:rFonts w:ascii="Franklin Gothic Book" w:eastAsia="Times New Roman" w:hAnsi="Franklin Gothic Book" w:cstheme="minorHAnsi"/>
                <w:iCs/>
                <w:sz w:val="17"/>
                <w:szCs w:val="17"/>
                <w:lang w:eastAsia="en-US"/>
              </w:rPr>
            </w:pPr>
          </w:p>
        </w:tc>
      </w:tr>
      <w:tr w:rsidR="003F59DC" w:rsidRPr="004F7D80" w:rsidTr="00A43278">
        <w:trPr>
          <w:trHeight w:val="228"/>
        </w:trPr>
        <w:tc>
          <w:tcPr>
            <w:tcW w:w="892" w:type="pct"/>
          </w:tcPr>
          <w:p w:rsidR="00EA569D" w:rsidRPr="00A43278" w:rsidRDefault="00EA569D" w:rsidP="005937D2">
            <w:pPr>
              <w:pStyle w:val="TableTextEntries"/>
              <w:rPr>
                <w:rFonts w:cstheme="minorHAnsi"/>
              </w:rPr>
            </w:pPr>
            <w:r w:rsidRPr="00A43278">
              <w:rPr>
                <w:rFonts w:cstheme="minorHAnsi"/>
              </w:rPr>
              <w:lastRenderedPageBreak/>
              <w:t>Improved Access and Quality - Basic and Secondary Education</w:t>
            </w:r>
          </w:p>
          <w:p w:rsidR="00F86541" w:rsidRPr="00C4792B" w:rsidRDefault="00F86541" w:rsidP="00F86541">
            <w:pPr>
              <w:pStyle w:val="TableTextEntries"/>
            </w:pPr>
          </w:p>
        </w:tc>
        <w:tc>
          <w:tcPr>
            <w:tcW w:w="1476" w:type="pct"/>
          </w:tcPr>
          <w:p w:rsidR="00EA569D" w:rsidRPr="00A43278" w:rsidRDefault="00EA569D"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Increased access: 80 per cent net enrolment rate in basic education by 2015.</w:t>
            </w:r>
          </w:p>
          <w:p w:rsidR="00F86541" w:rsidRPr="00A43278" w:rsidRDefault="00F86541" w:rsidP="005937D2">
            <w:pPr>
              <w:spacing w:after="200"/>
              <w:ind w:left="-20" w:hanging="68"/>
              <w:contextualSpacing/>
              <w:rPr>
                <w:rFonts w:ascii="Franklin Gothic Book" w:eastAsia="Times New Roman" w:hAnsi="Franklin Gothic Book" w:cstheme="minorHAnsi"/>
                <w:iCs/>
                <w:sz w:val="17"/>
                <w:szCs w:val="17"/>
                <w:lang w:eastAsia="en-US"/>
              </w:rPr>
            </w:pPr>
          </w:p>
        </w:tc>
        <w:tc>
          <w:tcPr>
            <w:tcW w:w="428" w:type="pct"/>
            <w:shd w:val="clear" w:color="auto" w:fill="92D050"/>
          </w:tcPr>
          <w:p w:rsidR="007F3067" w:rsidRPr="00C4792B" w:rsidRDefault="007F3067" w:rsidP="00F86541">
            <w:pPr>
              <w:pStyle w:val="TableTextEntries"/>
              <w:jc w:val="center"/>
              <w:rPr>
                <w:color w:val="FFFFFF" w:themeColor="background1"/>
              </w:rPr>
            </w:pPr>
          </w:p>
          <w:p w:rsidR="00F86541" w:rsidRPr="00C4792B" w:rsidRDefault="007054B6" w:rsidP="00F86541">
            <w:pPr>
              <w:pStyle w:val="TableTextEntries"/>
              <w:jc w:val="center"/>
              <w:rPr>
                <w:color w:val="FFFFFF" w:themeColor="background1"/>
              </w:rPr>
            </w:pPr>
            <w:r w:rsidRPr="00C4792B">
              <w:rPr>
                <w:color w:val="FFFFFF" w:themeColor="background1"/>
              </w:rPr>
              <w:t>Achieved</w:t>
            </w:r>
          </w:p>
        </w:tc>
        <w:tc>
          <w:tcPr>
            <w:tcW w:w="2203" w:type="pct"/>
          </w:tcPr>
          <w:p w:rsidR="00EA569D" w:rsidRPr="00A43278" w:rsidRDefault="00EA569D" w:rsidP="00A12B20">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The </w:t>
            </w:r>
            <w:r w:rsidR="000232B2" w:rsidRPr="00A43278">
              <w:rPr>
                <w:rFonts w:ascii="Franklin Gothic Book" w:eastAsia="Times New Roman" w:hAnsi="Franklin Gothic Book" w:cstheme="minorHAnsi"/>
                <w:iCs/>
                <w:sz w:val="17"/>
                <w:szCs w:val="17"/>
                <w:lang w:eastAsia="en-US"/>
              </w:rPr>
              <w:t xml:space="preserve">Government of PNG’s </w:t>
            </w:r>
            <w:r w:rsidRPr="00A43278">
              <w:rPr>
                <w:rFonts w:ascii="Franklin Gothic Book" w:eastAsia="Times New Roman" w:hAnsi="Franklin Gothic Book" w:cstheme="minorHAnsi"/>
                <w:iCs/>
                <w:sz w:val="17"/>
                <w:szCs w:val="17"/>
                <w:lang w:eastAsia="en-US"/>
              </w:rPr>
              <w:t xml:space="preserve">Tuition Fee Free program has reduced financial barriers to access, </w:t>
            </w:r>
            <w:r w:rsidR="007F3067" w:rsidRPr="00A43278">
              <w:rPr>
                <w:rFonts w:ascii="Franklin Gothic Book" w:eastAsia="Times New Roman" w:hAnsi="Franklin Gothic Book" w:cstheme="minorHAnsi"/>
                <w:iCs/>
                <w:sz w:val="17"/>
                <w:szCs w:val="17"/>
                <w:lang w:eastAsia="en-US"/>
              </w:rPr>
              <w:t>and net enrolment rates increased from 78.5</w:t>
            </w:r>
            <w:r w:rsidR="00682DF0" w:rsidRPr="00A43278">
              <w:rPr>
                <w:rFonts w:ascii="Franklin Gothic Book" w:eastAsia="Times New Roman" w:hAnsi="Franklin Gothic Book" w:cstheme="minorHAnsi"/>
                <w:iCs/>
                <w:sz w:val="17"/>
                <w:szCs w:val="17"/>
                <w:lang w:eastAsia="en-US"/>
              </w:rPr>
              <w:t xml:space="preserve"> per cent</w:t>
            </w:r>
            <w:r w:rsidR="007F3067" w:rsidRPr="00A43278">
              <w:rPr>
                <w:rFonts w:ascii="Franklin Gothic Book" w:eastAsia="Times New Roman" w:hAnsi="Franklin Gothic Book" w:cstheme="minorHAnsi"/>
                <w:iCs/>
                <w:sz w:val="17"/>
                <w:szCs w:val="17"/>
                <w:lang w:eastAsia="en-US"/>
              </w:rPr>
              <w:t xml:space="preserve"> in 2012 to 84.2</w:t>
            </w:r>
            <w:r w:rsidR="00682DF0" w:rsidRPr="00A43278">
              <w:rPr>
                <w:rFonts w:ascii="Franklin Gothic Book" w:eastAsia="Times New Roman" w:hAnsi="Franklin Gothic Book" w:cstheme="minorHAnsi"/>
                <w:iCs/>
                <w:sz w:val="17"/>
                <w:szCs w:val="17"/>
                <w:lang w:eastAsia="en-US"/>
              </w:rPr>
              <w:t xml:space="preserve"> per cent</w:t>
            </w:r>
            <w:r w:rsidR="007F3067" w:rsidRPr="00A43278">
              <w:rPr>
                <w:rFonts w:ascii="Franklin Gothic Book" w:eastAsia="Times New Roman" w:hAnsi="Franklin Gothic Book" w:cstheme="minorHAnsi"/>
                <w:iCs/>
                <w:sz w:val="17"/>
                <w:szCs w:val="17"/>
                <w:lang w:eastAsia="en-US"/>
              </w:rPr>
              <w:t xml:space="preserve"> in 2014.</w:t>
            </w:r>
          </w:p>
          <w:p w:rsidR="00F86541" w:rsidRPr="00A43278" w:rsidRDefault="00F86541" w:rsidP="005937D2">
            <w:pPr>
              <w:pStyle w:val="TableTextEntries"/>
              <w:spacing w:line="240" w:lineRule="auto"/>
              <w:ind w:left="32"/>
              <w:rPr>
                <w:rFonts w:cstheme="minorHAnsi"/>
              </w:rPr>
            </w:pPr>
          </w:p>
        </w:tc>
      </w:tr>
      <w:tr w:rsidR="003F59DC" w:rsidRPr="004F7D80" w:rsidTr="00A43278">
        <w:trPr>
          <w:trHeight w:val="228"/>
        </w:trPr>
        <w:tc>
          <w:tcPr>
            <w:tcW w:w="892" w:type="pct"/>
          </w:tcPr>
          <w:p w:rsidR="00EA569D" w:rsidRPr="00A43278" w:rsidRDefault="00EA569D" w:rsidP="00EA569D">
            <w:pPr>
              <w:spacing w:after="200" w:line="276" w:lineRule="auto"/>
              <w:contextualSpacing/>
              <w:rPr>
                <w:rFonts w:ascii="Franklin Gothic Book" w:hAnsi="Franklin Gothic Book" w:cs="Calibri"/>
                <w:i/>
                <w:iCs/>
                <w:sz w:val="17"/>
                <w:szCs w:val="17"/>
              </w:rPr>
            </w:pPr>
          </w:p>
        </w:tc>
        <w:tc>
          <w:tcPr>
            <w:tcW w:w="1476" w:type="pct"/>
          </w:tcPr>
          <w:p w:rsidR="00EA569D" w:rsidRPr="00A43278" w:rsidRDefault="00EA569D"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Improved quality: Participation in an internationally recognised quality assessment process by 2016 and the development of a joint action plan, with all development partners invited to participate in the implementation of its recommendations to improve literacy, numeracy, and management in education, and the development of a standardised examinations program for assessing learning in PNG.</w:t>
            </w:r>
          </w:p>
        </w:tc>
        <w:tc>
          <w:tcPr>
            <w:tcW w:w="428" w:type="pct"/>
            <w:shd w:val="clear" w:color="auto" w:fill="E36C0A" w:themeFill="accent6" w:themeFillShade="BF"/>
          </w:tcPr>
          <w:p w:rsidR="00EA569D" w:rsidRPr="00C4792B" w:rsidRDefault="004D057E" w:rsidP="00F86541">
            <w:pPr>
              <w:pStyle w:val="TableTextEntries"/>
              <w:jc w:val="center"/>
              <w:rPr>
                <w:color w:val="FFFFFF" w:themeColor="background1"/>
              </w:rPr>
            </w:pPr>
            <w:r w:rsidRPr="00C4792B">
              <w:rPr>
                <w:color w:val="FFFFFF" w:themeColor="background1"/>
              </w:rPr>
              <w:t>Partly achieved</w:t>
            </w:r>
          </w:p>
        </w:tc>
        <w:tc>
          <w:tcPr>
            <w:tcW w:w="2203" w:type="pct"/>
          </w:tcPr>
          <w:p w:rsidR="00EA569D" w:rsidRPr="00A43278" w:rsidRDefault="00EA569D">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PNG is participating in an internationally comparable education policy mapping process, and has published findings online as they become available. </w:t>
            </w:r>
            <w:r w:rsidR="00F135A1">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 xml:space="preserve">PNG has also participated in the internationally recognised Early Grade Reading </w:t>
            </w:r>
            <w:r w:rsidR="004438B9" w:rsidRPr="00A43278">
              <w:rPr>
                <w:rFonts w:ascii="Franklin Gothic Book" w:eastAsia="Times New Roman" w:hAnsi="Franklin Gothic Book" w:cstheme="minorHAnsi"/>
                <w:iCs/>
                <w:sz w:val="17"/>
                <w:szCs w:val="17"/>
                <w:lang w:eastAsia="en-US"/>
              </w:rPr>
              <w:t>Assessment</w:t>
            </w:r>
            <w:r w:rsidRPr="00A43278">
              <w:rPr>
                <w:rFonts w:ascii="Franklin Gothic Book" w:eastAsia="Times New Roman" w:hAnsi="Franklin Gothic Book" w:cstheme="minorHAnsi"/>
                <w:iCs/>
                <w:sz w:val="17"/>
                <w:szCs w:val="17"/>
                <w:lang w:eastAsia="en-US"/>
              </w:rPr>
              <w:t xml:space="preserve"> and a Pacific-wide approach</w:t>
            </w:r>
            <w:r w:rsidR="007F3067" w:rsidRPr="00A43278">
              <w:rPr>
                <w:rFonts w:ascii="Franklin Gothic Book" w:eastAsia="Times New Roman" w:hAnsi="Franklin Gothic Book" w:cstheme="minorHAnsi"/>
                <w:iCs/>
                <w:sz w:val="17"/>
                <w:szCs w:val="17"/>
                <w:lang w:eastAsia="en-US"/>
              </w:rPr>
              <w:t>,</w:t>
            </w:r>
            <w:r w:rsidRPr="00A43278">
              <w:rPr>
                <w:rFonts w:ascii="Franklin Gothic Book" w:eastAsia="Times New Roman" w:hAnsi="Franklin Gothic Book" w:cstheme="minorHAnsi"/>
                <w:iCs/>
                <w:sz w:val="17"/>
                <w:szCs w:val="17"/>
                <w:lang w:eastAsia="en-US"/>
              </w:rPr>
              <w:t xml:space="preserve"> the Pacific Islands Literacy and Numeracy Assessment. Conversations with the DoE, and an initial scoping study has taken place to progress </w:t>
            </w:r>
            <w:r w:rsidR="004438B9" w:rsidRPr="00A43278">
              <w:rPr>
                <w:rFonts w:ascii="Franklin Gothic Book" w:eastAsia="Times New Roman" w:hAnsi="Franklin Gothic Book" w:cstheme="minorHAnsi"/>
                <w:iCs/>
                <w:sz w:val="17"/>
                <w:szCs w:val="17"/>
                <w:lang w:eastAsia="en-US"/>
              </w:rPr>
              <w:t>a standardised</w:t>
            </w:r>
            <w:r w:rsidRPr="00A43278">
              <w:rPr>
                <w:rFonts w:ascii="Franklin Gothic Book" w:eastAsia="Times New Roman" w:hAnsi="Franklin Gothic Book" w:cstheme="minorHAnsi"/>
                <w:iCs/>
                <w:sz w:val="17"/>
                <w:szCs w:val="17"/>
                <w:lang w:eastAsia="en-US"/>
              </w:rPr>
              <w:t xml:space="preserve"> examination in PNG consistent with the National Education Plan 2015-2019.  Conversations with donors about joint action towards literacy and numeracy have started.</w:t>
            </w:r>
          </w:p>
        </w:tc>
      </w:tr>
      <w:tr w:rsidR="003F59DC" w:rsidRPr="004F7D80" w:rsidTr="00A43278">
        <w:trPr>
          <w:trHeight w:val="228"/>
        </w:trPr>
        <w:tc>
          <w:tcPr>
            <w:tcW w:w="892" w:type="pct"/>
          </w:tcPr>
          <w:p w:rsidR="00EA569D" w:rsidRPr="00A43278" w:rsidRDefault="00EA569D" w:rsidP="00EA569D">
            <w:pPr>
              <w:spacing w:after="200" w:line="276" w:lineRule="auto"/>
              <w:contextualSpacing/>
              <w:rPr>
                <w:rFonts w:ascii="Franklin Gothic Book" w:hAnsi="Franklin Gothic Book" w:cs="Calibri"/>
                <w:i/>
                <w:iCs/>
                <w:sz w:val="17"/>
                <w:szCs w:val="17"/>
              </w:rPr>
            </w:pPr>
          </w:p>
        </w:tc>
        <w:tc>
          <w:tcPr>
            <w:tcW w:w="1476" w:type="pct"/>
          </w:tcPr>
          <w:p w:rsidR="00EA569D" w:rsidRPr="00A43278" w:rsidRDefault="00EA569D"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Increased access for girls: Five percentage points improvement in basic education gender parity index (from 0.92 in 2010 to 0.97 in 2015).</w:t>
            </w:r>
            <w:r w:rsidRPr="00A43278">
              <w:rPr>
                <w:rFonts w:ascii="Franklin Gothic Book" w:eastAsia="Times New Roman" w:hAnsi="Franklin Gothic Book" w:cstheme="minorHAnsi"/>
                <w:iCs/>
                <w:sz w:val="17"/>
                <w:szCs w:val="17"/>
                <w:vertAlign w:val="superscript"/>
                <w:lang w:eastAsia="en-US"/>
              </w:rPr>
              <w:footnoteReference w:id="4"/>
            </w:r>
          </w:p>
          <w:p w:rsidR="00EA569D" w:rsidRPr="00A43278" w:rsidRDefault="00EA569D" w:rsidP="005937D2">
            <w:pPr>
              <w:spacing w:after="200"/>
              <w:ind w:left="-20"/>
              <w:contextualSpacing/>
              <w:rPr>
                <w:rFonts w:ascii="Franklin Gothic Book" w:eastAsia="Times New Roman" w:hAnsi="Franklin Gothic Book" w:cstheme="minorHAnsi"/>
                <w:iCs/>
                <w:sz w:val="17"/>
                <w:szCs w:val="17"/>
                <w:lang w:eastAsia="en-US"/>
              </w:rPr>
            </w:pPr>
          </w:p>
        </w:tc>
        <w:tc>
          <w:tcPr>
            <w:tcW w:w="428" w:type="pct"/>
            <w:shd w:val="clear" w:color="auto" w:fill="E36C0A" w:themeFill="accent6" w:themeFillShade="BF"/>
          </w:tcPr>
          <w:p w:rsidR="00EA569D" w:rsidRPr="00C4792B" w:rsidRDefault="004D057E" w:rsidP="00C415D2">
            <w:pPr>
              <w:pStyle w:val="TableTextEntries"/>
              <w:jc w:val="center"/>
              <w:rPr>
                <w:color w:val="FFFFFF" w:themeColor="background1"/>
              </w:rPr>
            </w:pPr>
            <w:r w:rsidRPr="00C4792B">
              <w:rPr>
                <w:color w:val="FFFFFF" w:themeColor="background1"/>
              </w:rPr>
              <w:t>Partly achieved</w:t>
            </w:r>
          </w:p>
        </w:tc>
        <w:tc>
          <w:tcPr>
            <w:tcW w:w="2203" w:type="pct"/>
          </w:tcPr>
          <w:p w:rsidR="007F3067" w:rsidRPr="00994EC7" w:rsidRDefault="007F3067" w:rsidP="00994EC7">
            <w:pPr>
              <w:spacing w:after="200"/>
              <w:ind w:left="-6" w:firstLine="6"/>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Access to education is improving and the gap in access between boys and girls is</w:t>
            </w:r>
            <w:r w:rsidR="000160ED">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 xml:space="preserve">slowly decreasing. </w:t>
            </w:r>
            <w:r w:rsidR="00F135A1">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In 2014, the gender parity index for basic education improved from</w:t>
            </w:r>
            <w:r w:rsidR="000160ED">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0.85 in 2013, to 0.93 in 2014. This increase is on track to meet the target.</w:t>
            </w:r>
          </w:p>
          <w:p w:rsidR="00EA569D" w:rsidRPr="00A43278" w:rsidRDefault="00EA569D" w:rsidP="005937D2">
            <w:pPr>
              <w:spacing w:after="200"/>
              <w:ind w:left="32"/>
              <w:rPr>
                <w:rFonts w:ascii="Franklin Gothic Book" w:eastAsia="Times New Roman" w:hAnsi="Franklin Gothic Book" w:cstheme="minorHAnsi"/>
                <w:iCs/>
                <w:sz w:val="17"/>
                <w:szCs w:val="17"/>
                <w:lang w:eastAsia="en-US"/>
              </w:rPr>
            </w:pPr>
          </w:p>
        </w:tc>
      </w:tr>
      <w:tr w:rsidR="003F59DC" w:rsidRPr="004F7D80" w:rsidTr="00A43278">
        <w:trPr>
          <w:trHeight w:val="228"/>
        </w:trPr>
        <w:tc>
          <w:tcPr>
            <w:tcW w:w="892" w:type="pct"/>
          </w:tcPr>
          <w:p w:rsidR="00EA569D" w:rsidRPr="00A43278" w:rsidRDefault="00EA569D" w:rsidP="00EA569D">
            <w:pPr>
              <w:spacing w:after="200" w:line="276" w:lineRule="auto"/>
              <w:contextualSpacing/>
              <w:rPr>
                <w:rFonts w:ascii="Franklin Gothic Book" w:hAnsi="Franklin Gothic Book" w:cs="Calibri"/>
                <w:i/>
                <w:iCs/>
                <w:sz w:val="17"/>
                <w:szCs w:val="17"/>
              </w:rPr>
            </w:pPr>
          </w:p>
        </w:tc>
        <w:tc>
          <w:tcPr>
            <w:tcW w:w="1476" w:type="pct"/>
          </w:tcPr>
          <w:p w:rsidR="00EA569D" w:rsidRPr="00A43278" w:rsidRDefault="00EA569D"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Five percentage points improvement in secondary education parity index (from 0.73 in 2010, to 0.78 in 2015)</w:t>
            </w:r>
            <w:r w:rsidR="00491749" w:rsidRPr="00593DFF">
              <w:rPr>
                <w:rFonts w:ascii="Franklin Gothic Book" w:eastAsia="Times New Roman" w:hAnsi="Franklin Gothic Book" w:cstheme="minorHAnsi"/>
                <w:iCs/>
                <w:sz w:val="17"/>
                <w:szCs w:val="17"/>
                <w:lang w:eastAsia="en-US"/>
              </w:rPr>
              <w:t>.</w:t>
            </w:r>
            <w:r w:rsidRPr="00A43278">
              <w:rPr>
                <w:rFonts w:ascii="Franklin Gothic Book" w:eastAsia="Times New Roman" w:hAnsi="Franklin Gothic Book" w:cstheme="minorHAnsi"/>
                <w:iCs/>
                <w:sz w:val="17"/>
                <w:szCs w:val="17"/>
                <w:vertAlign w:val="superscript"/>
                <w:lang w:eastAsia="en-US"/>
              </w:rPr>
              <w:footnoteReference w:id="5"/>
            </w:r>
          </w:p>
        </w:tc>
        <w:tc>
          <w:tcPr>
            <w:tcW w:w="428" w:type="pct"/>
            <w:shd w:val="clear" w:color="auto" w:fill="FF0000"/>
          </w:tcPr>
          <w:p w:rsidR="00EA569D" w:rsidRPr="00C4792B" w:rsidRDefault="00EA569D" w:rsidP="00F86541">
            <w:pPr>
              <w:pStyle w:val="TableTextEntries"/>
              <w:jc w:val="center"/>
              <w:rPr>
                <w:color w:val="FFFFFF" w:themeColor="background1"/>
              </w:rPr>
            </w:pPr>
            <w:r w:rsidRPr="00C4792B">
              <w:rPr>
                <w:color w:val="FFFFFF" w:themeColor="background1"/>
              </w:rPr>
              <w:t>Not achieved</w:t>
            </w:r>
          </w:p>
        </w:tc>
        <w:tc>
          <w:tcPr>
            <w:tcW w:w="2203" w:type="pct"/>
          </w:tcPr>
          <w:p w:rsidR="00EA569D" w:rsidRPr="00A43278" w:rsidRDefault="000A5800" w:rsidP="00A12B20">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The gender parity at secondary school dropped from 0.74 in 2012 and 0.75 in 2012 to 0.71 in 2013 and 0.73 in 2014.</w:t>
            </w:r>
          </w:p>
        </w:tc>
      </w:tr>
      <w:tr w:rsidR="003F59DC" w:rsidRPr="004F7D80" w:rsidTr="00A43278">
        <w:trPr>
          <w:trHeight w:val="228"/>
        </w:trPr>
        <w:tc>
          <w:tcPr>
            <w:tcW w:w="892" w:type="pct"/>
          </w:tcPr>
          <w:p w:rsidR="005937D2" w:rsidRPr="00A43278" w:rsidRDefault="005937D2" w:rsidP="005937D2">
            <w:pPr>
              <w:pStyle w:val="TableTextEntries"/>
              <w:rPr>
                <w:rFonts w:cs="Calibri"/>
                <w:i/>
                <w:iCs w:val="0"/>
              </w:rPr>
            </w:pPr>
            <w:r w:rsidRPr="00A43278">
              <w:rPr>
                <w:rFonts w:cstheme="minorHAnsi"/>
              </w:rPr>
              <w:t>Improved Access and Quality - Technical and Higher Education</w:t>
            </w: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Increased access: 52,000 graduates from higher education institutions between 2011 and 2015.</w:t>
            </w:r>
          </w:p>
        </w:tc>
        <w:tc>
          <w:tcPr>
            <w:tcW w:w="428" w:type="pct"/>
            <w:shd w:val="clear" w:color="auto" w:fill="E36C0A" w:themeFill="accent6" w:themeFillShade="BF"/>
          </w:tcPr>
          <w:p w:rsidR="005937D2" w:rsidRPr="00C4792B" w:rsidRDefault="005937D2" w:rsidP="00F86541">
            <w:pPr>
              <w:pStyle w:val="TableTextEntries"/>
              <w:jc w:val="center"/>
              <w:rPr>
                <w:color w:val="FFFFFF" w:themeColor="background1"/>
              </w:rPr>
            </w:pPr>
            <w:r w:rsidRPr="00C4792B">
              <w:rPr>
                <w:color w:val="FFFFFF" w:themeColor="background1"/>
              </w:rPr>
              <w:t>Partly achieved</w:t>
            </w:r>
          </w:p>
        </w:tc>
        <w:tc>
          <w:tcPr>
            <w:tcW w:w="2203" w:type="pct"/>
          </w:tcPr>
          <w:p w:rsidR="000F7E5E" w:rsidRPr="00A43278" w:rsidRDefault="005937D2" w:rsidP="00A12B20">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PNG is making progress towards its commitment of 52,000 graduates from higher and technical institutions between 2010</w:t>
            </w:r>
            <w:r w:rsidR="00F135A1">
              <w:rPr>
                <w:rFonts w:ascii="Franklin Gothic Book" w:eastAsia="Times New Roman" w:hAnsi="Franklin Gothic Book" w:cstheme="minorHAnsi"/>
                <w:iCs/>
                <w:sz w:val="17"/>
                <w:szCs w:val="17"/>
                <w:lang w:eastAsia="en-US"/>
              </w:rPr>
              <w:t xml:space="preserve"> and 20</w:t>
            </w:r>
            <w:r w:rsidRPr="00A43278">
              <w:rPr>
                <w:rFonts w:ascii="Franklin Gothic Book" w:eastAsia="Times New Roman" w:hAnsi="Franklin Gothic Book" w:cstheme="minorHAnsi"/>
                <w:iCs/>
                <w:sz w:val="17"/>
                <w:szCs w:val="17"/>
                <w:lang w:eastAsia="en-US"/>
              </w:rPr>
              <w:t>15. 10</w:t>
            </w:r>
            <w:r w:rsidR="00F135A1">
              <w:rPr>
                <w:rFonts w:ascii="Franklin Gothic Book" w:eastAsia="Times New Roman" w:hAnsi="Franklin Gothic Book" w:cstheme="minorHAnsi"/>
                <w:iCs/>
                <w:sz w:val="17"/>
                <w:szCs w:val="17"/>
                <w:lang w:eastAsia="en-US"/>
              </w:rPr>
              <w:t>,</w:t>
            </w:r>
            <w:r w:rsidRPr="00A43278">
              <w:rPr>
                <w:rFonts w:ascii="Franklin Gothic Book" w:eastAsia="Times New Roman" w:hAnsi="Franklin Gothic Book" w:cstheme="minorHAnsi"/>
                <w:iCs/>
                <w:sz w:val="17"/>
                <w:szCs w:val="17"/>
                <w:lang w:eastAsia="en-US"/>
              </w:rPr>
              <w:t>489 students graduated in 2014, an increase of 1</w:t>
            </w:r>
            <w:r w:rsidR="000F7E5E" w:rsidRPr="00593DFF">
              <w:rPr>
                <w:rFonts w:ascii="Franklin Gothic Book" w:eastAsia="Times New Roman" w:hAnsi="Franklin Gothic Book" w:cstheme="minorHAnsi"/>
                <w:iCs/>
                <w:sz w:val="17"/>
                <w:szCs w:val="17"/>
                <w:lang w:eastAsia="en-US"/>
              </w:rPr>
              <w:t>,</w:t>
            </w:r>
            <w:r w:rsidRPr="00A43278">
              <w:rPr>
                <w:rFonts w:ascii="Franklin Gothic Book" w:eastAsia="Times New Roman" w:hAnsi="Franklin Gothic Book" w:cstheme="minorHAnsi"/>
                <w:iCs/>
                <w:sz w:val="17"/>
                <w:szCs w:val="17"/>
                <w:lang w:eastAsia="en-US"/>
              </w:rPr>
              <w:t>000 from 2013.</w:t>
            </w:r>
            <w:r w:rsidR="000F7E5E" w:rsidRPr="00593DFF">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The number of graduates from 2011-14 is 35,519. This leaves 14,481 graduates to graduate in 2015 – relying on a substantial increase from 2014, but possible.</w:t>
            </w:r>
          </w:p>
          <w:p w:rsidR="000F7E5E" w:rsidRPr="00A43278" w:rsidRDefault="000F7E5E" w:rsidP="00A43278">
            <w:pPr>
              <w:spacing w:after="200"/>
              <w:rPr>
                <w:rFonts w:ascii="Franklin Gothic Book" w:eastAsia="Times New Roman" w:hAnsi="Franklin Gothic Book" w:cstheme="minorHAnsi"/>
                <w:iCs/>
                <w:sz w:val="17"/>
                <w:szCs w:val="17"/>
                <w:lang w:eastAsia="en-US"/>
              </w:rPr>
            </w:pPr>
          </w:p>
        </w:tc>
      </w:tr>
      <w:tr w:rsidR="003F59DC" w:rsidRPr="004F7D80" w:rsidTr="00A43278">
        <w:trPr>
          <w:trHeight w:val="228"/>
        </w:trPr>
        <w:tc>
          <w:tcPr>
            <w:tcW w:w="892" w:type="pct"/>
          </w:tcPr>
          <w:p w:rsidR="005937D2" w:rsidRPr="00A43278" w:rsidRDefault="005937D2" w:rsidP="00EA569D">
            <w:pPr>
              <w:spacing w:after="200" w:line="276" w:lineRule="auto"/>
              <w:contextualSpacing/>
              <w:rPr>
                <w:rFonts w:ascii="Franklin Gothic Book" w:hAnsi="Franklin Gothic Book" w:cs="Calibri"/>
                <w:i/>
                <w:iCs/>
                <w:sz w:val="17"/>
                <w:szCs w:val="17"/>
              </w:rPr>
            </w:pP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Improved quality: a more effective quality assessment framework used for institutional quality assessments of </w:t>
            </w:r>
            <w:r w:rsidRPr="00A43278">
              <w:rPr>
                <w:rFonts w:ascii="Franklin Gothic Book" w:eastAsia="Times New Roman" w:hAnsi="Franklin Gothic Book" w:cstheme="minorHAnsi"/>
                <w:iCs/>
                <w:sz w:val="17"/>
                <w:szCs w:val="17"/>
                <w:lang w:eastAsia="en-US"/>
              </w:rPr>
              <w:lastRenderedPageBreak/>
              <w:t>all tertiary education institutions by 2015 and a commitment to improving quality in universities and technical institutions through PNG Government budget allocations, allowing activation of an adjusted kina-for-kina mechanism.</w:t>
            </w:r>
          </w:p>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p>
        </w:tc>
        <w:tc>
          <w:tcPr>
            <w:tcW w:w="428" w:type="pct"/>
            <w:shd w:val="clear" w:color="auto" w:fill="E36C0A" w:themeFill="accent6" w:themeFillShade="BF"/>
          </w:tcPr>
          <w:p w:rsidR="005937D2" w:rsidRPr="00C4792B" w:rsidRDefault="005937D2" w:rsidP="00F86541">
            <w:pPr>
              <w:pStyle w:val="TableTextEntries"/>
              <w:jc w:val="center"/>
              <w:rPr>
                <w:color w:val="FFFFFF" w:themeColor="background1"/>
              </w:rPr>
            </w:pPr>
            <w:r w:rsidRPr="00C4792B">
              <w:rPr>
                <w:color w:val="FFFFFF" w:themeColor="background1"/>
              </w:rPr>
              <w:lastRenderedPageBreak/>
              <w:t>Partly achieved</w:t>
            </w:r>
          </w:p>
        </w:tc>
        <w:tc>
          <w:tcPr>
            <w:tcW w:w="2203" w:type="pct"/>
          </w:tcPr>
          <w:p w:rsidR="005937D2" w:rsidRPr="00A43278" w:rsidRDefault="005937D2" w:rsidP="005937D2">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By early 2015 all six PNG universities had undertaken quality audits against 13 international standards for the first time; with the universities developing action plans </w:t>
            </w:r>
            <w:r w:rsidRPr="00A43278">
              <w:rPr>
                <w:rFonts w:ascii="Franklin Gothic Book" w:eastAsia="Times New Roman" w:hAnsi="Franklin Gothic Book" w:cstheme="minorHAnsi"/>
                <w:iCs/>
                <w:sz w:val="17"/>
                <w:szCs w:val="17"/>
                <w:lang w:eastAsia="en-US"/>
              </w:rPr>
              <w:lastRenderedPageBreak/>
              <w:t xml:space="preserve">to respond to the findings. </w:t>
            </w:r>
            <w:r w:rsidR="00F135A1">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As the Go</w:t>
            </w:r>
            <w:r w:rsidR="000160ED">
              <w:rPr>
                <w:rFonts w:ascii="Franklin Gothic Book" w:eastAsia="Times New Roman" w:hAnsi="Franklin Gothic Book" w:cstheme="minorHAnsi"/>
                <w:iCs/>
                <w:sz w:val="17"/>
                <w:szCs w:val="17"/>
                <w:lang w:eastAsia="en-US"/>
              </w:rPr>
              <w:t xml:space="preserve">vernment of </w:t>
            </w:r>
            <w:r w:rsidRPr="00A43278">
              <w:rPr>
                <w:rFonts w:ascii="Franklin Gothic Book" w:eastAsia="Times New Roman" w:hAnsi="Franklin Gothic Book" w:cstheme="minorHAnsi"/>
                <w:iCs/>
                <w:sz w:val="17"/>
                <w:szCs w:val="17"/>
                <w:lang w:eastAsia="en-US"/>
              </w:rPr>
              <w:t xml:space="preserve">PNG has not allocated funds to any higher education institution to improve quality, the </w:t>
            </w:r>
            <w:r w:rsidR="00F135A1" w:rsidRPr="00A43278">
              <w:rPr>
                <w:rFonts w:ascii="Franklin Gothic Book" w:eastAsia="Times New Roman" w:hAnsi="Franklin Gothic Book" w:cstheme="minorHAnsi"/>
                <w:iCs/>
                <w:sz w:val="17"/>
                <w:szCs w:val="17"/>
                <w:lang w:eastAsia="en-US"/>
              </w:rPr>
              <w:t>kina</w:t>
            </w:r>
            <w:r w:rsidR="00F135A1">
              <w:rPr>
                <w:rFonts w:ascii="Franklin Gothic Book" w:eastAsia="Times New Roman" w:hAnsi="Franklin Gothic Book" w:cstheme="minorHAnsi"/>
                <w:iCs/>
                <w:sz w:val="17"/>
                <w:szCs w:val="17"/>
                <w:lang w:eastAsia="en-US"/>
              </w:rPr>
              <w:t>-</w:t>
            </w:r>
            <w:r w:rsidRPr="00A43278">
              <w:rPr>
                <w:rFonts w:ascii="Franklin Gothic Book" w:eastAsia="Times New Roman" w:hAnsi="Franklin Gothic Book" w:cstheme="minorHAnsi"/>
                <w:iCs/>
                <w:sz w:val="17"/>
                <w:szCs w:val="17"/>
                <w:lang w:eastAsia="en-US"/>
              </w:rPr>
              <w:t>fo</w:t>
            </w:r>
            <w:r w:rsidR="00F135A1">
              <w:rPr>
                <w:rFonts w:ascii="Franklin Gothic Book" w:eastAsia="Times New Roman" w:hAnsi="Franklin Gothic Book" w:cstheme="minorHAnsi"/>
                <w:iCs/>
                <w:sz w:val="17"/>
                <w:szCs w:val="17"/>
                <w:lang w:eastAsia="en-US"/>
              </w:rPr>
              <w:t>r-</w:t>
            </w:r>
            <w:r w:rsidRPr="00A43278">
              <w:rPr>
                <w:rFonts w:ascii="Franklin Gothic Book" w:eastAsia="Times New Roman" w:hAnsi="Franklin Gothic Book" w:cstheme="minorHAnsi"/>
                <w:iCs/>
                <w:sz w:val="17"/>
                <w:szCs w:val="17"/>
                <w:lang w:eastAsia="en-US"/>
              </w:rPr>
              <w:t>kina mechanism has not been activated.</w:t>
            </w:r>
          </w:p>
          <w:p w:rsidR="005937D2" w:rsidRPr="00A43278" w:rsidRDefault="005937D2" w:rsidP="005937D2">
            <w:pPr>
              <w:spacing w:after="200" w:line="276" w:lineRule="auto"/>
              <w:ind w:left="32"/>
              <w:rPr>
                <w:rFonts w:ascii="Franklin Gothic Book" w:eastAsia="Times New Roman" w:hAnsi="Franklin Gothic Book" w:cstheme="minorHAnsi"/>
                <w:iCs/>
                <w:sz w:val="17"/>
                <w:szCs w:val="17"/>
                <w:lang w:eastAsia="en-US"/>
              </w:rPr>
            </w:pPr>
          </w:p>
        </w:tc>
      </w:tr>
      <w:tr w:rsidR="003F59DC" w:rsidRPr="004F7D80" w:rsidTr="00A43278">
        <w:trPr>
          <w:trHeight w:val="228"/>
        </w:trPr>
        <w:tc>
          <w:tcPr>
            <w:tcW w:w="892" w:type="pct"/>
          </w:tcPr>
          <w:p w:rsidR="005937D2" w:rsidRPr="00A43278" w:rsidRDefault="005937D2" w:rsidP="00EA569D">
            <w:pPr>
              <w:spacing w:after="200" w:line="276" w:lineRule="auto"/>
              <w:contextualSpacing/>
              <w:rPr>
                <w:rFonts w:ascii="Franklin Gothic Book" w:hAnsi="Franklin Gothic Book" w:cs="Calibri"/>
                <w:i/>
                <w:iCs/>
                <w:sz w:val="17"/>
                <w:szCs w:val="17"/>
              </w:rPr>
            </w:pPr>
          </w:p>
        </w:tc>
        <w:tc>
          <w:tcPr>
            <w:tcW w:w="1476" w:type="pct"/>
          </w:tcPr>
          <w:p w:rsidR="005937D2" w:rsidRPr="00A43278" w:rsidRDefault="005937D2" w:rsidP="00077C39">
            <w:pPr>
              <w:spacing w:after="200"/>
              <w:ind w:firstLine="1"/>
              <w:contextualSpacing/>
              <w:rPr>
                <w:rFonts w:ascii="Franklin Gothic Book" w:hAnsi="Franklin Gothic Book" w:cstheme="minorHAnsi"/>
                <w:iCs/>
                <w:sz w:val="17"/>
                <w:szCs w:val="17"/>
                <w:lang w:eastAsia="en-US"/>
              </w:rPr>
            </w:pPr>
            <w:r w:rsidRPr="00A43278">
              <w:rPr>
                <w:rFonts w:ascii="Franklin Gothic Book" w:hAnsi="Franklin Gothic Book" w:cstheme="minorHAnsi"/>
                <w:iCs/>
                <w:sz w:val="17"/>
                <w:szCs w:val="17"/>
                <w:lang w:eastAsia="en-US"/>
              </w:rPr>
              <w:t xml:space="preserve">Increased </w:t>
            </w:r>
            <w:r w:rsidRPr="00077C39">
              <w:rPr>
                <w:rFonts w:ascii="Franklin Gothic Book" w:eastAsia="Times New Roman" w:hAnsi="Franklin Gothic Book" w:cstheme="minorHAnsi"/>
                <w:iCs/>
                <w:sz w:val="17"/>
                <w:szCs w:val="17"/>
                <w:lang w:eastAsia="en-US"/>
              </w:rPr>
              <w:t>access for women: gender parity index of 0.73 by 2015, from 0.69 in 2011</w:t>
            </w:r>
            <w:r w:rsidR="00077C39" w:rsidRPr="00077C39">
              <w:rPr>
                <w:rFonts w:ascii="Franklin Gothic Book" w:eastAsia="Times New Roman" w:hAnsi="Franklin Gothic Book" w:cstheme="minorHAnsi"/>
                <w:iCs/>
                <w:sz w:val="17"/>
                <w:szCs w:val="17"/>
                <w:lang w:eastAsia="en-US"/>
              </w:rPr>
              <w:t>. (This benchmark replaces the draft benchmark proposed in the 2013-14 APPR. The benchmark was revised in late 2014 through amendments to the PNG-Australia Partnership for Development schedules)</w:t>
            </w:r>
            <w:r w:rsidR="00077C39">
              <w:rPr>
                <w:rFonts w:ascii="Franklin Gothic Book" w:eastAsia="Times New Roman" w:hAnsi="Franklin Gothic Book" w:cstheme="minorHAnsi"/>
                <w:iCs/>
                <w:sz w:val="17"/>
                <w:szCs w:val="17"/>
                <w:lang w:eastAsia="en-US"/>
              </w:rPr>
              <w:t>.</w:t>
            </w:r>
          </w:p>
        </w:tc>
        <w:tc>
          <w:tcPr>
            <w:tcW w:w="428" w:type="pct"/>
            <w:shd w:val="clear" w:color="auto" w:fill="E36C0A" w:themeFill="accent6" w:themeFillShade="BF"/>
          </w:tcPr>
          <w:p w:rsidR="005937D2" w:rsidRPr="00C4792B" w:rsidRDefault="004D057E" w:rsidP="007054B6">
            <w:pPr>
              <w:pStyle w:val="TableTextEntries"/>
              <w:jc w:val="center"/>
              <w:rPr>
                <w:color w:val="FFFFFF" w:themeColor="background1"/>
              </w:rPr>
            </w:pPr>
            <w:r w:rsidRPr="00C4792B">
              <w:rPr>
                <w:color w:val="FFFFFF" w:themeColor="background1"/>
              </w:rPr>
              <w:t>Partly achieved</w:t>
            </w:r>
          </w:p>
        </w:tc>
        <w:tc>
          <w:tcPr>
            <w:tcW w:w="2203" w:type="pct"/>
          </w:tcPr>
          <w:p w:rsidR="007054B6" w:rsidRPr="00A43278" w:rsidRDefault="007054B6" w:rsidP="007054B6">
            <w:pPr>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A total of 13,092 women and 19,039 men enrolled in technical and higher education institutions in 2014, a GPI of 0.69.</w:t>
            </w:r>
            <w:r w:rsidR="00F135A1">
              <w:rPr>
                <w:rFonts w:ascii="Franklin Gothic Book" w:eastAsia="Times New Roman" w:hAnsi="Franklin Gothic Book" w:cstheme="minorHAnsi"/>
                <w:iCs/>
                <w:sz w:val="17"/>
                <w:szCs w:val="17"/>
                <w:lang w:eastAsia="en-US"/>
              </w:rPr>
              <w:t xml:space="preserve"> </w:t>
            </w:r>
            <w:r w:rsidRPr="00A43278">
              <w:rPr>
                <w:rFonts w:ascii="Franklin Gothic Book" w:eastAsia="Times New Roman" w:hAnsi="Franklin Gothic Book" w:cstheme="minorHAnsi"/>
                <w:iCs/>
                <w:sz w:val="17"/>
                <w:szCs w:val="17"/>
                <w:lang w:eastAsia="en-US"/>
              </w:rPr>
              <w:t xml:space="preserve"> </w:t>
            </w:r>
            <w:r w:rsidR="004D057E" w:rsidRPr="00A43278">
              <w:rPr>
                <w:rFonts w:ascii="Franklin Gothic Book" w:eastAsia="Times New Roman" w:hAnsi="Franklin Gothic Book" w:cstheme="minorHAnsi"/>
                <w:iCs/>
                <w:sz w:val="17"/>
                <w:szCs w:val="17"/>
                <w:lang w:eastAsia="en-US"/>
              </w:rPr>
              <w:t xml:space="preserve">While this </w:t>
            </w:r>
            <w:r w:rsidRPr="00A43278">
              <w:rPr>
                <w:rFonts w:ascii="Franklin Gothic Book" w:eastAsia="Times New Roman" w:hAnsi="Franklin Gothic Book" w:cstheme="minorHAnsi"/>
                <w:iCs/>
                <w:sz w:val="17"/>
                <w:szCs w:val="17"/>
                <w:lang w:eastAsia="en-US"/>
              </w:rPr>
              <w:t>is a decrease from a GPI of 0.72 in 2013</w:t>
            </w:r>
            <w:r w:rsidR="004D057E" w:rsidRPr="00A43278">
              <w:rPr>
                <w:rFonts w:ascii="Franklin Gothic Book" w:eastAsia="Times New Roman" w:hAnsi="Franklin Gothic Book" w:cstheme="minorHAnsi"/>
                <w:iCs/>
                <w:sz w:val="17"/>
                <w:szCs w:val="17"/>
                <w:lang w:eastAsia="en-US"/>
              </w:rPr>
              <w:t xml:space="preserve"> this is based on a relatively small datasets from each type of institution.</w:t>
            </w:r>
            <w:r w:rsidR="004D057E" w:rsidRPr="00A43278">
              <w:rPr>
                <w:rFonts w:ascii="Franklin Gothic Book" w:hAnsi="Franklin Gothic Book"/>
                <w:sz w:val="17"/>
                <w:szCs w:val="17"/>
              </w:rPr>
              <w:t xml:space="preserve"> </w:t>
            </w:r>
            <w:r w:rsidRPr="00A43278">
              <w:rPr>
                <w:rFonts w:ascii="Franklin Gothic Book" w:eastAsia="Times New Roman" w:hAnsi="Franklin Gothic Book" w:cstheme="minorHAnsi"/>
                <w:iCs/>
                <w:sz w:val="17"/>
                <w:szCs w:val="17"/>
                <w:lang w:eastAsia="en-US"/>
              </w:rPr>
              <w:t xml:space="preserve">  </w:t>
            </w:r>
          </w:p>
          <w:p w:rsidR="005937D2" w:rsidRPr="00A43278" w:rsidRDefault="005937D2" w:rsidP="005937D2">
            <w:pPr>
              <w:spacing w:after="200"/>
              <w:ind w:left="32"/>
              <w:rPr>
                <w:rFonts w:ascii="Franklin Gothic Book" w:eastAsia="Times New Roman" w:hAnsi="Franklin Gothic Book" w:cstheme="minorHAnsi"/>
                <w:iCs/>
                <w:sz w:val="17"/>
                <w:szCs w:val="17"/>
                <w:lang w:eastAsia="en-US"/>
              </w:rPr>
            </w:pPr>
          </w:p>
        </w:tc>
      </w:tr>
      <w:tr w:rsidR="003F59DC" w:rsidRPr="004F7D80" w:rsidTr="00A43278">
        <w:trPr>
          <w:trHeight w:val="228"/>
        </w:trPr>
        <w:tc>
          <w:tcPr>
            <w:tcW w:w="892" w:type="pct"/>
          </w:tcPr>
          <w:p w:rsidR="00EA569D" w:rsidRPr="00A43278" w:rsidRDefault="005937D2" w:rsidP="005937D2">
            <w:pPr>
              <w:pStyle w:val="TableTextEntries"/>
              <w:rPr>
                <w:rFonts w:cs="Calibri"/>
                <w:i/>
                <w:iCs w:val="0"/>
              </w:rPr>
            </w:pPr>
            <w:r w:rsidRPr="00C4792B">
              <w:rPr>
                <w:b/>
              </w:rPr>
              <w:t>Objective 3 – Improved law and justice</w:t>
            </w:r>
          </w:p>
        </w:tc>
        <w:tc>
          <w:tcPr>
            <w:tcW w:w="1476" w:type="pct"/>
          </w:tcPr>
          <w:p w:rsidR="00EA569D" w:rsidRPr="00A43278" w:rsidRDefault="00EA569D" w:rsidP="005937D2">
            <w:pPr>
              <w:spacing w:after="200"/>
              <w:ind w:left="-20"/>
              <w:contextualSpacing/>
              <w:rPr>
                <w:rFonts w:ascii="Franklin Gothic Book" w:eastAsia="Times New Roman" w:hAnsi="Franklin Gothic Book" w:cstheme="minorHAnsi"/>
                <w:iCs/>
                <w:sz w:val="17"/>
                <w:szCs w:val="17"/>
                <w:lang w:eastAsia="en-US"/>
              </w:rPr>
            </w:pPr>
          </w:p>
        </w:tc>
        <w:tc>
          <w:tcPr>
            <w:tcW w:w="428" w:type="pct"/>
            <w:shd w:val="clear" w:color="auto" w:fill="FFFFFF" w:themeFill="background1"/>
          </w:tcPr>
          <w:p w:rsidR="00EA569D" w:rsidRPr="00C4792B" w:rsidRDefault="00EA569D" w:rsidP="00F86541">
            <w:pPr>
              <w:pStyle w:val="TableTextEntries"/>
              <w:jc w:val="center"/>
              <w:rPr>
                <w:color w:val="FFFFFF" w:themeColor="background1"/>
              </w:rPr>
            </w:pPr>
          </w:p>
        </w:tc>
        <w:tc>
          <w:tcPr>
            <w:tcW w:w="2203" w:type="pct"/>
            <w:shd w:val="clear" w:color="auto" w:fill="FFFFFF" w:themeFill="background1"/>
          </w:tcPr>
          <w:p w:rsidR="00EA569D" w:rsidRPr="00A43278" w:rsidRDefault="00EA569D" w:rsidP="005937D2">
            <w:pPr>
              <w:spacing w:after="200"/>
              <w:ind w:left="32"/>
              <w:rPr>
                <w:rFonts w:ascii="Franklin Gothic Book" w:eastAsia="Times New Roman" w:hAnsi="Franklin Gothic Book" w:cstheme="minorHAnsi"/>
                <w:iCs/>
                <w:sz w:val="17"/>
                <w:szCs w:val="17"/>
                <w:lang w:eastAsia="en-US"/>
              </w:rPr>
            </w:pPr>
          </w:p>
        </w:tc>
      </w:tr>
      <w:tr w:rsidR="003F59DC" w:rsidRPr="004F7D80" w:rsidTr="00A43278">
        <w:trPr>
          <w:trHeight w:val="228"/>
        </w:trPr>
        <w:tc>
          <w:tcPr>
            <w:tcW w:w="892" w:type="pct"/>
          </w:tcPr>
          <w:p w:rsidR="005937D2" w:rsidRPr="00A43278" w:rsidRDefault="005937D2" w:rsidP="005937D2">
            <w:pPr>
              <w:pStyle w:val="TableTextEntries"/>
              <w:rPr>
                <w:rFonts w:cstheme="minorHAnsi"/>
              </w:rPr>
            </w:pPr>
            <w:r w:rsidRPr="00A43278">
              <w:rPr>
                <w:rFonts w:cstheme="minorHAnsi"/>
              </w:rPr>
              <w:t>State services delivered in a manner more accessible, effective, ethical, accountable and service-focused</w:t>
            </w:r>
          </w:p>
          <w:p w:rsidR="005937D2" w:rsidRPr="00A43278" w:rsidRDefault="005937D2" w:rsidP="00EA569D">
            <w:pPr>
              <w:spacing w:after="200" w:line="276" w:lineRule="auto"/>
              <w:contextualSpacing/>
              <w:rPr>
                <w:rFonts w:ascii="Franklin Gothic Book" w:hAnsi="Franklin Gothic Book" w:cs="Calibri"/>
                <w:i/>
                <w:iCs/>
                <w:sz w:val="17"/>
                <w:szCs w:val="17"/>
              </w:rPr>
            </w:pP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Infrastructure investments in Lae, Manus and Bougainville (police related); Port Moresby (Magisterial Services) are on track. </w:t>
            </w:r>
          </w:p>
        </w:tc>
        <w:tc>
          <w:tcPr>
            <w:tcW w:w="428" w:type="pct"/>
            <w:shd w:val="clear" w:color="auto" w:fill="92D050"/>
          </w:tcPr>
          <w:p w:rsidR="005937D2" w:rsidRPr="00C4792B" w:rsidRDefault="005937D2" w:rsidP="00F86541">
            <w:pPr>
              <w:pStyle w:val="TableTextEntries"/>
              <w:jc w:val="center"/>
              <w:rPr>
                <w:color w:val="FFFFFF" w:themeColor="background1"/>
              </w:rPr>
            </w:pPr>
            <w:r w:rsidRPr="00C4792B">
              <w:rPr>
                <w:color w:val="FFFFFF" w:themeColor="background1"/>
              </w:rPr>
              <w:t>Achieved</w:t>
            </w:r>
          </w:p>
        </w:tc>
        <w:tc>
          <w:tcPr>
            <w:tcW w:w="2203" w:type="pct"/>
          </w:tcPr>
          <w:p w:rsidR="005937D2" w:rsidRPr="00A43278" w:rsidRDefault="005937D2" w:rsidP="005937D2">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Significant infrastructure improvements were achieved, including the completion of new police infrastructure in Lae; the concept design stage of a new police station in Manus; 28 separate projects in Bougainville; and securing a site for the design of a new Magisterial Services Headquarters in Port Moresby.</w:t>
            </w:r>
          </w:p>
        </w:tc>
      </w:tr>
      <w:tr w:rsidR="003F59DC" w:rsidRPr="004F7D80" w:rsidTr="00A43278">
        <w:trPr>
          <w:trHeight w:val="228"/>
        </w:trPr>
        <w:tc>
          <w:tcPr>
            <w:tcW w:w="892" w:type="pct"/>
          </w:tcPr>
          <w:p w:rsidR="005937D2" w:rsidRPr="00A43278" w:rsidRDefault="005937D2" w:rsidP="00EA569D">
            <w:pPr>
              <w:spacing w:after="200" w:line="276" w:lineRule="auto"/>
              <w:contextualSpacing/>
              <w:rPr>
                <w:rFonts w:ascii="Franklin Gothic Book" w:hAnsi="Franklin Gothic Book" w:cs="Calibri"/>
                <w:i/>
                <w:iCs/>
                <w:sz w:val="17"/>
                <w:szCs w:val="17"/>
              </w:rPr>
            </w:pP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Sector Service Delivery Strategy completed.</w:t>
            </w:r>
          </w:p>
        </w:tc>
        <w:tc>
          <w:tcPr>
            <w:tcW w:w="428" w:type="pct"/>
            <w:shd w:val="clear" w:color="auto" w:fill="92D050"/>
          </w:tcPr>
          <w:p w:rsidR="005937D2" w:rsidRPr="00C4792B" w:rsidRDefault="001A79D9" w:rsidP="001A79D9">
            <w:pPr>
              <w:pStyle w:val="TableTextEntries"/>
              <w:jc w:val="center"/>
              <w:rPr>
                <w:color w:val="FFFFFF" w:themeColor="background1"/>
              </w:rPr>
            </w:pPr>
            <w:r w:rsidRPr="00C4792B">
              <w:rPr>
                <w:color w:val="FFFFFF" w:themeColor="background1"/>
              </w:rPr>
              <w:t>A</w:t>
            </w:r>
            <w:r w:rsidR="005937D2" w:rsidRPr="00C4792B">
              <w:rPr>
                <w:color w:val="FFFFFF" w:themeColor="background1"/>
              </w:rPr>
              <w:t>chieved</w:t>
            </w:r>
          </w:p>
        </w:tc>
        <w:tc>
          <w:tcPr>
            <w:tcW w:w="2203" w:type="pct"/>
          </w:tcPr>
          <w:p w:rsidR="005937D2" w:rsidRPr="00A43278" w:rsidRDefault="001A79D9" w:rsidP="00A43278">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Rebranded the Sector Investment Plan, </w:t>
            </w:r>
            <w:r w:rsidR="00F135A1">
              <w:rPr>
                <w:rFonts w:ascii="Franklin Gothic Book" w:eastAsia="Times New Roman" w:hAnsi="Franklin Gothic Book" w:cstheme="minorHAnsi"/>
                <w:iCs/>
                <w:sz w:val="17"/>
                <w:szCs w:val="17"/>
                <w:lang w:eastAsia="en-US"/>
              </w:rPr>
              <w:t xml:space="preserve">DFAT, the AFP and Attorney General’s Department </w:t>
            </w:r>
            <w:r w:rsidRPr="00A43278">
              <w:rPr>
                <w:rFonts w:ascii="Franklin Gothic Book" w:eastAsia="Times New Roman" w:hAnsi="Franklin Gothic Book" w:cstheme="minorHAnsi"/>
                <w:iCs/>
                <w:sz w:val="17"/>
                <w:szCs w:val="17"/>
                <w:lang w:eastAsia="en-US"/>
              </w:rPr>
              <w:t>have developed and agreed this joint sector strategy.</w:t>
            </w:r>
          </w:p>
        </w:tc>
      </w:tr>
      <w:tr w:rsidR="003F59DC" w:rsidRPr="004F7D80" w:rsidTr="00A43278">
        <w:trPr>
          <w:trHeight w:val="228"/>
        </w:trPr>
        <w:tc>
          <w:tcPr>
            <w:tcW w:w="892" w:type="pct"/>
          </w:tcPr>
          <w:p w:rsidR="005937D2" w:rsidRPr="00A43278" w:rsidRDefault="005937D2" w:rsidP="00EA569D">
            <w:pPr>
              <w:spacing w:after="200" w:line="276" w:lineRule="auto"/>
              <w:contextualSpacing/>
              <w:rPr>
                <w:rFonts w:ascii="Franklin Gothic Book" w:hAnsi="Franklin Gothic Book" w:cs="Calibri"/>
                <w:i/>
                <w:iCs/>
                <w:sz w:val="17"/>
                <w:szCs w:val="17"/>
              </w:rPr>
            </w:pP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Training targeting key technical, legal, administrative and management skills undertaken.</w:t>
            </w:r>
          </w:p>
        </w:tc>
        <w:tc>
          <w:tcPr>
            <w:tcW w:w="428" w:type="pct"/>
            <w:shd w:val="clear" w:color="auto" w:fill="92D050"/>
          </w:tcPr>
          <w:p w:rsidR="005937D2" w:rsidRPr="00C4792B" w:rsidRDefault="005937D2" w:rsidP="00F86541">
            <w:pPr>
              <w:pStyle w:val="TableTextEntries"/>
              <w:jc w:val="center"/>
              <w:rPr>
                <w:color w:val="FFFFFF" w:themeColor="background1"/>
              </w:rPr>
            </w:pPr>
            <w:r w:rsidRPr="00C4792B">
              <w:rPr>
                <w:color w:val="FFFFFF" w:themeColor="background1"/>
              </w:rPr>
              <w:t>Achieved</w:t>
            </w:r>
          </w:p>
        </w:tc>
        <w:tc>
          <w:tcPr>
            <w:tcW w:w="2203" w:type="pct"/>
          </w:tcPr>
          <w:p w:rsidR="005937D2" w:rsidRPr="00A43278" w:rsidRDefault="005937D2" w:rsidP="00682DF0">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Australia trained 1,175 police (19</w:t>
            </w:r>
            <w:r w:rsidR="00682DF0" w:rsidRPr="00A43278">
              <w:rPr>
                <w:rFonts w:ascii="Franklin Gothic Book" w:eastAsia="Times New Roman" w:hAnsi="Franklin Gothic Book" w:cstheme="minorHAnsi"/>
                <w:iCs/>
                <w:sz w:val="17"/>
                <w:szCs w:val="17"/>
                <w:lang w:eastAsia="en-US"/>
              </w:rPr>
              <w:t xml:space="preserve"> per cent </w:t>
            </w:r>
            <w:r w:rsidRPr="00A43278">
              <w:rPr>
                <w:rFonts w:ascii="Franklin Gothic Book" w:eastAsia="Times New Roman" w:hAnsi="Franklin Gothic Book" w:cstheme="minorHAnsi"/>
                <w:iCs/>
                <w:sz w:val="17"/>
                <w:szCs w:val="17"/>
                <w:lang w:eastAsia="en-US"/>
              </w:rPr>
              <w:t>female) and 2,906 other law and justice officials (32</w:t>
            </w:r>
            <w:r w:rsidR="00682DF0" w:rsidRPr="00A43278">
              <w:rPr>
                <w:rFonts w:ascii="Franklin Gothic Book" w:eastAsia="Times New Roman" w:hAnsi="Franklin Gothic Book" w:cstheme="minorHAnsi"/>
                <w:iCs/>
                <w:sz w:val="17"/>
                <w:szCs w:val="17"/>
                <w:lang w:eastAsia="en-US"/>
              </w:rPr>
              <w:t xml:space="preserve"> per cent </w:t>
            </w:r>
            <w:r w:rsidRPr="00A43278">
              <w:rPr>
                <w:rFonts w:ascii="Franklin Gothic Book" w:eastAsia="Times New Roman" w:hAnsi="Franklin Gothic Book" w:cstheme="minorHAnsi"/>
                <w:iCs/>
                <w:sz w:val="17"/>
                <w:szCs w:val="17"/>
                <w:lang w:eastAsia="en-US"/>
              </w:rPr>
              <w:t>female) in key skills.</w:t>
            </w:r>
          </w:p>
        </w:tc>
      </w:tr>
      <w:tr w:rsidR="003F59DC" w:rsidRPr="004F7D80" w:rsidTr="00A43278">
        <w:trPr>
          <w:trHeight w:val="228"/>
        </w:trPr>
        <w:tc>
          <w:tcPr>
            <w:tcW w:w="892" w:type="pct"/>
          </w:tcPr>
          <w:p w:rsidR="000F7E5E" w:rsidRPr="00593DFF" w:rsidRDefault="000F7E5E" w:rsidP="005937D2">
            <w:pPr>
              <w:pStyle w:val="TableTextEntries"/>
              <w:rPr>
                <w:rFonts w:cstheme="minorHAnsi"/>
              </w:rPr>
            </w:pPr>
          </w:p>
          <w:p w:rsidR="005937D2" w:rsidRPr="00A43278" w:rsidRDefault="005937D2" w:rsidP="005937D2">
            <w:pPr>
              <w:pStyle w:val="TableTextEntries"/>
              <w:rPr>
                <w:rFonts w:cs="Calibri"/>
                <w:i/>
                <w:iCs w:val="0"/>
              </w:rPr>
            </w:pPr>
            <w:r w:rsidRPr="00A43278">
              <w:rPr>
                <w:rFonts w:cstheme="minorHAnsi"/>
              </w:rPr>
              <w:t>Police are more effective, legitimate and accountable to the people they serve</w:t>
            </w: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Improvements in public perceptions of police in Port Moresby and Lae.</w:t>
            </w:r>
          </w:p>
        </w:tc>
        <w:tc>
          <w:tcPr>
            <w:tcW w:w="428" w:type="pct"/>
            <w:shd w:val="clear" w:color="auto" w:fill="E36C0A" w:themeFill="accent6" w:themeFillShade="BF"/>
          </w:tcPr>
          <w:p w:rsidR="005937D2" w:rsidRPr="00C4792B" w:rsidRDefault="005937D2" w:rsidP="00F86541">
            <w:pPr>
              <w:pStyle w:val="TableTextEntries"/>
              <w:jc w:val="center"/>
              <w:rPr>
                <w:color w:val="FFFFFF" w:themeColor="background1"/>
              </w:rPr>
            </w:pPr>
            <w:r w:rsidRPr="00C4792B">
              <w:rPr>
                <w:color w:val="FFFFFF" w:themeColor="background1"/>
              </w:rPr>
              <w:t>Partly achieved</w:t>
            </w:r>
          </w:p>
        </w:tc>
        <w:tc>
          <w:tcPr>
            <w:tcW w:w="2203" w:type="pct"/>
          </w:tcPr>
          <w:p w:rsidR="005937D2" w:rsidRPr="00A43278" w:rsidRDefault="00FE6E18" w:rsidP="005937D2">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Public perceptions of police declined on a number of measures since 2013, including trust in police, belief that police are honest and treat people fairly. However respect for police has remained quite high and their visibility in communities has improved. (Community Perception Survey).</w:t>
            </w:r>
          </w:p>
        </w:tc>
      </w:tr>
      <w:tr w:rsidR="003F59DC" w:rsidRPr="004F7D80" w:rsidTr="00A43278">
        <w:trPr>
          <w:trHeight w:val="228"/>
        </w:trPr>
        <w:tc>
          <w:tcPr>
            <w:tcW w:w="892" w:type="pct"/>
          </w:tcPr>
          <w:p w:rsidR="005937D2" w:rsidRPr="00A43278" w:rsidRDefault="005937D2" w:rsidP="00EA569D">
            <w:pPr>
              <w:spacing w:after="200" w:line="276" w:lineRule="auto"/>
              <w:contextualSpacing/>
              <w:rPr>
                <w:rFonts w:ascii="Franklin Gothic Book" w:hAnsi="Franklin Gothic Book" w:cs="Calibri"/>
                <w:i/>
                <w:iCs/>
                <w:sz w:val="17"/>
                <w:szCs w:val="17"/>
              </w:rPr>
            </w:pP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Increase in the numbers of police recruits graduating in 2014. </w:t>
            </w:r>
          </w:p>
        </w:tc>
        <w:tc>
          <w:tcPr>
            <w:tcW w:w="428" w:type="pct"/>
            <w:shd w:val="clear" w:color="auto" w:fill="92D050"/>
          </w:tcPr>
          <w:p w:rsidR="005937D2" w:rsidRPr="00C4792B" w:rsidRDefault="005937D2" w:rsidP="00ED6FBF">
            <w:pPr>
              <w:pStyle w:val="TableTextEntries"/>
              <w:jc w:val="center"/>
              <w:rPr>
                <w:color w:val="FFFFFF" w:themeColor="background1"/>
              </w:rPr>
            </w:pPr>
            <w:r w:rsidRPr="00C4792B">
              <w:rPr>
                <w:color w:val="FFFFFF" w:themeColor="background1"/>
              </w:rPr>
              <w:t>Achi</w:t>
            </w:r>
            <w:r w:rsidR="00ED6FBF" w:rsidRPr="00C4792B">
              <w:rPr>
                <w:color w:val="FFFFFF" w:themeColor="background1"/>
              </w:rPr>
              <w:t>e</w:t>
            </w:r>
            <w:r w:rsidRPr="00C4792B">
              <w:rPr>
                <w:color w:val="FFFFFF" w:themeColor="background1"/>
              </w:rPr>
              <w:t>ved</w:t>
            </w:r>
          </w:p>
        </w:tc>
        <w:tc>
          <w:tcPr>
            <w:tcW w:w="2203" w:type="pct"/>
          </w:tcPr>
          <w:p w:rsidR="005937D2" w:rsidRPr="00A43278" w:rsidRDefault="009A1CBC" w:rsidP="004450A9">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560 recruits (83 females) graduated from the Bomana Police Training College in 2014.  This is an increase from 229 (46 females) in 2013.</w:t>
            </w:r>
          </w:p>
        </w:tc>
      </w:tr>
      <w:tr w:rsidR="003F59DC" w:rsidRPr="004F7D80" w:rsidTr="00A43278">
        <w:trPr>
          <w:trHeight w:val="228"/>
        </w:trPr>
        <w:tc>
          <w:tcPr>
            <w:tcW w:w="892" w:type="pct"/>
          </w:tcPr>
          <w:p w:rsidR="005937D2" w:rsidRPr="00A43278" w:rsidRDefault="005937D2" w:rsidP="00EA569D">
            <w:pPr>
              <w:spacing w:after="200" w:line="276" w:lineRule="auto"/>
              <w:contextualSpacing/>
              <w:rPr>
                <w:rFonts w:ascii="Franklin Gothic Book" w:hAnsi="Franklin Gothic Book" w:cs="Calibri"/>
                <w:i/>
                <w:iCs/>
                <w:sz w:val="17"/>
                <w:szCs w:val="17"/>
              </w:rPr>
            </w:pPr>
          </w:p>
        </w:tc>
        <w:tc>
          <w:tcPr>
            <w:tcW w:w="1476" w:type="pct"/>
          </w:tcPr>
          <w:p w:rsidR="005937D2" w:rsidRPr="00A43278" w:rsidRDefault="005937D2" w:rsidP="00682DF0">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30 Bougainvillean recruits included 2015 – noting BPS target of 30</w:t>
            </w:r>
            <w:r w:rsidR="00682DF0" w:rsidRPr="00A43278">
              <w:rPr>
                <w:rFonts w:ascii="Franklin Gothic Book" w:eastAsia="Times New Roman" w:hAnsi="Franklin Gothic Book" w:cstheme="minorHAnsi"/>
                <w:iCs/>
                <w:sz w:val="17"/>
                <w:szCs w:val="17"/>
                <w:lang w:eastAsia="en-US"/>
              </w:rPr>
              <w:t xml:space="preserve"> per cent </w:t>
            </w:r>
            <w:r w:rsidRPr="00A43278">
              <w:rPr>
                <w:rFonts w:ascii="Franklin Gothic Book" w:eastAsia="Times New Roman" w:hAnsi="Franklin Gothic Book" w:cstheme="minorHAnsi"/>
                <w:iCs/>
                <w:sz w:val="17"/>
                <w:szCs w:val="17"/>
                <w:lang w:eastAsia="en-US"/>
              </w:rPr>
              <w:t>female.</w:t>
            </w:r>
          </w:p>
        </w:tc>
        <w:tc>
          <w:tcPr>
            <w:tcW w:w="428" w:type="pct"/>
            <w:shd w:val="clear" w:color="auto" w:fill="E36C0A" w:themeFill="accent6" w:themeFillShade="BF"/>
          </w:tcPr>
          <w:p w:rsidR="005937D2" w:rsidRPr="00C4792B" w:rsidRDefault="005937D2" w:rsidP="00F86541">
            <w:pPr>
              <w:pStyle w:val="TableTextEntries"/>
              <w:jc w:val="center"/>
              <w:rPr>
                <w:color w:val="FFFFFF" w:themeColor="background1"/>
              </w:rPr>
            </w:pPr>
            <w:r w:rsidRPr="00C4792B">
              <w:rPr>
                <w:color w:val="FFFFFF" w:themeColor="background1"/>
              </w:rPr>
              <w:t>Partly achieved</w:t>
            </w:r>
          </w:p>
        </w:tc>
        <w:tc>
          <w:tcPr>
            <w:tcW w:w="2203" w:type="pct"/>
          </w:tcPr>
          <w:p w:rsidR="005937D2" w:rsidRPr="00A43278" w:rsidRDefault="004450A9" w:rsidP="004450A9">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19 Bougainvillean recruits (2 females) have entered police training at Bomana College, to date, in 2015. This is an increase from 15 (2 females) in 2014. A further 37 (16 females) recruits are expected to commence at the Bomana College in late 2015.</w:t>
            </w:r>
          </w:p>
        </w:tc>
      </w:tr>
      <w:tr w:rsidR="003F59DC" w:rsidRPr="004F7D80" w:rsidTr="00A43278">
        <w:trPr>
          <w:trHeight w:val="228"/>
        </w:trPr>
        <w:tc>
          <w:tcPr>
            <w:tcW w:w="892" w:type="pct"/>
          </w:tcPr>
          <w:p w:rsidR="005937D2" w:rsidRPr="00A43278" w:rsidRDefault="005937D2" w:rsidP="005937D2">
            <w:pPr>
              <w:pStyle w:val="TableTextEntries"/>
              <w:rPr>
                <w:rFonts w:cstheme="minorHAnsi"/>
              </w:rPr>
            </w:pPr>
            <w:r w:rsidRPr="00A43278">
              <w:rPr>
                <w:rFonts w:cstheme="minorHAnsi"/>
              </w:rPr>
              <w:t>Local Level conflict resolution working, more legitimate and available</w:t>
            </w:r>
          </w:p>
        </w:tc>
        <w:tc>
          <w:tcPr>
            <w:tcW w:w="1476" w:type="pct"/>
          </w:tcPr>
          <w:p w:rsidR="005937D2" w:rsidRPr="00A43278" w:rsidRDefault="005937D2" w:rsidP="00682DF0">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30</w:t>
            </w:r>
            <w:r w:rsidR="00682DF0" w:rsidRPr="00A43278">
              <w:rPr>
                <w:rFonts w:ascii="Franklin Gothic Book" w:eastAsia="Times New Roman" w:hAnsi="Franklin Gothic Book" w:cstheme="minorHAnsi"/>
                <w:iCs/>
                <w:sz w:val="17"/>
                <w:szCs w:val="17"/>
                <w:lang w:eastAsia="en-US"/>
              </w:rPr>
              <w:t xml:space="preserve"> per cent </w:t>
            </w:r>
            <w:r w:rsidRPr="00A43278">
              <w:rPr>
                <w:rFonts w:ascii="Franklin Gothic Book" w:eastAsia="Times New Roman" w:hAnsi="Franklin Gothic Book" w:cstheme="minorHAnsi"/>
                <w:iCs/>
                <w:sz w:val="17"/>
                <w:szCs w:val="17"/>
                <w:lang w:eastAsia="en-US"/>
              </w:rPr>
              <w:t xml:space="preserve">of </w:t>
            </w:r>
            <w:r w:rsidR="008B2F4E" w:rsidRPr="00A43278">
              <w:rPr>
                <w:rFonts w:ascii="Franklin Gothic Book" w:eastAsia="Times New Roman" w:hAnsi="Franklin Gothic Book" w:cstheme="minorHAnsi"/>
                <w:iCs/>
                <w:sz w:val="17"/>
                <w:szCs w:val="17"/>
                <w:lang w:eastAsia="en-US"/>
              </w:rPr>
              <w:t>Village Court</w:t>
            </w:r>
            <w:r w:rsidRPr="00A43278">
              <w:rPr>
                <w:rFonts w:ascii="Franklin Gothic Book" w:eastAsia="Times New Roman" w:hAnsi="Franklin Gothic Book" w:cstheme="minorHAnsi"/>
                <w:iCs/>
                <w:sz w:val="17"/>
                <w:szCs w:val="17"/>
                <w:lang w:eastAsia="en-US"/>
              </w:rPr>
              <w:t xml:space="preserve"> officials in priority provinces have participated in the competency-based training by July 2015.</w:t>
            </w:r>
          </w:p>
        </w:tc>
        <w:tc>
          <w:tcPr>
            <w:tcW w:w="428" w:type="pct"/>
            <w:shd w:val="clear" w:color="auto" w:fill="92D050"/>
          </w:tcPr>
          <w:p w:rsidR="005937D2" w:rsidRPr="00C4792B" w:rsidRDefault="005937D2" w:rsidP="00F86541">
            <w:pPr>
              <w:pStyle w:val="TableTextEntries"/>
              <w:jc w:val="center"/>
              <w:rPr>
                <w:color w:val="FFFFFF" w:themeColor="background1"/>
              </w:rPr>
            </w:pPr>
            <w:r w:rsidRPr="00C4792B">
              <w:rPr>
                <w:color w:val="FFFFFF" w:themeColor="background1"/>
              </w:rPr>
              <w:t>Achieved</w:t>
            </w:r>
          </w:p>
        </w:tc>
        <w:tc>
          <w:tcPr>
            <w:tcW w:w="2203" w:type="pct"/>
          </w:tcPr>
          <w:p w:rsidR="005937D2" w:rsidRPr="00A43278" w:rsidRDefault="005937D2" w:rsidP="00682DF0">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32</w:t>
            </w:r>
            <w:r w:rsidR="00682DF0" w:rsidRPr="00A43278">
              <w:rPr>
                <w:rFonts w:ascii="Franklin Gothic Book" w:eastAsia="Times New Roman" w:hAnsi="Franklin Gothic Book" w:cstheme="minorHAnsi"/>
                <w:iCs/>
                <w:sz w:val="17"/>
                <w:szCs w:val="17"/>
                <w:lang w:eastAsia="en-US"/>
              </w:rPr>
              <w:t xml:space="preserve"> per cent </w:t>
            </w:r>
            <w:r w:rsidRPr="00A43278">
              <w:rPr>
                <w:rFonts w:ascii="Franklin Gothic Book" w:eastAsia="Times New Roman" w:hAnsi="Franklin Gothic Book" w:cstheme="minorHAnsi"/>
                <w:iCs/>
                <w:sz w:val="17"/>
                <w:szCs w:val="17"/>
                <w:lang w:eastAsia="en-US"/>
              </w:rPr>
              <w:t xml:space="preserve">of </w:t>
            </w:r>
            <w:r w:rsidR="008B2F4E" w:rsidRPr="00A43278">
              <w:rPr>
                <w:rFonts w:ascii="Franklin Gothic Book" w:eastAsia="Times New Roman" w:hAnsi="Franklin Gothic Book" w:cstheme="minorHAnsi"/>
                <w:iCs/>
                <w:sz w:val="17"/>
                <w:szCs w:val="17"/>
                <w:lang w:eastAsia="en-US"/>
              </w:rPr>
              <w:t>Village Court</w:t>
            </w:r>
            <w:r w:rsidRPr="00A43278">
              <w:rPr>
                <w:rFonts w:ascii="Franklin Gothic Book" w:eastAsia="Times New Roman" w:hAnsi="Franklin Gothic Book" w:cstheme="minorHAnsi"/>
                <w:iCs/>
                <w:sz w:val="17"/>
                <w:szCs w:val="17"/>
                <w:lang w:eastAsia="en-US"/>
              </w:rPr>
              <w:t xml:space="preserve"> officials in priority provinces have participated in the competency based training by end of June 2015.</w:t>
            </w:r>
          </w:p>
        </w:tc>
      </w:tr>
      <w:tr w:rsidR="003F59DC" w:rsidRPr="004F7D80" w:rsidTr="00A43278">
        <w:trPr>
          <w:trHeight w:val="228"/>
        </w:trPr>
        <w:tc>
          <w:tcPr>
            <w:tcW w:w="892" w:type="pct"/>
          </w:tcPr>
          <w:p w:rsidR="005937D2" w:rsidRPr="00A43278" w:rsidRDefault="005937D2" w:rsidP="005937D2">
            <w:pPr>
              <w:pStyle w:val="TableTextEntries"/>
              <w:rPr>
                <w:rFonts w:cstheme="minorHAnsi"/>
              </w:rPr>
            </w:pPr>
            <w:r w:rsidRPr="00A43278">
              <w:rPr>
                <w:rFonts w:cstheme="minorHAnsi"/>
              </w:rPr>
              <w:t xml:space="preserve">Women and others vulnerable to family and sexual violence have greater access to justice, legal </w:t>
            </w:r>
            <w:r w:rsidRPr="00A43278">
              <w:rPr>
                <w:rFonts w:cstheme="minorHAnsi"/>
              </w:rPr>
              <w:lastRenderedPageBreak/>
              <w:t>protection and support services</w:t>
            </w: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lastRenderedPageBreak/>
              <w:t xml:space="preserve">Increasing numbers of clients seeking help from Family and Sexual Violence Units. </w:t>
            </w:r>
          </w:p>
        </w:tc>
        <w:tc>
          <w:tcPr>
            <w:tcW w:w="428" w:type="pct"/>
            <w:shd w:val="clear" w:color="auto" w:fill="92D050"/>
          </w:tcPr>
          <w:p w:rsidR="005937D2" w:rsidRPr="00C4792B" w:rsidRDefault="005937D2" w:rsidP="00F86541">
            <w:pPr>
              <w:pStyle w:val="TableTextEntries"/>
              <w:jc w:val="center"/>
              <w:rPr>
                <w:color w:val="FFFFFF" w:themeColor="background1"/>
              </w:rPr>
            </w:pPr>
            <w:r w:rsidRPr="00C4792B">
              <w:rPr>
                <w:color w:val="FFFFFF" w:themeColor="background1"/>
              </w:rPr>
              <w:t>Achieved</w:t>
            </w:r>
          </w:p>
        </w:tc>
        <w:tc>
          <w:tcPr>
            <w:tcW w:w="2203" w:type="pct"/>
          </w:tcPr>
          <w:p w:rsidR="005937D2" w:rsidRPr="00A43278" w:rsidRDefault="005937D2" w:rsidP="005937D2">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11,272 survivors of violence received services from FSVUs in 2014, up from 9,248 in 2013.</w:t>
            </w:r>
          </w:p>
        </w:tc>
      </w:tr>
      <w:tr w:rsidR="003F59DC" w:rsidRPr="004F7D80" w:rsidTr="00A43278">
        <w:trPr>
          <w:trHeight w:val="228"/>
        </w:trPr>
        <w:tc>
          <w:tcPr>
            <w:tcW w:w="892" w:type="pct"/>
          </w:tcPr>
          <w:p w:rsidR="005937D2" w:rsidRPr="00A43278" w:rsidRDefault="005937D2" w:rsidP="005937D2">
            <w:pPr>
              <w:pStyle w:val="TableTextEntries"/>
              <w:rPr>
                <w:rFonts w:cstheme="minorHAnsi"/>
              </w:rPr>
            </w:pP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District Court and </w:t>
            </w:r>
            <w:r w:rsidR="008B2F4E" w:rsidRPr="00A43278">
              <w:rPr>
                <w:rFonts w:ascii="Franklin Gothic Book" w:eastAsia="Times New Roman" w:hAnsi="Franklin Gothic Book" w:cstheme="minorHAnsi"/>
                <w:iCs/>
                <w:sz w:val="17"/>
                <w:szCs w:val="17"/>
                <w:lang w:eastAsia="en-US"/>
              </w:rPr>
              <w:t>Village Court</w:t>
            </w:r>
            <w:r w:rsidRPr="00A43278">
              <w:rPr>
                <w:rFonts w:ascii="Franklin Gothic Book" w:eastAsia="Times New Roman" w:hAnsi="Franklin Gothic Book" w:cstheme="minorHAnsi"/>
                <w:iCs/>
                <w:sz w:val="17"/>
                <w:szCs w:val="17"/>
                <w:lang w:eastAsia="en-US"/>
              </w:rPr>
              <w:t xml:space="preserve"> magistrates increasingly providing protection orders.</w:t>
            </w:r>
          </w:p>
        </w:tc>
        <w:tc>
          <w:tcPr>
            <w:tcW w:w="428" w:type="pct"/>
            <w:shd w:val="clear" w:color="auto" w:fill="92D050"/>
          </w:tcPr>
          <w:p w:rsidR="005937D2" w:rsidRPr="00C4792B" w:rsidRDefault="005937D2" w:rsidP="00F86541">
            <w:pPr>
              <w:pStyle w:val="TableTextEntries"/>
              <w:jc w:val="center"/>
              <w:rPr>
                <w:color w:val="FFFFFF" w:themeColor="background1"/>
              </w:rPr>
            </w:pPr>
            <w:r w:rsidRPr="00C4792B">
              <w:rPr>
                <w:color w:val="FFFFFF" w:themeColor="background1"/>
              </w:rPr>
              <w:t>Achieved</w:t>
            </w:r>
          </w:p>
        </w:tc>
        <w:tc>
          <w:tcPr>
            <w:tcW w:w="2203" w:type="pct"/>
          </w:tcPr>
          <w:p w:rsidR="005937D2" w:rsidRPr="00A43278" w:rsidRDefault="005937D2" w:rsidP="00682DF0">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The number of disposed/completed Interim Protection Order applications increased to 849 (72</w:t>
            </w:r>
            <w:r w:rsidR="00682DF0" w:rsidRPr="00A43278">
              <w:rPr>
                <w:rFonts w:ascii="Franklin Gothic Book" w:eastAsia="Times New Roman" w:hAnsi="Franklin Gothic Book" w:cstheme="minorHAnsi"/>
                <w:iCs/>
                <w:sz w:val="17"/>
                <w:szCs w:val="17"/>
                <w:lang w:eastAsia="en-US"/>
              </w:rPr>
              <w:t xml:space="preserve"> per cent) </w:t>
            </w:r>
            <w:r w:rsidRPr="00A43278">
              <w:rPr>
                <w:rFonts w:ascii="Franklin Gothic Book" w:eastAsia="Times New Roman" w:hAnsi="Franklin Gothic Book" w:cstheme="minorHAnsi"/>
                <w:iCs/>
                <w:sz w:val="17"/>
                <w:szCs w:val="17"/>
                <w:lang w:eastAsia="en-US"/>
              </w:rPr>
              <w:t>in 2014, up from 687 (68</w:t>
            </w:r>
            <w:r w:rsidR="00682DF0" w:rsidRPr="00A43278">
              <w:rPr>
                <w:rFonts w:ascii="Franklin Gothic Book" w:eastAsia="Times New Roman" w:hAnsi="Franklin Gothic Book" w:cstheme="minorHAnsi"/>
                <w:iCs/>
                <w:sz w:val="17"/>
                <w:szCs w:val="17"/>
                <w:lang w:eastAsia="en-US"/>
              </w:rPr>
              <w:t xml:space="preserve"> per cent) </w:t>
            </w:r>
            <w:r w:rsidRPr="00A43278">
              <w:rPr>
                <w:rFonts w:ascii="Franklin Gothic Book" w:eastAsia="Times New Roman" w:hAnsi="Franklin Gothic Book" w:cstheme="minorHAnsi"/>
                <w:iCs/>
                <w:sz w:val="17"/>
                <w:szCs w:val="17"/>
                <w:lang w:eastAsia="en-US"/>
              </w:rPr>
              <w:t>in 2013.</w:t>
            </w:r>
          </w:p>
        </w:tc>
      </w:tr>
      <w:tr w:rsidR="003F59DC" w:rsidRPr="004F7D80" w:rsidTr="00A43278">
        <w:trPr>
          <w:trHeight w:val="228"/>
        </w:trPr>
        <w:tc>
          <w:tcPr>
            <w:tcW w:w="892" w:type="pct"/>
          </w:tcPr>
          <w:p w:rsidR="005937D2" w:rsidRPr="00A43278" w:rsidRDefault="005937D2" w:rsidP="005937D2">
            <w:pPr>
              <w:pStyle w:val="TableTextEntries"/>
              <w:rPr>
                <w:rFonts w:cstheme="minorHAnsi"/>
              </w:rPr>
            </w:pP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Increasing number of FSV related cases reaching the Office of Public Prosecutor. </w:t>
            </w:r>
          </w:p>
        </w:tc>
        <w:tc>
          <w:tcPr>
            <w:tcW w:w="428" w:type="pct"/>
            <w:shd w:val="clear" w:color="auto" w:fill="E36C0A" w:themeFill="accent6" w:themeFillShade="BF"/>
          </w:tcPr>
          <w:p w:rsidR="005937D2" w:rsidRPr="00C4792B" w:rsidRDefault="005937D2" w:rsidP="00F86541">
            <w:pPr>
              <w:pStyle w:val="TableTextEntries"/>
              <w:jc w:val="center"/>
              <w:rPr>
                <w:color w:val="FFFFFF" w:themeColor="background1"/>
              </w:rPr>
            </w:pPr>
            <w:r w:rsidRPr="00C4792B">
              <w:rPr>
                <w:color w:val="FFFFFF" w:themeColor="background1"/>
              </w:rPr>
              <w:t>Partly achieved</w:t>
            </w:r>
          </w:p>
        </w:tc>
        <w:tc>
          <w:tcPr>
            <w:tcW w:w="2203" w:type="pct"/>
          </w:tcPr>
          <w:p w:rsidR="005937D2" w:rsidRPr="00A43278" w:rsidRDefault="005937D2" w:rsidP="005937D2">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The number remained steady and is less than expected given the very high rates of FSV – Australian advisers are working with PNG counterparts to address the barriers to</w:t>
            </w:r>
            <w:r w:rsidR="009A1CBC" w:rsidRPr="00A43278">
              <w:rPr>
                <w:rFonts w:ascii="Franklin Gothic Book" w:eastAsia="Times New Roman" w:hAnsi="Franklin Gothic Book" w:cstheme="minorHAnsi"/>
                <w:iCs/>
                <w:sz w:val="17"/>
                <w:szCs w:val="17"/>
                <w:lang w:eastAsia="en-US"/>
              </w:rPr>
              <w:t xml:space="preserve"> investigation and subsequent</w:t>
            </w:r>
            <w:r w:rsidRPr="00A43278">
              <w:rPr>
                <w:rFonts w:ascii="Franklin Gothic Book" w:eastAsia="Times New Roman" w:hAnsi="Franklin Gothic Book" w:cstheme="minorHAnsi"/>
                <w:iCs/>
                <w:sz w:val="17"/>
                <w:szCs w:val="17"/>
                <w:lang w:eastAsia="en-US"/>
              </w:rPr>
              <w:t xml:space="preserve"> prosecution.</w:t>
            </w:r>
          </w:p>
        </w:tc>
      </w:tr>
      <w:tr w:rsidR="003F59DC" w:rsidRPr="004F7D80" w:rsidTr="00A43278">
        <w:trPr>
          <w:trHeight w:val="228"/>
        </w:trPr>
        <w:tc>
          <w:tcPr>
            <w:tcW w:w="892" w:type="pct"/>
          </w:tcPr>
          <w:p w:rsidR="005937D2" w:rsidRPr="00A43278" w:rsidRDefault="005937D2" w:rsidP="005937D2">
            <w:pPr>
              <w:pStyle w:val="TableTextEntries"/>
              <w:rPr>
                <w:rFonts w:cstheme="minorHAnsi"/>
              </w:rPr>
            </w:pPr>
            <w:r w:rsidRPr="00A43278">
              <w:rPr>
                <w:rFonts w:cstheme="minorHAnsi"/>
              </w:rPr>
              <w:t>Improved resistance, detection, investigation and prosecution of corruption</w:t>
            </w: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Measurable progress on FATF Action Plan (assessed by APG Regional Review Group).</w:t>
            </w:r>
          </w:p>
        </w:tc>
        <w:tc>
          <w:tcPr>
            <w:tcW w:w="428" w:type="pct"/>
            <w:shd w:val="clear" w:color="auto" w:fill="92D050"/>
          </w:tcPr>
          <w:p w:rsidR="005937D2" w:rsidRPr="00C4792B" w:rsidRDefault="005937D2" w:rsidP="00F86541">
            <w:pPr>
              <w:pStyle w:val="TableTextEntries"/>
              <w:jc w:val="center"/>
              <w:rPr>
                <w:color w:val="FFFFFF" w:themeColor="background1"/>
              </w:rPr>
            </w:pPr>
            <w:r w:rsidRPr="00C4792B">
              <w:rPr>
                <w:color w:val="FFFFFF" w:themeColor="background1"/>
              </w:rPr>
              <w:t>Achieved</w:t>
            </w:r>
          </w:p>
        </w:tc>
        <w:tc>
          <w:tcPr>
            <w:tcW w:w="2203" w:type="pct"/>
          </w:tcPr>
          <w:p w:rsidR="005937D2" w:rsidRPr="00A43278" w:rsidRDefault="009A1CBC" w:rsidP="005937D2">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FATF Regional Review Group assessed PNG’s Progress against its FATF Action Plan favourably, with five major pieces of legislation completed on schedule</w:t>
            </w:r>
            <w:r w:rsidR="00A259FE" w:rsidRPr="00A43278">
              <w:rPr>
                <w:rFonts w:ascii="Franklin Gothic Book" w:eastAsia="Times New Roman" w:hAnsi="Franklin Gothic Book" w:cstheme="minorHAnsi"/>
                <w:iCs/>
                <w:sz w:val="17"/>
                <w:szCs w:val="17"/>
                <w:lang w:eastAsia="en-US"/>
              </w:rPr>
              <w:t xml:space="preserve"> (and passed in July 2015)</w:t>
            </w:r>
            <w:r w:rsidRPr="00A43278">
              <w:rPr>
                <w:rFonts w:ascii="Franklin Gothic Book" w:eastAsia="Times New Roman" w:hAnsi="Franklin Gothic Book" w:cstheme="minorHAnsi"/>
                <w:iCs/>
                <w:sz w:val="17"/>
                <w:szCs w:val="17"/>
                <w:lang w:eastAsia="en-US"/>
              </w:rPr>
              <w:t xml:space="preserve"> and significant whole-of-government reform underway.</w:t>
            </w:r>
          </w:p>
        </w:tc>
      </w:tr>
      <w:tr w:rsidR="003F59DC" w:rsidRPr="004F7D80" w:rsidTr="00A43278">
        <w:trPr>
          <w:trHeight w:val="228"/>
        </w:trPr>
        <w:tc>
          <w:tcPr>
            <w:tcW w:w="892" w:type="pct"/>
          </w:tcPr>
          <w:p w:rsidR="005937D2" w:rsidRPr="00A43278" w:rsidRDefault="005937D2" w:rsidP="00EA569D">
            <w:pPr>
              <w:spacing w:after="200" w:line="276" w:lineRule="auto"/>
              <w:contextualSpacing/>
              <w:rPr>
                <w:rFonts w:ascii="Franklin Gothic Book" w:hAnsi="Franklin Gothic Book" w:cstheme="minorHAnsi"/>
                <w:i/>
                <w:color w:val="000000"/>
                <w:sz w:val="17"/>
                <w:szCs w:val="17"/>
              </w:rPr>
            </w:pP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Increase in the number and value of restraint of proceeds of crime cases referred to the Office of Public Prosecutor.</w:t>
            </w:r>
          </w:p>
        </w:tc>
        <w:tc>
          <w:tcPr>
            <w:tcW w:w="428" w:type="pct"/>
            <w:shd w:val="clear" w:color="auto" w:fill="FF0000"/>
          </w:tcPr>
          <w:p w:rsidR="005937D2" w:rsidRPr="00C4792B" w:rsidRDefault="005937D2" w:rsidP="00F86541">
            <w:pPr>
              <w:pStyle w:val="TableTextEntries"/>
              <w:jc w:val="center"/>
              <w:rPr>
                <w:color w:val="FFFFFF" w:themeColor="background1"/>
              </w:rPr>
            </w:pPr>
            <w:r w:rsidRPr="00C4792B">
              <w:rPr>
                <w:color w:val="FFFFFF" w:themeColor="background1"/>
              </w:rPr>
              <w:t>Not achieved</w:t>
            </w:r>
          </w:p>
        </w:tc>
        <w:tc>
          <w:tcPr>
            <w:tcW w:w="2203" w:type="pct"/>
          </w:tcPr>
          <w:p w:rsidR="005937D2" w:rsidRPr="00A43278" w:rsidRDefault="00973E3A" w:rsidP="002E79CE">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Two new case referrals were made during the reporting period and two prior case referrals were the subject of ongoing investigation. In the previous period six matters were referred to the OPP for consideration. </w:t>
            </w:r>
          </w:p>
        </w:tc>
      </w:tr>
      <w:tr w:rsidR="003F59DC" w:rsidRPr="004F7D80" w:rsidTr="00A43278">
        <w:trPr>
          <w:trHeight w:val="228"/>
        </w:trPr>
        <w:tc>
          <w:tcPr>
            <w:tcW w:w="892" w:type="pct"/>
          </w:tcPr>
          <w:p w:rsidR="005937D2" w:rsidRPr="00A43278" w:rsidRDefault="005937D2" w:rsidP="00EA569D">
            <w:pPr>
              <w:spacing w:after="200" w:line="276" w:lineRule="auto"/>
              <w:contextualSpacing/>
              <w:rPr>
                <w:rFonts w:ascii="Franklin Gothic Book" w:hAnsi="Franklin Gothic Book" w:cstheme="minorHAnsi"/>
                <w:i/>
                <w:color w:val="000000"/>
                <w:sz w:val="17"/>
                <w:szCs w:val="17"/>
              </w:rPr>
            </w:pP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ICAC on track to be established.</w:t>
            </w:r>
          </w:p>
        </w:tc>
        <w:tc>
          <w:tcPr>
            <w:tcW w:w="428" w:type="pct"/>
            <w:shd w:val="clear" w:color="auto" w:fill="E36C0A" w:themeFill="accent6" w:themeFillShade="BF"/>
          </w:tcPr>
          <w:p w:rsidR="005937D2" w:rsidRPr="00C4792B" w:rsidRDefault="005937D2" w:rsidP="00F86541">
            <w:pPr>
              <w:pStyle w:val="TableTextEntries"/>
              <w:jc w:val="center"/>
              <w:rPr>
                <w:color w:val="FFFFFF" w:themeColor="background1"/>
              </w:rPr>
            </w:pPr>
            <w:r w:rsidRPr="00C4792B">
              <w:rPr>
                <w:color w:val="FFFFFF" w:themeColor="background1"/>
              </w:rPr>
              <w:t>Partly achieved</w:t>
            </w:r>
          </w:p>
        </w:tc>
        <w:tc>
          <w:tcPr>
            <w:tcW w:w="2203" w:type="pct"/>
          </w:tcPr>
          <w:p w:rsidR="005937D2" w:rsidRPr="00A43278" w:rsidRDefault="005937D2" w:rsidP="005937D2">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With SGP support, DJAG finalised the legislation to establish the ICAC. A decision on tabling it in Parliament is a matter for Government of PNG.</w:t>
            </w:r>
          </w:p>
        </w:tc>
      </w:tr>
      <w:tr w:rsidR="003F59DC" w:rsidRPr="004F7D80" w:rsidTr="00A43278">
        <w:trPr>
          <w:trHeight w:val="228"/>
        </w:trPr>
        <w:tc>
          <w:tcPr>
            <w:tcW w:w="892" w:type="pct"/>
          </w:tcPr>
          <w:p w:rsidR="005937D2" w:rsidRPr="00A43278" w:rsidRDefault="005937D2" w:rsidP="00EA569D">
            <w:pPr>
              <w:spacing w:after="200" w:line="276" w:lineRule="auto"/>
              <w:contextualSpacing/>
              <w:rPr>
                <w:rFonts w:ascii="Franklin Gothic Book" w:hAnsi="Franklin Gothic Book" w:cstheme="minorHAnsi"/>
                <w:i/>
                <w:color w:val="000000"/>
                <w:sz w:val="17"/>
                <w:szCs w:val="17"/>
              </w:rPr>
            </w:pPr>
            <w:r w:rsidRPr="00C4792B">
              <w:rPr>
                <w:rFonts w:ascii="Franklin Gothic Book" w:eastAsia="Times New Roman" w:hAnsi="Franklin Gothic Book"/>
                <w:b/>
                <w:iCs/>
                <w:sz w:val="17"/>
                <w:szCs w:val="17"/>
                <w:lang w:eastAsia="en-US"/>
              </w:rPr>
              <w:t>Objective 4 – Improved transport outcomes</w:t>
            </w:r>
          </w:p>
        </w:tc>
        <w:tc>
          <w:tcPr>
            <w:tcW w:w="1476" w:type="pct"/>
            <w:shd w:val="clear" w:color="auto" w:fill="auto"/>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p>
        </w:tc>
        <w:tc>
          <w:tcPr>
            <w:tcW w:w="428" w:type="pct"/>
            <w:shd w:val="clear" w:color="auto" w:fill="auto"/>
          </w:tcPr>
          <w:p w:rsidR="005937D2" w:rsidRPr="00C4792B" w:rsidRDefault="005937D2" w:rsidP="00F86541">
            <w:pPr>
              <w:pStyle w:val="TableTextEntries"/>
              <w:jc w:val="center"/>
              <w:rPr>
                <w:color w:val="FFFFFF" w:themeColor="background1"/>
              </w:rPr>
            </w:pPr>
          </w:p>
        </w:tc>
        <w:tc>
          <w:tcPr>
            <w:tcW w:w="2203" w:type="pct"/>
            <w:shd w:val="clear" w:color="auto" w:fill="auto"/>
          </w:tcPr>
          <w:p w:rsidR="005937D2" w:rsidRPr="00A43278" w:rsidRDefault="005937D2" w:rsidP="005937D2">
            <w:pPr>
              <w:spacing w:after="200"/>
              <w:ind w:left="32"/>
              <w:rPr>
                <w:rFonts w:ascii="Franklin Gothic Book" w:eastAsia="Times New Roman" w:hAnsi="Franklin Gothic Book" w:cstheme="minorHAnsi"/>
                <w:iCs/>
                <w:sz w:val="17"/>
                <w:szCs w:val="17"/>
                <w:lang w:eastAsia="en-US"/>
              </w:rPr>
            </w:pPr>
          </w:p>
        </w:tc>
      </w:tr>
      <w:tr w:rsidR="003F59DC" w:rsidRPr="004F7D80" w:rsidTr="00A43278">
        <w:trPr>
          <w:trHeight w:val="228"/>
        </w:trPr>
        <w:tc>
          <w:tcPr>
            <w:tcW w:w="892" w:type="pct"/>
          </w:tcPr>
          <w:p w:rsidR="005937D2" w:rsidRPr="00A43278" w:rsidRDefault="005937D2" w:rsidP="005937D2">
            <w:pPr>
              <w:pStyle w:val="TableTextEntries"/>
              <w:rPr>
                <w:rFonts w:cstheme="minorHAnsi"/>
              </w:rPr>
            </w:pPr>
            <w:r w:rsidRPr="00A43278">
              <w:rPr>
                <w:rFonts w:cstheme="minorHAnsi"/>
              </w:rPr>
              <w:t xml:space="preserve">Improved Road Infrastructure </w:t>
            </w: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75 per cent of the 16 national priority roads in good condition (as rated in PNG’s Road Asset Maintenance System).</w:t>
            </w:r>
          </w:p>
        </w:tc>
        <w:tc>
          <w:tcPr>
            <w:tcW w:w="428" w:type="pct"/>
            <w:shd w:val="clear" w:color="auto" w:fill="92D050"/>
          </w:tcPr>
          <w:p w:rsidR="005937D2" w:rsidRPr="00C4792B" w:rsidRDefault="005937D2" w:rsidP="00F86541">
            <w:pPr>
              <w:pStyle w:val="TableTextEntries"/>
              <w:jc w:val="center"/>
              <w:rPr>
                <w:color w:val="FFFFFF" w:themeColor="background1"/>
              </w:rPr>
            </w:pPr>
            <w:r w:rsidRPr="00C4792B">
              <w:rPr>
                <w:color w:val="FFFFFF" w:themeColor="background1"/>
              </w:rPr>
              <w:t>Achieved</w:t>
            </w:r>
          </w:p>
        </w:tc>
        <w:tc>
          <w:tcPr>
            <w:tcW w:w="2203" w:type="pct"/>
          </w:tcPr>
          <w:p w:rsidR="005937D2" w:rsidRPr="00A43278" w:rsidRDefault="005937D2" w:rsidP="00A86139">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 xml:space="preserve">A green rating is based upon </w:t>
            </w:r>
            <w:r w:rsidR="00A86139" w:rsidRPr="00A43278">
              <w:rPr>
                <w:rFonts w:ascii="Franklin Gothic Book" w:eastAsia="Times New Roman" w:hAnsi="Franklin Gothic Book" w:cstheme="minorHAnsi"/>
                <w:iCs/>
                <w:sz w:val="17"/>
                <w:szCs w:val="17"/>
                <w:lang w:eastAsia="en-US"/>
              </w:rPr>
              <w:t xml:space="preserve">solid progress in the sector and </w:t>
            </w:r>
            <w:r w:rsidRPr="00A43278">
              <w:rPr>
                <w:rFonts w:ascii="Franklin Gothic Book" w:eastAsia="Times New Roman" w:hAnsi="Franklin Gothic Book" w:cstheme="minorHAnsi"/>
                <w:iCs/>
                <w:sz w:val="17"/>
                <w:szCs w:val="17"/>
                <w:lang w:eastAsia="en-US"/>
              </w:rPr>
              <w:t>a proposed recasting of this target ahead of 2015 Partnership talks. In 2014 TSSP maintained and rehabilitated 2125km of National Priority Roads.</w:t>
            </w:r>
            <w:r w:rsidR="00A86139" w:rsidRPr="00A43278">
              <w:rPr>
                <w:rFonts w:ascii="Franklin Gothic Book" w:eastAsia="Times New Roman" w:hAnsi="Franklin Gothic Book" w:cstheme="minorHAnsi"/>
                <w:iCs/>
                <w:sz w:val="17"/>
                <w:szCs w:val="17"/>
                <w:lang w:eastAsia="en-US"/>
              </w:rPr>
              <w:t xml:space="preserve"> Work to establish a more accurate baseline road condition is underway and is expected to be completed</w:t>
            </w:r>
            <w:r w:rsidR="00A86139" w:rsidRPr="00A43278">
              <w:rPr>
                <w:rFonts w:ascii="Franklin Gothic Book" w:eastAsia="Calibri" w:hAnsi="Franklin Gothic Book" w:cstheme="minorHAnsi"/>
                <w:sz w:val="17"/>
                <w:szCs w:val="17"/>
                <w:lang w:eastAsia="en-US"/>
              </w:rPr>
              <w:t xml:space="preserve"> during 2015-16.</w:t>
            </w:r>
          </w:p>
        </w:tc>
      </w:tr>
      <w:tr w:rsidR="003F59DC" w:rsidRPr="004F7D80" w:rsidTr="00A43278">
        <w:trPr>
          <w:trHeight w:val="228"/>
        </w:trPr>
        <w:tc>
          <w:tcPr>
            <w:tcW w:w="892" w:type="pct"/>
          </w:tcPr>
          <w:p w:rsidR="005937D2" w:rsidRPr="00A43278" w:rsidRDefault="005937D2" w:rsidP="005937D2">
            <w:pPr>
              <w:pStyle w:val="TableTextEntries"/>
              <w:rPr>
                <w:rFonts w:cstheme="minorHAnsi"/>
              </w:rPr>
            </w:pPr>
            <w:r w:rsidRPr="00A43278">
              <w:rPr>
                <w:rFonts w:cstheme="minorHAnsi"/>
              </w:rPr>
              <w:t>Improved Aviation and Maritime Infrastructure</w:t>
            </w:r>
          </w:p>
        </w:tc>
        <w:tc>
          <w:tcPr>
            <w:tcW w:w="1476" w:type="pct"/>
          </w:tcPr>
          <w:p w:rsidR="005937D2" w:rsidRPr="00A43278" w:rsidRDefault="005937D2" w:rsidP="005937D2">
            <w:pPr>
              <w:spacing w:after="200"/>
              <w:ind w:left="-20"/>
              <w:contextualSpacing/>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Aviation and maritime transport services have consistently moved towards full compliance with international safety and security standards.</w:t>
            </w:r>
          </w:p>
        </w:tc>
        <w:tc>
          <w:tcPr>
            <w:tcW w:w="428" w:type="pct"/>
            <w:shd w:val="clear" w:color="auto" w:fill="92D050"/>
          </w:tcPr>
          <w:p w:rsidR="005937D2" w:rsidRPr="00C4792B" w:rsidRDefault="005937D2" w:rsidP="00F86541">
            <w:pPr>
              <w:pStyle w:val="TableTextEntries"/>
              <w:jc w:val="center"/>
              <w:rPr>
                <w:color w:val="FFFFFF" w:themeColor="background1"/>
              </w:rPr>
            </w:pPr>
            <w:r w:rsidRPr="00C4792B">
              <w:rPr>
                <w:color w:val="FFFFFF" w:themeColor="background1"/>
              </w:rPr>
              <w:t>Achieved</w:t>
            </w:r>
          </w:p>
        </w:tc>
        <w:tc>
          <w:tcPr>
            <w:tcW w:w="2203" w:type="pct"/>
          </w:tcPr>
          <w:p w:rsidR="005937D2" w:rsidRPr="00A43278" w:rsidRDefault="005937D2" w:rsidP="00682DF0">
            <w:pPr>
              <w:spacing w:after="200"/>
              <w:ind w:left="32"/>
              <w:rPr>
                <w:rFonts w:ascii="Franklin Gothic Book" w:eastAsia="Times New Roman" w:hAnsi="Franklin Gothic Book" w:cstheme="minorHAnsi"/>
                <w:iCs/>
                <w:sz w:val="17"/>
                <w:szCs w:val="17"/>
                <w:lang w:eastAsia="en-US"/>
              </w:rPr>
            </w:pPr>
            <w:r w:rsidRPr="00A43278">
              <w:rPr>
                <w:rFonts w:ascii="Franklin Gothic Book" w:eastAsia="Times New Roman" w:hAnsi="Franklin Gothic Book" w:cstheme="minorHAnsi"/>
                <w:iCs/>
                <w:sz w:val="17"/>
                <w:szCs w:val="17"/>
                <w:lang w:eastAsia="en-US"/>
              </w:rPr>
              <w:t>Australian assistance directly supported PNG’s efforts in meeting international standards, in areas including accident investigation, aviation safety regulation, air traffic management, transport policy and maritime safety.</w:t>
            </w:r>
            <w:r w:rsidR="00A86139" w:rsidRPr="00A43278">
              <w:rPr>
                <w:rFonts w:ascii="Franklin Gothic Book" w:eastAsia="Times New Roman" w:hAnsi="Franklin Gothic Book" w:cstheme="minorHAnsi"/>
                <w:iCs/>
                <w:sz w:val="17"/>
                <w:szCs w:val="17"/>
                <w:lang w:eastAsia="en-US"/>
              </w:rPr>
              <w:t xml:space="preserve"> During 2014-15, PNG’s most recent International Civil Aviation Organisation (ICAO) grading resulted in PNG progressing to an ICAO Effective Implementation Score of 50.3</w:t>
            </w:r>
            <w:r w:rsidR="00682DF0" w:rsidRPr="00A43278">
              <w:rPr>
                <w:rFonts w:ascii="Franklin Gothic Book" w:eastAsia="Times New Roman" w:hAnsi="Franklin Gothic Book" w:cstheme="minorHAnsi"/>
                <w:iCs/>
                <w:sz w:val="17"/>
                <w:szCs w:val="17"/>
                <w:lang w:eastAsia="en-US"/>
              </w:rPr>
              <w:t xml:space="preserve"> per cent</w:t>
            </w:r>
            <w:r w:rsidR="00A86139" w:rsidRPr="00A43278">
              <w:rPr>
                <w:rFonts w:ascii="Franklin Gothic Book" w:eastAsia="Times New Roman" w:hAnsi="Franklin Gothic Book" w:cstheme="minorHAnsi"/>
                <w:iCs/>
                <w:sz w:val="17"/>
                <w:szCs w:val="17"/>
                <w:lang w:eastAsia="en-US"/>
              </w:rPr>
              <w:t>. PNG’s score had improved from 49.17</w:t>
            </w:r>
            <w:r w:rsidR="00682DF0" w:rsidRPr="00A43278">
              <w:rPr>
                <w:rFonts w:ascii="Franklin Gothic Book" w:eastAsia="Times New Roman" w:hAnsi="Franklin Gothic Book" w:cstheme="minorHAnsi"/>
                <w:iCs/>
                <w:sz w:val="17"/>
                <w:szCs w:val="17"/>
                <w:lang w:eastAsia="en-US"/>
              </w:rPr>
              <w:t xml:space="preserve"> per cent</w:t>
            </w:r>
            <w:r w:rsidR="00A86139" w:rsidRPr="00A43278">
              <w:rPr>
                <w:rFonts w:ascii="Franklin Gothic Book" w:eastAsia="Times New Roman" w:hAnsi="Franklin Gothic Book" w:cstheme="minorHAnsi"/>
                <w:iCs/>
                <w:sz w:val="17"/>
                <w:szCs w:val="17"/>
                <w:lang w:eastAsia="en-US"/>
              </w:rPr>
              <w:t xml:space="preserve"> in December 2014.</w:t>
            </w:r>
          </w:p>
        </w:tc>
      </w:tr>
    </w:tbl>
    <w:p w:rsidR="005937D2" w:rsidRPr="00FE4491" w:rsidRDefault="005937D2" w:rsidP="005937D2">
      <w:pPr>
        <w:pStyle w:val="Note"/>
      </w:pPr>
      <w:r w:rsidRPr="00FE4491">
        <w:t xml:space="preserve">Note: </w:t>
      </w:r>
    </w:p>
    <w:p w:rsidR="005937D2" w:rsidRPr="00671434" w:rsidRDefault="005937D2" w:rsidP="005937D2">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rsidR="005937D2" w:rsidRPr="00EA3BAD" w:rsidRDefault="005937D2" w:rsidP="005937D2">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rsidR="005937D2" w:rsidRDefault="005937D2" w:rsidP="005937D2">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p>
    <w:p w:rsidR="00F50F93" w:rsidRPr="00416B02" w:rsidRDefault="00F50F93" w:rsidP="00F50F93">
      <w:pPr>
        <w:spacing w:after="200" w:line="276" w:lineRule="auto"/>
        <w:sectPr w:rsidR="00F50F93" w:rsidRPr="00416B02" w:rsidSect="00A43278">
          <w:headerReference w:type="even" r:id="rId27"/>
          <w:footerReference w:type="first" r:id="rId28"/>
          <w:footnotePr>
            <w:numRestart w:val="eachPage"/>
          </w:footnotePr>
          <w:pgSz w:w="16838" w:h="11906" w:orient="landscape" w:code="9"/>
          <w:pgMar w:top="1814" w:right="1814" w:bottom="851" w:left="851" w:header="709" w:footer="425" w:gutter="0"/>
          <w:cols w:space="708"/>
          <w:titlePg/>
          <w:docGrid w:linePitch="360"/>
        </w:sectPr>
      </w:pPr>
    </w:p>
    <w:bookmarkEnd w:id="0"/>
    <w:p w:rsidR="00C31AD2" w:rsidRPr="00A43278" w:rsidRDefault="00C31AD2" w:rsidP="00A43278">
      <w:pPr>
        <w:pStyle w:val="Heading2"/>
        <w:tabs>
          <w:tab w:val="left" w:pos="1560"/>
        </w:tabs>
        <w:rPr>
          <w:sz w:val="28"/>
        </w:rPr>
      </w:pPr>
      <w:r w:rsidRPr="00A43278">
        <w:rPr>
          <w:sz w:val="28"/>
        </w:rPr>
        <w:lastRenderedPageBreak/>
        <w:t>Annex C</w:t>
      </w:r>
      <w:r w:rsidR="00AF2C01">
        <w:rPr>
          <w:sz w:val="28"/>
        </w:rPr>
        <w:t xml:space="preserve"> -</w:t>
      </w:r>
      <w:r w:rsidR="00AF2C01" w:rsidRPr="00A43278">
        <w:rPr>
          <w:sz w:val="28"/>
        </w:rPr>
        <w:t xml:space="preserve"> </w:t>
      </w:r>
      <w:r w:rsidRPr="00A43278">
        <w:rPr>
          <w:sz w:val="28"/>
        </w:rPr>
        <w:t>PNG Evaluation and Review Pipeline Planning</w:t>
      </w:r>
    </w:p>
    <w:p w:rsidR="00AD20BB" w:rsidRPr="00A12B20" w:rsidRDefault="00AD20BB">
      <w:pPr>
        <w:pStyle w:val="Heading3"/>
      </w:pPr>
      <w:r w:rsidRPr="00A12B20">
        <w:t xml:space="preserve">List of evaluation and reviews completed in the reporting period (2014-15) </w:t>
      </w:r>
    </w:p>
    <w:tbl>
      <w:tblPr>
        <w:tblStyle w:val="DFATTable"/>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652"/>
        <w:gridCol w:w="1856"/>
        <w:gridCol w:w="1441"/>
        <w:gridCol w:w="2268"/>
        <w:gridCol w:w="2680"/>
        <w:gridCol w:w="1645"/>
        <w:gridCol w:w="1853"/>
      </w:tblGrid>
      <w:tr w:rsidR="00AD20BB" w:rsidRPr="00707D83" w:rsidTr="00A06A96">
        <w:tc>
          <w:tcPr>
            <w:tcW w:w="612"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 xml:space="preserve">Investment Name </w:t>
            </w:r>
          </w:p>
        </w:tc>
        <w:tc>
          <w:tcPr>
            <w:tcW w:w="541"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AidWorks number</w:t>
            </w:r>
          </w:p>
        </w:tc>
        <w:tc>
          <w:tcPr>
            <w:tcW w:w="608"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Name of Evaluation</w:t>
            </w:r>
          </w:p>
        </w:tc>
        <w:tc>
          <w:tcPr>
            <w:tcW w:w="472"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Date finalised</w:t>
            </w:r>
          </w:p>
        </w:tc>
        <w:tc>
          <w:tcPr>
            <w:tcW w:w="743"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Date evaluation report uploaded into AidWorks</w:t>
            </w:r>
          </w:p>
        </w:tc>
        <w:tc>
          <w:tcPr>
            <w:tcW w:w="878"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Date management response uploaded into AidWorks</w:t>
            </w:r>
          </w:p>
        </w:tc>
        <w:tc>
          <w:tcPr>
            <w:tcW w:w="539"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Published on website</w:t>
            </w:r>
          </w:p>
        </w:tc>
        <w:tc>
          <w:tcPr>
            <w:tcW w:w="607"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Provide actual or estimated date</w:t>
            </w:r>
          </w:p>
        </w:tc>
      </w:tr>
      <w:tr w:rsidR="00AD20BB" w:rsidRPr="00707D83" w:rsidTr="00A06A96">
        <w:tc>
          <w:tcPr>
            <w:tcW w:w="612" w:type="pct"/>
            <w:tcBorders>
              <w:bottom w:val="single" w:sz="4" w:space="0" w:color="auto"/>
            </w:tcBorders>
            <w:shd w:val="clear" w:color="auto" w:fill="FFFFFF" w:themeFill="background1"/>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Health &amp; HIV Program</w:t>
            </w:r>
          </w:p>
        </w:tc>
        <w:tc>
          <w:tcPr>
            <w:tcW w:w="541" w:type="pct"/>
            <w:tcBorders>
              <w:bottom w:val="single" w:sz="4" w:space="0" w:color="auto"/>
            </w:tcBorders>
            <w:shd w:val="clear" w:color="auto" w:fill="FFFFFF" w:themeFill="background1"/>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INK214</w:t>
            </w:r>
          </w:p>
        </w:tc>
        <w:tc>
          <w:tcPr>
            <w:tcW w:w="608" w:type="pct"/>
            <w:tcBorders>
              <w:bottom w:val="single" w:sz="4" w:space="0" w:color="auto"/>
            </w:tcBorders>
            <w:shd w:val="clear" w:color="auto" w:fill="FFFFFF" w:themeFill="background1"/>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Health &amp; HIV Portfolio Evaluation</w:t>
            </w:r>
          </w:p>
        </w:tc>
        <w:tc>
          <w:tcPr>
            <w:tcW w:w="472" w:type="pct"/>
            <w:tcBorders>
              <w:bottom w:val="single" w:sz="4" w:space="0" w:color="auto"/>
            </w:tcBorders>
            <w:shd w:val="clear" w:color="auto" w:fill="FFFFFF" w:themeFill="background1"/>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11 May 2015</w:t>
            </w:r>
          </w:p>
        </w:tc>
        <w:tc>
          <w:tcPr>
            <w:tcW w:w="743" w:type="pct"/>
            <w:tcBorders>
              <w:bottom w:val="single" w:sz="4" w:space="0" w:color="auto"/>
            </w:tcBorders>
            <w:shd w:val="clear" w:color="auto" w:fill="FFFFFF" w:themeFill="background1"/>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Not uploaded</w:t>
            </w:r>
          </w:p>
        </w:tc>
        <w:tc>
          <w:tcPr>
            <w:tcW w:w="878" w:type="pct"/>
            <w:tcBorders>
              <w:bottom w:val="single" w:sz="4" w:space="0" w:color="auto"/>
            </w:tcBorders>
            <w:shd w:val="clear" w:color="auto" w:fill="FFFFFF" w:themeFill="background1"/>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Not done and uploaded</w:t>
            </w:r>
          </w:p>
        </w:tc>
        <w:tc>
          <w:tcPr>
            <w:tcW w:w="539" w:type="pct"/>
            <w:tcBorders>
              <w:bottom w:val="single" w:sz="4" w:space="0" w:color="auto"/>
            </w:tcBorders>
            <w:shd w:val="clear" w:color="auto" w:fill="FFFFFF" w:themeFill="background1"/>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Not done</w:t>
            </w:r>
          </w:p>
        </w:tc>
        <w:tc>
          <w:tcPr>
            <w:tcW w:w="607" w:type="pct"/>
            <w:tcBorders>
              <w:bottom w:val="single" w:sz="4" w:space="0" w:color="auto"/>
            </w:tcBorders>
            <w:shd w:val="clear" w:color="auto" w:fill="FFFFFF" w:themeFill="background1"/>
          </w:tcPr>
          <w:p w:rsidR="00AD20BB" w:rsidRPr="00A43278" w:rsidRDefault="00E66D08" w:rsidP="00762618">
            <w:pPr>
              <w:rPr>
                <w:rFonts w:ascii="Franklin Gothic Book" w:hAnsi="Franklin Gothic Book" w:cstheme="minorHAnsi"/>
                <w:sz w:val="21"/>
                <w:szCs w:val="21"/>
              </w:rPr>
            </w:pPr>
            <w:r>
              <w:rPr>
                <w:rFonts w:ascii="Franklin Gothic Book" w:hAnsi="Franklin Gothic Book" w:cstheme="minorHAnsi"/>
                <w:sz w:val="21"/>
                <w:szCs w:val="21"/>
              </w:rPr>
              <w:t>30</w:t>
            </w:r>
            <w:r w:rsidR="00762618">
              <w:rPr>
                <w:rFonts w:ascii="Franklin Gothic Book" w:hAnsi="Franklin Gothic Book" w:cstheme="minorHAnsi"/>
                <w:sz w:val="21"/>
                <w:szCs w:val="21"/>
              </w:rPr>
              <w:t xml:space="preserve"> November </w:t>
            </w:r>
            <w:r>
              <w:rPr>
                <w:rFonts w:ascii="Franklin Gothic Book" w:hAnsi="Franklin Gothic Book" w:cstheme="minorHAnsi"/>
                <w:sz w:val="21"/>
                <w:szCs w:val="21"/>
              </w:rPr>
              <w:t>15</w:t>
            </w:r>
          </w:p>
        </w:tc>
      </w:tr>
    </w:tbl>
    <w:p w:rsidR="00AF2C01" w:rsidRPr="00A43278" w:rsidRDefault="00AF2C01" w:rsidP="00A12B20">
      <w:pPr>
        <w:rPr>
          <w:rFonts w:asciiTheme="minorHAnsi" w:hAnsiTheme="minorHAnsi" w:cstheme="minorHAnsi"/>
          <w:sz w:val="22"/>
          <w:szCs w:val="22"/>
        </w:rPr>
      </w:pPr>
    </w:p>
    <w:p w:rsidR="00AD20BB" w:rsidRPr="00A12B20" w:rsidRDefault="00AD20BB">
      <w:pPr>
        <w:pStyle w:val="Heading3"/>
      </w:pPr>
      <w:r w:rsidRPr="00A12B20">
        <w:t>List of evaluation</w:t>
      </w:r>
      <w:r w:rsidR="00AF2C01">
        <w:t>s</w:t>
      </w:r>
      <w:r w:rsidRPr="00A12B20">
        <w:t xml:space="preserve"> planned in the next 12 months (July 2015</w:t>
      </w:r>
      <w:r w:rsidR="00924B56" w:rsidRPr="00A12B20">
        <w:t xml:space="preserve"> to </w:t>
      </w:r>
      <w:r w:rsidRPr="00A12B20">
        <w:t xml:space="preserve">June 2016) </w:t>
      </w:r>
    </w:p>
    <w:tbl>
      <w:tblPr>
        <w:tblStyle w:val="DFATTable"/>
        <w:tblW w:w="5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3117"/>
        <w:gridCol w:w="1421"/>
        <w:gridCol w:w="2417"/>
        <w:gridCol w:w="5082"/>
        <w:gridCol w:w="1565"/>
      </w:tblGrid>
      <w:tr w:rsidR="00AF2C01" w:rsidRPr="00707D83" w:rsidTr="00A43278">
        <w:trPr>
          <w:trHeight w:val="673"/>
        </w:trPr>
        <w:tc>
          <w:tcPr>
            <w:tcW w:w="627"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Sector</w:t>
            </w:r>
          </w:p>
        </w:tc>
        <w:tc>
          <w:tcPr>
            <w:tcW w:w="1002"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 xml:space="preserve">Investment Name </w:t>
            </w:r>
          </w:p>
        </w:tc>
        <w:tc>
          <w:tcPr>
            <w:tcW w:w="457"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AidWorks number</w:t>
            </w:r>
          </w:p>
        </w:tc>
        <w:tc>
          <w:tcPr>
            <w:tcW w:w="777"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Type of Evaluation</w:t>
            </w:r>
          </w:p>
        </w:tc>
        <w:tc>
          <w:tcPr>
            <w:tcW w:w="1634"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 xml:space="preserve">Purpose of evaluation </w:t>
            </w:r>
          </w:p>
        </w:tc>
        <w:tc>
          <w:tcPr>
            <w:tcW w:w="503" w:type="pct"/>
            <w:shd w:val="clear" w:color="auto" w:fill="DDD9C3" w:themeFill="background2" w:themeFillShade="E6"/>
          </w:tcPr>
          <w:p w:rsidR="00AD20BB" w:rsidRPr="00A43278" w:rsidRDefault="00AD20BB" w:rsidP="00A43278">
            <w:pPr>
              <w:rPr>
                <w:rFonts w:ascii="Franklin Gothic Book" w:hAnsi="Franklin Gothic Book" w:cstheme="minorHAnsi"/>
                <w:b/>
                <w:sz w:val="21"/>
                <w:szCs w:val="21"/>
              </w:rPr>
            </w:pPr>
            <w:r w:rsidRPr="00A43278">
              <w:rPr>
                <w:rFonts w:ascii="Franklin Gothic Book" w:hAnsi="Franklin Gothic Book" w:cstheme="minorHAnsi"/>
                <w:b/>
                <w:sz w:val="21"/>
                <w:szCs w:val="21"/>
              </w:rPr>
              <w:t xml:space="preserve">Expected completion date </w:t>
            </w:r>
          </w:p>
        </w:tc>
      </w:tr>
      <w:tr w:rsidR="00AF2C01" w:rsidRPr="00707D83" w:rsidTr="00A4327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trHeight w:val="673"/>
        </w:trPr>
        <w:tc>
          <w:tcPr>
            <w:tcW w:w="627" w:type="pct"/>
            <w:tcBorders>
              <w:top w:val="single" w:sz="4" w:space="0" w:color="auto"/>
              <w:left w:val="single" w:sz="4" w:space="0" w:color="auto"/>
              <w:bottom w:val="single" w:sz="4" w:space="0" w:color="auto"/>
              <w:right w:val="single" w:sz="4" w:space="0" w:color="auto"/>
            </w:tcBorders>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Education</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PNG Education Program</w:t>
            </w:r>
          </w:p>
        </w:tc>
        <w:tc>
          <w:tcPr>
            <w:tcW w:w="457" w:type="pct"/>
            <w:tcBorders>
              <w:top w:val="single" w:sz="4" w:space="0" w:color="auto"/>
              <w:left w:val="single" w:sz="4" w:space="0" w:color="auto"/>
              <w:bottom w:val="single" w:sz="4" w:space="0" w:color="auto"/>
              <w:right w:val="single" w:sz="4" w:space="0" w:color="auto"/>
            </w:tcBorders>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INJ761</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Independent Completion Review</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To verify program success upon completion and inform future investments</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June 2016</w:t>
            </w:r>
          </w:p>
        </w:tc>
      </w:tr>
      <w:tr w:rsidR="00AF2C01" w:rsidRPr="00707D83" w:rsidTr="00A4327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trHeight w:val="665"/>
        </w:trPr>
        <w:tc>
          <w:tcPr>
            <w:tcW w:w="627" w:type="pct"/>
            <w:tcBorders>
              <w:top w:val="single" w:sz="4" w:space="0" w:color="auto"/>
              <w:left w:val="single" w:sz="4" w:space="0" w:color="auto"/>
              <w:bottom w:val="single" w:sz="4" w:space="0" w:color="auto"/>
              <w:right w:val="single" w:sz="4" w:space="0" w:color="auto"/>
            </w:tcBorders>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Health and HIV</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 xml:space="preserve">PNG Health &amp; HIV Multilateral Partnerships  </w:t>
            </w:r>
          </w:p>
        </w:tc>
        <w:tc>
          <w:tcPr>
            <w:tcW w:w="457" w:type="pct"/>
            <w:tcBorders>
              <w:top w:val="single" w:sz="4" w:space="0" w:color="auto"/>
              <w:left w:val="single" w:sz="4" w:space="0" w:color="auto"/>
              <w:bottom w:val="single" w:sz="4" w:space="0" w:color="auto"/>
              <w:right w:val="single" w:sz="4" w:space="0" w:color="auto"/>
            </w:tcBorders>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INJ858</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12B20">
            <w:pPr>
              <w:rPr>
                <w:rFonts w:ascii="Franklin Gothic Book" w:hAnsi="Franklin Gothic Book" w:cstheme="minorHAnsi"/>
                <w:sz w:val="21"/>
                <w:szCs w:val="21"/>
              </w:rPr>
            </w:pPr>
            <w:r w:rsidRPr="00A43278">
              <w:rPr>
                <w:rFonts w:ascii="Franklin Gothic Book" w:hAnsi="Franklin Gothic Book" w:cstheme="minorHAnsi"/>
                <w:sz w:val="21"/>
                <w:szCs w:val="21"/>
              </w:rPr>
              <w:t>End of program review</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Improve performance and inform new design as well</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June 2016</w:t>
            </w:r>
          </w:p>
        </w:tc>
      </w:tr>
      <w:tr w:rsidR="00AF2C01" w:rsidRPr="00707D83" w:rsidTr="00A4327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trHeight w:val="673"/>
        </w:trPr>
        <w:tc>
          <w:tcPr>
            <w:tcW w:w="627" w:type="pct"/>
            <w:tcBorders>
              <w:top w:val="single" w:sz="4" w:space="0" w:color="auto"/>
              <w:left w:val="single" w:sz="4" w:space="0" w:color="auto"/>
              <w:bottom w:val="single" w:sz="4" w:space="0" w:color="auto"/>
              <w:right w:val="single" w:sz="4" w:space="0" w:color="auto"/>
            </w:tcBorders>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Health and HIV</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 xml:space="preserve">PNG Health &amp; HIV Financing </w:t>
            </w:r>
          </w:p>
        </w:tc>
        <w:tc>
          <w:tcPr>
            <w:tcW w:w="457" w:type="pct"/>
            <w:tcBorders>
              <w:top w:val="single" w:sz="4" w:space="0" w:color="auto"/>
              <w:left w:val="single" w:sz="4" w:space="0" w:color="auto"/>
              <w:bottom w:val="single" w:sz="4" w:space="0" w:color="auto"/>
              <w:right w:val="single" w:sz="4" w:space="0" w:color="auto"/>
            </w:tcBorders>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INK653</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12B20">
            <w:pPr>
              <w:rPr>
                <w:rFonts w:ascii="Franklin Gothic Book" w:hAnsi="Franklin Gothic Book" w:cstheme="minorHAnsi"/>
                <w:sz w:val="21"/>
                <w:szCs w:val="21"/>
              </w:rPr>
            </w:pPr>
            <w:r w:rsidRPr="00A43278">
              <w:rPr>
                <w:rFonts w:ascii="Franklin Gothic Book" w:hAnsi="Franklin Gothic Book" w:cstheme="minorHAnsi"/>
                <w:sz w:val="21"/>
                <w:szCs w:val="21"/>
              </w:rPr>
              <w:t>End of program review</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Program completion</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February 2016</w:t>
            </w:r>
          </w:p>
        </w:tc>
      </w:tr>
      <w:tr w:rsidR="00AF2C01" w:rsidRPr="00707D83" w:rsidTr="00A4327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trHeight w:val="394"/>
        </w:trPr>
        <w:tc>
          <w:tcPr>
            <w:tcW w:w="627" w:type="pct"/>
            <w:tcBorders>
              <w:top w:val="single" w:sz="4" w:space="0" w:color="auto"/>
              <w:left w:val="single" w:sz="4" w:space="0" w:color="auto"/>
              <w:bottom w:val="single" w:sz="4" w:space="0" w:color="auto"/>
              <w:right w:val="single" w:sz="4" w:space="0" w:color="auto"/>
            </w:tcBorders>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Health and HIV</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 xml:space="preserve">Health Capacity Development &amp; Service Delivery </w:t>
            </w:r>
          </w:p>
        </w:tc>
        <w:tc>
          <w:tcPr>
            <w:tcW w:w="457" w:type="pct"/>
            <w:tcBorders>
              <w:top w:val="single" w:sz="4" w:space="0" w:color="auto"/>
              <w:left w:val="single" w:sz="4" w:space="0" w:color="auto"/>
              <w:bottom w:val="single" w:sz="4" w:space="0" w:color="auto"/>
              <w:right w:val="single" w:sz="4" w:space="0" w:color="auto"/>
            </w:tcBorders>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INK214</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12B20">
            <w:pPr>
              <w:rPr>
                <w:rFonts w:ascii="Franklin Gothic Book" w:hAnsi="Franklin Gothic Book" w:cstheme="minorHAnsi"/>
                <w:sz w:val="21"/>
                <w:szCs w:val="21"/>
              </w:rPr>
            </w:pPr>
            <w:r w:rsidRPr="00A43278">
              <w:rPr>
                <w:rFonts w:ascii="Franklin Gothic Book" w:hAnsi="Franklin Gothic Book" w:cstheme="minorHAnsi"/>
                <w:sz w:val="21"/>
                <w:szCs w:val="21"/>
              </w:rPr>
              <w:t>Independent Completion Review</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To verify success upon completion and inform future investments</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January 2016</w:t>
            </w:r>
          </w:p>
        </w:tc>
      </w:tr>
      <w:tr w:rsidR="00AF2C01" w:rsidRPr="00707D83" w:rsidTr="00A43278">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trHeight w:val="158"/>
        </w:trPr>
        <w:tc>
          <w:tcPr>
            <w:tcW w:w="627" w:type="pct"/>
            <w:tcBorders>
              <w:top w:val="single" w:sz="4" w:space="0" w:color="auto"/>
              <w:left w:val="single" w:sz="4" w:space="0" w:color="auto"/>
              <w:bottom w:val="single" w:sz="4" w:space="0" w:color="auto"/>
              <w:right w:val="single" w:sz="4" w:space="0" w:color="auto"/>
            </w:tcBorders>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Health and HIV</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PNG Health &amp; HIV Procurement</w:t>
            </w:r>
          </w:p>
        </w:tc>
        <w:tc>
          <w:tcPr>
            <w:tcW w:w="457" w:type="pct"/>
            <w:tcBorders>
              <w:top w:val="single" w:sz="4" w:space="0" w:color="auto"/>
              <w:left w:val="single" w:sz="4" w:space="0" w:color="auto"/>
              <w:bottom w:val="single" w:sz="4" w:space="0" w:color="auto"/>
              <w:right w:val="single" w:sz="4" w:space="0" w:color="auto"/>
            </w:tcBorders>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INK651</w:t>
            </w: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Independent Progress Review</w:t>
            </w:r>
          </w:p>
        </w:tc>
        <w:tc>
          <w:tcPr>
            <w:tcW w:w="1634"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Review success to date and improve performance</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AD20BB" w:rsidRPr="00A43278" w:rsidRDefault="00AD20BB" w:rsidP="00A43278">
            <w:pPr>
              <w:rPr>
                <w:rFonts w:ascii="Franklin Gothic Book" w:hAnsi="Franklin Gothic Book" w:cstheme="minorHAnsi"/>
                <w:sz w:val="21"/>
                <w:szCs w:val="21"/>
              </w:rPr>
            </w:pPr>
            <w:r w:rsidRPr="00A43278">
              <w:rPr>
                <w:rFonts w:ascii="Franklin Gothic Book" w:hAnsi="Franklin Gothic Book" w:cstheme="minorHAnsi"/>
                <w:sz w:val="21"/>
                <w:szCs w:val="21"/>
              </w:rPr>
              <w:t>January 2016</w:t>
            </w:r>
          </w:p>
        </w:tc>
      </w:tr>
    </w:tbl>
    <w:p w:rsidR="00AD20BB" w:rsidRPr="00A43278" w:rsidRDefault="00AD20BB" w:rsidP="00A43278"/>
    <w:p w:rsidR="00E37B5A" w:rsidRDefault="00E37B5A" w:rsidP="00AD20BB">
      <w:pPr>
        <w:tabs>
          <w:tab w:val="left" w:pos="1200"/>
        </w:tabs>
        <w:sectPr w:rsidR="00E37B5A" w:rsidSect="00ED6FBF">
          <w:headerReference w:type="even" r:id="rId29"/>
          <w:footerReference w:type="first" r:id="rId30"/>
          <w:pgSz w:w="16840" w:h="11907" w:orient="landscape" w:code="9"/>
          <w:pgMar w:top="1871" w:right="2268" w:bottom="1871" w:left="907" w:header="851" w:footer="454" w:gutter="0"/>
          <w:cols w:space="720"/>
          <w:docGrid w:linePitch="272"/>
        </w:sectPr>
      </w:pPr>
      <w:r>
        <w:tab/>
      </w:r>
      <w:r>
        <w:tab/>
      </w:r>
    </w:p>
    <w:p w:rsidR="00416B02" w:rsidRDefault="005C310A" w:rsidP="0057490F">
      <w:pPr>
        <w:pStyle w:val="Heading2"/>
        <w:tabs>
          <w:tab w:val="left" w:pos="1560"/>
        </w:tabs>
        <w:rPr>
          <w:sz w:val="28"/>
        </w:rPr>
      </w:pPr>
      <w:r>
        <w:rPr>
          <w:sz w:val="28"/>
        </w:rPr>
        <w:lastRenderedPageBreak/>
        <w:t>Annex 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p>
    <w:p w:rsidR="00416B02" w:rsidRDefault="00416B02" w:rsidP="00416B02">
      <w:pPr>
        <w:pStyle w:val="BodyText"/>
      </w:pPr>
      <w: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r w:rsidR="0057490F">
        <w:t>.</w:t>
      </w:r>
    </w:p>
    <w:tbl>
      <w:tblPr>
        <w:tblW w:w="8804" w:type="dxa"/>
        <w:tblInd w:w="93" w:type="dxa"/>
        <w:tblLayout w:type="fixed"/>
        <w:tblLook w:val="04A0" w:firstRow="1" w:lastRow="0" w:firstColumn="1" w:lastColumn="0" w:noHBand="0" w:noVBand="1"/>
      </w:tblPr>
      <w:tblGrid>
        <w:gridCol w:w="1716"/>
        <w:gridCol w:w="1583"/>
        <w:gridCol w:w="969"/>
        <w:gridCol w:w="567"/>
        <w:gridCol w:w="567"/>
        <w:gridCol w:w="567"/>
        <w:gridCol w:w="567"/>
        <w:gridCol w:w="567"/>
        <w:gridCol w:w="567"/>
        <w:gridCol w:w="567"/>
        <w:gridCol w:w="567"/>
      </w:tblGrid>
      <w:tr w:rsidR="00A05067" w:rsidRPr="00E37B5A" w:rsidTr="006239A6">
        <w:trPr>
          <w:trHeight w:val="540"/>
        </w:trPr>
        <w:tc>
          <w:tcPr>
            <w:tcW w:w="3299" w:type="dxa"/>
            <w:gridSpan w:val="2"/>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b/>
                <w:color w:val="000000"/>
                <w:szCs w:val="20"/>
              </w:rPr>
            </w:pPr>
            <w:r>
              <w:rPr>
                <w:rFonts w:ascii="Calibri" w:eastAsia="Times New Roman" w:hAnsi="Calibri" w:cs="Calibri"/>
                <w:b/>
                <w:color w:val="000000"/>
                <w:szCs w:val="20"/>
              </w:rPr>
              <w:t>Aid Quality Check (</w:t>
            </w:r>
            <w:r w:rsidRPr="00E37B5A">
              <w:rPr>
                <w:rFonts w:ascii="Calibri" w:eastAsia="Times New Roman" w:hAnsi="Calibri" w:cs="Calibri"/>
                <w:b/>
                <w:color w:val="000000"/>
                <w:szCs w:val="20"/>
              </w:rPr>
              <w:t>AQC</w:t>
            </w:r>
            <w:r>
              <w:rPr>
                <w:rFonts w:ascii="Calibri" w:eastAsia="Times New Roman" w:hAnsi="Calibri" w:cs="Calibri"/>
                <w:b/>
                <w:color w:val="000000"/>
                <w:szCs w:val="20"/>
              </w:rPr>
              <w:t>)</w:t>
            </w:r>
            <w:r w:rsidRPr="00E37B5A">
              <w:rPr>
                <w:rFonts w:ascii="Calibri" w:eastAsia="Times New Roman" w:hAnsi="Calibri" w:cs="Calibri"/>
                <w:b/>
                <w:color w:val="000000"/>
                <w:szCs w:val="20"/>
              </w:rPr>
              <w:t xml:space="preserve"> Ratings </w:t>
            </w:r>
          </w:p>
          <w:p w:rsidR="00A05067" w:rsidRPr="00E37B5A" w:rsidRDefault="00A05067"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969"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r>
      <w:tr w:rsidR="005F1165" w:rsidRPr="00E37B5A" w:rsidTr="00916A56">
        <w:trPr>
          <w:trHeight w:val="120"/>
        </w:trPr>
        <w:tc>
          <w:tcPr>
            <w:tcW w:w="1716"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1583"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969"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color w:val="000000"/>
                <w:szCs w:val="20"/>
              </w:rPr>
            </w:pPr>
            <w:r w:rsidRPr="00E37B5A">
              <w:rPr>
                <w:rFonts w:ascii="Calibri" w:eastAsia="Times New Roman" w:hAnsi="Calibri" w:cs="Calibri"/>
                <w:color w:val="000000"/>
                <w:szCs w:val="20"/>
              </w:rPr>
              <w:t> </w:t>
            </w:r>
          </w:p>
        </w:tc>
      </w:tr>
      <w:tr w:rsidR="005F1165" w:rsidRPr="00E37B5A" w:rsidTr="00916A56">
        <w:trPr>
          <w:trHeight w:val="1815"/>
        </w:trPr>
        <w:tc>
          <w:tcPr>
            <w:tcW w:w="1716" w:type="dxa"/>
            <w:tcBorders>
              <w:top w:val="nil"/>
              <w:left w:val="nil"/>
              <w:bottom w:val="nil"/>
              <w:right w:val="nil"/>
            </w:tcBorders>
            <w:shd w:val="clear" w:color="000000" w:fill="FFFFFF"/>
            <w:noWrap/>
            <w:hideMark/>
          </w:tcPr>
          <w:p w:rsidR="005F1165" w:rsidRPr="00E37B5A" w:rsidRDefault="005F1165" w:rsidP="00916A56">
            <w:pPr>
              <w:rPr>
                <w:rFonts w:ascii="Calibri" w:eastAsia="Times New Roman" w:hAnsi="Calibri" w:cs="Calibri"/>
                <w:b/>
                <w:bCs/>
                <w:color w:val="000000"/>
                <w:szCs w:val="20"/>
              </w:rPr>
            </w:pPr>
            <w:r w:rsidRPr="00E37B5A">
              <w:rPr>
                <w:rFonts w:ascii="Calibri" w:eastAsia="Times New Roman" w:hAnsi="Calibri" w:cs="Calibri"/>
                <w:b/>
                <w:bCs/>
                <w:color w:val="000000"/>
                <w:szCs w:val="20"/>
              </w:rPr>
              <w:t>Investment Name</w:t>
            </w:r>
          </w:p>
        </w:tc>
        <w:tc>
          <w:tcPr>
            <w:tcW w:w="1583" w:type="dxa"/>
            <w:tcBorders>
              <w:top w:val="nil"/>
              <w:left w:val="nil"/>
              <w:bottom w:val="nil"/>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color w:val="000000"/>
                <w:szCs w:val="20"/>
              </w:rPr>
            </w:pPr>
            <w:r w:rsidRPr="00E37B5A">
              <w:rPr>
                <w:rFonts w:ascii="Calibri" w:eastAsia="Times New Roman" w:hAnsi="Calibri" w:cs="Calibri"/>
                <w:b/>
                <w:bCs/>
                <w:color w:val="000000"/>
                <w:szCs w:val="20"/>
              </w:rPr>
              <w:t>Approved budget and duration</w:t>
            </w:r>
          </w:p>
        </w:tc>
        <w:tc>
          <w:tcPr>
            <w:tcW w:w="969" w:type="dxa"/>
            <w:tcBorders>
              <w:top w:val="nil"/>
              <w:left w:val="nil"/>
              <w:bottom w:val="nil"/>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color w:val="000000"/>
                <w:szCs w:val="20"/>
              </w:rPr>
            </w:pPr>
            <w:r w:rsidRPr="00E37B5A">
              <w:rPr>
                <w:rFonts w:ascii="Calibri" w:eastAsia="Times New Roman" w:hAnsi="Calibri" w:cs="Calibri"/>
                <w:b/>
                <w:bCs/>
                <w:color w:val="000000"/>
                <w:szCs w:val="20"/>
              </w:rPr>
              <w:t>ACQ/QAI year</w:t>
            </w:r>
          </w:p>
        </w:tc>
        <w:tc>
          <w:tcPr>
            <w:tcW w:w="567" w:type="dxa"/>
            <w:tcBorders>
              <w:top w:val="nil"/>
              <w:left w:val="nil"/>
              <w:bottom w:val="nil"/>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color w:val="000000"/>
                <w:szCs w:val="20"/>
              </w:rPr>
            </w:pPr>
            <w:r w:rsidRPr="00E37B5A">
              <w:rPr>
                <w:rFonts w:ascii="Calibri" w:eastAsia="Times New Roman" w:hAnsi="Calibri" w:cs="Calibri"/>
                <w:b/>
                <w:bCs/>
                <w:color w:val="000000"/>
                <w:szCs w:val="20"/>
              </w:rPr>
              <w:t>Relevance</w:t>
            </w:r>
          </w:p>
        </w:tc>
        <w:tc>
          <w:tcPr>
            <w:tcW w:w="567" w:type="dxa"/>
            <w:tcBorders>
              <w:top w:val="nil"/>
              <w:left w:val="nil"/>
              <w:bottom w:val="nil"/>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color w:val="000000"/>
                <w:szCs w:val="20"/>
              </w:rPr>
            </w:pPr>
            <w:r w:rsidRPr="00E37B5A">
              <w:rPr>
                <w:rFonts w:ascii="Calibri" w:eastAsia="Times New Roman" w:hAnsi="Calibri" w:cs="Calibri"/>
                <w:b/>
                <w:bCs/>
                <w:color w:val="000000"/>
                <w:szCs w:val="20"/>
              </w:rPr>
              <w:t>effectiveness</w:t>
            </w:r>
          </w:p>
        </w:tc>
        <w:tc>
          <w:tcPr>
            <w:tcW w:w="567" w:type="dxa"/>
            <w:tcBorders>
              <w:top w:val="nil"/>
              <w:left w:val="nil"/>
              <w:bottom w:val="nil"/>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color w:val="000000"/>
                <w:szCs w:val="20"/>
              </w:rPr>
            </w:pPr>
            <w:r w:rsidRPr="00E37B5A">
              <w:rPr>
                <w:rFonts w:ascii="Calibri" w:eastAsia="Times New Roman" w:hAnsi="Calibri" w:cs="Calibri"/>
                <w:b/>
                <w:bCs/>
                <w:color w:val="000000"/>
                <w:szCs w:val="20"/>
              </w:rPr>
              <w:t>Efficiency</w:t>
            </w:r>
          </w:p>
        </w:tc>
        <w:tc>
          <w:tcPr>
            <w:tcW w:w="567" w:type="dxa"/>
            <w:tcBorders>
              <w:top w:val="nil"/>
              <w:left w:val="nil"/>
              <w:bottom w:val="nil"/>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color w:val="000000"/>
                <w:szCs w:val="20"/>
              </w:rPr>
            </w:pPr>
            <w:r w:rsidRPr="00E37B5A">
              <w:rPr>
                <w:rFonts w:ascii="Calibri" w:eastAsia="Times New Roman" w:hAnsi="Calibri" w:cs="Calibri"/>
                <w:b/>
                <w:bCs/>
                <w:color w:val="000000"/>
                <w:szCs w:val="20"/>
              </w:rPr>
              <w:t>Monitoring &amp; Evaluation</w:t>
            </w:r>
          </w:p>
        </w:tc>
        <w:tc>
          <w:tcPr>
            <w:tcW w:w="567" w:type="dxa"/>
            <w:tcBorders>
              <w:top w:val="nil"/>
              <w:left w:val="nil"/>
              <w:bottom w:val="nil"/>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color w:val="000000"/>
                <w:szCs w:val="20"/>
              </w:rPr>
            </w:pPr>
            <w:r w:rsidRPr="00E37B5A">
              <w:rPr>
                <w:rFonts w:ascii="Calibri" w:eastAsia="Times New Roman" w:hAnsi="Calibri" w:cs="Calibri"/>
                <w:b/>
                <w:bCs/>
                <w:color w:val="000000"/>
                <w:szCs w:val="20"/>
              </w:rPr>
              <w:t>Sustainability</w:t>
            </w:r>
          </w:p>
        </w:tc>
        <w:tc>
          <w:tcPr>
            <w:tcW w:w="567" w:type="dxa"/>
            <w:tcBorders>
              <w:top w:val="nil"/>
              <w:left w:val="nil"/>
              <w:bottom w:val="nil"/>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color w:val="000000"/>
                <w:szCs w:val="20"/>
              </w:rPr>
            </w:pPr>
            <w:r w:rsidRPr="00E37B5A">
              <w:rPr>
                <w:rFonts w:ascii="Calibri" w:eastAsia="Times New Roman" w:hAnsi="Calibri" w:cs="Calibri"/>
                <w:b/>
                <w:bCs/>
                <w:color w:val="000000"/>
                <w:szCs w:val="20"/>
              </w:rPr>
              <w:t>Gender Equality</w:t>
            </w:r>
          </w:p>
        </w:tc>
        <w:tc>
          <w:tcPr>
            <w:tcW w:w="567" w:type="dxa"/>
            <w:tcBorders>
              <w:top w:val="nil"/>
              <w:left w:val="nil"/>
              <w:bottom w:val="nil"/>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color w:val="000000"/>
                <w:szCs w:val="20"/>
              </w:rPr>
            </w:pPr>
            <w:r w:rsidRPr="00E37B5A">
              <w:rPr>
                <w:rFonts w:ascii="Calibri" w:eastAsia="Times New Roman" w:hAnsi="Calibri" w:cs="Calibri"/>
                <w:b/>
                <w:bCs/>
                <w:color w:val="000000"/>
                <w:szCs w:val="20"/>
              </w:rPr>
              <w:t>Risks and Strategies</w:t>
            </w:r>
          </w:p>
        </w:tc>
        <w:tc>
          <w:tcPr>
            <w:tcW w:w="567" w:type="dxa"/>
            <w:tcBorders>
              <w:top w:val="nil"/>
              <w:left w:val="nil"/>
              <w:bottom w:val="nil"/>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color w:val="000000"/>
                <w:szCs w:val="20"/>
              </w:rPr>
            </w:pPr>
            <w:r w:rsidRPr="00E37B5A">
              <w:rPr>
                <w:rFonts w:ascii="Calibri" w:eastAsia="Times New Roman" w:hAnsi="Calibri" w:cs="Calibri"/>
                <w:b/>
                <w:bCs/>
                <w:color w:val="000000"/>
                <w:szCs w:val="20"/>
              </w:rPr>
              <w:t xml:space="preserve">Innovation and Private Sector </w:t>
            </w:r>
          </w:p>
        </w:tc>
      </w:tr>
      <w:tr w:rsidR="005F1165" w:rsidRPr="00E37B5A" w:rsidTr="00916A56">
        <w:trPr>
          <w:trHeight w:val="915"/>
        </w:trPr>
        <w:tc>
          <w:tcPr>
            <w:tcW w:w="1716" w:type="dxa"/>
            <w:tcBorders>
              <w:top w:val="nil"/>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Kokoda Track Initiative (INH843)</w:t>
            </w:r>
          </w:p>
        </w:tc>
        <w:tc>
          <w:tcPr>
            <w:tcW w:w="1583" w:type="dxa"/>
            <w:tcBorders>
              <w:top w:val="nil"/>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$26,932,723.31 21/03/2008 - 30/06/2016</w:t>
            </w:r>
          </w:p>
        </w:tc>
        <w:tc>
          <w:tcPr>
            <w:tcW w:w="969" w:type="dxa"/>
            <w:tcBorders>
              <w:top w:val="nil"/>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nil"/>
              <w:left w:val="single" w:sz="12" w:space="0" w:color="FFFFFF"/>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12" w:space="0" w:color="FFFFFF"/>
              <w:right w:val="single" w:sz="12" w:space="0" w:color="FFFFFF"/>
            </w:tcBorders>
            <w:shd w:val="clear" w:color="000000" w:fill="FF00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2</w:t>
            </w:r>
          </w:p>
        </w:tc>
        <w:tc>
          <w:tcPr>
            <w:tcW w:w="567" w:type="dxa"/>
            <w:tcBorders>
              <w:top w:val="nil"/>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r>
      <w:tr w:rsidR="005F1165" w:rsidRPr="00E37B5A" w:rsidTr="00916A56">
        <w:trPr>
          <w:trHeight w:val="585"/>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5F1165" w:rsidRPr="00E37B5A" w:rsidTr="00916A56">
        <w:trPr>
          <w:trHeight w:val="930"/>
        </w:trPr>
        <w:tc>
          <w:tcPr>
            <w:tcW w:w="1716" w:type="dxa"/>
            <w:tcBorders>
              <w:top w:val="single" w:sz="4" w:space="0" w:color="auto"/>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Strongim Pipol Strongim Nesen (INI382)</w:t>
            </w:r>
          </w:p>
        </w:tc>
        <w:tc>
          <w:tcPr>
            <w:tcW w:w="1583" w:type="dxa"/>
            <w:tcBorders>
              <w:top w:val="single" w:sz="4" w:space="0" w:color="auto"/>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$110,771,192.73 1/07/2009 - 30/06/2016</w:t>
            </w:r>
          </w:p>
        </w:tc>
        <w:tc>
          <w:tcPr>
            <w:tcW w:w="969" w:type="dxa"/>
            <w:tcBorders>
              <w:top w:val="single" w:sz="4" w:space="0" w:color="auto"/>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r>
      <w:tr w:rsidR="005F1165" w:rsidRPr="00E37B5A" w:rsidTr="00916A56">
        <w:trPr>
          <w:trHeight w:val="540"/>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5F1165" w:rsidRPr="00E37B5A" w:rsidTr="00916A56">
        <w:trPr>
          <w:trHeight w:val="915"/>
        </w:trPr>
        <w:tc>
          <w:tcPr>
            <w:tcW w:w="1716" w:type="dxa"/>
            <w:tcBorders>
              <w:top w:val="nil"/>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Gender Equality/Gender Based Violence (INI402)</w:t>
            </w:r>
          </w:p>
        </w:tc>
        <w:tc>
          <w:tcPr>
            <w:tcW w:w="1583" w:type="dxa"/>
            <w:tcBorders>
              <w:top w:val="nil"/>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$72,803,644.05 30/12/2008 - 30/06/2020</w:t>
            </w:r>
          </w:p>
        </w:tc>
        <w:tc>
          <w:tcPr>
            <w:tcW w:w="969" w:type="dxa"/>
            <w:tcBorders>
              <w:top w:val="nil"/>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nil"/>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nil"/>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r>
      <w:tr w:rsidR="005F1165" w:rsidRPr="00E37B5A" w:rsidTr="00916A56">
        <w:trPr>
          <w:trHeight w:val="570"/>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5F1165" w:rsidRPr="00E37B5A" w:rsidTr="00916A56">
        <w:trPr>
          <w:trHeight w:val="930"/>
        </w:trPr>
        <w:tc>
          <w:tcPr>
            <w:tcW w:w="1716" w:type="dxa"/>
            <w:tcBorders>
              <w:top w:val="single" w:sz="4" w:space="0" w:color="auto"/>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Strongim Gavman Program (INI767)</w:t>
            </w:r>
          </w:p>
        </w:tc>
        <w:tc>
          <w:tcPr>
            <w:tcW w:w="1583" w:type="dxa"/>
            <w:tcBorders>
              <w:top w:val="single" w:sz="4" w:space="0" w:color="auto"/>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$200,685,335.29 1/07/2009 - 30/06/2016</w:t>
            </w:r>
          </w:p>
        </w:tc>
        <w:tc>
          <w:tcPr>
            <w:tcW w:w="969" w:type="dxa"/>
            <w:tcBorders>
              <w:top w:val="single" w:sz="4" w:space="0" w:color="auto"/>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single" w:sz="4" w:space="0" w:color="auto"/>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single" w:sz="4" w:space="0" w:color="auto"/>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single" w:sz="4" w:space="0" w:color="auto"/>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r>
      <w:tr w:rsidR="005F1165" w:rsidRPr="00E37B5A" w:rsidTr="00916A56">
        <w:trPr>
          <w:trHeight w:val="495"/>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5F1165" w:rsidRPr="00E37B5A" w:rsidTr="00916A56">
        <w:trPr>
          <w:trHeight w:val="930"/>
        </w:trPr>
        <w:tc>
          <w:tcPr>
            <w:tcW w:w="1716" w:type="dxa"/>
            <w:tcBorders>
              <w:top w:val="single" w:sz="4" w:space="0" w:color="auto"/>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Scholarships Cluster (INI815), (INJ262), (INJ456)</w:t>
            </w:r>
          </w:p>
        </w:tc>
        <w:tc>
          <w:tcPr>
            <w:tcW w:w="1583" w:type="dxa"/>
            <w:tcBorders>
              <w:top w:val="single" w:sz="4" w:space="0" w:color="auto"/>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$84,535,342.67 1/07/2009 - 31/07/2016</w:t>
            </w:r>
          </w:p>
        </w:tc>
        <w:tc>
          <w:tcPr>
            <w:tcW w:w="969" w:type="dxa"/>
            <w:tcBorders>
              <w:top w:val="single" w:sz="4" w:space="0" w:color="auto"/>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r>
      <w:tr w:rsidR="005F1165" w:rsidRPr="00E37B5A" w:rsidTr="00916A56">
        <w:trPr>
          <w:trHeight w:val="555"/>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5F1165" w:rsidRPr="00E37B5A" w:rsidTr="00916A56">
        <w:trPr>
          <w:trHeight w:val="915"/>
        </w:trPr>
        <w:tc>
          <w:tcPr>
            <w:tcW w:w="1716" w:type="dxa"/>
            <w:tcBorders>
              <w:top w:val="nil"/>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Economic and Public Sector Program (INI903)</w:t>
            </w:r>
          </w:p>
        </w:tc>
        <w:tc>
          <w:tcPr>
            <w:tcW w:w="1583" w:type="dxa"/>
            <w:tcBorders>
              <w:top w:val="nil"/>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$149,584,882.74 1/05/2009 - 30/06/2016</w:t>
            </w:r>
          </w:p>
        </w:tc>
        <w:tc>
          <w:tcPr>
            <w:tcW w:w="969" w:type="dxa"/>
            <w:tcBorders>
              <w:top w:val="nil"/>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nil"/>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r>
      <w:tr w:rsidR="005F1165" w:rsidRPr="00E37B5A" w:rsidTr="00916A56">
        <w:trPr>
          <w:trHeight w:val="585"/>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5F1165" w:rsidRPr="00E37B5A" w:rsidTr="00916A56">
        <w:trPr>
          <w:trHeight w:val="930"/>
        </w:trPr>
        <w:tc>
          <w:tcPr>
            <w:tcW w:w="1716" w:type="dxa"/>
            <w:tcBorders>
              <w:top w:val="single" w:sz="4" w:space="0" w:color="auto"/>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lastRenderedPageBreak/>
              <w:t>Interim Support to the PNG TVET &amp; Higher Education (INJ3</w:t>
            </w:r>
            <w:r>
              <w:rPr>
                <w:rFonts w:ascii="Calibri" w:eastAsia="Times New Roman" w:hAnsi="Calibri" w:cs="Calibri"/>
                <w:szCs w:val="20"/>
              </w:rPr>
              <w:t>16</w:t>
            </w:r>
            <w:r w:rsidRPr="00E37B5A">
              <w:rPr>
                <w:rFonts w:ascii="Calibri" w:eastAsia="Times New Roman" w:hAnsi="Calibri" w:cs="Calibri"/>
                <w:szCs w:val="20"/>
              </w:rPr>
              <w:t>)</w:t>
            </w:r>
          </w:p>
        </w:tc>
        <w:tc>
          <w:tcPr>
            <w:tcW w:w="1583" w:type="dxa"/>
            <w:tcBorders>
              <w:top w:val="single" w:sz="4" w:space="0" w:color="auto"/>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$10,384,192.10 1/08/2010 - 30/06/2015</w:t>
            </w:r>
          </w:p>
        </w:tc>
        <w:tc>
          <w:tcPr>
            <w:tcW w:w="969" w:type="dxa"/>
            <w:tcBorders>
              <w:top w:val="single" w:sz="4" w:space="0" w:color="auto"/>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4</w:t>
            </w:r>
          </w:p>
        </w:tc>
      </w:tr>
      <w:tr w:rsidR="005F1165" w:rsidRPr="00E37B5A" w:rsidTr="00916A56">
        <w:trPr>
          <w:trHeight w:val="495"/>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5F1165" w:rsidRPr="00E37B5A" w:rsidTr="00916A56">
        <w:trPr>
          <w:trHeight w:val="930"/>
        </w:trPr>
        <w:tc>
          <w:tcPr>
            <w:tcW w:w="1716" w:type="dxa"/>
            <w:tcBorders>
              <w:top w:val="single" w:sz="4" w:space="0" w:color="auto"/>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PNG Electoral Support Program (INJ466)</w:t>
            </w:r>
          </w:p>
        </w:tc>
        <w:tc>
          <w:tcPr>
            <w:tcW w:w="1583" w:type="dxa"/>
            <w:tcBorders>
              <w:top w:val="single" w:sz="4" w:space="0" w:color="auto"/>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$24,919,637.52 1/01/2011 - 31/12/2015</w:t>
            </w:r>
          </w:p>
        </w:tc>
        <w:tc>
          <w:tcPr>
            <w:tcW w:w="969" w:type="dxa"/>
            <w:tcBorders>
              <w:top w:val="single" w:sz="4" w:space="0" w:color="auto"/>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nil"/>
              <w:right w:val="nil"/>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r>
      <w:tr w:rsidR="005F1165" w:rsidRPr="00E37B5A" w:rsidTr="00916A56">
        <w:trPr>
          <w:trHeight w:val="600"/>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D9D9D9"/>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single" w:sz="12" w:space="0" w:color="FFFFFF"/>
            </w:tcBorders>
            <w:shd w:val="clear" w:color="000000" w:fill="D9D9D9"/>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single" w:sz="12" w:space="0" w:color="FFFFFF"/>
            </w:tcBorders>
            <w:shd w:val="clear" w:color="000000" w:fill="D9D9D9"/>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single" w:sz="12" w:space="0" w:color="FFFFFF"/>
            </w:tcBorders>
            <w:shd w:val="clear" w:color="000000" w:fill="D9D9D9"/>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single" w:sz="12" w:space="0" w:color="FFFFFF"/>
            </w:tcBorders>
            <w:shd w:val="clear" w:color="000000" w:fill="D9D9D9"/>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single" w:sz="12" w:space="0" w:color="FFFFFF"/>
            </w:tcBorders>
            <w:shd w:val="clear" w:color="000000" w:fill="D9D9D9"/>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single" w:sz="12" w:space="0" w:color="FFFFFF"/>
            </w:tcBorders>
            <w:shd w:val="clear" w:color="000000" w:fill="D9D9D9"/>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E</w:t>
            </w:r>
          </w:p>
        </w:tc>
      </w:tr>
      <w:tr w:rsidR="005F1165" w:rsidRPr="00E37B5A" w:rsidTr="00916A56">
        <w:trPr>
          <w:trHeight w:val="915"/>
        </w:trPr>
        <w:tc>
          <w:tcPr>
            <w:tcW w:w="1716" w:type="dxa"/>
            <w:tcBorders>
              <w:top w:val="nil"/>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PNG Microfinance Expansion Project (INJ550)</w:t>
            </w:r>
          </w:p>
        </w:tc>
        <w:tc>
          <w:tcPr>
            <w:tcW w:w="1583" w:type="dxa"/>
            <w:tcBorders>
              <w:top w:val="nil"/>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$6,900,000 30/09/2010 - 30/06/2015</w:t>
            </w:r>
          </w:p>
        </w:tc>
        <w:tc>
          <w:tcPr>
            <w:tcW w:w="969" w:type="dxa"/>
            <w:tcBorders>
              <w:top w:val="nil"/>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nil"/>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nil"/>
              <w:right w:val="nil"/>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r>
      <w:tr w:rsidR="005F1165" w:rsidRPr="00E37B5A" w:rsidTr="00916A56">
        <w:trPr>
          <w:trHeight w:val="600"/>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nil"/>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5F1165" w:rsidRPr="00E37B5A" w:rsidTr="00916A56">
        <w:trPr>
          <w:trHeight w:val="930"/>
        </w:trPr>
        <w:tc>
          <w:tcPr>
            <w:tcW w:w="1716" w:type="dxa"/>
            <w:tcBorders>
              <w:top w:val="single" w:sz="4" w:space="0" w:color="auto"/>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PNG Education Program (INJ761), (INJ316)</w:t>
            </w:r>
          </w:p>
        </w:tc>
        <w:tc>
          <w:tcPr>
            <w:tcW w:w="1583" w:type="dxa"/>
            <w:tcBorders>
              <w:top w:val="single" w:sz="4" w:space="0" w:color="auto"/>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$244,933,255.52 1/07/2011 - 30/06/2016</w:t>
            </w:r>
          </w:p>
        </w:tc>
        <w:tc>
          <w:tcPr>
            <w:tcW w:w="969" w:type="dxa"/>
            <w:tcBorders>
              <w:top w:val="single" w:sz="4" w:space="0" w:color="auto"/>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nil"/>
              <w:right w:val="nil"/>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r>
      <w:tr w:rsidR="005F1165" w:rsidRPr="00E37B5A" w:rsidTr="00916A56">
        <w:trPr>
          <w:trHeight w:val="600"/>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nil"/>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5F1165" w:rsidRPr="00E37B5A" w:rsidTr="00916A56">
        <w:trPr>
          <w:trHeight w:val="930"/>
        </w:trPr>
        <w:tc>
          <w:tcPr>
            <w:tcW w:w="1716" w:type="dxa"/>
            <w:tcBorders>
              <w:top w:val="single" w:sz="4" w:space="0" w:color="auto"/>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PNG-Australia Law and Justice Partnership (PALJP) (INI194)</w:t>
            </w:r>
          </w:p>
        </w:tc>
        <w:tc>
          <w:tcPr>
            <w:tcW w:w="1583" w:type="dxa"/>
            <w:tcBorders>
              <w:top w:val="single" w:sz="4" w:space="0" w:color="auto"/>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$183,820,289.44 30/01/2009 - 31/12/2015</w:t>
            </w:r>
          </w:p>
        </w:tc>
        <w:tc>
          <w:tcPr>
            <w:tcW w:w="969" w:type="dxa"/>
            <w:tcBorders>
              <w:top w:val="single" w:sz="4" w:space="0" w:color="auto"/>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nil"/>
              <w:right w:val="nil"/>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r>
      <w:tr w:rsidR="005F1165" w:rsidRPr="00E37B5A" w:rsidTr="00916A56">
        <w:trPr>
          <w:trHeight w:val="630"/>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00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2</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nil"/>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5F1165" w:rsidRPr="00E37B5A" w:rsidTr="00916A56">
        <w:trPr>
          <w:trHeight w:val="930"/>
        </w:trPr>
        <w:tc>
          <w:tcPr>
            <w:tcW w:w="1716" w:type="dxa"/>
            <w:tcBorders>
              <w:top w:val="single" w:sz="4" w:space="0" w:color="auto"/>
              <w:left w:val="nil"/>
              <w:bottom w:val="nil"/>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PNG Disaster Risk Management Program (2010-2014) (INJ302)</w:t>
            </w:r>
          </w:p>
        </w:tc>
        <w:tc>
          <w:tcPr>
            <w:tcW w:w="1583" w:type="dxa"/>
            <w:tcBorders>
              <w:top w:val="single" w:sz="4" w:space="0" w:color="auto"/>
              <w:left w:val="nil"/>
              <w:bottom w:val="nil"/>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$8,986,500.09 1/07/2010 - 31/12/2015</w:t>
            </w:r>
          </w:p>
        </w:tc>
        <w:tc>
          <w:tcPr>
            <w:tcW w:w="969" w:type="dxa"/>
            <w:tcBorders>
              <w:top w:val="single" w:sz="4" w:space="0" w:color="auto"/>
              <w:left w:val="nil"/>
              <w:bottom w:val="nil"/>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r>
      <w:tr w:rsidR="005F1165" w:rsidRPr="00E37B5A" w:rsidTr="00916A56">
        <w:trPr>
          <w:trHeight w:val="690"/>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5F1165" w:rsidRPr="00E37B5A" w:rsidRDefault="005F1165"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F00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2</w:t>
            </w:r>
          </w:p>
        </w:tc>
        <w:tc>
          <w:tcPr>
            <w:tcW w:w="567" w:type="dxa"/>
            <w:tcBorders>
              <w:top w:val="nil"/>
              <w:left w:val="nil"/>
              <w:bottom w:val="single" w:sz="4" w:space="0" w:color="auto"/>
              <w:right w:val="single" w:sz="12" w:space="0" w:color="FFFFFF"/>
            </w:tcBorders>
            <w:shd w:val="clear" w:color="000000" w:fill="F79646"/>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nil"/>
            </w:tcBorders>
            <w:shd w:val="clear" w:color="000000" w:fill="DDD9C4"/>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n/a</w:t>
            </w:r>
          </w:p>
        </w:tc>
      </w:tr>
      <w:tr w:rsidR="00F111D4" w:rsidRPr="00E37B5A" w:rsidTr="00A43278">
        <w:trPr>
          <w:trHeight w:val="930"/>
        </w:trPr>
        <w:tc>
          <w:tcPr>
            <w:tcW w:w="1716" w:type="dxa"/>
            <w:tcBorders>
              <w:top w:val="single" w:sz="4" w:space="0" w:color="auto"/>
              <w:left w:val="nil"/>
              <w:bottom w:val="nil"/>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Church Partnership Program Phase 2 (INJ313)</w:t>
            </w:r>
          </w:p>
        </w:tc>
        <w:tc>
          <w:tcPr>
            <w:tcW w:w="1583" w:type="dxa"/>
            <w:tcBorders>
              <w:top w:val="single" w:sz="4" w:space="0" w:color="auto"/>
              <w:left w:val="nil"/>
              <w:bottom w:val="nil"/>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$50,000,000.00 1/07/2010 - 30/06/2016</w:t>
            </w:r>
          </w:p>
        </w:tc>
        <w:tc>
          <w:tcPr>
            <w:tcW w:w="969" w:type="dxa"/>
            <w:tcBorders>
              <w:top w:val="single" w:sz="4" w:space="0" w:color="auto"/>
              <w:left w:val="nil"/>
              <w:bottom w:val="nil"/>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auto" w:fill="FF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single" w:sz="4" w:space="0" w:color="auto"/>
              <w:left w:val="nil"/>
              <w:bottom w:val="single" w:sz="12" w:space="0" w:color="FFFFFF"/>
              <w:right w:val="single" w:sz="12" w:space="0" w:color="FFFFFF"/>
            </w:tcBorders>
            <w:shd w:val="clear" w:color="000000" w:fill="F7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7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r>
      <w:tr w:rsidR="00F111D4" w:rsidRPr="00E37B5A" w:rsidTr="00916A56">
        <w:trPr>
          <w:trHeight w:val="510"/>
        </w:trPr>
        <w:tc>
          <w:tcPr>
            <w:tcW w:w="1716" w:type="dxa"/>
            <w:tcBorders>
              <w:top w:val="nil"/>
              <w:left w:val="nil"/>
              <w:bottom w:val="single" w:sz="4" w:space="0" w:color="auto"/>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7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00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DDD9C4"/>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nil"/>
            </w:tcBorders>
            <w:shd w:val="clear" w:color="000000" w:fill="DDD9C4"/>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n/a</w:t>
            </w:r>
          </w:p>
        </w:tc>
      </w:tr>
      <w:tr w:rsidR="00F111D4" w:rsidRPr="00E37B5A" w:rsidTr="00A43278">
        <w:trPr>
          <w:trHeight w:val="930"/>
        </w:trPr>
        <w:tc>
          <w:tcPr>
            <w:tcW w:w="1716" w:type="dxa"/>
            <w:tcBorders>
              <w:top w:val="single" w:sz="4" w:space="0" w:color="auto"/>
              <w:left w:val="nil"/>
              <w:bottom w:val="nil"/>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PNG Health and HIV Multilateral Partnerships (INJ858)</w:t>
            </w:r>
          </w:p>
        </w:tc>
        <w:tc>
          <w:tcPr>
            <w:tcW w:w="1583" w:type="dxa"/>
            <w:tcBorders>
              <w:top w:val="single" w:sz="4" w:space="0" w:color="auto"/>
              <w:left w:val="nil"/>
              <w:bottom w:val="nil"/>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$68,239,303.44 2/05/2011 - 30/06/2016</w:t>
            </w:r>
          </w:p>
        </w:tc>
        <w:tc>
          <w:tcPr>
            <w:tcW w:w="969" w:type="dxa"/>
            <w:tcBorders>
              <w:top w:val="single" w:sz="4" w:space="0" w:color="auto"/>
              <w:left w:val="nil"/>
              <w:bottom w:val="nil"/>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auto" w:fill="FF9646"/>
            <w:noWrap/>
            <w:vAlign w:val="bottom"/>
            <w:hideMark/>
          </w:tcPr>
          <w:p w:rsidR="00F111D4" w:rsidRPr="00E37B5A" w:rsidRDefault="00F111D4" w:rsidP="00916A56">
            <w:pPr>
              <w:jc w:val="right"/>
              <w:rPr>
                <w:rFonts w:ascii="Calibri" w:eastAsia="Times New Roman" w:hAnsi="Calibri" w:cs="Calibri"/>
                <w:szCs w:val="20"/>
              </w:rPr>
            </w:pPr>
            <w:r>
              <w:rPr>
                <w:rFonts w:ascii="Calibri" w:eastAsia="Times New Roman" w:hAnsi="Calibri" w:cs="Calibri"/>
                <w:szCs w:val="20"/>
              </w:rPr>
              <w:t>3</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7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r>
      <w:tr w:rsidR="00F111D4" w:rsidRPr="00E37B5A" w:rsidTr="00916A56">
        <w:trPr>
          <w:trHeight w:val="555"/>
        </w:trPr>
        <w:tc>
          <w:tcPr>
            <w:tcW w:w="1716" w:type="dxa"/>
            <w:tcBorders>
              <w:top w:val="nil"/>
              <w:left w:val="nil"/>
              <w:bottom w:val="single" w:sz="4" w:space="0" w:color="auto"/>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7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7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DDD9C4"/>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nil"/>
            </w:tcBorders>
            <w:shd w:val="clear" w:color="000000" w:fill="DDD9C4"/>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n/a</w:t>
            </w:r>
          </w:p>
        </w:tc>
      </w:tr>
      <w:tr w:rsidR="00F111D4" w:rsidRPr="00E37B5A" w:rsidTr="00916A56">
        <w:trPr>
          <w:trHeight w:val="930"/>
        </w:trPr>
        <w:tc>
          <w:tcPr>
            <w:tcW w:w="1716" w:type="dxa"/>
            <w:tcBorders>
              <w:top w:val="single" w:sz="4" w:space="0" w:color="auto"/>
              <w:left w:val="nil"/>
              <w:bottom w:val="nil"/>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Health Capacity Development &amp; Service Delivery (INK214)</w:t>
            </w:r>
          </w:p>
        </w:tc>
        <w:tc>
          <w:tcPr>
            <w:tcW w:w="1583" w:type="dxa"/>
            <w:tcBorders>
              <w:top w:val="single" w:sz="4" w:space="0" w:color="auto"/>
              <w:left w:val="nil"/>
              <w:bottom w:val="nil"/>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$285,582,297.26 3/10/2011 - 30/06/2017</w:t>
            </w:r>
          </w:p>
        </w:tc>
        <w:tc>
          <w:tcPr>
            <w:tcW w:w="969" w:type="dxa"/>
            <w:tcBorders>
              <w:top w:val="single" w:sz="4" w:space="0" w:color="auto"/>
              <w:left w:val="nil"/>
              <w:bottom w:val="nil"/>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single" w:sz="4" w:space="0" w:color="auto"/>
              <w:left w:val="nil"/>
              <w:bottom w:val="nil"/>
              <w:right w:val="nil"/>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r>
      <w:tr w:rsidR="00F111D4" w:rsidRPr="00E37B5A" w:rsidTr="00916A56">
        <w:trPr>
          <w:trHeight w:val="585"/>
        </w:trPr>
        <w:tc>
          <w:tcPr>
            <w:tcW w:w="1716" w:type="dxa"/>
            <w:tcBorders>
              <w:top w:val="nil"/>
              <w:left w:val="nil"/>
              <w:bottom w:val="single" w:sz="4" w:space="0" w:color="auto"/>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DDD9C4"/>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nil"/>
            </w:tcBorders>
            <w:shd w:val="clear" w:color="000000" w:fill="DDD9C4"/>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n/a</w:t>
            </w:r>
          </w:p>
        </w:tc>
      </w:tr>
      <w:tr w:rsidR="00F111D4" w:rsidRPr="00E37B5A" w:rsidTr="00916A56">
        <w:trPr>
          <w:trHeight w:val="915"/>
        </w:trPr>
        <w:tc>
          <w:tcPr>
            <w:tcW w:w="1716" w:type="dxa"/>
            <w:tcBorders>
              <w:top w:val="nil"/>
              <w:left w:val="nil"/>
              <w:bottom w:val="nil"/>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lastRenderedPageBreak/>
              <w:t>PNG Provincial and Local-level Governments Program (INK615)</w:t>
            </w:r>
          </w:p>
        </w:tc>
        <w:tc>
          <w:tcPr>
            <w:tcW w:w="1583" w:type="dxa"/>
            <w:tcBorders>
              <w:top w:val="nil"/>
              <w:left w:val="nil"/>
              <w:bottom w:val="nil"/>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$108,899,354.94 1/06/2012 - 30/06/2016</w:t>
            </w:r>
          </w:p>
        </w:tc>
        <w:tc>
          <w:tcPr>
            <w:tcW w:w="969" w:type="dxa"/>
            <w:tcBorders>
              <w:top w:val="nil"/>
              <w:left w:val="nil"/>
              <w:bottom w:val="nil"/>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nil"/>
              <w:left w:val="single" w:sz="12" w:space="0" w:color="FFFFFF"/>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nil"/>
              <w:right w:val="nil"/>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r>
      <w:tr w:rsidR="00F111D4" w:rsidRPr="00E37B5A" w:rsidTr="00916A56">
        <w:trPr>
          <w:trHeight w:val="570"/>
        </w:trPr>
        <w:tc>
          <w:tcPr>
            <w:tcW w:w="1716" w:type="dxa"/>
            <w:tcBorders>
              <w:top w:val="nil"/>
              <w:left w:val="nil"/>
              <w:bottom w:val="single" w:sz="4" w:space="0" w:color="auto"/>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7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7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DDD9C4"/>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nil"/>
            </w:tcBorders>
            <w:shd w:val="clear" w:color="000000" w:fill="DDD9C4"/>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n/a</w:t>
            </w:r>
          </w:p>
        </w:tc>
      </w:tr>
      <w:tr w:rsidR="00F111D4" w:rsidRPr="00E37B5A" w:rsidTr="00916A56">
        <w:trPr>
          <w:trHeight w:val="570"/>
        </w:trPr>
        <w:tc>
          <w:tcPr>
            <w:tcW w:w="1716" w:type="dxa"/>
            <w:tcBorders>
              <w:top w:val="single" w:sz="4" w:space="0" w:color="auto"/>
              <w:left w:val="nil"/>
              <w:bottom w:val="nil"/>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Pacific Leadership &amp; Governance Precinct (INL610)</w:t>
            </w:r>
          </w:p>
        </w:tc>
        <w:tc>
          <w:tcPr>
            <w:tcW w:w="1583" w:type="dxa"/>
            <w:tcBorders>
              <w:top w:val="single" w:sz="4" w:space="0" w:color="auto"/>
              <w:left w:val="nil"/>
              <w:bottom w:val="nil"/>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single" w:sz="4" w:space="0" w:color="auto"/>
              <w:left w:val="nil"/>
              <w:bottom w:val="nil"/>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single" w:sz="4" w:space="0" w:color="auto"/>
              <w:left w:val="single" w:sz="12" w:space="0" w:color="FFFFFF"/>
              <w:bottom w:val="single" w:sz="4" w:space="0" w:color="auto"/>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4" w:space="0" w:color="auto"/>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r>
      <w:tr w:rsidR="00F111D4" w:rsidRPr="00E37B5A" w:rsidTr="00916A56">
        <w:trPr>
          <w:trHeight w:val="570"/>
        </w:trPr>
        <w:tc>
          <w:tcPr>
            <w:tcW w:w="1716" w:type="dxa"/>
            <w:tcBorders>
              <w:top w:val="nil"/>
              <w:left w:val="nil"/>
              <w:bottom w:val="single" w:sz="4" w:space="0" w:color="auto"/>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single" w:sz="12" w:space="0" w:color="FFFFFF"/>
              <w:bottom w:val="single" w:sz="4" w:space="0" w:color="auto"/>
              <w:right w:val="single" w:sz="12" w:space="0" w:color="FFFFFF"/>
            </w:tcBorders>
            <w:shd w:val="clear" w:color="auto" w:fill="D9D9D9" w:themeFill="background1" w:themeFillShade="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auto" w:fill="D9D9D9" w:themeFill="background1" w:themeFillShade="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r w:rsidRPr="0061534C">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auto" w:fill="D9D9D9" w:themeFill="background1" w:themeFillShade="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r w:rsidRPr="0061534C">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auto" w:fill="D9D9D9" w:themeFill="background1" w:themeFillShade="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r w:rsidRPr="0061534C">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auto" w:fill="D9D9D9" w:themeFill="background1" w:themeFillShade="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r w:rsidRPr="0061534C">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auto" w:fill="D9D9D9" w:themeFill="background1" w:themeFillShade="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r w:rsidRPr="0061534C">
              <w:rPr>
                <w:rFonts w:ascii="Calibri" w:eastAsia="Times New Roman" w:hAnsi="Calibri" w:cs="Calibri"/>
                <w:szCs w:val="20"/>
              </w:rPr>
              <w:t>n/a</w:t>
            </w:r>
          </w:p>
        </w:tc>
        <w:tc>
          <w:tcPr>
            <w:tcW w:w="567" w:type="dxa"/>
            <w:tcBorders>
              <w:top w:val="nil"/>
              <w:left w:val="nil"/>
              <w:bottom w:val="single" w:sz="4" w:space="0" w:color="auto"/>
              <w:right w:val="single" w:sz="12" w:space="0" w:color="FFFFFF"/>
            </w:tcBorders>
            <w:shd w:val="clear" w:color="auto" w:fill="D9D9D9" w:themeFill="background1" w:themeFillShade="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r w:rsidRPr="0061534C">
              <w:rPr>
                <w:rFonts w:ascii="Calibri" w:eastAsia="Times New Roman" w:hAnsi="Calibri" w:cs="Calibri"/>
                <w:szCs w:val="20"/>
              </w:rPr>
              <w:t>n/a</w:t>
            </w:r>
          </w:p>
        </w:tc>
        <w:tc>
          <w:tcPr>
            <w:tcW w:w="567" w:type="dxa"/>
            <w:tcBorders>
              <w:top w:val="nil"/>
              <w:left w:val="nil"/>
              <w:bottom w:val="single" w:sz="4" w:space="0" w:color="auto"/>
              <w:right w:val="nil"/>
            </w:tcBorders>
            <w:shd w:val="clear" w:color="auto" w:fill="D9D9D9" w:themeFill="background1" w:themeFillShade="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r w:rsidRPr="0061534C">
              <w:rPr>
                <w:rFonts w:ascii="Calibri" w:eastAsia="Times New Roman" w:hAnsi="Calibri" w:cs="Calibri"/>
                <w:szCs w:val="20"/>
              </w:rPr>
              <w:t>n/a</w:t>
            </w:r>
          </w:p>
        </w:tc>
      </w:tr>
      <w:tr w:rsidR="00F111D4" w:rsidRPr="00E37B5A" w:rsidTr="00916A56">
        <w:trPr>
          <w:trHeight w:val="915"/>
        </w:trPr>
        <w:tc>
          <w:tcPr>
            <w:tcW w:w="1716" w:type="dxa"/>
            <w:tcBorders>
              <w:top w:val="nil"/>
              <w:left w:val="nil"/>
              <w:bottom w:val="nil"/>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PNG Health and HIV Procurement Program (INK651)</w:t>
            </w:r>
          </w:p>
        </w:tc>
        <w:tc>
          <w:tcPr>
            <w:tcW w:w="1583" w:type="dxa"/>
            <w:tcBorders>
              <w:top w:val="nil"/>
              <w:left w:val="nil"/>
              <w:bottom w:val="nil"/>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$4,998,551.71 1/07/2013 - 30/06/2016</w:t>
            </w:r>
          </w:p>
        </w:tc>
        <w:tc>
          <w:tcPr>
            <w:tcW w:w="969" w:type="dxa"/>
            <w:tcBorders>
              <w:top w:val="nil"/>
              <w:left w:val="nil"/>
              <w:bottom w:val="nil"/>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nil"/>
              <w:left w:val="single" w:sz="12" w:space="0" w:color="FFFFFF"/>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6</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r>
      <w:tr w:rsidR="00F111D4" w:rsidRPr="00E37B5A" w:rsidTr="00916A56">
        <w:trPr>
          <w:trHeight w:val="570"/>
        </w:trPr>
        <w:tc>
          <w:tcPr>
            <w:tcW w:w="1716" w:type="dxa"/>
            <w:tcBorders>
              <w:top w:val="nil"/>
              <w:left w:val="nil"/>
              <w:bottom w:val="single" w:sz="4" w:space="0" w:color="auto"/>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r>
      <w:tr w:rsidR="00F111D4" w:rsidRPr="00E37B5A" w:rsidTr="00A43278">
        <w:trPr>
          <w:trHeight w:val="915"/>
        </w:trPr>
        <w:tc>
          <w:tcPr>
            <w:tcW w:w="1716" w:type="dxa"/>
            <w:tcBorders>
              <w:top w:val="nil"/>
              <w:left w:val="nil"/>
              <w:bottom w:val="nil"/>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PNG Health and HIV Financing Program (INK653)</w:t>
            </w:r>
          </w:p>
        </w:tc>
        <w:tc>
          <w:tcPr>
            <w:tcW w:w="1583" w:type="dxa"/>
            <w:tcBorders>
              <w:top w:val="nil"/>
              <w:left w:val="nil"/>
              <w:bottom w:val="nil"/>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$48,730,000.00 8/07/2013 - 30/06/2017</w:t>
            </w:r>
          </w:p>
        </w:tc>
        <w:tc>
          <w:tcPr>
            <w:tcW w:w="969" w:type="dxa"/>
            <w:tcBorders>
              <w:top w:val="nil"/>
              <w:left w:val="nil"/>
              <w:bottom w:val="nil"/>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nil"/>
              <w:left w:val="single" w:sz="12" w:space="0" w:color="FFFFFF"/>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auto" w:fill="FF9646"/>
            <w:noWrap/>
            <w:vAlign w:val="bottom"/>
            <w:hideMark/>
          </w:tcPr>
          <w:p w:rsidR="00F111D4" w:rsidRPr="00E37B5A" w:rsidRDefault="00F111D4" w:rsidP="00916A56">
            <w:pPr>
              <w:jc w:val="right"/>
              <w:rPr>
                <w:rFonts w:ascii="Calibri" w:eastAsia="Times New Roman" w:hAnsi="Calibri" w:cs="Calibri"/>
                <w:szCs w:val="20"/>
              </w:rPr>
            </w:pPr>
            <w:r>
              <w:rPr>
                <w:rFonts w:ascii="Calibri" w:eastAsia="Times New Roman" w:hAnsi="Calibri" w:cs="Calibri"/>
                <w:szCs w:val="20"/>
              </w:rPr>
              <w:t>3</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F79646"/>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3</w:t>
            </w:r>
          </w:p>
        </w:tc>
      </w:tr>
      <w:tr w:rsidR="00F111D4" w:rsidRPr="00E37B5A" w:rsidTr="00916A56">
        <w:trPr>
          <w:trHeight w:val="570"/>
        </w:trPr>
        <w:tc>
          <w:tcPr>
            <w:tcW w:w="1716" w:type="dxa"/>
            <w:tcBorders>
              <w:top w:val="nil"/>
              <w:left w:val="nil"/>
              <w:bottom w:val="single" w:sz="4" w:space="0" w:color="auto"/>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2013-14</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c>
          <w:tcPr>
            <w:tcW w:w="567" w:type="dxa"/>
            <w:tcBorders>
              <w:top w:val="nil"/>
              <w:left w:val="nil"/>
              <w:bottom w:val="single" w:sz="4" w:space="0" w:color="auto"/>
              <w:right w:val="nil"/>
            </w:tcBorders>
            <w:shd w:val="clear" w:color="000000" w:fill="D9D9D9"/>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E</w:t>
            </w:r>
          </w:p>
        </w:tc>
      </w:tr>
      <w:tr w:rsidR="00F111D4" w:rsidRPr="00E37B5A" w:rsidTr="00916A56">
        <w:trPr>
          <w:trHeight w:val="915"/>
        </w:trPr>
        <w:tc>
          <w:tcPr>
            <w:tcW w:w="1716" w:type="dxa"/>
            <w:tcBorders>
              <w:top w:val="nil"/>
              <w:left w:val="nil"/>
              <w:bottom w:val="nil"/>
              <w:right w:val="nil"/>
            </w:tcBorders>
            <w:shd w:val="clear" w:color="000000" w:fill="FFFFFF"/>
            <w:noWrap/>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PNG United Nations Country Office Assistance (INL426)</w:t>
            </w:r>
          </w:p>
        </w:tc>
        <w:tc>
          <w:tcPr>
            <w:tcW w:w="1583" w:type="dxa"/>
            <w:tcBorders>
              <w:top w:val="nil"/>
              <w:left w:val="nil"/>
              <w:bottom w:val="nil"/>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$3,000,000.00 1/06/2014 - 31/12/2015</w:t>
            </w:r>
          </w:p>
        </w:tc>
        <w:tc>
          <w:tcPr>
            <w:tcW w:w="969" w:type="dxa"/>
            <w:tcBorders>
              <w:top w:val="nil"/>
              <w:left w:val="nil"/>
              <w:bottom w:val="nil"/>
              <w:right w:val="nil"/>
            </w:tcBorders>
            <w:shd w:val="clear" w:color="000000" w:fill="FFFFFF"/>
            <w:vAlign w:val="bottom"/>
            <w:hideMark/>
          </w:tcPr>
          <w:p w:rsidR="00F111D4" w:rsidRPr="00E37B5A" w:rsidRDefault="00F111D4" w:rsidP="00916A56">
            <w:pPr>
              <w:jc w:val="center"/>
              <w:rPr>
                <w:rFonts w:ascii="Calibri" w:eastAsia="Times New Roman" w:hAnsi="Calibri" w:cs="Calibri"/>
                <w:szCs w:val="20"/>
              </w:rPr>
            </w:pPr>
            <w:r w:rsidRPr="00E37B5A">
              <w:rPr>
                <w:rFonts w:ascii="Calibri" w:eastAsia="Times New Roman" w:hAnsi="Calibri" w:cs="Calibri"/>
                <w:szCs w:val="20"/>
              </w:rPr>
              <w:t>2014-15</w:t>
            </w:r>
          </w:p>
        </w:tc>
        <w:tc>
          <w:tcPr>
            <w:tcW w:w="567" w:type="dxa"/>
            <w:tcBorders>
              <w:top w:val="nil"/>
              <w:left w:val="single" w:sz="12" w:space="0" w:color="FFFFFF"/>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92D05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FFFF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12" w:space="0" w:color="FFFFFF"/>
              <w:right w:val="single" w:sz="12" w:space="0" w:color="FFFFFF"/>
            </w:tcBorders>
            <w:shd w:val="clear" w:color="000000" w:fill="FF0000"/>
            <w:noWrap/>
            <w:vAlign w:val="bottom"/>
            <w:hideMark/>
          </w:tcPr>
          <w:p w:rsidR="00F111D4" w:rsidRPr="00E37B5A" w:rsidRDefault="00F111D4" w:rsidP="00916A56">
            <w:pPr>
              <w:jc w:val="right"/>
              <w:rPr>
                <w:rFonts w:ascii="Calibri" w:eastAsia="Times New Roman" w:hAnsi="Calibri" w:cs="Calibri"/>
                <w:szCs w:val="20"/>
              </w:rPr>
            </w:pPr>
            <w:r w:rsidRPr="00E37B5A">
              <w:rPr>
                <w:rFonts w:ascii="Calibri" w:eastAsia="Times New Roman" w:hAnsi="Calibri" w:cs="Calibri"/>
                <w:szCs w:val="20"/>
              </w:rPr>
              <w:t>1</w:t>
            </w:r>
          </w:p>
        </w:tc>
      </w:tr>
      <w:tr w:rsidR="00F111D4" w:rsidRPr="00E37B5A" w:rsidTr="00916A56">
        <w:trPr>
          <w:trHeight w:val="465"/>
        </w:trPr>
        <w:tc>
          <w:tcPr>
            <w:tcW w:w="1716" w:type="dxa"/>
            <w:tcBorders>
              <w:top w:val="nil"/>
              <w:left w:val="nil"/>
              <w:bottom w:val="single" w:sz="4" w:space="0" w:color="auto"/>
              <w:right w:val="nil"/>
            </w:tcBorders>
            <w:shd w:val="clear" w:color="000000" w:fill="FFFFFF"/>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single" w:sz="4" w:space="0" w:color="auto"/>
              <w:right w:val="nil"/>
            </w:tcBorders>
            <w:shd w:val="clear" w:color="000000" w:fill="FFFFFF"/>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single" w:sz="4" w:space="0" w:color="auto"/>
              <w:right w:val="nil"/>
            </w:tcBorders>
            <w:shd w:val="clear" w:color="000000" w:fill="FFFFFF"/>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single" w:sz="12" w:space="0" w:color="FFFFFF"/>
              <w:bottom w:val="single" w:sz="4" w:space="0" w:color="auto"/>
              <w:right w:val="single" w:sz="12" w:space="0" w:color="FFFFFF"/>
            </w:tcBorders>
            <w:shd w:val="clear" w:color="000000" w:fill="FFFFFF"/>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4" w:space="0" w:color="auto"/>
              <w:right w:val="single" w:sz="12" w:space="0" w:color="FFFFFF"/>
            </w:tcBorders>
            <w:shd w:val="clear" w:color="000000" w:fill="FFFFFF"/>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4" w:space="0" w:color="auto"/>
              <w:right w:val="single" w:sz="12" w:space="0" w:color="FFFFFF"/>
            </w:tcBorders>
            <w:shd w:val="clear" w:color="000000" w:fill="FFFFFF"/>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4" w:space="0" w:color="auto"/>
              <w:right w:val="single" w:sz="12" w:space="0" w:color="FFFFFF"/>
            </w:tcBorders>
            <w:shd w:val="clear" w:color="000000" w:fill="FFFFFF"/>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4" w:space="0" w:color="auto"/>
              <w:right w:val="single" w:sz="12" w:space="0" w:color="FFFFFF"/>
            </w:tcBorders>
            <w:shd w:val="clear" w:color="000000" w:fill="FFFFFF"/>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4" w:space="0" w:color="auto"/>
              <w:right w:val="single" w:sz="12" w:space="0" w:color="FFFFFF"/>
            </w:tcBorders>
            <w:shd w:val="clear" w:color="000000" w:fill="FFFFFF"/>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4" w:space="0" w:color="auto"/>
              <w:right w:val="single" w:sz="12" w:space="0" w:color="FFFFFF"/>
            </w:tcBorders>
            <w:shd w:val="clear" w:color="000000" w:fill="FFFFFF"/>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4" w:space="0" w:color="auto"/>
              <w:right w:val="single" w:sz="12" w:space="0" w:color="FFFFFF"/>
            </w:tcBorders>
            <w:shd w:val="clear" w:color="000000" w:fill="FFFFFF"/>
            <w:noWrap/>
            <w:vAlign w:val="bottom"/>
            <w:hideMark/>
          </w:tcPr>
          <w:p w:rsidR="00F111D4" w:rsidRPr="00E37B5A" w:rsidRDefault="00F111D4" w:rsidP="00916A56">
            <w:pPr>
              <w:rPr>
                <w:rFonts w:ascii="Calibri" w:eastAsia="Times New Roman" w:hAnsi="Calibri" w:cs="Calibri"/>
                <w:szCs w:val="20"/>
              </w:rPr>
            </w:pPr>
            <w:r w:rsidRPr="00E37B5A">
              <w:rPr>
                <w:rFonts w:ascii="Calibri" w:eastAsia="Times New Roman" w:hAnsi="Calibri" w:cs="Calibri"/>
                <w:szCs w:val="20"/>
              </w:rPr>
              <w:t> </w:t>
            </w:r>
          </w:p>
        </w:tc>
      </w:tr>
    </w:tbl>
    <w:p w:rsidR="00924B56" w:rsidRDefault="00924B56"/>
    <w:tbl>
      <w:tblPr>
        <w:tblW w:w="8804" w:type="dxa"/>
        <w:tblInd w:w="93" w:type="dxa"/>
        <w:tblLayout w:type="fixed"/>
        <w:tblLook w:val="04A0" w:firstRow="1" w:lastRow="0" w:firstColumn="1" w:lastColumn="0" w:noHBand="0" w:noVBand="1"/>
      </w:tblPr>
      <w:tblGrid>
        <w:gridCol w:w="1716"/>
        <w:gridCol w:w="1583"/>
        <w:gridCol w:w="969"/>
        <w:gridCol w:w="567"/>
        <w:gridCol w:w="567"/>
        <w:gridCol w:w="567"/>
        <w:gridCol w:w="567"/>
        <w:gridCol w:w="567"/>
        <w:gridCol w:w="567"/>
        <w:gridCol w:w="567"/>
        <w:gridCol w:w="567"/>
      </w:tblGrid>
      <w:tr w:rsidR="005F1165" w:rsidRPr="00E37B5A" w:rsidTr="00916A56">
        <w:trPr>
          <w:trHeight w:val="300"/>
        </w:trPr>
        <w:tc>
          <w:tcPr>
            <w:tcW w:w="1716"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r>
      <w:tr w:rsidR="00A05067" w:rsidRPr="00E37B5A" w:rsidTr="006239A6">
        <w:trPr>
          <w:trHeight w:val="435"/>
        </w:trPr>
        <w:tc>
          <w:tcPr>
            <w:tcW w:w="3299" w:type="dxa"/>
            <w:gridSpan w:val="2"/>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b/>
                <w:szCs w:val="20"/>
              </w:rPr>
            </w:pPr>
            <w:r>
              <w:rPr>
                <w:rFonts w:ascii="Calibri" w:eastAsia="Times New Roman" w:hAnsi="Calibri" w:cs="Calibri"/>
                <w:b/>
                <w:szCs w:val="20"/>
              </w:rPr>
              <w:t>Final Aid Quality Check (</w:t>
            </w:r>
            <w:r w:rsidRPr="00E37B5A">
              <w:rPr>
                <w:rFonts w:ascii="Calibri" w:eastAsia="Times New Roman" w:hAnsi="Calibri" w:cs="Calibri"/>
                <w:b/>
                <w:szCs w:val="20"/>
              </w:rPr>
              <w:t>FAQC</w:t>
            </w:r>
            <w:r>
              <w:rPr>
                <w:rFonts w:ascii="Calibri" w:eastAsia="Times New Roman" w:hAnsi="Calibri" w:cs="Calibri"/>
                <w:b/>
                <w:szCs w:val="20"/>
              </w:rPr>
              <w:t xml:space="preserve">) </w:t>
            </w:r>
            <w:r w:rsidRPr="00E37B5A">
              <w:rPr>
                <w:rFonts w:ascii="Calibri" w:eastAsia="Times New Roman" w:hAnsi="Calibri" w:cs="Calibri"/>
                <w:b/>
                <w:szCs w:val="20"/>
              </w:rPr>
              <w:t xml:space="preserve">Ratings </w:t>
            </w:r>
          </w:p>
          <w:p w:rsidR="00A05067" w:rsidRPr="00E37B5A" w:rsidRDefault="00A05067" w:rsidP="00916A56">
            <w:pPr>
              <w:rPr>
                <w:rFonts w:ascii="Calibri" w:eastAsia="Times New Roman" w:hAnsi="Calibri" w:cs="Calibri"/>
                <w:szCs w:val="20"/>
              </w:rPr>
            </w:pPr>
          </w:p>
        </w:tc>
        <w:tc>
          <w:tcPr>
            <w:tcW w:w="969"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single" w:sz="8" w:space="0" w:color="auto"/>
              <w:right w:val="nil"/>
            </w:tcBorders>
            <w:shd w:val="clear" w:color="000000" w:fill="FFFFFF"/>
            <w:noWrap/>
            <w:vAlign w:val="bottom"/>
            <w:hideMark/>
          </w:tcPr>
          <w:p w:rsidR="00A05067" w:rsidRPr="00E37B5A" w:rsidRDefault="00A05067" w:rsidP="00916A56">
            <w:pPr>
              <w:rPr>
                <w:rFonts w:ascii="Calibri" w:eastAsia="Times New Roman" w:hAnsi="Calibri" w:cs="Calibri"/>
                <w:szCs w:val="20"/>
              </w:rPr>
            </w:pPr>
            <w:r w:rsidRPr="00E37B5A">
              <w:rPr>
                <w:rFonts w:ascii="Calibri" w:eastAsia="Times New Roman" w:hAnsi="Calibri" w:cs="Calibri"/>
                <w:szCs w:val="20"/>
              </w:rPr>
              <w:t> </w:t>
            </w:r>
          </w:p>
        </w:tc>
      </w:tr>
      <w:tr w:rsidR="005F1165" w:rsidRPr="00E37B5A" w:rsidTr="00916A56">
        <w:trPr>
          <w:trHeight w:val="225"/>
        </w:trPr>
        <w:tc>
          <w:tcPr>
            <w:tcW w:w="1716"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1583"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969"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c>
          <w:tcPr>
            <w:tcW w:w="567" w:type="dxa"/>
            <w:tcBorders>
              <w:top w:val="nil"/>
              <w:left w:val="nil"/>
              <w:bottom w:val="nil"/>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w:t>
            </w:r>
          </w:p>
        </w:tc>
      </w:tr>
      <w:tr w:rsidR="005F1165" w:rsidRPr="00E37B5A" w:rsidTr="00916A56">
        <w:trPr>
          <w:trHeight w:val="1830"/>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b/>
                <w:bCs/>
                <w:szCs w:val="20"/>
              </w:rPr>
            </w:pPr>
            <w:r w:rsidRPr="00E37B5A">
              <w:rPr>
                <w:rFonts w:ascii="Calibri" w:eastAsia="Times New Roman" w:hAnsi="Calibri" w:cs="Calibri"/>
                <w:b/>
                <w:bCs/>
                <w:szCs w:val="20"/>
              </w:rPr>
              <w:t>Investment Name</w:t>
            </w:r>
          </w:p>
        </w:tc>
        <w:tc>
          <w:tcPr>
            <w:tcW w:w="1583" w:type="dxa"/>
            <w:tcBorders>
              <w:top w:val="nil"/>
              <w:left w:val="nil"/>
              <w:bottom w:val="single" w:sz="4" w:space="0" w:color="auto"/>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szCs w:val="20"/>
              </w:rPr>
            </w:pPr>
            <w:r w:rsidRPr="00E37B5A">
              <w:rPr>
                <w:rFonts w:ascii="Calibri" w:eastAsia="Times New Roman" w:hAnsi="Calibri" w:cs="Calibri"/>
                <w:b/>
                <w:bCs/>
                <w:szCs w:val="20"/>
              </w:rPr>
              <w:t>Approved budget and duration</w:t>
            </w:r>
          </w:p>
        </w:tc>
        <w:tc>
          <w:tcPr>
            <w:tcW w:w="969" w:type="dxa"/>
            <w:tcBorders>
              <w:top w:val="nil"/>
              <w:left w:val="nil"/>
              <w:bottom w:val="single" w:sz="4" w:space="0" w:color="auto"/>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szCs w:val="20"/>
              </w:rPr>
            </w:pPr>
            <w:r w:rsidRPr="00E37B5A">
              <w:rPr>
                <w:rFonts w:ascii="Calibri" w:eastAsia="Times New Roman" w:hAnsi="Calibri" w:cs="Calibri"/>
                <w:b/>
                <w:bCs/>
                <w:szCs w:val="20"/>
              </w:rPr>
              <w:t>Overall rating</w:t>
            </w:r>
          </w:p>
        </w:tc>
        <w:tc>
          <w:tcPr>
            <w:tcW w:w="567" w:type="dxa"/>
            <w:tcBorders>
              <w:top w:val="nil"/>
              <w:left w:val="nil"/>
              <w:bottom w:val="single" w:sz="4" w:space="0" w:color="auto"/>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szCs w:val="20"/>
              </w:rPr>
            </w:pPr>
            <w:r w:rsidRPr="00E37B5A">
              <w:rPr>
                <w:rFonts w:ascii="Calibri" w:eastAsia="Times New Roman" w:hAnsi="Calibri" w:cs="Calibri"/>
                <w:b/>
                <w:bCs/>
                <w:szCs w:val="20"/>
              </w:rPr>
              <w:t>Relevance</w:t>
            </w:r>
          </w:p>
        </w:tc>
        <w:tc>
          <w:tcPr>
            <w:tcW w:w="567" w:type="dxa"/>
            <w:tcBorders>
              <w:top w:val="nil"/>
              <w:left w:val="nil"/>
              <w:bottom w:val="single" w:sz="4" w:space="0" w:color="auto"/>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szCs w:val="20"/>
              </w:rPr>
            </w:pPr>
            <w:r w:rsidRPr="00E37B5A">
              <w:rPr>
                <w:rFonts w:ascii="Calibri" w:eastAsia="Times New Roman" w:hAnsi="Calibri" w:cs="Calibri"/>
                <w:b/>
                <w:bCs/>
                <w:szCs w:val="20"/>
              </w:rPr>
              <w:t>effectiveness</w:t>
            </w:r>
          </w:p>
        </w:tc>
        <w:tc>
          <w:tcPr>
            <w:tcW w:w="567" w:type="dxa"/>
            <w:tcBorders>
              <w:top w:val="nil"/>
              <w:left w:val="nil"/>
              <w:bottom w:val="single" w:sz="4" w:space="0" w:color="auto"/>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szCs w:val="20"/>
              </w:rPr>
            </w:pPr>
            <w:r w:rsidRPr="00E37B5A">
              <w:rPr>
                <w:rFonts w:ascii="Calibri" w:eastAsia="Times New Roman" w:hAnsi="Calibri" w:cs="Calibri"/>
                <w:b/>
                <w:bCs/>
                <w:szCs w:val="20"/>
              </w:rPr>
              <w:t>Efficiency</w:t>
            </w:r>
          </w:p>
        </w:tc>
        <w:tc>
          <w:tcPr>
            <w:tcW w:w="567" w:type="dxa"/>
            <w:tcBorders>
              <w:top w:val="nil"/>
              <w:left w:val="nil"/>
              <w:bottom w:val="single" w:sz="4" w:space="0" w:color="auto"/>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szCs w:val="20"/>
              </w:rPr>
            </w:pPr>
            <w:r w:rsidRPr="00E37B5A">
              <w:rPr>
                <w:rFonts w:ascii="Calibri" w:eastAsia="Times New Roman" w:hAnsi="Calibri" w:cs="Calibri"/>
                <w:b/>
                <w:bCs/>
                <w:szCs w:val="20"/>
              </w:rPr>
              <w:t>Monitoring &amp; Evaluation</w:t>
            </w:r>
          </w:p>
        </w:tc>
        <w:tc>
          <w:tcPr>
            <w:tcW w:w="567" w:type="dxa"/>
            <w:tcBorders>
              <w:top w:val="nil"/>
              <w:left w:val="nil"/>
              <w:bottom w:val="single" w:sz="4" w:space="0" w:color="auto"/>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szCs w:val="20"/>
              </w:rPr>
            </w:pPr>
            <w:r w:rsidRPr="00E37B5A">
              <w:rPr>
                <w:rFonts w:ascii="Calibri" w:eastAsia="Times New Roman" w:hAnsi="Calibri" w:cs="Calibri"/>
                <w:b/>
                <w:bCs/>
                <w:szCs w:val="20"/>
              </w:rPr>
              <w:t>Sustainability</w:t>
            </w:r>
          </w:p>
        </w:tc>
        <w:tc>
          <w:tcPr>
            <w:tcW w:w="567" w:type="dxa"/>
            <w:tcBorders>
              <w:top w:val="nil"/>
              <w:left w:val="nil"/>
              <w:bottom w:val="single" w:sz="4" w:space="0" w:color="auto"/>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szCs w:val="20"/>
              </w:rPr>
            </w:pPr>
            <w:r w:rsidRPr="00E37B5A">
              <w:rPr>
                <w:rFonts w:ascii="Calibri" w:eastAsia="Times New Roman" w:hAnsi="Calibri" w:cs="Calibri"/>
                <w:b/>
                <w:bCs/>
                <w:szCs w:val="20"/>
              </w:rPr>
              <w:t>Gender Equality</w:t>
            </w:r>
          </w:p>
        </w:tc>
        <w:tc>
          <w:tcPr>
            <w:tcW w:w="567" w:type="dxa"/>
            <w:tcBorders>
              <w:top w:val="nil"/>
              <w:left w:val="nil"/>
              <w:bottom w:val="single" w:sz="4" w:space="0" w:color="auto"/>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szCs w:val="20"/>
              </w:rPr>
            </w:pPr>
            <w:r w:rsidRPr="00E37B5A">
              <w:rPr>
                <w:rFonts w:ascii="Calibri" w:eastAsia="Times New Roman" w:hAnsi="Calibri" w:cs="Calibri"/>
                <w:b/>
                <w:bCs/>
                <w:szCs w:val="20"/>
              </w:rPr>
              <w:t>Risks and Strategies</w:t>
            </w:r>
          </w:p>
        </w:tc>
        <w:tc>
          <w:tcPr>
            <w:tcW w:w="567" w:type="dxa"/>
            <w:tcBorders>
              <w:top w:val="nil"/>
              <w:left w:val="nil"/>
              <w:bottom w:val="single" w:sz="4" w:space="0" w:color="auto"/>
              <w:right w:val="nil"/>
            </w:tcBorders>
            <w:shd w:val="clear" w:color="000000" w:fill="FFFFFF"/>
            <w:textDirection w:val="btLr"/>
            <w:vAlign w:val="bottom"/>
            <w:hideMark/>
          </w:tcPr>
          <w:p w:rsidR="005F1165" w:rsidRPr="00E37B5A" w:rsidRDefault="005F1165" w:rsidP="00916A56">
            <w:pPr>
              <w:jc w:val="center"/>
              <w:rPr>
                <w:rFonts w:ascii="Calibri" w:eastAsia="Times New Roman" w:hAnsi="Calibri" w:cs="Calibri"/>
                <w:b/>
                <w:bCs/>
                <w:szCs w:val="20"/>
              </w:rPr>
            </w:pPr>
            <w:r w:rsidRPr="00E37B5A">
              <w:rPr>
                <w:rFonts w:ascii="Calibri" w:eastAsia="Times New Roman" w:hAnsi="Calibri" w:cs="Calibri"/>
                <w:b/>
                <w:bCs/>
                <w:szCs w:val="20"/>
              </w:rPr>
              <w:t xml:space="preserve">Innovation and Private Sector </w:t>
            </w:r>
          </w:p>
        </w:tc>
      </w:tr>
      <w:tr w:rsidR="005F1165" w:rsidRPr="00E37B5A" w:rsidTr="00916A56">
        <w:trPr>
          <w:trHeight w:val="900"/>
        </w:trPr>
        <w:tc>
          <w:tcPr>
            <w:tcW w:w="1716" w:type="dxa"/>
            <w:tcBorders>
              <w:top w:val="nil"/>
              <w:left w:val="nil"/>
              <w:bottom w:val="single" w:sz="4" w:space="0" w:color="auto"/>
              <w:right w:val="nil"/>
            </w:tcBorders>
            <w:shd w:val="clear" w:color="000000" w:fill="FFFFFF"/>
            <w:noWrap/>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Incentive Fund Phase III (INI793)</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$87,000,000.00 1/07/2009 - 30/06/2015</w:t>
            </w:r>
          </w:p>
        </w:tc>
        <w:tc>
          <w:tcPr>
            <w:tcW w:w="969" w:type="dxa"/>
            <w:tcBorders>
              <w:top w:val="nil"/>
              <w:left w:val="single" w:sz="12" w:space="0" w:color="FFFFFF"/>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r>
      <w:tr w:rsidR="005F1165" w:rsidRPr="00E37B5A" w:rsidTr="00A43278">
        <w:trPr>
          <w:trHeight w:val="900"/>
        </w:trPr>
        <w:tc>
          <w:tcPr>
            <w:tcW w:w="1716" w:type="dxa"/>
            <w:tcBorders>
              <w:top w:val="nil"/>
              <w:left w:val="nil"/>
              <w:bottom w:val="single" w:sz="4" w:space="0" w:color="auto"/>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PNG Australia Forest Carbon Partnership (INH919)</w:t>
            </w:r>
          </w:p>
        </w:tc>
        <w:tc>
          <w:tcPr>
            <w:tcW w:w="1583" w:type="dxa"/>
            <w:tcBorders>
              <w:top w:val="nil"/>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$3,811,865.43 4/05/2008 - 30/06/2015</w:t>
            </w:r>
          </w:p>
        </w:tc>
        <w:tc>
          <w:tcPr>
            <w:tcW w:w="969" w:type="dxa"/>
            <w:tcBorders>
              <w:top w:val="nil"/>
              <w:left w:val="single" w:sz="12" w:space="0" w:color="FFFFFF"/>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auto" w:fill="FF9646"/>
            <w:noWrap/>
            <w:vAlign w:val="bottom"/>
            <w:hideMark/>
          </w:tcPr>
          <w:p w:rsidR="005F1165" w:rsidRPr="00E37B5A" w:rsidRDefault="00F111D4" w:rsidP="00916A56">
            <w:pPr>
              <w:jc w:val="right"/>
              <w:rPr>
                <w:rFonts w:ascii="Calibri" w:eastAsia="Times New Roman" w:hAnsi="Calibri" w:cs="Calibri"/>
                <w:szCs w:val="20"/>
              </w:rPr>
            </w:pPr>
            <w:r>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auto" w:fill="FF9646"/>
            <w:noWrap/>
            <w:vAlign w:val="bottom"/>
            <w:hideMark/>
          </w:tcPr>
          <w:p w:rsidR="005F1165" w:rsidRPr="00E37B5A" w:rsidRDefault="00F111D4" w:rsidP="00916A56">
            <w:pPr>
              <w:jc w:val="right"/>
              <w:rPr>
                <w:rFonts w:ascii="Calibri" w:eastAsia="Times New Roman" w:hAnsi="Calibri" w:cs="Calibri"/>
                <w:szCs w:val="20"/>
              </w:rPr>
            </w:pPr>
            <w:r>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auto" w:fill="FF9646"/>
            <w:noWrap/>
            <w:vAlign w:val="bottom"/>
            <w:hideMark/>
          </w:tcPr>
          <w:p w:rsidR="005F1165" w:rsidRPr="00E37B5A" w:rsidRDefault="00F111D4" w:rsidP="00916A56">
            <w:pPr>
              <w:jc w:val="right"/>
              <w:rPr>
                <w:rFonts w:ascii="Calibri" w:eastAsia="Times New Roman" w:hAnsi="Calibri" w:cs="Calibri"/>
                <w:szCs w:val="20"/>
              </w:rPr>
            </w:pPr>
            <w:r>
              <w:rPr>
                <w:rFonts w:ascii="Calibri" w:eastAsia="Times New Roman" w:hAnsi="Calibri" w:cs="Calibri"/>
                <w:szCs w:val="20"/>
              </w:rPr>
              <w:t>3</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nil"/>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nil"/>
              <w:left w:val="nil"/>
              <w:bottom w:val="single" w:sz="4"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r>
      <w:tr w:rsidR="005F1165" w:rsidRPr="00E37B5A" w:rsidTr="00916A56">
        <w:trPr>
          <w:trHeight w:val="900"/>
        </w:trPr>
        <w:tc>
          <w:tcPr>
            <w:tcW w:w="1716" w:type="dxa"/>
            <w:tcBorders>
              <w:top w:val="single" w:sz="4" w:space="0" w:color="auto"/>
              <w:left w:val="nil"/>
              <w:bottom w:val="single" w:sz="4" w:space="0" w:color="auto"/>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xml:space="preserve">Transport Sector Support Program (ING545) </w:t>
            </w:r>
          </w:p>
        </w:tc>
        <w:tc>
          <w:tcPr>
            <w:tcW w:w="1583" w:type="dxa"/>
            <w:tcBorders>
              <w:top w:val="single" w:sz="4" w:space="0" w:color="auto"/>
              <w:left w:val="nil"/>
              <w:bottom w:val="single" w:sz="4"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 xml:space="preserve">414409952.31 22/05/2006 - 31/12/2014 </w:t>
            </w:r>
          </w:p>
        </w:tc>
        <w:tc>
          <w:tcPr>
            <w:tcW w:w="969" w:type="dxa"/>
            <w:tcBorders>
              <w:top w:val="single" w:sz="4" w:space="0" w:color="auto"/>
              <w:left w:val="single" w:sz="12" w:space="0" w:color="FFFFFF"/>
              <w:bottom w:val="single" w:sz="4" w:space="0" w:color="auto"/>
              <w:right w:val="nil"/>
            </w:tcBorders>
            <w:shd w:val="clear" w:color="auto"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4" w:space="0" w:color="auto"/>
              <w:right w:val="nil"/>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4" w:space="0" w:color="auto"/>
              <w:right w:val="nil"/>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4" w:space="0" w:color="auto"/>
              <w:right w:val="nil"/>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4" w:space="0" w:color="auto"/>
              <w:right w:val="nil"/>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4" w:space="0" w:color="auto"/>
              <w:right w:val="nil"/>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4" w:space="0" w:color="auto"/>
              <w:right w:val="nil"/>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4" w:space="0" w:color="auto"/>
              <w:right w:val="nil"/>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4"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r>
      <w:tr w:rsidR="005F1165" w:rsidRPr="00E37B5A" w:rsidTr="00A43278">
        <w:trPr>
          <w:trHeight w:val="915"/>
        </w:trPr>
        <w:tc>
          <w:tcPr>
            <w:tcW w:w="1716" w:type="dxa"/>
            <w:tcBorders>
              <w:top w:val="single" w:sz="4" w:space="0" w:color="auto"/>
              <w:left w:val="nil"/>
              <w:bottom w:val="single" w:sz="8" w:space="0" w:color="auto"/>
              <w:right w:val="nil"/>
            </w:tcBorders>
            <w:shd w:val="clear" w:color="000000" w:fill="FFFFFF"/>
            <w:noWrap/>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Climate Change Adaptation Initiative (INJ700)</w:t>
            </w:r>
          </w:p>
        </w:tc>
        <w:tc>
          <w:tcPr>
            <w:tcW w:w="1583" w:type="dxa"/>
            <w:tcBorders>
              <w:top w:val="single" w:sz="4" w:space="0" w:color="auto"/>
              <w:left w:val="nil"/>
              <w:bottom w:val="single" w:sz="8" w:space="0" w:color="auto"/>
              <w:right w:val="nil"/>
            </w:tcBorders>
            <w:shd w:val="clear" w:color="000000" w:fill="FFFFFF"/>
            <w:vAlign w:val="bottom"/>
            <w:hideMark/>
          </w:tcPr>
          <w:p w:rsidR="005F1165" w:rsidRPr="00E37B5A" w:rsidRDefault="005F1165" w:rsidP="00916A56">
            <w:pPr>
              <w:rPr>
                <w:rFonts w:ascii="Calibri" w:eastAsia="Times New Roman" w:hAnsi="Calibri" w:cs="Calibri"/>
                <w:szCs w:val="20"/>
              </w:rPr>
            </w:pPr>
            <w:r w:rsidRPr="00E37B5A">
              <w:rPr>
                <w:rFonts w:ascii="Calibri" w:eastAsia="Times New Roman" w:hAnsi="Calibri" w:cs="Calibri"/>
                <w:szCs w:val="20"/>
              </w:rPr>
              <w:t>$4,644,077.70 7/02/2011 - 30/06/2015</w:t>
            </w:r>
          </w:p>
        </w:tc>
        <w:tc>
          <w:tcPr>
            <w:tcW w:w="969" w:type="dxa"/>
            <w:tcBorders>
              <w:top w:val="single" w:sz="4" w:space="0" w:color="auto"/>
              <w:left w:val="single" w:sz="12" w:space="0" w:color="FFFFFF"/>
              <w:bottom w:val="single" w:sz="8"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8"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8" w:space="0" w:color="auto"/>
              <w:right w:val="single" w:sz="12" w:space="0" w:color="FFFFFF"/>
            </w:tcBorders>
            <w:shd w:val="clear" w:color="auto" w:fill="FF9646"/>
            <w:noWrap/>
            <w:vAlign w:val="bottom"/>
            <w:hideMark/>
          </w:tcPr>
          <w:p w:rsidR="005F1165" w:rsidRPr="00E37B5A" w:rsidRDefault="00F111D4" w:rsidP="00916A56">
            <w:pPr>
              <w:jc w:val="right"/>
              <w:rPr>
                <w:rFonts w:ascii="Calibri" w:eastAsia="Times New Roman" w:hAnsi="Calibri" w:cs="Calibri"/>
                <w:szCs w:val="20"/>
              </w:rPr>
            </w:pPr>
            <w:r>
              <w:rPr>
                <w:rFonts w:ascii="Calibri" w:eastAsia="Times New Roman" w:hAnsi="Calibri" w:cs="Calibri"/>
                <w:szCs w:val="20"/>
              </w:rPr>
              <w:t>3</w:t>
            </w:r>
          </w:p>
        </w:tc>
        <w:tc>
          <w:tcPr>
            <w:tcW w:w="567" w:type="dxa"/>
            <w:tcBorders>
              <w:top w:val="single" w:sz="4" w:space="0" w:color="auto"/>
              <w:left w:val="nil"/>
              <w:bottom w:val="single" w:sz="8"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8"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8"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8"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c>
          <w:tcPr>
            <w:tcW w:w="567" w:type="dxa"/>
            <w:tcBorders>
              <w:top w:val="single" w:sz="4" w:space="0" w:color="auto"/>
              <w:left w:val="nil"/>
              <w:bottom w:val="single" w:sz="8" w:space="0" w:color="auto"/>
              <w:right w:val="single" w:sz="12" w:space="0" w:color="FFFFFF"/>
            </w:tcBorders>
            <w:shd w:val="clear" w:color="000000" w:fill="92D05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5</w:t>
            </w:r>
          </w:p>
        </w:tc>
        <w:tc>
          <w:tcPr>
            <w:tcW w:w="567" w:type="dxa"/>
            <w:tcBorders>
              <w:top w:val="single" w:sz="4" w:space="0" w:color="auto"/>
              <w:left w:val="nil"/>
              <w:bottom w:val="single" w:sz="8" w:space="0" w:color="auto"/>
              <w:right w:val="single" w:sz="12" w:space="0" w:color="FFFFFF"/>
            </w:tcBorders>
            <w:shd w:val="clear" w:color="000000" w:fill="FFFF00"/>
            <w:noWrap/>
            <w:vAlign w:val="bottom"/>
            <w:hideMark/>
          </w:tcPr>
          <w:p w:rsidR="005F1165" w:rsidRPr="00E37B5A" w:rsidRDefault="005F1165" w:rsidP="00916A56">
            <w:pPr>
              <w:jc w:val="right"/>
              <w:rPr>
                <w:rFonts w:ascii="Calibri" w:eastAsia="Times New Roman" w:hAnsi="Calibri" w:cs="Calibri"/>
                <w:szCs w:val="20"/>
              </w:rPr>
            </w:pPr>
            <w:r w:rsidRPr="00E37B5A">
              <w:rPr>
                <w:rFonts w:ascii="Calibri" w:eastAsia="Times New Roman" w:hAnsi="Calibri" w:cs="Calibri"/>
                <w:szCs w:val="20"/>
              </w:rPr>
              <w:t>4</w:t>
            </w:r>
          </w:p>
        </w:tc>
      </w:tr>
    </w:tbl>
    <w:p w:rsidR="00CE26AD" w:rsidRDefault="00CE26AD">
      <w:pPr>
        <w:spacing w:after="200" w:line="276" w:lineRule="auto"/>
        <w:rPr>
          <w:sz w:val="14"/>
          <w:szCs w:val="14"/>
        </w:rPr>
        <w:sectPr w:rsidR="00CE26AD" w:rsidSect="00A43278">
          <w:pgSz w:w="11907" w:h="16840" w:code="9"/>
          <w:pgMar w:top="1276" w:right="1871" w:bottom="907" w:left="1871" w:header="851" w:footer="454" w:gutter="0"/>
          <w:cols w:space="720"/>
          <w:docGrid w:linePitch="272"/>
        </w:sectPr>
      </w:pPr>
    </w:p>
    <w:p w:rsidR="00E662E3" w:rsidRPr="00426449" w:rsidRDefault="00E662E3" w:rsidP="00E662E3">
      <w:pPr>
        <w:pStyle w:val="Heading2"/>
        <w:ind w:left="142"/>
        <w:rPr>
          <w:sz w:val="16"/>
          <w:szCs w:val="16"/>
        </w:rPr>
      </w:pPr>
      <w:r w:rsidRPr="00426449">
        <w:rPr>
          <w:sz w:val="28"/>
        </w:rPr>
        <w:lastRenderedPageBreak/>
        <w:t>A</w:t>
      </w:r>
      <w:r>
        <w:rPr>
          <w:sz w:val="28"/>
        </w:rPr>
        <w:t>nnex</w:t>
      </w:r>
      <w:r w:rsidRPr="00426449">
        <w:rPr>
          <w:sz w:val="28"/>
        </w:rPr>
        <w:t xml:space="preserve"> E – Risk</w:t>
      </w:r>
    </w:p>
    <w:tbl>
      <w:tblPr>
        <w:tblW w:w="505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10"/>
        <w:gridCol w:w="3544"/>
        <w:gridCol w:w="6804"/>
        <w:gridCol w:w="1559"/>
      </w:tblGrid>
      <w:tr w:rsidR="00E662E3" w:rsidRPr="0050064E" w:rsidTr="00BA6275">
        <w:tc>
          <w:tcPr>
            <w:tcW w:w="2410" w:type="dxa"/>
            <w:hideMark/>
          </w:tcPr>
          <w:p w:rsidR="00E662E3" w:rsidRPr="0050064E" w:rsidRDefault="00E662E3" w:rsidP="00BA6275">
            <w:pPr>
              <w:pStyle w:val="BodyText"/>
              <w:rPr>
                <w:b/>
                <w:iCs/>
              </w:rPr>
            </w:pPr>
            <w:r w:rsidRPr="0050064E">
              <w:rPr>
                <w:b/>
                <w:iCs/>
              </w:rPr>
              <w:t>Key risks</w:t>
            </w:r>
          </w:p>
        </w:tc>
        <w:tc>
          <w:tcPr>
            <w:tcW w:w="3544" w:type="dxa"/>
          </w:tcPr>
          <w:p w:rsidR="00E662E3" w:rsidRPr="0050064E" w:rsidRDefault="00E662E3" w:rsidP="00BA6275">
            <w:pPr>
              <w:pStyle w:val="BodyText"/>
              <w:rPr>
                <w:b/>
                <w:iCs/>
              </w:rPr>
            </w:pPr>
            <w:r w:rsidRPr="0050064E">
              <w:rPr>
                <w:b/>
                <w:iCs/>
              </w:rPr>
              <w:t>What actions were taken to manage the risks over the past year?</w:t>
            </w:r>
          </w:p>
        </w:tc>
        <w:tc>
          <w:tcPr>
            <w:tcW w:w="6804" w:type="dxa"/>
          </w:tcPr>
          <w:p w:rsidR="00E662E3" w:rsidRPr="0050064E" w:rsidRDefault="00E662E3" w:rsidP="00BA6275">
            <w:pPr>
              <w:pStyle w:val="BodyText"/>
              <w:rPr>
                <w:b/>
                <w:iCs/>
              </w:rPr>
            </w:pPr>
            <w:r w:rsidRPr="0050064E">
              <w:rPr>
                <w:b/>
                <w:iCs/>
              </w:rPr>
              <w:t>What further actions will be taken to manage the risks in the coming year?</w:t>
            </w:r>
          </w:p>
        </w:tc>
        <w:tc>
          <w:tcPr>
            <w:tcW w:w="1559" w:type="dxa"/>
          </w:tcPr>
          <w:p w:rsidR="00E662E3" w:rsidRPr="0050064E" w:rsidRDefault="00E662E3" w:rsidP="00BA6275">
            <w:pPr>
              <w:pStyle w:val="BodyText"/>
              <w:rPr>
                <w:b/>
                <w:iCs/>
              </w:rPr>
            </w:pPr>
            <w:r w:rsidRPr="0050064E">
              <w:rPr>
                <w:b/>
                <w:iCs/>
              </w:rPr>
              <w:t>Risk Rating (low, medium, high, very high)</w:t>
            </w:r>
          </w:p>
        </w:tc>
      </w:tr>
      <w:tr w:rsidR="00E662E3" w:rsidTr="00BA6275">
        <w:tc>
          <w:tcPr>
            <w:tcW w:w="2410" w:type="dxa"/>
          </w:tcPr>
          <w:p w:rsidR="00E662E3" w:rsidRPr="0050064E" w:rsidRDefault="00E662E3" w:rsidP="00BA6275">
            <w:pPr>
              <w:pStyle w:val="BodyText"/>
            </w:pPr>
            <w:r>
              <w:rPr>
                <w:lang w:eastAsia="en-US"/>
              </w:rPr>
              <w:t>PNG Budgetary pressures brought on by the decline in commodity prices and related revenues impact the capacity of PNG Government to fund basic services and thus impacts the effectiveness of Australian assistance.</w:t>
            </w:r>
          </w:p>
        </w:tc>
        <w:tc>
          <w:tcPr>
            <w:tcW w:w="3544" w:type="dxa"/>
          </w:tcPr>
          <w:p w:rsidR="00E662E3" w:rsidRPr="0050064E" w:rsidRDefault="00E662E3" w:rsidP="00BA6275">
            <w:pPr>
              <w:pStyle w:val="BodyText"/>
              <w:rPr>
                <w:iCs/>
              </w:rPr>
            </w:pPr>
            <w:r>
              <w:rPr>
                <w:lang w:eastAsia="en-US"/>
              </w:rPr>
              <w:t>A budget engagement strategy was implemented to engage with relevant stakeholders in the budget planning process and prosecute the case for funding in areas critical to Australian assistance.  The assistance of Australian funded advisory support in the PNG Department of Treasury was sought as part of this process.</w:t>
            </w:r>
          </w:p>
        </w:tc>
        <w:tc>
          <w:tcPr>
            <w:tcW w:w="6804" w:type="dxa"/>
          </w:tcPr>
          <w:p w:rsidR="00E662E3" w:rsidRDefault="00E662E3" w:rsidP="00BA6275">
            <w:pPr>
              <w:pStyle w:val="BodyText"/>
              <w:rPr>
                <w:lang w:eastAsia="en-US"/>
              </w:rPr>
            </w:pPr>
            <w:r>
              <w:rPr>
                <w:lang w:eastAsia="en-US"/>
              </w:rPr>
              <w:t>Advocacy with the Department of Treasury will continue to be our primary mode of influence, as well as supporting relevant PNG line agencies (as requested by those agencies) to develop budget bids.  Ongoing engagement with the Bank of PNG and with relevant Ministers will also form part of our efforts to influence policy.</w:t>
            </w:r>
          </w:p>
          <w:p w:rsidR="00E662E3" w:rsidRPr="0050064E" w:rsidRDefault="00E662E3" w:rsidP="00BA6275">
            <w:pPr>
              <w:pStyle w:val="BodyText"/>
              <w:rPr>
                <w:iCs/>
              </w:rPr>
            </w:pPr>
            <w:r>
              <w:rPr>
                <w:lang w:eastAsia="en-US"/>
              </w:rPr>
              <w:t xml:space="preserve">The reduction in assistance for direct service delivery, and shift to a focus on systems and structures to deliver those services should help reduce the impact of a budgetary downturn on the effectiveness of our support.  We do expect increasing requests from PNG as a result of the downturn. The release of the AIP and clear frameworks for our support will assist in managing such requests. </w:t>
            </w:r>
          </w:p>
        </w:tc>
        <w:tc>
          <w:tcPr>
            <w:tcW w:w="1559" w:type="dxa"/>
          </w:tcPr>
          <w:p w:rsidR="00E662E3" w:rsidRDefault="00E662E3" w:rsidP="00BA6275">
            <w:pPr>
              <w:pStyle w:val="BodyText"/>
              <w:rPr>
                <w:iCs/>
              </w:rPr>
            </w:pPr>
            <w:r>
              <w:rPr>
                <w:iCs/>
              </w:rPr>
              <w:t>Medium</w:t>
            </w:r>
          </w:p>
        </w:tc>
      </w:tr>
      <w:tr w:rsidR="00E662E3" w:rsidRPr="0050064E" w:rsidTr="00BA6275">
        <w:tc>
          <w:tcPr>
            <w:tcW w:w="2410" w:type="dxa"/>
          </w:tcPr>
          <w:p w:rsidR="00E662E3" w:rsidRPr="0050064E" w:rsidRDefault="00E662E3" w:rsidP="00BA6275">
            <w:pPr>
              <w:pStyle w:val="BodyText"/>
            </w:pPr>
            <w:r w:rsidRPr="0050064E">
              <w:t>Perception by either Government (Australia or PNG) that they are failing to deliver on the Joint U</w:t>
            </w:r>
            <w:r>
              <w:t xml:space="preserve">nderstanding commitments (JU) </w:t>
            </w:r>
            <w:r>
              <w:tab/>
            </w:r>
          </w:p>
        </w:tc>
        <w:tc>
          <w:tcPr>
            <w:tcW w:w="3544" w:type="dxa"/>
          </w:tcPr>
          <w:p w:rsidR="00E662E3" w:rsidRPr="0050064E" w:rsidRDefault="00E662E3" w:rsidP="00BA6275">
            <w:pPr>
              <w:pStyle w:val="BodyText"/>
              <w:rPr>
                <w:iCs/>
              </w:rPr>
            </w:pPr>
            <w:r w:rsidRPr="0050064E">
              <w:rPr>
                <w:iCs/>
              </w:rPr>
              <w:t xml:space="preserve">Clear communication with different stakeholders about the extent of Australia’s support for JU.  </w:t>
            </w:r>
          </w:p>
        </w:tc>
        <w:tc>
          <w:tcPr>
            <w:tcW w:w="6804" w:type="dxa"/>
          </w:tcPr>
          <w:p w:rsidR="00E662E3" w:rsidRPr="0050064E" w:rsidRDefault="00E662E3" w:rsidP="00BA6275">
            <w:pPr>
              <w:pStyle w:val="BodyText"/>
              <w:rPr>
                <w:iCs/>
              </w:rPr>
            </w:pPr>
            <w:r w:rsidRPr="0050064E">
              <w:rPr>
                <w:iCs/>
              </w:rPr>
              <w:t xml:space="preserve">Dedicated JU oversight mechanisms at bilateral, DFAT and project levels.  Manage expectations through regular updates to stakeholders. Establish dedicated JU risk register. </w:t>
            </w:r>
            <w:r>
              <w:rPr>
                <w:iCs/>
              </w:rPr>
              <w:t xml:space="preserve"> </w:t>
            </w:r>
            <w:r w:rsidRPr="0050064E">
              <w:rPr>
                <w:iCs/>
              </w:rPr>
              <w:t xml:space="preserve">Senior post oversight and engagement with Chief Secretary to address bottlenecks and escalation where needed. </w:t>
            </w:r>
          </w:p>
        </w:tc>
        <w:tc>
          <w:tcPr>
            <w:tcW w:w="1559" w:type="dxa"/>
          </w:tcPr>
          <w:p w:rsidR="00E662E3" w:rsidRPr="0050064E" w:rsidRDefault="00E662E3" w:rsidP="00BA6275">
            <w:pPr>
              <w:pStyle w:val="BodyText"/>
              <w:rPr>
                <w:iCs/>
              </w:rPr>
            </w:pPr>
            <w:r>
              <w:rPr>
                <w:iCs/>
              </w:rPr>
              <w:t>High</w:t>
            </w:r>
          </w:p>
        </w:tc>
      </w:tr>
      <w:tr w:rsidR="00E662E3" w:rsidRPr="0050064E" w:rsidTr="00BA6275">
        <w:tc>
          <w:tcPr>
            <w:tcW w:w="2410" w:type="dxa"/>
            <w:hideMark/>
          </w:tcPr>
          <w:p w:rsidR="00E662E3" w:rsidRPr="0050064E" w:rsidRDefault="00E662E3" w:rsidP="00BA6275">
            <w:pPr>
              <w:pStyle w:val="BodyText"/>
            </w:pPr>
            <w:r w:rsidRPr="0050064E">
              <w:t>An increase in the incidence of fraud and/or corruption impacts the aid program</w:t>
            </w:r>
          </w:p>
        </w:tc>
        <w:tc>
          <w:tcPr>
            <w:tcW w:w="3544" w:type="dxa"/>
          </w:tcPr>
          <w:p w:rsidR="00E662E3" w:rsidRPr="0050064E" w:rsidRDefault="00E662E3" w:rsidP="00BA6275">
            <w:pPr>
              <w:pStyle w:val="BodyText"/>
              <w:rPr>
                <w:iCs/>
              </w:rPr>
            </w:pPr>
            <w:r w:rsidRPr="0050064E">
              <w:rPr>
                <w:iCs/>
              </w:rPr>
              <w:t>Programs maintain stringent controls over financial management and expenditure with a zero tolerance for fraud or corruption.</w:t>
            </w:r>
          </w:p>
          <w:p w:rsidR="00E662E3" w:rsidRPr="0050064E" w:rsidRDefault="00E662E3" w:rsidP="00BA6275">
            <w:pPr>
              <w:pStyle w:val="BodyText"/>
              <w:rPr>
                <w:iCs/>
              </w:rPr>
            </w:pPr>
            <w:r w:rsidRPr="0050064E">
              <w:rPr>
                <w:iCs/>
              </w:rPr>
              <w:t>Maintain an aid program fraud risk register with controls.</w:t>
            </w:r>
          </w:p>
        </w:tc>
        <w:tc>
          <w:tcPr>
            <w:tcW w:w="6804" w:type="dxa"/>
          </w:tcPr>
          <w:p w:rsidR="00E662E3" w:rsidRPr="0050064E" w:rsidRDefault="00E662E3" w:rsidP="00BA6275">
            <w:pPr>
              <w:pStyle w:val="BodyText"/>
              <w:rPr>
                <w:iCs/>
              </w:rPr>
            </w:pPr>
            <w:r w:rsidRPr="0050064E">
              <w:rPr>
                <w:iCs/>
              </w:rPr>
              <w:t xml:space="preserve">Managing Contractors/ ISPs report on performance and expenditure monthly/ quarterly. </w:t>
            </w:r>
          </w:p>
          <w:p w:rsidR="00E662E3" w:rsidRPr="00426449" w:rsidRDefault="00E662E3" w:rsidP="00BA6275">
            <w:pPr>
              <w:pStyle w:val="BodyText"/>
              <w:rPr>
                <w:lang w:eastAsia="en-US"/>
              </w:rPr>
            </w:pPr>
            <w:r w:rsidRPr="00416EBA">
              <w:rPr>
                <w:iCs/>
              </w:rPr>
              <w:t xml:space="preserve">Fraud and corruption risks have been identified as potentially impacting programing outcomes. </w:t>
            </w:r>
            <w:r>
              <w:rPr>
                <w:iCs/>
              </w:rPr>
              <w:t xml:space="preserve"> </w:t>
            </w:r>
            <w:r w:rsidRPr="00416EBA">
              <w:rPr>
                <w:iCs/>
              </w:rPr>
              <w:t xml:space="preserve">Following recommendations from a fiduciary risk </w:t>
            </w:r>
            <w:r w:rsidRPr="00426449">
              <w:rPr>
                <w:lang w:eastAsia="en-US"/>
              </w:rPr>
              <w:t xml:space="preserve">assessment conducted at Post in 2013-2014, the Australian High Commission </w:t>
            </w:r>
            <w:r>
              <w:rPr>
                <w:lang w:eastAsia="en-US"/>
              </w:rPr>
              <w:t xml:space="preserve">(AHC) </w:t>
            </w:r>
            <w:r w:rsidRPr="00426449">
              <w:rPr>
                <w:lang w:eastAsia="en-US"/>
              </w:rPr>
              <w:t xml:space="preserve">in Port Moresby continues to review Trust and Imprest </w:t>
            </w:r>
            <w:r w:rsidRPr="00426449">
              <w:rPr>
                <w:lang w:eastAsia="en-US"/>
              </w:rPr>
              <w:lastRenderedPageBreak/>
              <w:t xml:space="preserve">accounts operated at Post and to report on their status quarterly to the Performance, Quality and Risk Section in Canberra.  </w:t>
            </w:r>
          </w:p>
          <w:p w:rsidR="00E662E3" w:rsidRPr="0050064E" w:rsidRDefault="00E662E3" w:rsidP="00BA6275">
            <w:pPr>
              <w:pStyle w:val="BodyText"/>
              <w:rPr>
                <w:iCs/>
              </w:rPr>
            </w:pPr>
            <w:r w:rsidRPr="00426449">
              <w:rPr>
                <w:lang w:eastAsia="en-US"/>
              </w:rPr>
              <w:t xml:space="preserve">In addition, the </w:t>
            </w:r>
            <w:r>
              <w:rPr>
                <w:lang w:eastAsia="en-US"/>
              </w:rPr>
              <w:t>AHC</w:t>
            </w:r>
            <w:r w:rsidRPr="00426449">
              <w:rPr>
                <w:lang w:eastAsia="en-US"/>
              </w:rPr>
              <w:t xml:space="preserve"> </w:t>
            </w:r>
            <w:r>
              <w:rPr>
                <w:lang w:eastAsia="en-US"/>
              </w:rPr>
              <w:t xml:space="preserve">in Port Moresby </w:t>
            </w:r>
            <w:r w:rsidRPr="00426449">
              <w:rPr>
                <w:lang w:eastAsia="en-US"/>
              </w:rPr>
              <w:t xml:space="preserve">continues to monitor and evaluate ex-ante controls developed following the risk assessment through sector level operational and risk management discussions and quarterly reviews of each sector’s  risk register. </w:t>
            </w:r>
            <w:r>
              <w:rPr>
                <w:lang w:eastAsia="en-US"/>
              </w:rPr>
              <w:t xml:space="preserve"> </w:t>
            </w:r>
            <w:r w:rsidRPr="00426449">
              <w:rPr>
                <w:lang w:eastAsia="en-US"/>
              </w:rPr>
              <w:t xml:space="preserve">To enable a greater depth of assurance across the operation of individual partners and programs in PNG, the PNG Operations team is establishing an Audit Services Panel that is scheduled to be operational in early 2016. </w:t>
            </w:r>
            <w:r>
              <w:rPr>
                <w:lang w:eastAsia="en-US"/>
              </w:rPr>
              <w:t xml:space="preserve"> </w:t>
            </w:r>
            <w:r w:rsidRPr="00426449">
              <w:rPr>
                <w:lang w:eastAsia="en-US"/>
              </w:rPr>
              <w:t>The Panel will be able to conduct sector audits on risk, fraud, financial management, governance structures, etc. on an as required basis by the sector teams.</w:t>
            </w:r>
          </w:p>
        </w:tc>
        <w:tc>
          <w:tcPr>
            <w:tcW w:w="1559" w:type="dxa"/>
          </w:tcPr>
          <w:p w:rsidR="00E662E3" w:rsidRPr="0050064E" w:rsidRDefault="00E662E3" w:rsidP="00BA6275">
            <w:pPr>
              <w:pStyle w:val="BodyText"/>
              <w:rPr>
                <w:iCs/>
              </w:rPr>
            </w:pPr>
            <w:r w:rsidRPr="0050064E">
              <w:rPr>
                <w:iCs/>
              </w:rPr>
              <w:lastRenderedPageBreak/>
              <w:t>Medium</w:t>
            </w:r>
          </w:p>
        </w:tc>
      </w:tr>
      <w:tr w:rsidR="00E662E3" w:rsidRPr="0050064E" w:rsidTr="00BA6275">
        <w:trPr>
          <w:trHeight w:val="3106"/>
        </w:trPr>
        <w:tc>
          <w:tcPr>
            <w:tcW w:w="2410" w:type="dxa"/>
          </w:tcPr>
          <w:p w:rsidR="00E662E3" w:rsidRPr="0050064E" w:rsidRDefault="00E662E3" w:rsidP="00BA6275">
            <w:pPr>
              <w:pStyle w:val="BodyText"/>
            </w:pPr>
            <w:r w:rsidRPr="0050064E">
              <w:lastRenderedPageBreak/>
              <w:t>An ineffective response to TB</w:t>
            </w:r>
          </w:p>
        </w:tc>
        <w:tc>
          <w:tcPr>
            <w:tcW w:w="3544" w:type="dxa"/>
          </w:tcPr>
          <w:p w:rsidR="00E662E3" w:rsidRPr="0050064E" w:rsidRDefault="00E662E3" w:rsidP="00BA6275">
            <w:pPr>
              <w:pStyle w:val="BodyText"/>
              <w:rPr>
                <w:iCs/>
              </w:rPr>
            </w:pPr>
            <w:r w:rsidRPr="0050064E">
              <w:rPr>
                <w:iCs/>
              </w:rPr>
              <w:t xml:space="preserve">Ongoing policy dialogue with </w:t>
            </w:r>
            <w:r>
              <w:rPr>
                <w:iCs/>
              </w:rPr>
              <w:t>Government of PNG</w:t>
            </w:r>
            <w:r w:rsidRPr="0050064E">
              <w:rPr>
                <w:iCs/>
              </w:rPr>
              <w:t xml:space="preserve"> and monitoring of  PNG public health administration (particularly in communicable diseases); maintenance of high level intervention  approach to TB in Western Province and NCD and participation in the National TB Emergency Response</w:t>
            </w:r>
          </w:p>
        </w:tc>
        <w:tc>
          <w:tcPr>
            <w:tcW w:w="6804" w:type="dxa"/>
          </w:tcPr>
          <w:p w:rsidR="00E662E3" w:rsidRPr="0050064E" w:rsidRDefault="00E662E3" w:rsidP="00BA6275">
            <w:pPr>
              <w:pStyle w:val="BodyText"/>
              <w:rPr>
                <w:iCs/>
              </w:rPr>
            </w:pPr>
            <w:r w:rsidRPr="0050064E">
              <w:rPr>
                <w:iCs/>
              </w:rPr>
              <w:t>Facilitate Western Province TB Partner Forum in 2015 to improve governance and coordination</w:t>
            </w:r>
            <w:r>
              <w:rPr>
                <w:iCs/>
              </w:rPr>
              <w:t xml:space="preserve">. </w:t>
            </w:r>
            <w:r w:rsidRPr="0050064E">
              <w:rPr>
                <w:iCs/>
              </w:rPr>
              <w:t>Work with NCD health to support effective TB program</w:t>
            </w:r>
            <w:r>
              <w:rPr>
                <w:iCs/>
              </w:rPr>
              <w:t xml:space="preserve"> and enhance collaboration.</w:t>
            </w:r>
          </w:p>
          <w:p w:rsidR="00E662E3" w:rsidRPr="0050064E" w:rsidRDefault="00E662E3" w:rsidP="00BA6275">
            <w:pPr>
              <w:pStyle w:val="BodyText"/>
              <w:rPr>
                <w:iCs/>
              </w:rPr>
            </w:pPr>
            <w:r w:rsidRPr="0050064E">
              <w:rPr>
                <w:iCs/>
              </w:rPr>
              <w:t>Investigate additional options to implement 'Accelerated Response Plan' in Western Province</w:t>
            </w:r>
            <w:r>
              <w:rPr>
                <w:iCs/>
              </w:rPr>
              <w:t>.</w:t>
            </w:r>
          </w:p>
          <w:p w:rsidR="00E662E3" w:rsidRDefault="00E662E3" w:rsidP="00BA6275">
            <w:pPr>
              <w:pStyle w:val="BodyText"/>
              <w:rPr>
                <w:iCs/>
              </w:rPr>
            </w:pPr>
            <w:r w:rsidRPr="0050064E">
              <w:rPr>
                <w:iCs/>
              </w:rPr>
              <w:t>Facilitate discussions with PNG's Central Public Health Laboratory to resolve bottlenecks to certification</w:t>
            </w:r>
            <w:r>
              <w:rPr>
                <w:iCs/>
              </w:rPr>
              <w:t>.</w:t>
            </w:r>
          </w:p>
          <w:p w:rsidR="00E662E3" w:rsidRPr="0050064E" w:rsidRDefault="00E662E3" w:rsidP="00BA6275">
            <w:pPr>
              <w:pStyle w:val="BodyText"/>
              <w:rPr>
                <w:iCs/>
              </w:rPr>
            </w:pPr>
            <w:r>
              <w:rPr>
                <w:iCs/>
              </w:rPr>
              <w:t>Regular dialogue with the Australian Government MPs on the true extent of TB and efforts to manage it</w:t>
            </w:r>
          </w:p>
        </w:tc>
        <w:tc>
          <w:tcPr>
            <w:tcW w:w="1559" w:type="dxa"/>
          </w:tcPr>
          <w:p w:rsidR="00E662E3" w:rsidRPr="0050064E" w:rsidRDefault="00E662E3" w:rsidP="00BA6275">
            <w:pPr>
              <w:pStyle w:val="BodyText"/>
              <w:rPr>
                <w:iCs/>
              </w:rPr>
            </w:pPr>
            <w:r w:rsidRPr="0050064E">
              <w:rPr>
                <w:iCs/>
              </w:rPr>
              <w:t>Medium</w:t>
            </w:r>
          </w:p>
        </w:tc>
      </w:tr>
      <w:tr w:rsidR="00E662E3" w:rsidRPr="0050064E" w:rsidTr="00BA6275">
        <w:tc>
          <w:tcPr>
            <w:tcW w:w="2410" w:type="dxa"/>
          </w:tcPr>
          <w:p w:rsidR="00E662E3" w:rsidRPr="0050064E" w:rsidRDefault="00E662E3" w:rsidP="00BA6275">
            <w:pPr>
              <w:pStyle w:val="BodyText"/>
            </w:pPr>
            <w:r w:rsidRPr="0050064E">
              <w:t xml:space="preserve">Security environment in PNG continues to present serious concerns for staff safety. </w:t>
            </w:r>
          </w:p>
        </w:tc>
        <w:tc>
          <w:tcPr>
            <w:tcW w:w="3544" w:type="dxa"/>
          </w:tcPr>
          <w:p w:rsidR="00E662E3" w:rsidRPr="0050064E" w:rsidRDefault="00E662E3" w:rsidP="00BA6275">
            <w:pPr>
              <w:pStyle w:val="BodyText"/>
            </w:pPr>
            <w:r w:rsidRPr="0050064E">
              <w:t xml:space="preserve">Continued robust security management framework in Port Moresby to mitigate risk exposure </w:t>
            </w:r>
          </w:p>
          <w:p w:rsidR="00E662E3" w:rsidRPr="0050064E" w:rsidRDefault="00E662E3" w:rsidP="00BA6275">
            <w:pPr>
              <w:pStyle w:val="BodyText"/>
            </w:pPr>
            <w:r w:rsidRPr="0050064E">
              <w:t xml:space="preserve">Security awareness training is provided to staff travelling to PNG. </w:t>
            </w:r>
          </w:p>
        </w:tc>
        <w:tc>
          <w:tcPr>
            <w:tcW w:w="6804" w:type="dxa"/>
          </w:tcPr>
          <w:p w:rsidR="00E662E3" w:rsidRPr="0050064E" w:rsidRDefault="00E662E3" w:rsidP="00BA6275">
            <w:pPr>
              <w:pStyle w:val="BodyText"/>
            </w:pPr>
            <w:r w:rsidRPr="0050064E">
              <w:t xml:space="preserve">Ongoing monitoring of the security risk environment to ensure the identification and implementation of appropriate risk controls. </w:t>
            </w:r>
          </w:p>
          <w:p w:rsidR="00E662E3" w:rsidRPr="0050064E" w:rsidRDefault="00E662E3" w:rsidP="00BA6275">
            <w:pPr>
              <w:pStyle w:val="BodyText"/>
            </w:pPr>
            <w:r w:rsidRPr="0050064E">
              <w:t xml:space="preserve">Regular communication with staff to ensure the security environment is understood and policies and procedures are adhered to. </w:t>
            </w:r>
          </w:p>
        </w:tc>
        <w:tc>
          <w:tcPr>
            <w:tcW w:w="1559" w:type="dxa"/>
          </w:tcPr>
          <w:p w:rsidR="00E662E3" w:rsidRPr="0050064E" w:rsidRDefault="00E662E3" w:rsidP="00BA6275">
            <w:pPr>
              <w:pStyle w:val="BodyText"/>
              <w:rPr>
                <w:iCs/>
              </w:rPr>
            </w:pPr>
            <w:r w:rsidRPr="0050064E">
              <w:rPr>
                <w:iCs/>
              </w:rPr>
              <w:t>Medium</w:t>
            </w:r>
          </w:p>
        </w:tc>
      </w:tr>
    </w:tbl>
    <w:p w:rsidR="00516D93" w:rsidRDefault="00516D93" w:rsidP="004F5526">
      <w:pPr>
        <w:pStyle w:val="Heading2"/>
        <w:rPr>
          <w:rFonts w:ascii="Franklin Gothic Demi" w:hAnsi="Franklin Gothic Demi"/>
          <w:color w:val="AD495D"/>
          <w:sz w:val="28"/>
        </w:rPr>
      </w:pPr>
      <w:bookmarkStart w:id="1" w:name="_GoBack"/>
      <w:bookmarkEnd w:id="1"/>
    </w:p>
    <w:sectPr w:rsidR="00516D93" w:rsidSect="00A43278">
      <w:pgSz w:w="16840" w:h="11907" w:orient="landscape" w:code="9"/>
      <w:pgMar w:top="1135" w:right="1985"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26" w:rsidRDefault="004F5526" w:rsidP="0050529F">
      <w:r>
        <w:separator/>
      </w:r>
    </w:p>
    <w:p w:rsidR="004F5526" w:rsidRDefault="004F5526"/>
    <w:p w:rsidR="004F5526" w:rsidRDefault="004F5526"/>
    <w:p w:rsidR="004F5526" w:rsidRDefault="004F5526"/>
    <w:p w:rsidR="004F5526" w:rsidRDefault="004F5526"/>
    <w:p w:rsidR="004F5526" w:rsidRDefault="004F5526"/>
    <w:p w:rsidR="004F5526" w:rsidRDefault="004F5526"/>
  </w:endnote>
  <w:endnote w:type="continuationSeparator" w:id="0">
    <w:p w:rsidR="004F5526" w:rsidRDefault="004F5526" w:rsidP="0050529F">
      <w:r>
        <w:continuationSeparator/>
      </w:r>
    </w:p>
    <w:p w:rsidR="004F5526" w:rsidRDefault="004F5526"/>
    <w:p w:rsidR="004F5526" w:rsidRDefault="004F5526"/>
    <w:p w:rsidR="004F5526" w:rsidRDefault="004F5526"/>
    <w:p w:rsidR="004F5526" w:rsidRDefault="004F5526"/>
    <w:p w:rsidR="004F5526" w:rsidRDefault="004F5526"/>
    <w:p w:rsidR="004F5526" w:rsidRDefault="004F5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6" w:rsidRDefault="00924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13200"/>
      <w:docPartObj>
        <w:docPartGallery w:val="Page Numbers (Bottom of Page)"/>
        <w:docPartUnique/>
      </w:docPartObj>
    </w:sdtPr>
    <w:sdtEndPr>
      <w:rPr>
        <w:noProof/>
      </w:rPr>
    </w:sdtEndPr>
    <w:sdtContent>
      <w:p w:rsidR="004F5526" w:rsidRDefault="004F5526">
        <w:pPr>
          <w:pStyle w:val="Footer"/>
          <w:jc w:val="right"/>
        </w:pPr>
        <w:r>
          <w:fldChar w:fldCharType="begin"/>
        </w:r>
        <w:r>
          <w:instrText xml:space="preserve"> PAGE   \* MERGEFORMAT </w:instrText>
        </w:r>
        <w:r>
          <w:fldChar w:fldCharType="separate"/>
        </w:r>
        <w:r w:rsidR="00924076">
          <w:rPr>
            <w:noProof/>
          </w:rPr>
          <w:t>37</w:t>
        </w:r>
        <w:r>
          <w:rPr>
            <w:noProof/>
          </w:rPr>
          <w:fldChar w:fldCharType="end"/>
        </w:r>
      </w:p>
    </w:sdtContent>
  </w:sdt>
  <w:p w:rsidR="004F5526" w:rsidRDefault="004F55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6" w:rsidRDefault="009240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26" w:rsidRPr="004C4A3E" w:rsidRDefault="004F5526"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6704" behindDoc="1" locked="1" layoutInCell="1" allowOverlap="1" wp14:anchorId="63682663" wp14:editId="2D958FF0">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Description: 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924076">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924076">
      <w:rPr>
        <w:rFonts w:ascii="Franklin Gothic Medium" w:hAnsi="Franklin Gothic Medium"/>
        <w:noProof/>
        <w:color w:val="54534A"/>
        <w:sz w:val="14"/>
        <w:szCs w:val="14"/>
      </w:rPr>
      <w:t>25</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5680" behindDoc="1" locked="0" layoutInCell="1" allowOverlap="1" wp14:anchorId="5DBFBA36" wp14:editId="1F578329">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4656" behindDoc="1" locked="0" layoutInCell="1" allowOverlap="1" wp14:anchorId="7B4F71B1" wp14:editId="31C97D2D">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26" w:rsidRPr="004C4A3E" w:rsidRDefault="004F5526"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9776" behindDoc="1" locked="1" layoutInCell="1" allowOverlap="1" wp14:anchorId="78AD896E" wp14:editId="347E32C7">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8752" behindDoc="1" locked="0" layoutInCell="1" allowOverlap="1" wp14:anchorId="686ED2D5" wp14:editId="7E9B2DB6">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7728" behindDoc="1" locked="0" layoutInCell="1" allowOverlap="1" wp14:anchorId="22359462" wp14:editId="7C8A316A">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Description: 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26" w:rsidRDefault="004F5526" w:rsidP="0050529F">
      <w:r>
        <w:separator/>
      </w:r>
    </w:p>
    <w:p w:rsidR="004F5526" w:rsidRDefault="004F5526"/>
    <w:p w:rsidR="004F5526" w:rsidRDefault="004F5526"/>
    <w:p w:rsidR="004F5526" w:rsidRDefault="004F5526"/>
    <w:p w:rsidR="004F5526" w:rsidRDefault="004F5526"/>
    <w:p w:rsidR="004F5526" w:rsidRDefault="004F5526"/>
    <w:p w:rsidR="004F5526" w:rsidRDefault="004F5526"/>
  </w:footnote>
  <w:footnote w:type="continuationSeparator" w:id="0">
    <w:p w:rsidR="004F5526" w:rsidRDefault="004F5526" w:rsidP="0050529F">
      <w:r>
        <w:continuationSeparator/>
      </w:r>
    </w:p>
    <w:p w:rsidR="004F5526" w:rsidRDefault="004F5526"/>
    <w:p w:rsidR="004F5526" w:rsidRDefault="004F5526"/>
    <w:p w:rsidR="004F5526" w:rsidRDefault="004F5526"/>
    <w:p w:rsidR="004F5526" w:rsidRDefault="004F5526"/>
    <w:p w:rsidR="004F5526" w:rsidRDefault="004F5526"/>
    <w:p w:rsidR="004F5526" w:rsidRDefault="004F5526"/>
  </w:footnote>
  <w:footnote w:id="1">
    <w:p w:rsidR="004F5526" w:rsidRPr="00994EC7" w:rsidRDefault="004F5526" w:rsidP="00F40F13">
      <w:pPr>
        <w:rPr>
          <w:rFonts w:ascii="Franklin Gothic Book" w:hAnsi="Franklin Gothic Book"/>
          <w:szCs w:val="20"/>
        </w:rPr>
      </w:pPr>
      <w:r w:rsidRPr="00994EC7">
        <w:rPr>
          <w:rStyle w:val="FootnoteReference"/>
          <w:rFonts w:ascii="Franklin Gothic Book" w:hAnsi="Franklin Gothic Book"/>
        </w:rPr>
        <w:footnoteRef/>
      </w:r>
      <w:r w:rsidRPr="00994EC7">
        <w:rPr>
          <w:rFonts w:ascii="Franklin Gothic Book" w:hAnsi="Franklin Gothic Book"/>
        </w:rPr>
        <w:t xml:space="preserve"> </w:t>
      </w:r>
      <w:r w:rsidRPr="00994EC7">
        <w:rPr>
          <w:rFonts w:ascii="Franklin Gothic Book" w:hAnsi="Franklin Gothic Book"/>
          <w:szCs w:val="20"/>
        </w:rPr>
        <w:t>PNG Department of Treasury, 2015</w:t>
      </w:r>
      <w:r>
        <w:rPr>
          <w:rFonts w:ascii="Franklin Gothic Book" w:hAnsi="Franklin Gothic Book"/>
          <w:szCs w:val="20"/>
        </w:rPr>
        <w:t>,</w:t>
      </w:r>
      <w:r w:rsidRPr="00994EC7">
        <w:rPr>
          <w:rFonts w:ascii="Franklin Gothic Book" w:hAnsi="Franklin Gothic Book"/>
          <w:szCs w:val="20"/>
        </w:rPr>
        <w:t xml:space="preserve"> </w:t>
      </w:r>
      <w:r w:rsidRPr="00994EC7">
        <w:rPr>
          <w:rFonts w:ascii="Franklin Gothic Book" w:hAnsi="Franklin Gothic Book"/>
          <w:i/>
          <w:szCs w:val="20"/>
        </w:rPr>
        <w:t xml:space="preserve">Mid-Year Economic and Fiscal Outlook Report 2015 </w:t>
      </w:r>
      <w:r w:rsidRPr="00994EC7">
        <w:rPr>
          <w:rFonts w:ascii="Franklin Gothic Book" w:hAnsi="Franklin Gothic Book"/>
          <w:szCs w:val="20"/>
        </w:rPr>
        <w:t>http://www.treasury.gov.pg/html/national_budget/files/2012/budget_html/related_budget_documents.htm</w:t>
      </w:r>
    </w:p>
    <w:p w:rsidR="004F5526" w:rsidRPr="00994EC7" w:rsidRDefault="004F5526">
      <w:pPr>
        <w:pStyle w:val="FootnoteText"/>
        <w:rPr>
          <w:sz w:val="20"/>
        </w:rPr>
      </w:pPr>
    </w:p>
  </w:footnote>
  <w:footnote w:id="2">
    <w:p w:rsidR="004F5526" w:rsidRDefault="004F5526">
      <w:pPr>
        <w:pStyle w:val="FootnoteText"/>
      </w:pPr>
      <w:r>
        <w:rPr>
          <w:rStyle w:val="FootnoteReference"/>
        </w:rPr>
        <w:footnoteRef/>
      </w:r>
      <w:r>
        <w:t xml:space="preserve"> </w:t>
      </w:r>
      <w:r w:rsidRPr="003A3CBD">
        <w:rPr>
          <w:rStyle w:val="FootnoteReference"/>
          <w:rFonts w:ascii="Franklin Gothic Book" w:eastAsia="SimSun" w:hAnsi="Franklin Gothic Book"/>
          <w:sz w:val="20"/>
          <w:szCs w:val="20"/>
        </w:rPr>
        <w:t xml:space="preserve">PNG National Strategic Plan Taskforce, 2011, </w:t>
      </w:r>
      <w:r w:rsidRPr="003A3CBD">
        <w:rPr>
          <w:rStyle w:val="FootnoteReference"/>
          <w:rFonts w:ascii="Franklin Gothic Book" w:eastAsia="SimSun" w:hAnsi="Franklin Gothic Book"/>
          <w:i/>
          <w:sz w:val="20"/>
          <w:szCs w:val="20"/>
        </w:rPr>
        <w:t>Papua New Guinea Vision 2050</w:t>
      </w:r>
      <w:r w:rsidRPr="003A3CBD">
        <w:rPr>
          <w:rStyle w:val="FootnoteReference"/>
          <w:rFonts w:ascii="Franklin Gothic Book" w:eastAsia="SimSun" w:hAnsi="Franklin Gothic Book"/>
          <w:sz w:val="20"/>
          <w:szCs w:val="20"/>
        </w:rPr>
        <w:t>, http://www.treasury.gov.pg/html/publications/publications.html</w:t>
      </w:r>
    </w:p>
  </w:footnote>
  <w:footnote w:id="3">
    <w:p w:rsidR="004F5526" w:rsidRDefault="004F5526">
      <w:pPr>
        <w:pStyle w:val="FootnoteText"/>
      </w:pPr>
      <w:r>
        <w:rPr>
          <w:rStyle w:val="FootnoteReference"/>
        </w:rPr>
        <w:footnoteRef/>
      </w:r>
      <w:r>
        <w:t xml:space="preserve"> </w:t>
      </w:r>
      <w:r w:rsidRPr="00994EC7">
        <w:rPr>
          <w:sz w:val="20"/>
        </w:rPr>
        <w:t>As of 1 July 2014 all activities under the former Economic and Public Sector Governance Twinning initiative were rolled into the broader SGP investment. All further references to SGP also encompass short-term Twinning activities</w:t>
      </w:r>
      <w:r>
        <w:t>.</w:t>
      </w:r>
    </w:p>
  </w:footnote>
  <w:footnote w:id="4">
    <w:p w:rsidR="004F5526" w:rsidRPr="00A43278" w:rsidRDefault="004F5526" w:rsidP="00A43278">
      <w:pPr>
        <w:pStyle w:val="FootnoteText"/>
        <w:spacing w:line="240" w:lineRule="auto"/>
        <w:rPr>
          <w:sz w:val="14"/>
          <w:szCs w:val="14"/>
        </w:rPr>
      </w:pPr>
      <w:r w:rsidRPr="00A43278">
        <w:rPr>
          <w:rStyle w:val="FootnoteReference"/>
          <w:rFonts w:ascii="Franklin Gothic Book" w:hAnsi="Franklin Gothic Book"/>
          <w:sz w:val="14"/>
          <w:szCs w:val="14"/>
        </w:rPr>
        <w:footnoteRef/>
      </w:r>
      <w:r w:rsidRPr="00A43278">
        <w:rPr>
          <w:sz w:val="14"/>
          <w:szCs w:val="14"/>
        </w:rPr>
        <w:t xml:space="preserve"> This benchmark replaces the draft benchmark proposed in the 2013-14 APPR. The benchmark was revised in late 2014 through amendments to the PNG-Australia Partnership for Development schedules. </w:t>
      </w:r>
    </w:p>
  </w:footnote>
  <w:footnote w:id="5">
    <w:p w:rsidR="004F5526" w:rsidRPr="00A43278" w:rsidRDefault="004F5526" w:rsidP="00A43278">
      <w:pPr>
        <w:pStyle w:val="FootnoteText"/>
        <w:spacing w:line="240" w:lineRule="auto"/>
        <w:rPr>
          <w:sz w:val="14"/>
          <w:szCs w:val="14"/>
        </w:rPr>
      </w:pPr>
      <w:r w:rsidRPr="00A43278">
        <w:rPr>
          <w:rStyle w:val="FootnoteReference"/>
          <w:rFonts w:ascii="Franklin Gothic Book" w:hAnsi="Franklin Gothic Book"/>
          <w:sz w:val="14"/>
          <w:szCs w:val="14"/>
        </w:rPr>
        <w:footnoteRef/>
      </w:r>
      <w:r w:rsidRPr="00A43278">
        <w:rPr>
          <w:sz w:val="14"/>
          <w:szCs w:val="14"/>
        </w:rPr>
        <w:t xml:space="preserve"> As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6" w:rsidRDefault="00924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6" w:rsidRDefault="009240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76" w:rsidRDefault="009240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26" w:rsidRDefault="004F55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26" w:rsidRDefault="004F5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0FB5628"/>
    <w:multiLevelType w:val="hybridMultilevel"/>
    <w:tmpl w:val="D0E43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7A7BEA"/>
    <w:multiLevelType w:val="hybridMultilevel"/>
    <w:tmpl w:val="69904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EEA5CD2"/>
    <w:multiLevelType w:val="hybridMultilevel"/>
    <w:tmpl w:val="73DAD4D8"/>
    <w:lvl w:ilvl="0" w:tplc="BEB0105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2FE3DD3"/>
    <w:multiLevelType w:val="hybridMultilevel"/>
    <w:tmpl w:val="4E78D2E4"/>
    <w:lvl w:ilvl="0" w:tplc="132E2644">
      <w:start w:val="1"/>
      <w:numFmt w:val="decimal"/>
      <w:lvlText w:val="%1)"/>
      <w:lvlJc w:val="left"/>
      <w:pPr>
        <w:ind w:left="720" w:hanging="360"/>
      </w:pPr>
      <w:rPr>
        <w:rFonts w:hint="default"/>
      </w:rPr>
    </w:lvl>
    <w:lvl w:ilvl="1" w:tplc="6B30866C">
      <w:start w:val="1"/>
      <w:numFmt w:val="lowerLetter"/>
      <w:lvlText w:val="%2."/>
      <w:lvlJc w:val="left"/>
      <w:pPr>
        <w:ind w:left="1440" w:hanging="360"/>
      </w:pPr>
    </w:lvl>
    <w:lvl w:ilvl="2" w:tplc="79BCA6A4">
      <w:start w:val="1"/>
      <w:numFmt w:val="lowerRoman"/>
      <w:lvlText w:val="%3."/>
      <w:lvlJc w:val="right"/>
      <w:pPr>
        <w:ind w:left="2160" w:hanging="180"/>
      </w:pPr>
    </w:lvl>
    <w:lvl w:ilvl="3" w:tplc="57B422E0">
      <w:start w:val="1"/>
      <w:numFmt w:val="bullet"/>
      <w:pStyle w:val="TSSPbullet"/>
      <w:lvlText w:val=""/>
      <w:lvlJc w:val="left"/>
      <w:pPr>
        <w:ind w:left="2880" w:hanging="360"/>
      </w:pPr>
      <w:rPr>
        <w:rFonts w:ascii="Symbol" w:hAnsi="Symbol" w:hint="default"/>
      </w:rPr>
    </w:lvl>
    <w:lvl w:ilvl="4" w:tplc="4560FFE8" w:tentative="1">
      <w:start w:val="1"/>
      <w:numFmt w:val="lowerLetter"/>
      <w:lvlText w:val="%5."/>
      <w:lvlJc w:val="left"/>
      <w:pPr>
        <w:ind w:left="3600" w:hanging="360"/>
      </w:pPr>
    </w:lvl>
    <w:lvl w:ilvl="5" w:tplc="2BCA3C00" w:tentative="1">
      <w:start w:val="1"/>
      <w:numFmt w:val="lowerRoman"/>
      <w:lvlText w:val="%6."/>
      <w:lvlJc w:val="right"/>
      <w:pPr>
        <w:ind w:left="4320" w:hanging="180"/>
      </w:pPr>
    </w:lvl>
    <w:lvl w:ilvl="6" w:tplc="187230CC" w:tentative="1">
      <w:start w:val="1"/>
      <w:numFmt w:val="decimal"/>
      <w:lvlText w:val="%7."/>
      <w:lvlJc w:val="left"/>
      <w:pPr>
        <w:ind w:left="5040" w:hanging="360"/>
      </w:pPr>
    </w:lvl>
    <w:lvl w:ilvl="7" w:tplc="7B26E2B6" w:tentative="1">
      <w:start w:val="1"/>
      <w:numFmt w:val="lowerLetter"/>
      <w:lvlText w:val="%8."/>
      <w:lvlJc w:val="left"/>
      <w:pPr>
        <w:ind w:left="5760" w:hanging="360"/>
      </w:pPr>
    </w:lvl>
    <w:lvl w:ilvl="8" w:tplc="DF74F224" w:tentative="1">
      <w:start w:val="1"/>
      <w:numFmt w:val="lowerRoman"/>
      <w:lvlText w:val="%9."/>
      <w:lvlJc w:val="right"/>
      <w:pPr>
        <w:ind w:left="6480" w:hanging="180"/>
      </w:pPr>
    </w:lvl>
  </w:abstractNum>
  <w:abstractNum w:abstractNumId="7">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EE0A52"/>
    <w:multiLevelType w:val="hybridMultilevel"/>
    <w:tmpl w:val="41CED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1">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2">
    <w:nsid w:val="237E56D7"/>
    <w:multiLevelType w:val="hybridMultilevel"/>
    <w:tmpl w:val="8BD6FA02"/>
    <w:lvl w:ilvl="0" w:tplc="0C09000F">
      <w:start w:val="1"/>
      <w:numFmt w:val="decimal"/>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3">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nsid w:val="283D7734"/>
    <w:multiLevelType w:val="hybridMultilevel"/>
    <w:tmpl w:val="908E1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1C16BA2"/>
    <w:multiLevelType w:val="hybridMultilevel"/>
    <w:tmpl w:val="8CA64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2F3BC2"/>
    <w:multiLevelType w:val="hybridMultilevel"/>
    <w:tmpl w:val="6C5A4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0B1018"/>
    <w:multiLevelType w:val="hybridMultilevel"/>
    <w:tmpl w:val="2640B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C4413C"/>
    <w:multiLevelType w:val="hybridMultilevel"/>
    <w:tmpl w:val="B01EF3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349528B"/>
    <w:multiLevelType w:val="hybridMultilevel"/>
    <w:tmpl w:val="C8BEB1CE"/>
    <w:lvl w:ilvl="0" w:tplc="B464FBF6">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5305D43"/>
    <w:multiLevelType w:val="hybridMultilevel"/>
    <w:tmpl w:val="51DA9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1F027E"/>
    <w:multiLevelType w:val="hybridMultilevel"/>
    <w:tmpl w:val="6FFC9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E3A0F87"/>
    <w:multiLevelType w:val="multilevel"/>
    <w:tmpl w:val="BC20A81A"/>
    <w:lvl w:ilvl="0">
      <w:start w:val="2"/>
      <w:numFmt w:val="decimal"/>
      <w:pStyle w:val="AfterFirstPara"/>
      <w:lvlText w:val="%1."/>
      <w:lvlJc w:val="left"/>
      <w:pPr>
        <w:tabs>
          <w:tab w:val="num" w:pos="567"/>
        </w:tabs>
        <w:ind w:left="0" w:firstLine="0"/>
      </w:pPr>
      <w:rPr>
        <w:rFonts w:cs="Times New Roman"/>
      </w:rPr>
    </w:lvl>
    <w:lvl w:ilvl="1">
      <w:start w:val="1"/>
      <w:numFmt w:val="bullet"/>
      <w:lvlText w:val="o"/>
      <w:lvlJc w:val="left"/>
      <w:pPr>
        <w:ind w:left="1080" w:hanging="360"/>
      </w:pPr>
      <w:rPr>
        <w:rFonts w:ascii="Courier New" w:hAnsi="Courier New" w:cs="Times New Roman" w:hint="default"/>
      </w:rPr>
    </w:lvl>
    <w:lvl w:ilvl="2">
      <w:start w:val="10"/>
      <w:numFmt w:val="decimal"/>
      <w:lvlText w:val="%3"/>
      <w:lvlJc w:val="left"/>
      <w:pPr>
        <w:ind w:left="1800" w:hanging="360"/>
      </w:pPr>
      <w:rPr>
        <w:rFonts w:cs="Times New Roman"/>
      </w:rPr>
    </w:lvl>
    <w:lvl w:ilvl="3">
      <w:start w:val="8"/>
      <w:numFmt w:val="lowerLetter"/>
      <w:lvlText w:val="(%4)"/>
      <w:lvlJc w:val="left"/>
      <w:pPr>
        <w:ind w:left="2520" w:hanging="360"/>
      </w:pPr>
      <w:rPr>
        <w:rFonts w:cs="Times New Roman"/>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9">
    <w:nsid w:val="627D1365"/>
    <w:multiLevelType w:val="hybridMultilevel"/>
    <w:tmpl w:val="543E4EA0"/>
    <w:lvl w:ilvl="0" w:tplc="F3FC99D6">
      <w:numFmt w:val="bullet"/>
      <w:lvlText w:val="-"/>
      <w:lvlJc w:val="left"/>
      <w:pPr>
        <w:ind w:left="1080" w:hanging="360"/>
      </w:pPr>
      <w:rPr>
        <w:rFonts w:ascii="Franklin Gothic Book" w:eastAsia="Times New Roman" w:hAnsi="Franklin Gothic Book"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B347DBA"/>
    <w:multiLevelType w:val="hybridMultilevel"/>
    <w:tmpl w:val="2AAA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5B41BA"/>
    <w:multiLevelType w:val="hybridMultilevel"/>
    <w:tmpl w:val="8112F14A"/>
    <w:lvl w:ilvl="0" w:tplc="644C18E6">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6323AC"/>
    <w:multiLevelType w:val="hybridMultilevel"/>
    <w:tmpl w:val="5512FFF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6">
    <w:nsid w:val="72561EF4"/>
    <w:multiLevelType w:val="hybridMultilevel"/>
    <w:tmpl w:val="7D5CB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5C965F1"/>
    <w:multiLevelType w:val="hybridMultilevel"/>
    <w:tmpl w:val="2C2C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CF5B9F"/>
    <w:multiLevelType w:val="hybridMultilevel"/>
    <w:tmpl w:val="6978AAA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9">
    <w:nsid w:val="76EA43A6"/>
    <w:multiLevelType w:val="hybridMultilevel"/>
    <w:tmpl w:val="6FE4F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70834DD"/>
    <w:multiLevelType w:val="hybridMultilevel"/>
    <w:tmpl w:val="20B6290C"/>
    <w:lvl w:ilvl="0" w:tplc="DBDE53B8">
      <w:start w:val="1"/>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7"/>
  </w:num>
  <w:num w:numId="3">
    <w:abstractNumId w:val="9"/>
  </w:num>
  <w:num w:numId="4">
    <w:abstractNumId w:val="24"/>
  </w:num>
  <w:num w:numId="5">
    <w:abstractNumId w:val="22"/>
  </w:num>
  <w:num w:numId="6">
    <w:abstractNumId w:val="20"/>
  </w:num>
  <w:num w:numId="7">
    <w:abstractNumId w:val="32"/>
  </w:num>
  <w:num w:numId="8">
    <w:abstractNumId w:val="7"/>
  </w:num>
  <w:num w:numId="9">
    <w:abstractNumId w:val="11"/>
  </w:num>
  <w:num w:numId="10">
    <w:abstractNumId w:val="41"/>
  </w:num>
  <w:num w:numId="11">
    <w:abstractNumId w:val="42"/>
  </w:num>
  <w:num w:numId="12">
    <w:abstractNumId w:val="0"/>
  </w:num>
  <w:num w:numId="13">
    <w:abstractNumId w:val="4"/>
  </w:num>
  <w:num w:numId="14">
    <w:abstractNumId w:val="31"/>
  </w:num>
  <w:num w:numId="15">
    <w:abstractNumId w:val="1"/>
  </w:num>
  <w:num w:numId="16">
    <w:abstractNumId w:val="15"/>
  </w:num>
  <w:num w:numId="17">
    <w:abstractNumId w:val="13"/>
  </w:num>
  <w:num w:numId="18">
    <w:abstractNumId w:val="10"/>
  </w:num>
  <w:num w:numId="19">
    <w:abstractNumId w:val="2"/>
  </w:num>
  <w:num w:numId="20">
    <w:abstractNumId w:val="19"/>
  </w:num>
  <w:num w:numId="21">
    <w:abstractNumId w:val="3"/>
  </w:num>
  <w:num w:numId="22">
    <w:abstractNumId w:val="26"/>
  </w:num>
  <w:num w:numId="23">
    <w:abstractNumId w:val="16"/>
  </w:num>
  <w:num w:numId="24">
    <w:abstractNumId w:val="17"/>
  </w:num>
  <w:num w:numId="25">
    <w:abstractNumId w:val="25"/>
  </w:num>
  <w:num w:numId="26">
    <w:abstractNumId w:val="28"/>
    <w:lvlOverride w:ilvl="0">
      <w:startOverride w:val="2"/>
    </w:lvlOverride>
    <w:lvlOverride w:ilvl="1"/>
    <w:lvlOverride w:ilvl="2">
      <w:startOverride w:val="10"/>
    </w:lvlOverride>
    <w:lvlOverride w:ilvl="3">
      <w:startOverride w:val="8"/>
    </w:lvlOverride>
    <w:lvlOverride w:ilvl="4"/>
    <w:lvlOverride w:ilvl="5"/>
    <w:lvlOverride w:ilvl="6"/>
    <w:lvlOverride w:ilvl="7"/>
    <w:lvlOverride w:ilvl="8"/>
  </w:num>
  <w:num w:numId="27">
    <w:abstractNumId w:val="18"/>
  </w:num>
  <w:num w:numId="28">
    <w:abstractNumId w:val="35"/>
  </w:num>
  <w:num w:numId="29">
    <w:abstractNumId w:val="6"/>
  </w:num>
  <w:num w:numId="30">
    <w:abstractNumId w:val="33"/>
  </w:num>
  <w:num w:numId="31">
    <w:abstractNumId w:val="37"/>
  </w:num>
  <w:num w:numId="32">
    <w:abstractNumId w:val="38"/>
  </w:num>
  <w:num w:numId="33">
    <w:abstractNumId w:val="8"/>
  </w:num>
  <w:num w:numId="34">
    <w:abstractNumId w:val="36"/>
  </w:num>
  <w:num w:numId="35">
    <w:abstractNumId w:val="10"/>
  </w:num>
  <w:num w:numId="36">
    <w:abstractNumId w:val="40"/>
  </w:num>
  <w:num w:numId="37">
    <w:abstractNumId w:val="10"/>
  </w:num>
  <w:num w:numId="38">
    <w:abstractNumId w:val="3"/>
  </w:num>
  <w:num w:numId="39">
    <w:abstractNumId w:val="12"/>
  </w:num>
  <w:num w:numId="40">
    <w:abstractNumId w:val="8"/>
  </w:num>
  <w:num w:numId="41">
    <w:abstractNumId w:val="23"/>
  </w:num>
  <w:num w:numId="42">
    <w:abstractNumId w:val="34"/>
  </w:num>
  <w:num w:numId="43">
    <w:abstractNumId w:val="5"/>
  </w:num>
  <w:num w:numId="44">
    <w:abstractNumId w:val="42"/>
  </w:num>
  <w:num w:numId="45">
    <w:abstractNumId w:val="29"/>
  </w:num>
  <w:num w:numId="46">
    <w:abstractNumId w:val="8"/>
  </w:num>
  <w:num w:numId="47">
    <w:abstractNumId w:val="42"/>
  </w:num>
  <w:num w:numId="48">
    <w:abstractNumId w:val="39"/>
  </w:num>
  <w:num w:numId="49">
    <w:abstractNumId w:val="42"/>
  </w:num>
  <w:num w:numId="50">
    <w:abstractNumId w:val="21"/>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3C96"/>
    <w:rsid w:val="00004E18"/>
    <w:rsid w:val="00005AA3"/>
    <w:rsid w:val="00007E94"/>
    <w:rsid w:val="000142A2"/>
    <w:rsid w:val="000143D9"/>
    <w:rsid w:val="000160ED"/>
    <w:rsid w:val="00016B74"/>
    <w:rsid w:val="00020121"/>
    <w:rsid w:val="000202EA"/>
    <w:rsid w:val="00021A9E"/>
    <w:rsid w:val="000232B2"/>
    <w:rsid w:val="00023FBE"/>
    <w:rsid w:val="000270F4"/>
    <w:rsid w:val="00027629"/>
    <w:rsid w:val="00030111"/>
    <w:rsid w:val="0003033E"/>
    <w:rsid w:val="00030397"/>
    <w:rsid w:val="00031100"/>
    <w:rsid w:val="00031EB5"/>
    <w:rsid w:val="0003231A"/>
    <w:rsid w:val="00040AF6"/>
    <w:rsid w:val="000426DF"/>
    <w:rsid w:val="00045FFA"/>
    <w:rsid w:val="000460F2"/>
    <w:rsid w:val="00050557"/>
    <w:rsid w:val="00051B2B"/>
    <w:rsid w:val="000529AD"/>
    <w:rsid w:val="0005506B"/>
    <w:rsid w:val="000550B0"/>
    <w:rsid w:val="00055E78"/>
    <w:rsid w:val="0005637C"/>
    <w:rsid w:val="00057589"/>
    <w:rsid w:val="00057D09"/>
    <w:rsid w:val="00064251"/>
    <w:rsid w:val="0007149C"/>
    <w:rsid w:val="00071B95"/>
    <w:rsid w:val="0007395B"/>
    <w:rsid w:val="000745E2"/>
    <w:rsid w:val="000749A1"/>
    <w:rsid w:val="00075C5B"/>
    <w:rsid w:val="00076281"/>
    <w:rsid w:val="000762FD"/>
    <w:rsid w:val="00076F8A"/>
    <w:rsid w:val="0007703B"/>
    <w:rsid w:val="000774FD"/>
    <w:rsid w:val="00077C39"/>
    <w:rsid w:val="000818C0"/>
    <w:rsid w:val="00081F4E"/>
    <w:rsid w:val="00086B54"/>
    <w:rsid w:val="00087FA0"/>
    <w:rsid w:val="000905A8"/>
    <w:rsid w:val="00091878"/>
    <w:rsid w:val="00093F65"/>
    <w:rsid w:val="00095192"/>
    <w:rsid w:val="000957FC"/>
    <w:rsid w:val="00095CF5"/>
    <w:rsid w:val="00096FAF"/>
    <w:rsid w:val="000979A0"/>
    <w:rsid w:val="00097B02"/>
    <w:rsid w:val="000A1618"/>
    <w:rsid w:val="000A1C03"/>
    <w:rsid w:val="000A244C"/>
    <w:rsid w:val="000A2AAB"/>
    <w:rsid w:val="000A4247"/>
    <w:rsid w:val="000A5800"/>
    <w:rsid w:val="000A714B"/>
    <w:rsid w:val="000A71AF"/>
    <w:rsid w:val="000A7A3A"/>
    <w:rsid w:val="000B0391"/>
    <w:rsid w:val="000B079C"/>
    <w:rsid w:val="000B3121"/>
    <w:rsid w:val="000B35B7"/>
    <w:rsid w:val="000B5E75"/>
    <w:rsid w:val="000B67EF"/>
    <w:rsid w:val="000B68F6"/>
    <w:rsid w:val="000B6BE5"/>
    <w:rsid w:val="000B6FEA"/>
    <w:rsid w:val="000B75E8"/>
    <w:rsid w:val="000C258A"/>
    <w:rsid w:val="000C29BF"/>
    <w:rsid w:val="000C39F6"/>
    <w:rsid w:val="000C4A7A"/>
    <w:rsid w:val="000C4E8B"/>
    <w:rsid w:val="000C6080"/>
    <w:rsid w:val="000C60A8"/>
    <w:rsid w:val="000C70A7"/>
    <w:rsid w:val="000D151B"/>
    <w:rsid w:val="000D1993"/>
    <w:rsid w:val="000D2CDD"/>
    <w:rsid w:val="000D733F"/>
    <w:rsid w:val="000D7952"/>
    <w:rsid w:val="000E185F"/>
    <w:rsid w:val="000E230D"/>
    <w:rsid w:val="000E2B83"/>
    <w:rsid w:val="000E4573"/>
    <w:rsid w:val="000E7297"/>
    <w:rsid w:val="000E7A8D"/>
    <w:rsid w:val="000F25CD"/>
    <w:rsid w:val="000F2D94"/>
    <w:rsid w:val="000F3104"/>
    <w:rsid w:val="000F41B6"/>
    <w:rsid w:val="000F7E5E"/>
    <w:rsid w:val="00100485"/>
    <w:rsid w:val="00100AA2"/>
    <w:rsid w:val="00103FBA"/>
    <w:rsid w:val="00105BF5"/>
    <w:rsid w:val="00106185"/>
    <w:rsid w:val="00106BDC"/>
    <w:rsid w:val="0010729C"/>
    <w:rsid w:val="001128A9"/>
    <w:rsid w:val="00112E97"/>
    <w:rsid w:val="001139DE"/>
    <w:rsid w:val="00114751"/>
    <w:rsid w:val="001154CA"/>
    <w:rsid w:val="00116386"/>
    <w:rsid w:val="0011685A"/>
    <w:rsid w:val="001171DE"/>
    <w:rsid w:val="00120FC7"/>
    <w:rsid w:val="00122038"/>
    <w:rsid w:val="00122299"/>
    <w:rsid w:val="001227C3"/>
    <w:rsid w:val="0012429A"/>
    <w:rsid w:val="00124A89"/>
    <w:rsid w:val="00125002"/>
    <w:rsid w:val="001258C6"/>
    <w:rsid w:val="0012793C"/>
    <w:rsid w:val="00131FF0"/>
    <w:rsid w:val="00132003"/>
    <w:rsid w:val="0013210A"/>
    <w:rsid w:val="00132643"/>
    <w:rsid w:val="00133AAD"/>
    <w:rsid w:val="00135806"/>
    <w:rsid w:val="001366B4"/>
    <w:rsid w:val="00136CC1"/>
    <w:rsid w:val="001375E3"/>
    <w:rsid w:val="00141A30"/>
    <w:rsid w:val="00143053"/>
    <w:rsid w:val="0014411B"/>
    <w:rsid w:val="001448E7"/>
    <w:rsid w:val="00147846"/>
    <w:rsid w:val="0015043E"/>
    <w:rsid w:val="00150C26"/>
    <w:rsid w:val="00152DFD"/>
    <w:rsid w:val="00154EF9"/>
    <w:rsid w:val="00155D4E"/>
    <w:rsid w:val="00157858"/>
    <w:rsid w:val="001612B8"/>
    <w:rsid w:val="001612CE"/>
    <w:rsid w:val="001624FB"/>
    <w:rsid w:val="00163091"/>
    <w:rsid w:val="001635EB"/>
    <w:rsid w:val="0016544D"/>
    <w:rsid w:val="001657F1"/>
    <w:rsid w:val="001658F2"/>
    <w:rsid w:val="00165C1B"/>
    <w:rsid w:val="00167331"/>
    <w:rsid w:val="0016740F"/>
    <w:rsid w:val="00171BB2"/>
    <w:rsid w:val="00173C6E"/>
    <w:rsid w:val="00174519"/>
    <w:rsid w:val="00175E4C"/>
    <w:rsid w:val="001772FD"/>
    <w:rsid w:val="00177FF9"/>
    <w:rsid w:val="00180B19"/>
    <w:rsid w:val="00180D66"/>
    <w:rsid w:val="00180F3A"/>
    <w:rsid w:val="0018196F"/>
    <w:rsid w:val="001829BB"/>
    <w:rsid w:val="0018305E"/>
    <w:rsid w:val="0018353A"/>
    <w:rsid w:val="00185287"/>
    <w:rsid w:val="00192498"/>
    <w:rsid w:val="0019273D"/>
    <w:rsid w:val="00192790"/>
    <w:rsid w:val="001943B6"/>
    <w:rsid w:val="00194806"/>
    <w:rsid w:val="001A07E3"/>
    <w:rsid w:val="001A36DA"/>
    <w:rsid w:val="001A374B"/>
    <w:rsid w:val="001A79D9"/>
    <w:rsid w:val="001B1A0C"/>
    <w:rsid w:val="001B2631"/>
    <w:rsid w:val="001B2948"/>
    <w:rsid w:val="001B41CD"/>
    <w:rsid w:val="001B4D14"/>
    <w:rsid w:val="001B714C"/>
    <w:rsid w:val="001C08C3"/>
    <w:rsid w:val="001C1EA0"/>
    <w:rsid w:val="001C31B9"/>
    <w:rsid w:val="001C507E"/>
    <w:rsid w:val="001C5F11"/>
    <w:rsid w:val="001C700E"/>
    <w:rsid w:val="001C7117"/>
    <w:rsid w:val="001C745A"/>
    <w:rsid w:val="001C7DDD"/>
    <w:rsid w:val="001D04B8"/>
    <w:rsid w:val="001D11C6"/>
    <w:rsid w:val="001D20FC"/>
    <w:rsid w:val="001D210A"/>
    <w:rsid w:val="001D510A"/>
    <w:rsid w:val="001D6059"/>
    <w:rsid w:val="001D6515"/>
    <w:rsid w:val="001D7E98"/>
    <w:rsid w:val="001E2637"/>
    <w:rsid w:val="001E45EE"/>
    <w:rsid w:val="001E4ADB"/>
    <w:rsid w:val="001E4BDE"/>
    <w:rsid w:val="001E6635"/>
    <w:rsid w:val="001E6C02"/>
    <w:rsid w:val="001F12A2"/>
    <w:rsid w:val="001F5CB1"/>
    <w:rsid w:val="001F61A8"/>
    <w:rsid w:val="001F7480"/>
    <w:rsid w:val="001F768B"/>
    <w:rsid w:val="00201174"/>
    <w:rsid w:val="00202880"/>
    <w:rsid w:val="00202E4E"/>
    <w:rsid w:val="00203BCC"/>
    <w:rsid w:val="00205E0B"/>
    <w:rsid w:val="00205F2B"/>
    <w:rsid w:val="0021064E"/>
    <w:rsid w:val="002115BD"/>
    <w:rsid w:val="002126BA"/>
    <w:rsid w:val="00212B27"/>
    <w:rsid w:val="00213816"/>
    <w:rsid w:val="0021515C"/>
    <w:rsid w:val="002227A9"/>
    <w:rsid w:val="00223901"/>
    <w:rsid w:val="00224209"/>
    <w:rsid w:val="00226DEE"/>
    <w:rsid w:val="002315D6"/>
    <w:rsid w:val="00231D45"/>
    <w:rsid w:val="002334C6"/>
    <w:rsid w:val="002335A9"/>
    <w:rsid w:val="002335BC"/>
    <w:rsid w:val="002343CF"/>
    <w:rsid w:val="00235483"/>
    <w:rsid w:val="00235D29"/>
    <w:rsid w:val="002363D9"/>
    <w:rsid w:val="00236B8C"/>
    <w:rsid w:val="002373C6"/>
    <w:rsid w:val="00237C4B"/>
    <w:rsid w:val="0024009A"/>
    <w:rsid w:val="00240631"/>
    <w:rsid w:val="00240D59"/>
    <w:rsid w:val="00242C0A"/>
    <w:rsid w:val="002441D5"/>
    <w:rsid w:val="00246E5F"/>
    <w:rsid w:val="0025378C"/>
    <w:rsid w:val="00254374"/>
    <w:rsid w:val="002548AA"/>
    <w:rsid w:val="00254B84"/>
    <w:rsid w:val="00254B97"/>
    <w:rsid w:val="00255C91"/>
    <w:rsid w:val="0026125E"/>
    <w:rsid w:val="00261E78"/>
    <w:rsid w:val="002628B0"/>
    <w:rsid w:val="00263F5F"/>
    <w:rsid w:val="002647CE"/>
    <w:rsid w:val="002660AA"/>
    <w:rsid w:val="0027024C"/>
    <w:rsid w:val="00270898"/>
    <w:rsid w:val="002711C5"/>
    <w:rsid w:val="00271A11"/>
    <w:rsid w:val="00272AF0"/>
    <w:rsid w:val="002739C5"/>
    <w:rsid w:val="00273C6F"/>
    <w:rsid w:val="00275C42"/>
    <w:rsid w:val="00282F26"/>
    <w:rsid w:val="00282FEF"/>
    <w:rsid w:val="0028451F"/>
    <w:rsid w:val="002849B4"/>
    <w:rsid w:val="002874F9"/>
    <w:rsid w:val="002911A4"/>
    <w:rsid w:val="00291D38"/>
    <w:rsid w:val="00291F1C"/>
    <w:rsid w:val="002927C7"/>
    <w:rsid w:val="002934A1"/>
    <w:rsid w:val="0029458F"/>
    <w:rsid w:val="00295AFB"/>
    <w:rsid w:val="002968BF"/>
    <w:rsid w:val="00297D57"/>
    <w:rsid w:val="00297FA7"/>
    <w:rsid w:val="002A15F4"/>
    <w:rsid w:val="002A1935"/>
    <w:rsid w:val="002A1A79"/>
    <w:rsid w:val="002A21D1"/>
    <w:rsid w:val="002A22F7"/>
    <w:rsid w:val="002A2EE3"/>
    <w:rsid w:val="002A304A"/>
    <w:rsid w:val="002A449A"/>
    <w:rsid w:val="002A4D70"/>
    <w:rsid w:val="002A771C"/>
    <w:rsid w:val="002B1CB1"/>
    <w:rsid w:val="002B1F66"/>
    <w:rsid w:val="002B31B3"/>
    <w:rsid w:val="002B433A"/>
    <w:rsid w:val="002B61A8"/>
    <w:rsid w:val="002B6EBE"/>
    <w:rsid w:val="002B79D4"/>
    <w:rsid w:val="002C1E00"/>
    <w:rsid w:val="002C5722"/>
    <w:rsid w:val="002C639B"/>
    <w:rsid w:val="002C6C47"/>
    <w:rsid w:val="002D0E5B"/>
    <w:rsid w:val="002D1328"/>
    <w:rsid w:val="002D5B27"/>
    <w:rsid w:val="002D5D7B"/>
    <w:rsid w:val="002D5FDB"/>
    <w:rsid w:val="002D6914"/>
    <w:rsid w:val="002D6DF0"/>
    <w:rsid w:val="002D7FFA"/>
    <w:rsid w:val="002E095D"/>
    <w:rsid w:val="002E0EC0"/>
    <w:rsid w:val="002E3B11"/>
    <w:rsid w:val="002E3B38"/>
    <w:rsid w:val="002E3D50"/>
    <w:rsid w:val="002E55EA"/>
    <w:rsid w:val="002E5604"/>
    <w:rsid w:val="002E79CE"/>
    <w:rsid w:val="002F14FF"/>
    <w:rsid w:val="002F1754"/>
    <w:rsid w:val="002F2E20"/>
    <w:rsid w:val="002F427A"/>
    <w:rsid w:val="002F479A"/>
    <w:rsid w:val="002F54F3"/>
    <w:rsid w:val="002F5A14"/>
    <w:rsid w:val="00301009"/>
    <w:rsid w:val="0030187A"/>
    <w:rsid w:val="00303038"/>
    <w:rsid w:val="0030318A"/>
    <w:rsid w:val="00306734"/>
    <w:rsid w:val="00310426"/>
    <w:rsid w:val="00310974"/>
    <w:rsid w:val="00310D32"/>
    <w:rsid w:val="0031119B"/>
    <w:rsid w:val="00313E45"/>
    <w:rsid w:val="00315135"/>
    <w:rsid w:val="00315D13"/>
    <w:rsid w:val="00316277"/>
    <w:rsid w:val="003167E5"/>
    <w:rsid w:val="00320A9D"/>
    <w:rsid w:val="00320FCE"/>
    <w:rsid w:val="003223F8"/>
    <w:rsid w:val="0032292A"/>
    <w:rsid w:val="00322D92"/>
    <w:rsid w:val="003244BE"/>
    <w:rsid w:val="0032486D"/>
    <w:rsid w:val="003260C0"/>
    <w:rsid w:val="003266E1"/>
    <w:rsid w:val="00326B5A"/>
    <w:rsid w:val="003275D0"/>
    <w:rsid w:val="003279FD"/>
    <w:rsid w:val="003305E3"/>
    <w:rsid w:val="003326BE"/>
    <w:rsid w:val="003327F8"/>
    <w:rsid w:val="00334E33"/>
    <w:rsid w:val="00335F19"/>
    <w:rsid w:val="003363C7"/>
    <w:rsid w:val="00340425"/>
    <w:rsid w:val="00341177"/>
    <w:rsid w:val="00341311"/>
    <w:rsid w:val="00341DE3"/>
    <w:rsid w:val="00342BF7"/>
    <w:rsid w:val="00343B25"/>
    <w:rsid w:val="00344426"/>
    <w:rsid w:val="00344B1A"/>
    <w:rsid w:val="00345B8E"/>
    <w:rsid w:val="00351ACA"/>
    <w:rsid w:val="00352AE5"/>
    <w:rsid w:val="00354672"/>
    <w:rsid w:val="0035667D"/>
    <w:rsid w:val="00357648"/>
    <w:rsid w:val="00357AF7"/>
    <w:rsid w:val="00360662"/>
    <w:rsid w:val="003627EC"/>
    <w:rsid w:val="00366774"/>
    <w:rsid w:val="00371F53"/>
    <w:rsid w:val="00372D2E"/>
    <w:rsid w:val="00372E1B"/>
    <w:rsid w:val="00372FE3"/>
    <w:rsid w:val="003743C8"/>
    <w:rsid w:val="00375A09"/>
    <w:rsid w:val="00376ACE"/>
    <w:rsid w:val="003779D9"/>
    <w:rsid w:val="00383294"/>
    <w:rsid w:val="00383F3F"/>
    <w:rsid w:val="0038427B"/>
    <w:rsid w:val="00384342"/>
    <w:rsid w:val="003849ED"/>
    <w:rsid w:val="00385A4C"/>
    <w:rsid w:val="0038722B"/>
    <w:rsid w:val="003877CD"/>
    <w:rsid w:val="00387F5B"/>
    <w:rsid w:val="0039021C"/>
    <w:rsid w:val="00390CEA"/>
    <w:rsid w:val="003914C5"/>
    <w:rsid w:val="00392981"/>
    <w:rsid w:val="00393988"/>
    <w:rsid w:val="00394C4E"/>
    <w:rsid w:val="00395CFA"/>
    <w:rsid w:val="00396063"/>
    <w:rsid w:val="003A0E05"/>
    <w:rsid w:val="003A0F9A"/>
    <w:rsid w:val="003A2059"/>
    <w:rsid w:val="003A27D2"/>
    <w:rsid w:val="003A2D7B"/>
    <w:rsid w:val="003A344F"/>
    <w:rsid w:val="003A671D"/>
    <w:rsid w:val="003A74BF"/>
    <w:rsid w:val="003B10F4"/>
    <w:rsid w:val="003B122C"/>
    <w:rsid w:val="003B2756"/>
    <w:rsid w:val="003B3620"/>
    <w:rsid w:val="003B5F7E"/>
    <w:rsid w:val="003B76AD"/>
    <w:rsid w:val="003B7B88"/>
    <w:rsid w:val="003C0ED7"/>
    <w:rsid w:val="003C1FF5"/>
    <w:rsid w:val="003C288C"/>
    <w:rsid w:val="003C31EE"/>
    <w:rsid w:val="003C3905"/>
    <w:rsid w:val="003C3CA9"/>
    <w:rsid w:val="003C47CC"/>
    <w:rsid w:val="003C7721"/>
    <w:rsid w:val="003D00B9"/>
    <w:rsid w:val="003D081D"/>
    <w:rsid w:val="003D233F"/>
    <w:rsid w:val="003D2E2F"/>
    <w:rsid w:val="003D44F4"/>
    <w:rsid w:val="003D4DF7"/>
    <w:rsid w:val="003D7EDC"/>
    <w:rsid w:val="003E028F"/>
    <w:rsid w:val="003E0CF8"/>
    <w:rsid w:val="003E0E66"/>
    <w:rsid w:val="003E1D43"/>
    <w:rsid w:val="003E4982"/>
    <w:rsid w:val="003E63B3"/>
    <w:rsid w:val="003E6E05"/>
    <w:rsid w:val="003E7AA9"/>
    <w:rsid w:val="003F59DC"/>
    <w:rsid w:val="00403152"/>
    <w:rsid w:val="00403AAA"/>
    <w:rsid w:val="00405831"/>
    <w:rsid w:val="00406000"/>
    <w:rsid w:val="00412707"/>
    <w:rsid w:val="00413539"/>
    <w:rsid w:val="0041396D"/>
    <w:rsid w:val="00415A92"/>
    <w:rsid w:val="00416B02"/>
    <w:rsid w:val="00416EBA"/>
    <w:rsid w:val="0041730D"/>
    <w:rsid w:val="00420E02"/>
    <w:rsid w:val="0042281C"/>
    <w:rsid w:val="004228CD"/>
    <w:rsid w:val="00422C27"/>
    <w:rsid w:val="00423E18"/>
    <w:rsid w:val="0042527A"/>
    <w:rsid w:val="00426354"/>
    <w:rsid w:val="004309E9"/>
    <w:rsid w:val="00434A85"/>
    <w:rsid w:val="004356D0"/>
    <w:rsid w:val="00436BA1"/>
    <w:rsid w:val="00437C95"/>
    <w:rsid w:val="00441E77"/>
    <w:rsid w:val="00443639"/>
    <w:rsid w:val="004438B9"/>
    <w:rsid w:val="004450A9"/>
    <w:rsid w:val="004450BD"/>
    <w:rsid w:val="004453CE"/>
    <w:rsid w:val="00445A3B"/>
    <w:rsid w:val="00445C4E"/>
    <w:rsid w:val="00445FE0"/>
    <w:rsid w:val="00446742"/>
    <w:rsid w:val="004472AF"/>
    <w:rsid w:val="00451A9F"/>
    <w:rsid w:val="00451B21"/>
    <w:rsid w:val="0045475F"/>
    <w:rsid w:val="0045669C"/>
    <w:rsid w:val="00462000"/>
    <w:rsid w:val="004664FE"/>
    <w:rsid w:val="00466C98"/>
    <w:rsid w:val="00467C3F"/>
    <w:rsid w:val="00467CE4"/>
    <w:rsid w:val="00472077"/>
    <w:rsid w:val="0047225E"/>
    <w:rsid w:val="0047249D"/>
    <w:rsid w:val="00473BF2"/>
    <w:rsid w:val="0047710F"/>
    <w:rsid w:val="00481777"/>
    <w:rsid w:val="00484F48"/>
    <w:rsid w:val="0048534C"/>
    <w:rsid w:val="00485DD7"/>
    <w:rsid w:val="00490BDE"/>
    <w:rsid w:val="00491749"/>
    <w:rsid w:val="00494504"/>
    <w:rsid w:val="00494BAB"/>
    <w:rsid w:val="004957EC"/>
    <w:rsid w:val="00496F8D"/>
    <w:rsid w:val="004A0EBC"/>
    <w:rsid w:val="004A1D82"/>
    <w:rsid w:val="004A2EC3"/>
    <w:rsid w:val="004A3443"/>
    <w:rsid w:val="004A4453"/>
    <w:rsid w:val="004A54A1"/>
    <w:rsid w:val="004A568F"/>
    <w:rsid w:val="004A7400"/>
    <w:rsid w:val="004A7988"/>
    <w:rsid w:val="004A7E14"/>
    <w:rsid w:val="004B201A"/>
    <w:rsid w:val="004B318C"/>
    <w:rsid w:val="004B3CE4"/>
    <w:rsid w:val="004B41B9"/>
    <w:rsid w:val="004B4A44"/>
    <w:rsid w:val="004B64F3"/>
    <w:rsid w:val="004C33EA"/>
    <w:rsid w:val="004C36CF"/>
    <w:rsid w:val="004C4A3E"/>
    <w:rsid w:val="004C59EA"/>
    <w:rsid w:val="004C65C6"/>
    <w:rsid w:val="004C660D"/>
    <w:rsid w:val="004C7E92"/>
    <w:rsid w:val="004D057E"/>
    <w:rsid w:val="004D0699"/>
    <w:rsid w:val="004D1529"/>
    <w:rsid w:val="004D19CE"/>
    <w:rsid w:val="004D1A2B"/>
    <w:rsid w:val="004D23F6"/>
    <w:rsid w:val="004D2ED0"/>
    <w:rsid w:val="004D374D"/>
    <w:rsid w:val="004D416F"/>
    <w:rsid w:val="004D4522"/>
    <w:rsid w:val="004D740B"/>
    <w:rsid w:val="004D75CD"/>
    <w:rsid w:val="004D7D10"/>
    <w:rsid w:val="004E01E9"/>
    <w:rsid w:val="004E19A2"/>
    <w:rsid w:val="004E3E40"/>
    <w:rsid w:val="004E570D"/>
    <w:rsid w:val="004E6400"/>
    <w:rsid w:val="004E642E"/>
    <w:rsid w:val="004E6924"/>
    <w:rsid w:val="004E6A61"/>
    <w:rsid w:val="004E6E33"/>
    <w:rsid w:val="004E702A"/>
    <w:rsid w:val="004E76F9"/>
    <w:rsid w:val="004F0C2D"/>
    <w:rsid w:val="004F23AF"/>
    <w:rsid w:val="004F3D7E"/>
    <w:rsid w:val="004F4630"/>
    <w:rsid w:val="004F4E64"/>
    <w:rsid w:val="004F521E"/>
    <w:rsid w:val="004F5526"/>
    <w:rsid w:val="004F6FEE"/>
    <w:rsid w:val="004F7C09"/>
    <w:rsid w:val="0050064E"/>
    <w:rsid w:val="00500EB4"/>
    <w:rsid w:val="00501CD2"/>
    <w:rsid w:val="00503974"/>
    <w:rsid w:val="0050439B"/>
    <w:rsid w:val="0050529F"/>
    <w:rsid w:val="00505378"/>
    <w:rsid w:val="005058EB"/>
    <w:rsid w:val="005059AF"/>
    <w:rsid w:val="0050627A"/>
    <w:rsid w:val="00506A51"/>
    <w:rsid w:val="00510D16"/>
    <w:rsid w:val="005110C3"/>
    <w:rsid w:val="00511626"/>
    <w:rsid w:val="00511A0F"/>
    <w:rsid w:val="00514A72"/>
    <w:rsid w:val="00514B5E"/>
    <w:rsid w:val="005157C1"/>
    <w:rsid w:val="00515954"/>
    <w:rsid w:val="00515B83"/>
    <w:rsid w:val="00515E3D"/>
    <w:rsid w:val="00516D93"/>
    <w:rsid w:val="00517E0C"/>
    <w:rsid w:val="005208AC"/>
    <w:rsid w:val="005208F2"/>
    <w:rsid w:val="0052286C"/>
    <w:rsid w:val="00522AB9"/>
    <w:rsid w:val="0052404D"/>
    <w:rsid w:val="005265B9"/>
    <w:rsid w:val="005307E8"/>
    <w:rsid w:val="0053086E"/>
    <w:rsid w:val="0053175E"/>
    <w:rsid w:val="00533533"/>
    <w:rsid w:val="0053496C"/>
    <w:rsid w:val="00534CCB"/>
    <w:rsid w:val="00535C99"/>
    <w:rsid w:val="00535E24"/>
    <w:rsid w:val="005379B8"/>
    <w:rsid w:val="00537E02"/>
    <w:rsid w:val="005404E2"/>
    <w:rsid w:val="00542132"/>
    <w:rsid w:val="00542718"/>
    <w:rsid w:val="00543135"/>
    <w:rsid w:val="00543224"/>
    <w:rsid w:val="005440F6"/>
    <w:rsid w:val="00544CCD"/>
    <w:rsid w:val="0054557A"/>
    <w:rsid w:val="00545E4C"/>
    <w:rsid w:val="00546DD6"/>
    <w:rsid w:val="00547869"/>
    <w:rsid w:val="00550F46"/>
    <w:rsid w:val="0055172C"/>
    <w:rsid w:val="0055569F"/>
    <w:rsid w:val="00556B2D"/>
    <w:rsid w:val="0055771D"/>
    <w:rsid w:val="005609B0"/>
    <w:rsid w:val="00560D15"/>
    <w:rsid w:val="00565055"/>
    <w:rsid w:val="00565635"/>
    <w:rsid w:val="00566AED"/>
    <w:rsid w:val="00567FCF"/>
    <w:rsid w:val="00570765"/>
    <w:rsid w:val="00570A53"/>
    <w:rsid w:val="00571521"/>
    <w:rsid w:val="005732BD"/>
    <w:rsid w:val="005733F9"/>
    <w:rsid w:val="00573E59"/>
    <w:rsid w:val="0057403A"/>
    <w:rsid w:val="005743EA"/>
    <w:rsid w:val="0057490F"/>
    <w:rsid w:val="00575295"/>
    <w:rsid w:val="00581979"/>
    <w:rsid w:val="00581C01"/>
    <w:rsid w:val="00581C7E"/>
    <w:rsid w:val="0058242D"/>
    <w:rsid w:val="00582C22"/>
    <w:rsid w:val="00584044"/>
    <w:rsid w:val="005845CB"/>
    <w:rsid w:val="0058498A"/>
    <w:rsid w:val="00586350"/>
    <w:rsid w:val="00586CDB"/>
    <w:rsid w:val="005901D2"/>
    <w:rsid w:val="005937D2"/>
    <w:rsid w:val="00593DFF"/>
    <w:rsid w:val="0059461A"/>
    <w:rsid w:val="00596207"/>
    <w:rsid w:val="00597520"/>
    <w:rsid w:val="005979C3"/>
    <w:rsid w:val="005A0325"/>
    <w:rsid w:val="005A0E82"/>
    <w:rsid w:val="005A18C5"/>
    <w:rsid w:val="005A3ED5"/>
    <w:rsid w:val="005A511C"/>
    <w:rsid w:val="005A7CF6"/>
    <w:rsid w:val="005B42EE"/>
    <w:rsid w:val="005B4F7A"/>
    <w:rsid w:val="005B537E"/>
    <w:rsid w:val="005B57AE"/>
    <w:rsid w:val="005B621E"/>
    <w:rsid w:val="005B7B4A"/>
    <w:rsid w:val="005B7C71"/>
    <w:rsid w:val="005C310A"/>
    <w:rsid w:val="005C4A6B"/>
    <w:rsid w:val="005C5DE6"/>
    <w:rsid w:val="005C661F"/>
    <w:rsid w:val="005C67CD"/>
    <w:rsid w:val="005C6A9F"/>
    <w:rsid w:val="005C7C08"/>
    <w:rsid w:val="005D12B3"/>
    <w:rsid w:val="005D2A59"/>
    <w:rsid w:val="005F0C00"/>
    <w:rsid w:val="005F1165"/>
    <w:rsid w:val="005F15ED"/>
    <w:rsid w:val="005F33F2"/>
    <w:rsid w:val="005F460C"/>
    <w:rsid w:val="005F51F6"/>
    <w:rsid w:val="005F6CB7"/>
    <w:rsid w:val="005F7415"/>
    <w:rsid w:val="005F74D0"/>
    <w:rsid w:val="00600404"/>
    <w:rsid w:val="0060117A"/>
    <w:rsid w:val="00601600"/>
    <w:rsid w:val="0060349F"/>
    <w:rsid w:val="00612E14"/>
    <w:rsid w:val="006143C5"/>
    <w:rsid w:val="006165C9"/>
    <w:rsid w:val="00616677"/>
    <w:rsid w:val="0061687F"/>
    <w:rsid w:val="00617F30"/>
    <w:rsid w:val="00622C51"/>
    <w:rsid w:val="006231CF"/>
    <w:rsid w:val="006239A6"/>
    <w:rsid w:val="006241CD"/>
    <w:rsid w:val="0062598A"/>
    <w:rsid w:val="00625A52"/>
    <w:rsid w:val="0062686B"/>
    <w:rsid w:val="006305CA"/>
    <w:rsid w:val="00633A74"/>
    <w:rsid w:val="006342AC"/>
    <w:rsid w:val="0063565A"/>
    <w:rsid w:val="00636999"/>
    <w:rsid w:val="00637549"/>
    <w:rsid w:val="00642A6F"/>
    <w:rsid w:val="00642E50"/>
    <w:rsid w:val="006443DF"/>
    <w:rsid w:val="00646049"/>
    <w:rsid w:val="00647689"/>
    <w:rsid w:val="006476F9"/>
    <w:rsid w:val="00647FBA"/>
    <w:rsid w:val="006504D2"/>
    <w:rsid w:val="00650549"/>
    <w:rsid w:val="0065268F"/>
    <w:rsid w:val="0065391A"/>
    <w:rsid w:val="0065679C"/>
    <w:rsid w:val="00656939"/>
    <w:rsid w:val="00657108"/>
    <w:rsid w:val="00663306"/>
    <w:rsid w:val="00663909"/>
    <w:rsid w:val="00663E95"/>
    <w:rsid w:val="006642C9"/>
    <w:rsid w:val="006642DE"/>
    <w:rsid w:val="006651DA"/>
    <w:rsid w:val="006659FF"/>
    <w:rsid w:val="006671BC"/>
    <w:rsid w:val="0067299B"/>
    <w:rsid w:val="00672FEF"/>
    <w:rsid w:val="00673287"/>
    <w:rsid w:val="00674A45"/>
    <w:rsid w:val="00677DE1"/>
    <w:rsid w:val="00680679"/>
    <w:rsid w:val="0068146D"/>
    <w:rsid w:val="00682DB1"/>
    <w:rsid w:val="00682DF0"/>
    <w:rsid w:val="00683FFB"/>
    <w:rsid w:val="0068768A"/>
    <w:rsid w:val="00687B2F"/>
    <w:rsid w:val="00690746"/>
    <w:rsid w:val="00690BEA"/>
    <w:rsid w:val="00695279"/>
    <w:rsid w:val="00697C69"/>
    <w:rsid w:val="006A0A59"/>
    <w:rsid w:val="006A0FBF"/>
    <w:rsid w:val="006A4FE2"/>
    <w:rsid w:val="006A5742"/>
    <w:rsid w:val="006A6A11"/>
    <w:rsid w:val="006A72FA"/>
    <w:rsid w:val="006B0F12"/>
    <w:rsid w:val="006B33A7"/>
    <w:rsid w:val="006B4D52"/>
    <w:rsid w:val="006B5087"/>
    <w:rsid w:val="006B5EC0"/>
    <w:rsid w:val="006C1260"/>
    <w:rsid w:val="006C2232"/>
    <w:rsid w:val="006C6800"/>
    <w:rsid w:val="006D0BC5"/>
    <w:rsid w:val="006D20F6"/>
    <w:rsid w:val="006D2239"/>
    <w:rsid w:val="006D2CF2"/>
    <w:rsid w:val="006D2E37"/>
    <w:rsid w:val="006D34C3"/>
    <w:rsid w:val="006D438F"/>
    <w:rsid w:val="006D46B9"/>
    <w:rsid w:val="006D626F"/>
    <w:rsid w:val="006E0699"/>
    <w:rsid w:val="006E2F68"/>
    <w:rsid w:val="006E327C"/>
    <w:rsid w:val="006E6B3D"/>
    <w:rsid w:val="006E7795"/>
    <w:rsid w:val="006E7E9F"/>
    <w:rsid w:val="006E7FA8"/>
    <w:rsid w:val="006F00DB"/>
    <w:rsid w:val="006F0C73"/>
    <w:rsid w:val="006F14D2"/>
    <w:rsid w:val="006F36A5"/>
    <w:rsid w:val="006F39D6"/>
    <w:rsid w:val="006F4623"/>
    <w:rsid w:val="006F4B40"/>
    <w:rsid w:val="0070006C"/>
    <w:rsid w:val="00701FEA"/>
    <w:rsid w:val="007040D1"/>
    <w:rsid w:val="007054B6"/>
    <w:rsid w:val="00705875"/>
    <w:rsid w:val="00705A00"/>
    <w:rsid w:val="007069F7"/>
    <w:rsid w:val="00706DE1"/>
    <w:rsid w:val="00707814"/>
    <w:rsid w:val="00707D83"/>
    <w:rsid w:val="00710059"/>
    <w:rsid w:val="00710337"/>
    <w:rsid w:val="0071102A"/>
    <w:rsid w:val="007110C9"/>
    <w:rsid w:val="00712349"/>
    <w:rsid w:val="00712FCE"/>
    <w:rsid w:val="007131CA"/>
    <w:rsid w:val="00713266"/>
    <w:rsid w:val="00714BA3"/>
    <w:rsid w:val="00715180"/>
    <w:rsid w:val="0071537B"/>
    <w:rsid w:val="007167AE"/>
    <w:rsid w:val="00716A5F"/>
    <w:rsid w:val="00720485"/>
    <w:rsid w:val="00720CB0"/>
    <w:rsid w:val="00721098"/>
    <w:rsid w:val="0072495B"/>
    <w:rsid w:val="00725CD1"/>
    <w:rsid w:val="007308B5"/>
    <w:rsid w:val="007311E0"/>
    <w:rsid w:val="007341AE"/>
    <w:rsid w:val="007360D3"/>
    <w:rsid w:val="0073644C"/>
    <w:rsid w:val="00736D2D"/>
    <w:rsid w:val="00737641"/>
    <w:rsid w:val="00737C72"/>
    <w:rsid w:val="0074010B"/>
    <w:rsid w:val="00741B48"/>
    <w:rsid w:val="007423C0"/>
    <w:rsid w:val="007452F9"/>
    <w:rsid w:val="0074660C"/>
    <w:rsid w:val="00747B69"/>
    <w:rsid w:val="00750E77"/>
    <w:rsid w:val="00751449"/>
    <w:rsid w:val="00755D95"/>
    <w:rsid w:val="00756B0E"/>
    <w:rsid w:val="00757BAA"/>
    <w:rsid w:val="00762618"/>
    <w:rsid w:val="00762B9C"/>
    <w:rsid w:val="00763641"/>
    <w:rsid w:val="00763999"/>
    <w:rsid w:val="00766491"/>
    <w:rsid w:val="00766583"/>
    <w:rsid w:val="00766BCF"/>
    <w:rsid w:val="00767F39"/>
    <w:rsid w:val="00770596"/>
    <w:rsid w:val="007705BC"/>
    <w:rsid w:val="0077091A"/>
    <w:rsid w:val="007726E1"/>
    <w:rsid w:val="00774F4B"/>
    <w:rsid w:val="00775452"/>
    <w:rsid w:val="007822C8"/>
    <w:rsid w:val="00785363"/>
    <w:rsid w:val="0079256F"/>
    <w:rsid w:val="00792FC9"/>
    <w:rsid w:val="0079307B"/>
    <w:rsid w:val="007941CF"/>
    <w:rsid w:val="007944A9"/>
    <w:rsid w:val="00796F48"/>
    <w:rsid w:val="007A2954"/>
    <w:rsid w:val="007A2A5E"/>
    <w:rsid w:val="007A3C6A"/>
    <w:rsid w:val="007A4306"/>
    <w:rsid w:val="007A5821"/>
    <w:rsid w:val="007A6B87"/>
    <w:rsid w:val="007B0EBF"/>
    <w:rsid w:val="007B12EF"/>
    <w:rsid w:val="007B51E2"/>
    <w:rsid w:val="007B6151"/>
    <w:rsid w:val="007B6F81"/>
    <w:rsid w:val="007B75EE"/>
    <w:rsid w:val="007C08B4"/>
    <w:rsid w:val="007C2C80"/>
    <w:rsid w:val="007C42D6"/>
    <w:rsid w:val="007C43E9"/>
    <w:rsid w:val="007D0A64"/>
    <w:rsid w:val="007D56E2"/>
    <w:rsid w:val="007D5D8D"/>
    <w:rsid w:val="007D608D"/>
    <w:rsid w:val="007D7266"/>
    <w:rsid w:val="007D7EE0"/>
    <w:rsid w:val="007E10A5"/>
    <w:rsid w:val="007E14C5"/>
    <w:rsid w:val="007E1DED"/>
    <w:rsid w:val="007E2A95"/>
    <w:rsid w:val="007E3D71"/>
    <w:rsid w:val="007E64CB"/>
    <w:rsid w:val="007F0036"/>
    <w:rsid w:val="007F0266"/>
    <w:rsid w:val="007F2841"/>
    <w:rsid w:val="007F3067"/>
    <w:rsid w:val="007F3E30"/>
    <w:rsid w:val="007F5CDE"/>
    <w:rsid w:val="0080096B"/>
    <w:rsid w:val="00800B90"/>
    <w:rsid w:val="008012EE"/>
    <w:rsid w:val="008019A5"/>
    <w:rsid w:val="00802A66"/>
    <w:rsid w:val="00805ADD"/>
    <w:rsid w:val="008103A0"/>
    <w:rsid w:val="00810DE3"/>
    <w:rsid w:val="00820C4E"/>
    <w:rsid w:val="00821541"/>
    <w:rsid w:val="00821A06"/>
    <w:rsid w:val="008220F3"/>
    <w:rsid w:val="00822273"/>
    <w:rsid w:val="00822C95"/>
    <w:rsid w:val="008235DB"/>
    <w:rsid w:val="00823FCA"/>
    <w:rsid w:val="00826FE4"/>
    <w:rsid w:val="0082706F"/>
    <w:rsid w:val="00827103"/>
    <w:rsid w:val="008274FC"/>
    <w:rsid w:val="00830647"/>
    <w:rsid w:val="00830E80"/>
    <w:rsid w:val="00832911"/>
    <w:rsid w:val="00832984"/>
    <w:rsid w:val="00833071"/>
    <w:rsid w:val="00833EB7"/>
    <w:rsid w:val="00834E14"/>
    <w:rsid w:val="00837172"/>
    <w:rsid w:val="0084092F"/>
    <w:rsid w:val="008427E2"/>
    <w:rsid w:val="00843333"/>
    <w:rsid w:val="008444E4"/>
    <w:rsid w:val="00844C87"/>
    <w:rsid w:val="00845E3F"/>
    <w:rsid w:val="00850A87"/>
    <w:rsid w:val="008532FB"/>
    <w:rsid w:val="00853926"/>
    <w:rsid w:val="008540F0"/>
    <w:rsid w:val="008568C0"/>
    <w:rsid w:val="00863122"/>
    <w:rsid w:val="00863CAC"/>
    <w:rsid w:val="00864874"/>
    <w:rsid w:val="00867B30"/>
    <w:rsid w:val="00870F43"/>
    <w:rsid w:val="00871CA1"/>
    <w:rsid w:val="00874F47"/>
    <w:rsid w:val="008750BB"/>
    <w:rsid w:val="00877D87"/>
    <w:rsid w:val="00880255"/>
    <w:rsid w:val="008810FA"/>
    <w:rsid w:val="0088483E"/>
    <w:rsid w:val="00884878"/>
    <w:rsid w:val="008852A6"/>
    <w:rsid w:val="00885B9C"/>
    <w:rsid w:val="00886D18"/>
    <w:rsid w:val="0088791B"/>
    <w:rsid w:val="00887B22"/>
    <w:rsid w:val="0089127D"/>
    <w:rsid w:val="00892303"/>
    <w:rsid w:val="00896927"/>
    <w:rsid w:val="008971D1"/>
    <w:rsid w:val="00897E16"/>
    <w:rsid w:val="008A144E"/>
    <w:rsid w:val="008A310A"/>
    <w:rsid w:val="008A5A92"/>
    <w:rsid w:val="008A6603"/>
    <w:rsid w:val="008A6781"/>
    <w:rsid w:val="008B025D"/>
    <w:rsid w:val="008B2F4E"/>
    <w:rsid w:val="008B5F65"/>
    <w:rsid w:val="008C0FBD"/>
    <w:rsid w:val="008C359A"/>
    <w:rsid w:val="008C4903"/>
    <w:rsid w:val="008C5617"/>
    <w:rsid w:val="008C6687"/>
    <w:rsid w:val="008C70BD"/>
    <w:rsid w:val="008C79C7"/>
    <w:rsid w:val="008C7AC8"/>
    <w:rsid w:val="008D0242"/>
    <w:rsid w:val="008D23EE"/>
    <w:rsid w:val="008D27EF"/>
    <w:rsid w:val="008D280D"/>
    <w:rsid w:val="008D28DF"/>
    <w:rsid w:val="008D2D98"/>
    <w:rsid w:val="008D2DC8"/>
    <w:rsid w:val="008D34F9"/>
    <w:rsid w:val="008D3D46"/>
    <w:rsid w:val="008D745E"/>
    <w:rsid w:val="008E29AB"/>
    <w:rsid w:val="008E2C1A"/>
    <w:rsid w:val="008E41DF"/>
    <w:rsid w:val="008E44A5"/>
    <w:rsid w:val="008E4EF2"/>
    <w:rsid w:val="008E6DAE"/>
    <w:rsid w:val="008F06C6"/>
    <w:rsid w:val="008F06F2"/>
    <w:rsid w:val="008F1E28"/>
    <w:rsid w:val="008F3F59"/>
    <w:rsid w:val="008F4C4B"/>
    <w:rsid w:val="008F5173"/>
    <w:rsid w:val="008F5D80"/>
    <w:rsid w:val="008F6A8C"/>
    <w:rsid w:val="008F7B8C"/>
    <w:rsid w:val="009006D2"/>
    <w:rsid w:val="00906737"/>
    <w:rsid w:val="00906A81"/>
    <w:rsid w:val="009103F3"/>
    <w:rsid w:val="009117CE"/>
    <w:rsid w:val="009126A4"/>
    <w:rsid w:val="00912FBC"/>
    <w:rsid w:val="00914BA2"/>
    <w:rsid w:val="00915E87"/>
    <w:rsid w:val="00915F3E"/>
    <w:rsid w:val="009163AF"/>
    <w:rsid w:val="00916A56"/>
    <w:rsid w:val="00916D52"/>
    <w:rsid w:val="00923D3D"/>
    <w:rsid w:val="00924076"/>
    <w:rsid w:val="00924B56"/>
    <w:rsid w:val="00924CCB"/>
    <w:rsid w:val="0092520A"/>
    <w:rsid w:val="00927978"/>
    <w:rsid w:val="00927E4E"/>
    <w:rsid w:val="00932FAD"/>
    <w:rsid w:val="00936ECF"/>
    <w:rsid w:val="00937307"/>
    <w:rsid w:val="00940AC1"/>
    <w:rsid w:val="0094337B"/>
    <w:rsid w:val="009445BA"/>
    <w:rsid w:val="00944CFA"/>
    <w:rsid w:val="00944E87"/>
    <w:rsid w:val="00945130"/>
    <w:rsid w:val="009458FB"/>
    <w:rsid w:val="00945B0A"/>
    <w:rsid w:val="00946B2B"/>
    <w:rsid w:val="00946F68"/>
    <w:rsid w:val="009475F3"/>
    <w:rsid w:val="00951562"/>
    <w:rsid w:val="00951651"/>
    <w:rsid w:val="0095170A"/>
    <w:rsid w:val="00953CAB"/>
    <w:rsid w:val="0095440B"/>
    <w:rsid w:val="009547D4"/>
    <w:rsid w:val="00954EF3"/>
    <w:rsid w:val="00955B2D"/>
    <w:rsid w:val="0095603B"/>
    <w:rsid w:val="00957948"/>
    <w:rsid w:val="00963AD0"/>
    <w:rsid w:val="00965F27"/>
    <w:rsid w:val="009668EF"/>
    <w:rsid w:val="00970337"/>
    <w:rsid w:val="009713CF"/>
    <w:rsid w:val="009729A9"/>
    <w:rsid w:val="00972CCA"/>
    <w:rsid w:val="00973E3A"/>
    <w:rsid w:val="009761F8"/>
    <w:rsid w:val="00976AF1"/>
    <w:rsid w:val="00976FB3"/>
    <w:rsid w:val="00977EEC"/>
    <w:rsid w:val="0098030D"/>
    <w:rsid w:val="00981519"/>
    <w:rsid w:val="00981B13"/>
    <w:rsid w:val="00981E62"/>
    <w:rsid w:val="00982931"/>
    <w:rsid w:val="00985A22"/>
    <w:rsid w:val="009875C8"/>
    <w:rsid w:val="00987B18"/>
    <w:rsid w:val="00987DE1"/>
    <w:rsid w:val="00990B26"/>
    <w:rsid w:val="00992851"/>
    <w:rsid w:val="009928E1"/>
    <w:rsid w:val="00993093"/>
    <w:rsid w:val="0099488A"/>
    <w:rsid w:val="00994AA1"/>
    <w:rsid w:val="00994D57"/>
    <w:rsid w:val="00994EC7"/>
    <w:rsid w:val="00995750"/>
    <w:rsid w:val="00996460"/>
    <w:rsid w:val="0099677B"/>
    <w:rsid w:val="009A1CBC"/>
    <w:rsid w:val="009A1E07"/>
    <w:rsid w:val="009A25EB"/>
    <w:rsid w:val="009A290D"/>
    <w:rsid w:val="009A2B95"/>
    <w:rsid w:val="009A3D40"/>
    <w:rsid w:val="009A5965"/>
    <w:rsid w:val="009B1257"/>
    <w:rsid w:val="009B1B5F"/>
    <w:rsid w:val="009B1D0B"/>
    <w:rsid w:val="009B3825"/>
    <w:rsid w:val="009B5190"/>
    <w:rsid w:val="009B5381"/>
    <w:rsid w:val="009B6251"/>
    <w:rsid w:val="009B654F"/>
    <w:rsid w:val="009C12A3"/>
    <w:rsid w:val="009C16DF"/>
    <w:rsid w:val="009C1FDC"/>
    <w:rsid w:val="009C2407"/>
    <w:rsid w:val="009C4804"/>
    <w:rsid w:val="009C4AE0"/>
    <w:rsid w:val="009C5454"/>
    <w:rsid w:val="009C547A"/>
    <w:rsid w:val="009C752C"/>
    <w:rsid w:val="009D104E"/>
    <w:rsid w:val="009D1FDF"/>
    <w:rsid w:val="009D2DE6"/>
    <w:rsid w:val="009D3524"/>
    <w:rsid w:val="009D435A"/>
    <w:rsid w:val="009D4660"/>
    <w:rsid w:val="009D5236"/>
    <w:rsid w:val="009D5E07"/>
    <w:rsid w:val="009D5E81"/>
    <w:rsid w:val="009E1667"/>
    <w:rsid w:val="009E1CA8"/>
    <w:rsid w:val="009E28E1"/>
    <w:rsid w:val="009E38C1"/>
    <w:rsid w:val="009E6780"/>
    <w:rsid w:val="009E79EC"/>
    <w:rsid w:val="009F0446"/>
    <w:rsid w:val="009F3569"/>
    <w:rsid w:val="009F4D99"/>
    <w:rsid w:val="009F50F0"/>
    <w:rsid w:val="00A01327"/>
    <w:rsid w:val="00A018E7"/>
    <w:rsid w:val="00A01B9B"/>
    <w:rsid w:val="00A0367E"/>
    <w:rsid w:val="00A03911"/>
    <w:rsid w:val="00A05067"/>
    <w:rsid w:val="00A05140"/>
    <w:rsid w:val="00A06A96"/>
    <w:rsid w:val="00A06FC9"/>
    <w:rsid w:val="00A10DE1"/>
    <w:rsid w:val="00A11D59"/>
    <w:rsid w:val="00A123C7"/>
    <w:rsid w:val="00A12B20"/>
    <w:rsid w:val="00A12F0B"/>
    <w:rsid w:val="00A13029"/>
    <w:rsid w:val="00A14E44"/>
    <w:rsid w:val="00A14E66"/>
    <w:rsid w:val="00A16136"/>
    <w:rsid w:val="00A20730"/>
    <w:rsid w:val="00A22538"/>
    <w:rsid w:val="00A22A01"/>
    <w:rsid w:val="00A232AC"/>
    <w:rsid w:val="00A259FE"/>
    <w:rsid w:val="00A2772A"/>
    <w:rsid w:val="00A279FD"/>
    <w:rsid w:val="00A27E2B"/>
    <w:rsid w:val="00A32538"/>
    <w:rsid w:val="00A33B7B"/>
    <w:rsid w:val="00A34039"/>
    <w:rsid w:val="00A3552E"/>
    <w:rsid w:val="00A35E94"/>
    <w:rsid w:val="00A36449"/>
    <w:rsid w:val="00A414EE"/>
    <w:rsid w:val="00A417FA"/>
    <w:rsid w:val="00A42760"/>
    <w:rsid w:val="00A43278"/>
    <w:rsid w:val="00A443C7"/>
    <w:rsid w:val="00A44BC5"/>
    <w:rsid w:val="00A44FDC"/>
    <w:rsid w:val="00A45630"/>
    <w:rsid w:val="00A458B3"/>
    <w:rsid w:val="00A45B60"/>
    <w:rsid w:val="00A45E73"/>
    <w:rsid w:val="00A46406"/>
    <w:rsid w:val="00A4778A"/>
    <w:rsid w:val="00A54D66"/>
    <w:rsid w:val="00A5551F"/>
    <w:rsid w:val="00A56BB7"/>
    <w:rsid w:val="00A60B2C"/>
    <w:rsid w:val="00A61B0C"/>
    <w:rsid w:val="00A62E17"/>
    <w:rsid w:val="00A65CAA"/>
    <w:rsid w:val="00A662CF"/>
    <w:rsid w:val="00A749B2"/>
    <w:rsid w:val="00A75E5C"/>
    <w:rsid w:val="00A766FD"/>
    <w:rsid w:val="00A80353"/>
    <w:rsid w:val="00A820E7"/>
    <w:rsid w:val="00A82DF8"/>
    <w:rsid w:val="00A86139"/>
    <w:rsid w:val="00A9333E"/>
    <w:rsid w:val="00A94C0A"/>
    <w:rsid w:val="00A94EC5"/>
    <w:rsid w:val="00A9554E"/>
    <w:rsid w:val="00A95B09"/>
    <w:rsid w:val="00AA31F2"/>
    <w:rsid w:val="00AA406C"/>
    <w:rsid w:val="00AA4F9F"/>
    <w:rsid w:val="00AA5E1B"/>
    <w:rsid w:val="00AA6150"/>
    <w:rsid w:val="00AA6699"/>
    <w:rsid w:val="00AA6DFB"/>
    <w:rsid w:val="00AA7256"/>
    <w:rsid w:val="00AB04A1"/>
    <w:rsid w:val="00AB0987"/>
    <w:rsid w:val="00AB0FD3"/>
    <w:rsid w:val="00AB3900"/>
    <w:rsid w:val="00AB7215"/>
    <w:rsid w:val="00AC005D"/>
    <w:rsid w:val="00AC14DE"/>
    <w:rsid w:val="00AC1BCF"/>
    <w:rsid w:val="00AC2B9B"/>
    <w:rsid w:val="00AC4122"/>
    <w:rsid w:val="00AC56C2"/>
    <w:rsid w:val="00AC5E19"/>
    <w:rsid w:val="00AC6A03"/>
    <w:rsid w:val="00AC6F49"/>
    <w:rsid w:val="00AD0418"/>
    <w:rsid w:val="00AD0920"/>
    <w:rsid w:val="00AD20BB"/>
    <w:rsid w:val="00AD23A8"/>
    <w:rsid w:val="00AD2723"/>
    <w:rsid w:val="00AD30D4"/>
    <w:rsid w:val="00AD445D"/>
    <w:rsid w:val="00AD6F47"/>
    <w:rsid w:val="00AE21C1"/>
    <w:rsid w:val="00AE2268"/>
    <w:rsid w:val="00AE2781"/>
    <w:rsid w:val="00AE561D"/>
    <w:rsid w:val="00AE5C52"/>
    <w:rsid w:val="00AE6D76"/>
    <w:rsid w:val="00AE6E0A"/>
    <w:rsid w:val="00AE756F"/>
    <w:rsid w:val="00AE78D6"/>
    <w:rsid w:val="00AE7A7F"/>
    <w:rsid w:val="00AF045F"/>
    <w:rsid w:val="00AF0FA2"/>
    <w:rsid w:val="00AF0FDD"/>
    <w:rsid w:val="00AF2C01"/>
    <w:rsid w:val="00AF4625"/>
    <w:rsid w:val="00AF54FB"/>
    <w:rsid w:val="00AF5A70"/>
    <w:rsid w:val="00AF5C5C"/>
    <w:rsid w:val="00B008EC"/>
    <w:rsid w:val="00B03BA3"/>
    <w:rsid w:val="00B03FB1"/>
    <w:rsid w:val="00B04070"/>
    <w:rsid w:val="00B05899"/>
    <w:rsid w:val="00B12492"/>
    <w:rsid w:val="00B14A25"/>
    <w:rsid w:val="00B15829"/>
    <w:rsid w:val="00B16BCA"/>
    <w:rsid w:val="00B17A9D"/>
    <w:rsid w:val="00B206FA"/>
    <w:rsid w:val="00B21C2F"/>
    <w:rsid w:val="00B21FF5"/>
    <w:rsid w:val="00B249B7"/>
    <w:rsid w:val="00B25C4F"/>
    <w:rsid w:val="00B2764E"/>
    <w:rsid w:val="00B300DD"/>
    <w:rsid w:val="00B30E77"/>
    <w:rsid w:val="00B332AF"/>
    <w:rsid w:val="00B33F27"/>
    <w:rsid w:val="00B34B88"/>
    <w:rsid w:val="00B35CFB"/>
    <w:rsid w:val="00B37A25"/>
    <w:rsid w:val="00B41968"/>
    <w:rsid w:val="00B44032"/>
    <w:rsid w:val="00B456CC"/>
    <w:rsid w:val="00B46473"/>
    <w:rsid w:val="00B478EF"/>
    <w:rsid w:val="00B47CB9"/>
    <w:rsid w:val="00B51BAD"/>
    <w:rsid w:val="00B5247F"/>
    <w:rsid w:val="00B53E4E"/>
    <w:rsid w:val="00B54E53"/>
    <w:rsid w:val="00B55BE4"/>
    <w:rsid w:val="00B564A3"/>
    <w:rsid w:val="00B56514"/>
    <w:rsid w:val="00B56551"/>
    <w:rsid w:val="00B57224"/>
    <w:rsid w:val="00B57AE9"/>
    <w:rsid w:val="00B57CA2"/>
    <w:rsid w:val="00B60021"/>
    <w:rsid w:val="00B6020F"/>
    <w:rsid w:val="00B638BD"/>
    <w:rsid w:val="00B649AB"/>
    <w:rsid w:val="00B65EB5"/>
    <w:rsid w:val="00B66555"/>
    <w:rsid w:val="00B67E41"/>
    <w:rsid w:val="00B70296"/>
    <w:rsid w:val="00B71672"/>
    <w:rsid w:val="00B72CEC"/>
    <w:rsid w:val="00B73156"/>
    <w:rsid w:val="00B73650"/>
    <w:rsid w:val="00B74929"/>
    <w:rsid w:val="00B7716B"/>
    <w:rsid w:val="00B777E6"/>
    <w:rsid w:val="00B80134"/>
    <w:rsid w:val="00B80700"/>
    <w:rsid w:val="00B80707"/>
    <w:rsid w:val="00B82B89"/>
    <w:rsid w:val="00B842BF"/>
    <w:rsid w:val="00B861D4"/>
    <w:rsid w:val="00B86457"/>
    <w:rsid w:val="00B8737A"/>
    <w:rsid w:val="00B87675"/>
    <w:rsid w:val="00B910DF"/>
    <w:rsid w:val="00B91EA9"/>
    <w:rsid w:val="00B922B9"/>
    <w:rsid w:val="00B92B2F"/>
    <w:rsid w:val="00B93271"/>
    <w:rsid w:val="00B95043"/>
    <w:rsid w:val="00B9749F"/>
    <w:rsid w:val="00BA3026"/>
    <w:rsid w:val="00BA3EFF"/>
    <w:rsid w:val="00BA4972"/>
    <w:rsid w:val="00BA5FE7"/>
    <w:rsid w:val="00BA6275"/>
    <w:rsid w:val="00BB1C24"/>
    <w:rsid w:val="00BB2580"/>
    <w:rsid w:val="00BB27EC"/>
    <w:rsid w:val="00BB36D7"/>
    <w:rsid w:val="00BB37EE"/>
    <w:rsid w:val="00BB3E6A"/>
    <w:rsid w:val="00BB530B"/>
    <w:rsid w:val="00BB58D3"/>
    <w:rsid w:val="00BC179B"/>
    <w:rsid w:val="00BC3920"/>
    <w:rsid w:val="00BC432E"/>
    <w:rsid w:val="00BC6774"/>
    <w:rsid w:val="00BC69A2"/>
    <w:rsid w:val="00BC6C8B"/>
    <w:rsid w:val="00BC6EEF"/>
    <w:rsid w:val="00BC7980"/>
    <w:rsid w:val="00BD28C5"/>
    <w:rsid w:val="00BD2FEE"/>
    <w:rsid w:val="00BD4D43"/>
    <w:rsid w:val="00BD6170"/>
    <w:rsid w:val="00BD63CA"/>
    <w:rsid w:val="00BD7695"/>
    <w:rsid w:val="00BE0D5C"/>
    <w:rsid w:val="00BE0EE1"/>
    <w:rsid w:val="00BE1DF0"/>
    <w:rsid w:val="00BE2C11"/>
    <w:rsid w:val="00BE4BDF"/>
    <w:rsid w:val="00BE5FED"/>
    <w:rsid w:val="00BE65E4"/>
    <w:rsid w:val="00BE7D81"/>
    <w:rsid w:val="00BF0AA7"/>
    <w:rsid w:val="00BF15DF"/>
    <w:rsid w:val="00BF2F97"/>
    <w:rsid w:val="00C00413"/>
    <w:rsid w:val="00C00765"/>
    <w:rsid w:val="00C00E26"/>
    <w:rsid w:val="00C0235F"/>
    <w:rsid w:val="00C03A2E"/>
    <w:rsid w:val="00C041C0"/>
    <w:rsid w:val="00C06287"/>
    <w:rsid w:val="00C06367"/>
    <w:rsid w:val="00C12309"/>
    <w:rsid w:val="00C14023"/>
    <w:rsid w:val="00C20D5E"/>
    <w:rsid w:val="00C21F12"/>
    <w:rsid w:val="00C22B12"/>
    <w:rsid w:val="00C23583"/>
    <w:rsid w:val="00C237CA"/>
    <w:rsid w:val="00C312CC"/>
    <w:rsid w:val="00C31AD2"/>
    <w:rsid w:val="00C325FA"/>
    <w:rsid w:val="00C34D7A"/>
    <w:rsid w:val="00C36C67"/>
    <w:rsid w:val="00C37E40"/>
    <w:rsid w:val="00C4066A"/>
    <w:rsid w:val="00C40BE1"/>
    <w:rsid w:val="00C40D0E"/>
    <w:rsid w:val="00C415D2"/>
    <w:rsid w:val="00C469FC"/>
    <w:rsid w:val="00C46B7B"/>
    <w:rsid w:val="00C4792B"/>
    <w:rsid w:val="00C51DF7"/>
    <w:rsid w:val="00C5255D"/>
    <w:rsid w:val="00C54483"/>
    <w:rsid w:val="00C552FE"/>
    <w:rsid w:val="00C5645F"/>
    <w:rsid w:val="00C56BAB"/>
    <w:rsid w:val="00C57E14"/>
    <w:rsid w:val="00C602B7"/>
    <w:rsid w:val="00C60D92"/>
    <w:rsid w:val="00C62A26"/>
    <w:rsid w:val="00C6353D"/>
    <w:rsid w:val="00C636BA"/>
    <w:rsid w:val="00C643F7"/>
    <w:rsid w:val="00C64470"/>
    <w:rsid w:val="00C65930"/>
    <w:rsid w:val="00C668B0"/>
    <w:rsid w:val="00C67A59"/>
    <w:rsid w:val="00C714DE"/>
    <w:rsid w:val="00C71F6A"/>
    <w:rsid w:val="00C75498"/>
    <w:rsid w:val="00C759C4"/>
    <w:rsid w:val="00C75AB0"/>
    <w:rsid w:val="00C812EF"/>
    <w:rsid w:val="00C82AA4"/>
    <w:rsid w:val="00C8305C"/>
    <w:rsid w:val="00C844D6"/>
    <w:rsid w:val="00C85FF6"/>
    <w:rsid w:val="00C91AB1"/>
    <w:rsid w:val="00C9326B"/>
    <w:rsid w:val="00C94419"/>
    <w:rsid w:val="00C95691"/>
    <w:rsid w:val="00C95F0E"/>
    <w:rsid w:val="00C96A47"/>
    <w:rsid w:val="00C970CE"/>
    <w:rsid w:val="00CA1054"/>
    <w:rsid w:val="00CA113C"/>
    <w:rsid w:val="00CA15DE"/>
    <w:rsid w:val="00CA1ECD"/>
    <w:rsid w:val="00CA4C7F"/>
    <w:rsid w:val="00CA4D91"/>
    <w:rsid w:val="00CA73B3"/>
    <w:rsid w:val="00CB1255"/>
    <w:rsid w:val="00CB13B7"/>
    <w:rsid w:val="00CB7087"/>
    <w:rsid w:val="00CB723D"/>
    <w:rsid w:val="00CC338A"/>
    <w:rsid w:val="00CC369D"/>
    <w:rsid w:val="00CC41EE"/>
    <w:rsid w:val="00CC5339"/>
    <w:rsid w:val="00CD01CD"/>
    <w:rsid w:val="00CD061B"/>
    <w:rsid w:val="00CD096D"/>
    <w:rsid w:val="00CD0BF5"/>
    <w:rsid w:val="00CD0FA4"/>
    <w:rsid w:val="00CD1089"/>
    <w:rsid w:val="00CD13BA"/>
    <w:rsid w:val="00CD1BCD"/>
    <w:rsid w:val="00CD375C"/>
    <w:rsid w:val="00CD41F8"/>
    <w:rsid w:val="00CD6D61"/>
    <w:rsid w:val="00CD7911"/>
    <w:rsid w:val="00CD7AB0"/>
    <w:rsid w:val="00CD7D66"/>
    <w:rsid w:val="00CD7FFC"/>
    <w:rsid w:val="00CE1DFB"/>
    <w:rsid w:val="00CE26AD"/>
    <w:rsid w:val="00CE2C6E"/>
    <w:rsid w:val="00CE2D75"/>
    <w:rsid w:val="00CE30F1"/>
    <w:rsid w:val="00CE4F93"/>
    <w:rsid w:val="00CE6C66"/>
    <w:rsid w:val="00CE799B"/>
    <w:rsid w:val="00CF046A"/>
    <w:rsid w:val="00CF0692"/>
    <w:rsid w:val="00CF321C"/>
    <w:rsid w:val="00CF3593"/>
    <w:rsid w:val="00CF45F9"/>
    <w:rsid w:val="00CF4746"/>
    <w:rsid w:val="00CF4FE6"/>
    <w:rsid w:val="00CF556F"/>
    <w:rsid w:val="00CF5974"/>
    <w:rsid w:val="00CF7D42"/>
    <w:rsid w:val="00D0030F"/>
    <w:rsid w:val="00D0445F"/>
    <w:rsid w:val="00D0608D"/>
    <w:rsid w:val="00D061D5"/>
    <w:rsid w:val="00D06C28"/>
    <w:rsid w:val="00D06E87"/>
    <w:rsid w:val="00D06EFC"/>
    <w:rsid w:val="00D074BF"/>
    <w:rsid w:val="00D07811"/>
    <w:rsid w:val="00D100CC"/>
    <w:rsid w:val="00D11585"/>
    <w:rsid w:val="00D1197E"/>
    <w:rsid w:val="00D122E5"/>
    <w:rsid w:val="00D129B4"/>
    <w:rsid w:val="00D12AED"/>
    <w:rsid w:val="00D14BF2"/>
    <w:rsid w:val="00D1619E"/>
    <w:rsid w:val="00D17211"/>
    <w:rsid w:val="00D176E2"/>
    <w:rsid w:val="00D1779D"/>
    <w:rsid w:val="00D206B3"/>
    <w:rsid w:val="00D219C1"/>
    <w:rsid w:val="00D22C33"/>
    <w:rsid w:val="00D27373"/>
    <w:rsid w:val="00D27A36"/>
    <w:rsid w:val="00D32833"/>
    <w:rsid w:val="00D33DA7"/>
    <w:rsid w:val="00D3507E"/>
    <w:rsid w:val="00D354D0"/>
    <w:rsid w:val="00D41D9A"/>
    <w:rsid w:val="00D461E5"/>
    <w:rsid w:val="00D472D8"/>
    <w:rsid w:val="00D50A13"/>
    <w:rsid w:val="00D5255B"/>
    <w:rsid w:val="00D538F6"/>
    <w:rsid w:val="00D5457D"/>
    <w:rsid w:val="00D54A11"/>
    <w:rsid w:val="00D54EF5"/>
    <w:rsid w:val="00D551E2"/>
    <w:rsid w:val="00D564B3"/>
    <w:rsid w:val="00D56FF4"/>
    <w:rsid w:val="00D57113"/>
    <w:rsid w:val="00D57411"/>
    <w:rsid w:val="00D60556"/>
    <w:rsid w:val="00D61E55"/>
    <w:rsid w:val="00D6213A"/>
    <w:rsid w:val="00D70223"/>
    <w:rsid w:val="00D703EC"/>
    <w:rsid w:val="00D71EBE"/>
    <w:rsid w:val="00D73248"/>
    <w:rsid w:val="00D73760"/>
    <w:rsid w:val="00D7387F"/>
    <w:rsid w:val="00D74036"/>
    <w:rsid w:val="00D753D8"/>
    <w:rsid w:val="00D763C0"/>
    <w:rsid w:val="00D802BD"/>
    <w:rsid w:val="00D808EE"/>
    <w:rsid w:val="00D83A35"/>
    <w:rsid w:val="00D84EF8"/>
    <w:rsid w:val="00D86FD1"/>
    <w:rsid w:val="00D872D9"/>
    <w:rsid w:val="00D87A84"/>
    <w:rsid w:val="00D87FE7"/>
    <w:rsid w:val="00D91573"/>
    <w:rsid w:val="00D91885"/>
    <w:rsid w:val="00D9247D"/>
    <w:rsid w:val="00D928A1"/>
    <w:rsid w:val="00D92DEA"/>
    <w:rsid w:val="00D93663"/>
    <w:rsid w:val="00D94097"/>
    <w:rsid w:val="00D95DDC"/>
    <w:rsid w:val="00D96B60"/>
    <w:rsid w:val="00DA0634"/>
    <w:rsid w:val="00DA140E"/>
    <w:rsid w:val="00DA157D"/>
    <w:rsid w:val="00DA2CD4"/>
    <w:rsid w:val="00DA2EA0"/>
    <w:rsid w:val="00DA3E0A"/>
    <w:rsid w:val="00DA3E6F"/>
    <w:rsid w:val="00DA625F"/>
    <w:rsid w:val="00DA62C5"/>
    <w:rsid w:val="00DA7CB8"/>
    <w:rsid w:val="00DA7DA7"/>
    <w:rsid w:val="00DB0410"/>
    <w:rsid w:val="00DB0871"/>
    <w:rsid w:val="00DB0CB2"/>
    <w:rsid w:val="00DB2F1B"/>
    <w:rsid w:val="00DB345C"/>
    <w:rsid w:val="00DB4242"/>
    <w:rsid w:val="00DB7628"/>
    <w:rsid w:val="00DC08BC"/>
    <w:rsid w:val="00DC1F63"/>
    <w:rsid w:val="00DC231E"/>
    <w:rsid w:val="00DD0A7C"/>
    <w:rsid w:val="00DD1011"/>
    <w:rsid w:val="00DD4C80"/>
    <w:rsid w:val="00DD6E1D"/>
    <w:rsid w:val="00DE0178"/>
    <w:rsid w:val="00DE221F"/>
    <w:rsid w:val="00DE3A2A"/>
    <w:rsid w:val="00DE44D1"/>
    <w:rsid w:val="00DE55E6"/>
    <w:rsid w:val="00DE5DBB"/>
    <w:rsid w:val="00DE7488"/>
    <w:rsid w:val="00DE7A8E"/>
    <w:rsid w:val="00DF169D"/>
    <w:rsid w:val="00DF2181"/>
    <w:rsid w:val="00DF4495"/>
    <w:rsid w:val="00DF7217"/>
    <w:rsid w:val="00DF7AE1"/>
    <w:rsid w:val="00E008A3"/>
    <w:rsid w:val="00E013D0"/>
    <w:rsid w:val="00E0241F"/>
    <w:rsid w:val="00E03646"/>
    <w:rsid w:val="00E04482"/>
    <w:rsid w:val="00E044B7"/>
    <w:rsid w:val="00E04D37"/>
    <w:rsid w:val="00E05840"/>
    <w:rsid w:val="00E07968"/>
    <w:rsid w:val="00E07E5F"/>
    <w:rsid w:val="00E10BA8"/>
    <w:rsid w:val="00E10E2E"/>
    <w:rsid w:val="00E1204B"/>
    <w:rsid w:val="00E12448"/>
    <w:rsid w:val="00E14683"/>
    <w:rsid w:val="00E15678"/>
    <w:rsid w:val="00E15E6A"/>
    <w:rsid w:val="00E207DB"/>
    <w:rsid w:val="00E21EFB"/>
    <w:rsid w:val="00E2267F"/>
    <w:rsid w:val="00E23166"/>
    <w:rsid w:val="00E235D4"/>
    <w:rsid w:val="00E25FBA"/>
    <w:rsid w:val="00E270B7"/>
    <w:rsid w:val="00E27C9F"/>
    <w:rsid w:val="00E318E3"/>
    <w:rsid w:val="00E321E3"/>
    <w:rsid w:val="00E32C30"/>
    <w:rsid w:val="00E367D8"/>
    <w:rsid w:val="00E36A50"/>
    <w:rsid w:val="00E37B5A"/>
    <w:rsid w:val="00E41B22"/>
    <w:rsid w:val="00E433BB"/>
    <w:rsid w:val="00E43C87"/>
    <w:rsid w:val="00E44BDB"/>
    <w:rsid w:val="00E457BF"/>
    <w:rsid w:val="00E46FDC"/>
    <w:rsid w:val="00E47B6F"/>
    <w:rsid w:val="00E507D6"/>
    <w:rsid w:val="00E520C5"/>
    <w:rsid w:val="00E528EB"/>
    <w:rsid w:val="00E5370B"/>
    <w:rsid w:val="00E544E9"/>
    <w:rsid w:val="00E5680B"/>
    <w:rsid w:val="00E56811"/>
    <w:rsid w:val="00E56A3E"/>
    <w:rsid w:val="00E61122"/>
    <w:rsid w:val="00E6139F"/>
    <w:rsid w:val="00E61E1E"/>
    <w:rsid w:val="00E62387"/>
    <w:rsid w:val="00E64B3B"/>
    <w:rsid w:val="00E662E3"/>
    <w:rsid w:val="00E66303"/>
    <w:rsid w:val="00E66D08"/>
    <w:rsid w:val="00E67D97"/>
    <w:rsid w:val="00E71A05"/>
    <w:rsid w:val="00E73265"/>
    <w:rsid w:val="00E742BC"/>
    <w:rsid w:val="00E80AB0"/>
    <w:rsid w:val="00E819F2"/>
    <w:rsid w:val="00E838D5"/>
    <w:rsid w:val="00E8431A"/>
    <w:rsid w:val="00E8435E"/>
    <w:rsid w:val="00E845B9"/>
    <w:rsid w:val="00E87281"/>
    <w:rsid w:val="00E90B9D"/>
    <w:rsid w:val="00E923F1"/>
    <w:rsid w:val="00E93762"/>
    <w:rsid w:val="00E96A6F"/>
    <w:rsid w:val="00EA1B79"/>
    <w:rsid w:val="00EA222E"/>
    <w:rsid w:val="00EA42B1"/>
    <w:rsid w:val="00EA49A0"/>
    <w:rsid w:val="00EA4BDE"/>
    <w:rsid w:val="00EA569D"/>
    <w:rsid w:val="00EA6D03"/>
    <w:rsid w:val="00EB0D89"/>
    <w:rsid w:val="00EB1D3D"/>
    <w:rsid w:val="00EB3322"/>
    <w:rsid w:val="00EB3D8A"/>
    <w:rsid w:val="00EB4AF9"/>
    <w:rsid w:val="00EB6139"/>
    <w:rsid w:val="00EB711D"/>
    <w:rsid w:val="00EC0476"/>
    <w:rsid w:val="00EC2AA0"/>
    <w:rsid w:val="00EC71ED"/>
    <w:rsid w:val="00EC7486"/>
    <w:rsid w:val="00EC7719"/>
    <w:rsid w:val="00ED04F4"/>
    <w:rsid w:val="00ED2536"/>
    <w:rsid w:val="00ED27A5"/>
    <w:rsid w:val="00ED65FD"/>
    <w:rsid w:val="00ED6790"/>
    <w:rsid w:val="00ED6FBF"/>
    <w:rsid w:val="00ED7B38"/>
    <w:rsid w:val="00ED7D83"/>
    <w:rsid w:val="00EE0057"/>
    <w:rsid w:val="00EE0E84"/>
    <w:rsid w:val="00EE120A"/>
    <w:rsid w:val="00EE208F"/>
    <w:rsid w:val="00EE26F1"/>
    <w:rsid w:val="00EE308D"/>
    <w:rsid w:val="00EE44C9"/>
    <w:rsid w:val="00EE60E8"/>
    <w:rsid w:val="00EE6227"/>
    <w:rsid w:val="00EE7DEF"/>
    <w:rsid w:val="00EF087C"/>
    <w:rsid w:val="00EF2769"/>
    <w:rsid w:val="00EF366A"/>
    <w:rsid w:val="00EF4DF3"/>
    <w:rsid w:val="00EF77B0"/>
    <w:rsid w:val="00F02F28"/>
    <w:rsid w:val="00F0799D"/>
    <w:rsid w:val="00F111D4"/>
    <w:rsid w:val="00F12744"/>
    <w:rsid w:val="00F135A1"/>
    <w:rsid w:val="00F13F24"/>
    <w:rsid w:val="00F14025"/>
    <w:rsid w:val="00F1419E"/>
    <w:rsid w:val="00F1472A"/>
    <w:rsid w:val="00F15692"/>
    <w:rsid w:val="00F16AE1"/>
    <w:rsid w:val="00F16EEB"/>
    <w:rsid w:val="00F209D8"/>
    <w:rsid w:val="00F2575B"/>
    <w:rsid w:val="00F2648E"/>
    <w:rsid w:val="00F27ED1"/>
    <w:rsid w:val="00F30912"/>
    <w:rsid w:val="00F30CF8"/>
    <w:rsid w:val="00F31315"/>
    <w:rsid w:val="00F33B31"/>
    <w:rsid w:val="00F36621"/>
    <w:rsid w:val="00F36BFC"/>
    <w:rsid w:val="00F40408"/>
    <w:rsid w:val="00F40F13"/>
    <w:rsid w:val="00F41561"/>
    <w:rsid w:val="00F42301"/>
    <w:rsid w:val="00F42A20"/>
    <w:rsid w:val="00F42F5E"/>
    <w:rsid w:val="00F43B6E"/>
    <w:rsid w:val="00F43BA3"/>
    <w:rsid w:val="00F46297"/>
    <w:rsid w:val="00F46ABC"/>
    <w:rsid w:val="00F50F93"/>
    <w:rsid w:val="00F5172B"/>
    <w:rsid w:val="00F53655"/>
    <w:rsid w:val="00F53796"/>
    <w:rsid w:val="00F53C1E"/>
    <w:rsid w:val="00F55290"/>
    <w:rsid w:val="00F55956"/>
    <w:rsid w:val="00F56CA9"/>
    <w:rsid w:val="00F6071E"/>
    <w:rsid w:val="00F614AD"/>
    <w:rsid w:val="00F616C5"/>
    <w:rsid w:val="00F62CFC"/>
    <w:rsid w:val="00F639E2"/>
    <w:rsid w:val="00F65284"/>
    <w:rsid w:val="00F65C94"/>
    <w:rsid w:val="00F65E75"/>
    <w:rsid w:val="00F70985"/>
    <w:rsid w:val="00F711FF"/>
    <w:rsid w:val="00F71512"/>
    <w:rsid w:val="00F72048"/>
    <w:rsid w:val="00F73344"/>
    <w:rsid w:val="00F74363"/>
    <w:rsid w:val="00F74FA5"/>
    <w:rsid w:val="00F7658C"/>
    <w:rsid w:val="00F769FF"/>
    <w:rsid w:val="00F77E6A"/>
    <w:rsid w:val="00F80CAF"/>
    <w:rsid w:val="00F81D93"/>
    <w:rsid w:val="00F82D16"/>
    <w:rsid w:val="00F831FB"/>
    <w:rsid w:val="00F86541"/>
    <w:rsid w:val="00F86C62"/>
    <w:rsid w:val="00F87B17"/>
    <w:rsid w:val="00F9012E"/>
    <w:rsid w:val="00F907B5"/>
    <w:rsid w:val="00F909C5"/>
    <w:rsid w:val="00F909CD"/>
    <w:rsid w:val="00F914CA"/>
    <w:rsid w:val="00F91B52"/>
    <w:rsid w:val="00F93164"/>
    <w:rsid w:val="00F93332"/>
    <w:rsid w:val="00F936BE"/>
    <w:rsid w:val="00F940A3"/>
    <w:rsid w:val="00F9413F"/>
    <w:rsid w:val="00F94A2D"/>
    <w:rsid w:val="00F94D21"/>
    <w:rsid w:val="00F94F18"/>
    <w:rsid w:val="00F9640F"/>
    <w:rsid w:val="00FA0618"/>
    <w:rsid w:val="00FA0A14"/>
    <w:rsid w:val="00FA11D0"/>
    <w:rsid w:val="00FA14EB"/>
    <w:rsid w:val="00FA344A"/>
    <w:rsid w:val="00FA39DE"/>
    <w:rsid w:val="00FA406D"/>
    <w:rsid w:val="00FA44DE"/>
    <w:rsid w:val="00FA4570"/>
    <w:rsid w:val="00FA690F"/>
    <w:rsid w:val="00FB066B"/>
    <w:rsid w:val="00FB3748"/>
    <w:rsid w:val="00FB5056"/>
    <w:rsid w:val="00FB54EC"/>
    <w:rsid w:val="00FB70A9"/>
    <w:rsid w:val="00FB7A9F"/>
    <w:rsid w:val="00FC015B"/>
    <w:rsid w:val="00FC019D"/>
    <w:rsid w:val="00FC19A6"/>
    <w:rsid w:val="00FC263E"/>
    <w:rsid w:val="00FC3C87"/>
    <w:rsid w:val="00FC4857"/>
    <w:rsid w:val="00FC6FBB"/>
    <w:rsid w:val="00FD0192"/>
    <w:rsid w:val="00FD0CB0"/>
    <w:rsid w:val="00FD1315"/>
    <w:rsid w:val="00FD19F3"/>
    <w:rsid w:val="00FD3093"/>
    <w:rsid w:val="00FD61F8"/>
    <w:rsid w:val="00FD7BD8"/>
    <w:rsid w:val="00FE1536"/>
    <w:rsid w:val="00FE25EE"/>
    <w:rsid w:val="00FE370D"/>
    <w:rsid w:val="00FE3860"/>
    <w:rsid w:val="00FE4491"/>
    <w:rsid w:val="00FE4CA9"/>
    <w:rsid w:val="00FE5718"/>
    <w:rsid w:val="00FE68CD"/>
    <w:rsid w:val="00FE6E18"/>
    <w:rsid w:val="00FF061A"/>
    <w:rsid w:val="00FF2137"/>
    <w:rsid w:val="00FF2D07"/>
    <w:rsid w:val="00FF3DA4"/>
    <w:rsid w:val="00FF50FB"/>
    <w:rsid w:val="00FF6A90"/>
    <w:rsid w:val="00FF6B6F"/>
    <w:rsid w:val="00FF6B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caption" w:qFormat="1"/>
    <w:lsdException w:name="table of figures"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D12B3"/>
    <w:pPr>
      <w:numPr>
        <w:ilvl w:val="2"/>
      </w:numPr>
      <w:spacing w:before="240" w:line="276" w:lineRule="auto"/>
      <w:outlineLvl w:val="2"/>
    </w:pPr>
    <w:rPr>
      <w:rFonts w:ascii="Franklin Gothic Book" w:hAnsi="Franklin Gothic Book"/>
      <w:b/>
      <w:color w:val="124486"/>
      <w:sz w:val="22"/>
      <w:szCs w:val="22"/>
      <w:lang w:eastAsia="zh-CN"/>
    </w:rPr>
  </w:style>
  <w:style w:type="paragraph" w:styleId="Heading4">
    <w:name w:val="heading 4"/>
    <w:basedOn w:val="Normal"/>
    <w:next w:val="BodyText"/>
    <w:link w:val="Heading4Char"/>
    <w:qFormat/>
    <w:rsid w:val="00C37E40"/>
    <w:pPr>
      <w:outlineLvl w:val="3"/>
    </w:pPr>
    <w:rPr>
      <w:rFonts w:ascii="Franklin Gothic Book" w:hAnsi="Franklin Gothic Book"/>
      <w:b/>
      <w:sz w:val="21"/>
      <w:lang w:eastAsia="zh-CN"/>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D12B3"/>
    <w:rPr>
      <w:rFonts w:ascii="Franklin Gothic Book" w:eastAsia="Times New Roman" w:hAnsi="Franklin Gothic Book" w:cs="Arial"/>
      <w:b/>
      <w:color w:val="124486"/>
      <w:kern w:val="28"/>
      <w:lang w:eastAsia="zh-CN"/>
    </w:rPr>
  </w:style>
  <w:style w:type="character" w:customStyle="1" w:styleId="Heading4Char">
    <w:name w:val="Heading 4 Char"/>
    <w:basedOn w:val="DefaultParagraphFont"/>
    <w:link w:val="Heading4"/>
    <w:rsid w:val="00C37E40"/>
    <w:rPr>
      <w:rFonts w:ascii="Franklin Gothic Book" w:eastAsia="SimSun" w:hAnsi="Franklin Gothic Book" w:cs="Times New Roman"/>
      <w:b/>
      <w:sz w:val="21"/>
      <w:szCs w:val="24"/>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DB7628"/>
    <w:pPr>
      <w:spacing w:after="120" w:line="240" w:lineRule="auto"/>
      <w:jc w:val="both"/>
    </w:pPr>
    <w:rPr>
      <w:rFonts w:ascii="Franklin Gothic Book" w:hAnsi="Franklin Gothic Book" w:cstheme="minorHAnsi"/>
      <w:b/>
      <w:iCs w:val="0"/>
      <w:sz w:val="21"/>
      <w:szCs w:val="21"/>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Normal + Font:9 Point,Superscript 3 Point Times,(NECG) Footnote Reference,Ref,de nota al pie,FnR-ANZDEC,Fußnotenzeichen DISS,fr,16 Point,Superscript 6 Point,Footnote Ref in FtNote,SUPERS,Footnote text,BVI fnr,BVI fnr Zchn Char"/>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2,Bulit List -  Paragraph,Main numbered paragraph,Numbered List Paragraph,L,CV text,F5 List Paragraph,Dot pt,Medium Grid 1 - Accent 21,Numbered Paragraph,List Paragraph1,Recommendation,List Paragraph11,Table text"/>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List Paragraph2 Char,Bulit List -  Paragraph Char,Main numbered paragraph Char,Numbered List Paragraph Char,L Char,CV text Char,F5 List Paragraph Char,Dot pt Char,Medium Grid 1 - Accent 21 Char,Numbered Paragraph Char,Table text Char"/>
    <w:link w:val="ListParagraph"/>
    <w:uiPriority w:val="34"/>
    <w:locked/>
    <w:rsid w:val="00F50F93"/>
    <w:rPr>
      <w:rFonts w:ascii="Times New Roman" w:eastAsia="Times New Roman" w:hAnsi="Times New Roman" w:cs="Times New Roman"/>
      <w:szCs w:val="24"/>
    </w:rPr>
  </w:style>
  <w:style w:type="table" w:customStyle="1" w:styleId="DFATTable1">
    <w:name w:val="DFAT Table1"/>
    <w:basedOn w:val="TableNormal"/>
    <w:uiPriority w:val="99"/>
    <w:rsid w:val="00F50F93"/>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AfterFirstPara">
    <w:name w:val="AfterFirstPara"/>
    <w:basedOn w:val="Normal"/>
    <w:rsid w:val="00235483"/>
    <w:pPr>
      <w:numPr>
        <w:numId w:val="26"/>
      </w:numPr>
      <w:spacing w:before="120" w:after="120"/>
    </w:pPr>
    <w:rPr>
      <w:rFonts w:eastAsia="Times New Roman"/>
      <w:sz w:val="24"/>
      <w:lang w:val="en-GB" w:eastAsia="zh-CN"/>
    </w:rPr>
  </w:style>
  <w:style w:type="paragraph" w:customStyle="1" w:styleId="TSSPbodytext">
    <w:name w:val="TSSP body text"/>
    <w:basedOn w:val="Normal"/>
    <w:link w:val="TSSPbodytextChar"/>
    <w:qFormat/>
    <w:rsid w:val="00E03646"/>
    <w:pPr>
      <w:spacing w:line="276" w:lineRule="auto"/>
    </w:pPr>
    <w:rPr>
      <w:rFonts w:ascii="Helvetica" w:eastAsia="Times New Roman" w:hAnsi="Helvetica"/>
      <w:sz w:val="22"/>
      <w:szCs w:val="22"/>
    </w:rPr>
  </w:style>
  <w:style w:type="character" w:customStyle="1" w:styleId="TSSPbodytextChar">
    <w:name w:val="TSSP body text Char"/>
    <w:link w:val="TSSPbodytext"/>
    <w:rsid w:val="00E03646"/>
    <w:rPr>
      <w:rFonts w:ascii="Helvetica" w:eastAsia="Times New Roman" w:hAnsi="Helvetica" w:cs="Times New Roman"/>
    </w:rPr>
  </w:style>
  <w:style w:type="paragraph" w:customStyle="1" w:styleId="H2">
    <w:name w:val="_H2"/>
    <w:basedOn w:val="Heading2"/>
    <w:link w:val="H2Char"/>
    <w:qFormat/>
    <w:rsid w:val="00E03646"/>
    <w:pPr>
      <w:tabs>
        <w:tab w:val="left" w:pos="993"/>
      </w:tabs>
      <w:spacing w:before="120" w:after="0" w:line="276" w:lineRule="auto"/>
      <w:ind w:left="794" w:hanging="794"/>
    </w:pPr>
    <w:rPr>
      <w:rFonts w:cs="Times New Roman"/>
      <w:b/>
      <w:bCs/>
      <w:noProof/>
      <w:color w:val="004990"/>
      <w:kern w:val="32"/>
      <w:sz w:val="28"/>
    </w:rPr>
  </w:style>
  <w:style w:type="character" w:customStyle="1" w:styleId="H2Char">
    <w:name w:val="_H2 Char"/>
    <w:basedOn w:val="DefaultParagraphFont"/>
    <w:link w:val="H2"/>
    <w:rsid w:val="00E03646"/>
    <w:rPr>
      <w:rFonts w:ascii="Helvetica" w:eastAsia="Times New Roman" w:hAnsi="Helvetica" w:cs="Times New Roman"/>
      <w:b/>
      <w:bCs/>
      <w:noProof/>
      <w:color w:val="004990"/>
      <w:kern w:val="32"/>
      <w:sz w:val="28"/>
      <w:szCs w:val="28"/>
    </w:rPr>
  </w:style>
  <w:style w:type="paragraph" w:customStyle="1" w:styleId="TSSPbullet">
    <w:name w:val="TSSP bullet"/>
    <w:basedOn w:val="ListParagraph"/>
    <w:link w:val="TSSPbulletChar"/>
    <w:qFormat/>
    <w:rsid w:val="00707814"/>
    <w:pPr>
      <w:numPr>
        <w:ilvl w:val="3"/>
        <w:numId w:val="29"/>
      </w:numPr>
      <w:spacing w:after="0" w:line="276" w:lineRule="auto"/>
      <w:contextualSpacing/>
    </w:pPr>
    <w:rPr>
      <w:rFonts w:ascii="Helvetica" w:hAnsi="Helvetica" w:cs="Helvetica"/>
      <w:szCs w:val="22"/>
    </w:rPr>
  </w:style>
  <w:style w:type="character" w:customStyle="1" w:styleId="TSSPbulletChar">
    <w:name w:val="TSSP bullet Char"/>
    <w:link w:val="TSSPbullet"/>
    <w:rsid w:val="00707814"/>
    <w:rPr>
      <w:rFonts w:ascii="Helvetica" w:eastAsia="Times New Roman" w:hAnsi="Helvetica" w:cs="Helvetica"/>
    </w:rPr>
  </w:style>
  <w:style w:type="paragraph" w:customStyle="1" w:styleId="Default">
    <w:name w:val="Default"/>
    <w:rsid w:val="000A1C03"/>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C22B12"/>
    <w:rPr>
      <w:b/>
      <w:bCs/>
    </w:rPr>
  </w:style>
  <w:style w:type="character" w:styleId="Emphasis">
    <w:name w:val="Emphasis"/>
    <w:basedOn w:val="DefaultParagraphFont"/>
    <w:uiPriority w:val="20"/>
    <w:qFormat/>
    <w:rsid w:val="00F156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caption" w:qFormat="1"/>
    <w:lsdException w:name="table of figures"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5D12B3"/>
    <w:pPr>
      <w:numPr>
        <w:ilvl w:val="2"/>
      </w:numPr>
      <w:spacing w:before="240" w:line="276" w:lineRule="auto"/>
      <w:outlineLvl w:val="2"/>
    </w:pPr>
    <w:rPr>
      <w:rFonts w:ascii="Franklin Gothic Book" w:hAnsi="Franklin Gothic Book"/>
      <w:b/>
      <w:color w:val="124486"/>
      <w:sz w:val="22"/>
      <w:szCs w:val="22"/>
      <w:lang w:eastAsia="zh-CN"/>
    </w:rPr>
  </w:style>
  <w:style w:type="paragraph" w:styleId="Heading4">
    <w:name w:val="heading 4"/>
    <w:basedOn w:val="Normal"/>
    <w:next w:val="BodyText"/>
    <w:link w:val="Heading4Char"/>
    <w:qFormat/>
    <w:rsid w:val="00C37E40"/>
    <w:pPr>
      <w:outlineLvl w:val="3"/>
    </w:pPr>
    <w:rPr>
      <w:rFonts w:ascii="Franklin Gothic Book" w:hAnsi="Franklin Gothic Book"/>
      <w:b/>
      <w:sz w:val="21"/>
      <w:lang w:eastAsia="zh-CN"/>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5D12B3"/>
    <w:rPr>
      <w:rFonts w:ascii="Franklin Gothic Book" w:eastAsia="Times New Roman" w:hAnsi="Franklin Gothic Book" w:cs="Arial"/>
      <w:b/>
      <w:color w:val="124486"/>
      <w:kern w:val="28"/>
      <w:lang w:eastAsia="zh-CN"/>
    </w:rPr>
  </w:style>
  <w:style w:type="character" w:customStyle="1" w:styleId="Heading4Char">
    <w:name w:val="Heading 4 Char"/>
    <w:basedOn w:val="DefaultParagraphFont"/>
    <w:link w:val="Heading4"/>
    <w:rsid w:val="00C37E40"/>
    <w:rPr>
      <w:rFonts w:ascii="Franklin Gothic Book" w:eastAsia="SimSun" w:hAnsi="Franklin Gothic Book" w:cs="Times New Roman"/>
      <w:b/>
      <w:sz w:val="21"/>
      <w:szCs w:val="24"/>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DB7628"/>
    <w:pPr>
      <w:spacing w:after="120" w:line="240" w:lineRule="auto"/>
      <w:jc w:val="both"/>
    </w:pPr>
    <w:rPr>
      <w:rFonts w:ascii="Franklin Gothic Book" w:hAnsi="Franklin Gothic Book" w:cstheme="minorHAnsi"/>
      <w:b/>
      <w:iCs w:val="0"/>
      <w:sz w:val="21"/>
      <w:szCs w:val="21"/>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rsid w:val="009E79EC"/>
    <w:pPr>
      <w:spacing w:line="240" w:lineRule="atLeast"/>
    </w:pPr>
    <w:rPr>
      <w:sz w:val="18"/>
      <w:szCs w:val="18"/>
    </w:rPr>
  </w:style>
  <w:style w:type="character" w:customStyle="1" w:styleId="CommentTextChar">
    <w:name w:val="Comment Text Char"/>
    <w:basedOn w:val="DefaultParagraphFont"/>
    <w:link w:val="CommentText"/>
    <w:uiPriority w:val="99"/>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tref,Normal + Font:9 Point,Superscript 3 Point Times,(NECG) Footnote Reference,Ref,de nota al pie,FnR-ANZDEC,Fußnotenzeichen DISS,fr,16 Point,Superscript 6 Point,Footnote Ref in FtNote,SUPERS,Footnote text,BVI fnr,BVI fnr Zchn Char"/>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2,Bulit List -  Paragraph,Main numbered paragraph,Numbered List Paragraph,L,CV text,F5 List Paragraph,Dot pt,Medium Grid 1 - Accent 21,Numbered Paragraph,List Paragraph1,Recommendation,List Paragraph11,Table text"/>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List Paragraph2 Char,Bulit List -  Paragraph Char,Main numbered paragraph Char,Numbered List Paragraph Char,L Char,CV text Char,F5 List Paragraph Char,Dot pt Char,Medium Grid 1 - Accent 21 Char,Numbered Paragraph Char,Table text Char"/>
    <w:link w:val="ListParagraph"/>
    <w:uiPriority w:val="34"/>
    <w:locked/>
    <w:rsid w:val="00F50F93"/>
    <w:rPr>
      <w:rFonts w:ascii="Times New Roman" w:eastAsia="Times New Roman" w:hAnsi="Times New Roman" w:cs="Times New Roman"/>
      <w:szCs w:val="24"/>
    </w:rPr>
  </w:style>
  <w:style w:type="table" w:customStyle="1" w:styleId="DFATTable1">
    <w:name w:val="DFAT Table1"/>
    <w:basedOn w:val="TableNormal"/>
    <w:uiPriority w:val="99"/>
    <w:rsid w:val="00F50F93"/>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paragraph" w:customStyle="1" w:styleId="AfterFirstPara">
    <w:name w:val="AfterFirstPara"/>
    <w:basedOn w:val="Normal"/>
    <w:rsid w:val="00235483"/>
    <w:pPr>
      <w:numPr>
        <w:numId w:val="26"/>
      </w:numPr>
      <w:spacing w:before="120" w:after="120"/>
    </w:pPr>
    <w:rPr>
      <w:rFonts w:eastAsia="Times New Roman"/>
      <w:sz w:val="24"/>
      <w:lang w:val="en-GB" w:eastAsia="zh-CN"/>
    </w:rPr>
  </w:style>
  <w:style w:type="paragraph" w:customStyle="1" w:styleId="TSSPbodytext">
    <w:name w:val="TSSP body text"/>
    <w:basedOn w:val="Normal"/>
    <w:link w:val="TSSPbodytextChar"/>
    <w:qFormat/>
    <w:rsid w:val="00E03646"/>
    <w:pPr>
      <w:spacing w:line="276" w:lineRule="auto"/>
    </w:pPr>
    <w:rPr>
      <w:rFonts w:ascii="Helvetica" w:eastAsia="Times New Roman" w:hAnsi="Helvetica"/>
      <w:sz w:val="22"/>
      <w:szCs w:val="22"/>
    </w:rPr>
  </w:style>
  <w:style w:type="character" w:customStyle="1" w:styleId="TSSPbodytextChar">
    <w:name w:val="TSSP body text Char"/>
    <w:link w:val="TSSPbodytext"/>
    <w:rsid w:val="00E03646"/>
    <w:rPr>
      <w:rFonts w:ascii="Helvetica" w:eastAsia="Times New Roman" w:hAnsi="Helvetica" w:cs="Times New Roman"/>
    </w:rPr>
  </w:style>
  <w:style w:type="paragraph" w:customStyle="1" w:styleId="H2">
    <w:name w:val="_H2"/>
    <w:basedOn w:val="Heading2"/>
    <w:link w:val="H2Char"/>
    <w:qFormat/>
    <w:rsid w:val="00E03646"/>
    <w:pPr>
      <w:tabs>
        <w:tab w:val="left" w:pos="993"/>
      </w:tabs>
      <w:spacing w:before="120" w:after="0" w:line="276" w:lineRule="auto"/>
      <w:ind w:left="794" w:hanging="794"/>
    </w:pPr>
    <w:rPr>
      <w:rFonts w:cs="Times New Roman"/>
      <w:b/>
      <w:bCs/>
      <w:noProof/>
      <w:color w:val="004990"/>
      <w:kern w:val="32"/>
      <w:sz w:val="28"/>
    </w:rPr>
  </w:style>
  <w:style w:type="character" w:customStyle="1" w:styleId="H2Char">
    <w:name w:val="_H2 Char"/>
    <w:basedOn w:val="DefaultParagraphFont"/>
    <w:link w:val="H2"/>
    <w:rsid w:val="00E03646"/>
    <w:rPr>
      <w:rFonts w:ascii="Helvetica" w:eastAsia="Times New Roman" w:hAnsi="Helvetica" w:cs="Times New Roman"/>
      <w:b/>
      <w:bCs/>
      <w:noProof/>
      <w:color w:val="004990"/>
      <w:kern w:val="32"/>
      <w:sz w:val="28"/>
      <w:szCs w:val="28"/>
    </w:rPr>
  </w:style>
  <w:style w:type="paragraph" w:customStyle="1" w:styleId="TSSPbullet">
    <w:name w:val="TSSP bullet"/>
    <w:basedOn w:val="ListParagraph"/>
    <w:link w:val="TSSPbulletChar"/>
    <w:qFormat/>
    <w:rsid w:val="00707814"/>
    <w:pPr>
      <w:numPr>
        <w:ilvl w:val="3"/>
        <w:numId w:val="29"/>
      </w:numPr>
      <w:spacing w:after="0" w:line="276" w:lineRule="auto"/>
      <w:contextualSpacing/>
    </w:pPr>
    <w:rPr>
      <w:rFonts w:ascii="Helvetica" w:hAnsi="Helvetica" w:cs="Helvetica"/>
      <w:szCs w:val="22"/>
    </w:rPr>
  </w:style>
  <w:style w:type="character" w:customStyle="1" w:styleId="TSSPbulletChar">
    <w:name w:val="TSSP bullet Char"/>
    <w:link w:val="TSSPbullet"/>
    <w:rsid w:val="00707814"/>
    <w:rPr>
      <w:rFonts w:ascii="Helvetica" w:eastAsia="Times New Roman" w:hAnsi="Helvetica" w:cs="Helvetica"/>
    </w:rPr>
  </w:style>
  <w:style w:type="paragraph" w:customStyle="1" w:styleId="Default">
    <w:name w:val="Default"/>
    <w:rsid w:val="000A1C03"/>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C22B12"/>
    <w:rPr>
      <w:b/>
      <w:bCs/>
    </w:rPr>
  </w:style>
  <w:style w:type="character" w:styleId="Emphasis">
    <w:name w:val="Emphasis"/>
    <w:basedOn w:val="DefaultParagraphFont"/>
    <w:uiPriority w:val="20"/>
    <w:qFormat/>
    <w:rsid w:val="00F15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9325">
      <w:bodyDiv w:val="1"/>
      <w:marLeft w:val="0"/>
      <w:marRight w:val="0"/>
      <w:marTop w:val="0"/>
      <w:marBottom w:val="0"/>
      <w:divBdr>
        <w:top w:val="none" w:sz="0" w:space="0" w:color="auto"/>
        <w:left w:val="none" w:sz="0" w:space="0" w:color="auto"/>
        <w:bottom w:val="none" w:sz="0" w:space="0" w:color="auto"/>
        <w:right w:val="none" w:sz="0" w:space="0" w:color="auto"/>
      </w:divBdr>
    </w:div>
    <w:div w:id="127430658">
      <w:bodyDiv w:val="1"/>
      <w:marLeft w:val="0"/>
      <w:marRight w:val="0"/>
      <w:marTop w:val="0"/>
      <w:marBottom w:val="0"/>
      <w:divBdr>
        <w:top w:val="none" w:sz="0" w:space="0" w:color="auto"/>
        <w:left w:val="none" w:sz="0" w:space="0" w:color="auto"/>
        <w:bottom w:val="none" w:sz="0" w:space="0" w:color="auto"/>
        <w:right w:val="none" w:sz="0" w:space="0" w:color="auto"/>
      </w:divBdr>
    </w:div>
    <w:div w:id="135029358">
      <w:bodyDiv w:val="1"/>
      <w:marLeft w:val="0"/>
      <w:marRight w:val="0"/>
      <w:marTop w:val="0"/>
      <w:marBottom w:val="0"/>
      <w:divBdr>
        <w:top w:val="none" w:sz="0" w:space="0" w:color="auto"/>
        <w:left w:val="none" w:sz="0" w:space="0" w:color="auto"/>
        <w:bottom w:val="none" w:sz="0" w:space="0" w:color="auto"/>
        <w:right w:val="none" w:sz="0" w:space="0" w:color="auto"/>
      </w:divBdr>
    </w:div>
    <w:div w:id="148442470">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258564840">
      <w:bodyDiv w:val="1"/>
      <w:marLeft w:val="0"/>
      <w:marRight w:val="0"/>
      <w:marTop w:val="0"/>
      <w:marBottom w:val="0"/>
      <w:divBdr>
        <w:top w:val="none" w:sz="0" w:space="0" w:color="auto"/>
        <w:left w:val="none" w:sz="0" w:space="0" w:color="auto"/>
        <w:bottom w:val="none" w:sz="0" w:space="0" w:color="auto"/>
        <w:right w:val="none" w:sz="0" w:space="0" w:color="auto"/>
      </w:divBdr>
    </w:div>
    <w:div w:id="316342473">
      <w:bodyDiv w:val="1"/>
      <w:marLeft w:val="0"/>
      <w:marRight w:val="0"/>
      <w:marTop w:val="0"/>
      <w:marBottom w:val="0"/>
      <w:divBdr>
        <w:top w:val="none" w:sz="0" w:space="0" w:color="auto"/>
        <w:left w:val="none" w:sz="0" w:space="0" w:color="auto"/>
        <w:bottom w:val="none" w:sz="0" w:space="0" w:color="auto"/>
        <w:right w:val="none" w:sz="0" w:space="0" w:color="auto"/>
      </w:divBdr>
    </w:div>
    <w:div w:id="328557439">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38737414">
      <w:bodyDiv w:val="1"/>
      <w:marLeft w:val="0"/>
      <w:marRight w:val="0"/>
      <w:marTop w:val="0"/>
      <w:marBottom w:val="0"/>
      <w:divBdr>
        <w:top w:val="none" w:sz="0" w:space="0" w:color="auto"/>
        <w:left w:val="none" w:sz="0" w:space="0" w:color="auto"/>
        <w:bottom w:val="none" w:sz="0" w:space="0" w:color="auto"/>
        <w:right w:val="none" w:sz="0" w:space="0" w:color="auto"/>
      </w:divBdr>
    </w:div>
    <w:div w:id="582570256">
      <w:bodyDiv w:val="1"/>
      <w:marLeft w:val="0"/>
      <w:marRight w:val="0"/>
      <w:marTop w:val="0"/>
      <w:marBottom w:val="0"/>
      <w:divBdr>
        <w:top w:val="none" w:sz="0" w:space="0" w:color="auto"/>
        <w:left w:val="none" w:sz="0" w:space="0" w:color="auto"/>
        <w:bottom w:val="none" w:sz="0" w:space="0" w:color="auto"/>
        <w:right w:val="none" w:sz="0" w:space="0" w:color="auto"/>
      </w:divBdr>
    </w:div>
    <w:div w:id="650330778">
      <w:bodyDiv w:val="1"/>
      <w:marLeft w:val="0"/>
      <w:marRight w:val="0"/>
      <w:marTop w:val="0"/>
      <w:marBottom w:val="0"/>
      <w:divBdr>
        <w:top w:val="none" w:sz="0" w:space="0" w:color="auto"/>
        <w:left w:val="none" w:sz="0" w:space="0" w:color="auto"/>
        <w:bottom w:val="none" w:sz="0" w:space="0" w:color="auto"/>
        <w:right w:val="none" w:sz="0" w:space="0" w:color="auto"/>
      </w:divBdr>
    </w:div>
    <w:div w:id="735397050">
      <w:bodyDiv w:val="1"/>
      <w:marLeft w:val="0"/>
      <w:marRight w:val="0"/>
      <w:marTop w:val="0"/>
      <w:marBottom w:val="0"/>
      <w:divBdr>
        <w:top w:val="none" w:sz="0" w:space="0" w:color="auto"/>
        <w:left w:val="none" w:sz="0" w:space="0" w:color="auto"/>
        <w:bottom w:val="none" w:sz="0" w:space="0" w:color="auto"/>
        <w:right w:val="none" w:sz="0" w:space="0" w:color="auto"/>
      </w:divBdr>
    </w:div>
    <w:div w:id="735929733">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01850002">
      <w:bodyDiv w:val="1"/>
      <w:marLeft w:val="0"/>
      <w:marRight w:val="0"/>
      <w:marTop w:val="0"/>
      <w:marBottom w:val="0"/>
      <w:divBdr>
        <w:top w:val="none" w:sz="0" w:space="0" w:color="auto"/>
        <w:left w:val="none" w:sz="0" w:space="0" w:color="auto"/>
        <w:bottom w:val="none" w:sz="0" w:space="0" w:color="auto"/>
        <w:right w:val="none" w:sz="0" w:space="0" w:color="auto"/>
      </w:divBdr>
    </w:div>
    <w:div w:id="835153432">
      <w:bodyDiv w:val="1"/>
      <w:marLeft w:val="0"/>
      <w:marRight w:val="0"/>
      <w:marTop w:val="0"/>
      <w:marBottom w:val="0"/>
      <w:divBdr>
        <w:top w:val="none" w:sz="0" w:space="0" w:color="auto"/>
        <w:left w:val="none" w:sz="0" w:space="0" w:color="auto"/>
        <w:bottom w:val="none" w:sz="0" w:space="0" w:color="auto"/>
        <w:right w:val="none" w:sz="0" w:space="0" w:color="auto"/>
      </w:divBdr>
    </w:div>
    <w:div w:id="839976166">
      <w:bodyDiv w:val="1"/>
      <w:marLeft w:val="0"/>
      <w:marRight w:val="0"/>
      <w:marTop w:val="0"/>
      <w:marBottom w:val="0"/>
      <w:divBdr>
        <w:top w:val="none" w:sz="0" w:space="0" w:color="auto"/>
        <w:left w:val="none" w:sz="0" w:space="0" w:color="auto"/>
        <w:bottom w:val="none" w:sz="0" w:space="0" w:color="auto"/>
        <w:right w:val="none" w:sz="0" w:space="0" w:color="auto"/>
      </w:divBdr>
    </w:div>
    <w:div w:id="847207513">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55341546">
      <w:bodyDiv w:val="1"/>
      <w:marLeft w:val="0"/>
      <w:marRight w:val="0"/>
      <w:marTop w:val="0"/>
      <w:marBottom w:val="0"/>
      <w:divBdr>
        <w:top w:val="none" w:sz="0" w:space="0" w:color="auto"/>
        <w:left w:val="none" w:sz="0" w:space="0" w:color="auto"/>
        <w:bottom w:val="none" w:sz="0" w:space="0" w:color="auto"/>
        <w:right w:val="none" w:sz="0" w:space="0" w:color="auto"/>
      </w:divBdr>
    </w:div>
    <w:div w:id="856503141">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893589055">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622493">
      <w:bodyDiv w:val="1"/>
      <w:marLeft w:val="0"/>
      <w:marRight w:val="0"/>
      <w:marTop w:val="0"/>
      <w:marBottom w:val="0"/>
      <w:divBdr>
        <w:top w:val="none" w:sz="0" w:space="0" w:color="auto"/>
        <w:left w:val="none" w:sz="0" w:space="0" w:color="auto"/>
        <w:bottom w:val="none" w:sz="0" w:space="0" w:color="auto"/>
        <w:right w:val="none" w:sz="0" w:space="0" w:color="auto"/>
      </w:divBdr>
    </w:div>
    <w:div w:id="973679871">
      <w:bodyDiv w:val="1"/>
      <w:marLeft w:val="0"/>
      <w:marRight w:val="0"/>
      <w:marTop w:val="0"/>
      <w:marBottom w:val="0"/>
      <w:divBdr>
        <w:top w:val="none" w:sz="0" w:space="0" w:color="auto"/>
        <w:left w:val="none" w:sz="0" w:space="0" w:color="auto"/>
        <w:bottom w:val="none" w:sz="0" w:space="0" w:color="auto"/>
        <w:right w:val="none" w:sz="0" w:space="0" w:color="auto"/>
      </w:divBdr>
    </w:div>
    <w:div w:id="991640544">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18140139">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39174133">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01812398">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52899234">
      <w:bodyDiv w:val="1"/>
      <w:marLeft w:val="0"/>
      <w:marRight w:val="0"/>
      <w:marTop w:val="0"/>
      <w:marBottom w:val="0"/>
      <w:divBdr>
        <w:top w:val="none" w:sz="0" w:space="0" w:color="auto"/>
        <w:left w:val="none" w:sz="0" w:space="0" w:color="auto"/>
        <w:bottom w:val="none" w:sz="0" w:space="0" w:color="auto"/>
        <w:right w:val="none" w:sz="0" w:space="0" w:color="auto"/>
      </w:divBdr>
    </w:div>
    <w:div w:id="1503474374">
      <w:bodyDiv w:val="1"/>
      <w:marLeft w:val="0"/>
      <w:marRight w:val="0"/>
      <w:marTop w:val="0"/>
      <w:marBottom w:val="0"/>
      <w:divBdr>
        <w:top w:val="none" w:sz="0" w:space="0" w:color="auto"/>
        <w:left w:val="none" w:sz="0" w:space="0" w:color="auto"/>
        <w:bottom w:val="none" w:sz="0" w:space="0" w:color="auto"/>
        <w:right w:val="none" w:sz="0" w:space="0" w:color="auto"/>
      </w:divBdr>
    </w:div>
    <w:div w:id="1504585131">
      <w:bodyDiv w:val="1"/>
      <w:marLeft w:val="0"/>
      <w:marRight w:val="0"/>
      <w:marTop w:val="0"/>
      <w:marBottom w:val="0"/>
      <w:divBdr>
        <w:top w:val="none" w:sz="0" w:space="0" w:color="auto"/>
        <w:left w:val="none" w:sz="0" w:space="0" w:color="auto"/>
        <w:bottom w:val="none" w:sz="0" w:space="0" w:color="auto"/>
        <w:right w:val="none" w:sz="0" w:space="0" w:color="auto"/>
      </w:divBdr>
    </w:div>
    <w:div w:id="1563440830">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680457">
      <w:bodyDiv w:val="1"/>
      <w:marLeft w:val="0"/>
      <w:marRight w:val="0"/>
      <w:marTop w:val="0"/>
      <w:marBottom w:val="0"/>
      <w:divBdr>
        <w:top w:val="none" w:sz="0" w:space="0" w:color="auto"/>
        <w:left w:val="none" w:sz="0" w:space="0" w:color="auto"/>
        <w:bottom w:val="none" w:sz="0" w:space="0" w:color="auto"/>
        <w:right w:val="none" w:sz="0" w:space="0" w:color="auto"/>
      </w:divBdr>
    </w:div>
    <w:div w:id="1764186555">
      <w:bodyDiv w:val="1"/>
      <w:marLeft w:val="0"/>
      <w:marRight w:val="0"/>
      <w:marTop w:val="0"/>
      <w:marBottom w:val="0"/>
      <w:divBdr>
        <w:top w:val="none" w:sz="0" w:space="0" w:color="auto"/>
        <w:left w:val="none" w:sz="0" w:space="0" w:color="auto"/>
        <w:bottom w:val="none" w:sz="0" w:space="0" w:color="auto"/>
        <w:right w:val="none" w:sz="0" w:space="0" w:color="auto"/>
      </w:divBdr>
    </w:div>
    <w:div w:id="1827239063">
      <w:bodyDiv w:val="1"/>
      <w:marLeft w:val="0"/>
      <w:marRight w:val="0"/>
      <w:marTop w:val="0"/>
      <w:marBottom w:val="0"/>
      <w:divBdr>
        <w:top w:val="none" w:sz="0" w:space="0" w:color="auto"/>
        <w:left w:val="none" w:sz="0" w:space="0" w:color="auto"/>
        <w:bottom w:val="none" w:sz="0" w:space="0" w:color="auto"/>
        <w:right w:val="none" w:sz="0" w:space="0" w:color="auto"/>
      </w:divBdr>
    </w:div>
    <w:div w:id="1845780668">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00159583">
      <w:bodyDiv w:val="1"/>
      <w:marLeft w:val="0"/>
      <w:marRight w:val="0"/>
      <w:marTop w:val="0"/>
      <w:marBottom w:val="0"/>
      <w:divBdr>
        <w:top w:val="none" w:sz="0" w:space="0" w:color="auto"/>
        <w:left w:val="none" w:sz="0" w:space="0" w:color="auto"/>
        <w:bottom w:val="none" w:sz="0" w:space="0" w:color="auto"/>
        <w:right w:val="none" w:sz="0" w:space="0" w:color="auto"/>
      </w:divBdr>
    </w:div>
    <w:div w:id="2004700022">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fat.gov.au/about-us/publications/Pages/australian-aid-promoting-prosperity-reducing-poverty-enhancing-stability.aspx" TargetMode="Externa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dfat.gov.au/geo/papua-new-guinea/development-assistance/Pages/a-new-direction-for-australian-aid-in-png-refocusing-australian-aid-to-help-unlock-pngs-economic-potential.aspx" TargetMode="External"/><Relationship Id="rId17" Type="http://schemas.openxmlformats.org/officeDocument/2006/relationships/hyperlink" Target="http://dfat.gov.au/about-us/publications/Pages/papua-new-guinea-alotau-accord-summary-oneill-gov-priorities.aspx" TargetMode="External"/><Relationship Id="rId25" Type="http://schemas.openxmlformats.org/officeDocument/2006/relationships/header" Target="header3.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un.org/millenniumgoals/" TargetMode="External"/><Relationship Id="rId20" Type="http://schemas.openxmlformats.org/officeDocument/2006/relationships/hyperlink" Target="http://www.doingbusiness.org/reports/global-reports/doing-business-2015"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fat.gov.au/geo/papua-new-guinea/Pages/joint-understanding-between-australia-and-papua-new-guinea-on-further-bilateral-cooperation-on-health-education-and-law-and.aspx"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ning.gov.pg/images/pdf/MTDP2.pdf"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dfat.gov.au/about-us/publications/Documents/png-partnership08.pdf" TargetMode="External"/><Relationship Id="rId19" Type="http://schemas.openxmlformats.org/officeDocument/2006/relationships/hyperlink" Target="http://www.planning.gov.pg/images/pdf/MTDP2.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dfat.gov.au/about-us/publications/Pages/aid-investment-plan-aip-papua-new-guinea-2015-16-to-2017-18.aspx"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customXml" Target="../customXml/item4.xml"/><Relationship Id="rId8" Type="http://schemas.openxmlformats.org/officeDocument/2006/relationships/endnotes" Target="endnotes.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28838-0C9C-47F8-8161-B3C31D629E8E}"/>
</file>

<file path=customXml/itemProps2.xml><?xml version="1.0" encoding="utf-8"?>
<ds:datastoreItem xmlns:ds="http://schemas.openxmlformats.org/officeDocument/2006/customXml" ds:itemID="{73A1F666-7156-4E33-8846-03B8C16FAC91}"/>
</file>

<file path=customXml/itemProps3.xml><?xml version="1.0" encoding="utf-8"?>
<ds:datastoreItem xmlns:ds="http://schemas.openxmlformats.org/officeDocument/2006/customXml" ds:itemID="{25BAF8A9-A3A5-4A14-BC33-2E47E35236F8}"/>
</file>

<file path=customXml/itemProps4.xml><?xml version="1.0" encoding="utf-8"?>
<ds:datastoreItem xmlns:ds="http://schemas.openxmlformats.org/officeDocument/2006/customXml" ds:itemID="{564FF3EC-C5BD-448C-B473-95F0E726986A}"/>
</file>

<file path=docProps/app.xml><?xml version="1.0" encoding="utf-8"?>
<Properties xmlns="http://schemas.openxmlformats.org/officeDocument/2006/extended-properties" xmlns:vt="http://schemas.openxmlformats.org/officeDocument/2006/docPropsVTypes">
  <Template>204D1D02</Template>
  <TotalTime>0</TotalTime>
  <Pages>37</Pages>
  <Words>16866</Words>
  <Characters>96138</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2015-10-30T02:48:00Z</dcterms:created>
  <dcterms:modified xsi:type="dcterms:W3CDTF">2015-10-30T02:48:00Z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980600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