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572C1" w14:textId="0EC57A24" w:rsidR="0087471E" w:rsidRDefault="0087471E" w:rsidP="0046693F">
      <w:pPr>
        <w:spacing w:after="0"/>
        <w:jc w:val="center"/>
        <w:rPr>
          <w:b/>
          <w:bCs/>
          <w:sz w:val="36"/>
          <w:szCs w:val="36"/>
        </w:rPr>
      </w:pPr>
      <w:r>
        <w:rPr>
          <w:b/>
          <w:bCs/>
          <w:sz w:val="36"/>
          <w:szCs w:val="36"/>
        </w:rPr>
        <w:t xml:space="preserve">Pacific Education, Skills and Labour Mobility: </w:t>
      </w:r>
      <w:r w:rsidR="002F25D6">
        <w:rPr>
          <w:b/>
          <w:bCs/>
          <w:sz w:val="36"/>
          <w:szCs w:val="36"/>
        </w:rPr>
        <w:t>N</w:t>
      </w:r>
      <w:r>
        <w:rPr>
          <w:b/>
          <w:bCs/>
          <w:sz w:val="36"/>
          <w:szCs w:val="36"/>
        </w:rPr>
        <w:t xml:space="preserve">ew </w:t>
      </w:r>
      <w:r w:rsidR="002F25D6">
        <w:rPr>
          <w:b/>
          <w:bCs/>
          <w:sz w:val="36"/>
          <w:szCs w:val="36"/>
        </w:rPr>
        <w:t>M</w:t>
      </w:r>
      <w:r>
        <w:rPr>
          <w:b/>
          <w:bCs/>
          <w:sz w:val="36"/>
          <w:szCs w:val="36"/>
        </w:rPr>
        <w:t>easures</w:t>
      </w:r>
    </w:p>
    <w:p w14:paraId="23E2E97C" w14:textId="6B22C741" w:rsidR="0087471E" w:rsidRDefault="00A663D2" w:rsidP="0046693F">
      <w:pPr>
        <w:spacing w:after="0"/>
        <w:jc w:val="center"/>
        <w:rPr>
          <w:b/>
          <w:bCs/>
          <w:sz w:val="36"/>
          <w:szCs w:val="36"/>
        </w:rPr>
      </w:pPr>
      <w:r>
        <w:rPr>
          <w:b/>
          <w:bCs/>
          <w:sz w:val="36"/>
          <w:szCs w:val="36"/>
        </w:rPr>
        <w:t>Increasing Pacific A</w:t>
      </w:r>
      <w:r w:rsidR="0087471E">
        <w:rPr>
          <w:b/>
          <w:bCs/>
          <w:sz w:val="36"/>
          <w:szCs w:val="36"/>
        </w:rPr>
        <w:t>ccess to Australia’s TSS Visa</w:t>
      </w:r>
      <w:r w:rsidR="00FE5D4C">
        <w:rPr>
          <w:b/>
          <w:bCs/>
          <w:sz w:val="36"/>
          <w:szCs w:val="36"/>
        </w:rPr>
        <w:t xml:space="preserve"> -</w:t>
      </w:r>
    </w:p>
    <w:p w14:paraId="5C5DA783" w14:textId="7B2188CA" w:rsidR="00A31E76" w:rsidRDefault="00EE41BE" w:rsidP="0046693F">
      <w:pPr>
        <w:spacing w:after="0"/>
        <w:jc w:val="center"/>
        <w:rPr>
          <w:b/>
          <w:bCs/>
          <w:sz w:val="36"/>
          <w:szCs w:val="36"/>
        </w:rPr>
      </w:pPr>
      <w:r w:rsidRPr="0087471E">
        <w:rPr>
          <w:b/>
          <w:bCs/>
          <w:sz w:val="36"/>
          <w:szCs w:val="36"/>
        </w:rPr>
        <w:t xml:space="preserve">Approach </w:t>
      </w:r>
      <w:r w:rsidR="00F31053">
        <w:rPr>
          <w:b/>
          <w:bCs/>
          <w:sz w:val="36"/>
          <w:szCs w:val="36"/>
        </w:rPr>
        <w:t>P</w:t>
      </w:r>
      <w:r w:rsidRPr="0087471E">
        <w:rPr>
          <w:b/>
          <w:bCs/>
          <w:sz w:val="36"/>
          <w:szCs w:val="36"/>
        </w:rPr>
        <w:t>aper</w:t>
      </w:r>
    </w:p>
    <w:p w14:paraId="5089B60D" w14:textId="30CB6F3C" w:rsidR="00920F60" w:rsidRDefault="00920F60" w:rsidP="0046693F">
      <w:pPr>
        <w:spacing w:after="0"/>
        <w:jc w:val="center"/>
        <w:rPr>
          <w:b/>
          <w:bCs/>
          <w:sz w:val="36"/>
          <w:szCs w:val="36"/>
        </w:rPr>
      </w:pPr>
    </w:p>
    <w:p w14:paraId="07772924" w14:textId="77777777" w:rsidR="00920F60" w:rsidRDefault="00920F60" w:rsidP="0046693F">
      <w:pPr>
        <w:spacing w:after="0"/>
        <w:jc w:val="center"/>
        <w:rPr>
          <w:b/>
          <w:bCs/>
          <w:sz w:val="36"/>
          <w:szCs w:val="36"/>
        </w:rPr>
      </w:pPr>
    </w:p>
    <w:p w14:paraId="5A0493C2" w14:textId="409170D6" w:rsidR="00920F60" w:rsidRPr="00920F60" w:rsidRDefault="00920F60" w:rsidP="0046693F">
      <w:pPr>
        <w:spacing w:after="0"/>
        <w:jc w:val="center"/>
        <w:rPr>
          <w:bCs/>
          <w:sz w:val="28"/>
          <w:szCs w:val="36"/>
        </w:rPr>
      </w:pPr>
      <w:r w:rsidRPr="00920F60">
        <w:rPr>
          <w:bCs/>
          <w:sz w:val="28"/>
          <w:szCs w:val="36"/>
        </w:rPr>
        <w:t>17 December 2021</w:t>
      </w:r>
    </w:p>
    <w:p w14:paraId="168D8B4E" w14:textId="380BC4E6" w:rsidR="00DE0501" w:rsidRDefault="00DE0501" w:rsidP="0046693F">
      <w:pPr>
        <w:spacing w:after="0"/>
        <w:jc w:val="center"/>
        <w:rPr>
          <w:b/>
          <w:bCs/>
          <w:sz w:val="36"/>
          <w:szCs w:val="36"/>
        </w:rPr>
      </w:pPr>
    </w:p>
    <w:p w14:paraId="368D83BF" w14:textId="77777777" w:rsidR="00DE0501" w:rsidRDefault="00DE0501" w:rsidP="0046693F">
      <w:pPr>
        <w:spacing w:after="0"/>
        <w:jc w:val="center"/>
        <w:rPr>
          <w:b/>
          <w:bCs/>
          <w:sz w:val="36"/>
          <w:szCs w:val="36"/>
        </w:rPr>
      </w:pPr>
    </w:p>
    <w:p w14:paraId="49B84CCC" w14:textId="77777777" w:rsidR="0087471E" w:rsidRPr="0087471E" w:rsidRDefault="0087471E" w:rsidP="0046693F">
      <w:pPr>
        <w:spacing w:after="0"/>
        <w:jc w:val="center"/>
        <w:rPr>
          <w:b/>
          <w:bCs/>
          <w:sz w:val="36"/>
          <w:szCs w:val="36"/>
        </w:rPr>
      </w:pPr>
    </w:p>
    <w:sdt>
      <w:sdtPr>
        <w:rPr>
          <w:rFonts w:asciiTheme="minorHAnsi" w:eastAsiaTheme="minorHAnsi" w:hAnsiTheme="minorHAnsi" w:cstheme="minorBidi"/>
          <w:color w:val="auto"/>
          <w:sz w:val="22"/>
          <w:szCs w:val="22"/>
          <w:lang w:val="en-AU"/>
        </w:rPr>
        <w:id w:val="-2089837531"/>
        <w:docPartObj>
          <w:docPartGallery w:val="Table of Contents"/>
          <w:docPartUnique/>
        </w:docPartObj>
      </w:sdtPr>
      <w:sdtEndPr>
        <w:rPr>
          <w:b/>
          <w:bCs/>
          <w:noProof/>
        </w:rPr>
      </w:sdtEndPr>
      <w:sdtContent>
        <w:p w14:paraId="236B4CD6" w14:textId="403437B4" w:rsidR="0087471E" w:rsidRDefault="0087471E" w:rsidP="0046693F">
          <w:pPr>
            <w:pStyle w:val="TOCHeading"/>
            <w:spacing w:before="0"/>
          </w:pPr>
          <w:r>
            <w:t>Contents</w:t>
          </w:r>
        </w:p>
        <w:p w14:paraId="5632789C" w14:textId="1F7AAB3B" w:rsidR="00456F3F" w:rsidRDefault="0087471E">
          <w:pPr>
            <w:pStyle w:val="TOC1"/>
            <w:rPr>
              <w:rFonts w:eastAsiaTheme="minorEastAsia"/>
              <w:noProof/>
              <w:lang w:eastAsia="en-AU"/>
            </w:rPr>
          </w:pPr>
          <w:r>
            <w:fldChar w:fldCharType="begin"/>
          </w:r>
          <w:r>
            <w:instrText xml:space="preserve"> TOC \o "1-3" \h \z \u </w:instrText>
          </w:r>
          <w:r>
            <w:fldChar w:fldCharType="separate"/>
          </w:r>
          <w:hyperlink w:anchor="_Toc90621503" w:history="1">
            <w:r w:rsidR="00456F3F" w:rsidRPr="00940563">
              <w:rPr>
                <w:rStyle w:val="Hyperlink"/>
                <w:b/>
                <w:bCs/>
                <w:noProof/>
              </w:rPr>
              <w:t>Executive summary</w:t>
            </w:r>
            <w:r w:rsidR="00456F3F">
              <w:rPr>
                <w:noProof/>
                <w:webHidden/>
              </w:rPr>
              <w:tab/>
            </w:r>
            <w:r w:rsidR="00456F3F">
              <w:rPr>
                <w:noProof/>
                <w:webHidden/>
              </w:rPr>
              <w:fldChar w:fldCharType="begin"/>
            </w:r>
            <w:r w:rsidR="00456F3F">
              <w:rPr>
                <w:noProof/>
                <w:webHidden/>
              </w:rPr>
              <w:instrText xml:space="preserve"> PAGEREF _Toc90621503 \h </w:instrText>
            </w:r>
            <w:r w:rsidR="00456F3F">
              <w:rPr>
                <w:noProof/>
                <w:webHidden/>
              </w:rPr>
            </w:r>
            <w:r w:rsidR="00456F3F">
              <w:rPr>
                <w:noProof/>
                <w:webHidden/>
              </w:rPr>
              <w:fldChar w:fldCharType="separate"/>
            </w:r>
            <w:r w:rsidR="00A663D2">
              <w:rPr>
                <w:noProof/>
                <w:webHidden/>
              </w:rPr>
              <w:t>1</w:t>
            </w:r>
            <w:r w:rsidR="00456F3F">
              <w:rPr>
                <w:noProof/>
                <w:webHidden/>
              </w:rPr>
              <w:fldChar w:fldCharType="end"/>
            </w:r>
          </w:hyperlink>
        </w:p>
        <w:p w14:paraId="6949CEFD" w14:textId="404FC6FD" w:rsidR="00456F3F" w:rsidRDefault="00383966">
          <w:pPr>
            <w:pStyle w:val="TOC1"/>
            <w:rPr>
              <w:rFonts w:eastAsiaTheme="minorEastAsia"/>
              <w:noProof/>
              <w:lang w:eastAsia="en-AU"/>
            </w:rPr>
          </w:pPr>
          <w:hyperlink w:anchor="_Toc90621504" w:history="1">
            <w:r w:rsidR="00456F3F" w:rsidRPr="00940563">
              <w:rPr>
                <w:rStyle w:val="Hyperlink"/>
                <w:b/>
                <w:bCs/>
                <w:noProof/>
              </w:rPr>
              <w:t>1. Introduction</w:t>
            </w:r>
            <w:r w:rsidR="00456F3F">
              <w:rPr>
                <w:noProof/>
                <w:webHidden/>
              </w:rPr>
              <w:tab/>
            </w:r>
            <w:r w:rsidR="00456F3F">
              <w:rPr>
                <w:noProof/>
                <w:webHidden/>
              </w:rPr>
              <w:fldChar w:fldCharType="begin"/>
            </w:r>
            <w:r w:rsidR="00456F3F">
              <w:rPr>
                <w:noProof/>
                <w:webHidden/>
              </w:rPr>
              <w:instrText xml:space="preserve"> PAGEREF _Toc90621504 \h </w:instrText>
            </w:r>
            <w:r w:rsidR="00456F3F">
              <w:rPr>
                <w:noProof/>
                <w:webHidden/>
              </w:rPr>
            </w:r>
            <w:r w:rsidR="00456F3F">
              <w:rPr>
                <w:noProof/>
                <w:webHidden/>
              </w:rPr>
              <w:fldChar w:fldCharType="separate"/>
            </w:r>
            <w:r w:rsidR="00A663D2">
              <w:rPr>
                <w:noProof/>
                <w:webHidden/>
              </w:rPr>
              <w:t>5</w:t>
            </w:r>
            <w:r w:rsidR="00456F3F">
              <w:rPr>
                <w:noProof/>
                <w:webHidden/>
              </w:rPr>
              <w:fldChar w:fldCharType="end"/>
            </w:r>
          </w:hyperlink>
        </w:p>
        <w:p w14:paraId="4F96A357" w14:textId="24B8B4C7" w:rsidR="00456F3F" w:rsidRDefault="00383966">
          <w:pPr>
            <w:pStyle w:val="TOC1"/>
            <w:rPr>
              <w:rFonts w:eastAsiaTheme="minorEastAsia"/>
              <w:noProof/>
              <w:lang w:eastAsia="en-AU"/>
            </w:rPr>
          </w:pPr>
          <w:hyperlink w:anchor="_Toc90621505" w:history="1">
            <w:r w:rsidR="00456F3F" w:rsidRPr="00940563">
              <w:rPr>
                <w:rStyle w:val="Hyperlink"/>
                <w:b/>
                <w:bCs/>
                <w:noProof/>
              </w:rPr>
              <w:t>2. PLS-TSS pathways</w:t>
            </w:r>
            <w:r w:rsidR="00456F3F">
              <w:rPr>
                <w:noProof/>
                <w:webHidden/>
              </w:rPr>
              <w:tab/>
            </w:r>
            <w:r w:rsidR="00456F3F">
              <w:rPr>
                <w:noProof/>
                <w:webHidden/>
              </w:rPr>
              <w:fldChar w:fldCharType="begin"/>
            </w:r>
            <w:r w:rsidR="00456F3F">
              <w:rPr>
                <w:noProof/>
                <w:webHidden/>
              </w:rPr>
              <w:instrText xml:space="preserve"> PAGEREF _Toc90621505 \h </w:instrText>
            </w:r>
            <w:r w:rsidR="00456F3F">
              <w:rPr>
                <w:noProof/>
                <w:webHidden/>
              </w:rPr>
            </w:r>
            <w:r w:rsidR="00456F3F">
              <w:rPr>
                <w:noProof/>
                <w:webHidden/>
              </w:rPr>
              <w:fldChar w:fldCharType="separate"/>
            </w:r>
            <w:r w:rsidR="00A663D2">
              <w:rPr>
                <w:noProof/>
                <w:webHidden/>
              </w:rPr>
              <w:t>6</w:t>
            </w:r>
            <w:r w:rsidR="00456F3F">
              <w:rPr>
                <w:noProof/>
                <w:webHidden/>
              </w:rPr>
              <w:fldChar w:fldCharType="end"/>
            </w:r>
          </w:hyperlink>
        </w:p>
        <w:p w14:paraId="61051BDE" w14:textId="47359CE2" w:rsidR="00456F3F" w:rsidRDefault="00383966">
          <w:pPr>
            <w:pStyle w:val="TOC2"/>
            <w:tabs>
              <w:tab w:val="right" w:leader="dot" w:pos="9016"/>
            </w:tabs>
            <w:rPr>
              <w:rFonts w:eastAsiaTheme="minorEastAsia"/>
              <w:noProof/>
              <w:lang w:eastAsia="en-AU"/>
            </w:rPr>
          </w:pPr>
          <w:hyperlink w:anchor="_Toc90621506" w:history="1">
            <w:r w:rsidR="00456F3F" w:rsidRPr="00940563">
              <w:rPr>
                <w:rStyle w:val="Hyperlink"/>
                <w:noProof/>
              </w:rPr>
              <w:t>(i) Meat workers</w:t>
            </w:r>
            <w:r w:rsidR="00456F3F">
              <w:rPr>
                <w:noProof/>
                <w:webHidden/>
              </w:rPr>
              <w:tab/>
            </w:r>
            <w:r w:rsidR="00456F3F">
              <w:rPr>
                <w:noProof/>
                <w:webHidden/>
              </w:rPr>
              <w:fldChar w:fldCharType="begin"/>
            </w:r>
            <w:r w:rsidR="00456F3F">
              <w:rPr>
                <w:noProof/>
                <w:webHidden/>
              </w:rPr>
              <w:instrText xml:space="preserve"> PAGEREF _Toc90621506 \h </w:instrText>
            </w:r>
            <w:r w:rsidR="00456F3F">
              <w:rPr>
                <w:noProof/>
                <w:webHidden/>
              </w:rPr>
            </w:r>
            <w:r w:rsidR="00456F3F">
              <w:rPr>
                <w:noProof/>
                <w:webHidden/>
              </w:rPr>
              <w:fldChar w:fldCharType="separate"/>
            </w:r>
            <w:r w:rsidR="00A663D2">
              <w:rPr>
                <w:noProof/>
                <w:webHidden/>
              </w:rPr>
              <w:t>8</w:t>
            </w:r>
            <w:r w:rsidR="00456F3F">
              <w:rPr>
                <w:noProof/>
                <w:webHidden/>
              </w:rPr>
              <w:fldChar w:fldCharType="end"/>
            </w:r>
          </w:hyperlink>
        </w:p>
        <w:p w14:paraId="1C0AF6A2" w14:textId="4E9C236F" w:rsidR="00456F3F" w:rsidRDefault="00383966">
          <w:pPr>
            <w:pStyle w:val="TOC2"/>
            <w:tabs>
              <w:tab w:val="right" w:leader="dot" w:pos="9016"/>
            </w:tabs>
            <w:rPr>
              <w:rFonts w:eastAsiaTheme="minorEastAsia"/>
              <w:noProof/>
              <w:lang w:eastAsia="en-AU"/>
            </w:rPr>
          </w:pPr>
          <w:hyperlink w:anchor="_Toc90621507" w:history="1">
            <w:r w:rsidR="00456F3F" w:rsidRPr="00940563">
              <w:rPr>
                <w:rStyle w:val="Hyperlink"/>
                <w:noProof/>
              </w:rPr>
              <w:t>(ii) Agricultural workers</w:t>
            </w:r>
            <w:r w:rsidR="00456F3F">
              <w:rPr>
                <w:noProof/>
                <w:webHidden/>
              </w:rPr>
              <w:tab/>
            </w:r>
            <w:r w:rsidR="00456F3F">
              <w:rPr>
                <w:noProof/>
                <w:webHidden/>
              </w:rPr>
              <w:fldChar w:fldCharType="begin"/>
            </w:r>
            <w:r w:rsidR="00456F3F">
              <w:rPr>
                <w:noProof/>
                <w:webHidden/>
              </w:rPr>
              <w:instrText xml:space="preserve"> PAGEREF _Toc90621507 \h </w:instrText>
            </w:r>
            <w:r w:rsidR="00456F3F">
              <w:rPr>
                <w:noProof/>
                <w:webHidden/>
              </w:rPr>
            </w:r>
            <w:r w:rsidR="00456F3F">
              <w:rPr>
                <w:noProof/>
                <w:webHidden/>
              </w:rPr>
              <w:fldChar w:fldCharType="separate"/>
            </w:r>
            <w:r w:rsidR="00A663D2">
              <w:rPr>
                <w:noProof/>
                <w:webHidden/>
              </w:rPr>
              <w:t>9</w:t>
            </w:r>
            <w:r w:rsidR="00456F3F">
              <w:rPr>
                <w:noProof/>
                <w:webHidden/>
              </w:rPr>
              <w:fldChar w:fldCharType="end"/>
            </w:r>
          </w:hyperlink>
        </w:p>
        <w:p w14:paraId="6BA4564D" w14:textId="71299DB8" w:rsidR="00456F3F" w:rsidRDefault="00383966">
          <w:pPr>
            <w:pStyle w:val="TOC2"/>
            <w:tabs>
              <w:tab w:val="right" w:leader="dot" w:pos="9016"/>
            </w:tabs>
            <w:rPr>
              <w:rFonts w:eastAsiaTheme="minorEastAsia"/>
              <w:noProof/>
              <w:lang w:eastAsia="en-AU"/>
            </w:rPr>
          </w:pPr>
          <w:hyperlink w:anchor="_Toc90621508" w:history="1">
            <w:r w:rsidR="00456F3F" w:rsidRPr="00940563">
              <w:rPr>
                <w:rStyle w:val="Hyperlink"/>
                <w:noProof/>
              </w:rPr>
              <w:t>(iii) Trades and cooks</w:t>
            </w:r>
            <w:r w:rsidR="00456F3F">
              <w:rPr>
                <w:noProof/>
                <w:webHidden/>
              </w:rPr>
              <w:tab/>
            </w:r>
            <w:r w:rsidR="00456F3F">
              <w:rPr>
                <w:noProof/>
                <w:webHidden/>
              </w:rPr>
              <w:fldChar w:fldCharType="begin"/>
            </w:r>
            <w:r w:rsidR="00456F3F">
              <w:rPr>
                <w:noProof/>
                <w:webHidden/>
              </w:rPr>
              <w:instrText xml:space="preserve"> PAGEREF _Toc90621508 \h </w:instrText>
            </w:r>
            <w:r w:rsidR="00456F3F">
              <w:rPr>
                <w:noProof/>
                <w:webHidden/>
              </w:rPr>
            </w:r>
            <w:r w:rsidR="00456F3F">
              <w:rPr>
                <w:noProof/>
                <w:webHidden/>
              </w:rPr>
              <w:fldChar w:fldCharType="separate"/>
            </w:r>
            <w:r w:rsidR="00A663D2">
              <w:rPr>
                <w:noProof/>
                <w:webHidden/>
              </w:rPr>
              <w:t>10</w:t>
            </w:r>
            <w:r w:rsidR="00456F3F">
              <w:rPr>
                <w:noProof/>
                <w:webHidden/>
              </w:rPr>
              <w:fldChar w:fldCharType="end"/>
            </w:r>
          </w:hyperlink>
        </w:p>
        <w:p w14:paraId="1A8FC3AF" w14:textId="333C153B" w:rsidR="00456F3F" w:rsidRDefault="00383966">
          <w:pPr>
            <w:pStyle w:val="TOC2"/>
            <w:tabs>
              <w:tab w:val="right" w:leader="dot" w:pos="9016"/>
            </w:tabs>
            <w:rPr>
              <w:rFonts w:eastAsiaTheme="minorEastAsia"/>
              <w:noProof/>
              <w:lang w:eastAsia="en-AU"/>
            </w:rPr>
          </w:pPr>
          <w:hyperlink w:anchor="_Toc90621509" w:history="1">
            <w:r w:rsidR="00456F3F" w:rsidRPr="00940563">
              <w:rPr>
                <w:rStyle w:val="Hyperlink"/>
                <w:noProof/>
              </w:rPr>
              <w:t>(iv) Carers and hospitality workers</w:t>
            </w:r>
            <w:r w:rsidR="00456F3F">
              <w:rPr>
                <w:noProof/>
                <w:webHidden/>
              </w:rPr>
              <w:tab/>
            </w:r>
            <w:r w:rsidR="00456F3F">
              <w:rPr>
                <w:noProof/>
                <w:webHidden/>
              </w:rPr>
              <w:fldChar w:fldCharType="begin"/>
            </w:r>
            <w:r w:rsidR="00456F3F">
              <w:rPr>
                <w:noProof/>
                <w:webHidden/>
              </w:rPr>
              <w:instrText xml:space="preserve"> PAGEREF _Toc90621509 \h </w:instrText>
            </w:r>
            <w:r w:rsidR="00456F3F">
              <w:rPr>
                <w:noProof/>
                <w:webHidden/>
              </w:rPr>
            </w:r>
            <w:r w:rsidR="00456F3F">
              <w:rPr>
                <w:noProof/>
                <w:webHidden/>
              </w:rPr>
              <w:fldChar w:fldCharType="separate"/>
            </w:r>
            <w:r w:rsidR="00A663D2">
              <w:rPr>
                <w:noProof/>
                <w:webHidden/>
              </w:rPr>
              <w:t>11</w:t>
            </w:r>
            <w:r w:rsidR="00456F3F">
              <w:rPr>
                <w:noProof/>
                <w:webHidden/>
              </w:rPr>
              <w:fldChar w:fldCharType="end"/>
            </w:r>
          </w:hyperlink>
        </w:p>
        <w:p w14:paraId="1852BFDB" w14:textId="67852049" w:rsidR="00456F3F" w:rsidRDefault="00383966">
          <w:pPr>
            <w:pStyle w:val="TOC1"/>
            <w:rPr>
              <w:rFonts w:eastAsiaTheme="minorEastAsia"/>
              <w:noProof/>
              <w:lang w:eastAsia="en-AU"/>
            </w:rPr>
          </w:pPr>
          <w:hyperlink w:anchor="_Toc90621510" w:history="1">
            <w:r w:rsidR="00456F3F" w:rsidRPr="00940563">
              <w:rPr>
                <w:rStyle w:val="Hyperlink"/>
                <w:b/>
                <w:bCs/>
                <w:noProof/>
              </w:rPr>
              <w:t>3. Offshore TSS pathway for the trades</w:t>
            </w:r>
            <w:r w:rsidR="00456F3F">
              <w:rPr>
                <w:noProof/>
                <w:webHidden/>
              </w:rPr>
              <w:tab/>
            </w:r>
            <w:r w:rsidR="00456F3F">
              <w:rPr>
                <w:noProof/>
                <w:webHidden/>
              </w:rPr>
              <w:fldChar w:fldCharType="begin"/>
            </w:r>
            <w:r w:rsidR="00456F3F">
              <w:rPr>
                <w:noProof/>
                <w:webHidden/>
              </w:rPr>
              <w:instrText xml:space="preserve"> PAGEREF _Toc90621510 \h </w:instrText>
            </w:r>
            <w:r w:rsidR="00456F3F">
              <w:rPr>
                <w:noProof/>
                <w:webHidden/>
              </w:rPr>
            </w:r>
            <w:r w:rsidR="00456F3F">
              <w:rPr>
                <w:noProof/>
                <w:webHidden/>
              </w:rPr>
              <w:fldChar w:fldCharType="separate"/>
            </w:r>
            <w:r w:rsidR="00A663D2">
              <w:rPr>
                <w:noProof/>
                <w:webHidden/>
              </w:rPr>
              <w:t>11</w:t>
            </w:r>
            <w:r w:rsidR="00456F3F">
              <w:rPr>
                <w:noProof/>
                <w:webHidden/>
              </w:rPr>
              <w:fldChar w:fldCharType="end"/>
            </w:r>
          </w:hyperlink>
        </w:p>
        <w:p w14:paraId="3996FFA3" w14:textId="6DF79987" w:rsidR="00456F3F" w:rsidRDefault="00383966">
          <w:pPr>
            <w:pStyle w:val="TOC1"/>
            <w:rPr>
              <w:rFonts w:eastAsiaTheme="minorEastAsia"/>
              <w:noProof/>
              <w:lang w:eastAsia="en-AU"/>
            </w:rPr>
          </w:pPr>
          <w:hyperlink w:anchor="_Toc90621511" w:history="1">
            <w:r w:rsidR="00456F3F" w:rsidRPr="00940563">
              <w:rPr>
                <w:rStyle w:val="Hyperlink"/>
                <w:b/>
                <w:bCs/>
                <w:noProof/>
              </w:rPr>
              <w:t>4. The Training visa as a TSS pathway</w:t>
            </w:r>
            <w:r w:rsidR="00456F3F">
              <w:rPr>
                <w:noProof/>
                <w:webHidden/>
              </w:rPr>
              <w:tab/>
            </w:r>
            <w:r w:rsidR="00456F3F">
              <w:rPr>
                <w:noProof/>
                <w:webHidden/>
              </w:rPr>
              <w:fldChar w:fldCharType="begin"/>
            </w:r>
            <w:r w:rsidR="00456F3F">
              <w:rPr>
                <w:noProof/>
                <w:webHidden/>
              </w:rPr>
              <w:instrText xml:space="preserve"> PAGEREF _Toc90621511 \h </w:instrText>
            </w:r>
            <w:r w:rsidR="00456F3F">
              <w:rPr>
                <w:noProof/>
                <w:webHidden/>
              </w:rPr>
            </w:r>
            <w:r w:rsidR="00456F3F">
              <w:rPr>
                <w:noProof/>
                <w:webHidden/>
              </w:rPr>
              <w:fldChar w:fldCharType="separate"/>
            </w:r>
            <w:r w:rsidR="00A663D2">
              <w:rPr>
                <w:noProof/>
                <w:webHidden/>
              </w:rPr>
              <w:t>13</w:t>
            </w:r>
            <w:r w:rsidR="00456F3F">
              <w:rPr>
                <w:noProof/>
                <w:webHidden/>
              </w:rPr>
              <w:fldChar w:fldCharType="end"/>
            </w:r>
          </w:hyperlink>
        </w:p>
        <w:p w14:paraId="70D9EA33" w14:textId="2C1C371B" w:rsidR="00456F3F" w:rsidRDefault="00383966">
          <w:pPr>
            <w:pStyle w:val="TOC1"/>
            <w:rPr>
              <w:rFonts w:eastAsiaTheme="minorEastAsia"/>
              <w:noProof/>
              <w:lang w:eastAsia="en-AU"/>
            </w:rPr>
          </w:pPr>
          <w:hyperlink w:anchor="_Toc90621512" w:history="1">
            <w:r w:rsidR="00456F3F" w:rsidRPr="00940563">
              <w:rPr>
                <w:rStyle w:val="Hyperlink"/>
                <w:b/>
                <w:bCs/>
                <w:noProof/>
              </w:rPr>
              <w:t>5. Risks</w:t>
            </w:r>
            <w:r w:rsidR="00456F3F">
              <w:rPr>
                <w:noProof/>
                <w:webHidden/>
              </w:rPr>
              <w:tab/>
            </w:r>
            <w:r w:rsidR="00456F3F">
              <w:rPr>
                <w:noProof/>
                <w:webHidden/>
              </w:rPr>
              <w:fldChar w:fldCharType="begin"/>
            </w:r>
            <w:r w:rsidR="00456F3F">
              <w:rPr>
                <w:noProof/>
                <w:webHidden/>
              </w:rPr>
              <w:instrText xml:space="preserve"> PAGEREF _Toc90621512 \h </w:instrText>
            </w:r>
            <w:r w:rsidR="00456F3F">
              <w:rPr>
                <w:noProof/>
                <w:webHidden/>
              </w:rPr>
            </w:r>
            <w:r w:rsidR="00456F3F">
              <w:rPr>
                <w:noProof/>
                <w:webHidden/>
              </w:rPr>
              <w:fldChar w:fldCharType="separate"/>
            </w:r>
            <w:r w:rsidR="00A663D2">
              <w:rPr>
                <w:noProof/>
                <w:webHidden/>
              </w:rPr>
              <w:t>13</w:t>
            </w:r>
            <w:r w:rsidR="00456F3F">
              <w:rPr>
                <w:noProof/>
                <w:webHidden/>
              </w:rPr>
              <w:fldChar w:fldCharType="end"/>
            </w:r>
          </w:hyperlink>
        </w:p>
        <w:p w14:paraId="72FAAC7F" w14:textId="6EF2958A" w:rsidR="00456F3F" w:rsidRDefault="00383966">
          <w:pPr>
            <w:pStyle w:val="TOC1"/>
            <w:rPr>
              <w:rFonts w:eastAsiaTheme="minorEastAsia"/>
              <w:noProof/>
              <w:lang w:eastAsia="en-AU"/>
            </w:rPr>
          </w:pPr>
          <w:hyperlink w:anchor="_Toc90621513" w:history="1">
            <w:r w:rsidR="00456F3F" w:rsidRPr="00940563">
              <w:rPr>
                <w:rStyle w:val="Hyperlink"/>
                <w:b/>
                <w:bCs/>
                <w:noProof/>
              </w:rPr>
              <w:t>6. Recommendations</w:t>
            </w:r>
            <w:r w:rsidR="00456F3F">
              <w:rPr>
                <w:noProof/>
                <w:webHidden/>
              </w:rPr>
              <w:tab/>
            </w:r>
            <w:r w:rsidR="00456F3F">
              <w:rPr>
                <w:noProof/>
                <w:webHidden/>
              </w:rPr>
              <w:fldChar w:fldCharType="begin"/>
            </w:r>
            <w:r w:rsidR="00456F3F">
              <w:rPr>
                <w:noProof/>
                <w:webHidden/>
              </w:rPr>
              <w:instrText xml:space="preserve"> PAGEREF _Toc90621513 \h </w:instrText>
            </w:r>
            <w:r w:rsidR="00456F3F">
              <w:rPr>
                <w:noProof/>
                <w:webHidden/>
              </w:rPr>
            </w:r>
            <w:r w:rsidR="00456F3F">
              <w:rPr>
                <w:noProof/>
                <w:webHidden/>
              </w:rPr>
              <w:fldChar w:fldCharType="separate"/>
            </w:r>
            <w:r w:rsidR="00A663D2">
              <w:rPr>
                <w:noProof/>
                <w:webHidden/>
              </w:rPr>
              <w:t>14</w:t>
            </w:r>
            <w:r w:rsidR="00456F3F">
              <w:rPr>
                <w:noProof/>
                <w:webHidden/>
              </w:rPr>
              <w:fldChar w:fldCharType="end"/>
            </w:r>
          </w:hyperlink>
        </w:p>
        <w:p w14:paraId="15B87BA6" w14:textId="52ED273B" w:rsidR="00456F3F" w:rsidRDefault="00383966">
          <w:pPr>
            <w:pStyle w:val="TOC1"/>
            <w:rPr>
              <w:rFonts w:eastAsiaTheme="minorEastAsia"/>
              <w:noProof/>
              <w:lang w:eastAsia="en-AU"/>
            </w:rPr>
          </w:pPr>
          <w:hyperlink w:anchor="_Toc90621514" w:history="1">
            <w:r w:rsidR="00456F3F" w:rsidRPr="00940563">
              <w:rPr>
                <w:rStyle w:val="Hyperlink"/>
                <w:b/>
                <w:bCs/>
                <w:noProof/>
              </w:rPr>
              <w:t>Annex 1: Working Group Terms of Reference, Membership and Consultations</w:t>
            </w:r>
            <w:r w:rsidR="00456F3F">
              <w:rPr>
                <w:noProof/>
                <w:webHidden/>
              </w:rPr>
              <w:tab/>
            </w:r>
            <w:r w:rsidR="00456F3F">
              <w:rPr>
                <w:noProof/>
                <w:webHidden/>
              </w:rPr>
              <w:fldChar w:fldCharType="begin"/>
            </w:r>
            <w:r w:rsidR="00456F3F">
              <w:rPr>
                <w:noProof/>
                <w:webHidden/>
              </w:rPr>
              <w:instrText xml:space="preserve"> PAGEREF _Toc90621514 \h </w:instrText>
            </w:r>
            <w:r w:rsidR="00456F3F">
              <w:rPr>
                <w:noProof/>
                <w:webHidden/>
              </w:rPr>
            </w:r>
            <w:r w:rsidR="00456F3F">
              <w:rPr>
                <w:noProof/>
                <w:webHidden/>
              </w:rPr>
              <w:fldChar w:fldCharType="separate"/>
            </w:r>
            <w:r w:rsidR="00A663D2">
              <w:rPr>
                <w:noProof/>
                <w:webHidden/>
              </w:rPr>
              <w:t>17</w:t>
            </w:r>
            <w:r w:rsidR="00456F3F">
              <w:rPr>
                <w:noProof/>
                <w:webHidden/>
              </w:rPr>
              <w:fldChar w:fldCharType="end"/>
            </w:r>
          </w:hyperlink>
        </w:p>
        <w:p w14:paraId="616C5E5A" w14:textId="76A1AB10" w:rsidR="00456F3F" w:rsidRDefault="00383966">
          <w:pPr>
            <w:pStyle w:val="TOC1"/>
            <w:rPr>
              <w:rFonts w:eastAsiaTheme="minorEastAsia"/>
              <w:noProof/>
              <w:lang w:eastAsia="en-AU"/>
            </w:rPr>
          </w:pPr>
          <w:hyperlink w:anchor="_Toc90621515" w:history="1">
            <w:r w:rsidR="00456F3F" w:rsidRPr="00940563">
              <w:rPr>
                <w:rStyle w:val="Hyperlink"/>
                <w:b/>
                <w:bCs/>
                <w:noProof/>
              </w:rPr>
              <w:t>Annex 2: PLS-to-TSS Meatworkers Fact Sheet</w:t>
            </w:r>
            <w:r w:rsidR="00456F3F">
              <w:rPr>
                <w:noProof/>
                <w:webHidden/>
              </w:rPr>
              <w:tab/>
            </w:r>
            <w:r w:rsidR="00456F3F">
              <w:rPr>
                <w:noProof/>
                <w:webHidden/>
              </w:rPr>
              <w:fldChar w:fldCharType="begin"/>
            </w:r>
            <w:r w:rsidR="00456F3F">
              <w:rPr>
                <w:noProof/>
                <w:webHidden/>
              </w:rPr>
              <w:instrText xml:space="preserve"> PAGEREF _Toc90621515 \h </w:instrText>
            </w:r>
            <w:r w:rsidR="00456F3F">
              <w:rPr>
                <w:noProof/>
                <w:webHidden/>
              </w:rPr>
            </w:r>
            <w:r w:rsidR="00456F3F">
              <w:rPr>
                <w:noProof/>
                <w:webHidden/>
              </w:rPr>
              <w:fldChar w:fldCharType="separate"/>
            </w:r>
            <w:r w:rsidR="00A663D2">
              <w:rPr>
                <w:noProof/>
                <w:webHidden/>
              </w:rPr>
              <w:t>19</w:t>
            </w:r>
            <w:r w:rsidR="00456F3F">
              <w:rPr>
                <w:noProof/>
                <w:webHidden/>
              </w:rPr>
              <w:fldChar w:fldCharType="end"/>
            </w:r>
          </w:hyperlink>
        </w:p>
        <w:p w14:paraId="156C94BD" w14:textId="4C14D1ED" w:rsidR="00456F3F" w:rsidRDefault="00383966">
          <w:pPr>
            <w:pStyle w:val="TOC1"/>
            <w:rPr>
              <w:rFonts w:eastAsiaTheme="minorEastAsia"/>
              <w:noProof/>
              <w:lang w:eastAsia="en-AU"/>
            </w:rPr>
          </w:pPr>
          <w:hyperlink w:anchor="_Toc90621516" w:history="1">
            <w:r w:rsidR="00456F3F" w:rsidRPr="00940563">
              <w:rPr>
                <w:rStyle w:val="Hyperlink"/>
                <w:b/>
                <w:bCs/>
                <w:noProof/>
              </w:rPr>
              <w:t>Annex 3: PLS-to-TSS Horticultural Workers Fact Sheet</w:t>
            </w:r>
            <w:r w:rsidR="00456F3F">
              <w:rPr>
                <w:noProof/>
                <w:webHidden/>
              </w:rPr>
              <w:tab/>
            </w:r>
            <w:r w:rsidR="00456F3F">
              <w:rPr>
                <w:noProof/>
                <w:webHidden/>
              </w:rPr>
              <w:fldChar w:fldCharType="begin"/>
            </w:r>
            <w:r w:rsidR="00456F3F">
              <w:rPr>
                <w:noProof/>
                <w:webHidden/>
              </w:rPr>
              <w:instrText xml:space="preserve"> PAGEREF _Toc90621516 \h </w:instrText>
            </w:r>
            <w:r w:rsidR="00456F3F">
              <w:rPr>
                <w:noProof/>
                <w:webHidden/>
              </w:rPr>
            </w:r>
            <w:r w:rsidR="00456F3F">
              <w:rPr>
                <w:noProof/>
                <w:webHidden/>
              </w:rPr>
              <w:fldChar w:fldCharType="separate"/>
            </w:r>
            <w:r w:rsidR="00A663D2">
              <w:rPr>
                <w:noProof/>
                <w:webHidden/>
              </w:rPr>
              <w:t>23</w:t>
            </w:r>
            <w:r w:rsidR="00456F3F">
              <w:rPr>
                <w:noProof/>
                <w:webHidden/>
              </w:rPr>
              <w:fldChar w:fldCharType="end"/>
            </w:r>
          </w:hyperlink>
        </w:p>
        <w:p w14:paraId="0192DBAC" w14:textId="3474BC81" w:rsidR="00456F3F" w:rsidRDefault="00383966">
          <w:pPr>
            <w:pStyle w:val="TOC1"/>
            <w:rPr>
              <w:rFonts w:eastAsiaTheme="minorEastAsia"/>
              <w:noProof/>
              <w:lang w:eastAsia="en-AU"/>
            </w:rPr>
          </w:pPr>
          <w:hyperlink w:anchor="_Toc90621517" w:history="1">
            <w:r w:rsidR="00456F3F" w:rsidRPr="00940563">
              <w:rPr>
                <w:rStyle w:val="Hyperlink"/>
                <w:b/>
                <w:bCs/>
                <w:noProof/>
              </w:rPr>
              <w:t>Annex 4: Designated Area Migration Agreements (DAMAs)</w:t>
            </w:r>
            <w:r w:rsidR="00456F3F">
              <w:rPr>
                <w:noProof/>
                <w:webHidden/>
              </w:rPr>
              <w:tab/>
            </w:r>
            <w:r w:rsidR="00456F3F">
              <w:rPr>
                <w:noProof/>
                <w:webHidden/>
              </w:rPr>
              <w:fldChar w:fldCharType="begin"/>
            </w:r>
            <w:r w:rsidR="00456F3F">
              <w:rPr>
                <w:noProof/>
                <w:webHidden/>
              </w:rPr>
              <w:instrText xml:space="preserve"> PAGEREF _Toc90621517 \h </w:instrText>
            </w:r>
            <w:r w:rsidR="00456F3F">
              <w:rPr>
                <w:noProof/>
                <w:webHidden/>
              </w:rPr>
            </w:r>
            <w:r w:rsidR="00456F3F">
              <w:rPr>
                <w:noProof/>
                <w:webHidden/>
              </w:rPr>
              <w:fldChar w:fldCharType="separate"/>
            </w:r>
            <w:r w:rsidR="00A663D2">
              <w:rPr>
                <w:noProof/>
                <w:webHidden/>
              </w:rPr>
              <w:t>26</w:t>
            </w:r>
            <w:r w:rsidR="00456F3F">
              <w:rPr>
                <w:noProof/>
                <w:webHidden/>
              </w:rPr>
              <w:fldChar w:fldCharType="end"/>
            </w:r>
          </w:hyperlink>
        </w:p>
        <w:p w14:paraId="7A02141F" w14:textId="5F7EF8CB" w:rsidR="00456F3F" w:rsidRDefault="00383966">
          <w:pPr>
            <w:pStyle w:val="TOC1"/>
            <w:rPr>
              <w:rFonts w:eastAsiaTheme="minorEastAsia"/>
              <w:noProof/>
              <w:lang w:eastAsia="en-AU"/>
            </w:rPr>
          </w:pPr>
          <w:hyperlink w:anchor="_Toc90621518" w:history="1">
            <w:r w:rsidR="00456F3F" w:rsidRPr="00940563">
              <w:rPr>
                <w:rStyle w:val="Hyperlink"/>
                <w:b/>
                <w:bCs/>
                <w:noProof/>
              </w:rPr>
              <w:t>Annex 5: Direct-to-TSS Trades Fact Sheet</w:t>
            </w:r>
            <w:r w:rsidR="00456F3F">
              <w:rPr>
                <w:noProof/>
                <w:webHidden/>
              </w:rPr>
              <w:tab/>
            </w:r>
            <w:r w:rsidR="00456F3F">
              <w:rPr>
                <w:noProof/>
                <w:webHidden/>
              </w:rPr>
              <w:fldChar w:fldCharType="begin"/>
            </w:r>
            <w:r w:rsidR="00456F3F">
              <w:rPr>
                <w:noProof/>
                <w:webHidden/>
              </w:rPr>
              <w:instrText xml:space="preserve"> PAGEREF _Toc90621518 \h </w:instrText>
            </w:r>
            <w:r w:rsidR="00456F3F">
              <w:rPr>
                <w:noProof/>
                <w:webHidden/>
              </w:rPr>
            </w:r>
            <w:r w:rsidR="00456F3F">
              <w:rPr>
                <w:noProof/>
                <w:webHidden/>
              </w:rPr>
              <w:fldChar w:fldCharType="separate"/>
            </w:r>
            <w:r w:rsidR="00A663D2">
              <w:rPr>
                <w:noProof/>
                <w:webHidden/>
              </w:rPr>
              <w:t>30</w:t>
            </w:r>
            <w:r w:rsidR="00456F3F">
              <w:rPr>
                <w:noProof/>
                <w:webHidden/>
              </w:rPr>
              <w:fldChar w:fldCharType="end"/>
            </w:r>
          </w:hyperlink>
        </w:p>
        <w:p w14:paraId="666F7273" w14:textId="3CCAE3C5" w:rsidR="0087471E" w:rsidRDefault="0087471E" w:rsidP="0046693F">
          <w:pPr>
            <w:spacing w:after="0"/>
          </w:pPr>
          <w:r>
            <w:rPr>
              <w:b/>
              <w:bCs/>
              <w:noProof/>
            </w:rPr>
            <w:fldChar w:fldCharType="end"/>
          </w:r>
        </w:p>
      </w:sdtContent>
    </w:sdt>
    <w:p w14:paraId="4C541DDF" w14:textId="77777777" w:rsidR="001A5253" w:rsidRDefault="00F55BCB" w:rsidP="0046693F">
      <w:pPr>
        <w:pStyle w:val="Heading1"/>
        <w:spacing w:before="0"/>
        <w:sectPr w:rsidR="001A5253" w:rsidSect="001A5253">
          <w:footerReference w:type="default" r:id="rId8"/>
          <w:pgSz w:w="11906" w:h="16838"/>
          <w:pgMar w:top="1440" w:right="1440" w:bottom="1440" w:left="1440" w:header="708" w:footer="708" w:gutter="0"/>
          <w:pgNumType w:start="1"/>
          <w:cols w:space="708"/>
          <w:titlePg/>
          <w:docGrid w:linePitch="360"/>
        </w:sectPr>
      </w:pPr>
      <w:r>
        <w:br w:type="page"/>
      </w:r>
    </w:p>
    <w:p w14:paraId="192E9A57" w14:textId="6A474CA4" w:rsidR="00EE41BE" w:rsidRDefault="00F66F60" w:rsidP="0046693F">
      <w:pPr>
        <w:pStyle w:val="Heading1"/>
        <w:spacing w:before="0"/>
        <w:rPr>
          <w:b/>
          <w:bCs/>
        </w:rPr>
      </w:pPr>
      <w:bookmarkStart w:id="0" w:name="_Toc90621503"/>
      <w:r>
        <w:rPr>
          <w:b/>
          <w:bCs/>
        </w:rPr>
        <w:lastRenderedPageBreak/>
        <w:t xml:space="preserve">Executive </w:t>
      </w:r>
      <w:r w:rsidR="00F47E31" w:rsidRPr="000E1B72">
        <w:rPr>
          <w:b/>
          <w:bCs/>
        </w:rPr>
        <w:t>summary</w:t>
      </w:r>
      <w:bookmarkEnd w:id="0"/>
    </w:p>
    <w:p w14:paraId="0CA28AD8" w14:textId="7C5A83A3" w:rsidR="00F66F60" w:rsidRDefault="00F66F60" w:rsidP="0046693F">
      <w:pPr>
        <w:spacing w:after="0"/>
      </w:pPr>
    </w:p>
    <w:p w14:paraId="3778ED0A" w14:textId="38758525" w:rsidR="00DE0501" w:rsidRDefault="00DE0501" w:rsidP="00364ADB">
      <w:pPr>
        <w:spacing w:after="0"/>
        <w:jc w:val="both"/>
      </w:pPr>
      <w:r>
        <w:t xml:space="preserve">A Working Group </w:t>
      </w:r>
      <w:r w:rsidR="00C46EA4">
        <w:t xml:space="preserve">with wide-ranging representation </w:t>
      </w:r>
      <w:r>
        <w:t>was constituted by the Department of Foreign Affairs and Trade</w:t>
      </w:r>
      <w:r w:rsidR="00755931">
        <w:t xml:space="preserve"> (DFAT)</w:t>
      </w:r>
      <w:r>
        <w:t xml:space="preserve"> to advise on ways to increase Pacific participation in the Temporary Skills Shortage (TSS) visa, the main visa </w:t>
      </w:r>
      <w:r w:rsidR="00221A9F">
        <w:t xml:space="preserve">under </w:t>
      </w:r>
      <w:r>
        <w:t xml:space="preserve">which </w:t>
      </w:r>
      <w:r w:rsidR="00221A9F">
        <w:t xml:space="preserve">Australian </w:t>
      </w:r>
      <w:r>
        <w:t>employers sponsor skilled foreign workers.</w:t>
      </w:r>
    </w:p>
    <w:p w14:paraId="54DAA432" w14:textId="3D352BE9" w:rsidR="00DE0501" w:rsidRDefault="00DE0501" w:rsidP="0046693F">
      <w:pPr>
        <w:spacing w:after="0"/>
      </w:pPr>
    </w:p>
    <w:p w14:paraId="3BE24DD4" w14:textId="3704C455" w:rsidR="00DE0501" w:rsidRDefault="00DE0501" w:rsidP="00E90F6C">
      <w:pPr>
        <w:spacing w:after="0"/>
        <w:jc w:val="both"/>
      </w:pPr>
      <w:r>
        <w:t>This approach paper has been prepared by the Working Group Chair, Professor Stephen Howes, Director, Development Policy Centre, Australian National University</w:t>
      </w:r>
      <w:r w:rsidR="00755931">
        <w:t xml:space="preserve"> (ANU)</w:t>
      </w:r>
      <w:r>
        <w:t xml:space="preserve"> and by Dr Richard Curtain, Research Fellow</w:t>
      </w:r>
      <w:r w:rsidR="00C870F3">
        <w:t>, Development Policy Centre,</w:t>
      </w:r>
      <w:r>
        <w:t xml:space="preserve"> based on extensive consultation with the Working Group.</w:t>
      </w:r>
      <w:r w:rsidR="002749AF">
        <w:rPr>
          <w:rStyle w:val="FootnoteReference"/>
        </w:rPr>
        <w:footnoteReference w:id="1"/>
      </w:r>
      <w:r>
        <w:t xml:space="preserve"> </w:t>
      </w:r>
    </w:p>
    <w:p w14:paraId="63A2B644" w14:textId="77777777" w:rsidR="00DE0501" w:rsidRDefault="00DE0501" w:rsidP="0046693F">
      <w:pPr>
        <w:spacing w:after="0"/>
        <w:jc w:val="both"/>
      </w:pPr>
    </w:p>
    <w:p w14:paraId="23E1F024" w14:textId="4395368E" w:rsidR="00F66F60" w:rsidRDefault="00F66F60" w:rsidP="0046693F">
      <w:pPr>
        <w:spacing w:after="0"/>
        <w:jc w:val="both"/>
      </w:pPr>
      <w:r>
        <w:t xml:space="preserve">While the Pacific has in the past barely participated in the TSS and other skilled visa pathways, there are </w:t>
      </w:r>
      <w:r w:rsidR="00D70444">
        <w:t xml:space="preserve">now </w:t>
      </w:r>
      <w:r w:rsidR="00F56C65">
        <w:t xml:space="preserve">important </w:t>
      </w:r>
      <w:r>
        <w:t>opportunities</w:t>
      </w:r>
      <w:r w:rsidR="006C0DED">
        <w:t>.</w:t>
      </w:r>
      <w:r w:rsidR="007D3B48">
        <w:t xml:space="preserve"> </w:t>
      </w:r>
      <w:r w:rsidR="00BA4A38">
        <w:t xml:space="preserve">Three migration pathways to the TSS visa </w:t>
      </w:r>
      <w:r w:rsidR="00F56C65">
        <w:t>are explored in this paper</w:t>
      </w:r>
      <w:r w:rsidR="00DD7C7E">
        <w:t xml:space="preserve">. </w:t>
      </w:r>
    </w:p>
    <w:p w14:paraId="25F27FD7" w14:textId="77777777" w:rsidR="0046693F" w:rsidRDefault="0046693F" w:rsidP="0046693F">
      <w:pPr>
        <w:spacing w:after="0"/>
        <w:jc w:val="both"/>
      </w:pPr>
    </w:p>
    <w:p w14:paraId="644DDB86" w14:textId="3A69D4BE" w:rsidR="00D61A48" w:rsidRDefault="00EB6B17" w:rsidP="0046693F">
      <w:pPr>
        <w:spacing w:after="0"/>
        <w:jc w:val="both"/>
      </w:pPr>
      <w:r>
        <w:t xml:space="preserve">The </w:t>
      </w:r>
      <w:r w:rsidRPr="00E90F6C">
        <w:rPr>
          <w:b/>
          <w:bCs/>
        </w:rPr>
        <w:t xml:space="preserve">first </w:t>
      </w:r>
      <w:r w:rsidR="005B225A" w:rsidRPr="00E90F6C">
        <w:rPr>
          <w:b/>
          <w:bCs/>
        </w:rPr>
        <w:t>pathway</w:t>
      </w:r>
      <w:r w:rsidR="005B225A">
        <w:t xml:space="preserve"> for the TSS </w:t>
      </w:r>
      <w:r w:rsidR="00BD3AFB">
        <w:t xml:space="preserve">in regional areas </w:t>
      </w:r>
      <w:r w:rsidR="005B225A">
        <w:t xml:space="preserve">is via the </w:t>
      </w:r>
      <w:r w:rsidR="00436304">
        <w:t>Pacific Labour Scheme (</w:t>
      </w:r>
      <w:r w:rsidR="005B225A">
        <w:t>PLS</w:t>
      </w:r>
      <w:r w:rsidR="00436304">
        <w:t>)</w:t>
      </w:r>
      <w:r w:rsidR="00221A9F">
        <w:t>,</w:t>
      </w:r>
      <w:r w:rsidR="00436304">
        <w:t xml:space="preserve"> now part of the Pacific Australia Labour Mobility </w:t>
      </w:r>
      <w:r w:rsidR="00586045">
        <w:t xml:space="preserve">(PALM) </w:t>
      </w:r>
      <w:r w:rsidR="00436304">
        <w:t>scheme</w:t>
      </w:r>
      <w:r w:rsidR="005B225A">
        <w:t xml:space="preserve">. </w:t>
      </w:r>
      <w:r w:rsidR="00D61A48">
        <w:t xml:space="preserve">Most TSS visa holders apply for their visa onshore. The PLS provides the opportunity for Pacific workers to do the same. </w:t>
      </w:r>
      <w:r w:rsidR="005B225A">
        <w:t>Pacific workers</w:t>
      </w:r>
      <w:r w:rsidR="001352D4">
        <w:t xml:space="preserve"> </w:t>
      </w:r>
      <w:r w:rsidR="00D61A48">
        <w:t xml:space="preserve">can already </w:t>
      </w:r>
      <w:r w:rsidR="005B225A">
        <w:t xml:space="preserve">come to Australia to work </w:t>
      </w:r>
      <w:r w:rsidR="000C7455">
        <w:t xml:space="preserve">in regional areas for up to </w:t>
      </w:r>
      <w:r w:rsidR="00F56C65">
        <w:t xml:space="preserve">four </w:t>
      </w:r>
      <w:r w:rsidR="000C7455">
        <w:t xml:space="preserve">years </w:t>
      </w:r>
      <w:r w:rsidR="005B225A">
        <w:t>through the PLS</w:t>
      </w:r>
      <w:r w:rsidR="00D61A48">
        <w:t>. Provided they me</w:t>
      </w:r>
      <w:r w:rsidR="00F56C65">
        <w:t>e</w:t>
      </w:r>
      <w:r w:rsidR="00D61A48">
        <w:t xml:space="preserve">t relevant TSS requirements, </w:t>
      </w:r>
      <w:r w:rsidR="008414DC">
        <w:t xml:space="preserve">some </w:t>
      </w:r>
      <w:r w:rsidR="00D61A48">
        <w:t>c</w:t>
      </w:r>
      <w:r w:rsidR="008414DC">
        <w:t>o</w:t>
      </w:r>
      <w:r w:rsidR="000C7455">
        <w:t xml:space="preserve">uld </w:t>
      </w:r>
      <w:r w:rsidR="005B225A">
        <w:t xml:space="preserve">transition to the TSS. </w:t>
      </w:r>
    </w:p>
    <w:p w14:paraId="68B75741" w14:textId="77777777" w:rsidR="00D61A48" w:rsidRDefault="00D61A48" w:rsidP="0046693F">
      <w:pPr>
        <w:spacing w:after="0"/>
        <w:jc w:val="both"/>
      </w:pPr>
    </w:p>
    <w:p w14:paraId="612EC305" w14:textId="26CB84EE" w:rsidR="006C0DED" w:rsidRDefault="00F66F60" w:rsidP="0046693F">
      <w:pPr>
        <w:spacing w:after="0"/>
        <w:jc w:val="both"/>
      </w:pPr>
      <w:r>
        <w:t xml:space="preserve">There are </w:t>
      </w:r>
      <w:r w:rsidR="003537D1">
        <w:t>five</w:t>
      </w:r>
      <w:r>
        <w:t xml:space="preserve"> occupation</w:t>
      </w:r>
      <w:r w:rsidR="00E777A0">
        <w:t xml:space="preserve"> groups</w:t>
      </w:r>
      <w:r>
        <w:t xml:space="preserve"> </w:t>
      </w:r>
      <w:r w:rsidR="00D70444">
        <w:t xml:space="preserve">that </w:t>
      </w:r>
      <w:r>
        <w:t xml:space="preserve">have </w:t>
      </w:r>
      <w:r w:rsidR="005068F5">
        <w:t>the</w:t>
      </w:r>
      <w:r w:rsidR="00664BB3">
        <w:t xml:space="preserve"> </w:t>
      </w:r>
      <w:r>
        <w:t xml:space="preserve">potential </w:t>
      </w:r>
      <w:r w:rsidR="005068F5">
        <w:t xml:space="preserve">to make a </w:t>
      </w:r>
      <w:r w:rsidR="00664BB3">
        <w:t>PLS</w:t>
      </w:r>
      <w:r w:rsidR="005F3731">
        <w:t xml:space="preserve"> to </w:t>
      </w:r>
      <w:r w:rsidR="00664BB3">
        <w:t>TSS transition</w:t>
      </w:r>
      <w:r w:rsidR="006C0DED">
        <w:t xml:space="preserve">: meatworkers, </w:t>
      </w:r>
      <w:r w:rsidR="003537D1">
        <w:t xml:space="preserve">agricultural workers, </w:t>
      </w:r>
      <w:r w:rsidR="006C0DED">
        <w:t>tradespe</w:t>
      </w:r>
      <w:r w:rsidR="003A4FC3">
        <w:t>rsons</w:t>
      </w:r>
      <w:r w:rsidR="006C5C17">
        <w:t xml:space="preserve">, </w:t>
      </w:r>
      <w:r w:rsidR="006C0DED">
        <w:t>hospitality workers</w:t>
      </w:r>
      <w:r w:rsidR="006C5C17">
        <w:t>,</w:t>
      </w:r>
      <w:r w:rsidR="006C5C17" w:rsidRPr="006C5C17">
        <w:t xml:space="preserve"> </w:t>
      </w:r>
      <w:r w:rsidR="006C5C17">
        <w:t>and carers</w:t>
      </w:r>
      <w:r w:rsidR="006C0DED">
        <w:t xml:space="preserve">. </w:t>
      </w:r>
    </w:p>
    <w:p w14:paraId="3E676349" w14:textId="77777777" w:rsidR="0046693F" w:rsidRDefault="0046693F" w:rsidP="0046693F">
      <w:pPr>
        <w:spacing w:after="0"/>
        <w:jc w:val="both"/>
      </w:pPr>
    </w:p>
    <w:p w14:paraId="736EC945" w14:textId="17B7AC3B" w:rsidR="002462B1" w:rsidRDefault="00F66F60" w:rsidP="00590C14">
      <w:pPr>
        <w:spacing w:after="0"/>
        <w:jc w:val="both"/>
      </w:pPr>
      <w:r>
        <w:t>The most promising of these</w:t>
      </w:r>
      <w:r w:rsidR="006C0DED">
        <w:t xml:space="preserve"> </w:t>
      </w:r>
      <w:r w:rsidR="008414DC">
        <w:t xml:space="preserve">transition pathways </w:t>
      </w:r>
      <w:r>
        <w:t>is for meatworkers</w:t>
      </w:r>
      <w:r w:rsidR="00AE3933">
        <w:t xml:space="preserve">, who </w:t>
      </w:r>
      <w:r w:rsidR="002462B1">
        <w:t xml:space="preserve">make up most of </w:t>
      </w:r>
      <w:r w:rsidR="00586045">
        <w:t xml:space="preserve">the </w:t>
      </w:r>
      <w:r w:rsidR="002462B1">
        <w:t xml:space="preserve">PLS, and who </w:t>
      </w:r>
      <w:r w:rsidR="00AE3933">
        <w:t xml:space="preserve">can be hired into the TSS </w:t>
      </w:r>
      <w:r w:rsidR="002462B1">
        <w:t xml:space="preserve">at ANZSCO </w:t>
      </w:r>
      <w:r w:rsidR="00590C14">
        <w:t>S</w:t>
      </w:r>
      <w:r w:rsidR="002462B1">
        <w:t xml:space="preserve">kill </w:t>
      </w:r>
      <w:r w:rsidR="00590C14">
        <w:t>L</w:t>
      </w:r>
      <w:r w:rsidR="002462B1">
        <w:t xml:space="preserve">evel 4 </w:t>
      </w:r>
      <w:r w:rsidR="00AE3933">
        <w:t>through the Meat Industry Labour Agreement</w:t>
      </w:r>
      <w:r w:rsidR="00E971EF">
        <w:t xml:space="preserve"> (MILA)</w:t>
      </w:r>
      <w:r w:rsidR="006C0DED">
        <w:t xml:space="preserve">. </w:t>
      </w:r>
      <w:r w:rsidR="00A5339E">
        <w:t xml:space="preserve">A fact sheet attached to this report </w:t>
      </w:r>
      <w:r w:rsidR="00D70444">
        <w:t>(</w:t>
      </w:r>
      <w:hyperlink w:anchor="_Annex_2:_PLS-to-TSS" w:history="1">
        <w:r w:rsidR="00D70444" w:rsidRPr="002F25D6">
          <w:rPr>
            <w:rStyle w:val="Hyperlink"/>
          </w:rPr>
          <w:t xml:space="preserve">Annex </w:t>
        </w:r>
        <w:r w:rsidR="000C66A6" w:rsidRPr="002F25D6">
          <w:rPr>
            <w:rStyle w:val="Hyperlink"/>
          </w:rPr>
          <w:t>2</w:t>
        </w:r>
      </w:hyperlink>
      <w:r w:rsidR="00D70444">
        <w:t xml:space="preserve">) </w:t>
      </w:r>
      <w:r w:rsidR="008A18F3">
        <w:t>details this pathway</w:t>
      </w:r>
      <w:r w:rsidR="00590C14">
        <w:t>, which should be viable for a significant number of PLS workers.</w:t>
      </w:r>
      <w:r w:rsidR="008A18F3">
        <w:t xml:space="preserve"> </w:t>
      </w:r>
    </w:p>
    <w:p w14:paraId="0EE33322" w14:textId="77777777" w:rsidR="003537D1" w:rsidRDefault="003537D1" w:rsidP="0046693F">
      <w:pPr>
        <w:spacing w:after="0"/>
        <w:jc w:val="both"/>
      </w:pPr>
    </w:p>
    <w:p w14:paraId="5986A940" w14:textId="1CB8D715" w:rsidR="003537D1" w:rsidRDefault="003537D1" w:rsidP="00590C14">
      <w:pPr>
        <w:spacing w:after="0"/>
        <w:jc w:val="both"/>
      </w:pPr>
      <w:r>
        <w:t xml:space="preserve">Agricultural workers also make up a significant number of PLS </w:t>
      </w:r>
      <w:proofErr w:type="gramStart"/>
      <w:r>
        <w:t>workers, and</w:t>
      </w:r>
      <w:proofErr w:type="gramEnd"/>
      <w:r>
        <w:t xml:space="preserve"> can be hired into the TSS at ANZSCO </w:t>
      </w:r>
      <w:r w:rsidR="00590C14">
        <w:t>S</w:t>
      </w:r>
      <w:r>
        <w:t xml:space="preserve">kill </w:t>
      </w:r>
      <w:r w:rsidR="00590C14">
        <w:t>L</w:t>
      </w:r>
      <w:r>
        <w:t>evels 4 and 5 through the Horticulture Industry Labour Agreement</w:t>
      </w:r>
      <w:r w:rsidR="002749AF">
        <w:t xml:space="preserve"> (</w:t>
      </w:r>
      <w:r w:rsidR="00B53E9A">
        <w:t xml:space="preserve">HILA; </w:t>
      </w:r>
      <w:r w:rsidR="002749AF">
        <w:t xml:space="preserve">see the fact sheet at </w:t>
      </w:r>
      <w:hyperlink w:anchor="_Annex_3:_PLS-to-TSS" w:history="1">
        <w:r w:rsidR="002749AF" w:rsidRPr="002F25D6">
          <w:rPr>
            <w:rStyle w:val="Hyperlink"/>
          </w:rPr>
          <w:t xml:space="preserve">Annex </w:t>
        </w:r>
        <w:r w:rsidR="00586045" w:rsidRPr="002F25D6">
          <w:rPr>
            <w:rStyle w:val="Hyperlink"/>
          </w:rPr>
          <w:t>3</w:t>
        </w:r>
      </w:hyperlink>
      <w:r w:rsidR="002749AF">
        <w:t>)</w:t>
      </w:r>
      <w:r>
        <w:t>.</w:t>
      </w:r>
      <w:r w:rsidR="001B493D">
        <w:t xml:space="preserve"> However, </w:t>
      </w:r>
      <w:r w:rsidR="00B53E9A">
        <w:t xml:space="preserve">the HILA </w:t>
      </w:r>
      <w:r w:rsidR="001B493D">
        <w:t xml:space="preserve">is </w:t>
      </w:r>
      <w:r w:rsidR="00586045">
        <w:t xml:space="preserve">very </w:t>
      </w:r>
      <w:r w:rsidR="001B493D">
        <w:t xml:space="preserve">new, and </w:t>
      </w:r>
      <w:r w:rsidR="00B53E9A">
        <w:t xml:space="preserve">its </w:t>
      </w:r>
      <w:r w:rsidR="001B493D">
        <w:t>viability</w:t>
      </w:r>
      <w:r w:rsidR="008414DC">
        <w:t xml:space="preserve"> </w:t>
      </w:r>
      <w:r w:rsidR="00B53E9A">
        <w:t xml:space="preserve">as a </w:t>
      </w:r>
      <w:r w:rsidR="008414DC">
        <w:t>pathway</w:t>
      </w:r>
      <w:r w:rsidR="00221A9F">
        <w:t xml:space="preserve"> is unclear, especially given its </w:t>
      </w:r>
      <w:r w:rsidR="00B53E9A">
        <w:t xml:space="preserve">demanding qualification </w:t>
      </w:r>
      <w:r w:rsidR="00221A9F">
        <w:t>and experience prerequ</w:t>
      </w:r>
      <w:r w:rsidR="007D697A">
        <w:t>i</w:t>
      </w:r>
      <w:r w:rsidR="00221A9F">
        <w:t>sites</w:t>
      </w:r>
      <w:r w:rsidR="00B53E9A">
        <w:t xml:space="preserve"> for lower skilled occupations</w:t>
      </w:r>
      <w:r w:rsidR="001B493D">
        <w:t>.</w:t>
      </w:r>
    </w:p>
    <w:p w14:paraId="2B40D51F" w14:textId="77777777" w:rsidR="0046693F" w:rsidRDefault="0046693F" w:rsidP="0046693F">
      <w:pPr>
        <w:spacing w:after="0"/>
        <w:jc w:val="both"/>
      </w:pPr>
    </w:p>
    <w:p w14:paraId="3CC7D93F" w14:textId="32523037" w:rsidR="006C0DED" w:rsidRDefault="006C0DED" w:rsidP="00590C14">
      <w:pPr>
        <w:spacing w:after="0"/>
        <w:jc w:val="both"/>
      </w:pPr>
      <w:r>
        <w:t>In t</w:t>
      </w:r>
      <w:r w:rsidR="00590C14">
        <w:t>h</w:t>
      </w:r>
      <w:r>
        <w:t>e other cases</w:t>
      </w:r>
      <w:r w:rsidR="00DE0501">
        <w:t xml:space="preserve"> (trades, carers, hospitality)</w:t>
      </w:r>
      <w:r>
        <w:t xml:space="preserve">, a pipeline needs </w:t>
      </w:r>
      <w:r w:rsidR="00586045">
        <w:t xml:space="preserve">first </w:t>
      </w:r>
      <w:r>
        <w:t>to be built up through the PLS.</w:t>
      </w:r>
      <w:r w:rsidR="00676441">
        <w:t xml:space="preserve"> </w:t>
      </w:r>
      <w:r w:rsidR="001B493D">
        <w:t>Once there is a pipeline, t</w:t>
      </w:r>
      <w:r>
        <w:t xml:space="preserve">he </w:t>
      </w:r>
      <w:r w:rsidR="002D4F7B">
        <w:t xml:space="preserve">PLS to TSS pathway </w:t>
      </w:r>
      <w:r w:rsidR="00332E81">
        <w:t>c</w:t>
      </w:r>
      <w:r w:rsidR="002D4F7B">
        <w:t xml:space="preserve">ould work for </w:t>
      </w:r>
      <w:r>
        <w:t xml:space="preserve">trades occupations </w:t>
      </w:r>
      <w:r w:rsidR="00332E81">
        <w:t>(</w:t>
      </w:r>
      <w:r w:rsidR="002462B1">
        <w:t>including cooks</w:t>
      </w:r>
      <w:r w:rsidR="00332E81">
        <w:t xml:space="preserve">) </w:t>
      </w:r>
      <w:r w:rsidR="00A5339E">
        <w:t xml:space="preserve">because </w:t>
      </w:r>
      <w:r w:rsidR="0026265A">
        <w:t>these occupations ar</w:t>
      </w:r>
      <w:r w:rsidR="00597F08">
        <w:t xml:space="preserve">e </w:t>
      </w:r>
      <w:r w:rsidR="00332E81">
        <w:t xml:space="preserve">at </w:t>
      </w:r>
      <w:r w:rsidR="0082366E">
        <w:t xml:space="preserve">ANZSCO </w:t>
      </w:r>
      <w:r w:rsidR="008414DC">
        <w:t>S</w:t>
      </w:r>
      <w:r w:rsidR="0082366E">
        <w:t>kill</w:t>
      </w:r>
      <w:r w:rsidR="00590C14">
        <w:t xml:space="preserve"> </w:t>
      </w:r>
      <w:r w:rsidR="008414DC">
        <w:t>L</w:t>
      </w:r>
      <w:r w:rsidR="0082366E">
        <w:t>evel</w:t>
      </w:r>
      <w:r w:rsidR="00332E81">
        <w:t xml:space="preserve"> </w:t>
      </w:r>
      <w:r w:rsidR="0026265A">
        <w:t>3</w:t>
      </w:r>
      <w:r w:rsidR="00AE3933">
        <w:t xml:space="preserve">, the </w:t>
      </w:r>
      <w:r w:rsidR="002462B1">
        <w:t xml:space="preserve">regular </w:t>
      </w:r>
      <w:r w:rsidR="00AE3933">
        <w:t xml:space="preserve">TSS </w:t>
      </w:r>
      <w:r w:rsidR="00FC4786">
        <w:t xml:space="preserve">skill </w:t>
      </w:r>
      <w:r w:rsidR="00AE3933">
        <w:t>threshold level</w:t>
      </w:r>
      <w:r w:rsidR="0026265A">
        <w:t xml:space="preserve">. </w:t>
      </w:r>
      <w:r w:rsidR="00A5339E">
        <w:t xml:space="preserve">Hospitality workers </w:t>
      </w:r>
      <w:r w:rsidR="00332E81">
        <w:t xml:space="preserve">(other than cooks) </w:t>
      </w:r>
      <w:r w:rsidR="00A5339E">
        <w:t xml:space="preserve">and carers can only be hired </w:t>
      </w:r>
      <w:r w:rsidR="009E7429">
        <w:t xml:space="preserve">via a TSS visa </w:t>
      </w:r>
      <w:r w:rsidR="00A5339E">
        <w:t xml:space="preserve">through </w:t>
      </w:r>
      <w:r w:rsidR="00586045">
        <w:t xml:space="preserve">a </w:t>
      </w:r>
      <w:r w:rsidR="00332E81">
        <w:t>Designated Area Migration Agreement (</w:t>
      </w:r>
      <w:r w:rsidR="00A5339E">
        <w:t>DAMA</w:t>
      </w:r>
      <w:r w:rsidR="00332E81">
        <w:t>)</w:t>
      </w:r>
      <w:r w:rsidR="00A5339E">
        <w:t xml:space="preserve"> </w:t>
      </w:r>
      <w:r w:rsidR="00467E7C">
        <w:t xml:space="preserve">because </w:t>
      </w:r>
      <w:r w:rsidR="005D44A4">
        <w:t xml:space="preserve">these occupations are </w:t>
      </w:r>
      <w:r w:rsidR="00332E81">
        <w:t xml:space="preserve">at </w:t>
      </w:r>
      <w:r w:rsidR="00467E7C">
        <w:t xml:space="preserve">ANZSCO </w:t>
      </w:r>
      <w:r w:rsidR="008414DC">
        <w:t>S</w:t>
      </w:r>
      <w:r w:rsidR="00467E7C">
        <w:t xml:space="preserve">kill </w:t>
      </w:r>
      <w:r w:rsidR="008414DC">
        <w:t>L</w:t>
      </w:r>
      <w:r w:rsidR="00467E7C">
        <w:t>evel</w:t>
      </w:r>
      <w:r w:rsidR="005D44A4">
        <w:t xml:space="preserve"> 4</w:t>
      </w:r>
      <w:r w:rsidR="008414DC">
        <w:t>, and there is no industry agreement for the</w:t>
      </w:r>
      <w:r w:rsidR="00586045">
        <w:t>m</w:t>
      </w:r>
      <w:r w:rsidR="00A5339E">
        <w:t xml:space="preserve">. </w:t>
      </w:r>
      <w:hyperlink w:anchor="_Annex_4:_Designated" w:history="1">
        <w:r w:rsidR="00332E81" w:rsidRPr="00827F3D">
          <w:rPr>
            <w:rStyle w:val="Hyperlink"/>
          </w:rPr>
          <w:t xml:space="preserve">Annex </w:t>
        </w:r>
        <w:r w:rsidR="00586045" w:rsidRPr="00827F3D">
          <w:rPr>
            <w:rStyle w:val="Hyperlink"/>
          </w:rPr>
          <w:t>4</w:t>
        </w:r>
      </w:hyperlink>
      <w:r w:rsidR="00332E81">
        <w:t xml:space="preserve"> provides details on the regional DAMAs. The DAMAs have the potential over time to provide a pathway for PLS workers, especially if they are explicitly adjusted to do so. </w:t>
      </w:r>
      <w:r w:rsidR="00C23E74">
        <w:t>However, t</w:t>
      </w:r>
      <w:r w:rsidR="00A5339E">
        <w:t xml:space="preserve">he six </w:t>
      </w:r>
      <w:r w:rsidR="00876E29">
        <w:t xml:space="preserve">regional </w:t>
      </w:r>
      <w:r w:rsidR="00A5339E">
        <w:t xml:space="preserve">DAMAs </w:t>
      </w:r>
      <w:r w:rsidR="00755931">
        <w:t xml:space="preserve">currently </w:t>
      </w:r>
      <w:r w:rsidR="00A5339E">
        <w:t xml:space="preserve">in place cover </w:t>
      </w:r>
      <w:r w:rsidR="00755931">
        <w:t xml:space="preserve">only </w:t>
      </w:r>
      <w:r w:rsidR="00A5339E">
        <w:t>a relatively small portion of Australia’s population (about one million in total) and are largely untested</w:t>
      </w:r>
      <w:r w:rsidR="002B568A">
        <w:t xml:space="preserve"> because most commenced in mid-</w:t>
      </w:r>
      <w:r w:rsidR="00DE64D8">
        <w:t>2019 or later</w:t>
      </w:r>
      <w:r w:rsidR="00A5339E">
        <w:t>.</w:t>
      </w:r>
    </w:p>
    <w:p w14:paraId="7B9E0720" w14:textId="77777777" w:rsidR="0046693F" w:rsidRDefault="0046693F" w:rsidP="0046693F">
      <w:pPr>
        <w:spacing w:after="0"/>
        <w:jc w:val="both"/>
      </w:pPr>
    </w:p>
    <w:p w14:paraId="5DBB5F19" w14:textId="1610898C" w:rsidR="00233241" w:rsidRDefault="00233241" w:rsidP="0046693F">
      <w:pPr>
        <w:spacing w:after="0"/>
        <w:jc w:val="both"/>
      </w:pPr>
      <w:r>
        <w:lastRenderedPageBreak/>
        <w:t xml:space="preserve">Transition </w:t>
      </w:r>
      <w:r w:rsidR="005D2079">
        <w:t xml:space="preserve">from the PLS </w:t>
      </w:r>
      <w:r>
        <w:t xml:space="preserve">to the TSS requires a willing worker and a willing employer. An employer may have the incentive to incur the costs of meeting </w:t>
      </w:r>
      <w:r w:rsidR="00E952CE">
        <w:t xml:space="preserve">the TSS </w:t>
      </w:r>
      <w:r>
        <w:t>preconditions if they are considering sponsoring existing workers</w:t>
      </w:r>
      <w:r w:rsidR="00253630">
        <w:t xml:space="preserve"> who have </w:t>
      </w:r>
      <w:r w:rsidR="00584255">
        <w:t xml:space="preserve">demonstrated their knowledge, </w:t>
      </w:r>
      <w:proofErr w:type="gramStart"/>
      <w:r w:rsidR="00584255">
        <w:t>skills</w:t>
      </w:r>
      <w:proofErr w:type="gramEnd"/>
      <w:r w:rsidR="00584255">
        <w:t xml:space="preserve"> and attitudes</w:t>
      </w:r>
      <w:r>
        <w:t xml:space="preserve">. But workers should also be </w:t>
      </w:r>
      <w:r w:rsidR="00BE2872">
        <w:t xml:space="preserve">encouraged </w:t>
      </w:r>
      <w:r>
        <w:t xml:space="preserve">to meet the preconditions </w:t>
      </w:r>
      <w:r w:rsidR="00E0504D">
        <w:t xml:space="preserve">themselves </w:t>
      </w:r>
      <w:r>
        <w:t>if they are interested in staying on</w:t>
      </w:r>
      <w:r w:rsidR="00E0504D">
        <w:t>, including by applying elsewhere</w:t>
      </w:r>
      <w:r>
        <w:t>.</w:t>
      </w:r>
    </w:p>
    <w:p w14:paraId="06F5A0EC" w14:textId="77777777" w:rsidR="0046693F" w:rsidRDefault="0046693F" w:rsidP="0046693F">
      <w:pPr>
        <w:spacing w:after="0"/>
        <w:jc w:val="both"/>
      </w:pPr>
    </w:p>
    <w:p w14:paraId="17558883" w14:textId="1253ED45" w:rsidR="00D61A48" w:rsidRDefault="005D2079" w:rsidP="0046693F">
      <w:pPr>
        <w:spacing w:after="0"/>
        <w:jc w:val="both"/>
      </w:pPr>
      <w:r>
        <w:t>The PLS</w:t>
      </w:r>
      <w:r w:rsidR="00064F81">
        <w:t xml:space="preserve"> to TSS pathway</w:t>
      </w:r>
      <w:r>
        <w:t xml:space="preserve"> </w:t>
      </w:r>
      <w:r w:rsidR="00E81C16">
        <w:t xml:space="preserve">is </w:t>
      </w:r>
      <w:r>
        <w:t xml:space="preserve">not the only pathway for the Pacific into the TSS. </w:t>
      </w:r>
      <w:r w:rsidR="00D61A48">
        <w:t xml:space="preserve">The </w:t>
      </w:r>
      <w:r w:rsidR="00D61A48" w:rsidRPr="00E90F6C">
        <w:rPr>
          <w:b/>
          <w:bCs/>
        </w:rPr>
        <w:t>second pathway</w:t>
      </w:r>
      <w:r w:rsidR="00D61A48">
        <w:t xml:space="preserve"> would </w:t>
      </w:r>
      <w:r w:rsidR="00221A9F">
        <w:t xml:space="preserve">see Pacific </w:t>
      </w:r>
      <w:r w:rsidR="00D61A48">
        <w:t xml:space="preserve">workers with trades occupations </w:t>
      </w:r>
      <w:r w:rsidR="00221A9F">
        <w:t xml:space="preserve">being </w:t>
      </w:r>
      <w:r>
        <w:t>hired directly (offshore) into the TSS</w:t>
      </w:r>
      <w:r w:rsidR="002749AF">
        <w:t xml:space="preserve"> (see the factsheet at </w:t>
      </w:r>
      <w:hyperlink w:anchor="_Annex_5:_Direct-to-TSS" w:history="1">
        <w:r w:rsidR="002749AF" w:rsidRPr="00827F3D">
          <w:rPr>
            <w:rStyle w:val="Hyperlink"/>
          </w:rPr>
          <w:t xml:space="preserve">Annex </w:t>
        </w:r>
        <w:r w:rsidR="00586045" w:rsidRPr="00827F3D">
          <w:rPr>
            <w:rStyle w:val="Hyperlink"/>
          </w:rPr>
          <w:t>5</w:t>
        </w:r>
      </w:hyperlink>
      <w:r w:rsidR="002749AF">
        <w:t>)</w:t>
      </w:r>
      <w:r>
        <w:t xml:space="preserve">. </w:t>
      </w:r>
      <w:r w:rsidR="00D61A48">
        <w:t>Offshore hiring of Pacific workers into the TSS has been rare to date. However, there is potential for this given the large number of trades graduates trained by the</w:t>
      </w:r>
      <w:r w:rsidR="00F7069F">
        <w:t xml:space="preserve"> </w:t>
      </w:r>
      <w:r w:rsidR="00D61A48">
        <w:t xml:space="preserve">Australia Pacific Training Coalition </w:t>
      </w:r>
      <w:r w:rsidR="00590C14">
        <w:t>(APTC)</w:t>
      </w:r>
      <w:r w:rsidR="00C46EA4">
        <w:t xml:space="preserve"> – an Australian Government initiative undertaken in partnership with the Pacific –</w:t>
      </w:r>
      <w:r w:rsidR="00755931">
        <w:t xml:space="preserve"> who have </w:t>
      </w:r>
      <w:r w:rsidR="009102A4">
        <w:t>Australian</w:t>
      </w:r>
      <w:r w:rsidR="00755931">
        <w:t>-</w:t>
      </w:r>
      <w:r w:rsidR="009102A4">
        <w:t xml:space="preserve">recognised </w:t>
      </w:r>
      <w:r w:rsidR="00D61A48">
        <w:t>qualifications, the</w:t>
      </w:r>
      <w:r w:rsidR="00827F3D">
        <w:t>ir</w:t>
      </w:r>
      <w:r w:rsidR="00D61A48">
        <w:t xml:space="preserve"> eagerness to work overseas, </w:t>
      </w:r>
      <w:r w:rsidR="00590C14">
        <w:t xml:space="preserve">and </w:t>
      </w:r>
      <w:r w:rsidR="00827F3D">
        <w:t xml:space="preserve">their </w:t>
      </w:r>
      <w:r w:rsidR="00590C14">
        <w:t>difficulties in finding work domestically. With APTC now forming links with Australian employers, monitoring of initial pilots will provide critical information on the viability of this pathway.</w:t>
      </w:r>
    </w:p>
    <w:p w14:paraId="0C7D9D5D" w14:textId="77777777" w:rsidR="00D61A48" w:rsidRDefault="00D61A48" w:rsidP="0046693F">
      <w:pPr>
        <w:spacing w:after="0"/>
        <w:jc w:val="both"/>
      </w:pPr>
    </w:p>
    <w:p w14:paraId="0F00DEE4" w14:textId="38C22F62" w:rsidR="005D2079" w:rsidRDefault="005D2079" w:rsidP="0046693F">
      <w:pPr>
        <w:spacing w:after="0"/>
        <w:jc w:val="both"/>
      </w:pPr>
      <w:r>
        <w:t xml:space="preserve">The </w:t>
      </w:r>
      <w:bookmarkStart w:id="1" w:name="_Hlk86925168"/>
      <w:r w:rsidR="00590C14" w:rsidRPr="00E90F6C">
        <w:rPr>
          <w:b/>
          <w:bCs/>
        </w:rPr>
        <w:t>third pathway</w:t>
      </w:r>
      <w:r w:rsidR="00590C14">
        <w:t xml:space="preserve"> </w:t>
      </w:r>
      <w:bookmarkEnd w:id="1"/>
      <w:r w:rsidR="0053020D">
        <w:t xml:space="preserve">is the </w:t>
      </w:r>
      <w:r w:rsidR="004C450E">
        <w:t>T</w:t>
      </w:r>
      <w:r w:rsidR="00827E9D">
        <w:t xml:space="preserve">raining </w:t>
      </w:r>
      <w:r w:rsidR="000C2C63">
        <w:t>visa (subclass 407)</w:t>
      </w:r>
      <w:r w:rsidR="00C42527">
        <w:t xml:space="preserve"> </w:t>
      </w:r>
      <w:r w:rsidR="0053020D">
        <w:t xml:space="preserve">that could potentially be used </w:t>
      </w:r>
      <w:r>
        <w:t xml:space="preserve">to help </w:t>
      </w:r>
      <w:r w:rsidR="00BD25A4">
        <w:t xml:space="preserve">specific occupations </w:t>
      </w:r>
      <w:r w:rsidR="0053020D">
        <w:t xml:space="preserve">(trades and nurses) </w:t>
      </w:r>
      <w:r w:rsidR="00BD25A4">
        <w:t xml:space="preserve">gain Australian </w:t>
      </w:r>
      <w:r w:rsidR="00984AA5">
        <w:t xml:space="preserve">work experience to </w:t>
      </w:r>
      <w:r w:rsidR="00BD25A4">
        <w:t xml:space="preserve">access </w:t>
      </w:r>
      <w:r>
        <w:t xml:space="preserve">the TSS. </w:t>
      </w:r>
      <w:r w:rsidR="00586045">
        <w:t>T</w:t>
      </w:r>
      <w:r w:rsidR="0053020D">
        <w:t xml:space="preserve">his pathway is the least developed of the three identified, and more work would be needed even to move to a pilot stage. </w:t>
      </w:r>
    </w:p>
    <w:p w14:paraId="71ED278D" w14:textId="77777777" w:rsidR="00D61A48" w:rsidRDefault="00D61A48" w:rsidP="0046693F">
      <w:pPr>
        <w:spacing w:after="0"/>
        <w:jc w:val="both"/>
      </w:pPr>
    </w:p>
    <w:p w14:paraId="756C21B5" w14:textId="281294BD" w:rsidR="007D697A" w:rsidRDefault="007D697A" w:rsidP="00920F60">
      <w:pPr>
        <w:spacing w:after="0"/>
        <w:jc w:val="both"/>
      </w:pPr>
      <w:r>
        <w:t xml:space="preserve">While the TSS is itself a temporary visa, most </w:t>
      </w:r>
      <w:r w:rsidRPr="007D697A">
        <w:rPr>
          <w:color w:val="000000" w:themeColor="text1"/>
        </w:rPr>
        <w:t xml:space="preserve">TSS visas for trade-based occupations have a pathway to permanency, including all the ones noted above except for cooks in non-DAMA areas. It is therefore important to acknowledge that, in promoting Pacific participation in the TSS, the government is moving beyond the promotion of circular migration to the facilitation of access to permanent residence. There are </w:t>
      </w:r>
      <w:r w:rsidR="002E321F" w:rsidRPr="007D697A">
        <w:rPr>
          <w:color w:val="000000" w:themeColor="text1"/>
        </w:rPr>
        <w:t>several</w:t>
      </w:r>
      <w:r w:rsidRPr="007D697A">
        <w:rPr>
          <w:color w:val="000000" w:themeColor="text1"/>
        </w:rPr>
        <w:t xml:space="preserve"> benefits from this, including the expansion of the Pacific diaspora, the avoidance of indefinite family separation (as is possible under the PLS), and the opportunity </w:t>
      </w:r>
      <w:r>
        <w:t xml:space="preserve">for greater skill acquisition and integration. </w:t>
      </w:r>
    </w:p>
    <w:p w14:paraId="6C1C9DA2" w14:textId="77777777" w:rsidR="0046693F" w:rsidRDefault="0046693F" w:rsidP="0046693F">
      <w:pPr>
        <w:spacing w:after="0"/>
        <w:jc w:val="both"/>
      </w:pPr>
    </w:p>
    <w:p w14:paraId="4574099F" w14:textId="0CA088BD" w:rsidR="000C7455" w:rsidRDefault="000C7455" w:rsidP="0046693F">
      <w:pPr>
        <w:spacing w:after="0"/>
        <w:jc w:val="both"/>
      </w:pPr>
      <w:r>
        <w:t xml:space="preserve">It is not possible at this stage to quantify how much Pacific </w:t>
      </w:r>
      <w:r w:rsidR="002F2507">
        <w:t xml:space="preserve">and Timor-Leste </w:t>
      </w:r>
      <w:r>
        <w:t>participation in the TSS could increase. While a significant increase should be possible, one would not expect more than a minority of workers to make the transition from PLS to TSS</w:t>
      </w:r>
      <w:r w:rsidR="00586045">
        <w:t>. Beyond that, there are too many uncertainties to quantify the likely numbers involved.</w:t>
      </w:r>
    </w:p>
    <w:p w14:paraId="37EED9D5" w14:textId="76F6E5AD" w:rsidR="002749AF" w:rsidRDefault="002749AF" w:rsidP="0046693F">
      <w:pPr>
        <w:spacing w:after="0"/>
        <w:jc w:val="both"/>
      </w:pPr>
    </w:p>
    <w:p w14:paraId="78D612E2" w14:textId="55C69662" w:rsidR="002749AF" w:rsidRPr="00E90F6C" w:rsidRDefault="002749AF" w:rsidP="0046693F">
      <w:pPr>
        <w:spacing w:after="0"/>
        <w:jc w:val="both"/>
        <w:rPr>
          <w:b/>
          <w:bCs/>
        </w:rPr>
      </w:pPr>
      <w:bookmarkStart w:id="2" w:name="_Hlk90619109"/>
      <w:r>
        <w:rPr>
          <w:b/>
          <w:bCs/>
        </w:rPr>
        <w:t>Recommendations</w:t>
      </w:r>
    </w:p>
    <w:p w14:paraId="25503D2A" w14:textId="77777777" w:rsidR="0046693F" w:rsidRDefault="0046693F" w:rsidP="0046693F">
      <w:pPr>
        <w:spacing w:after="0"/>
        <w:jc w:val="both"/>
      </w:pPr>
    </w:p>
    <w:p w14:paraId="1DD4F6F2" w14:textId="383538F8" w:rsidR="002749AF" w:rsidRDefault="00CA22D6" w:rsidP="0046693F">
      <w:pPr>
        <w:spacing w:after="0"/>
        <w:jc w:val="both"/>
      </w:pPr>
      <w:r>
        <w:t xml:space="preserve">Several </w:t>
      </w:r>
      <w:r w:rsidR="002749AF">
        <w:t xml:space="preserve">actions </w:t>
      </w:r>
      <w:r w:rsidR="00AE3933">
        <w:t xml:space="preserve">would help achieve the goal of increasing Pacific </w:t>
      </w:r>
      <w:r>
        <w:t>participation</w:t>
      </w:r>
      <w:r w:rsidR="00AE3933">
        <w:t xml:space="preserve"> in the TSS</w:t>
      </w:r>
      <w:r w:rsidR="00816B0D">
        <w:t xml:space="preserve">. </w:t>
      </w:r>
    </w:p>
    <w:p w14:paraId="2B69B4AD" w14:textId="53AB3644" w:rsidR="002749AF" w:rsidRDefault="002749AF" w:rsidP="0046693F">
      <w:pPr>
        <w:spacing w:after="0"/>
        <w:jc w:val="both"/>
      </w:pPr>
    </w:p>
    <w:p w14:paraId="6A4DA458" w14:textId="2FA1E964" w:rsidR="002749AF" w:rsidRDefault="002749AF" w:rsidP="0046693F">
      <w:pPr>
        <w:spacing w:after="0"/>
        <w:jc w:val="both"/>
      </w:pPr>
      <w:r>
        <w:t xml:space="preserve">The first </w:t>
      </w:r>
      <w:r w:rsidR="007477B0">
        <w:t xml:space="preserve">set of </w:t>
      </w:r>
      <w:r>
        <w:t xml:space="preserve">reforms are at the </w:t>
      </w:r>
      <w:r w:rsidRPr="00E90F6C">
        <w:rPr>
          <w:b/>
          <w:bCs/>
        </w:rPr>
        <w:t>strategic and informational levels</w:t>
      </w:r>
      <w:r>
        <w:t>:</w:t>
      </w:r>
    </w:p>
    <w:p w14:paraId="2688B604" w14:textId="77777777" w:rsidR="002749AF" w:rsidRDefault="002749AF" w:rsidP="0046693F">
      <w:pPr>
        <w:spacing w:after="0"/>
        <w:jc w:val="both"/>
      </w:pPr>
    </w:p>
    <w:p w14:paraId="352F606F" w14:textId="07E01CE1" w:rsidR="002749AF" w:rsidRDefault="0026265A" w:rsidP="002749AF">
      <w:pPr>
        <w:pStyle w:val="ListParagraph"/>
        <w:numPr>
          <w:ilvl w:val="0"/>
          <w:numId w:val="25"/>
        </w:numPr>
        <w:spacing w:after="0"/>
        <w:jc w:val="both"/>
      </w:pPr>
      <w:r>
        <w:t>DFAT</w:t>
      </w:r>
      <w:r w:rsidR="007477B0">
        <w:t xml:space="preserve"> should</w:t>
      </w:r>
      <w:r>
        <w:t xml:space="preserve"> develop a position paper endorsing th</w:t>
      </w:r>
      <w:r w:rsidR="002749AF">
        <w:t>e</w:t>
      </w:r>
      <w:r>
        <w:t xml:space="preserve"> goal</w:t>
      </w:r>
      <w:r w:rsidR="002749AF">
        <w:t xml:space="preserve"> of increasing Pacific participation in the TSS</w:t>
      </w:r>
      <w:r>
        <w:t xml:space="preserve">, </w:t>
      </w:r>
      <w:r w:rsidR="00B92253">
        <w:t>setting out its rationale</w:t>
      </w:r>
      <w:r w:rsidR="00C46EA4">
        <w:t xml:space="preserve"> and benefits</w:t>
      </w:r>
      <w:r w:rsidR="002462B1">
        <w:t xml:space="preserve">, </w:t>
      </w:r>
      <w:r w:rsidR="000C7455">
        <w:t xml:space="preserve">and </w:t>
      </w:r>
      <w:r w:rsidR="002749AF">
        <w:t>spelling out the possible pathways</w:t>
      </w:r>
      <w:r w:rsidR="00221A9F">
        <w:t xml:space="preserve">. </w:t>
      </w:r>
    </w:p>
    <w:p w14:paraId="427A1DA9" w14:textId="77777777" w:rsidR="002749AF" w:rsidRDefault="002749AF" w:rsidP="00E90F6C">
      <w:pPr>
        <w:pStyle w:val="ListParagraph"/>
        <w:spacing w:after="0"/>
        <w:jc w:val="both"/>
      </w:pPr>
    </w:p>
    <w:p w14:paraId="4D1D05BB" w14:textId="357A457B" w:rsidR="008B4004" w:rsidRDefault="002749AF" w:rsidP="002749AF">
      <w:pPr>
        <w:pStyle w:val="ListParagraph"/>
        <w:numPr>
          <w:ilvl w:val="0"/>
          <w:numId w:val="25"/>
        </w:numPr>
        <w:spacing w:after="0"/>
        <w:jc w:val="both"/>
      </w:pPr>
      <w:r>
        <w:t xml:space="preserve">DFAT </w:t>
      </w:r>
      <w:r w:rsidR="002A75D6">
        <w:t>should</w:t>
      </w:r>
      <w:r>
        <w:t xml:space="preserve"> make i</w:t>
      </w:r>
      <w:r w:rsidR="00AE3933">
        <w:t xml:space="preserve">nformation on the pathways </w:t>
      </w:r>
      <w:r w:rsidR="0026265A">
        <w:t xml:space="preserve">available to prospective </w:t>
      </w:r>
      <w:r w:rsidR="00221A9F">
        <w:t xml:space="preserve">TSS </w:t>
      </w:r>
      <w:r w:rsidR="0026265A">
        <w:t xml:space="preserve">workers </w:t>
      </w:r>
      <w:r w:rsidR="00FA0707">
        <w:t xml:space="preserve">from the Pacific and Timor-Leste </w:t>
      </w:r>
      <w:r w:rsidR="0026265A">
        <w:t xml:space="preserve">and </w:t>
      </w:r>
      <w:r w:rsidR="00FA0707">
        <w:t xml:space="preserve">to Australian </w:t>
      </w:r>
      <w:r w:rsidR="0026265A">
        <w:t xml:space="preserve">employers. </w:t>
      </w:r>
    </w:p>
    <w:p w14:paraId="05343E8A" w14:textId="77777777" w:rsidR="00156254" w:rsidRDefault="00156254" w:rsidP="00E90F6C">
      <w:pPr>
        <w:pStyle w:val="ListParagraph"/>
      </w:pPr>
    </w:p>
    <w:p w14:paraId="1BBB8D9B" w14:textId="5AAAC876" w:rsidR="00156254" w:rsidRDefault="00156254" w:rsidP="00E90F6C">
      <w:pPr>
        <w:pStyle w:val="ListParagraph"/>
        <w:numPr>
          <w:ilvl w:val="0"/>
          <w:numId w:val="25"/>
        </w:numPr>
        <w:spacing w:after="0"/>
        <w:jc w:val="both"/>
      </w:pPr>
      <w:r>
        <w:t xml:space="preserve">Much remains to be learnt. The ANU labour mobility team should be </w:t>
      </w:r>
      <w:r w:rsidR="00C46EA4">
        <w:t xml:space="preserve">utilised </w:t>
      </w:r>
      <w:r>
        <w:t xml:space="preserve">to monitor pilots, capture changes, and further develop the ideas in this approach paper. </w:t>
      </w:r>
    </w:p>
    <w:p w14:paraId="4F64821D" w14:textId="77777777" w:rsidR="0046693F" w:rsidRDefault="0046693F" w:rsidP="0046693F">
      <w:pPr>
        <w:spacing w:after="0"/>
        <w:jc w:val="both"/>
      </w:pPr>
    </w:p>
    <w:p w14:paraId="4A379C40" w14:textId="11789131" w:rsidR="00A5339E" w:rsidRDefault="00156254" w:rsidP="0046693F">
      <w:pPr>
        <w:spacing w:after="0"/>
        <w:jc w:val="both"/>
      </w:pPr>
      <w:r>
        <w:lastRenderedPageBreak/>
        <w:t xml:space="preserve">Several </w:t>
      </w:r>
      <w:r w:rsidR="00816B0D" w:rsidRPr="007D697A">
        <w:rPr>
          <w:b/>
        </w:rPr>
        <w:t>organisational reforms</w:t>
      </w:r>
      <w:r>
        <w:t xml:space="preserve"> </w:t>
      </w:r>
      <w:r w:rsidR="00B32562">
        <w:t xml:space="preserve">are </w:t>
      </w:r>
      <w:r>
        <w:t>also important</w:t>
      </w:r>
      <w:r w:rsidR="00816B0D">
        <w:t>:</w:t>
      </w:r>
    </w:p>
    <w:p w14:paraId="075C7D06" w14:textId="77777777" w:rsidR="0046693F" w:rsidRDefault="0046693F" w:rsidP="0046693F">
      <w:pPr>
        <w:spacing w:after="0"/>
        <w:jc w:val="both"/>
      </w:pPr>
    </w:p>
    <w:p w14:paraId="1563BE09" w14:textId="0916B435" w:rsidR="00CA22D6" w:rsidRDefault="00CA22D6" w:rsidP="00E90F6C">
      <w:pPr>
        <w:pStyle w:val="ListParagraph"/>
        <w:numPr>
          <w:ilvl w:val="0"/>
          <w:numId w:val="25"/>
        </w:numPr>
        <w:spacing w:after="0"/>
        <w:jc w:val="both"/>
      </w:pPr>
      <w:r>
        <w:t xml:space="preserve">An </w:t>
      </w:r>
      <w:proofErr w:type="gramStart"/>
      <w:r w:rsidR="00C007CA">
        <w:t>intermediary need</w:t>
      </w:r>
      <w:r w:rsidR="008C4197">
        <w:t>s</w:t>
      </w:r>
      <w:proofErr w:type="gramEnd"/>
      <w:r>
        <w:t xml:space="preserve"> to be tasked to </w:t>
      </w:r>
      <w:r w:rsidR="00E0504D">
        <w:t xml:space="preserve">facilitate </w:t>
      </w:r>
      <w:r w:rsidR="001B493D">
        <w:t>PLS-TSS transitions</w:t>
      </w:r>
      <w:r>
        <w:t xml:space="preserve">. This job </w:t>
      </w:r>
      <w:r w:rsidR="00EE1C9E">
        <w:t>c</w:t>
      </w:r>
      <w:r>
        <w:t>ould go to the P</w:t>
      </w:r>
      <w:r w:rsidR="00E0504D">
        <w:t xml:space="preserve">acific </w:t>
      </w:r>
      <w:r>
        <w:t>L</w:t>
      </w:r>
      <w:r w:rsidR="00E0504D">
        <w:t xml:space="preserve">abour </w:t>
      </w:r>
      <w:r>
        <w:t>F</w:t>
      </w:r>
      <w:r w:rsidR="00E0504D">
        <w:t xml:space="preserve">acility, given </w:t>
      </w:r>
      <w:r w:rsidR="008414DC">
        <w:t xml:space="preserve">its focus on the </w:t>
      </w:r>
      <w:r w:rsidR="00E0504D">
        <w:t>PLS</w:t>
      </w:r>
      <w:r>
        <w:t xml:space="preserve">. Duties for the intermediary would </w:t>
      </w:r>
      <w:proofErr w:type="gramStart"/>
      <w:r>
        <w:t>include:</w:t>
      </w:r>
      <w:proofErr w:type="gramEnd"/>
      <w:r>
        <w:t xml:space="preserve"> informing workers and employers of PLS-TSS transition possibilities;</w:t>
      </w:r>
      <w:r w:rsidR="00816B0D">
        <w:t xml:space="preserve"> </w:t>
      </w:r>
      <w:r w:rsidR="00233241">
        <w:t>helping workers and employers meet transition preconditions</w:t>
      </w:r>
      <w:r w:rsidR="00AB374D">
        <w:t>;</w:t>
      </w:r>
      <w:r w:rsidR="009F6244">
        <w:t xml:space="preserve"> and collecting information on </w:t>
      </w:r>
      <w:r w:rsidR="00342A8C">
        <w:t xml:space="preserve">where </w:t>
      </w:r>
      <w:r w:rsidR="006C20DB">
        <w:t>speed bumps are slowing progress on the pathway</w:t>
      </w:r>
      <w:r w:rsidR="00471507">
        <w:t xml:space="preserve">. </w:t>
      </w:r>
    </w:p>
    <w:p w14:paraId="18433E60" w14:textId="77777777" w:rsidR="00816B0D" w:rsidRDefault="00816B0D" w:rsidP="0046693F">
      <w:pPr>
        <w:pStyle w:val="ListParagraph"/>
        <w:spacing w:after="0"/>
        <w:jc w:val="both"/>
      </w:pPr>
    </w:p>
    <w:p w14:paraId="57C71D5A" w14:textId="76670559" w:rsidR="001B493D" w:rsidRPr="00226884" w:rsidRDefault="0043364D" w:rsidP="00E90F6C">
      <w:pPr>
        <w:pStyle w:val="ListParagraph"/>
        <w:numPr>
          <w:ilvl w:val="0"/>
          <w:numId w:val="25"/>
        </w:numPr>
        <w:spacing w:after="0"/>
        <w:jc w:val="both"/>
      </w:pPr>
      <w:r>
        <w:t>T</w:t>
      </w:r>
      <w:r w:rsidR="00F7069F">
        <w:t xml:space="preserve">he </w:t>
      </w:r>
      <w:r w:rsidR="001B493D" w:rsidRPr="00226884">
        <w:t>Australia Pacific Training Coalition (APTC)</w:t>
      </w:r>
      <w:r w:rsidR="00F7069F">
        <w:t>,</w:t>
      </w:r>
      <w:r w:rsidR="001B493D" w:rsidRPr="00226884">
        <w:t xml:space="preserve"> as a </w:t>
      </w:r>
      <w:proofErr w:type="gramStart"/>
      <w:r w:rsidR="001B493D" w:rsidRPr="00226884">
        <w:t>fully-funded</w:t>
      </w:r>
      <w:proofErr w:type="gramEnd"/>
      <w:r w:rsidR="001B493D" w:rsidRPr="00226884">
        <w:t xml:space="preserve"> </w:t>
      </w:r>
      <w:r>
        <w:t xml:space="preserve">Australian Government initiative undertaken in partnership with the Pacific </w:t>
      </w:r>
      <w:r w:rsidR="001B493D" w:rsidRPr="00226884">
        <w:t>and the primary provider of Australian-accredited qualifications in the Pacific</w:t>
      </w:r>
      <w:r w:rsidR="009670DC">
        <w:t>,</w:t>
      </w:r>
      <w:r w:rsidR="001B493D" w:rsidRPr="00226884">
        <w:t xml:space="preserve"> </w:t>
      </w:r>
      <w:r w:rsidR="00634C6A">
        <w:t>sh</w:t>
      </w:r>
      <w:r w:rsidR="00156254" w:rsidRPr="00226884">
        <w:t xml:space="preserve">ould </w:t>
      </w:r>
      <w:r w:rsidR="00634C6A">
        <w:t>help</w:t>
      </w:r>
      <w:r w:rsidR="00156254" w:rsidRPr="00226884">
        <w:t xml:space="preserve"> </w:t>
      </w:r>
      <w:r w:rsidR="002B568A">
        <w:t xml:space="preserve">their graduates </w:t>
      </w:r>
      <w:r w:rsidR="00634C6A">
        <w:t xml:space="preserve">access labour mobility in relation to </w:t>
      </w:r>
      <w:r w:rsidR="002B568A">
        <w:t>occupations that require their skills and experience via both the PLS and the TSS</w:t>
      </w:r>
      <w:r w:rsidR="00B32562" w:rsidRPr="00226884">
        <w:t>. APTC’s new labour mobility strategy would spell out its role</w:t>
      </w:r>
      <w:r w:rsidR="00226884" w:rsidRPr="00226884">
        <w:t xml:space="preserve"> as a labour mobility intermediary</w:t>
      </w:r>
      <w:r w:rsidR="00BE15D0">
        <w:t xml:space="preserve"> </w:t>
      </w:r>
      <w:r w:rsidR="006B25C2">
        <w:t xml:space="preserve">for its </w:t>
      </w:r>
      <w:r w:rsidR="004465E9">
        <w:t xml:space="preserve">eligible </w:t>
      </w:r>
      <w:r w:rsidR="006B25C2">
        <w:t xml:space="preserve">graduates </w:t>
      </w:r>
      <w:r w:rsidR="002B568A">
        <w:t xml:space="preserve">through </w:t>
      </w:r>
      <w:r w:rsidR="00BE15D0">
        <w:t>both pathways</w:t>
      </w:r>
      <w:r w:rsidR="00B32562" w:rsidRPr="00226884">
        <w:t xml:space="preserve">, </w:t>
      </w:r>
      <w:r w:rsidR="002B568A">
        <w:t xml:space="preserve">with the </w:t>
      </w:r>
      <w:r w:rsidR="00634C6A">
        <w:t>direct-to-</w:t>
      </w:r>
      <w:r w:rsidR="002B568A">
        <w:t xml:space="preserve">TSS pathway being pursued via a variety of </w:t>
      </w:r>
      <w:r w:rsidR="00B32562" w:rsidRPr="00226884">
        <w:t>pilots undertaken with employers.</w:t>
      </w:r>
    </w:p>
    <w:p w14:paraId="0CBDF4D1" w14:textId="77777777" w:rsidR="001B493D" w:rsidRDefault="001B493D" w:rsidP="001B493D">
      <w:pPr>
        <w:pStyle w:val="ListParagraph"/>
      </w:pPr>
    </w:p>
    <w:p w14:paraId="19100E3D" w14:textId="56112837" w:rsidR="0043364D" w:rsidRPr="00A40143" w:rsidRDefault="0043364D" w:rsidP="0043364D">
      <w:pPr>
        <w:pStyle w:val="ListParagraph"/>
        <w:numPr>
          <w:ilvl w:val="0"/>
          <w:numId w:val="25"/>
        </w:numPr>
        <w:spacing w:after="0"/>
        <w:jc w:val="both"/>
      </w:pPr>
      <w:r w:rsidRPr="00A40143">
        <w:t>Any Pacific workers who access the TSS with support from the APTC or PL</w:t>
      </w:r>
      <w:r w:rsidR="00A40143" w:rsidRPr="00A40143">
        <w:t>F</w:t>
      </w:r>
      <w:r w:rsidRPr="00A40143">
        <w:t xml:space="preserve"> should be eligible for the same support as PLS workers (</w:t>
      </w:r>
      <w:proofErr w:type="gramStart"/>
      <w:r w:rsidRPr="00A40143">
        <w:t>e.g.</w:t>
      </w:r>
      <w:proofErr w:type="gramEnd"/>
      <w:r w:rsidRPr="00A40143">
        <w:t xml:space="preserve"> hotline, access to </w:t>
      </w:r>
      <w:r w:rsidR="00B53E9A" w:rsidRPr="00A40143">
        <w:t>PLF welfare officers</w:t>
      </w:r>
      <w:r w:rsidRPr="00A40143">
        <w:t>, etc).</w:t>
      </w:r>
    </w:p>
    <w:p w14:paraId="1505EE18" w14:textId="77777777" w:rsidR="0043364D" w:rsidRDefault="0043364D" w:rsidP="0043364D">
      <w:pPr>
        <w:pStyle w:val="ListParagraph"/>
      </w:pPr>
    </w:p>
    <w:p w14:paraId="471F44FD" w14:textId="1DC83BFC" w:rsidR="00CA22D6" w:rsidRDefault="001B493D" w:rsidP="00E90F6C">
      <w:pPr>
        <w:pStyle w:val="ListParagraph"/>
        <w:numPr>
          <w:ilvl w:val="0"/>
          <w:numId w:val="25"/>
        </w:numPr>
        <w:spacing w:after="0"/>
        <w:jc w:val="both"/>
      </w:pPr>
      <w:r>
        <w:t>Other k</w:t>
      </w:r>
      <w:r w:rsidR="00CA22D6">
        <w:t xml:space="preserve">ey Pacific training </w:t>
      </w:r>
      <w:r w:rsidR="00E0504D">
        <w:t>providers, including</w:t>
      </w:r>
      <w:r w:rsidR="00CA22D6">
        <w:t xml:space="preserve"> Pacific TAFE and F</w:t>
      </w:r>
      <w:r w:rsidR="00E971EF">
        <w:t xml:space="preserve">iji </w:t>
      </w:r>
      <w:r w:rsidR="00CA22D6">
        <w:t>N</w:t>
      </w:r>
      <w:r w:rsidR="00E971EF">
        <w:t xml:space="preserve">ational </w:t>
      </w:r>
      <w:r w:rsidR="00CA22D6">
        <w:t>U</w:t>
      </w:r>
      <w:r w:rsidR="00E971EF">
        <w:t>niversity</w:t>
      </w:r>
      <w:r w:rsidR="002313D8">
        <w:t xml:space="preserve"> (FNU)</w:t>
      </w:r>
      <w:r>
        <w:t xml:space="preserve">, </w:t>
      </w:r>
      <w:r w:rsidR="00CA22D6">
        <w:t>should be made aware of Australian labour market opportunities</w:t>
      </w:r>
      <w:r w:rsidR="008D490D">
        <w:t xml:space="preserve"> for </w:t>
      </w:r>
      <w:r w:rsidR="000261E4">
        <w:t>qualifications they provide</w:t>
      </w:r>
      <w:r w:rsidR="00156254">
        <w:t xml:space="preserve">, and relationships </w:t>
      </w:r>
      <w:r w:rsidR="00E971EF">
        <w:t xml:space="preserve">with them </w:t>
      </w:r>
      <w:r w:rsidR="00156254">
        <w:t>continued to be developed</w:t>
      </w:r>
      <w:r w:rsidR="00CA22D6">
        <w:t xml:space="preserve">. </w:t>
      </w:r>
      <w:r w:rsidR="0030254E">
        <w:t>F</w:t>
      </w:r>
      <w:r w:rsidR="00233241">
        <w:t xml:space="preserve">unding should be </w:t>
      </w:r>
      <w:r w:rsidR="0030254E">
        <w:t>directed</w:t>
      </w:r>
      <w:r w:rsidR="00E746F8">
        <w:t xml:space="preserve">, </w:t>
      </w:r>
      <w:r w:rsidR="00233241">
        <w:t>where required</w:t>
      </w:r>
      <w:r w:rsidR="00E746F8">
        <w:t>,</w:t>
      </w:r>
      <w:r w:rsidR="00233241">
        <w:t xml:space="preserve"> to counter risks of </w:t>
      </w:r>
      <w:r w:rsidR="00E043AB">
        <w:t>“</w:t>
      </w:r>
      <w:r w:rsidR="00233241">
        <w:t>brain drain</w:t>
      </w:r>
      <w:r w:rsidR="00E043AB">
        <w:t>”</w:t>
      </w:r>
      <w:r w:rsidR="00233241">
        <w:t>.</w:t>
      </w:r>
    </w:p>
    <w:p w14:paraId="2641C2F2" w14:textId="77777777" w:rsidR="0043364D" w:rsidRDefault="0043364D" w:rsidP="0043364D">
      <w:pPr>
        <w:pStyle w:val="ListParagraph"/>
      </w:pPr>
    </w:p>
    <w:p w14:paraId="7A789F07" w14:textId="24E38677" w:rsidR="00816B0D" w:rsidRDefault="009622C6" w:rsidP="00E90F6C">
      <w:pPr>
        <w:spacing w:after="0"/>
        <w:jc w:val="both"/>
      </w:pPr>
      <w:r>
        <w:t>While the above pathways are predicated on existing policy setting</w:t>
      </w:r>
      <w:r w:rsidR="00B47F0A">
        <w:t>s</w:t>
      </w:r>
      <w:r>
        <w:t xml:space="preserve">, some </w:t>
      </w:r>
      <w:r w:rsidRPr="00E90F6C">
        <w:rPr>
          <w:b/>
          <w:bCs/>
        </w:rPr>
        <w:t>policy reforms</w:t>
      </w:r>
      <w:r>
        <w:t xml:space="preserve"> </w:t>
      </w:r>
      <w:r w:rsidR="00EE1C9E">
        <w:t>c</w:t>
      </w:r>
      <w:r>
        <w:t>ould be useful to increase their utilisation</w:t>
      </w:r>
      <w:r w:rsidR="00156254">
        <w:t>. Within the time constraints of the existing assignment, the following reforms have been identified as potentially useful for further consideration and/or implementation:</w:t>
      </w:r>
    </w:p>
    <w:p w14:paraId="374CA8E1" w14:textId="77777777" w:rsidR="0046693F" w:rsidRDefault="0046693F" w:rsidP="0046693F">
      <w:pPr>
        <w:spacing w:after="0"/>
      </w:pPr>
    </w:p>
    <w:p w14:paraId="25997192" w14:textId="3E5AB18A" w:rsidR="00BE3E1D" w:rsidRDefault="00BE3E1D" w:rsidP="00E90F6C">
      <w:pPr>
        <w:pStyle w:val="ListParagraph"/>
        <w:numPr>
          <w:ilvl w:val="0"/>
          <w:numId w:val="25"/>
        </w:numPr>
        <w:spacing w:after="0"/>
        <w:jc w:val="both"/>
      </w:pPr>
      <w:r>
        <w:t>The PLS could be written into industry and area migration agreements so that PLS work</w:t>
      </w:r>
      <w:r w:rsidR="00C94C44">
        <w:t xml:space="preserve"> in </w:t>
      </w:r>
      <w:r w:rsidR="0012290E">
        <w:t xml:space="preserve">the nominated </w:t>
      </w:r>
      <w:r w:rsidR="00C94C44">
        <w:t>occupations</w:t>
      </w:r>
      <w:r>
        <w:t xml:space="preserve"> </w:t>
      </w:r>
      <w:r w:rsidR="0012290E">
        <w:t xml:space="preserve">in these agreements </w:t>
      </w:r>
      <w:r>
        <w:t xml:space="preserve">for, say, 12 months, </w:t>
      </w:r>
      <w:r w:rsidR="00E01301">
        <w:t xml:space="preserve">can </w:t>
      </w:r>
      <w:r>
        <w:t xml:space="preserve">meet the </w:t>
      </w:r>
      <w:r w:rsidR="00C03D1A">
        <w:t xml:space="preserve">work </w:t>
      </w:r>
      <w:r>
        <w:t xml:space="preserve">experience requirement of the agreement. </w:t>
      </w:r>
    </w:p>
    <w:p w14:paraId="0AA6A830" w14:textId="77777777" w:rsidR="00BE3E1D" w:rsidRDefault="00BE3E1D" w:rsidP="00BE3E1D">
      <w:pPr>
        <w:pStyle w:val="ListParagraph"/>
        <w:spacing w:after="0"/>
      </w:pPr>
    </w:p>
    <w:p w14:paraId="368EEB1E" w14:textId="3548208D" w:rsidR="00BE3E1D" w:rsidRDefault="00BE3E1D" w:rsidP="00E90F6C">
      <w:pPr>
        <w:pStyle w:val="ListParagraph"/>
        <w:numPr>
          <w:ilvl w:val="0"/>
          <w:numId w:val="25"/>
        </w:numPr>
        <w:spacing w:after="0"/>
        <w:jc w:val="both"/>
      </w:pPr>
      <w:r>
        <w:t xml:space="preserve">Minimum-income threshold (TSMIT) concessions </w:t>
      </w:r>
      <w:r w:rsidR="00EE1C9E">
        <w:t>c</w:t>
      </w:r>
      <w:r>
        <w:t>ould be offered</w:t>
      </w:r>
      <w:r w:rsidR="006533C0">
        <w:t xml:space="preserve"> in regional areas</w:t>
      </w:r>
      <w:r w:rsidR="00384430">
        <w:t xml:space="preserve">, </w:t>
      </w:r>
      <w:r>
        <w:t>if required</w:t>
      </w:r>
      <w:r w:rsidR="00384430">
        <w:t>,</w:t>
      </w:r>
      <w:r>
        <w:t xml:space="preserve"> for lower-skill</w:t>
      </w:r>
      <w:r w:rsidR="00D25346">
        <w:t xml:space="preserve"> (</w:t>
      </w:r>
      <w:r w:rsidR="00E971EF">
        <w:t>S</w:t>
      </w:r>
      <w:r w:rsidR="00D25346">
        <w:t xml:space="preserve">kill </w:t>
      </w:r>
      <w:r w:rsidR="00E971EF">
        <w:t>L</w:t>
      </w:r>
      <w:r w:rsidR="00D25346">
        <w:t xml:space="preserve">evel 4) </w:t>
      </w:r>
      <w:r>
        <w:t>occupations</w:t>
      </w:r>
      <w:r w:rsidR="00144F02">
        <w:t xml:space="preserve"> </w:t>
      </w:r>
      <w:r w:rsidR="000156AC">
        <w:t xml:space="preserve">such as aged </w:t>
      </w:r>
      <w:r w:rsidR="00144F02">
        <w:t>care workers</w:t>
      </w:r>
      <w:r>
        <w:t xml:space="preserve">. </w:t>
      </w:r>
    </w:p>
    <w:p w14:paraId="23DEA1C9" w14:textId="77777777" w:rsidR="00BE3E1D" w:rsidRDefault="00BE3E1D" w:rsidP="00BE3E1D">
      <w:pPr>
        <w:pStyle w:val="ListParagraph"/>
        <w:spacing w:after="0"/>
        <w:jc w:val="both"/>
      </w:pPr>
    </w:p>
    <w:p w14:paraId="2EF1653A" w14:textId="1E6B7D92" w:rsidR="00BE3E1D" w:rsidRPr="00456F3F" w:rsidRDefault="00BE3E1D" w:rsidP="00E90F6C">
      <w:pPr>
        <w:pStyle w:val="ListParagraph"/>
        <w:numPr>
          <w:ilvl w:val="0"/>
          <w:numId w:val="25"/>
        </w:numPr>
        <w:spacing w:after="0"/>
        <w:jc w:val="both"/>
      </w:pPr>
      <w:r w:rsidRPr="00456F3F">
        <w:t xml:space="preserve">To increase </w:t>
      </w:r>
      <w:r w:rsidR="006941A4" w:rsidRPr="00456F3F">
        <w:t xml:space="preserve">the </w:t>
      </w:r>
      <w:r w:rsidRPr="00456F3F">
        <w:t>accessibility</w:t>
      </w:r>
      <w:r w:rsidR="006941A4" w:rsidRPr="00456F3F">
        <w:t xml:space="preserve"> of DAMAs</w:t>
      </w:r>
      <w:r w:rsidR="001B0FAE" w:rsidRPr="00456F3F">
        <w:t xml:space="preserve"> to employers</w:t>
      </w:r>
      <w:r w:rsidRPr="00456F3F">
        <w:t>,</w:t>
      </w:r>
      <w:r w:rsidR="00226884" w:rsidRPr="00456F3F">
        <w:t xml:space="preserve"> </w:t>
      </w:r>
      <w:r w:rsidR="00156254" w:rsidRPr="00456F3F">
        <w:t>and while acknowledging that each DAMA will be different in its focus,</w:t>
      </w:r>
      <w:r w:rsidRPr="00456F3F">
        <w:t xml:space="preserve"> it would be useful </w:t>
      </w:r>
      <w:r w:rsidR="00EC3E17" w:rsidRPr="00456F3F">
        <w:t xml:space="preserve">for the Department of Home Affairs </w:t>
      </w:r>
      <w:r w:rsidRPr="00456F3F">
        <w:t xml:space="preserve">to streamline the DAMAs to produce a consistent set of </w:t>
      </w:r>
      <w:r w:rsidR="00B53E9A" w:rsidRPr="00456F3F">
        <w:t>qualifications</w:t>
      </w:r>
      <w:r w:rsidRPr="00456F3F">
        <w:t xml:space="preserve"> and </w:t>
      </w:r>
      <w:r w:rsidR="00B53E9A" w:rsidRPr="00456F3F">
        <w:t xml:space="preserve">work </w:t>
      </w:r>
      <w:r w:rsidRPr="00456F3F">
        <w:t xml:space="preserve">experience required for </w:t>
      </w:r>
      <w:r w:rsidR="00B53E9A" w:rsidRPr="00456F3F">
        <w:t xml:space="preserve">the same </w:t>
      </w:r>
      <w:r w:rsidRPr="00456F3F">
        <w:t>nominated occupations.</w:t>
      </w:r>
    </w:p>
    <w:p w14:paraId="7DC5274D" w14:textId="77777777" w:rsidR="00BE3E1D" w:rsidRDefault="00BE3E1D" w:rsidP="00BE3E1D">
      <w:pPr>
        <w:pStyle w:val="ListParagraph"/>
      </w:pPr>
    </w:p>
    <w:p w14:paraId="0F81AEE2" w14:textId="1237F5FF" w:rsidR="00BE3E1D" w:rsidRDefault="00BE3E1D" w:rsidP="00E90F6C">
      <w:pPr>
        <w:pStyle w:val="ListParagraph"/>
        <w:numPr>
          <w:ilvl w:val="0"/>
          <w:numId w:val="25"/>
        </w:numPr>
        <w:spacing w:after="0"/>
        <w:jc w:val="both"/>
      </w:pPr>
      <w:r>
        <w:t xml:space="preserve">Most meatworkers </w:t>
      </w:r>
      <w:r w:rsidR="00F11992">
        <w:t xml:space="preserve">in the PLS </w:t>
      </w:r>
      <w:r>
        <w:t xml:space="preserve">are </w:t>
      </w:r>
      <w:r w:rsidR="00CD2B62">
        <w:t xml:space="preserve">employed </w:t>
      </w:r>
      <w:r>
        <w:t xml:space="preserve">by labour hire companies, </w:t>
      </w:r>
      <w:r w:rsidR="001B0FAE">
        <w:t xml:space="preserve">which </w:t>
      </w:r>
      <w:r>
        <w:t xml:space="preserve">cannot participate in the Meat Industry Labour Agreement. </w:t>
      </w:r>
      <w:r w:rsidR="007C197F">
        <w:t>A</w:t>
      </w:r>
      <w:r>
        <w:t xml:space="preserve">n exception </w:t>
      </w:r>
      <w:r w:rsidR="00221A9F">
        <w:t>c</w:t>
      </w:r>
      <w:r>
        <w:t>ould be granted</w:t>
      </w:r>
      <w:r w:rsidR="00C969AB">
        <w:t xml:space="preserve"> by the Department of Home Affairs</w:t>
      </w:r>
      <w:r w:rsidR="00FC3745">
        <w:t xml:space="preserve"> for</w:t>
      </w:r>
      <w:r>
        <w:t xml:space="preserve"> labour hire companies to participate in the MILA </w:t>
      </w:r>
      <w:r w:rsidR="002A2ED1">
        <w:t>to enable the</w:t>
      </w:r>
      <w:r w:rsidR="00DC1D18">
        <w:t xml:space="preserve">ir </w:t>
      </w:r>
      <w:r w:rsidR="00CD2B62">
        <w:t xml:space="preserve">PLS </w:t>
      </w:r>
      <w:r w:rsidR="002A2ED1">
        <w:t xml:space="preserve">workers to access the TSS pathway. </w:t>
      </w:r>
    </w:p>
    <w:p w14:paraId="7D1EDBF4" w14:textId="77777777" w:rsidR="00BE3E1D" w:rsidRDefault="00BE3E1D" w:rsidP="00BE3E1D">
      <w:pPr>
        <w:pStyle w:val="ListParagraph"/>
        <w:spacing w:after="0"/>
        <w:jc w:val="both"/>
      </w:pPr>
    </w:p>
    <w:p w14:paraId="3CA0F8E8" w14:textId="6968DF42" w:rsidR="0046693F" w:rsidRDefault="00BE3E1D" w:rsidP="00E90F6C">
      <w:pPr>
        <w:pStyle w:val="ListParagraph"/>
        <w:numPr>
          <w:ilvl w:val="0"/>
          <w:numId w:val="25"/>
        </w:numPr>
        <w:spacing w:after="0"/>
        <w:jc w:val="both"/>
      </w:pPr>
      <w:r>
        <w:lastRenderedPageBreak/>
        <w:t xml:space="preserve">Pacific countries and Timor-Leste </w:t>
      </w:r>
      <w:r w:rsidR="00EE1C9E">
        <w:t>c</w:t>
      </w:r>
      <w:r>
        <w:t>ould, like Asian countries, have capped access to the backpacker Work and Holiday (462) Visa. This would provide an additional pathway</w:t>
      </w:r>
      <w:r w:rsidR="00EC28E1">
        <w:t xml:space="preserve"> to gain </w:t>
      </w:r>
      <w:r w:rsidR="009C031F">
        <w:t>relevant work experience and on-the-job training</w:t>
      </w:r>
      <w:r w:rsidR="007D697A">
        <w:t>, and link with employers.</w:t>
      </w:r>
    </w:p>
    <w:p w14:paraId="5DC61768" w14:textId="77777777" w:rsidR="00156254" w:rsidRDefault="00156254" w:rsidP="0046693F">
      <w:pPr>
        <w:spacing w:after="0"/>
        <w:jc w:val="both"/>
      </w:pPr>
    </w:p>
    <w:p w14:paraId="2B874E6F" w14:textId="2281014E" w:rsidR="00233241" w:rsidRDefault="00233241" w:rsidP="0046693F">
      <w:pPr>
        <w:spacing w:after="0"/>
        <w:jc w:val="both"/>
      </w:pPr>
      <w:r>
        <w:t>The</w:t>
      </w:r>
      <w:r w:rsidR="00A63FF8">
        <w:t xml:space="preserve">re are </w:t>
      </w:r>
      <w:r w:rsidR="00C007CA">
        <w:t>several</w:t>
      </w:r>
      <w:r w:rsidR="00A63FF8">
        <w:t xml:space="preserve"> </w:t>
      </w:r>
      <w:r w:rsidR="00A63FF8" w:rsidRPr="00E90F6C">
        <w:rPr>
          <w:b/>
          <w:bCs/>
        </w:rPr>
        <w:t>risks and uncertainties</w:t>
      </w:r>
      <w:r w:rsidR="00A63FF8">
        <w:t xml:space="preserve"> in relation to this initiative: </w:t>
      </w:r>
    </w:p>
    <w:p w14:paraId="1E620DE3" w14:textId="77777777" w:rsidR="0046693F" w:rsidRDefault="0046693F" w:rsidP="0046693F">
      <w:pPr>
        <w:spacing w:after="0"/>
        <w:jc w:val="both"/>
      </w:pPr>
    </w:p>
    <w:p w14:paraId="0E0F6B3A" w14:textId="01FC4ADE" w:rsidR="00211499" w:rsidRDefault="0026265A" w:rsidP="0046693F">
      <w:pPr>
        <w:pStyle w:val="ListParagraph"/>
        <w:numPr>
          <w:ilvl w:val="0"/>
          <w:numId w:val="7"/>
        </w:numPr>
        <w:spacing w:after="0"/>
        <w:jc w:val="both"/>
      </w:pPr>
      <w:r>
        <w:t>If t</w:t>
      </w:r>
      <w:r w:rsidR="00E0504D">
        <w:t>he n</w:t>
      </w:r>
      <w:r w:rsidR="00211499">
        <w:t xml:space="preserve">umber of workers in other occupations (carers, hospitality workers, trades) in the PLS does not increase, </w:t>
      </w:r>
      <w:r>
        <w:t xml:space="preserve">there will be </w:t>
      </w:r>
      <w:r w:rsidR="00211499">
        <w:t xml:space="preserve">no </w:t>
      </w:r>
      <w:r w:rsidR="008414DC">
        <w:t xml:space="preserve">PLS </w:t>
      </w:r>
      <w:r w:rsidR="00211499">
        <w:t>pipeline</w:t>
      </w:r>
      <w:r w:rsidR="00663F06">
        <w:t xml:space="preserve"> for the TSS outside of meat </w:t>
      </w:r>
      <w:r w:rsidR="00586045">
        <w:t xml:space="preserve">and farm </w:t>
      </w:r>
      <w:r w:rsidR="00663F06">
        <w:t>workers</w:t>
      </w:r>
      <w:r w:rsidR="00211499">
        <w:t xml:space="preserve">. </w:t>
      </w:r>
      <w:r w:rsidR="00E0504D">
        <w:t xml:space="preserve">But </w:t>
      </w:r>
      <w:r w:rsidR="00211499">
        <w:t xml:space="preserve">DFAT </w:t>
      </w:r>
      <w:r w:rsidR="00E0504D">
        <w:t xml:space="preserve">is </w:t>
      </w:r>
      <w:r w:rsidR="00211499">
        <w:t>committed to increasing</w:t>
      </w:r>
      <w:r w:rsidR="00A41F92">
        <w:t xml:space="preserve"> the</w:t>
      </w:r>
      <w:r w:rsidR="00211499">
        <w:t xml:space="preserve"> number of </w:t>
      </w:r>
      <w:r w:rsidR="00CC44C4">
        <w:t>aged an</w:t>
      </w:r>
      <w:r w:rsidR="00E17E51">
        <w:t xml:space="preserve">d disability </w:t>
      </w:r>
      <w:r w:rsidR="00211499">
        <w:t>carers</w:t>
      </w:r>
      <w:r w:rsidR="002458BC">
        <w:t>, subject to employer demand</w:t>
      </w:r>
      <w:r w:rsidR="00211499">
        <w:t xml:space="preserve">; hospitality numbers should increase with re-opening of borders; </w:t>
      </w:r>
      <w:r w:rsidR="00E0504D">
        <w:t xml:space="preserve">and </w:t>
      </w:r>
      <w:r w:rsidR="00211499">
        <w:t xml:space="preserve">greater APTC engagement </w:t>
      </w:r>
      <w:r w:rsidR="00B0613A">
        <w:t xml:space="preserve">with Australian employers </w:t>
      </w:r>
      <w:r w:rsidR="00211499">
        <w:t xml:space="preserve">could increase </w:t>
      </w:r>
      <w:r w:rsidR="009705EF">
        <w:t xml:space="preserve">the number of trade-based graduates </w:t>
      </w:r>
      <w:r w:rsidR="001C2344">
        <w:t xml:space="preserve">on the TSS. </w:t>
      </w:r>
    </w:p>
    <w:p w14:paraId="323C2F78" w14:textId="77777777" w:rsidR="003953D7" w:rsidRDefault="003953D7" w:rsidP="0046693F">
      <w:pPr>
        <w:pStyle w:val="ListParagraph"/>
        <w:spacing w:after="0"/>
        <w:jc w:val="both"/>
      </w:pPr>
    </w:p>
    <w:p w14:paraId="3AC3B8AF" w14:textId="23046A4F" w:rsidR="00211499" w:rsidRDefault="00827F3D" w:rsidP="0046693F">
      <w:pPr>
        <w:pStyle w:val="ListParagraph"/>
        <w:numPr>
          <w:ilvl w:val="0"/>
          <w:numId w:val="7"/>
        </w:numPr>
        <w:spacing w:after="0"/>
        <w:jc w:val="both"/>
      </w:pPr>
      <w:r>
        <w:t xml:space="preserve">The extent to which </w:t>
      </w:r>
      <w:r w:rsidR="00663F06">
        <w:t>employers are willing to hire in low</w:t>
      </w:r>
      <w:r w:rsidR="00B0613A">
        <w:t>er</w:t>
      </w:r>
      <w:r w:rsidR="00663F06">
        <w:t xml:space="preserve">-skill </w:t>
      </w:r>
      <w:r w:rsidR="00B0613A">
        <w:t>occupations</w:t>
      </w:r>
      <w:r w:rsidR="00663F06">
        <w:t xml:space="preserve"> through the DAMAs</w:t>
      </w:r>
      <w:r>
        <w:t xml:space="preserve"> is unclear</w:t>
      </w:r>
      <w:r w:rsidR="00663F06">
        <w:t>. The minimum income threshold may be too high (even with a concession</w:t>
      </w:r>
      <w:r w:rsidR="009D3389">
        <w:t>) and</w:t>
      </w:r>
      <w:r w:rsidR="00A63FF8">
        <w:t xml:space="preserve"> may be increased. </w:t>
      </w:r>
      <w:r w:rsidR="00211499">
        <w:t xml:space="preserve">This might not affect meat workers and trades (as employers </w:t>
      </w:r>
      <w:r w:rsidR="00E0504D">
        <w:t xml:space="preserve">of these workers </w:t>
      </w:r>
      <w:r w:rsidR="00211499">
        <w:t>already use the TSS</w:t>
      </w:r>
      <w:r w:rsidR="009D3389">
        <w:t>) but</w:t>
      </w:r>
      <w:r w:rsidR="00211499">
        <w:t xml:space="preserve"> would affect carer and hospitality pathways </w:t>
      </w:r>
      <w:r w:rsidR="00E0504D">
        <w:t xml:space="preserve">where </w:t>
      </w:r>
      <w:r w:rsidR="00211499">
        <w:t xml:space="preserve">employers </w:t>
      </w:r>
      <w:r w:rsidR="0085446E">
        <w:t>have not been able to use</w:t>
      </w:r>
      <w:r w:rsidR="00211499">
        <w:t xml:space="preserve"> </w:t>
      </w:r>
      <w:r w:rsidR="00E0504D">
        <w:t xml:space="preserve">the </w:t>
      </w:r>
      <w:r w:rsidR="00211499">
        <w:t>TSS</w:t>
      </w:r>
      <w:r w:rsidR="00447F0D">
        <w:t xml:space="preserve"> visa</w:t>
      </w:r>
      <w:r w:rsidR="00EB072F">
        <w:t xml:space="preserve"> for these occup</w:t>
      </w:r>
      <w:r w:rsidR="00F467E0">
        <w:t>a</w:t>
      </w:r>
      <w:r w:rsidR="00EB072F">
        <w:t>tions</w:t>
      </w:r>
      <w:r w:rsidR="00447F0D">
        <w:t xml:space="preserve"> </w:t>
      </w:r>
      <w:r w:rsidR="0085446E">
        <w:t>prior to the recent DAMAs</w:t>
      </w:r>
      <w:r w:rsidR="00447F0D">
        <w:t xml:space="preserve">. </w:t>
      </w:r>
    </w:p>
    <w:p w14:paraId="7B3F0DF7" w14:textId="77777777" w:rsidR="003203FD" w:rsidRDefault="003203FD" w:rsidP="0046693F">
      <w:pPr>
        <w:pStyle w:val="ListParagraph"/>
        <w:spacing w:after="0"/>
        <w:jc w:val="both"/>
      </w:pPr>
    </w:p>
    <w:p w14:paraId="21091BB8" w14:textId="3118EA42" w:rsidR="003203FD" w:rsidRDefault="003203FD" w:rsidP="0046693F">
      <w:pPr>
        <w:pStyle w:val="ListParagraph"/>
        <w:numPr>
          <w:ilvl w:val="0"/>
          <w:numId w:val="7"/>
        </w:numPr>
        <w:spacing w:after="0"/>
        <w:jc w:val="both"/>
      </w:pPr>
      <w:r>
        <w:t xml:space="preserve">Very few Pacific workers </w:t>
      </w:r>
      <w:r w:rsidR="00BE1A9D">
        <w:t xml:space="preserve">in trade-based occupations </w:t>
      </w:r>
      <w:r>
        <w:t xml:space="preserve">are hired </w:t>
      </w:r>
      <w:r w:rsidR="00B15ED2">
        <w:t>offshore,</w:t>
      </w:r>
      <w:r>
        <w:t xml:space="preserve"> and it is not clear whether the barriers to offshore hire can be reduced.</w:t>
      </w:r>
    </w:p>
    <w:p w14:paraId="5A41816C" w14:textId="77777777" w:rsidR="00B32562" w:rsidRDefault="00B32562" w:rsidP="00B32562">
      <w:pPr>
        <w:pStyle w:val="ListParagraph"/>
      </w:pPr>
    </w:p>
    <w:p w14:paraId="44ADFE7E" w14:textId="63B4C80F" w:rsidR="00A40143" w:rsidRPr="00A40143" w:rsidRDefault="00676441" w:rsidP="00A40143">
      <w:pPr>
        <w:pStyle w:val="ListParagraph"/>
        <w:numPr>
          <w:ilvl w:val="0"/>
          <w:numId w:val="7"/>
        </w:numPr>
        <w:spacing w:after="0"/>
        <w:jc w:val="both"/>
      </w:pPr>
      <w:r>
        <w:t xml:space="preserve"> </w:t>
      </w:r>
      <w:r w:rsidR="003E4B0C" w:rsidRPr="00A40143">
        <w:t>“B</w:t>
      </w:r>
      <w:r w:rsidR="003203FD" w:rsidRPr="00A40143">
        <w:t>rain drain</w:t>
      </w:r>
      <w:r w:rsidR="003E4B0C" w:rsidRPr="00A40143">
        <w:t xml:space="preserve">” risks should be managed by </w:t>
      </w:r>
      <w:r w:rsidR="00C46EA4" w:rsidRPr="00A40143">
        <w:t xml:space="preserve">the funding of </w:t>
      </w:r>
      <w:r w:rsidR="003203FD" w:rsidRPr="00A40143">
        <w:t xml:space="preserve">training providers </w:t>
      </w:r>
      <w:r w:rsidR="00C46EA4" w:rsidRPr="00A40143">
        <w:t xml:space="preserve">in the Pacific </w:t>
      </w:r>
      <w:r w:rsidR="003E4B0C" w:rsidRPr="00A40143">
        <w:t xml:space="preserve">to </w:t>
      </w:r>
      <w:r w:rsidR="00F73581" w:rsidRPr="00A40143">
        <w:t xml:space="preserve">collect data on their graduates </w:t>
      </w:r>
      <w:r w:rsidR="006F13F1" w:rsidRPr="00A40143">
        <w:t xml:space="preserve">and to </w:t>
      </w:r>
      <w:r w:rsidR="003203FD" w:rsidRPr="00A40143">
        <w:t xml:space="preserve">increase the supply of skills in </w:t>
      </w:r>
      <w:r w:rsidR="003E4B0C" w:rsidRPr="00A40143">
        <w:t>areas in demand</w:t>
      </w:r>
      <w:r w:rsidR="003203FD" w:rsidRPr="00A40143">
        <w:t xml:space="preserve">. </w:t>
      </w:r>
      <w:r w:rsidR="004A5763" w:rsidRPr="00A40143">
        <w:t xml:space="preserve">However, if it is successful, this initiative will increase incentives for </w:t>
      </w:r>
      <w:r w:rsidR="00EB072F" w:rsidRPr="00A40143">
        <w:t xml:space="preserve">Pacific students and </w:t>
      </w:r>
      <w:r w:rsidR="004A5763" w:rsidRPr="00A40143">
        <w:t xml:space="preserve">workers to invest in training, and thus could augment the skilled workforce in the </w:t>
      </w:r>
      <w:r w:rsidR="00EB072F" w:rsidRPr="00A40143">
        <w:t xml:space="preserve">countries of the </w:t>
      </w:r>
      <w:r w:rsidR="004A5763" w:rsidRPr="00A40143">
        <w:t>Pacific (“brain gain").</w:t>
      </w:r>
      <w:r w:rsidR="00A40143" w:rsidRPr="00A40143">
        <w:t xml:space="preserve"> Early communication with partner governments on this initiative will be important.</w:t>
      </w:r>
    </w:p>
    <w:p w14:paraId="411F9D5E" w14:textId="62090715" w:rsidR="003203FD" w:rsidRPr="00EB072F" w:rsidRDefault="003203FD" w:rsidP="00A40143">
      <w:pPr>
        <w:pStyle w:val="ListParagraph"/>
        <w:spacing w:after="0"/>
        <w:jc w:val="both"/>
        <w:rPr>
          <w:highlight w:val="yellow"/>
        </w:rPr>
      </w:pPr>
    </w:p>
    <w:p w14:paraId="5FEAD10D" w14:textId="77777777" w:rsidR="0046693F" w:rsidRPr="004B18A1" w:rsidRDefault="0046693F" w:rsidP="0046693F">
      <w:pPr>
        <w:spacing w:after="0"/>
        <w:jc w:val="both"/>
      </w:pPr>
    </w:p>
    <w:bookmarkEnd w:id="2"/>
    <w:p w14:paraId="5AE3EB62" w14:textId="77777777" w:rsidR="00B43B01" w:rsidRDefault="00B43B01" w:rsidP="0046693F">
      <w:pPr>
        <w:spacing w:after="0"/>
      </w:pPr>
      <w:r>
        <w:br w:type="page"/>
      </w:r>
    </w:p>
    <w:p w14:paraId="57176B02" w14:textId="49394B6F" w:rsidR="00F66F60" w:rsidRPr="000E1B72" w:rsidRDefault="009A16ED" w:rsidP="0046693F">
      <w:pPr>
        <w:pStyle w:val="Heading1"/>
        <w:spacing w:before="0"/>
        <w:rPr>
          <w:b/>
          <w:bCs/>
        </w:rPr>
      </w:pPr>
      <w:bookmarkStart w:id="3" w:name="_Toc90621504"/>
      <w:bookmarkStart w:id="4" w:name="_Toc85395113"/>
      <w:bookmarkStart w:id="5" w:name="_Toc85395174"/>
      <w:bookmarkStart w:id="6" w:name="_Toc85395294"/>
      <w:r>
        <w:rPr>
          <w:b/>
          <w:bCs/>
        </w:rPr>
        <w:lastRenderedPageBreak/>
        <w:t xml:space="preserve">1. </w:t>
      </w:r>
      <w:r w:rsidR="008A18F3">
        <w:rPr>
          <w:b/>
          <w:bCs/>
        </w:rPr>
        <w:t>Introduction</w:t>
      </w:r>
      <w:bookmarkEnd w:id="3"/>
    </w:p>
    <w:bookmarkEnd w:id="4"/>
    <w:bookmarkEnd w:id="5"/>
    <w:bookmarkEnd w:id="6"/>
    <w:p w14:paraId="7C01715E" w14:textId="77777777" w:rsidR="0046693F" w:rsidRDefault="0046693F" w:rsidP="0046693F">
      <w:pPr>
        <w:spacing w:after="0"/>
        <w:jc w:val="both"/>
      </w:pPr>
    </w:p>
    <w:p w14:paraId="1AE342A6" w14:textId="4BDAEC5B" w:rsidR="0087471E" w:rsidRDefault="0087471E" w:rsidP="0046693F">
      <w:pPr>
        <w:spacing w:after="0"/>
        <w:jc w:val="both"/>
      </w:pPr>
      <w:r w:rsidRPr="0087471E">
        <w:t xml:space="preserve">A key goal of the Pacific Step-up is to promote labour mobility to Australia. The Temporary Skill Shortage (TSS) visa (subclass 482) </w:t>
      </w:r>
      <w:r w:rsidR="006B73D5">
        <w:t xml:space="preserve">is </w:t>
      </w:r>
      <w:r w:rsidRPr="0087471E">
        <w:t>the most common pathway employers use to engage skilled workers from overseas where positions cannot be filled from the domestic labour market. Pacific migrants are currently almost absent in the TSS visa category. Over the five years 2015-16 to 2019-20, only 236 out of a total of 31,127 TSS visas at Skill Level 3 went to migrants from the Pacific.</w:t>
      </w:r>
    </w:p>
    <w:p w14:paraId="35486AEE" w14:textId="77777777" w:rsidR="0046693F" w:rsidRDefault="0046693F" w:rsidP="0046693F">
      <w:pPr>
        <w:spacing w:after="0"/>
        <w:jc w:val="both"/>
      </w:pPr>
    </w:p>
    <w:p w14:paraId="7997240C" w14:textId="54D73082" w:rsidR="00B43B01" w:rsidRDefault="00B43B01" w:rsidP="0046693F">
      <w:pPr>
        <w:spacing w:after="0"/>
        <w:jc w:val="both"/>
      </w:pPr>
      <w:r>
        <w:t xml:space="preserve">To pursue </w:t>
      </w:r>
      <w:r w:rsidR="00E81C16">
        <w:t>the objective of increas</w:t>
      </w:r>
      <w:r w:rsidR="00F53AD0">
        <w:t>i</w:t>
      </w:r>
      <w:r w:rsidR="000235C9">
        <w:t>ng</w:t>
      </w:r>
      <w:r w:rsidR="00E81C16">
        <w:t xml:space="preserve"> Pacific </w:t>
      </w:r>
      <w:r w:rsidR="000235C9">
        <w:t xml:space="preserve">and Timor-Leste </w:t>
      </w:r>
      <w:r w:rsidR="00E81C16">
        <w:t xml:space="preserve">participation in the TSS, </w:t>
      </w:r>
      <w:r>
        <w:t xml:space="preserve">a Working Group </w:t>
      </w:r>
      <w:r w:rsidR="00E81C16">
        <w:t xml:space="preserve">on </w:t>
      </w:r>
      <w:r w:rsidR="00004A1C">
        <w:t>‘</w:t>
      </w:r>
      <w:r w:rsidR="00E81C16">
        <w:t>Increasing Pacific Access to Australia’s Temporary Skills Shortage Visa</w:t>
      </w:r>
      <w:r w:rsidR="00004A1C">
        <w:t>’</w:t>
      </w:r>
      <w:r w:rsidR="00E81C16">
        <w:t xml:space="preserve"> </w:t>
      </w:r>
      <w:r>
        <w:t>was established with representatives from various federal departments</w:t>
      </w:r>
      <w:r w:rsidR="00F40813">
        <w:t xml:space="preserve">, </w:t>
      </w:r>
      <w:r>
        <w:t>state governments</w:t>
      </w:r>
      <w:r w:rsidR="00C46EA4">
        <w:t xml:space="preserve">, industry, and training and labour mobility organisations, as well as academics from Australia and the Pacific </w:t>
      </w:r>
      <w:r>
        <w:t>(membership</w:t>
      </w:r>
      <w:r w:rsidR="0034436C">
        <w:t>,</w:t>
      </w:r>
      <w:r>
        <w:t xml:space="preserve"> </w:t>
      </w:r>
      <w:r w:rsidR="00E81C16">
        <w:t>terms of reference</w:t>
      </w:r>
      <w:r w:rsidR="0034436C">
        <w:t>, and consultations are listed</w:t>
      </w:r>
      <w:r w:rsidR="00E81C16">
        <w:t xml:space="preserve"> </w:t>
      </w:r>
      <w:r>
        <w:t xml:space="preserve">in </w:t>
      </w:r>
      <w:hyperlink w:anchor="_Annex_1:_Working" w:history="1">
        <w:r w:rsidRPr="00827F3D">
          <w:rPr>
            <w:rStyle w:val="Hyperlink"/>
          </w:rPr>
          <w:t xml:space="preserve">Annex </w:t>
        </w:r>
        <w:r w:rsidR="000C66A6" w:rsidRPr="00827F3D">
          <w:rPr>
            <w:rStyle w:val="Hyperlink"/>
          </w:rPr>
          <w:t>1</w:t>
        </w:r>
      </w:hyperlink>
      <w:r>
        <w:t>). The working group met four times (</w:t>
      </w:r>
      <w:r w:rsidR="00E81C16">
        <w:t xml:space="preserve">on 28 </w:t>
      </w:r>
      <w:r>
        <w:t xml:space="preserve">September, </w:t>
      </w:r>
      <w:r w:rsidR="00E81C16">
        <w:t xml:space="preserve">19 </w:t>
      </w:r>
      <w:r>
        <w:t xml:space="preserve">October, </w:t>
      </w:r>
      <w:r w:rsidR="00E81C16">
        <w:t xml:space="preserve">16 </w:t>
      </w:r>
      <w:r>
        <w:t xml:space="preserve">November and </w:t>
      </w:r>
      <w:r w:rsidR="00E81C16">
        <w:t xml:space="preserve">7 </w:t>
      </w:r>
      <w:r>
        <w:t>December</w:t>
      </w:r>
      <w:r w:rsidR="00E81C16">
        <w:t xml:space="preserve"> 2021</w:t>
      </w:r>
      <w:r>
        <w:t xml:space="preserve">), and </w:t>
      </w:r>
      <w:r w:rsidR="003902B1">
        <w:t xml:space="preserve">many </w:t>
      </w:r>
      <w:r>
        <w:t>smaller meetings were held between monthly ones</w:t>
      </w:r>
      <w:r w:rsidR="00C870F3">
        <w:t>,</w:t>
      </w:r>
      <w:r w:rsidR="00E81C16">
        <w:t xml:space="preserve"> both with Working Group members and with other experts and stakeholders.</w:t>
      </w:r>
      <w:r w:rsidR="003C6A4A">
        <w:t xml:space="preserve"> </w:t>
      </w:r>
    </w:p>
    <w:p w14:paraId="0F2BC3A4" w14:textId="77777777" w:rsidR="0046693F" w:rsidRDefault="0046693F" w:rsidP="0046693F">
      <w:pPr>
        <w:spacing w:after="0"/>
        <w:jc w:val="both"/>
      </w:pPr>
    </w:p>
    <w:p w14:paraId="0EFB08E1" w14:textId="218E0511" w:rsidR="009A16ED" w:rsidRDefault="009A16ED" w:rsidP="0046693F">
      <w:pPr>
        <w:spacing w:after="0"/>
        <w:jc w:val="both"/>
      </w:pPr>
      <w:r>
        <w:t xml:space="preserve">The authors of this report </w:t>
      </w:r>
      <w:r w:rsidR="009622C6">
        <w:t xml:space="preserve">and its recommendations </w:t>
      </w:r>
      <w:r>
        <w:t xml:space="preserve">are </w:t>
      </w:r>
      <w:r w:rsidR="009622C6">
        <w:t>the Chair of the Working Group, Professor Stephen Howes, Director</w:t>
      </w:r>
      <w:r w:rsidR="00C870F3">
        <w:t xml:space="preserve"> of the</w:t>
      </w:r>
      <w:r w:rsidR="009622C6">
        <w:t xml:space="preserve"> </w:t>
      </w:r>
      <w:r w:rsidR="00827F3D">
        <w:t xml:space="preserve">ANU </w:t>
      </w:r>
      <w:r w:rsidR="009622C6">
        <w:t>Development Policy Centre</w:t>
      </w:r>
      <w:r w:rsidR="00C870F3">
        <w:t>,</w:t>
      </w:r>
      <w:r w:rsidR="009622C6">
        <w:t xml:space="preserve"> </w:t>
      </w:r>
      <w:r>
        <w:t xml:space="preserve">and </w:t>
      </w:r>
      <w:r w:rsidR="00A41F92">
        <w:t xml:space="preserve">Working Group member </w:t>
      </w:r>
      <w:r>
        <w:t xml:space="preserve">Dr Richard Curtain, Research Fellow at the Development Policy Centre. They would like to thank all those who contributed their time </w:t>
      </w:r>
      <w:r w:rsidR="000C66A6">
        <w:t>to this endeavour through meetings and interviews</w:t>
      </w:r>
      <w:r w:rsidR="006647D1">
        <w:t>, especially members of the Working Group</w:t>
      </w:r>
      <w:r>
        <w:t>. Special thanks are due to Natascha Spark</w:t>
      </w:r>
      <w:r w:rsidR="000C66A6">
        <w:t xml:space="preserve"> </w:t>
      </w:r>
      <w:r>
        <w:t xml:space="preserve">who acted as the Secretariat to the Working Group, </w:t>
      </w:r>
      <w:r w:rsidR="000C66A6">
        <w:t>and without whom this report would not have been possible.</w:t>
      </w:r>
    </w:p>
    <w:p w14:paraId="67ACCE18" w14:textId="77777777" w:rsidR="0046693F" w:rsidRDefault="0046693F" w:rsidP="0046693F">
      <w:pPr>
        <w:spacing w:after="0"/>
        <w:jc w:val="both"/>
      </w:pPr>
    </w:p>
    <w:p w14:paraId="4BE8B2BA" w14:textId="53A970FF" w:rsidR="00CB07DA" w:rsidRDefault="00CB07DA" w:rsidP="0046693F">
      <w:pPr>
        <w:spacing w:after="0"/>
        <w:jc w:val="both"/>
      </w:pPr>
      <w:r>
        <w:t>This report focuses on the TSS visa.</w:t>
      </w:r>
      <w:r w:rsidR="00950848" w:rsidRPr="00950848">
        <w:rPr>
          <w:rStyle w:val="FootnoteReference"/>
        </w:rPr>
        <w:t xml:space="preserve"> </w:t>
      </w:r>
      <w:r w:rsidR="00950848">
        <w:rPr>
          <w:rStyle w:val="FootnoteReference"/>
        </w:rPr>
        <w:footnoteReference w:id="2"/>
      </w:r>
      <w:r>
        <w:t xml:space="preserve"> The advantages of this visa for workers are several</w:t>
      </w:r>
      <w:r w:rsidR="00827F3D">
        <w:t xml:space="preserve">. </w:t>
      </w:r>
      <w:r w:rsidR="00EB072F">
        <w:t>I</w:t>
      </w:r>
      <w:r>
        <w:t xml:space="preserve">n particular, </w:t>
      </w:r>
      <w:r w:rsidR="00EB072F">
        <w:t xml:space="preserve">workers on this visa </w:t>
      </w:r>
      <w:r>
        <w:t>have the right to bring their families to join them. Many TSS visa holders</w:t>
      </w:r>
      <w:r w:rsidR="000C66A6">
        <w:t xml:space="preserve"> </w:t>
      </w:r>
      <w:r>
        <w:t xml:space="preserve">will also have access to a pathway to permanent residence. </w:t>
      </w:r>
      <w:r w:rsidR="000C66A6">
        <w:t>F</w:t>
      </w:r>
      <w:r w:rsidR="006E747C">
        <w:t>or employers</w:t>
      </w:r>
      <w:r w:rsidR="000C66A6">
        <w:t>, the TSS is the main way in which they fill skill gaps by hiring migrants</w:t>
      </w:r>
      <w:r w:rsidR="00B42B9C">
        <w:t xml:space="preserve">, </w:t>
      </w:r>
      <w:r w:rsidR="00E825ED">
        <w:t>often as a prelude to sponsoring migrant workers for permanent residence</w:t>
      </w:r>
      <w:r w:rsidR="000C66A6">
        <w:t xml:space="preserve">. </w:t>
      </w:r>
    </w:p>
    <w:p w14:paraId="123C5894" w14:textId="438F6A1E" w:rsidR="002C5A23" w:rsidRDefault="0046693F" w:rsidP="0046693F">
      <w:pPr>
        <w:spacing w:after="0"/>
        <w:jc w:val="both"/>
      </w:pPr>
      <w:r>
        <w:br/>
      </w:r>
      <w:r w:rsidR="008A18F3">
        <w:t xml:space="preserve">About two out of three </w:t>
      </w:r>
      <w:r w:rsidR="00F855C3">
        <w:t>Temporary Skills Shortage (</w:t>
      </w:r>
      <w:r w:rsidR="008A18F3">
        <w:t>TSS</w:t>
      </w:r>
      <w:r w:rsidR="00F855C3">
        <w:t>)</w:t>
      </w:r>
      <w:r w:rsidR="008A18F3">
        <w:t xml:space="preserve"> positions are filled onshore, by applicants who have arrived in Australia on other visas, such as student </w:t>
      </w:r>
      <w:r w:rsidR="00664BB3">
        <w:t>or</w:t>
      </w:r>
      <w:r w:rsidR="008A18F3">
        <w:t xml:space="preserve"> backpacker visas. </w:t>
      </w:r>
      <w:r w:rsidR="003C7076">
        <w:t>Historically, t</w:t>
      </w:r>
      <w:r w:rsidR="008A18F3">
        <w:t xml:space="preserve">he Pacific </w:t>
      </w:r>
      <w:r w:rsidR="003C7076">
        <w:t xml:space="preserve">has </w:t>
      </w:r>
      <w:r w:rsidR="008A18F3">
        <w:t>misse</w:t>
      </w:r>
      <w:r w:rsidR="003C7076">
        <w:t>d</w:t>
      </w:r>
      <w:r w:rsidR="008A18F3">
        <w:t xml:space="preserve"> out on these opportunities because there are few Pacific </w:t>
      </w:r>
      <w:r w:rsidR="00F23212">
        <w:t>I</w:t>
      </w:r>
      <w:r w:rsidR="008A18F3">
        <w:t>slanders studying in Australia, and no backpacker visas are available for the Pacific</w:t>
      </w:r>
      <w:r w:rsidR="004002A9">
        <w:t xml:space="preserve"> or Timor-Leste</w:t>
      </w:r>
      <w:r w:rsidR="008A18F3">
        <w:t xml:space="preserve">. </w:t>
      </w:r>
      <w:r w:rsidR="00950848">
        <w:t xml:space="preserve">Moreover, the Pacific has never been a hub for the </w:t>
      </w:r>
      <w:r w:rsidR="00150820">
        <w:t>offshore hiring</w:t>
      </w:r>
      <w:r w:rsidR="00950848">
        <w:t xml:space="preserve"> of TSS applicants</w:t>
      </w:r>
      <w:r w:rsidR="00975EEA">
        <w:t xml:space="preserve">, despite the availability of </w:t>
      </w:r>
      <w:r w:rsidR="003070A6">
        <w:t>workers with the required skills in the occupations in demand</w:t>
      </w:r>
      <w:r w:rsidR="00950848">
        <w:t>.</w:t>
      </w:r>
    </w:p>
    <w:p w14:paraId="394F4590" w14:textId="77777777" w:rsidR="0046693F" w:rsidRDefault="0046693F" w:rsidP="0046693F">
      <w:pPr>
        <w:spacing w:after="0"/>
        <w:jc w:val="both"/>
      </w:pPr>
    </w:p>
    <w:p w14:paraId="20413BA2" w14:textId="0DF35F9F" w:rsidR="0036791C" w:rsidRDefault="00950848" w:rsidP="0046693F">
      <w:pPr>
        <w:spacing w:after="0"/>
        <w:jc w:val="both"/>
      </w:pPr>
      <w:r>
        <w:t xml:space="preserve">The aim of this exercise is to turn that situation around, and our first finding is that it is realistic to expect more Pacific workers to be hired under the TSS. </w:t>
      </w:r>
      <w:r w:rsidR="0036791C">
        <w:t xml:space="preserve">There are </w:t>
      </w:r>
      <w:r>
        <w:t xml:space="preserve">in fact </w:t>
      </w:r>
      <w:r w:rsidR="0036791C">
        <w:t>three prospective TSS pathways</w:t>
      </w:r>
      <w:r w:rsidR="008C03A2">
        <w:t xml:space="preserve"> for Pacific and </w:t>
      </w:r>
      <w:r w:rsidR="002B1467">
        <w:t xml:space="preserve">Timorese </w:t>
      </w:r>
      <w:r>
        <w:t>workers</w:t>
      </w:r>
      <w:r w:rsidR="008C03A2">
        <w:t>.</w:t>
      </w:r>
    </w:p>
    <w:p w14:paraId="0F6FA0CA" w14:textId="77777777" w:rsidR="009622C6" w:rsidRDefault="009622C6" w:rsidP="0046693F">
      <w:pPr>
        <w:spacing w:after="0"/>
        <w:jc w:val="both"/>
      </w:pPr>
    </w:p>
    <w:p w14:paraId="7C36566A" w14:textId="613355FC" w:rsidR="005C73AC" w:rsidRDefault="004E389D" w:rsidP="0046693F">
      <w:pPr>
        <w:spacing w:after="0"/>
        <w:jc w:val="both"/>
      </w:pPr>
      <w:r>
        <w:lastRenderedPageBreak/>
        <w:t xml:space="preserve">The first </w:t>
      </w:r>
      <w:r w:rsidR="00E07101">
        <w:t xml:space="preserve">pathway to the TSS </w:t>
      </w:r>
      <w:r w:rsidR="00BC6F33">
        <w:t xml:space="preserve">is </w:t>
      </w:r>
      <w:r>
        <w:t xml:space="preserve">via </w:t>
      </w:r>
      <w:r w:rsidR="00BC6F33">
        <w:t xml:space="preserve">the </w:t>
      </w:r>
      <w:r w:rsidR="00586045">
        <w:t>Pacific Labour Scheme (</w:t>
      </w:r>
      <w:r w:rsidR="00BC6F33">
        <w:t>PLS</w:t>
      </w:r>
      <w:r w:rsidR="00586045">
        <w:t>), now part of the Pacific Australia Labour Mobility (PALM) scheme</w:t>
      </w:r>
      <w:r w:rsidR="00950848">
        <w:t xml:space="preserve">. </w:t>
      </w:r>
      <w:r w:rsidR="00BC6F33">
        <w:t xml:space="preserve">Pacific workers </w:t>
      </w:r>
      <w:r w:rsidR="00EB072F">
        <w:t xml:space="preserve">can </w:t>
      </w:r>
      <w:r w:rsidR="00586045">
        <w:t xml:space="preserve">already </w:t>
      </w:r>
      <w:r w:rsidR="00BC6F33">
        <w:t xml:space="preserve">come to Australia </w:t>
      </w:r>
      <w:r w:rsidR="00C2564C">
        <w:t xml:space="preserve">to work </w:t>
      </w:r>
      <w:r w:rsidR="00BC6F33">
        <w:t>through the PLS</w:t>
      </w:r>
      <w:r w:rsidR="00EB072F">
        <w:t xml:space="preserve">, now for up to </w:t>
      </w:r>
      <w:r w:rsidR="00586045">
        <w:t>four years. S</w:t>
      </w:r>
      <w:r w:rsidR="00AB511A">
        <w:t>ome</w:t>
      </w:r>
      <w:r w:rsidR="00776503">
        <w:t xml:space="preserve"> workers</w:t>
      </w:r>
      <w:r w:rsidR="00AB511A">
        <w:t>, if they can meet the various occupational, skill, experience and other requirements,</w:t>
      </w:r>
      <w:r w:rsidR="00BC6F33">
        <w:t xml:space="preserve"> </w:t>
      </w:r>
      <w:r w:rsidR="00931B06">
        <w:t xml:space="preserve">and if they can find an employer to sponsor them, </w:t>
      </w:r>
      <w:r w:rsidR="00C0600C">
        <w:t xml:space="preserve">could </w:t>
      </w:r>
      <w:r w:rsidR="00931B06">
        <w:t xml:space="preserve">then </w:t>
      </w:r>
      <w:r w:rsidR="00BC6F33">
        <w:t>transition to the TSS.</w:t>
      </w:r>
      <w:r w:rsidR="00627A48">
        <w:rPr>
          <w:rStyle w:val="FootnoteReference"/>
        </w:rPr>
        <w:footnoteReference w:id="3"/>
      </w:r>
      <w:r w:rsidR="00BC6F33">
        <w:t xml:space="preserve"> </w:t>
      </w:r>
      <w:r w:rsidR="00AB511A">
        <w:t>A</w:t>
      </w:r>
      <w:r w:rsidR="00CD46A3">
        <w:t xml:space="preserve">ccess to the TSS </w:t>
      </w:r>
      <w:r w:rsidR="00A71280">
        <w:t>depend</w:t>
      </w:r>
      <w:r w:rsidR="00CD46A3">
        <w:t>s</w:t>
      </w:r>
      <w:r w:rsidR="00A71280">
        <w:t xml:space="preserve"> on the </w:t>
      </w:r>
      <w:r w:rsidR="00CD46A3">
        <w:t>skill level of their occupation</w:t>
      </w:r>
      <w:r w:rsidR="00186875">
        <w:t xml:space="preserve">, </w:t>
      </w:r>
      <w:r w:rsidR="000753DD">
        <w:t>whe</w:t>
      </w:r>
      <w:r w:rsidR="00F7176D">
        <w:t>ther</w:t>
      </w:r>
      <w:r w:rsidR="000753DD">
        <w:t xml:space="preserve"> the occupation is on a </w:t>
      </w:r>
      <w:r w:rsidR="00CE5863">
        <w:t>legislated skill shortage list</w:t>
      </w:r>
      <w:r w:rsidR="001B7B06">
        <w:t xml:space="preserve"> </w:t>
      </w:r>
      <w:r w:rsidR="00EA0B00">
        <w:t>and</w:t>
      </w:r>
      <w:r w:rsidR="00827118">
        <w:t>,</w:t>
      </w:r>
      <w:r w:rsidR="00EA0B00">
        <w:t xml:space="preserve"> </w:t>
      </w:r>
      <w:r w:rsidR="00B3401B">
        <w:t xml:space="preserve">if </w:t>
      </w:r>
      <w:r w:rsidR="00827118">
        <w:t xml:space="preserve">it is </w:t>
      </w:r>
      <w:r w:rsidR="00B3401B">
        <w:t xml:space="preserve">below </w:t>
      </w:r>
      <w:r w:rsidR="00827118">
        <w:t>S</w:t>
      </w:r>
      <w:r w:rsidR="00B3401B">
        <w:t xml:space="preserve">kill </w:t>
      </w:r>
      <w:r w:rsidR="00827118">
        <w:t>L</w:t>
      </w:r>
      <w:r w:rsidR="00B3401B">
        <w:t xml:space="preserve">evel 3, </w:t>
      </w:r>
      <w:r w:rsidR="00EA0B00">
        <w:t>whether the</w:t>
      </w:r>
      <w:r w:rsidR="00AB511A">
        <w:t xml:space="preserve"> workers </w:t>
      </w:r>
      <w:r w:rsidR="002619D6">
        <w:t xml:space="preserve">are in an occupation nominated </w:t>
      </w:r>
      <w:r w:rsidR="00EA0B00">
        <w:t xml:space="preserve">in </w:t>
      </w:r>
      <w:r w:rsidR="003748EF">
        <w:t xml:space="preserve">an industry labour agreement stream or </w:t>
      </w:r>
      <w:r w:rsidR="00197D10">
        <w:t xml:space="preserve">a </w:t>
      </w:r>
      <w:r w:rsidR="00AB511A">
        <w:t>Designated Area Migration Agreement (</w:t>
      </w:r>
      <w:r w:rsidR="003748EF">
        <w:t>DAMA</w:t>
      </w:r>
      <w:r w:rsidR="00AB511A">
        <w:t>)</w:t>
      </w:r>
      <w:r w:rsidR="003748EF">
        <w:t>.</w:t>
      </w:r>
    </w:p>
    <w:p w14:paraId="5F7F02C5" w14:textId="77777777" w:rsidR="0046693F" w:rsidRDefault="0046693F" w:rsidP="0046693F">
      <w:pPr>
        <w:spacing w:after="0"/>
        <w:jc w:val="both"/>
      </w:pPr>
    </w:p>
    <w:p w14:paraId="395628BE" w14:textId="76290E6C" w:rsidR="00BC6F33" w:rsidRDefault="00846F59" w:rsidP="0046693F">
      <w:pPr>
        <w:spacing w:after="0"/>
        <w:jc w:val="both"/>
      </w:pPr>
      <w:r>
        <w:t xml:space="preserve">The </w:t>
      </w:r>
      <w:r w:rsidR="00BC6F33">
        <w:t xml:space="preserve">second prospective pathway is </w:t>
      </w:r>
      <w:r>
        <w:t xml:space="preserve">through </w:t>
      </w:r>
      <w:r w:rsidR="00BC6F33">
        <w:t xml:space="preserve">direct </w:t>
      </w:r>
      <w:r w:rsidR="00F03402">
        <w:t>offshore recruitment</w:t>
      </w:r>
      <w:r w:rsidR="00BC6F33">
        <w:t xml:space="preserve"> by employers of qualified workers via the TSS. </w:t>
      </w:r>
      <w:r w:rsidR="00931B06">
        <w:t>Australia Pacific Training Coalition (</w:t>
      </w:r>
      <w:r w:rsidR="00BC6F33">
        <w:t>APTC</w:t>
      </w:r>
      <w:r w:rsidR="00931B06">
        <w:t>)</w:t>
      </w:r>
      <w:r w:rsidR="00BC6F33">
        <w:t xml:space="preserve"> </w:t>
      </w:r>
      <w:r w:rsidR="00762502">
        <w:t>g</w:t>
      </w:r>
      <w:r w:rsidR="00BC6F33">
        <w:t xml:space="preserve">raduates </w:t>
      </w:r>
      <w:r w:rsidR="007240B4">
        <w:t>and graduates of other Pacific training providers of Australian</w:t>
      </w:r>
      <w:r w:rsidR="00F23212">
        <w:t>-</w:t>
      </w:r>
      <w:r w:rsidR="007240B4">
        <w:t xml:space="preserve">accredited </w:t>
      </w:r>
      <w:r w:rsidR="00191776">
        <w:t>qualifications</w:t>
      </w:r>
      <w:r w:rsidR="007240B4">
        <w:t xml:space="preserve"> </w:t>
      </w:r>
      <w:r w:rsidR="00BC6F33">
        <w:t xml:space="preserve">have </w:t>
      </w:r>
      <w:r w:rsidR="00F40A5A">
        <w:t xml:space="preserve">a </w:t>
      </w:r>
      <w:r w:rsidR="00A92A42">
        <w:t xml:space="preserve">clear </w:t>
      </w:r>
      <w:r w:rsidR="00944CFA">
        <w:t>advantage</w:t>
      </w:r>
      <w:r w:rsidR="00F40A5A">
        <w:t xml:space="preserve"> because </w:t>
      </w:r>
      <w:r w:rsidR="00944CFA">
        <w:t xml:space="preserve">their qualification </w:t>
      </w:r>
      <w:r w:rsidR="00F40A5A">
        <w:t xml:space="preserve">is </w:t>
      </w:r>
      <w:r w:rsidR="00944CFA">
        <w:t xml:space="preserve">proof to prospective Australian employers that they </w:t>
      </w:r>
      <w:r w:rsidR="00A92A42">
        <w:t>can perform to the comp</w:t>
      </w:r>
      <w:r w:rsidR="002B3CBC">
        <w:t>etency standards required in Australian workplaces</w:t>
      </w:r>
      <w:r w:rsidR="00B15ED2">
        <w:t>. T</w:t>
      </w:r>
      <w:r w:rsidR="0036791C">
        <w:t>hey also require a</w:t>
      </w:r>
      <w:r w:rsidR="0006161F">
        <w:t xml:space="preserve"> technical </w:t>
      </w:r>
      <w:r w:rsidR="0036791C">
        <w:t xml:space="preserve">interview rather than a </w:t>
      </w:r>
      <w:r w:rsidR="008858DC">
        <w:t xml:space="preserve">skills </w:t>
      </w:r>
      <w:r w:rsidR="0036791C">
        <w:t>assessment</w:t>
      </w:r>
      <w:r w:rsidR="00931B06">
        <w:t xml:space="preserve"> to meet visa requirements</w:t>
      </w:r>
      <w:r w:rsidR="002B3CBC">
        <w:t>.</w:t>
      </w:r>
      <w:r w:rsidR="0036791C" w:rsidRPr="0036791C">
        <w:rPr>
          <w:rStyle w:val="FootnoteReference"/>
        </w:rPr>
        <w:t xml:space="preserve"> </w:t>
      </w:r>
      <w:r w:rsidR="00191776">
        <w:t>APTC graduates</w:t>
      </w:r>
      <w:r w:rsidR="00BC6F33">
        <w:t xml:space="preserve"> </w:t>
      </w:r>
      <w:r w:rsidR="00827118">
        <w:t xml:space="preserve">should be able to </w:t>
      </w:r>
      <w:r w:rsidR="00BC6F33">
        <w:t xml:space="preserve">access APTC support to connect with Australian employers and </w:t>
      </w:r>
      <w:r w:rsidR="00485C6F">
        <w:t xml:space="preserve">be </w:t>
      </w:r>
      <w:r w:rsidR="00204F87">
        <w:t xml:space="preserve">given help </w:t>
      </w:r>
      <w:r w:rsidR="00BC6F33">
        <w:t xml:space="preserve">to meet migration requirements. </w:t>
      </w:r>
    </w:p>
    <w:p w14:paraId="041D764E" w14:textId="77777777" w:rsidR="0046693F" w:rsidRDefault="0046693F" w:rsidP="0046693F">
      <w:pPr>
        <w:spacing w:after="0"/>
        <w:jc w:val="both"/>
      </w:pPr>
    </w:p>
    <w:p w14:paraId="6C0EDEEA" w14:textId="7A87B6D6" w:rsidR="00C0475B" w:rsidRDefault="001E6C2D" w:rsidP="0046693F">
      <w:pPr>
        <w:spacing w:after="0"/>
        <w:jc w:val="both"/>
      </w:pPr>
      <w:r>
        <w:t>The</w:t>
      </w:r>
      <w:r w:rsidR="00C0475B">
        <w:t xml:space="preserve"> third potential pathway</w:t>
      </w:r>
      <w:r w:rsidR="001250BC">
        <w:t xml:space="preserve"> </w:t>
      </w:r>
      <w:r w:rsidR="00B36910">
        <w:t xml:space="preserve">to the TSS is through a Training </w:t>
      </w:r>
      <w:r w:rsidR="004C450E">
        <w:t>v</w:t>
      </w:r>
      <w:r w:rsidR="00B36910">
        <w:t>isa (subclass 407)</w:t>
      </w:r>
      <w:r w:rsidR="00AB511A">
        <w:t xml:space="preserve">, which would allow </w:t>
      </w:r>
      <w:r w:rsidR="00C21DD6">
        <w:t xml:space="preserve">recipients </w:t>
      </w:r>
      <w:r w:rsidR="00094705">
        <w:t xml:space="preserve">to gain relevant </w:t>
      </w:r>
      <w:r w:rsidR="008240AA">
        <w:t xml:space="preserve">on-the job </w:t>
      </w:r>
      <w:r w:rsidR="00CE3210">
        <w:t>occupational training</w:t>
      </w:r>
      <w:r w:rsidR="00AB511A">
        <w:t xml:space="preserve"> </w:t>
      </w:r>
      <w:r w:rsidR="00827118">
        <w:t xml:space="preserve">in Australia </w:t>
      </w:r>
      <w:r w:rsidR="00AB511A">
        <w:t>before applying to the TSS</w:t>
      </w:r>
      <w:r w:rsidR="00521E07">
        <w:t xml:space="preserve"> if sponsored by an employer</w:t>
      </w:r>
      <w:r w:rsidR="00E86CDE" w:rsidRPr="00E86CDE">
        <w:t>.</w:t>
      </w:r>
    </w:p>
    <w:p w14:paraId="18B16673" w14:textId="77777777" w:rsidR="0046693F" w:rsidRDefault="0046693F" w:rsidP="0046693F">
      <w:pPr>
        <w:spacing w:after="0"/>
        <w:jc w:val="both"/>
      </w:pPr>
    </w:p>
    <w:p w14:paraId="55C87CF0" w14:textId="19E5E0D5" w:rsidR="0036791C" w:rsidRDefault="00AB511A" w:rsidP="0046693F">
      <w:pPr>
        <w:spacing w:after="0"/>
        <w:jc w:val="both"/>
      </w:pPr>
      <w:r>
        <w:t xml:space="preserve">The bulk of this </w:t>
      </w:r>
      <w:r w:rsidR="0046693F">
        <w:t xml:space="preserve">report </w:t>
      </w:r>
      <w:r>
        <w:t xml:space="preserve">details the </w:t>
      </w:r>
      <w:r w:rsidR="0036791C">
        <w:t>three pathways</w:t>
      </w:r>
      <w:r w:rsidR="009A16ED">
        <w:t>, which are examined in turn in each of the next three sections</w:t>
      </w:r>
      <w:r w:rsidR="001E6C2D">
        <w:t xml:space="preserve"> (Sections 2-4)</w:t>
      </w:r>
      <w:r w:rsidR="009A16ED">
        <w:t xml:space="preserve">. The final sections </w:t>
      </w:r>
      <w:r w:rsidR="001E6C2D">
        <w:t xml:space="preserve">(Sections 5 and 6) detail </w:t>
      </w:r>
      <w:r w:rsidR="009A16ED">
        <w:t>risks and recommendations.</w:t>
      </w:r>
    </w:p>
    <w:p w14:paraId="22EF1795" w14:textId="77777777" w:rsidR="0046693F" w:rsidRPr="0036791C" w:rsidRDefault="0046693F" w:rsidP="0046693F">
      <w:pPr>
        <w:spacing w:after="0"/>
        <w:jc w:val="both"/>
      </w:pPr>
    </w:p>
    <w:p w14:paraId="6A802307" w14:textId="7D51C7F8" w:rsidR="00B92253" w:rsidRPr="008C03A2" w:rsidRDefault="009A16ED" w:rsidP="0046693F">
      <w:pPr>
        <w:pStyle w:val="Heading1"/>
        <w:spacing w:before="0"/>
        <w:rPr>
          <w:b/>
          <w:bCs/>
        </w:rPr>
      </w:pPr>
      <w:bookmarkStart w:id="7" w:name="_Toc90621505"/>
      <w:r>
        <w:rPr>
          <w:b/>
          <w:bCs/>
        </w:rPr>
        <w:t xml:space="preserve">2. </w:t>
      </w:r>
      <w:r w:rsidR="00B92253" w:rsidRPr="008C03A2">
        <w:rPr>
          <w:b/>
          <w:bCs/>
        </w:rPr>
        <w:t>PLS-TSS pathways</w:t>
      </w:r>
      <w:bookmarkEnd w:id="7"/>
    </w:p>
    <w:p w14:paraId="48CBD5BE" w14:textId="77777777" w:rsidR="0046693F" w:rsidRDefault="0046693F" w:rsidP="0046693F">
      <w:pPr>
        <w:spacing w:after="0"/>
        <w:jc w:val="both"/>
      </w:pPr>
    </w:p>
    <w:p w14:paraId="30359135" w14:textId="32F7760E" w:rsidR="009670DC" w:rsidRDefault="008F7CFF" w:rsidP="009670DC">
      <w:pPr>
        <w:spacing w:after="0"/>
        <w:jc w:val="both"/>
      </w:pPr>
      <w:r>
        <w:t xml:space="preserve">Providing a </w:t>
      </w:r>
      <w:r w:rsidR="00B92253">
        <w:t xml:space="preserve">PLS-TSS </w:t>
      </w:r>
      <w:r w:rsidR="00A83924">
        <w:t>pathway has a strong rationale</w:t>
      </w:r>
      <w:r w:rsidR="00B92253">
        <w:t xml:space="preserve"> not only in terms of promoting Pacific labour mobility but also in terms of the future of the Pacific Labour Scheme. The PLS is </w:t>
      </w:r>
      <w:r w:rsidR="0023756C">
        <w:t xml:space="preserve">now </w:t>
      </w:r>
      <w:r w:rsidR="00B92253">
        <w:t xml:space="preserve">a </w:t>
      </w:r>
      <w:r w:rsidR="00934DBC">
        <w:t>four</w:t>
      </w:r>
      <w:r w:rsidR="00B92253">
        <w:t>-year visa program.</w:t>
      </w:r>
      <w:r w:rsidR="00830941">
        <w:rPr>
          <w:rStyle w:val="FootnoteReference"/>
        </w:rPr>
        <w:footnoteReference w:id="4"/>
      </w:r>
      <w:r w:rsidR="00B92253">
        <w:t xml:space="preserve"> After </w:t>
      </w:r>
      <w:r w:rsidR="00DA1790">
        <w:t>four</w:t>
      </w:r>
      <w:r w:rsidR="00B92253">
        <w:t xml:space="preserve"> years, unless the</w:t>
      </w:r>
      <w:r w:rsidR="008A32C6">
        <w:t xml:space="preserve">y have </w:t>
      </w:r>
      <w:r w:rsidR="00B92253">
        <w:t xml:space="preserve">transitioned to another visa, </w:t>
      </w:r>
      <w:r w:rsidR="008A32C6">
        <w:t xml:space="preserve">PLS workers </w:t>
      </w:r>
      <w:r w:rsidR="00B92253">
        <w:t>must return home. However, the</w:t>
      </w:r>
      <w:r w:rsidR="00827118">
        <w:t xml:space="preserve"> worker </w:t>
      </w:r>
      <w:r w:rsidR="00B92253">
        <w:t xml:space="preserve">can return </w:t>
      </w:r>
      <w:r w:rsidR="00303902">
        <w:t xml:space="preserve">to work in Australia </w:t>
      </w:r>
      <w:r w:rsidR="00827118">
        <w:t xml:space="preserve">after 12 months </w:t>
      </w:r>
      <w:r w:rsidR="00B92253">
        <w:t xml:space="preserve">if </w:t>
      </w:r>
      <w:r w:rsidR="00827118">
        <w:t xml:space="preserve">again </w:t>
      </w:r>
      <w:r w:rsidR="00B92253">
        <w:t>nominated</w:t>
      </w:r>
      <w:r w:rsidR="00272093">
        <w:t xml:space="preserve"> by an employer</w:t>
      </w:r>
      <w:r w:rsidR="00B92253">
        <w:t xml:space="preserve">, but never with their family. This has two limitations. First, when workers leave after </w:t>
      </w:r>
      <w:r w:rsidR="003E4B0C">
        <w:t xml:space="preserve">no more than </w:t>
      </w:r>
      <w:r w:rsidR="00F93CF0">
        <w:t xml:space="preserve">four </w:t>
      </w:r>
      <w:r w:rsidR="00B92253">
        <w:t xml:space="preserve">years, the employer loses their </w:t>
      </w:r>
      <w:r w:rsidR="0070253D">
        <w:t xml:space="preserve">trained and experienced </w:t>
      </w:r>
      <w:r w:rsidR="007A330D">
        <w:t>worker</w:t>
      </w:r>
      <w:r w:rsidR="00B92253">
        <w:t xml:space="preserve">, which is wasteful, and reduces </w:t>
      </w:r>
      <w:r w:rsidR="00AB02B0">
        <w:t xml:space="preserve">employer and worker </w:t>
      </w:r>
      <w:r w:rsidR="00B92253">
        <w:t xml:space="preserve">incentives to invest in </w:t>
      </w:r>
      <w:r w:rsidR="00FD0F37">
        <w:t xml:space="preserve">a </w:t>
      </w:r>
      <w:r w:rsidR="00FE16C8">
        <w:t>worker’s acquisition</w:t>
      </w:r>
      <w:r w:rsidR="00FD0F37">
        <w:t xml:space="preserve"> of skills. </w:t>
      </w:r>
      <w:r w:rsidR="00B92253">
        <w:t>Second, if workers decide to return, this means an</w:t>
      </w:r>
      <w:r w:rsidR="00934DBC">
        <w:t xml:space="preserve">other </w:t>
      </w:r>
      <w:r w:rsidR="00B92253">
        <w:t xml:space="preserve">extended period of family separation. To avoid </w:t>
      </w:r>
      <w:r w:rsidR="00782FF7">
        <w:t>both</w:t>
      </w:r>
      <w:r w:rsidR="00B92253">
        <w:t xml:space="preserve"> bad outcomes, it makes sense to create a pathway from the PLS so that some workers – those who want to stay and </w:t>
      </w:r>
      <w:r w:rsidR="00E57DFE">
        <w:t xml:space="preserve">are invited to do so because they have </w:t>
      </w:r>
      <w:r w:rsidR="00B92253">
        <w:t>show</w:t>
      </w:r>
      <w:r w:rsidR="00E57DFE">
        <w:t>n</w:t>
      </w:r>
      <w:r w:rsidR="00B92253">
        <w:t xml:space="preserve"> greater skill and application levels – have the opportunity to stay</w:t>
      </w:r>
      <w:r w:rsidR="00D74ACA">
        <w:t xml:space="preserve"> longer</w:t>
      </w:r>
      <w:r w:rsidR="0003648C">
        <w:t>, together with their families</w:t>
      </w:r>
      <w:r w:rsidR="00352C7F">
        <w:t xml:space="preserve">. </w:t>
      </w:r>
      <w:r w:rsidR="009670DC">
        <w:t xml:space="preserve">A pathway to the TSS will also provide a greater incentive for employers to invest in upgrading the skills of their PLS workers. </w:t>
      </w:r>
    </w:p>
    <w:p w14:paraId="350CE94B" w14:textId="0C067DD1" w:rsidR="00352C7F" w:rsidRDefault="00352C7F" w:rsidP="0046693F">
      <w:pPr>
        <w:spacing w:after="0"/>
        <w:jc w:val="both"/>
      </w:pPr>
    </w:p>
    <w:p w14:paraId="1C84147E" w14:textId="201B4404" w:rsidR="00A83924" w:rsidRDefault="003203FD" w:rsidP="0046693F">
      <w:pPr>
        <w:spacing w:after="0"/>
        <w:jc w:val="both"/>
      </w:pPr>
      <w:r>
        <w:lastRenderedPageBreak/>
        <w:t xml:space="preserve">Transition to </w:t>
      </w:r>
      <w:r w:rsidR="00827118">
        <w:t xml:space="preserve">the </w:t>
      </w:r>
      <w:r>
        <w:t xml:space="preserve">TSS would not </w:t>
      </w:r>
      <w:r w:rsidR="00827118">
        <w:t xml:space="preserve">only </w:t>
      </w:r>
      <w:r>
        <w:t>provide access to another temporary visa</w:t>
      </w:r>
      <w:r w:rsidR="00664A59">
        <w:t>. It</w:t>
      </w:r>
      <w:r>
        <w:t xml:space="preserve"> </w:t>
      </w:r>
      <w:r w:rsidR="00521E07">
        <w:t xml:space="preserve">would </w:t>
      </w:r>
      <w:r w:rsidR="00D35A78">
        <w:t xml:space="preserve">also </w:t>
      </w:r>
      <w:r w:rsidR="0016027D">
        <w:t xml:space="preserve">provide </w:t>
      </w:r>
      <w:r>
        <w:t xml:space="preserve">a </w:t>
      </w:r>
      <w:r w:rsidR="00A83924">
        <w:t xml:space="preserve">pathway to permanency as </w:t>
      </w:r>
      <w:r w:rsidR="00830941">
        <w:t>m</w:t>
      </w:r>
      <w:r w:rsidR="00C91296">
        <w:t>ost</w:t>
      </w:r>
      <w:r w:rsidR="00A64787">
        <w:t xml:space="preserve"> TSS trade-based occupations and lower</w:t>
      </w:r>
      <w:r w:rsidR="004C450E">
        <w:t>-</w:t>
      </w:r>
      <w:r w:rsidR="00A64787">
        <w:t>skilled occupations nominated in a DAMA/industry agreement have a pathway to permanency built into them.</w:t>
      </w:r>
      <w:r w:rsidR="00212492">
        <w:rPr>
          <w:rStyle w:val="FootnoteReference"/>
        </w:rPr>
        <w:footnoteReference w:id="5"/>
      </w:r>
    </w:p>
    <w:p w14:paraId="6D2A70A0" w14:textId="77777777" w:rsidR="00E81C16" w:rsidRDefault="00E81C16" w:rsidP="0046693F">
      <w:pPr>
        <w:spacing w:after="0"/>
        <w:jc w:val="both"/>
      </w:pPr>
    </w:p>
    <w:p w14:paraId="35988802" w14:textId="7619448A" w:rsidR="007D3B48" w:rsidRDefault="00402F23" w:rsidP="0046693F">
      <w:pPr>
        <w:spacing w:after="0"/>
        <w:jc w:val="both"/>
      </w:pPr>
      <w:r>
        <w:t xml:space="preserve">The main limitation of </w:t>
      </w:r>
      <w:r w:rsidR="003203FD">
        <w:t xml:space="preserve">the PLS-TSS </w:t>
      </w:r>
      <w:r>
        <w:t xml:space="preserve">pathway is a </w:t>
      </w:r>
      <w:r w:rsidR="00EB30FE">
        <w:t xml:space="preserve">potential </w:t>
      </w:r>
      <w:r>
        <w:t xml:space="preserve">skills mismatch: the PLS mainly hires </w:t>
      </w:r>
      <w:r w:rsidR="00575843">
        <w:t>lower</w:t>
      </w:r>
      <w:r w:rsidR="004C450E">
        <w:t>-</w:t>
      </w:r>
      <w:r w:rsidR="00575843">
        <w:t xml:space="preserve">skilled and </w:t>
      </w:r>
      <w:r>
        <w:t>unskilled workers (typically Skill Levels 4</w:t>
      </w:r>
      <w:r w:rsidR="00E043AB">
        <w:t xml:space="preserve"> and </w:t>
      </w:r>
      <w:r>
        <w:t>5), while the TSS is a skilled visa (typically Skill Levels 1</w:t>
      </w:r>
      <w:r w:rsidR="00E043AB">
        <w:t xml:space="preserve"> to </w:t>
      </w:r>
      <w:r>
        <w:t>3).</w:t>
      </w:r>
      <w:r w:rsidR="003C7076">
        <w:t xml:space="preserve"> </w:t>
      </w:r>
      <w:r w:rsidR="00C404BE">
        <w:t>D</w:t>
      </w:r>
      <w:r w:rsidR="00EB30FE">
        <w:t>espite this</w:t>
      </w:r>
      <w:r w:rsidR="00D64BA3">
        <w:t xml:space="preserve">, there are, at least potentially, </w:t>
      </w:r>
      <w:r w:rsidR="007D3B48">
        <w:t>opportunities</w:t>
      </w:r>
      <w:r>
        <w:t xml:space="preserve"> </w:t>
      </w:r>
      <w:r w:rsidR="00D64BA3">
        <w:t xml:space="preserve">for transition to the TSS for </w:t>
      </w:r>
      <w:r w:rsidR="00AD1AD3">
        <w:t xml:space="preserve">many </w:t>
      </w:r>
      <w:r w:rsidR="00D64BA3">
        <w:t xml:space="preserve">PLS occupations. </w:t>
      </w:r>
    </w:p>
    <w:p w14:paraId="58C28E9A" w14:textId="77777777" w:rsidR="0046693F" w:rsidRDefault="0046693F" w:rsidP="0046693F">
      <w:pPr>
        <w:spacing w:after="0"/>
        <w:jc w:val="both"/>
      </w:pPr>
    </w:p>
    <w:p w14:paraId="68B0C9B3" w14:textId="1A450842" w:rsidR="007D3B48" w:rsidRDefault="007D3B48" w:rsidP="0046693F">
      <w:pPr>
        <w:pStyle w:val="ListParagraph"/>
        <w:numPr>
          <w:ilvl w:val="0"/>
          <w:numId w:val="8"/>
        </w:numPr>
        <w:spacing w:after="0"/>
        <w:jc w:val="both"/>
      </w:pPr>
      <w:r w:rsidRPr="00664BB3">
        <w:rPr>
          <w:b/>
          <w:bCs/>
        </w:rPr>
        <w:t>Meatworkers</w:t>
      </w:r>
      <w:r w:rsidR="00402F23">
        <w:t xml:space="preserve">: Most PLS workers </w:t>
      </w:r>
      <w:r w:rsidR="003C7076">
        <w:t>(</w:t>
      </w:r>
      <w:r w:rsidR="00913B54">
        <w:t>6</w:t>
      </w:r>
      <w:r w:rsidR="00903668">
        <w:t>7</w:t>
      </w:r>
      <w:r w:rsidR="003C7076">
        <w:t>%</w:t>
      </w:r>
      <w:r w:rsidR="00D72495">
        <w:t xml:space="preserve"> to date</w:t>
      </w:r>
      <w:r w:rsidR="003C7076">
        <w:t xml:space="preserve">) </w:t>
      </w:r>
      <w:r w:rsidR="00402F23">
        <w:t xml:space="preserve">are meatworkers. </w:t>
      </w:r>
      <w:r w:rsidR="00A570BC">
        <w:t xml:space="preserve">As detailed in the </w:t>
      </w:r>
      <w:hyperlink w:anchor="_Annex_2:_PLS-to-TSS" w:history="1">
        <w:r w:rsidR="00A570BC" w:rsidRPr="00827F3D">
          <w:rPr>
            <w:rStyle w:val="Hyperlink"/>
          </w:rPr>
          <w:t xml:space="preserve">Annex </w:t>
        </w:r>
        <w:r w:rsidR="00D72495" w:rsidRPr="00827F3D">
          <w:rPr>
            <w:rStyle w:val="Hyperlink"/>
          </w:rPr>
          <w:t>2</w:t>
        </w:r>
      </w:hyperlink>
      <w:r w:rsidR="00A570BC">
        <w:t xml:space="preserve"> fact sheet, t</w:t>
      </w:r>
      <w:r w:rsidR="00402F23">
        <w:t xml:space="preserve">hrough the </w:t>
      </w:r>
      <w:r w:rsidR="00D72495">
        <w:t>MILA</w:t>
      </w:r>
      <w:r w:rsidR="00167AFE">
        <w:t xml:space="preserve"> and </w:t>
      </w:r>
      <w:r w:rsidR="00556C39">
        <w:t xml:space="preserve">four </w:t>
      </w:r>
      <w:r w:rsidR="00167AFE">
        <w:t>DAMAs</w:t>
      </w:r>
      <w:r w:rsidR="00402F23">
        <w:t xml:space="preserve">, TSS visas are available for Skill Level 4 </w:t>
      </w:r>
      <w:r w:rsidR="00BD12B8">
        <w:t xml:space="preserve">and 5 </w:t>
      </w:r>
      <w:r w:rsidR="00402F23">
        <w:t>meat workers.</w:t>
      </w:r>
      <w:r w:rsidR="00931B06">
        <w:t xml:space="preserve"> This is the most promising of the PLS</w:t>
      </w:r>
      <w:r w:rsidR="00521E07">
        <w:t>-TSS</w:t>
      </w:r>
      <w:r w:rsidR="00931B06">
        <w:t xml:space="preserve"> pathways.</w:t>
      </w:r>
    </w:p>
    <w:p w14:paraId="57CC6B0E" w14:textId="77777777" w:rsidR="00E81C16" w:rsidRDefault="00E81C16" w:rsidP="00E81C16">
      <w:pPr>
        <w:pStyle w:val="ListParagraph"/>
        <w:spacing w:after="0"/>
        <w:jc w:val="both"/>
      </w:pPr>
    </w:p>
    <w:p w14:paraId="697A8890" w14:textId="2DA0BD42" w:rsidR="00E81C16" w:rsidRDefault="00E81C16" w:rsidP="0046693F">
      <w:pPr>
        <w:pStyle w:val="ListParagraph"/>
        <w:numPr>
          <w:ilvl w:val="0"/>
          <w:numId w:val="8"/>
        </w:numPr>
        <w:spacing w:after="0"/>
        <w:jc w:val="both"/>
      </w:pPr>
      <w:r>
        <w:rPr>
          <w:b/>
          <w:bCs/>
        </w:rPr>
        <w:t xml:space="preserve">Agricultural workers: </w:t>
      </w:r>
      <w:r w:rsidR="003076A2">
        <w:t xml:space="preserve">A significant number of PLS workers (26% to date) are farm workers. </w:t>
      </w:r>
      <w:r w:rsidR="003D137C">
        <w:t xml:space="preserve">As detailed in the </w:t>
      </w:r>
      <w:hyperlink w:anchor="_Annex_3:_PLS-to-TSS" w:history="1">
        <w:r w:rsidR="003D137C" w:rsidRPr="005572E5">
          <w:rPr>
            <w:rStyle w:val="Hyperlink"/>
          </w:rPr>
          <w:t>Annex 3</w:t>
        </w:r>
      </w:hyperlink>
      <w:r w:rsidR="003D137C">
        <w:t xml:space="preserve"> fact sheet, t</w:t>
      </w:r>
      <w:r w:rsidR="003076A2">
        <w:t>hrough the Horticulture Industry Labour Agreement</w:t>
      </w:r>
      <w:r w:rsidR="00303D60">
        <w:t xml:space="preserve"> (HILA)</w:t>
      </w:r>
      <w:r w:rsidR="003076A2">
        <w:t>, TSS visas are available for various Skill Level 4 and 5 agriculture-related occupations.</w:t>
      </w:r>
      <w:r w:rsidR="00303D60">
        <w:t xml:space="preserve"> </w:t>
      </w:r>
      <w:r w:rsidR="0092621A">
        <w:t>However, t</w:t>
      </w:r>
      <w:r w:rsidR="00303D60">
        <w:t>his</w:t>
      </w:r>
      <w:r w:rsidR="009B5DDC">
        <w:t xml:space="preserve"> </w:t>
      </w:r>
      <w:r w:rsidR="00521E07">
        <w:t xml:space="preserve">PLS-TSS </w:t>
      </w:r>
      <w:r w:rsidR="00303D60">
        <w:t xml:space="preserve">pathway </w:t>
      </w:r>
      <w:r w:rsidR="0092621A">
        <w:t xml:space="preserve">seems to have several barriers. </w:t>
      </w:r>
    </w:p>
    <w:p w14:paraId="15009437" w14:textId="77777777" w:rsidR="00402F23" w:rsidRDefault="00402F23" w:rsidP="0046693F">
      <w:pPr>
        <w:pStyle w:val="ListParagraph"/>
        <w:spacing w:after="0"/>
        <w:jc w:val="both"/>
      </w:pPr>
    </w:p>
    <w:p w14:paraId="10CEF202" w14:textId="1C9F5AEF" w:rsidR="007D3B48" w:rsidRDefault="007D3B48" w:rsidP="004353B3">
      <w:pPr>
        <w:pStyle w:val="ListParagraph"/>
        <w:numPr>
          <w:ilvl w:val="0"/>
          <w:numId w:val="8"/>
        </w:numPr>
        <w:spacing w:after="0"/>
        <w:jc w:val="both"/>
      </w:pPr>
      <w:r w:rsidRPr="00452610">
        <w:rPr>
          <w:b/>
          <w:bCs/>
        </w:rPr>
        <w:t>Trades</w:t>
      </w:r>
      <w:r w:rsidR="006F2992" w:rsidRPr="00452610">
        <w:rPr>
          <w:b/>
          <w:bCs/>
        </w:rPr>
        <w:t xml:space="preserve"> and cooks</w:t>
      </w:r>
      <w:r w:rsidR="00402F23">
        <w:t xml:space="preserve">: Although </w:t>
      </w:r>
      <w:r w:rsidR="009C58C6">
        <w:t xml:space="preserve">few </w:t>
      </w:r>
      <w:r w:rsidR="00402F23">
        <w:t>trade</w:t>
      </w:r>
      <w:r w:rsidR="00664BB3">
        <w:t>s</w:t>
      </w:r>
      <w:r w:rsidR="00402F23">
        <w:t xml:space="preserve"> workers </w:t>
      </w:r>
      <w:r w:rsidR="006F2992">
        <w:t xml:space="preserve">or cooks </w:t>
      </w:r>
      <w:r w:rsidR="00402F23">
        <w:t>have been hired under the PLS, the PLS is open to Skill Level 3</w:t>
      </w:r>
      <w:r w:rsidR="00A61E7C">
        <w:t xml:space="preserve"> occupations</w:t>
      </w:r>
      <w:r w:rsidR="00402F23">
        <w:t xml:space="preserve">, the </w:t>
      </w:r>
      <w:r w:rsidR="006F2992">
        <w:t xml:space="preserve">skill </w:t>
      </w:r>
      <w:r w:rsidR="00402F23">
        <w:t>level</w:t>
      </w:r>
      <w:r w:rsidR="006F2992">
        <w:t xml:space="preserve"> for the trades, including cooking</w:t>
      </w:r>
      <w:r w:rsidR="00402F23">
        <w:t xml:space="preserve">. If more trades workers were hired </w:t>
      </w:r>
      <w:r w:rsidR="009C58C6">
        <w:t xml:space="preserve">in </w:t>
      </w:r>
      <w:r w:rsidR="00A3297B">
        <w:t xml:space="preserve">trade-based occupations </w:t>
      </w:r>
      <w:r w:rsidR="00402F23">
        <w:t>under the PLS, they could have a pathway to the TSS</w:t>
      </w:r>
      <w:r w:rsidR="00D424AE">
        <w:t xml:space="preserve">. </w:t>
      </w:r>
    </w:p>
    <w:p w14:paraId="669F3F7F" w14:textId="77777777" w:rsidR="00402F23" w:rsidRDefault="00402F23" w:rsidP="0046693F">
      <w:pPr>
        <w:pStyle w:val="ListParagraph"/>
        <w:spacing w:after="0"/>
        <w:jc w:val="both"/>
      </w:pPr>
    </w:p>
    <w:p w14:paraId="1443D9DF" w14:textId="4AC7E5AD" w:rsidR="007D3B48" w:rsidRDefault="007D3B48" w:rsidP="0046693F">
      <w:pPr>
        <w:pStyle w:val="ListParagraph"/>
        <w:numPr>
          <w:ilvl w:val="0"/>
          <w:numId w:val="8"/>
        </w:numPr>
        <w:spacing w:after="0"/>
        <w:jc w:val="both"/>
      </w:pPr>
      <w:r w:rsidRPr="00664BB3">
        <w:rPr>
          <w:b/>
          <w:bCs/>
        </w:rPr>
        <w:t>Other low</w:t>
      </w:r>
      <w:r w:rsidR="004C450E">
        <w:rPr>
          <w:b/>
          <w:bCs/>
        </w:rPr>
        <w:t>-</w:t>
      </w:r>
      <w:r w:rsidRPr="00664BB3">
        <w:rPr>
          <w:b/>
          <w:bCs/>
        </w:rPr>
        <w:t>skilled workers</w:t>
      </w:r>
      <w:r>
        <w:t xml:space="preserve"> (</w:t>
      </w:r>
      <w:r w:rsidR="00FB1C2D">
        <w:t>e.g.,</w:t>
      </w:r>
      <w:r w:rsidR="00402F23">
        <w:t xml:space="preserve"> </w:t>
      </w:r>
      <w:r>
        <w:t>carers and hospitality workers)</w:t>
      </w:r>
      <w:r w:rsidR="00402F23">
        <w:t>:</w:t>
      </w:r>
      <w:r w:rsidR="00676441">
        <w:t xml:space="preserve"> </w:t>
      </w:r>
      <w:r w:rsidR="00047025">
        <w:t>Only a few carers and hospitality workers have been hired under the PLS, but DFAT has plans to increase the number of aged care workers under the PLS</w:t>
      </w:r>
      <w:r w:rsidR="00A74BE2">
        <w:t>, subject to employer demand</w:t>
      </w:r>
      <w:r w:rsidR="00047025">
        <w:t xml:space="preserve">. </w:t>
      </w:r>
      <w:r w:rsidR="00402F23">
        <w:t>Occupations such as aged carers and hospitality workers cannot be hired via the TSS except</w:t>
      </w:r>
      <w:r w:rsidR="002855D7" w:rsidRPr="002855D7">
        <w:t xml:space="preserve"> </w:t>
      </w:r>
      <w:r w:rsidR="002855D7">
        <w:t>under Designated Area Migration Agreements (DAMAs)</w:t>
      </w:r>
      <w:r w:rsidR="00402F23">
        <w:t xml:space="preserve"> in certain geographical areas</w:t>
      </w:r>
      <w:r w:rsidR="00A570BC">
        <w:t xml:space="preserve">. </w:t>
      </w:r>
      <w:r w:rsidR="009B5DDC">
        <w:t xml:space="preserve">The </w:t>
      </w:r>
      <w:r w:rsidR="00A570BC">
        <w:t xml:space="preserve">DAMAs, </w:t>
      </w:r>
      <w:r w:rsidR="007D2546">
        <w:t>summarised</w:t>
      </w:r>
      <w:r w:rsidR="00A570BC">
        <w:t xml:space="preserve"> in </w:t>
      </w:r>
      <w:hyperlink w:anchor="_Annex_4:_Designated" w:history="1">
        <w:r w:rsidR="00A570BC" w:rsidRPr="005572E5">
          <w:rPr>
            <w:rStyle w:val="Hyperlink"/>
          </w:rPr>
          <w:t xml:space="preserve">Annex </w:t>
        </w:r>
        <w:r w:rsidR="00931B06" w:rsidRPr="005572E5">
          <w:rPr>
            <w:rStyle w:val="Hyperlink"/>
          </w:rPr>
          <w:t>4</w:t>
        </w:r>
      </w:hyperlink>
      <w:r w:rsidR="00A570BC">
        <w:t>, represent a potential</w:t>
      </w:r>
      <w:r w:rsidR="00D72495">
        <w:t>, though uncertain,</w:t>
      </w:r>
      <w:r w:rsidR="00A570BC">
        <w:t xml:space="preserve"> </w:t>
      </w:r>
      <w:r w:rsidR="00521E07">
        <w:t xml:space="preserve">PLS-TSS </w:t>
      </w:r>
      <w:r w:rsidR="00A570BC">
        <w:t>transition pathway for these occupations.</w:t>
      </w:r>
    </w:p>
    <w:p w14:paraId="52EC64DC" w14:textId="77777777" w:rsidR="00A570BC" w:rsidRDefault="00A570BC" w:rsidP="0046693F">
      <w:pPr>
        <w:pStyle w:val="ListParagraph"/>
        <w:spacing w:after="0"/>
      </w:pPr>
    </w:p>
    <w:p w14:paraId="736DB602" w14:textId="3821627F" w:rsidR="00A570BC" w:rsidRDefault="00A570BC" w:rsidP="0046693F">
      <w:pPr>
        <w:spacing w:after="0"/>
        <w:jc w:val="both"/>
      </w:pPr>
      <w:r>
        <w:t xml:space="preserve">The table below summarises the </w:t>
      </w:r>
      <w:r w:rsidR="00D72495">
        <w:t xml:space="preserve">PLS-TSS </w:t>
      </w:r>
      <w:r>
        <w:t xml:space="preserve">transition pathway prospects for these three occupation sets. </w:t>
      </w:r>
      <w:r w:rsidR="0099758F">
        <w:t>These prospects depend on two factors: the numbers in PLS (the source), and the ease of transition to the TSS (the destination)</w:t>
      </w:r>
      <w:r w:rsidR="0086755B">
        <w:t>.</w:t>
      </w:r>
      <w:r w:rsidR="0099758F">
        <w:t xml:space="preserve"> </w:t>
      </w:r>
    </w:p>
    <w:p w14:paraId="73CC6FAF" w14:textId="77777777" w:rsidR="0046693F" w:rsidRDefault="0046693F" w:rsidP="0046693F">
      <w:pPr>
        <w:spacing w:after="0"/>
        <w:jc w:val="both"/>
      </w:pPr>
    </w:p>
    <w:p w14:paraId="2A9ABC8E" w14:textId="77777777" w:rsidR="00827F3D" w:rsidRDefault="00827F3D">
      <w:pPr>
        <w:rPr>
          <w:b/>
          <w:bCs/>
        </w:rPr>
      </w:pPr>
      <w:r>
        <w:rPr>
          <w:b/>
          <w:bCs/>
        </w:rPr>
        <w:br w:type="page"/>
      </w:r>
    </w:p>
    <w:p w14:paraId="29DEBDCF" w14:textId="504CBA7A" w:rsidR="0099758F" w:rsidRPr="0099758F" w:rsidRDefault="0099758F" w:rsidP="0046693F">
      <w:pPr>
        <w:spacing w:after="0"/>
        <w:jc w:val="center"/>
        <w:rPr>
          <w:b/>
          <w:bCs/>
        </w:rPr>
      </w:pPr>
      <w:r>
        <w:rPr>
          <w:b/>
          <w:bCs/>
        </w:rPr>
        <w:lastRenderedPageBreak/>
        <w:t xml:space="preserve">TSS prospects </w:t>
      </w:r>
      <w:r w:rsidR="0086755B">
        <w:rPr>
          <w:b/>
          <w:bCs/>
        </w:rPr>
        <w:t>for different occupational groups</w:t>
      </w:r>
      <w:r w:rsidR="002047C9">
        <w:rPr>
          <w:b/>
          <w:bCs/>
        </w:rPr>
        <w:t xml:space="preserve"> coming through the PLS</w:t>
      </w:r>
    </w:p>
    <w:tbl>
      <w:tblPr>
        <w:tblStyle w:val="TableGrid"/>
        <w:tblW w:w="0" w:type="auto"/>
        <w:tblLook w:val="04A0" w:firstRow="1" w:lastRow="0" w:firstColumn="1" w:lastColumn="0" w:noHBand="0" w:noVBand="1"/>
      </w:tblPr>
      <w:tblGrid>
        <w:gridCol w:w="2431"/>
        <w:gridCol w:w="2283"/>
        <w:gridCol w:w="2312"/>
        <w:gridCol w:w="1990"/>
      </w:tblGrid>
      <w:tr w:rsidR="0099758F" w14:paraId="7880CF1F" w14:textId="5A6C8DFD" w:rsidTr="0070016A">
        <w:tc>
          <w:tcPr>
            <w:tcW w:w="2431" w:type="dxa"/>
            <w:shd w:val="clear" w:color="auto" w:fill="FFC000" w:themeFill="accent4"/>
          </w:tcPr>
          <w:p w14:paraId="5A37619D" w14:textId="3F7AC7AD" w:rsidR="0099758F" w:rsidRPr="0070016A" w:rsidRDefault="0070016A" w:rsidP="0070016A">
            <w:pPr>
              <w:rPr>
                <w:b/>
                <w:bCs/>
              </w:rPr>
            </w:pPr>
            <w:r w:rsidRPr="0070016A">
              <w:rPr>
                <w:b/>
                <w:bCs/>
              </w:rPr>
              <w:t>Occupation</w:t>
            </w:r>
            <w:r w:rsidR="00F03402">
              <w:rPr>
                <w:b/>
                <w:bCs/>
              </w:rPr>
              <w:t xml:space="preserve"> groups</w:t>
            </w:r>
          </w:p>
        </w:tc>
        <w:tc>
          <w:tcPr>
            <w:tcW w:w="2283" w:type="dxa"/>
            <w:shd w:val="clear" w:color="auto" w:fill="FFC000" w:themeFill="accent4"/>
          </w:tcPr>
          <w:p w14:paraId="19A89FAD" w14:textId="1E86E3EE" w:rsidR="0099758F" w:rsidRPr="00A570BC" w:rsidRDefault="0099758F" w:rsidP="0070016A">
            <w:pPr>
              <w:rPr>
                <w:b/>
                <w:bCs/>
              </w:rPr>
            </w:pPr>
            <w:r w:rsidRPr="00A570BC">
              <w:rPr>
                <w:b/>
                <w:bCs/>
              </w:rPr>
              <w:t>Large numbers in PLS</w:t>
            </w:r>
            <w:r>
              <w:rPr>
                <w:b/>
                <w:bCs/>
              </w:rPr>
              <w:t>, now and in future</w:t>
            </w:r>
            <w:r w:rsidRPr="00A570BC">
              <w:rPr>
                <w:b/>
                <w:bCs/>
              </w:rPr>
              <w:t>?</w:t>
            </w:r>
          </w:p>
        </w:tc>
        <w:tc>
          <w:tcPr>
            <w:tcW w:w="2312" w:type="dxa"/>
            <w:shd w:val="clear" w:color="auto" w:fill="FFC000" w:themeFill="accent4"/>
          </w:tcPr>
          <w:p w14:paraId="750268F1" w14:textId="62B330E5" w:rsidR="0099758F" w:rsidRPr="00A570BC" w:rsidRDefault="0086755B" w:rsidP="0070016A">
            <w:pPr>
              <w:rPr>
                <w:b/>
                <w:bCs/>
              </w:rPr>
            </w:pPr>
            <w:r>
              <w:rPr>
                <w:b/>
                <w:bCs/>
              </w:rPr>
              <w:t>Ease of</w:t>
            </w:r>
            <w:r w:rsidR="0099758F" w:rsidRPr="00A570BC">
              <w:rPr>
                <w:b/>
                <w:bCs/>
              </w:rPr>
              <w:t xml:space="preserve"> transition to TSS</w:t>
            </w:r>
            <w:r>
              <w:rPr>
                <w:b/>
                <w:bCs/>
              </w:rPr>
              <w:t xml:space="preserve"> </w:t>
            </w:r>
          </w:p>
        </w:tc>
        <w:tc>
          <w:tcPr>
            <w:tcW w:w="1990" w:type="dxa"/>
            <w:shd w:val="clear" w:color="auto" w:fill="FFC000" w:themeFill="accent4"/>
          </w:tcPr>
          <w:p w14:paraId="11901148" w14:textId="4016E1B1" w:rsidR="0099758F" w:rsidRPr="00A570BC" w:rsidRDefault="0099758F" w:rsidP="0070016A">
            <w:pPr>
              <w:rPr>
                <w:b/>
                <w:bCs/>
              </w:rPr>
            </w:pPr>
            <w:r>
              <w:rPr>
                <w:b/>
                <w:bCs/>
              </w:rPr>
              <w:t>Overall TSS prospects</w:t>
            </w:r>
          </w:p>
        </w:tc>
      </w:tr>
      <w:tr w:rsidR="0099758F" w14:paraId="2E753C63" w14:textId="5EF3BFFC" w:rsidTr="0099758F">
        <w:tc>
          <w:tcPr>
            <w:tcW w:w="2431" w:type="dxa"/>
          </w:tcPr>
          <w:p w14:paraId="0096D5EC" w14:textId="55E38EBB" w:rsidR="0099758F" w:rsidRDefault="0099758F" w:rsidP="0046693F">
            <w:r>
              <w:t>Meat workers</w:t>
            </w:r>
          </w:p>
        </w:tc>
        <w:tc>
          <w:tcPr>
            <w:tcW w:w="2283" w:type="dxa"/>
          </w:tcPr>
          <w:p w14:paraId="35996360" w14:textId="7537F00D" w:rsidR="0099758F" w:rsidRDefault="0099758F" w:rsidP="0046693F">
            <w:r>
              <w:t>Yes, already</w:t>
            </w:r>
            <w:r w:rsidR="00047025">
              <w:t xml:space="preserve"> (3</w:t>
            </w:r>
            <w:r w:rsidR="00F77A60">
              <w:t>,</w:t>
            </w:r>
            <w:r w:rsidR="00047025">
              <w:t>024, 67%)</w:t>
            </w:r>
          </w:p>
        </w:tc>
        <w:tc>
          <w:tcPr>
            <w:tcW w:w="2312" w:type="dxa"/>
          </w:tcPr>
          <w:p w14:paraId="58862CE5" w14:textId="44AC9934" w:rsidR="0099758F" w:rsidRDefault="0086755B" w:rsidP="0046693F">
            <w:r>
              <w:t>Potentially high</w:t>
            </w:r>
            <w:r w:rsidR="00827118">
              <w:t>;</w:t>
            </w:r>
            <w:r w:rsidR="0099758F">
              <w:t xml:space="preserve"> via MILA</w:t>
            </w:r>
            <w:r w:rsidR="00F77A60">
              <w:t xml:space="preserve"> </w:t>
            </w:r>
          </w:p>
        </w:tc>
        <w:tc>
          <w:tcPr>
            <w:tcW w:w="1990" w:type="dxa"/>
          </w:tcPr>
          <w:p w14:paraId="481915AA" w14:textId="6BB15094" w:rsidR="0099758F" w:rsidRDefault="0086755B" w:rsidP="0046693F">
            <w:r>
              <w:t xml:space="preserve">Positive </w:t>
            </w:r>
            <w:r w:rsidR="003F5663">
              <w:t>and immediate</w:t>
            </w:r>
          </w:p>
        </w:tc>
      </w:tr>
      <w:tr w:rsidR="003076A2" w14:paraId="3E9C3E65" w14:textId="77777777" w:rsidTr="0099758F">
        <w:tc>
          <w:tcPr>
            <w:tcW w:w="2431" w:type="dxa"/>
          </w:tcPr>
          <w:p w14:paraId="2584C16B" w14:textId="6BD01825" w:rsidR="003076A2" w:rsidRDefault="003076A2" w:rsidP="0046693F">
            <w:r>
              <w:t>Agricultural workers</w:t>
            </w:r>
          </w:p>
        </w:tc>
        <w:tc>
          <w:tcPr>
            <w:tcW w:w="2283" w:type="dxa"/>
          </w:tcPr>
          <w:p w14:paraId="70FCFB5D" w14:textId="2C7E3E60" w:rsidR="003076A2" w:rsidRDefault="003076A2" w:rsidP="0046693F">
            <w:r>
              <w:t>Yes, already (1</w:t>
            </w:r>
            <w:r w:rsidR="00F77A60">
              <w:t>,</w:t>
            </w:r>
            <w:r>
              <w:t>146,</w:t>
            </w:r>
            <w:r w:rsidR="00303D60">
              <w:t xml:space="preserve"> </w:t>
            </w:r>
            <w:r>
              <w:t>26%)</w:t>
            </w:r>
          </w:p>
        </w:tc>
        <w:tc>
          <w:tcPr>
            <w:tcW w:w="2312" w:type="dxa"/>
          </w:tcPr>
          <w:p w14:paraId="3444024A" w14:textId="7E806ACA" w:rsidR="003076A2" w:rsidRDefault="00827118" w:rsidP="0046693F">
            <w:r>
              <w:t>Uncertain;</w:t>
            </w:r>
            <w:r w:rsidR="003076A2">
              <w:t xml:space="preserve"> via </w:t>
            </w:r>
            <w:r w:rsidR="00303D60">
              <w:t>H</w:t>
            </w:r>
            <w:r w:rsidR="003076A2">
              <w:t>ILA</w:t>
            </w:r>
            <w:r>
              <w:t>, which is untested</w:t>
            </w:r>
          </w:p>
        </w:tc>
        <w:tc>
          <w:tcPr>
            <w:tcW w:w="1990" w:type="dxa"/>
          </w:tcPr>
          <w:p w14:paraId="3018B31D" w14:textId="16E3E4E0" w:rsidR="003076A2" w:rsidRDefault="0092621A" w:rsidP="004353B3">
            <w:r>
              <w:t>U</w:t>
            </w:r>
            <w:r w:rsidR="00303D60">
              <w:t>ncertain</w:t>
            </w:r>
          </w:p>
        </w:tc>
      </w:tr>
      <w:tr w:rsidR="0099758F" w14:paraId="36BD2865" w14:textId="056102E9" w:rsidTr="0099758F">
        <w:tc>
          <w:tcPr>
            <w:tcW w:w="2431" w:type="dxa"/>
          </w:tcPr>
          <w:p w14:paraId="629A6AB8" w14:textId="7BC99CE1" w:rsidR="0099758F" w:rsidRDefault="0099758F" w:rsidP="0046693F">
            <w:r>
              <w:t>Trades</w:t>
            </w:r>
            <w:r w:rsidR="006F2992">
              <w:t xml:space="preserve"> and cooks</w:t>
            </w:r>
          </w:p>
        </w:tc>
        <w:tc>
          <w:tcPr>
            <w:tcW w:w="2283" w:type="dxa"/>
          </w:tcPr>
          <w:p w14:paraId="1D8C4BAB" w14:textId="77777777" w:rsidR="0099758F" w:rsidRDefault="0099758F" w:rsidP="0046693F">
            <w:r>
              <w:t>Not now, may grow</w:t>
            </w:r>
          </w:p>
          <w:p w14:paraId="58FCFCFE" w14:textId="6538AEDD" w:rsidR="006F2992" w:rsidRDefault="006F2992" w:rsidP="0046693F">
            <w:r>
              <w:t>(trades 3, 0.1%; cooks 30, 0.7%)</w:t>
            </w:r>
          </w:p>
        </w:tc>
        <w:tc>
          <w:tcPr>
            <w:tcW w:w="2312" w:type="dxa"/>
          </w:tcPr>
          <w:p w14:paraId="7C82888B" w14:textId="0C88445C" w:rsidR="0099758F" w:rsidRDefault="0086755B" w:rsidP="0046693F">
            <w:r>
              <w:t>Potentially high</w:t>
            </w:r>
            <w:r w:rsidR="00827118">
              <w:t>;</w:t>
            </w:r>
            <w:r w:rsidR="00664BB3">
              <w:t xml:space="preserve"> via “regular” TSS</w:t>
            </w:r>
            <w:r w:rsidR="00C7149E">
              <w:t xml:space="preserve"> </w:t>
            </w:r>
          </w:p>
        </w:tc>
        <w:tc>
          <w:tcPr>
            <w:tcW w:w="1990" w:type="dxa"/>
          </w:tcPr>
          <w:p w14:paraId="75B96A8D" w14:textId="11F82B77" w:rsidR="0099758F" w:rsidRDefault="0086755B" w:rsidP="0046693F">
            <w:r>
              <w:t xml:space="preserve">Low now; positive but uncertain in the future </w:t>
            </w:r>
          </w:p>
        </w:tc>
      </w:tr>
      <w:tr w:rsidR="0099758F" w14:paraId="27DAE4D7" w14:textId="65398F1E" w:rsidTr="0099758F">
        <w:tc>
          <w:tcPr>
            <w:tcW w:w="2431" w:type="dxa"/>
          </w:tcPr>
          <w:p w14:paraId="11C373C0" w14:textId="7201F31A" w:rsidR="0099758F" w:rsidRDefault="0099758F" w:rsidP="0046693F">
            <w:r>
              <w:t>Carers and hospitality workers</w:t>
            </w:r>
          </w:p>
        </w:tc>
        <w:tc>
          <w:tcPr>
            <w:tcW w:w="2283" w:type="dxa"/>
          </w:tcPr>
          <w:p w14:paraId="5387CD03" w14:textId="77777777" w:rsidR="0099758F" w:rsidRDefault="0099758F" w:rsidP="0046693F">
            <w:r>
              <w:t>Not now, may grow</w:t>
            </w:r>
          </w:p>
          <w:p w14:paraId="123C440D" w14:textId="12475AF7" w:rsidR="00047025" w:rsidRDefault="00047025" w:rsidP="0046693F">
            <w:r>
              <w:t xml:space="preserve">(carers 71, 1.6%; </w:t>
            </w:r>
            <w:r w:rsidR="006F2992">
              <w:t>other hospitality 43, 1%)</w:t>
            </w:r>
          </w:p>
        </w:tc>
        <w:tc>
          <w:tcPr>
            <w:tcW w:w="2312" w:type="dxa"/>
          </w:tcPr>
          <w:p w14:paraId="2D0B5C26" w14:textId="1939BF76" w:rsidR="0099758F" w:rsidRDefault="0086755B" w:rsidP="0046693F">
            <w:r>
              <w:t>Uncertain</w:t>
            </w:r>
            <w:r w:rsidR="00827118">
              <w:t>;</w:t>
            </w:r>
            <w:r>
              <w:t xml:space="preserve"> </w:t>
            </w:r>
            <w:r w:rsidR="0099758F">
              <w:t>via DAMAs</w:t>
            </w:r>
            <w:r w:rsidR="005A3167">
              <w:t xml:space="preserve"> which </w:t>
            </w:r>
            <w:r w:rsidR="007D050C">
              <w:t>are largely untested</w:t>
            </w:r>
            <w:r w:rsidR="00D16442">
              <w:t>.</w:t>
            </w:r>
          </w:p>
        </w:tc>
        <w:tc>
          <w:tcPr>
            <w:tcW w:w="1990" w:type="dxa"/>
          </w:tcPr>
          <w:p w14:paraId="6C346150" w14:textId="0B44F519" w:rsidR="0099758F" w:rsidRDefault="0086755B" w:rsidP="0046693F">
            <w:r>
              <w:t>Low now</w:t>
            </w:r>
            <w:r w:rsidR="007D050C">
              <w:t>;</w:t>
            </w:r>
            <w:r>
              <w:t xml:space="preserve"> uncertain in the future</w:t>
            </w:r>
          </w:p>
        </w:tc>
      </w:tr>
    </w:tbl>
    <w:p w14:paraId="23A967EF" w14:textId="1B0CD2D3" w:rsidR="009B0AA6" w:rsidRPr="00D72495" w:rsidRDefault="00D72495" w:rsidP="0046693F">
      <w:pPr>
        <w:spacing w:after="0"/>
        <w:jc w:val="both"/>
        <w:rPr>
          <w:sz w:val="18"/>
          <w:szCs w:val="18"/>
        </w:rPr>
      </w:pPr>
      <w:r>
        <w:rPr>
          <w:sz w:val="18"/>
          <w:szCs w:val="18"/>
        </w:rPr>
        <w:t xml:space="preserve">Note: </w:t>
      </w:r>
      <w:r w:rsidR="006F2992" w:rsidRPr="00D72495">
        <w:rPr>
          <w:sz w:val="18"/>
          <w:szCs w:val="18"/>
        </w:rPr>
        <w:t xml:space="preserve">Figures in brackets are PLS numbers for that category and as </w:t>
      </w:r>
      <w:r w:rsidR="001835B5">
        <w:rPr>
          <w:sz w:val="18"/>
          <w:szCs w:val="18"/>
        </w:rPr>
        <w:t xml:space="preserve">a </w:t>
      </w:r>
      <w:r w:rsidR="006F2992" w:rsidRPr="00D72495">
        <w:rPr>
          <w:sz w:val="18"/>
          <w:szCs w:val="18"/>
        </w:rPr>
        <w:t>percentage of</w:t>
      </w:r>
      <w:r w:rsidR="001835B5">
        <w:rPr>
          <w:sz w:val="18"/>
          <w:szCs w:val="18"/>
        </w:rPr>
        <w:t xml:space="preserve"> the</w:t>
      </w:r>
      <w:r w:rsidR="006F2992" w:rsidRPr="00D72495">
        <w:rPr>
          <w:sz w:val="18"/>
          <w:szCs w:val="18"/>
        </w:rPr>
        <w:t xml:space="preserve"> total as of end-August</w:t>
      </w:r>
      <w:r w:rsidR="007F0208">
        <w:rPr>
          <w:sz w:val="18"/>
          <w:szCs w:val="18"/>
        </w:rPr>
        <w:t xml:space="preserve"> 2021</w:t>
      </w:r>
      <w:r w:rsidR="006F2992" w:rsidRPr="00D72495">
        <w:rPr>
          <w:sz w:val="18"/>
          <w:szCs w:val="18"/>
        </w:rPr>
        <w:t>.</w:t>
      </w:r>
    </w:p>
    <w:p w14:paraId="7553A03E" w14:textId="77777777" w:rsidR="0046693F" w:rsidRDefault="0046693F" w:rsidP="0046693F">
      <w:pPr>
        <w:spacing w:after="0"/>
        <w:jc w:val="both"/>
      </w:pPr>
    </w:p>
    <w:p w14:paraId="79E9F736" w14:textId="55543046" w:rsidR="0046693F" w:rsidRDefault="0086755B" w:rsidP="0046693F">
      <w:pPr>
        <w:spacing w:after="0"/>
        <w:jc w:val="both"/>
      </w:pPr>
      <w:r>
        <w:t>Looking at both contributing factors</w:t>
      </w:r>
      <w:r w:rsidR="00F47F6F">
        <w:t xml:space="preserve"> of </w:t>
      </w:r>
      <w:r w:rsidR="00F201FF">
        <w:t>worker source and ease of transition</w:t>
      </w:r>
      <w:r>
        <w:t xml:space="preserve">, </w:t>
      </w:r>
      <w:r w:rsidR="009B5DDC">
        <w:t>PLS-</w:t>
      </w:r>
      <w:r>
        <w:t xml:space="preserve">TSS </w:t>
      </w:r>
      <w:r w:rsidR="009B5DDC">
        <w:t xml:space="preserve">transition </w:t>
      </w:r>
      <w:r>
        <w:t xml:space="preserve">prospects </w:t>
      </w:r>
      <w:r w:rsidR="007C197F">
        <w:t>are</w:t>
      </w:r>
      <w:r>
        <w:t xml:space="preserve"> positive for meat </w:t>
      </w:r>
      <w:r w:rsidR="00FB1C2D">
        <w:t>workers,</w:t>
      </w:r>
      <w:r>
        <w:t xml:space="preserve"> </w:t>
      </w:r>
      <w:r w:rsidR="0092621A">
        <w:t>and uncertain for the other occupations</w:t>
      </w:r>
      <w:r>
        <w:t xml:space="preserve">. The </w:t>
      </w:r>
      <w:r w:rsidR="00827118">
        <w:t>sub-</w:t>
      </w:r>
      <w:r>
        <w:t>sections below explain these ratings</w:t>
      </w:r>
      <w:r w:rsidR="007D050C">
        <w:t>, highlight barriers and uncertainties, and set out next steps.</w:t>
      </w:r>
    </w:p>
    <w:p w14:paraId="26FB4968" w14:textId="77777777" w:rsidR="009670DC" w:rsidRDefault="009670DC" w:rsidP="009729D2"/>
    <w:p w14:paraId="12A5F48B" w14:textId="35F69D63" w:rsidR="003F5663" w:rsidRDefault="003F5663" w:rsidP="000A1B9C">
      <w:pPr>
        <w:pStyle w:val="Heading2"/>
      </w:pPr>
      <w:bookmarkStart w:id="8" w:name="_Toc90621506"/>
      <w:r>
        <w:t>(</w:t>
      </w:r>
      <w:r w:rsidR="00B54265">
        <w:t>i</w:t>
      </w:r>
      <w:r>
        <w:t>) Meat</w:t>
      </w:r>
      <w:r w:rsidR="009B5DDC">
        <w:t xml:space="preserve"> </w:t>
      </w:r>
      <w:r>
        <w:t>workers</w:t>
      </w:r>
      <w:bookmarkEnd w:id="8"/>
    </w:p>
    <w:p w14:paraId="30854230" w14:textId="77777777" w:rsidR="000A1B9C" w:rsidRPr="000A1B9C" w:rsidRDefault="000A1B9C" w:rsidP="000A1B9C"/>
    <w:p w14:paraId="2AA86FA7" w14:textId="7A254DF1" w:rsidR="003F5663" w:rsidRDefault="003F5663" w:rsidP="0046693F">
      <w:pPr>
        <w:spacing w:after="0"/>
        <w:jc w:val="both"/>
      </w:pPr>
      <w:r>
        <w:t>Prospects are positive and immediate because</w:t>
      </w:r>
      <w:r w:rsidR="009835C6">
        <w:t>:</w:t>
      </w:r>
    </w:p>
    <w:p w14:paraId="042BFF14" w14:textId="77777777" w:rsidR="00303D60" w:rsidRDefault="00303D60" w:rsidP="0046693F">
      <w:pPr>
        <w:spacing w:after="0"/>
        <w:jc w:val="both"/>
      </w:pPr>
    </w:p>
    <w:p w14:paraId="161A1137" w14:textId="045CE582" w:rsidR="0046693F" w:rsidRDefault="003F5663" w:rsidP="0046693F">
      <w:pPr>
        <w:pStyle w:val="ListParagraph"/>
        <w:numPr>
          <w:ilvl w:val="0"/>
          <w:numId w:val="9"/>
        </w:numPr>
        <w:spacing w:after="0"/>
        <w:jc w:val="both"/>
      </w:pPr>
      <w:r>
        <w:t xml:space="preserve">Numbers under </w:t>
      </w:r>
      <w:r w:rsidR="00886CEB">
        <w:t xml:space="preserve">the </w:t>
      </w:r>
      <w:r>
        <w:t xml:space="preserve">PLS </w:t>
      </w:r>
      <w:r w:rsidR="00886CEB">
        <w:t xml:space="preserve">are </w:t>
      </w:r>
      <w:r>
        <w:t>large</w:t>
      </w:r>
      <w:r w:rsidR="00F85B66">
        <w:t xml:space="preserve">: over </w:t>
      </w:r>
      <w:r w:rsidR="006F2992">
        <w:t>3</w:t>
      </w:r>
      <w:r w:rsidR="00F85B66">
        <w:t>,</w:t>
      </w:r>
      <w:r w:rsidR="006F2992">
        <w:t>0</w:t>
      </w:r>
      <w:r w:rsidR="00F85B66">
        <w:t>00 as of August 2021, 6</w:t>
      </w:r>
      <w:r w:rsidR="006F2992">
        <w:t>7</w:t>
      </w:r>
      <w:r w:rsidR="00F85B66">
        <w:t>% of all PLS workers.</w:t>
      </w:r>
    </w:p>
    <w:p w14:paraId="1834BF02" w14:textId="77777777" w:rsidR="0046693F" w:rsidRDefault="0046693F" w:rsidP="0046693F">
      <w:pPr>
        <w:pStyle w:val="ListParagraph"/>
        <w:spacing w:after="0"/>
        <w:jc w:val="both"/>
      </w:pPr>
    </w:p>
    <w:p w14:paraId="50238B68" w14:textId="6820BBAF" w:rsidR="003F5663" w:rsidRDefault="00827118" w:rsidP="0046693F">
      <w:pPr>
        <w:pStyle w:val="ListParagraph"/>
        <w:numPr>
          <w:ilvl w:val="0"/>
          <w:numId w:val="9"/>
        </w:numPr>
        <w:spacing w:after="0"/>
        <w:ind w:left="714" w:hanging="357"/>
        <w:jc w:val="both"/>
      </w:pPr>
      <w:r>
        <w:t>The m</w:t>
      </w:r>
      <w:r w:rsidR="003F5663">
        <w:t>eat industry already use</w:t>
      </w:r>
      <w:r w:rsidR="00886CEB">
        <w:t>s</w:t>
      </w:r>
      <w:r w:rsidR="003F5663">
        <w:t xml:space="preserve"> the TSS</w:t>
      </w:r>
      <w:r w:rsidR="00886CEB">
        <w:t xml:space="preserve"> through the MILA.</w:t>
      </w:r>
      <w:r w:rsidR="004353B3">
        <w:t xml:space="preserve"> As of 31 October 2021, 46 firms have a MILA with the Department of Home Affairs.</w:t>
      </w:r>
    </w:p>
    <w:p w14:paraId="042B1AD2" w14:textId="77777777" w:rsidR="0046693F" w:rsidRDefault="0046693F" w:rsidP="0046693F">
      <w:pPr>
        <w:spacing w:after="0"/>
        <w:jc w:val="both"/>
      </w:pPr>
    </w:p>
    <w:p w14:paraId="0715F815" w14:textId="07A85866" w:rsidR="0061777A" w:rsidRDefault="00886CEB" w:rsidP="0046693F">
      <w:pPr>
        <w:pStyle w:val="ListParagraph"/>
        <w:numPr>
          <w:ilvl w:val="0"/>
          <w:numId w:val="9"/>
        </w:numPr>
        <w:spacing w:after="0"/>
        <w:jc w:val="both"/>
      </w:pPr>
      <w:r>
        <w:t>Employers are having difficulties finding workers offshore outside of the PLS, and not just due to COVID</w:t>
      </w:r>
      <w:r w:rsidR="007A7FE8">
        <w:t>-19</w:t>
      </w:r>
      <w:r w:rsidR="0061777A">
        <w:t>.</w:t>
      </w:r>
      <w:r w:rsidR="0061777A" w:rsidRPr="0061777A">
        <w:t xml:space="preserve"> </w:t>
      </w:r>
      <w:r w:rsidR="0061777A">
        <w:t xml:space="preserve">The meat processing industry has </w:t>
      </w:r>
      <w:r w:rsidR="00FB1C2D">
        <w:t>many large</w:t>
      </w:r>
      <w:r w:rsidR="0061777A">
        <w:t xml:space="preserve"> processing plants </w:t>
      </w:r>
      <w:r w:rsidR="00FA0C4E">
        <w:t xml:space="preserve">in regional areas </w:t>
      </w:r>
      <w:r w:rsidR="0061777A">
        <w:t xml:space="preserve">serving both domestic and export markets. Having a stable, skilled workforce is a major concern of the large companies </w:t>
      </w:r>
      <w:r w:rsidR="002733A5">
        <w:t>operating these plants. T</w:t>
      </w:r>
      <w:r w:rsidR="0061777A">
        <w:t xml:space="preserve">hey have shown </w:t>
      </w:r>
      <w:r w:rsidR="00A2720F">
        <w:t xml:space="preserve">in </w:t>
      </w:r>
      <w:r w:rsidR="002733A5">
        <w:t xml:space="preserve">past efforts to recruit overseas workers that </w:t>
      </w:r>
      <w:r w:rsidR="0061777A">
        <w:t xml:space="preserve">they are prepared to invest resources </w:t>
      </w:r>
      <w:r w:rsidR="00DF376E">
        <w:t xml:space="preserve">in </w:t>
      </w:r>
      <w:r w:rsidR="0061777A">
        <w:t>recruit</w:t>
      </w:r>
      <w:r w:rsidR="00DF376E">
        <w:t xml:space="preserve">ing, </w:t>
      </w:r>
      <w:r w:rsidR="00FB1C2D">
        <w:t>training,</w:t>
      </w:r>
      <w:r w:rsidR="00DF376E">
        <w:t xml:space="preserve"> </w:t>
      </w:r>
      <w:r w:rsidR="0061777A">
        <w:t>and support</w:t>
      </w:r>
      <w:r w:rsidR="00DF376E">
        <w:t>ing</w:t>
      </w:r>
      <w:r w:rsidR="0061777A">
        <w:t xml:space="preserve"> workers who want to stay on in the regional communities where the processing plants are located. </w:t>
      </w:r>
    </w:p>
    <w:p w14:paraId="38E42EFA" w14:textId="77777777" w:rsidR="00F85B66" w:rsidRDefault="00F85B66" w:rsidP="0046693F">
      <w:pPr>
        <w:pStyle w:val="ListParagraph"/>
        <w:spacing w:after="0"/>
        <w:jc w:val="both"/>
      </w:pPr>
    </w:p>
    <w:p w14:paraId="0DAF393E" w14:textId="1FBFD795" w:rsidR="0046693F" w:rsidRDefault="007D050C" w:rsidP="0046693F">
      <w:pPr>
        <w:pStyle w:val="ListParagraph"/>
        <w:numPr>
          <w:ilvl w:val="0"/>
          <w:numId w:val="9"/>
        </w:numPr>
        <w:spacing w:after="0"/>
        <w:jc w:val="both"/>
      </w:pPr>
      <w:r>
        <w:t xml:space="preserve">Recent changes to the </w:t>
      </w:r>
      <w:r w:rsidR="00886CEB">
        <w:t xml:space="preserve">MILA </w:t>
      </w:r>
      <w:r>
        <w:t xml:space="preserve">mean that TSS eligibility </w:t>
      </w:r>
      <w:r w:rsidR="009835C6">
        <w:t xml:space="preserve">will only require one-year of relevant </w:t>
      </w:r>
      <w:r>
        <w:t xml:space="preserve">(skilled) </w:t>
      </w:r>
      <w:r w:rsidR="009835C6">
        <w:t xml:space="preserve">work experience in Australia and </w:t>
      </w:r>
      <w:r>
        <w:t xml:space="preserve">an assessment </w:t>
      </w:r>
      <w:r w:rsidR="009835C6">
        <w:t>as having skills commensurate with a Certificate III qualification.</w:t>
      </w:r>
      <w:r>
        <w:t xml:space="preserve"> At least some PLS workers should be able to meet these eligibility criteria.</w:t>
      </w:r>
    </w:p>
    <w:p w14:paraId="1DBE3E55" w14:textId="77777777" w:rsidR="0046693F" w:rsidRDefault="0046693F" w:rsidP="0046693F">
      <w:pPr>
        <w:spacing w:after="0"/>
        <w:jc w:val="both"/>
      </w:pPr>
    </w:p>
    <w:p w14:paraId="06EAE84C" w14:textId="696BE48B" w:rsidR="003F5663" w:rsidRDefault="009835C6" w:rsidP="0046693F">
      <w:pPr>
        <w:spacing w:after="0"/>
        <w:jc w:val="both"/>
      </w:pPr>
      <w:r>
        <w:t xml:space="preserve">There are, however, various </w:t>
      </w:r>
      <w:r w:rsidR="007D050C">
        <w:t xml:space="preserve">limitations, </w:t>
      </w:r>
      <w:r w:rsidR="00FB1C2D">
        <w:t>barriers,</w:t>
      </w:r>
      <w:r w:rsidR="00C82749">
        <w:t xml:space="preserve"> and uncertainties</w:t>
      </w:r>
      <w:r>
        <w:t xml:space="preserve">: </w:t>
      </w:r>
    </w:p>
    <w:p w14:paraId="0A694426" w14:textId="77777777" w:rsidR="0046693F" w:rsidRDefault="0046693F" w:rsidP="0046693F">
      <w:pPr>
        <w:spacing w:after="0"/>
        <w:jc w:val="both"/>
      </w:pPr>
    </w:p>
    <w:p w14:paraId="4D7B9736" w14:textId="5DB3A33C" w:rsidR="009835C6" w:rsidRDefault="00D346D6" w:rsidP="0046693F">
      <w:pPr>
        <w:pStyle w:val="ListParagraph"/>
        <w:numPr>
          <w:ilvl w:val="0"/>
          <w:numId w:val="10"/>
        </w:numPr>
        <w:spacing w:after="0"/>
        <w:jc w:val="both"/>
      </w:pPr>
      <w:r>
        <w:t>Only the more skilled meat worker positions are eligible for the TSS</w:t>
      </w:r>
      <w:r w:rsidR="00B90160">
        <w:t xml:space="preserve"> under the MILA</w:t>
      </w:r>
      <w:r>
        <w:t xml:space="preserve">. Only a minority of </w:t>
      </w:r>
      <w:r w:rsidR="00452610">
        <w:t xml:space="preserve">PLS </w:t>
      </w:r>
      <w:r>
        <w:t xml:space="preserve">workers would gain the </w:t>
      </w:r>
      <w:r w:rsidR="00521E07">
        <w:t xml:space="preserve">relevant skills and work </w:t>
      </w:r>
      <w:r>
        <w:t>experience.</w:t>
      </w:r>
    </w:p>
    <w:p w14:paraId="6F9C629F" w14:textId="77777777" w:rsidR="00D346D6" w:rsidRDefault="00D346D6" w:rsidP="0046693F">
      <w:pPr>
        <w:pStyle w:val="ListParagraph"/>
        <w:spacing w:after="0"/>
        <w:jc w:val="both"/>
      </w:pPr>
    </w:p>
    <w:p w14:paraId="46C4856F" w14:textId="58BFD1DC" w:rsidR="00D346D6" w:rsidRDefault="00D346D6" w:rsidP="0046693F">
      <w:pPr>
        <w:pStyle w:val="ListParagraph"/>
        <w:numPr>
          <w:ilvl w:val="0"/>
          <w:numId w:val="10"/>
        </w:numPr>
        <w:spacing w:after="0"/>
        <w:jc w:val="both"/>
      </w:pPr>
      <w:r>
        <w:lastRenderedPageBreak/>
        <w:t xml:space="preserve">Realistically, the </w:t>
      </w:r>
      <w:r w:rsidR="009A3565">
        <w:t xml:space="preserve">skills </w:t>
      </w:r>
      <w:r>
        <w:t>assessment (and the training required to pass that assessment) can only be provided by employers.</w:t>
      </w:r>
      <w:r w:rsidR="009A3565">
        <w:t xml:space="preserve"> Employers will only assist those workers they want to retain.</w:t>
      </w:r>
    </w:p>
    <w:p w14:paraId="2232B80D" w14:textId="77777777" w:rsidR="00D346D6" w:rsidRDefault="00D346D6" w:rsidP="0046693F">
      <w:pPr>
        <w:pStyle w:val="ListParagraph"/>
        <w:spacing w:after="0"/>
        <w:jc w:val="both"/>
      </w:pPr>
    </w:p>
    <w:p w14:paraId="0B509C0A" w14:textId="1376F09B" w:rsidR="00D346D6" w:rsidRDefault="00D346D6" w:rsidP="0046693F">
      <w:pPr>
        <w:pStyle w:val="ListParagraph"/>
        <w:numPr>
          <w:ilvl w:val="0"/>
          <w:numId w:val="10"/>
        </w:numPr>
        <w:spacing w:after="0"/>
        <w:jc w:val="both"/>
      </w:pPr>
      <w:r>
        <w:t>Labour</w:t>
      </w:r>
      <w:r w:rsidR="00A2720F">
        <w:t xml:space="preserve"> </w:t>
      </w:r>
      <w:r>
        <w:t xml:space="preserve">hire operators cannot participate in the MILA, but most PLS meat workers are hired </w:t>
      </w:r>
      <w:r w:rsidR="00D260F0">
        <w:t xml:space="preserve">and employed </w:t>
      </w:r>
      <w:r>
        <w:t>by labour</w:t>
      </w:r>
      <w:r w:rsidR="00A2720F">
        <w:t xml:space="preserve"> </w:t>
      </w:r>
      <w:r>
        <w:t>hire operators</w:t>
      </w:r>
      <w:r w:rsidR="00621A1A">
        <w:t xml:space="preserve">. To be eligible, </w:t>
      </w:r>
      <w:r w:rsidR="00717690">
        <w:t xml:space="preserve">these </w:t>
      </w:r>
      <w:r w:rsidR="00621A1A">
        <w:t xml:space="preserve">PLS </w:t>
      </w:r>
      <w:r w:rsidR="00717690">
        <w:t xml:space="preserve">workers </w:t>
      </w:r>
      <w:r w:rsidR="00621A1A">
        <w:t xml:space="preserve">would have to transition </w:t>
      </w:r>
      <w:r w:rsidR="00C4438F">
        <w:t xml:space="preserve">to become a </w:t>
      </w:r>
      <w:r w:rsidR="00621A1A">
        <w:t>direct employ</w:t>
      </w:r>
      <w:r w:rsidR="00C4438F">
        <w:t>ee</w:t>
      </w:r>
      <w:r w:rsidR="00621A1A">
        <w:t xml:space="preserve"> </w:t>
      </w:r>
      <w:r w:rsidR="00C4438F">
        <w:t xml:space="preserve">of an eligible employer </w:t>
      </w:r>
      <w:r w:rsidR="00621A1A">
        <w:t>in the meat industry.</w:t>
      </w:r>
      <w:r w:rsidR="00676441">
        <w:t xml:space="preserve"> </w:t>
      </w:r>
    </w:p>
    <w:p w14:paraId="4CFD610D" w14:textId="77777777" w:rsidR="0046693F" w:rsidRDefault="0046693F" w:rsidP="0046693F">
      <w:pPr>
        <w:spacing w:after="0"/>
        <w:ind w:left="360"/>
        <w:jc w:val="both"/>
      </w:pPr>
    </w:p>
    <w:p w14:paraId="165EDEFA" w14:textId="02626D69" w:rsidR="00D346D6" w:rsidRDefault="00D346D6" w:rsidP="0046693F">
      <w:pPr>
        <w:pStyle w:val="ListParagraph"/>
        <w:numPr>
          <w:ilvl w:val="0"/>
          <w:numId w:val="10"/>
        </w:numPr>
        <w:spacing w:after="0"/>
        <w:jc w:val="both"/>
      </w:pPr>
      <w:r>
        <w:t xml:space="preserve">It is unclear how many </w:t>
      </w:r>
      <w:r w:rsidR="00F84EEB">
        <w:t xml:space="preserve">PLS </w:t>
      </w:r>
      <w:r>
        <w:t xml:space="preserve">workers will be able to meet </w:t>
      </w:r>
      <w:r w:rsidR="00931B06">
        <w:t xml:space="preserve">TSS </w:t>
      </w:r>
      <w:r>
        <w:t>English-language requirements</w:t>
      </w:r>
      <w:r w:rsidR="00941AAB">
        <w:t>.</w:t>
      </w:r>
    </w:p>
    <w:p w14:paraId="084FB516" w14:textId="77777777" w:rsidR="0046693F" w:rsidRDefault="0046693F" w:rsidP="0046693F">
      <w:pPr>
        <w:spacing w:after="0"/>
        <w:jc w:val="both"/>
      </w:pPr>
    </w:p>
    <w:p w14:paraId="5D7ADDF8" w14:textId="74E2B3BA" w:rsidR="003F5663" w:rsidRDefault="00D346D6" w:rsidP="0046693F">
      <w:pPr>
        <w:spacing w:after="0"/>
        <w:jc w:val="both"/>
      </w:pPr>
      <w:r>
        <w:t xml:space="preserve"> </w:t>
      </w:r>
      <w:r w:rsidR="00C82749">
        <w:t>The f</w:t>
      </w:r>
      <w:r w:rsidR="003F5663">
        <w:t>ollowing action</w:t>
      </w:r>
      <w:r w:rsidR="00E903ED">
        <w:t xml:space="preserve">s are </w:t>
      </w:r>
      <w:r w:rsidR="003F5663">
        <w:t>required</w:t>
      </w:r>
      <w:r>
        <w:t>:</w:t>
      </w:r>
    </w:p>
    <w:p w14:paraId="3815E340" w14:textId="77777777" w:rsidR="0046693F" w:rsidRDefault="0046693F" w:rsidP="0046693F">
      <w:pPr>
        <w:spacing w:after="0"/>
        <w:jc w:val="both"/>
      </w:pPr>
    </w:p>
    <w:p w14:paraId="01148155" w14:textId="44EC09C3" w:rsidR="00D346D6" w:rsidRDefault="00D346D6" w:rsidP="0046693F">
      <w:pPr>
        <w:pStyle w:val="ListParagraph"/>
        <w:numPr>
          <w:ilvl w:val="0"/>
          <w:numId w:val="11"/>
        </w:numPr>
        <w:spacing w:after="0"/>
        <w:jc w:val="both"/>
      </w:pPr>
      <w:r>
        <w:t xml:space="preserve">Employers </w:t>
      </w:r>
      <w:r w:rsidR="009A3565">
        <w:t xml:space="preserve">and employees </w:t>
      </w:r>
      <w:r>
        <w:t>need to be informed of the PLS-TSS pathway</w:t>
      </w:r>
      <w:r w:rsidR="00225926">
        <w:t>.</w:t>
      </w:r>
    </w:p>
    <w:p w14:paraId="031F5062" w14:textId="77777777" w:rsidR="00D346D6" w:rsidRDefault="00D346D6" w:rsidP="0046693F">
      <w:pPr>
        <w:pStyle w:val="ListParagraph"/>
        <w:spacing w:after="0"/>
        <w:jc w:val="both"/>
      </w:pPr>
    </w:p>
    <w:p w14:paraId="4BF6A6F7" w14:textId="799B22BB" w:rsidR="00D346D6" w:rsidRDefault="00D346D6" w:rsidP="0046693F">
      <w:pPr>
        <w:pStyle w:val="ListParagraph"/>
        <w:numPr>
          <w:ilvl w:val="0"/>
          <w:numId w:val="11"/>
        </w:numPr>
        <w:spacing w:after="0"/>
        <w:jc w:val="both"/>
      </w:pPr>
      <w:r>
        <w:t xml:space="preserve">Interested workers should be tested for their English language skills to see if further </w:t>
      </w:r>
      <w:r w:rsidR="00225926">
        <w:t xml:space="preserve">language </w:t>
      </w:r>
      <w:r>
        <w:t xml:space="preserve">training </w:t>
      </w:r>
      <w:r w:rsidR="003012C7">
        <w:t xml:space="preserve">is </w:t>
      </w:r>
      <w:r>
        <w:t>required</w:t>
      </w:r>
      <w:r w:rsidR="00E903ED">
        <w:t>.</w:t>
      </w:r>
    </w:p>
    <w:p w14:paraId="087763D5" w14:textId="77777777" w:rsidR="00931B06" w:rsidRDefault="00931B06" w:rsidP="004353B3">
      <w:pPr>
        <w:pStyle w:val="ListParagraph"/>
      </w:pPr>
    </w:p>
    <w:p w14:paraId="01085103" w14:textId="7FACA97B" w:rsidR="006F0ADD" w:rsidRPr="00EE3A35" w:rsidRDefault="00931B06" w:rsidP="002F25D6">
      <w:pPr>
        <w:pStyle w:val="ListParagraph"/>
        <w:numPr>
          <w:ilvl w:val="0"/>
          <w:numId w:val="11"/>
        </w:numPr>
        <w:spacing w:after="0"/>
        <w:jc w:val="both"/>
        <w:rPr>
          <w:rFonts w:asciiTheme="majorHAnsi" w:eastAsiaTheme="majorEastAsia" w:hAnsiTheme="majorHAnsi" w:cstheme="majorBidi"/>
          <w:color w:val="2F5496" w:themeColor="accent1" w:themeShade="BF"/>
          <w:sz w:val="26"/>
          <w:szCs w:val="26"/>
        </w:rPr>
      </w:pPr>
      <w:r>
        <w:t xml:space="preserve">Interested employers need to start identifying potential candidates for TSS </w:t>
      </w:r>
      <w:r w:rsidR="00FB1C2D">
        <w:t>nomination and</w:t>
      </w:r>
      <w:r>
        <w:t xml:space="preserve"> arrange for them to have their skills and English assessed.</w:t>
      </w:r>
    </w:p>
    <w:p w14:paraId="3BF96F9D" w14:textId="2EBF410E" w:rsidR="00EE3A35" w:rsidRPr="00EE3A35" w:rsidRDefault="00EE3A35" w:rsidP="00EE3A35">
      <w:pPr>
        <w:spacing w:after="0"/>
        <w:jc w:val="both"/>
        <w:rPr>
          <w:rFonts w:asciiTheme="majorHAnsi" w:eastAsiaTheme="majorEastAsia" w:hAnsiTheme="majorHAnsi" w:cstheme="majorBidi"/>
          <w:color w:val="2F5496" w:themeColor="accent1" w:themeShade="BF"/>
          <w:sz w:val="26"/>
          <w:szCs w:val="26"/>
        </w:rPr>
      </w:pPr>
    </w:p>
    <w:p w14:paraId="3B77029D" w14:textId="57FE6E3E" w:rsidR="00303D60" w:rsidRDefault="00303D60" w:rsidP="00303D60">
      <w:pPr>
        <w:pStyle w:val="Heading2"/>
        <w:spacing w:before="0"/>
      </w:pPr>
      <w:bookmarkStart w:id="9" w:name="_Toc90621507"/>
      <w:r>
        <w:t>(ii) Agricultural workers</w:t>
      </w:r>
      <w:bookmarkEnd w:id="9"/>
    </w:p>
    <w:p w14:paraId="4FAE237D" w14:textId="77777777" w:rsidR="009B5DDC" w:rsidRDefault="009B5DDC" w:rsidP="00303D60">
      <w:pPr>
        <w:spacing w:after="0"/>
        <w:jc w:val="both"/>
      </w:pPr>
    </w:p>
    <w:p w14:paraId="01DEEA9B" w14:textId="3C54E52D" w:rsidR="00303D60" w:rsidRDefault="00303D60" w:rsidP="00303D60">
      <w:pPr>
        <w:spacing w:after="0"/>
        <w:jc w:val="both"/>
      </w:pPr>
      <w:r>
        <w:t xml:space="preserve">Positive </w:t>
      </w:r>
      <w:r w:rsidR="008C6671">
        <w:t>factors include</w:t>
      </w:r>
      <w:r>
        <w:t>:</w:t>
      </w:r>
    </w:p>
    <w:p w14:paraId="5FDAF8BC" w14:textId="77777777" w:rsidR="00303D60" w:rsidRDefault="00303D60" w:rsidP="00303D60">
      <w:pPr>
        <w:spacing w:after="0"/>
        <w:jc w:val="both"/>
      </w:pPr>
    </w:p>
    <w:p w14:paraId="6E852D3E" w14:textId="5D3D4AFC" w:rsidR="00303D60" w:rsidRDefault="00297B42" w:rsidP="00303D60">
      <w:pPr>
        <w:pStyle w:val="ListParagraph"/>
        <w:numPr>
          <w:ilvl w:val="0"/>
          <w:numId w:val="9"/>
        </w:numPr>
        <w:spacing w:after="0"/>
        <w:jc w:val="both"/>
      </w:pPr>
      <w:r>
        <w:t xml:space="preserve">Agricultural </w:t>
      </w:r>
      <w:r w:rsidR="00931B06">
        <w:t>worker n</w:t>
      </w:r>
      <w:r w:rsidR="00303D60">
        <w:t>umbers under the PLS are large: over 1,1</w:t>
      </w:r>
      <w:r w:rsidR="002D3FB7">
        <w:t>46</w:t>
      </w:r>
      <w:r w:rsidR="00303D60">
        <w:t xml:space="preserve"> as of August 2021, 26% of all PLS workers. </w:t>
      </w:r>
      <w:r w:rsidR="00D752FA">
        <w:t xml:space="preserve">Some </w:t>
      </w:r>
      <w:r w:rsidR="00303D60">
        <w:t xml:space="preserve">561 of these </w:t>
      </w:r>
      <w:r w:rsidR="000004F0">
        <w:t xml:space="preserve">workers </w:t>
      </w:r>
      <w:r w:rsidR="00303D60">
        <w:t xml:space="preserve">are explicitly identified as </w:t>
      </w:r>
      <w:r w:rsidR="00686BD8">
        <w:t xml:space="preserve">working </w:t>
      </w:r>
      <w:r w:rsidR="00303D60">
        <w:t>in horticulture</w:t>
      </w:r>
      <w:r w:rsidR="00686BD8">
        <w:t xml:space="preserve"> jobs</w:t>
      </w:r>
      <w:r w:rsidR="00FA24C5">
        <w:t>, and another 390 are “farm labourers”</w:t>
      </w:r>
      <w:r w:rsidR="00D752FA">
        <w:t>,</w:t>
      </w:r>
      <w:r w:rsidR="00FA24C5">
        <w:t xml:space="preserve"> many of whom could be working in horticulture.</w:t>
      </w:r>
    </w:p>
    <w:p w14:paraId="0625884E" w14:textId="77777777" w:rsidR="00303D60" w:rsidRDefault="00303D60" w:rsidP="00303D60">
      <w:pPr>
        <w:pStyle w:val="ListParagraph"/>
        <w:spacing w:after="0"/>
        <w:jc w:val="both"/>
      </w:pPr>
    </w:p>
    <w:p w14:paraId="68EAD7A6" w14:textId="3C708647" w:rsidR="00303D60" w:rsidRDefault="00FA24C5" w:rsidP="00303D60">
      <w:pPr>
        <w:pStyle w:val="ListParagraph"/>
        <w:numPr>
          <w:ilvl w:val="0"/>
          <w:numId w:val="9"/>
        </w:numPr>
        <w:spacing w:after="0"/>
        <w:ind w:left="714" w:hanging="357"/>
        <w:jc w:val="both"/>
      </w:pPr>
      <w:r>
        <w:t xml:space="preserve">A new Horticulture Industry Labour Agreement (HILA) </w:t>
      </w:r>
      <w:r w:rsidR="00686BD8">
        <w:t xml:space="preserve">has been </w:t>
      </w:r>
      <w:r>
        <w:t xml:space="preserve">available </w:t>
      </w:r>
      <w:r w:rsidR="00686BD8">
        <w:t xml:space="preserve">from </w:t>
      </w:r>
      <w:r>
        <w:t xml:space="preserve">of </w:t>
      </w:r>
      <w:r w:rsidR="001835B5">
        <w:t xml:space="preserve">1 </w:t>
      </w:r>
      <w:r>
        <w:t xml:space="preserve">January 2020 to hire </w:t>
      </w:r>
      <w:r w:rsidR="008C6671">
        <w:t xml:space="preserve">agricultural </w:t>
      </w:r>
      <w:r>
        <w:t xml:space="preserve">workers in a range of low skill </w:t>
      </w:r>
      <w:r w:rsidR="00521E07">
        <w:t>occupations</w:t>
      </w:r>
      <w:r>
        <w:t>.</w:t>
      </w:r>
      <w:r w:rsidR="00676441">
        <w:t xml:space="preserve"> </w:t>
      </w:r>
      <w:r w:rsidR="004353B3">
        <w:t xml:space="preserve">As of 31 October 2021, 20 employers have entered into a HILA agreement with the Department of Home </w:t>
      </w:r>
      <w:r w:rsidR="00FB1C2D">
        <w:t>Affairs,</w:t>
      </w:r>
      <w:r w:rsidR="002B61DF">
        <w:t xml:space="preserve"> but few </w:t>
      </w:r>
      <w:r w:rsidR="00F848CE">
        <w:t>have been able to employ workers under the agreement</w:t>
      </w:r>
      <w:r w:rsidR="004353B3">
        <w:t>.</w:t>
      </w:r>
    </w:p>
    <w:p w14:paraId="145FE7CE" w14:textId="77777777" w:rsidR="00303D60" w:rsidRDefault="00303D60" w:rsidP="00303D60">
      <w:pPr>
        <w:spacing w:after="0"/>
        <w:jc w:val="both"/>
      </w:pPr>
    </w:p>
    <w:p w14:paraId="3AC75928" w14:textId="77777777" w:rsidR="008B3CB0" w:rsidRDefault="008B3CB0" w:rsidP="00303D60">
      <w:pPr>
        <w:spacing w:after="0"/>
        <w:jc w:val="both"/>
      </w:pPr>
      <w:r>
        <w:t>Major u</w:t>
      </w:r>
      <w:r w:rsidR="008C6671">
        <w:t>ncertaint</w:t>
      </w:r>
      <w:r>
        <w:t xml:space="preserve">ies surround this pathway at the current time: </w:t>
      </w:r>
    </w:p>
    <w:p w14:paraId="6D463C92" w14:textId="77777777" w:rsidR="008B3CB0" w:rsidRDefault="008B3CB0" w:rsidP="00303D60">
      <w:pPr>
        <w:spacing w:after="0"/>
        <w:jc w:val="both"/>
      </w:pPr>
    </w:p>
    <w:p w14:paraId="2F650369" w14:textId="7406D90B" w:rsidR="003D137C" w:rsidRDefault="003D137C" w:rsidP="003D137C">
      <w:pPr>
        <w:pStyle w:val="ListParagraph"/>
        <w:numPr>
          <w:ilvl w:val="0"/>
          <w:numId w:val="34"/>
        </w:numPr>
        <w:spacing w:after="0"/>
        <w:jc w:val="both"/>
      </w:pPr>
      <w:r w:rsidRPr="004353B3">
        <w:t xml:space="preserve">The qualification and/or experience prerequisites currently defined </w:t>
      </w:r>
      <w:r w:rsidR="00BD46A3">
        <w:t>for low</w:t>
      </w:r>
      <w:r w:rsidR="001835B5">
        <w:t>-</w:t>
      </w:r>
      <w:r w:rsidR="00BD46A3">
        <w:t xml:space="preserve">skilled occupations in </w:t>
      </w:r>
      <w:r w:rsidRPr="004353B3">
        <w:t xml:space="preserve">the HILA appear to put the TSS out of reach for PLS farm worker. </w:t>
      </w:r>
      <w:r>
        <w:t>Some of t</w:t>
      </w:r>
      <w:r w:rsidRPr="004353B3">
        <w:t xml:space="preserve">hese prerequisites </w:t>
      </w:r>
      <w:r>
        <w:t>seem inappropriately high,</w:t>
      </w:r>
      <w:r w:rsidRPr="004353B3">
        <w:t xml:space="preserve"> requiring a</w:t>
      </w:r>
      <w:r>
        <w:t xml:space="preserve"> Certificate IV or Diploma, or five years of experience, </w:t>
      </w:r>
      <w:r w:rsidR="00AC21CE">
        <w:t xml:space="preserve">which </w:t>
      </w:r>
      <w:r>
        <w:t>would make a PLS-to-TSS pathway impossible.</w:t>
      </w:r>
    </w:p>
    <w:p w14:paraId="11E2696A" w14:textId="77777777" w:rsidR="003D137C" w:rsidRDefault="003D137C" w:rsidP="003D137C">
      <w:pPr>
        <w:pStyle w:val="ListParagraph"/>
        <w:spacing w:after="0"/>
        <w:jc w:val="both"/>
      </w:pPr>
    </w:p>
    <w:p w14:paraId="0B4BDB4C" w14:textId="3751BB59" w:rsidR="008B3CB0" w:rsidRDefault="008B3CB0" w:rsidP="008B3CB0">
      <w:pPr>
        <w:pStyle w:val="ListParagraph"/>
        <w:numPr>
          <w:ilvl w:val="0"/>
          <w:numId w:val="34"/>
        </w:numPr>
        <w:spacing w:after="0"/>
        <w:jc w:val="both"/>
      </w:pPr>
      <w:r>
        <w:t>T</w:t>
      </w:r>
      <w:r w:rsidR="008C6671">
        <w:t xml:space="preserve">he HILA is very new, and </w:t>
      </w:r>
      <w:r w:rsidR="00D40225">
        <w:t>due to COVID</w:t>
      </w:r>
      <w:r w:rsidR="001835B5">
        <w:t>-19</w:t>
      </w:r>
      <w:r w:rsidR="00D40225">
        <w:t xml:space="preserve"> is largely </w:t>
      </w:r>
      <w:r w:rsidR="008C6671">
        <w:t xml:space="preserve">untested. How attractive it is to employers remains to be seen. </w:t>
      </w:r>
      <w:r>
        <w:t xml:space="preserve">Some </w:t>
      </w:r>
      <w:r w:rsidR="00D44797">
        <w:t xml:space="preserve">large </w:t>
      </w:r>
      <w:r>
        <w:t xml:space="preserve">PLS employers </w:t>
      </w:r>
      <w:r w:rsidR="00521E07">
        <w:t xml:space="preserve">consulted with </w:t>
      </w:r>
      <w:r>
        <w:t xml:space="preserve">had not heard of it. </w:t>
      </w:r>
    </w:p>
    <w:p w14:paraId="3A02C026" w14:textId="77777777" w:rsidR="008B3CB0" w:rsidRDefault="008B3CB0" w:rsidP="00303D60">
      <w:pPr>
        <w:spacing w:after="0"/>
        <w:jc w:val="both"/>
      </w:pPr>
    </w:p>
    <w:p w14:paraId="067AFE76" w14:textId="6DE3F59C" w:rsidR="008B3CB0" w:rsidRDefault="008B3CB0" w:rsidP="008B3CB0">
      <w:pPr>
        <w:pStyle w:val="ListParagraph"/>
        <w:numPr>
          <w:ilvl w:val="0"/>
          <w:numId w:val="34"/>
        </w:numPr>
        <w:spacing w:after="0"/>
        <w:jc w:val="both"/>
      </w:pPr>
      <w:r>
        <w:t xml:space="preserve">Whether the employers would be willing to pay the minimum income required (TSMIT) </w:t>
      </w:r>
      <w:r w:rsidR="003634D6">
        <w:t>for lower</w:t>
      </w:r>
      <w:r w:rsidR="004C450E">
        <w:t>-</w:t>
      </w:r>
      <w:r w:rsidR="003634D6">
        <w:t xml:space="preserve">skilled workers </w:t>
      </w:r>
      <w:r>
        <w:t>also remains to be seen.</w:t>
      </w:r>
    </w:p>
    <w:p w14:paraId="5D2610E2" w14:textId="77777777" w:rsidR="008B3CB0" w:rsidRDefault="008B3CB0" w:rsidP="00303D60">
      <w:pPr>
        <w:spacing w:after="0"/>
        <w:jc w:val="both"/>
      </w:pPr>
    </w:p>
    <w:p w14:paraId="4A3887F6" w14:textId="367A7262" w:rsidR="00303D60" w:rsidRDefault="00FA24C5" w:rsidP="00303D60">
      <w:pPr>
        <w:spacing w:after="0"/>
        <w:jc w:val="both"/>
      </w:pPr>
      <w:r>
        <w:t xml:space="preserve">Currently, PLS-TSS transition prospects for agricultural workers </w:t>
      </w:r>
      <w:r w:rsidR="007C197F">
        <w:t xml:space="preserve">are </w:t>
      </w:r>
      <w:r>
        <w:t>uncertain.</w:t>
      </w:r>
      <w:r w:rsidR="00931B06">
        <w:t xml:space="preserve"> </w:t>
      </w:r>
      <w:r w:rsidR="002A1D0B">
        <w:t xml:space="preserve">Across-the-board lowering of </w:t>
      </w:r>
      <w:r w:rsidR="003D137C">
        <w:t xml:space="preserve">HILA TSS </w:t>
      </w:r>
      <w:r w:rsidR="001B443C">
        <w:t xml:space="preserve">qualification and duration of work experience </w:t>
      </w:r>
      <w:r w:rsidR="002A1D0B">
        <w:t>requirements could lead to large-</w:t>
      </w:r>
      <w:r w:rsidR="002A1D0B">
        <w:lastRenderedPageBreak/>
        <w:t>scale recruitment of non-PLS workers (</w:t>
      </w:r>
      <w:r w:rsidR="00FB1C2D">
        <w:t>e.g.,</w:t>
      </w:r>
      <w:r w:rsidR="002A1D0B">
        <w:t xml:space="preserve"> backpackers). A PLS prerequisite could be written </w:t>
      </w:r>
      <w:r w:rsidR="009729D2">
        <w:t xml:space="preserve">into the HILA </w:t>
      </w:r>
      <w:r w:rsidR="002A1D0B">
        <w:t xml:space="preserve">so that work under the PLS in one of the </w:t>
      </w:r>
      <w:r w:rsidR="00291E17">
        <w:t xml:space="preserve">occupations </w:t>
      </w:r>
      <w:r w:rsidR="002A1D0B">
        <w:t xml:space="preserve">for a period of one to two years satisfied the requirements for a HILA TSS visa. It has been announced that the new Australian Agricultural </w:t>
      </w:r>
      <w:r w:rsidR="004C450E">
        <w:t>V</w:t>
      </w:r>
      <w:r w:rsidR="002A1D0B">
        <w:t>isa</w:t>
      </w:r>
      <w:r w:rsidR="007B582B">
        <w:t>,</w:t>
      </w:r>
      <w:r w:rsidR="002A1D0B">
        <w:t xml:space="preserve"> which will allow Southeast Asians to work on Australian farms</w:t>
      </w:r>
      <w:r w:rsidR="007B582B">
        <w:t>,</w:t>
      </w:r>
      <w:r w:rsidR="002A1D0B">
        <w:t xml:space="preserve"> will have a pathway to permanency. It is unclear what that announcement entails, but </w:t>
      </w:r>
      <w:r w:rsidR="003D137C">
        <w:t xml:space="preserve">whatever </w:t>
      </w:r>
      <w:r w:rsidR="00B3550D">
        <w:t>pathway to perman</w:t>
      </w:r>
      <w:r w:rsidR="0017545F">
        <w:t xml:space="preserve">ency </w:t>
      </w:r>
      <w:r w:rsidR="003D137C">
        <w:t>option is put forward under the Australian Agricultur</w:t>
      </w:r>
      <w:r w:rsidR="00A2720F">
        <w:t>e</w:t>
      </w:r>
      <w:r w:rsidR="003D137C">
        <w:t xml:space="preserve"> </w:t>
      </w:r>
      <w:r w:rsidR="004C450E">
        <w:t>V</w:t>
      </w:r>
      <w:r w:rsidR="003D137C">
        <w:t xml:space="preserve">isa should also be available under </w:t>
      </w:r>
      <w:r w:rsidR="002A1D0B">
        <w:t xml:space="preserve">the PLS. </w:t>
      </w:r>
    </w:p>
    <w:p w14:paraId="45E01E2D" w14:textId="77777777" w:rsidR="00FA24C5" w:rsidRDefault="00FA24C5" w:rsidP="00EB30FE"/>
    <w:p w14:paraId="0EF4F0A0" w14:textId="2D191385" w:rsidR="003F5663" w:rsidRDefault="003F5663" w:rsidP="0046693F">
      <w:pPr>
        <w:pStyle w:val="Heading2"/>
        <w:spacing w:before="0"/>
        <w:jc w:val="both"/>
      </w:pPr>
      <w:bookmarkStart w:id="10" w:name="_Toc90621508"/>
      <w:r>
        <w:t>(</w:t>
      </w:r>
      <w:r w:rsidR="00303D60">
        <w:t>i</w:t>
      </w:r>
      <w:r w:rsidR="00B54265">
        <w:t>ii</w:t>
      </w:r>
      <w:r>
        <w:t>) Trades</w:t>
      </w:r>
      <w:r w:rsidR="00E903ED">
        <w:t xml:space="preserve"> and cooks</w:t>
      </w:r>
      <w:bookmarkEnd w:id="10"/>
    </w:p>
    <w:p w14:paraId="26C5FC3D" w14:textId="77777777" w:rsidR="0046693F" w:rsidRDefault="0046693F" w:rsidP="0046693F">
      <w:pPr>
        <w:spacing w:after="0"/>
        <w:jc w:val="both"/>
      </w:pPr>
    </w:p>
    <w:p w14:paraId="1F533B82" w14:textId="77777777" w:rsidR="008C6671" w:rsidRDefault="008C6671" w:rsidP="008C6671">
      <w:pPr>
        <w:spacing w:after="0"/>
        <w:jc w:val="both"/>
      </w:pPr>
      <w:r>
        <w:t>Positive factors include:</w:t>
      </w:r>
    </w:p>
    <w:p w14:paraId="5199C915" w14:textId="77777777" w:rsidR="0046693F" w:rsidRDefault="0046693F" w:rsidP="0046693F">
      <w:pPr>
        <w:pStyle w:val="ListParagraph"/>
        <w:spacing w:after="0"/>
        <w:jc w:val="both"/>
      </w:pPr>
    </w:p>
    <w:p w14:paraId="53DA1829" w14:textId="305743F7" w:rsidR="00C82749" w:rsidRDefault="00C82749" w:rsidP="0046693F">
      <w:pPr>
        <w:pStyle w:val="ListParagraph"/>
        <w:numPr>
          <w:ilvl w:val="0"/>
          <w:numId w:val="12"/>
        </w:numPr>
        <w:spacing w:after="0"/>
        <w:jc w:val="both"/>
      </w:pPr>
      <w:r>
        <w:t xml:space="preserve">There is a large demand </w:t>
      </w:r>
      <w:r w:rsidR="0046693F">
        <w:t xml:space="preserve">in Australia </w:t>
      </w:r>
      <w:r>
        <w:t>for tradespersons</w:t>
      </w:r>
      <w:r w:rsidR="00E903ED">
        <w:t xml:space="preserve"> and cooks</w:t>
      </w:r>
      <w:r w:rsidR="00F566EF">
        <w:t>.</w:t>
      </w:r>
    </w:p>
    <w:p w14:paraId="6A0DB5FE" w14:textId="77777777" w:rsidR="00665DAE" w:rsidRDefault="00665DAE" w:rsidP="004353B3">
      <w:pPr>
        <w:pStyle w:val="ListParagraph"/>
        <w:spacing w:after="0"/>
        <w:jc w:val="both"/>
      </w:pPr>
    </w:p>
    <w:p w14:paraId="7B75B133" w14:textId="73C7A20D" w:rsidR="004530B0" w:rsidRDefault="004530B0" w:rsidP="004530B0">
      <w:pPr>
        <w:pStyle w:val="ListParagraph"/>
        <w:numPr>
          <w:ilvl w:val="0"/>
          <w:numId w:val="12"/>
        </w:numPr>
        <w:spacing w:after="0"/>
        <w:jc w:val="both"/>
      </w:pPr>
      <w:r>
        <w:t xml:space="preserve">APTC has produced </w:t>
      </w:r>
      <w:r w:rsidR="00665DAE">
        <w:t xml:space="preserve">thousands of </w:t>
      </w:r>
      <w:r>
        <w:t xml:space="preserve">graduates </w:t>
      </w:r>
      <w:r w:rsidR="00665DAE">
        <w:t xml:space="preserve">with </w:t>
      </w:r>
      <w:r w:rsidR="009774F1">
        <w:t xml:space="preserve">their </w:t>
      </w:r>
      <w:r w:rsidR="002029A2">
        <w:t xml:space="preserve">pre-existing </w:t>
      </w:r>
      <w:r w:rsidR="009774F1">
        <w:t xml:space="preserve">trade training topped up </w:t>
      </w:r>
      <w:r>
        <w:t>with Australian</w:t>
      </w:r>
      <w:r w:rsidR="00005DC4">
        <w:t>-</w:t>
      </w:r>
      <w:r>
        <w:t xml:space="preserve">recognised qualifications. </w:t>
      </w:r>
    </w:p>
    <w:p w14:paraId="668B02D9" w14:textId="2B278E2E" w:rsidR="00364ADB" w:rsidRDefault="00364ADB" w:rsidP="00364ADB">
      <w:pPr>
        <w:pStyle w:val="ListParagraph"/>
        <w:spacing w:after="0"/>
        <w:jc w:val="both"/>
      </w:pPr>
    </w:p>
    <w:p w14:paraId="79BD3D3C" w14:textId="2059E709" w:rsidR="00043080" w:rsidRPr="0046693F" w:rsidRDefault="00F566EF" w:rsidP="0046693F">
      <w:pPr>
        <w:pStyle w:val="ListParagraph"/>
        <w:numPr>
          <w:ilvl w:val="0"/>
          <w:numId w:val="12"/>
        </w:numPr>
        <w:spacing w:after="0"/>
        <w:jc w:val="both"/>
        <w:rPr>
          <w:rStyle w:val="FootnoteReference"/>
          <w:vertAlign w:val="baseline"/>
        </w:rPr>
      </w:pPr>
      <w:r>
        <w:t xml:space="preserve">Many APTC qualifications </w:t>
      </w:r>
      <w:r w:rsidR="003D14B9">
        <w:t xml:space="preserve">are </w:t>
      </w:r>
      <w:r>
        <w:t xml:space="preserve">linked to </w:t>
      </w:r>
      <w:r w:rsidR="00F036BC">
        <w:t>t</w:t>
      </w:r>
      <w:r w:rsidR="00C82749">
        <w:t xml:space="preserve">rades occupations </w:t>
      </w:r>
      <w:r w:rsidR="00005DC4">
        <w:t xml:space="preserve">that </w:t>
      </w:r>
      <w:r w:rsidR="00C82749">
        <w:t>are on the occupational list for the TSS</w:t>
      </w:r>
      <w:r w:rsidR="00E903ED">
        <w:t>, including cooks</w:t>
      </w:r>
      <w:r w:rsidR="00C82749">
        <w:t>.</w:t>
      </w:r>
      <w:r w:rsidR="009B5DDC" w:rsidRPr="009B5DDC">
        <w:rPr>
          <w:rStyle w:val="FootnoteReference"/>
        </w:rPr>
        <w:t xml:space="preserve"> </w:t>
      </w:r>
      <w:r w:rsidR="009B5DDC">
        <w:rPr>
          <w:rStyle w:val="FootnoteReference"/>
        </w:rPr>
        <w:footnoteReference w:id="6"/>
      </w:r>
      <w:r w:rsidR="00043080" w:rsidDel="00043080">
        <w:rPr>
          <w:rStyle w:val="FootnoteReference"/>
        </w:rPr>
        <w:t xml:space="preserve"> </w:t>
      </w:r>
    </w:p>
    <w:p w14:paraId="6B09CE3B" w14:textId="77777777" w:rsidR="0046693F" w:rsidRDefault="0046693F" w:rsidP="0046693F">
      <w:pPr>
        <w:spacing w:after="0"/>
        <w:jc w:val="both"/>
      </w:pPr>
    </w:p>
    <w:p w14:paraId="2ACFEF62" w14:textId="720E0176" w:rsidR="00043080" w:rsidRDefault="000A2B10" w:rsidP="0046693F">
      <w:pPr>
        <w:pStyle w:val="ListParagraph"/>
        <w:numPr>
          <w:ilvl w:val="0"/>
          <w:numId w:val="12"/>
        </w:numPr>
        <w:spacing w:after="0"/>
        <w:jc w:val="both"/>
      </w:pPr>
      <w:r>
        <w:t xml:space="preserve">All regional </w:t>
      </w:r>
      <w:r w:rsidR="00043080">
        <w:t xml:space="preserve">DAMAs also </w:t>
      </w:r>
      <w:r w:rsidR="008C7006">
        <w:t xml:space="preserve">offer English language concessions for </w:t>
      </w:r>
      <w:r w:rsidR="00C47782">
        <w:t xml:space="preserve">occupations </w:t>
      </w:r>
      <w:r w:rsidR="0093194B">
        <w:t xml:space="preserve">linked to APTC </w:t>
      </w:r>
      <w:r w:rsidR="00C47782">
        <w:t xml:space="preserve">trade-based </w:t>
      </w:r>
      <w:r w:rsidR="0093194B">
        <w:t>qualifications</w:t>
      </w:r>
      <w:r w:rsidR="00CA179C">
        <w:t>.</w:t>
      </w:r>
    </w:p>
    <w:p w14:paraId="4DA64C7D" w14:textId="061F3F39" w:rsidR="00043080" w:rsidRDefault="00043080" w:rsidP="0046693F">
      <w:pPr>
        <w:pStyle w:val="ListParagraph"/>
        <w:spacing w:after="0"/>
        <w:jc w:val="both"/>
      </w:pPr>
    </w:p>
    <w:p w14:paraId="6CBAD18A" w14:textId="72A6BD05" w:rsidR="00E903ED" w:rsidRDefault="00E903ED" w:rsidP="0046693F">
      <w:pPr>
        <w:spacing w:after="0"/>
        <w:jc w:val="both"/>
      </w:pPr>
      <w:r>
        <w:t xml:space="preserve">There are, however, various barriers and uncertainties: </w:t>
      </w:r>
    </w:p>
    <w:p w14:paraId="01AE63B4" w14:textId="77777777" w:rsidR="00E351DD" w:rsidRDefault="00E351DD" w:rsidP="0046693F">
      <w:pPr>
        <w:spacing w:after="0"/>
        <w:jc w:val="both"/>
      </w:pPr>
    </w:p>
    <w:p w14:paraId="182AB53A" w14:textId="77777777" w:rsidR="008C6671" w:rsidRDefault="008C6671" w:rsidP="008C6671">
      <w:pPr>
        <w:pStyle w:val="ListParagraph"/>
        <w:numPr>
          <w:ilvl w:val="0"/>
          <w:numId w:val="13"/>
        </w:numPr>
        <w:spacing w:after="0"/>
        <w:jc w:val="both"/>
      </w:pPr>
      <w:r>
        <w:t>Numbers of tradespersons hired under PLS are currently very small (less than 1% of all PLS workers).</w:t>
      </w:r>
    </w:p>
    <w:p w14:paraId="767C4331" w14:textId="77777777" w:rsidR="008C6671" w:rsidRDefault="008C6671" w:rsidP="008C6671">
      <w:pPr>
        <w:pStyle w:val="ListParagraph"/>
        <w:spacing w:after="0"/>
        <w:jc w:val="both"/>
      </w:pPr>
    </w:p>
    <w:p w14:paraId="699BB760" w14:textId="7AF84357" w:rsidR="00E351DD" w:rsidRDefault="00E351DD" w:rsidP="0046693F">
      <w:pPr>
        <w:pStyle w:val="ListParagraph"/>
        <w:numPr>
          <w:ilvl w:val="0"/>
          <w:numId w:val="13"/>
        </w:numPr>
        <w:spacing w:after="0"/>
        <w:jc w:val="both"/>
      </w:pPr>
      <w:r>
        <w:t>The willingness of regional employers to hire through the TSS is uncertain</w:t>
      </w:r>
      <w:r w:rsidR="00891A45">
        <w:t>.</w:t>
      </w:r>
      <w:r w:rsidR="008C6671">
        <w:t xml:space="preserve"> </w:t>
      </w:r>
      <w:r w:rsidR="00452610">
        <w:t>Whether workers could move from regional employers under the PLS to different metro employers under the TSS is also uncertain.</w:t>
      </w:r>
    </w:p>
    <w:p w14:paraId="201D8E8B" w14:textId="7003B69F" w:rsidR="00E351DD" w:rsidRDefault="00E351DD" w:rsidP="00E351DD">
      <w:pPr>
        <w:pStyle w:val="ListParagraph"/>
        <w:spacing w:after="0"/>
        <w:jc w:val="both"/>
      </w:pPr>
    </w:p>
    <w:p w14:paraId="4A390637" w14:textId="33D298FF" w:rsidR="00C82749" w:rsidRDefault="00E351DD" w:rsidP="00E351DD">
      <w:pPr>
        <w:pStyle w:val="ListParagraph"/>
        <w:numPr>
          <w:ilvl w:val="0"/>
          <w:numId w:val="13"/>
        </w:numPr>
        <w:spacing w:after="0"/>
        <w:jc w:val="both"/>
      </w:pPr>
      <w:r>
        <w:t xml:space="preserve">Whether </w:t>
      </w:r>
      <w:r w:rsidR="00934DBC">
        <w:t xml:space="preserve">regional </w:t>
      </w:r>
      <w:r>
        <w:t xml:space="preserve">employers want to recruit </w:t>
      </w:r>
      <w:r w:rsidR="00452610">
        <w:t xml:space="preserve">into the TSS </w:t>
      </w:r>
      <w:r w:rsidR="00FC1916">
        <w:t xml:space="preserve">via </w:t>
      </w:r>
      <w:r w:rsidR="003D6717">
        <w:t>the PLS</w:t>
      </w:r>
      <w:r w:rsidR="00EE53D2">
        <w:t xml:space="preserve"> or directly</w:t>
      </w:r>
      <w:r w:rsidR="007D3E8B">
        <w:t xml:space="preserve"> from the </w:t>
      </w:r>
      <w:r w:rsidR="00AC4168">
        <w:t>Pacific</w:t>
      </w:r>
      <w:r>
        <w:t xml:space="preserve"> is also </w:t>
      </w:r>
      <w:r w:rsidR="00FB1C2D">
        <w:t>unclear and</w:t>
      </w:r>
      <w:r w:rsidR="00934DBC">
        <w:t xml:space="preserve"> will only be </w:t>
      </w:r>
      <w:r w:rsidR="001139D3">
        <w:t xml:space="preserve">known </w:t>
      </w:r>
      <w:r w:rsidR="00934DBC">
        <w:t>with experience.</w:t>
      </w:r>
      <w:r>
        <w:t xml:space="preserve"> </w:t>
      </w:r>
    </w:p>
    <w:p w14:paraId="5A36117C" w14:textId="77777777" w:rsidR="00934DBC" w:rsidRDefault="00934DBC" w:rsidP="00934DBC">
      <w:pPr>
        <w:spacing w:after="0"/>
        <w:jc w:val="both"/>
      </w:pPr>
    </w:p>
    <w:p w14:paraId="50D71366" w14:textId="22A5CA9B" w:rsidR="00E351DD" w:rsidRDefault="000A450F" w:rsidP="00436304">
      <w:pPr>
        <w:pStyle w:val="ListParagraph"/>
        <w:numPr>
          <w:ilvl w:val="0"/>
          <w:numId w:val="12"/>
        </w:numPr>
        <w:spacing w:after="0"/>
        <w:jc w:val="both"/>
      </w:pPr>
      <w:r>
        <w:t xml:space="preserve">Also unknown is </w:t>
      </w:r>
      <w:r w:rsidR="00C82749">
        <w:t>how</w:t>
      </w:r>
      <w:r w:rsidR="00AC4168">
        <w:t xml:space="preserve"> the additiona</w:t>
      </w:r>
      <w:r w:rsidR="009E5B4E">
        <w:t>l</w:t>
      </w:r>
      <w:r w:rsidR="00C82749">
        <w:t xml:space="preserve"> licensing requirements </w:t>
      </w:r>
      <w:r w:rsidR="00AA7906">
        <w:t>of electrician</w:t>
      </w:r>
      <w:r w:rsidR="00FD3275">
        <w:t>s</w:t>
      </w:r>
      <w:r w:rsidR="00AA7906">
        <w:t xml:space="preserve">, plumbers and refrigeration and air-con mechanics </w:t>
      </w:r>
      <w:r w:rsidR="009E5B4E">
        <w:t xml:space="preserve">could </w:t>
      </w:r>
      <w:r w:rsidR="00C82749">
        <w:t xml:space="preserve">be met </w:t>
      </w:r>
      <w:r w:rsidR="00E903ED">
        <w:t xml:space="preserve">under </w:t>
      </w:r>
      <w:r w:rsidR="00C82749">
        <w:t>the PLS.</w:t>
      </w:r>
      <w:r w:rsidR="00E351DD">
        <w:t xml:space="preserve"> </w:t>
      </w:r>
    </w:p>
    <w:p w14:paraId="2A24C654" w14:textId="77777777" w:rsidR="008C6671" w:rsidRDefault="008C6671" w:rsidP="008C6671">
      <w:pPr>
        <w:pStyle w:val="ListParagraph"/>
        <w:spacing w:after="0"/>
        <w:jc w:val="both"/>
      </w:pPr>
    </w:p>
    <w:p w14:paraId="6F4C432D" w14:textId="1F90A2B7" w:rsidR="002047C9" w:rsidRDefault="00380728" w:rsidP="0046693F">
      <w:pPr>
        <w:spacing w:after="0"/>
        <w:jc w:val="both"/>
      </w:pPr>
      <w:r>
        <w:t>However, t</w:t>
      </w:r>
      <w:r w:rsidR="002047C9">
        <w:t xml:space="preserve">he next step </w:t>
      </w:r>
      <w:r w:rsidR="00A122D0">
        <w:t xml:space="preserve">along this pathway </w:t>
      </w:r>
      <w:r w:rsidR="002047C9">
        <w:t>for this group is to</w:t>
      </w:r>
      <w:r w:rsidR="00F435CB">
        <w:t xml:space="preserve"> </w:t>
      </w:r>
      <w:r w:rsidR="002047C9">
        <w:t xml:space="preserve">increase </w:t>
      </w:r>
      <w:r w:rsidR="00E351DD">
        <w:t xml:space="preserve">their </w:t>
      </w:r>
      <w:r w:rsidR="002047C9">
        <w:t>PLS participation.</w:t>
      </w:r>
    </w:p>
    <w:p w14:paraId="2CF5098C" w14:textId="184B0940" w:rsidR="008C6671" w:rsidRDefault="008C6671" w:rsidP="009729D2"/>
    <w:p w14:paraId="11AE9593" w14:textId="0A02DFA6" w:rsidR="00A744AA" w:rsidRDefault="00A744AA" w:rsidP="00920F60"/>
    <w:p w14:paraId="2B4A9DFA" w14:textId="77777777" w:rsidR="009729D2" w:rsidRPr="00A744AA" w:rsidRDefault="009729D2" w:rsidP="00920F60"/>
    <w:p w14:paraId="526A9C86" w14:textId="650F52E6" w:rsidR="003F5663" w:rsidRDefault="003F5663" w:rsidP="0046693F">
      <w:pPr>
        <w:pStyle w:val="Heading2"/>
        <w:spacing w:before="0"/>
        <w:jc w:val="both"/>
      </w:pPr>
      <w:bookmarkStart w:id="11" w:name="_Toc90621509"/>
      <w:r>
        <w:lastRenderedPageBreak/>
        <w:t>(</w:t>
      </w:r>
      <w:r w:rsidR="00B54265">
        <w:t>i</w:t>
      </w:r>
      <w:r w:rsidR="00303D60">
        <w:t>v</w:t>
      </w:r>
      <w:r>
        <w:t>)</w:t>
      </w:r>
      <w:r w:rsidR="00676441">
        <w:t xml:space="preserve"> </w:t>
      </w:r>
      <w:r>
        <w:t>Carers and hospitality workers</w:t>
      </w:r>
      <w:bookmarkEnd w:id="11"/>
    </w:p>
    <w:p w14:paraId="7747075C" w14:textId="77777777" w:rsidR="00E351DD" w:rsidRDefault="00E351DD" w:rsidP="0046693F">
      <w:pPr>
        <w:spacing w:after="0"/>
        <w:jc w:val="both"/>
      </w:pPr>
    </w:p>
    <w:p w14:paraId="7FA9A14A" w14:textId="3CD37963" w:rsidR="003F5663" w:rsidRDefault="003F5663" w:rsidP="0046693F">
      <w:pPr>
        <w:spacing w:after="0"/>
        <w:jc w:val="both"/>
      </w:pPr>
      <w:r>
        <w:t>Prospects are uncertain because</w:t>
      </w:r>
      <w:r w:rsidR="00E351DD">
        <w:t>:</w:t>
      </w:r>
    </w:p>
    <w:p w14:paraId="17E4AC4D" w14:textId="77777777" w:rsidR="00E351DD" w:rsidRDefault="00E351DD" w:rsidP="0046693F">
      <w:pPr>
        <w:spacing w:after="0"/>
        <w:jc w:val="both"/>
      </w:pPr>
    </w:p>
    <w:p w14:paraId="299D8746" w14:textId="69DECD62" w:rsidR="003F5663" w:rsidRDefault="003F5663" w:rsidP="0046693F">
      <w:pPr>
        <w:pStyle w:val="ListParagraph"/>
        <w:numPr>
          <w:ilvl w:val="0"/>
          <w:numId w:val="14"/>
        </w:numPr>
        <w:spacing w:after="0"/>
        <w:jc w:val="both"/>
      </w:pPr>
      <w:r>
        <w:t xml:space="preserve">Numbers under PLS </w:t>
      </w:r>
      <w:r w:rsidR="003537D1">
        <w:t xml:space="preserve">are </w:t>
      </w:r>
      <w:r>
        <w:t>very small</w:t>
      </w:r>
      <w:r w:rsidR="00D505F6">
        <w:t xml:space="preserve"> (less than 3%)</w:t>
      </w:r>
      <w:r>
        <w:t>.</w:t>
      </w:r>
    </w:p>
    <w:p w14:paraId="753965AE" w14:textId="77777777" w:rsidR="00E351DD" w:rsidRDefault="00E351DD" w:rsidP="00E351DD">
      <w:pPr>
        <w:pStyle w:val="ListParagraph"/>
        <w:spacing w:after="0"/>
        <w:jc w:val="both"/>
      </w:pPr>
    </w:p>
    <w:p w14:paraId="1C51C9B6" w14:textId="1E2E0C1D" w:rsidR="00B536C2" w:rsidRDefault="00C82749" w:rsidP="0046693F">
      <w:pPr>
        <w:pStyle w:val="ListParagraph"/>
        <w:numPr>
          <w:ilvl w:val="0"/>
          <w:numId w:val="14"/>
        </w:numPr>
        <w:spacing w:after="0"/>
        <w:jc w:val="both"/>
      </w:pPr>
      <w:r>
        <w:t xml:space="preserve">Carers and hospitality workers </w:t>
      </w:r>
      <w:r w:rsidR="00E903ED">
        <w:t xml:space="preserve">can only be hired </w:t>
      </w:r>
      <w:r w:rsidR="0087333A">
        <w:t xml:space="preserve">by employers </w:t>
      </w:r>
      <w:r w:rsidR="00E903ED">
        <w:t xml:space="preserve">through the TSS via </w:t>
      </w:r>
      <w:r w:rsidR="00C05C20">
        <w:t>DAMAs</w:t>
      </w:r>
      <w:r w:rsidR="007743F7">
        <w:t xml:space="preserve">. </w:t>
      </w:r>
      <w:r w:rsidR="002C3EF2">
        <w:t xml:space="preserve">While DAMAs include provision for the hire of carers and hospitality workers (see </w:t>
      </w:r>
      <w:hyperlink w:anchor="_Annex_4:_Designated" w:history="1">
        <w:r w:rsidR="002C3EF2" w:rsidRPr="005572E5">
          <w:rPr>
            <w:rStyle w:val="Hyperlink"/>
          </w:rPr>
          <w:t xml:space="preserve">Annex </w:t>
        </w:r>
        <w:r w:rsidR="00104955" w:rsidRPr="005572E5">
          <w:rPr>
            <w:rStyle w:val="Hyperlink"/>
          </w:rPr>
          <w:t>4</w:t>
        </w:r>
      </w:hyperlink>
      <w:r w:rsidR="002C3EF2">
        <w:t>), very few have been</w:t>
      </w:r>
      <w:r w:rsidR="00EB6F7D">
        <w:t xml:space="preserve"> recruited</w:t>
      </w:r>
      <w:r w:rsidR="002E4461">
        <w:t xml:space="preserve"> to date</w:t>
      </w:r>
      <w:r w:rsidR="00B536C2">
        <w:t>.</w:t>
      </w:r>
    </w:p>
    <w:p w14:paraId="08B4112E" w14:textId="77777777" w:rsidR="00B536C2" w:rsidRDefault="00B536C2" w:rsidP="00B536C2">
      <w:pPr>
        <w:pStyle w:val="ListParagraph"/>
      </w:pPr>
    </w:p>
    <w:p w14:paraId="1A4354D9" w14:textId="7F5C2DF4" w:rsidR="003F5663" w:rsidRDefault="00B536C2" w:rsidP="0046693F">
      <w:pPr>
        <w:pStyle w:val="ListParagraph"/>
        <w:numPr>
          <w:ilvl w:val="0"/>
          <w:numId w:val="14"/>
        </w:numPr>
        <w:spacing w:after="0"/>
        <w:jc w:val="both"/>
      </w:pPr>
      <w:r>
        <w:t xml:space="preserve">The </w:t>
      </w:r>
      <w:r w:rsidR="002047C9">
        <w:t xml:space="preserve">TSS </w:t>
      </w:r>
      <w:r w:rsidR="009729D2">
        <w:t>Temporary Skilled Migration I</w:t>
      </w:r>
      <w:r w:rsidR="002047C9">
        <w:t xml:space="preserve">ncome </w:t>
      </w:r>
      <w:r w:rsidR="009729D2">
        <w:t>T</w:t>
      </w:r>
      <w:r w:rsidR="002047C9">
        <w:t xml:space="preserve">hreshold (TSMIT) may be a deterrent. </w:t>
      </w:r>
      <w:r w:rsidR="007D047A">
        <w:t xml:space="preserve">One survey </w:t>
      </w:r>
      <w:r w:rsidR="005A0C2E">
        <w:t xml:space="preserve">showed that </w:t>
      </w:r>
      <w:r w:rsidR="007D047A">
        <w:t>PLS workers in NSW and Queensland were only earning</w:t>
      </w:r>
      <w:r w:rsidR="00FC42D6">
        <w:t xml:space="preserve"> about 80% of the current TSMIT threshold ($931 a week). However, i</w:t>
      </w:r>
      <w:r>
        <w:t xml:space="preserve">n the one case </w:t>
      </w:r>
      <w:r w:rsidR="00FC42D6">
        <w:t xml:space="preserve">study </w:t>
      </w:r>
      <w:r w:rsidR="0067110D">
        <w:t>o</w:t>
      </w:r>
      <w:r w:rsidR="00452610">
        <w:t>f</w:t>
      </w:r>
      <w:r w:rsidR="0067110D">
        <w:t xml:space="preserve"> aged care </w:t>
      </w:r>
      <w:r w:rsidR="00FC42D6">
        <w:t xml:space="preserve">PLS </w:t>
      </w:r>
      <w:r w:rsidR="0067110D">
        <w:t>workers</w:t>
      </w:r>
      <w:r w:rsidR="00452610">
        <w:t xml:space="preserve"> at a remote facility</w:t>
      </w:r>
      <w:r w:rsidR="0067110D">
        <w:t>, their</w:t>
      </w:r>
      <w:r>
        <w:t xml:space="preserve"> average earnings </w:t>
      </w:r>
      <w:r w:rsidR="007D047A">
        <w:t xml:space="preserve">were </w:t>
      </w:r>
      <w:r>
        <w:t xml:space="preserve">enough to meet the TSMIT threshold given the 10% concession in the DAMAs. In addition, </w:t>
      </w:r>
      <w:r w:rsidR="00FC42D6">
        <w:t xml:space="preserve">in this case, </w:t>
      </w:r>
      <w:r>
        <w:t>subsidised accommodation is provided, and regular overtime, indicating that TSMIT should not be a hurdle. However, more cases need to be examined.</w:t>
      </w:r>
    </w:p>
    <w:p w14:paraId="5BB89EA9" w14:textId="77777777" w:rsidR="00B536C2" w:rsidRDefault="00B536C2" w:rsidP="0046693F">
      <w:pPr>
        <w:spacing w:after="0"/>
        <w:jc w:val="both"/>
      </w:pPr>
    </w:p>
    <w:p w14:paraId="643951AE" w14:textId="47A3B13C" w:rsidR="002047C9" w:rsidRDefault="002047C9" w:rsidP="0046693F">
      <w:pPr>
        <w:spacing w:after="0"/>
        <w:jc w:val="both"/>
      </w:pPr>
      <w:r>
        <w:t xml:space="preserve">As for tradespersons and cooks, the next step </w:t>
      </w:r>
      <w:r w:rsidR="00130B7F">
        <w:t xml:space="preserve">for carers and hospitality workers </w:t>
      </w:r>
      <w:r>
        <w:t>is to increase PLS participation.</w:t>
      </w:r>
      <w:r w:rsidR="004C02A8">
        <w:t xml:space="preserve"> Because this </w:t>
      </w:r>
      <w:r w:rsidR="00CE31FC">
        <w:t>carer and hospital</w:t>
      </w:r>
      <w:r w:rsidR="00701C5D">
        <w:t xml:space="preserve">ity worker </w:t>
      </w:r>
      <w:r w:rsidR="004C02A8">
        <w:t>pathway</w:t>
      </w:r>
      <w:r w:rsidR="00530E93">
        <w:t xml:space="preserve"> </w:t>
      </w:r>
      <w:r w:rsidR="004C02A8">
        <w:t xml:space="preserve">relies completely on the DAMAs, it would also be important to </w:t>
      </w:r>
      <w:r w:rsidR="00104955">
        <w:t xml:space="preserve">secure </w:t>
      </w:r>
      <w:r w:rsidR="00701C5D">
        <w:t xml:space="preserve">changes to </w:t>
      </w:r>
      <w:r w:rsidR="004C02A8">
        <w:t xml:space="preserve">the DAMAs to make the pathway from the PLS to the TSS under the DAMAs more secure. For example, because DAMAs are flexible, they could </w:t>
      </w:r>
      <w:r w:rsidR="002A3334">
        <w:t xml:space="preserve">include a provision that </w:t>
      </w:r>
      <w:r w:rsidR="004C02A8">
        <w:t xml:space="preserve">any PLS worker in a DAMA-specified occupation </w:t>
      </w:r>
      <w:r w:rsidR="009F0BB2">
        <w:t>and</w:t>
      </w:r>
      <w:r w:rsidR="008C6E95">
        <w:t xml:space="preserve"> with a</w:t>
      </w:r>
      <w:r w:rsidR="009F0BB2">
        <w:t xml:space="preserve"> relevant </w:t>
      </w:r>
      <w:r w:rsidR="008C6E95">
        <w:t xml:space="preserve">qualification </w:t>
      </w:r>
      <w:r w:rsidR="004C02A8">
        <w:t xml:space="preserve">is able to transfer to the TSS after a specified period of </w:t>
      </w:r>
      <w:r w:rsidR="009F0BB2">
        <w:t xml:space="preserve">relevant work </w:t>
      </w:r>
      <w:r w:rsidR="004C02A8">
        <w:t xml:space="preserve">experience (say one year). </w:t>
      </w:r>
    </w:p>
    <w:p w14:paraId="222F8FD0" w14:textId="77777777" w:rsidR="00E351DD" w:rsidRDefault="00E351DD" w:rsidP="0046693F">
      <w:pPr>
        <w:spacing w:after="0"/>
        <w:jc w:val="both"/>
      </w:pPr>
    </w:p>
    <w:p w14:paraId="7623398B" w14:textId="62456E15" w:rsidR="002047C9" w:rsidRPr="008C03A2" w:rsidRDefault="009A16ED" w:rsidP="0046693F">
      <w:pPr>
        <w:pStyle w:val="Heading1"/>
        <w:spacing w:before="0"/>
        <w:rPr>
          <w:b/>
          <w:bCs/>
        </w:rPr>
      </w:pPr>
      <w:bookmarkStart w:id="12" w:name="_Toc90621510"/>
      <w:r>
        <w:rPr>
          <w:b/>
          <w:bCs/>
        </w:rPr>
        <w:t xml:space="preserve">3. </w:t>
      </w:r>
      <w:r w:rsidR="00AB165F" w:rsidRPr="00290E70">
        <w:rPr>
          <w:b/>
          <w:bCs/>
        </w:rPr>
        <w:t xml:space="preserve">Offshore TSS pathway for </w:t>
      </w:r>
      <w:r w:rsidR="0030254E">
        <w:rPr>
          <w:b/>
          <w:bCs/>
        </w:rPr>
        <w:t xml:space="preserve">the </w:t>
      </w:r>
      <w:r w:rsidR="00AB165F" w:rsidRPr="00290E70">
        <w:rPr>
          <w:b/>
          <w:bCs/>
        </w:rPr>
        <w:t>trade</w:t>
      </w:r>
      <w:r w:rsidR="0030254E">
        <w:rPr>
          <w:b/>
          <w:bCs/>
        </w:rPr>
        <w:t>s</w:t>
      </w:r>
      <w:bookmarkEnd w:id="12"/>
      <w:r w:rsidR="0030254E">
        <w:rPr>
          <w:b/>
          <w:bCs/>
        </w:rPr>
        <w:t xml:space="preserve"> </w:t>
      </w:r>
    </w:p>
    <w:p w14:paraId="1F6B24CC" w14:textId="77777777" w:rsidR="003537D1" w:rsidRDefault="003537D1" w:rsidP="0046693F">
      <w:pPr>
        <w:spacing w:after="0"/>
        <w:jc w:val="both"/>
      </w:pPr>
    </w:p>
    <w:p w14:paraId="416AD4D5" w14:textId="6632DE22" w:rsidR="003537D1" w:rsidRDefault="003537D1" w:rsidP="0046693F">
      <w:pPr>
        <w:spacing w:after="0"/>
        <w:jc w:val="both"/>
      </w:pPr>
      <w:r>
        <w:t>T</w:t>
      </w:r>
      <w:r w:rsidR="00B54265">
        <w:t xml:space="preserve">he PLS is </w:t>
      </w:r>
      <w:r>
        <w:t xml:space="preserve">a useful </w:t>
      </w:r>
      <w:r w:rsidR="00B54265">
        <w:t xml:space="preserve">pathway to the TSS, </w:t>
      </w:r>
      <w:r>
        <w:t xml:space="preserve">but </w:t>
      </w:r>
      <w:r w:rsidR="00B54265">
        <w:t xml:space="preserve">has </w:t>
      </w:r>
      <w:r w:rsidR="0030254E">
        <w:t>the</w:t>
      </w:r>
      <w:r w:rsidR="00B54265">
        <w:t xml:space="preserve"> limitations</w:t>
      </w:r>
      <w:r w:rsidR="0030254E">
        <w:t xml:space="preserve"> that it </w:t>
      </w:r>
      <w:r w:rsidR="00B54265">
        <w:t>only covers regional areas</w:t>
      </w:r>
      <w:r w:rsidR="0030254E">
        <w:t xml:space="preserve">, and </w:t>
      </w:r>
      <w:r w:rsidR="004A613E">
        <w:t xml:space="preserve">requires employers to take on considerable additional obligations </w:t>
      </w:r>
      <w:r w:rsidR="00B66D9A">
        <w:t xml:space="preserve">under the PLS </w:t>
      </w:r>
      <w:r w:rsidR="004A613E">
        <w:t>related to worker welfare</w:t>
      </w:r>
      <w:r w:rsidR="00BC1899">
        <w:t>.</w:t>
      </w:r>
    </w:p>
    <w:p w14:paraId="73BF3A7C" w14:textId="07ACCD61" w:rsidR="00E9332C" w:rsidRDefault="00676441" w:rsidP="0046693F">
      <w:pPr>
        <w:spacing w:after="0"/>
        <w:jc w:val="both"/>
      </w:pPr>
      <w:r>
        <w:t xml:space="preserve"> </w:t>
      </w:r>
    </w:p>
    <w:p w14:paraId="592F9DAB" w14:textId="3E95E94C" w:rsidR="00C05C20" w:rsidRDefault="00AB165F" w:rsidP="0046693F">
      <w:pPr>
        <w:spacing w:after="0"/>
        <w:jc w:val="both"/>
      </w:pPr>
      <w:r>
        <w:t>Another TSS pathway for the Pacific is through offshore hiring.</w:t>
      </w:r>
      <w:r w:rsidR="00130B7F">
        <w:rPr>
          <w:rStyle w:val="FootnoteReference"/>
        </w:rPr>
        <w:footnoteReference w:id="7"/>
      </w:r>
      <w:r w:rsidR="00102777">
        <w:t xml:space="preserve"> </w:t>
      </w:r>
      <w:r w:rsidR="00130B7F">
        <w:t>The fact</w:t>
      </w:r>
      <w:r w:rsidR="00F83BD2">
        <w:t xml:space="preserve"> </w:t>
      </w:r>
      <w:r w:rsidR="00130B7F">
        <w:t xml:space="preserve">sheet in </w:t>
      </w:r>
      <w:hyperlink w:anchor="_Annex_4:_Designated" w:history="1">
        <w:r w:rsidR="00130B7F" w:rsidRPr="00A744AA">
          <w:rPr>
            <w:rStyle w:val="Hyperlink"/>
          </w:rPr>
          <w:t>Annex 4</w:t>
        </w:r>
      </w:hyperlink>
      <w:r w:rsidR="00130B7F">
        <w:t xml:space="preserve"> provides the details on how this could work. Th</w:t>
      </w:r>
      <w:r w:rsidR="00102777">
        <w:t>e focus should be on those with Australian</w:t>
      </w:r>
      <w:r w:rsidR="004A1C08">
        <w:t>-</w:t>
      </w:r>
      <w:r w:rsidR="00102777">
        <w:t xml:space="preserve">accredited qualifications, for two reasons. First, </w:t>
      </w:r>
      <w:r w:rsidR="00A46A51">
        <w:t xml:space="preserve">employers </w:t>
      </w:r>
      <w:r w:rsidR="00102777">
        <w:t xml:space="preserve">will be more ready </w:t>
      </w:r>
      <w:r w:rsidR="00A46A51">
        <w:t xml:space="preserve">to accept that these graduates </w:t>
      </w:r>
      <w:r w:rsidR="00102777">
        <w:t>can perform to the competency standards required in Australia. Second, graduates with Australian</w:t>
      </w:r>
      <w:r w:rsidR="004A1C08">
        <w:t>-</w:t>
      </w:r>
      <w:r w:rsidR="00102777">
        <w:t xml:space="preserve">accredited qualifications have </w:t>
      </w:r>
      <w:r w:rsidR="009C0640">
        <w:t xml:space="preserve">only </w:t>
      </w:r>
      <w:r w:rsidR="00102777">
        <w:t xml:space="preserve">to undertake a technical skills interview by the assessing authority and not undertake a </w:t>
      </w:r>
      <w:r w:rsidR="004F5D92">
        <w:t xml:space="preserve">separate </w:t>
      </w:r>
      <w:r w:rsidR="00102777">
        <w:t>skills assessment</w:t>
      </w:r>
      <w:r w:rsidR="004F5D92">
        <w:t xml:space="preserve"> as well</w:t>
      </w:r>
      <w:r w:rsidR="0030254E">
        <w:t>.</w:t>
      </w:r>
    </w:p>
    <w:p w14:paraId="34787673" w14:textId="77777777" w:rsidR="0030254E" w:rsidRDefault="0030254E" w:rsidP="0046693F">
      <w:pPr>
        <w:spacing w:after="0"/>
        <w:jc w:val="both"/>
      </w:pPr>
    </w:p>
    <w:p w14:paraId="134ACD51" w14:textId="7CD7E5E3" w:rsidR="00DD218D" w:rsidRDefault="0030254E" w:rsidP="00DD218D">
      <w:pPr>
        <w:spacing w:after="0"/>
        <w:jc w:val="both"/>
      </w:pPr>
      <w:r>
        <w:t>The Australia Pacific Training Coalition (</w:t>
      </w:r>
      <w:r w:rsidR="00102777">
        <w:t>APTC</w:t>
      </w:r>
      <w:r>
        <w:t>)</w:t>
      </w:r>
      <w:r w:rsidR="0050018C">
        <w:t xml:space="preserve">, </w:t>
      </w:r>
      <w:r w:rsidR="0050018C" w:rsidRPr="00226884">
        <w:t xml:space="preserve">as a </w:t>
      </w:r>
      <w:r w:rsidR="00515B1F" w:rsidRPr="00226884">
        <w:t>fully funded</w:t>
      </w:r>
      <w:r w:rsidR="0050018C" w:rsidRPr="00226884">
        <w:t xml:space="preserve"> </w:t>
      </w:r>
      <w:r w:rsidR="0050018C">
        <w:t xml:space="preserve">Australian Government initiative undertaken in partnership with the Pacific, </w:t>
      </w:r>
      <w:r w:rsidR="0050018C" w:rsidRPr="00226884">
        <w:t>and the primary provider of Australian-accredited qualifications in the Pacific</w:t>
      </w:r>
      <w:r w:rsidR="0050018C">
        <w:t>,</w:t>
      </w:r>
      <w:r w:rsidR="00102777">
        <w:t xml:space="preserve"> is a natural starting point. </w:t>
      </w:r>
      <w:r w:rsidR="00032EA8">
        <w:t xml:space="preserve">A major objective for APTC from its beginning has been to </w:t>
      </w:r>
      <w:r w:rsidR="00774E18">
        <w:t xml:space="preserve">enable </w:t>
      </w:r>
      <w:r w:rsidR="00032EA8">
        <w:t xml:space="preserve">Pacific </w:t>
      </w:r>
      <w:r w:rsidR="00774E18">
        <w:t xml:space="preserve">workers to attain the competency standards </w:t>
      </w:r>
      <w:r w:rsidR="00977AB1">
        <w:t>required to work in Australia as skilled trades workers</w:t>
      </w:r>
      <w:r w:rsidR="00F62785">
        <w:t>.</w:t>
      </w:r>
      <w:r w:rsidR="00977AB1">
        <w:t xml:space="preserve"> </w:t>
      </w:r>
      <w:r w:rsidR="00102777">
        <w:t xml:space="preserve">About half its </w:t>
      </w:r>
      <w:r w:rsidR="00384D15">
        <w:t xml:space="preserve">graduates </w:t>
      </w:r>
      <w:r w:rsidR="00102777">
        <w:t xml:space="preserve">have </w:t>
      </w:r>
      <w:r w:rsidR="00384D15">
        <w:t>trade qualifications</w:t>
      </w:r>
      <w:r w:rsidR="00F62785">
        <w:t xml:space="preserve">, topped up to the Australian </w:t>
      </w:r>
      <w:r w:rsidR="00DC63AE">
        <w:t>standards</w:t>
      </w:r>
      <w:r w:rsidR="00102777">
        <w:t xml:space="preserve">, and most APTC graduates want to use their Australian qualification to migrate </w:t>
      </w:r>
      <w:r w:rsidR="00102777">
        <w:lastRenderedPageBreak/>
        <w:t>for work</w:t>
      </w:r>
      <w:r w:rsidR="00384D15">
        <w:t>.</w:t>
      </w:r>
      <w:r w:rsidR="00102777">
        <w:t xml:space="preserve"> </w:t>
      </w:r>
      <w:r w:rsidR="00DD218D" w:rsidRPr="00DD218D">
        <w:t xml:space="preserve">DFAT has directed APTC to develop a </w:t>
      </w:r>
      <w:r w:rsidR="004A1C08">
        <w:t>l</w:t>
      </w:r>
      <w:r w:rsidR="00DD218D" w:rsidRPr="00DD218D">
        <w:t xml:space="preserve">abour </w:t>
      </w:r>
      <w:r w:rsidR="004A1C08">
        <w:t>m</w:t>
      </w:r>
      <w:r w:rsidR="00DD218D" w:rsidRPr="00DD218D">
        <w:t xml:space="preserve">obility </w:t>
      </w:r>
      <w:r w:rsidR="004A1C08">
        <w:t>s</w:t>
      </w:r>
      <w:r w:rsidR="00DD218D" w:rsidRPr="00DD218D">
        <w:t xml:space="preserve">trategy, and to increase </w:t>
      </w:r>
      <w:r w:rsidR="00A744AA">
        <w:t xml:space="preserve">its </w:t>
      </w:r>
      <w:r w:rsidR="00DD218D" w:rsidRPr="00DD218D">
        <w:t xml:space="preserve">funding </w:t>
      </w:r>
      <w:r w:rsidR="00A744AA">
        <w:t xml:space="preserve">of </w:t>
      </w:r>
      <w:r w:rsidR="00DD218D" w:rsidRPr="00DD218D">
        <w:t>labour mobility.</w:t>
      </w:r>
      <w:r w:rsidR="00DD218D" w:rsidRPr="00DD218D">
        <w:rPr>
          <w:rStyle w:val="FootnoteReference"/>
        </w:rPr>
        <w:footnoteReference w:id="8"/>
      </w:r>
      <w:r w:rsidR="00DD218D" w:rsidRPr="00DD218D">
        <w:t xml:space="preserve"> </w:t>
      </w:r>
    </w:p>
    <w:p w14:paraId="5D673880" w14:textId="77777777" w:rsidR="00DD218D" w:rsidRDefault="00DD218D" w:rsidP="00DD218D">
      <w:pPr>
        <w:spacing w:after="0"/>
        <w:jc w:val="both"/>
      </w:pPr>
    </w:p>
    <w:p w14:paraId="3A52B141" w14:textId="3F63154F" w:rsidR="00130B7F" w:rsidRDefault="007477B0" w:rsidP="0046693F">
      <w:pPr>
        <w:spacing w:after="0"/>
        <w:jc w:val="both"/>
      </w:pPr>
      <w:r>
        <w:t>APTC</w:t>
      </w:r>
      <w:r w:rsidR="00BD1D9C">
        <w:t>,</w:t>
      </w:r>
      <w:r>
        <w:t xml:space="preserve"> </w:t>
      </w:r>
      <w:r w:rsidR="00DD218D">
        <w:t>as well as training graduates</w:t>
      </w:r>
      <w:r w:rsidR="00BD1D9C">
        <w:t>,</w:t>
      </w:r>
      <w:r w:rsidR="00DD218D">
        <w:t xml:space="preserve"> needs to become a trust</w:t>
      </w:r>
      <w:r w:rsidR="00481495">
        <w:t>ed</w:t>
      </w:r>
      <w:r w:rsidR="00DD218D">
        <w:t xml:space="preserve"> labour mobility intermediary, helping Australian employers link with APTC graduates, and facilitating their hiring, both under the TSS and the PLS. </w:t>
      </w:r>
    </w:p>
    <w:p w14:paraId="0CFDB258" w14:textId="61DF5B90" w:rsidR="009670DC" w:rsidRDefault="009670DC" w:rsidP="0046693F">
      <w:pPr>
        <w:spacing w:after="0"/>
        <w:jc w:val="both"/>
      </w:pPr>
    </w:p>
    <w:p w14:paraId="0D999A90" w14:textId="102E6855" w:rsidR="009670DC" w:rsidRDefault="009670DC" w:rsidP="0050018C">
      <w:pPr>
        <w:spacing w:after="0"/>
        <w:jc w:val="both"/>
      </w:pPr>
      <w:r>
        <w:t>APTC’s new labour mobility strategy should: (i) centre on its role as a trusted intermediary, linking Australian employers with APTC graduates, and facilitating their overseas hiring</w:t>
      </w:r>
      <w:r w:rsidR="002B568A">
        <w:t>;</w:t>
      </w:r>
      <w:r w:rsidR="00634C6A">
        <w:t xml:space="preserve"> </w:t>
      </w:r>
      <w:r>
        <w:t xml:space="preserve">(ii) focus on </w:t>
      </w:r>
      <w:r w:rsidR="002B568A">
        <w:t xml:space="preserve">occupations that need </w:t>
      </w:r>
      <w:r>
        <w:t xml:space="preserve">qualifications </w:t>
      </w:r>
      <w:r w:rsidR="002B568A">
        <w:t xml:space="preserve">offered by APTC </w:t>
      </w:r>
      <w:r>
        <w:t xml:space="preserve">(mainly trades workers and cooks, and possibly carers and hospitality workers); </w:t>
      </w:r>
      <w:r w:rsidR="0050018C">
        <w:t xml:space="preserve">and </w:t>
      </w:r>
      <w:r>
        <w:t xml:space="preserve">(iii) </w:t>
      </w:r>
      <w:r w:rsidR="00634C6A">
        <w:t xml:space="preserve">aim to </w:t>
      </w:r>
      <w:r>
        <w:t xml:space="preserve">facilitate </w:t>
      </w:r>
      <w:r w:rsidR="002B568A">
        <w:t xml:space="preserve">not only PLS but also (offshore) TSS hiring of </w:t>
      </w:r>
      <w:r w:rsidR="00634C6A">
        <w:t xml:space="preserve">ATPC </w:t>
      </w:r>
      <w:r w:rsidR="002B568A">
        <w:t>graduates.</w:t>
      </w:r>
    </w:p>
    <w:p w14:paraId="6843B13A" w14:textId="6A8F0A4A" w:rsidR="0050018C" w:rsidRDefault="0050018C" w:rsidP="0050018C">
      <w:pPr>
        <w:spacing w:after="0"/>
        <w:jc w:val="both"/>
      </w:pPr>
    </w:p>
    <w:p w14:paraId="5FA3FC89" w14:textId="019B22F0" w:rsidR="0050018C" w:rsidRDefault="0050018C" w:rsidP="0050018C">
      <w:pPr>
        <w:spacing w:after="0"/>
        <w:jc w:val="both"/>
      </w:pPr>
      <w:r>
        <w:t xml:space="preserve">In the case of the direct-to-TSS pathway, APTC would need </w:t>
      </w:r>
      <w:r w:rsidR="00515B1F">
        <w:t>first</w:t>
      </w:r>
      <w:r>
        <w:t xml:space="preserve"> to promote the availability of trades-based graduates eligible for the TSS to Australian employers, and then locate interested candidates from which the individual employers would make a final selection. APTC would also need to educate both employers and candidates on key terms and conditions. For example, visa application costs are not an employer obligation. However, the employer would need to be willing to </w:t>
      </w:r>
      <w:r w:rsidR="00223B76">
        <w:t xml:space="preserve">fund the </w:t>
      </w:r>
      <w:r>
        <w:t>upfront visa costs (application, English test etc</w:t>
      </w:r>
      <w:r w:rsidR="002B568A">
        <w:t>.</w:t>
      </w:r>
      <w:r>
        <w:t xml:space="preserve"> – see </w:t>
      </w:r>
      <w:hyperlink w:anchor="_Annex_5:_Direct-to-TSS" w:history="1">
        <w:r w:rsidRPr="005572E5">
          <w:rPr>
            <w:rStyle w:val="Hyperlink"/>
          </w:rPr>
          <w:t>Annex 5</w:t>
        </w:r>
      </w:hyperlink>
      <w:r>
        <w:t xml:space="preserve"> for details) of the applicant, and either </w:t>
      </w:r>
      <w:r w:rsidR="009729D2">
        <w:t xml:space="preserve">bear </w:t>
      </w:r>
      <w:r>
        <w:t xml:space="preserve">those costs themselves or </w:t>
      </w:r>
      <w:r w:rsidR="00223B76">
        <w:t xml:space="preserve">reach an agreement to </w:t>
      </w:r>
      <w:r>
        <w:t xml:space="preserve">deduct them from initial wage payments. </w:t>
      </w:r>
    </w:p>
    <w:p w14:paraId="311BF002" w14:textId="77777777" w:rsidR="0050018C" w:rsidRDefault="0050018C" w:rsidP="0050018C">
      <w:pPr>
        <w:spacing w:after="0"/>
        <w:jc w:val="both"/>
      </w:pPr>
    </w:p>
    <w:p w14:paraId="6A4F3DF5" w14:textId="5F652E2A" w:rsidR="0050018C" w:rsidRDefault="0050018C" w:rsidP="0050018C">
      <w:pPr>
        <w:spacing w:after="0"/>
        <w:jc w:val="both"/>
      </w:pPr>
      <w:r>
        <w:t xml:space="preserve">APTC would then need to play a support role, helping the employee meet the various TSS requirements (technical interview, English test, health and police check, application submission). Over time, some of these roles could be devolved to the workers and to migration agents, but to improve the chances of success of the initial pilots APTC should take on those roles, with advice from migration agents as required. APTC should provide facilities on their campuses for VETASSESS to conduct technical interviews online. The arrangements require that the identity of the person being interviewed is confirmed by an independent third party such as the APTC. </w:t>
      </w:r>
    </w:p>
    <w:p w14:paraId="6DEB288F" w14:textId="502433C1" w:rsidR="0050018C" w:rsidRDefault="0050018C" w:rsidP="0050018C">
      <w:pPr>
        <w:spacing w:after="0"/>
        <w:jc w:val="both"/>
      </w:pPr>
    </w:p>
    <w:p w14:paraId="40D0507F" w14:textId="068685CB" w:rsidR="009670DC" w:rsidRDefault="0050018C" w:rsidP="0050018C">
      <w:pPr>
        <w:spacing w:after="0"/>
        <w:jc w:val="both"/>
      </w:pPr>
      <w:r>
        <w:t>APTC also needs to play an information gathering role, ass</w:t>
      </w:r>
      <w:r w:rsidR="009670DC">
        <w:t>essing APTC graduates in relation to th</w:t>
      </w:r>
      <w:r>
        <w:t>eir ability to pass</w:t>
      </w:r>
      <w:r w:rsidR="00223B76">
        <w:t xml:space="preserve"> the</w:t>
      </w:r>
      <w:r>
        <w:t xml:space="preserve"> </w:t>
      </w:r>
      <w:r w:rsidR="005827E6" w:rsidRPr="005827E6">
        <w:t xml:space="preserve">International English Language Testing System </w:t>
      </w:r>
      <w:r w:rsidR="005827E6">
        <w:t>(</w:t>
      </w:r>
      <w:r>
        <w:t>IELTS</w:t>
      </w:r>
      <w:r w:rsidR="005827E6">
        <w:t>)</w:t>
      </w:r>
      <w:r>
        <w:t xml:space="preserve"> test, and estimating the </w:t>
      </w:r>
      <w:r w:rsidR="009670DC">
        <w:t xml:space="preserve">pool of available graduates for different occupations, excluding those who were sponsored by their employers to study at APTC. </w:t>
      </w:r>
    </w:p>
    <w:p w14:paraId="2F938E27" w14:textId="4CBB0A87" w:rsidR="0050018C" w:rsidRDefault="0050018C" w:rsidP="0050018C">
      <w:pPr>
        <w:spacing w:after="0"/>
        <w:jc w:val="both"/>
      </w:pPr>
    </w:p>
    <w:p w14:paraId="3388C831" w14:textId="5A0051C0" w:rsidR="0050018C" w:rsidRDefault="007C197F" w:rsidP="0050018C">
      <w:pPr>
        <w:spacing w:after="0"/>
        <w:jc w:val="both"/>
      </w:pPr>
      <w:r>
        <w:t>T</w:t>
      </w:r>
      <w:r w:rsidR="0050018C">
        <w:t>he distinction between “home track” and “away track” students should be abolished, as outcomes for the two groups have not been separately tracked, and the distinction has caused confusion. All eligible APTC graduates will potentially be able to benefit where there is employer interest in their occupation. However, APTC should not link employees whose tuition has been paid for by their employer with Australian employers, as this would be an implicit breach of trust.</w:t>
      </w:r>
      <w:r w:rsidR="0050018C">
        <w:rPr>
          <w:rStyle w:val="FootnoteReference"/>
        </w:rPr>
        <w:footnoteReference w:id="9"/>
      </w:r>
      <w:r w:rsidR="0050018C">
        <w:t xml:space="preserve"> </w:t>
      </w:r>
    </w:p>
    <w:p w14:paraId="3E8FC62B" w14:textId="77777777" w:rsidR="0050018C" w:rsidRDefault="0050018C" w:rsidP="0050018C">
      <w:pPr>
        <w:spacing w:after="0"/>
        <w:jc w:val="both"/>
      </w:pPr>
    </w:p>
    <w:p w14:paraId="425840B4" w14:textId="215B7BFD" w:rsidR="0050018C" w:rsidRDefault="00DD0018" w:rsidP="0050018C">
      <w:pPr>
        <w:spacing w:after="0"/>
        <w:jc w:val="both"/>
      </w:pPr>
      <w:r>
        <w:t xml:space="preserve">Should there be high demand from Australian employers </w:t>
      </w:r>
      <w:r w:rsidR="00223B76">
        <w:t>for</w:t>
      </w:r>
      <w:r>
        <w:t xml:space="preserve"> particular </w:t>
      </w:r>
      <w:r w:rsidR="00103BD6">
        <w:t>occupations</w:t>
      </w:r>
      <w:r>
        <w:t xml:space="preserve">, training in those areas should be increased to prevent </w:t>
      </w:r>
      <w:r w:rsidR="00E043AB">
        <w:t>“</w:t>
      </w:r>
      <w:r>
        <w:t>brain drain</w:t>
      </w:r>
      <w:r w:rsidR="00E043AB">
        <w:t>”</w:t>
      </w:r>
      <w:r w:rsidR="00104955">
        <w:t xml:space="preserve"> </w:t>
      </w:r>
      <w:r w:rsidR="002B568A">
        <w:t>–</w:t>
      </w:r>
      <w:r w:rsidR="00676441">
        <w:t xml:space="preserve"> </w:t>
      </w:r>
      <w:r w:rsidR="0059760C">
        <w:t xml:space="preserve">APTC is </w:t>
      </w:r>
      <w:r w:rsidR="00104955">
        <w:t xml:space="preserve">already bound </w:t>
      </w:r>
      <w:r w:rsidR="009B15C9">
        <w:t xml:space="preserve">in </w:t>
      </w:r>
      <w:r w:rsidR="003968C4">
        <w:t xml:space="preserve">its </w:t>
      </w:r>
      <w:r w:rsidR="009B15C9">
        <w:t xml:space="preserve">Stage 3 </w:t>
      </w:r>
      <w:r w:rsidR="00D14FA7">
        <w:t xml:space="preserve">program design </w:t>
      </w:r>
      <w:r w:rsidR="00104955">
        <w:t xml:space="preserve">to </w:t>
      </w:r>
      <w:r w:rsidR="0059760C">
        <w:t>ensur</w:t>
      </w:r>
      <w:r w:rsidR="00104955">
        <w:t>e</w:t>
      </w:r>
      <w:r w:rsidR="0059760C">
        <w:t xml:space="preserve"> </w:t>
      </w:r>
      <w:r w:rsidR="00104955">
        <w:t xml:space="preserve">that </w:t>
      </w:r>
      <w:r w:rsidR="000F6059">
        <w:t xml:space="preserve">there is </w:t>
      </w:r>
      <w:r w:rsidR="0059760C">
        <w:t xml:space="preserve">a </w:t>
      </w:r>
      <w:r w:rsidR="00FB1C2D">
        <w:t>net skill</w:t>
      </w:r>
      <w:r w:rsidR="0059760C">
        <w:t xml:space="preserve"> gain to Pacific economies</w:t>
      </w:r>
      <w:r>
        <w:t>. APTC should also work with other training institutes to enable them to offer Australian</w:t>
      </w:r>
      <w:r w:rsidR="004C450E">
        <w:t>-</w:t>
      </w:r>
      <w:r>
        <w:t xml:space="preserve">accredited courses where there is demand from </w:t>
      </w:r>
      <w:r>
        <w:lastRenderedPageBreak/>
        <w:t>Australian employers.</w:t>
      </w:r>
      <w:r w:rsidR="0050018C">
        <w:t xml:space="preserve"> It could also increase the throughput of students in areas of high demand. </w:t>
      </w:r>
      <w:bookmarkStart w:id="14" w:name="_Hlk89604625"/>
      <w:r w:rsidR="0050018C">
        <w:t xml:space="preserve">Skilled APTC graduates should be directed away from unskilled PLS positions towards more skilled TSS positions, to make greater use of their training and experience, and enable them to earn more income. </w:t>
      </w:r>
    </w:p>
    <w:bookmarkEnd w:id="14"/>
    <w:p w14:paraId="745F9CA6" w14:textId="77777777" w:rsidR="0050018C" w:rsidRDefault="0050018C" w:rsidP="0050018C">
      <w:pPr>
        <w:spacing w:before="240"/>
        <w:jc w:val="both"/>
      </w:pPr>
      <w:r>
        <w:t>APTC’s role will need to evolve in response to information and learnings. Ongoing dialogue with APTC is required to progress this initiative.</w:t>
      </w:r>
    </w:p>
    <w:p w14:paraId="4E2552EF" w14:textId="3DA4D1CD" w:rsidR="00AB165F" w:rsidRPr="00290E70" w:rsidRDefault="009A16ED" w:rsidP="0046693F">
      <w:pPr>
        <w:pStyle w:val="Heading1"/>
        <w:spacing w:before="0"/>
        <w:rPr>
          <w:b/>
          <w:bCs/>
        </w:rPr>
      </w:pPr>
      <w:bookmarkStart w:id="15" w:name="_Toc90621511"/>
      <w:r w:rsidRPr="004A0385">
        <w:rPr>
          <w:b/>
          <w:bCs/>
        </w:rPr>
        <w:t xml:space="preserve">4. </w:t>
      </w:r>
      <w:r w:rsidR="00A744AA">
        <w:rPr>
          <w:b/>
          <w:bCs/>
        </w:rPr>
        <w:t xml:space="preserve">The </w:t>
      </w:r>
      <w:r w:rsidR="00EF11EE" w:rsidRPr="004A0385">
        <w:rPr>
          <w:b/>
          <w:bCs/>
        </w:rPr>
        <w:t>T</w:t>
      </w:r>
      <w:r w:rsidR="00102777" w:rsidRPr="004A0385">
        <w:rPr>
          <w:b/>
          <w:bCs/>
        </w:rPr>
        <w:t xml:space="preserve">raining visa </w:t>
      </w:r>
      <w:r w:rsidR="001E246B" w:rsidRPr="004A0385">
        <w:rPr>
          <w:b/>
          <w:bCs/>
        </w:rPr>
        <w:t xml:space="preserve">as a </w:t>
      </w:r>
      <w:r w:rsidRPr="004A0385">
        <w:rPr>
          <w:b/>
          <w:bCs/>
        </w:rPr>
        <w:t xml:space="preserve">TSS </w:t>
      </w:r>
      <w:r w:rsidR="001E246B" w:rsidRPr="004A0385">
        <w:rPr>
          <w:b/>
          <w:bCs/>
        </w:rPr>
        <w:t>pathway</w:t>
      </w:r>
      <w:bookmarkEnd w:id="15"/>
      <w:r w:rsidR="001E246B">
        <w:rPr>
          <w:b/>
          <w:bCs/>
        </w:rPr>
        <w:t xml:space="preserve"> </w:t>
      </w:r>
    </w:p>
    <w:p w14:paraId="69552B60" w14:textId="77777777" w:rsidR="007451FA" w:rsidRDefault="007451FA" w:rsidP="0046693F">
      <w:pPr>
        <w:spacing w:after="0"/>
        <w:jc w:val="both"/>
      </w:pPr>
    </w:p>
    <w:p w14:paraId="33016459" w14:textId="5A337721" w:rsidR="0081237F" w:rsidRDefault="00EF11EE" w:rsidP="0046693F">
      <w:pPr>
        <w:spacing w:after="0"/>
        <w:jc w:val="both"/>
      </w:pPr>
      <w:r>
        <w:t xml:space="preserve">The Training visa </w:t>
      </w:r>
      <w:r w:rsidR="00A744AA">
        <w:t xml:space="preserve">(407) </w:t>
      </w:r>
      <w:r w:rsidR="00F3617B">
        <w:t xml:space="preserve">allows the applicant to take part in </w:t>
      </w:r>
      <w:r w:rsidRPr="00EF11EE">
        <w:t>workplace-based occupational training in Australia</w:t>
      </w:r>
      <w:r w:rsidR="001E0367">
        <w:t xml:space="preserve"> for up to two years.</w:t>
      </w:r>
      <w:r w:rsidR="001C388C">
        <w:t xml:space="preserve"> </w:t>
      </w:r>
      <w:r w:rsidR="00A744AA">
        <w:t xml:space="preserve">It </w:t>
      </w:r>
      <w:r w:rsidR="0081237F">
        <w:t>could be useful to get workers on</w:t>
      </w:r>
      <w:r w:rsidR="001C388C">
        <w:t xml:space="preserve"> </w:t>
      </w:r>
      <w:r w:rsidR="0081237F">
        <w:t xml:space="preserve">shore before applying for a TSS </w:t>
      </w:r>
      <w:r w:rsidR="005827E6">
        <w:t xml:space="preserve">in </w:t>
      </w:r>
      <w:r w:rsidR="0081237F">
        <w:t>cases where the PLS cannot be used, either because the occupation is not covered by the PLS (</w:t>
      </w:r>
      <w:r w:rsidR="00FB1C2D">
        <w:t>e.g.,</w:t>
      </w:r>
      <w:r w:rsidR="0081237F">
        <w:t xml:space="preserve"> nursing) or because the employer is not in a regional area. </w:t>
      </w:r>
    </w:p>
    <w:p w14:paraId="67639277" w14:textId="71F6DE28" w:rsidR="0081237F" w:rsidRDefault="0081237F" w:rsidP="0046693F">
      <w:pPr>
        <w:spacing w:after="0"/>
        <w:jc w:val="both"/>
      </w:pPr>
    </w:p>
    <w:p w14:paraId="26B59932" w14:textId="4EFF3044" w:rsidR="0081237F" w:rsidRDefault="0081237F" w:rsidP="0046693F">
      <w:pPr>
        <w:spacing w:after="0"/>
        <w:jc w:val="both"/>
      </w:pPr>
      <w:r>
        <w:t xml:space="preserve">In the case of regional nurses, if a Pacific nurse has a relevant nursing qualification </w:t>
      </w:r>
      <w:r w:rsidR="001E0367">
        <w:t>and work experience</w:t>
      </w:r>
      <w:r w:rsidR="005827E6">
        <w:t>,</w:t>
      </w:r>
      <w:r w:rsidR="001E0367">
        <w:t xml:space="preserve"> </w:t>
      </w:r>
      <w:r>
        <w:t xml:space="preserve">they could come to Australia on a </w:t>
      </w:r>
      <w:r w:rsidR="00B50762">
        <w:t>T</w:t>
      </w:r>
      <w:r>
        <w:t>raining visa and</w:t>
      </w:r>
      <w:r w:rsidR="00A5067C">
        <w:t>, while working,</w:t>
      </w:r>
      <w:r>
        <w:t xml:space="preserve"> prepare for and take the assessments required to qualify for a </w:t>
      </w:r>
      <w:r w:rsidR="001E0367">
        <w:t xml:space="preserve">TSS. </w:t>
      </w:r>
    </w:p>
    <w:p w14:paraId="399CAF69" w14:textId="4B0225C3" w:rsidR="001E0367" w:rsidRDefault="001E0367" w:rsidP="0046693F">
      <w:pPr>
        <w:spacing w:after="0"/>
        <w:jc w:val="both"/>
      </w:pPr>
    </w:p>
    <w:p w14:paraId="2C6F82C8" w14:textId="2EEB7274" w:rsidR="001E0367" w:rsidRDefault="001E0367" w:rsidP="0046693F">
      <w:pPr>
        <w:spacing w:after="0"/>
        <w:jc w:val="both"/>
      </w:pPr>
      <w:r>
        <w:t>In the case of the trades occupation</w:t>
      </w:r>
      <w:r w:rsidR="00325CB0">
        <w:t>s</w:t>
      </w:r>
      <w:r>
        <w:t xml:space="preserve">, the </w:t>
      </w:r>
      <w:r w:rsidR="004C450E">
        <w:t>T</w:t>
      </w:r>
      <w:r>
        <w:t>raining visa could be used to gain additional qualifications and/or to meet licensing requirements prior to application for the TSS.</w:t>
      </w:r>
    </w:p>
    <w:p w14:paraId="1C5AB6F8" w14:textId="22FDCB50" w:rsidR="007477B0" w:rsidRDefault="007477B0" w:rsidP="0046693F">
      <w:pPr>
        <w:spacing w:after="0"/>
        <w:jc w:val="both"/>
      </w:pPr>
    </w:p>
    <w:p w14:paraId="7D6D8FC1" w14:textId="19928623" w:rsidR="007477B0" w:rsidRDefault="007477B0" w:rsidP="0046693F">
      <w:pPr>
        <w:spacing w:after="0"/>
        <w:jc w:val="both"/>
      </w:pPr>
      <w:r>
        <w:t xml:space="preserve">Other occupations considered in this approach paper are not on the </w:t>
      </w:r>
      <w:hyperlink r:id="rId9" w:history="1">
        <w:r w:rsidRPr="007477B0">
          <w:rPr>
            <w:rStyle w:val="Hyperlink"/>
          </w:rPr>
          <w:t xml:space="preserve">occupation list for the </w:t>
        </w:r>
        <w:r w:rsidR="004C450E">
          <w:rPr>
            <w:rStyle w:val="Hyperlink"/>
          </w:rPr>
          <w:t>T</w:t>
        </w:r>
        <w:r w:rsidRPr="007477B0">
          <w:rPr>
            <w:rStyle w:val="Hyperlink"/>
          </w:rPr>
          <w:t>raining visa</w:t>
        </w:r>
      </w:hyperlink>
      <w:r>
        <w:t xml:space="preserve">. </w:t>
      </w:r>
    </w:p>
    <w:p w14:paraId="04DC0695" w14:textId="77777777" w:rsidR="0081237F" w:rsidRDefault="0081237F" w:rsidP="0046693F">
      <w:pPr>
        <w:spacing w:after="0"/>
        <w:jc w:val="both"/>
      </w:pPr>
    </w:p>
    <w:p w14:paraId="7849E446" w14:textId="6BCDA8C4" w:rsidR="008017F0" w:rsidRDefault="00670767" w:rsidP="0046693F">
      <w:pPr>
        <w:spacing w:after="0"/>
        <w:jc w:val="both"/>
      </w:pPr>
      <w:r>
        <w:t>Statist</w:t>
      </w:r>
      <w:r w:rsidR="00F85614">
        <w:t xml:space="preserve">ics supplied by Home Affairs </w:t>
      </w:r>
      <w:r w:rsidR="00B3354C">
        <w:t xml:space="preserve">show that </w:t>
      </w:r>
      <w:r w:rsidR="009B2FF0">
        <w:t xml:space="preserve">that </w:t>
      </w:r>
      <w:r w:rsidR="00F70FCE">
        <w:t>pre-C</w:t>
      </w:r>
      <w:r w:rsidR="00D12914">
        <w:t>OVID</w:t>
      </w:r>
      <w:r w:rsidR="00F70FCE">
        <w:t xml:space="preserve"> </w:t>
      </w:r>
      <w:r w:rsidR="00C9288B">
        <w:t xml:space="preserve">up to June 2021, the average </w:t>
      </w:r>
      <w:r w:rsidR="00EF7B98">
        <w:t xml:space="preserve">annual </w:t>
      </w:r>
      <w:r w:rsidR="00C9288B">
        <w:t xml:space="preserve">number </w:t>
      </w:r>
      <w:r w:rsidR="00EF7B98">
        <w:t xml:space="preserve">of Training visas issued </w:t>
      </w:r>
      <w:r w:rsidR="00993737">
        <w:t xml:space="preserve">over four years </w:t>
      </w:r>
      <w:r w:rsidR="00EE47F6">
        <w:t xml:space="preserve">is just </w:t>
      </w:r>
      <w:r w:rsidR="00993737">
        <w:t>2,</w:t>
      </w:r>
      <w:r w:rsidR="008D1312">
        <w:t>0</w:t>
      </w:r>
      <w:r w:rsidR="006D3329">
        <w:t>63</w:t>
      </w:r>
      <w:r w:rsidR="008D1312">
        <w:t xml:space="preserve">. </w:t>
      </w:r>
      <w:r w:rsidR="00A5067C">
        <w:t xml:space="preserve">It is unclear whether the </w:t>
      </w:r>
      <w:r w:rsidR="00B50762">
        <w:t>T</w:t>
      </w:r>
      <w:r w:rsidR="005B73DA">
        <w:t xml:space="preserve">raining visa </w:t>
      </w:r>
      <w:r w:rsidR="00A5067C">
        <w:t xml:space="preserve">could </w:t>
      </w:r>
      <w:r w:rsidR="00ED5AAA">
        <w:t xml:space="preserve">be </w:t>
      </w:r>
      <w:r w:rsidR="00A5067C">
        <w:t xml:space="preserve">a feasible </w:t>
      </w:r>
      <w:r w:rsidR="00AF4928">
        <w:t xml:space="preserve">pathway </w:t>
      </w:r>
      <w:r w:rsidR="00A5067C">
        <w:t xml:space="preserve">to the TSS, but the APTC is currently exploring its use with </w:t>
      </w:r>
      <w:r w:rsidR="004C1F88">
        <w:t xml:space="preserve">one </w:t>
      </w:r>
      <w:r w:rsidR="00A5067C">
        <w:t xml:space="preserve">employer. More research is needed. </w:t>
      </w:r>
    </w:p>
    <w:p w14:paraId="3BB1EE2C" w14:textId="340AE294" w:rsidR="00A5067C" w:rsidRDefault="00A5067C" w:rsidP="0046693F">
      <w:pPr>
        <w:spacing w:after="0"/>
        <w:jc w:val="both"/>
      </w:pPr>
    </w:p>
    <w:p w14:paraId="2DB76432" w14:textId="32577E1F" w:rsidR="00A5067C" w:rsidRDefault="00A5067C" w:rsidP="00A5067C">
      <w:pPr>
        <w:spacing w:after="0"/>
        <w:jc w:val="both"/>
      </w:pPr>
      <w:r>
        <w:t xml:space="preserve">It is </w:t>
      </w:r>
      <w:r w:rsidR="004A0385">
        <w:t xml:space="preserve">also </w:t>
      </w:r>
      <w:r>
        <w:t xml:space="preserve">unclear at this stage whether many Pacific nurses would have the requisite qualifications for this pathway. </w:t>
      </w:r>
      <w:r w:rsidR="007C197F">
        <w:t xml:space="preserve">Further </w:t>
      </w:r>
      <w:r>
        <w:t xml:space="preserve">research </w:t>
      </w:r>
      <w:r w:rsidR="007C197F">
        <w:t>is needed</w:t>
      </w:r>
      <w:r>
        <w:t xml:space="preserve">, with a focus on private </w:t>
      </w:r>
      <w:r w:rsidR="005F3CB3">
        <w:t xml:space="preserve">nursing </w:t>
      </w:r>
      <w:r>
        <w:t xml:space="preserve">colleges </w:t>
      </w:r>
      <w:r w:rsidR="00223B76">
        <w:t xml:space="preserve">in the Pacific </w:t>
      </w:r>
      <w:r w:rsidR="005F3CB3">
        <w:t xml:space="preserve">that </w:t>
      </w:r>
      <w:r>
        <w:t xml:space="preserve">operate on the basis of cost-recovery fees, and are able to increase their intake in response to greater job opportunities overseas (thereby eliminating </w:t>
      </w:r>
      <w:r w:rsidR="00E043AB">
        <w:t>“</w:t>
      </w:r>
      <w:r>
        <w:t>brain drain</w:t>
      </w:r>
      <w:r w:rsidR="00E043AB">
        <w:t>”</w:t>
      </w:r>
      <w:r>
        <w:t xml:space="preserve"> concerns).</w:t>
      </w:r>
    </w:p>
    <w:p w14:paraId="27FD915A" w14:textId="77777777" w:rsidR="007451FA" w:rsidRDefault="007451FA" w:rsidP="0046693F">
      <w:pPr>
        <w:spacing w:after="0"/>
        <w:jc w:val="both"/>
      </w:pPr>
    </w:p>
    <w:p w14:paraId="201DAF92" w14:textId="0D89E453" w:rsidR="007D3B48" w:rsidRPr="00D70444" w:rsidRDefault="009A16ED" w:rsidP="0046693F">
      <w:pPr>
        <w:pStyle w:val="Heading1"/>
        <w:spacing w:before="0"/>
        <w:rPr>
          <w:b/>
          <w:bCs/>
        </w:rPr>
      </w:pPr>
      <w:bookmarkStart w:id="16" w:name="_Toc90621512"/>
      <w:r>
        <w:rPr>
          <w:b/>
          <w:bCs/>
        </w:rPr>
        <w:t xml:space="preserve">5. </w:t>
      </w:r>
      <w:r w:rsidR="007D3B48" w:rsidRPr="00D70444">
        <w:rPr>
          <w:b/>
          <w:bCs/>
        </w:rPr>
        <w:t>Risks</w:t>
      </w:r>
      <w:bookmarkEnd w:id="16"/>
    </w:p>
    <w:p w14:paraId="2532F519" w14:textId="77777777" w:rsidR="007451FA" w:rsidRDefault="007451FA" w:rsidP="0046693F">
      <w:pPr>
        <w:spacing w:after="0"/>
        <w:jc w:val="both"/>
      </w:pPr>
    </w:p>
    <w:p w14:paraId="46E5D7B0" w14:textId="45BE00D6" w:rsidR="00376765" w:rsidRDefault="00376765" w:rsidP="0046693F">
      <w:pPr>
        <w:spacing w:after="0"/>
        <w:jc w:val="both"/>
      </w:pPr>
      <w:r>
        <w:t xml:space="preserve">The main risks to this initiative </w:t>
      </w:r>
      <w:r w:rsidR="00A95659">
        <w:t xml:space="preserve">to open up pathways to the TSS for </w:t>
      </w:r>
      <w:r w:rsidR="00EF4764">
        <w:t xml:space="preserve">workers from the Pacific and Timor-Leste </w:t>
      </w:r>
      <w:r>
        <w:t>are as follows:</w:t>
      </w:r>
    </w:p>
    <w:p w14:paraId="43A70EAE" w14:textId="77777777" w:rsidR="003203FD" w:rsidRDefault="003203FD" w:rsidP="0046693F">
      <w:pPr>
        <w:pStyle w:val="ListParagraph"/>
        <w:spacing w:after="0"/>
        <w:jc w:val="both"/>
      </w:pPr>
    </w:p>
    <w:p w14:paraId="7AEAF64F" w14:textId="5B518B2F" w:rsidR="003203FD" w:rsidRDefault="003203FD" w:rsidP="0046693F">
      <w:pPr>
        <w:pStyle w:val="ListParagraph"/>
        <w:numPr>
          <w:ilvl w:val="0"/>
          <w:numId w:val="7"/>
        </w:numPr>
        <w:spacing w:after="0"/>
        <w:jc w:val="both"/>
      </w:pPr>
      <w:r>
        <w:t xml:space="preserve">If the number of workers in other occupations (carers, hospitality workers, trades) in the PLS does not increase, there will be no </w:t>
      </w:r>
      <w:r w:rsidR="005F3CB3">
        <w:t xml:space="preserve">PLS </w:t>
      </w:r>
      <w:r>
        <w:t>pipeline for the TSS outside of meat workers</w:t>
      </w:r>
      <w:r w:rsidR="007D2302">
        <w:t xml:space="preserve"> and agricultural workers</w:t>
      </w:r>
      <w:r>
        <w:t xml:space="preserve">. But DFAT is committed to increasing </w:t>
      </w:r>
      <w:r w:rsidR="00B50762">
        <w:t xml:space="preserve">the </w:t>
      </w:r>
      <w:r>
        <w:t>number of carers; hospitality numbers should increase with re-opening of borders; and greater APTC engagement could increase trades numbers.</w:t>
      </w:r>
    </w:p>
    <w:p w14:paraId="22F83162" w14:textId="77777777" w:rsidR="003203FD" w:rsidRDefault="003203FD" w:rsidP="0046693F">
      <w:pPr>
        <w:pStyle w:val="ListParagraph"/>
        <w:spacing w:after="0"/>
        <w:jc w:val="both"/>
      </w:pPr>
    </w:p>
    <w:p w14:paraId="268B39AC" w14:textId="4B1E3E5A" w:rsidR="003203FD" w:rsidRDefault="003203FD" w:rsidP="0046693F">
      <w:pPr>
        <w:pStyle w:val="ListParagraph"/>
        <w:numPr>
          <w:ilvl w:val="0"/>
          <w:numId w:val="7"/>
        </w:numPr>
        <w:spacing w:after="0"/>
        <w:jc w:val="both"/>
      </w:pPr>
      <w:r>
        <w:t xml:space="preserve">It is not clear how much employers are willing to hire in relatively low-skill </w:t>
      </w:r>
      <w:r w:rsidR="00B65121">
        <w:t xml:space="preserve">occupations </w:t>
      </w:r>
      <w:r>
        <w:t xml:space="preserve">through the DAMAs. The minimum income threshold may be too high (even with a </w:t>
      </w:r>
      <w:r>
        <w:lastRenderedPageBreak/>
        <w:t xml:space="preserve">concession), </w:t>
      </w:r>
      <w:r w:rsidR="00B65121">
        <w:t xml:space="preserve">TSS </w:t>
      </w:r>
      <w:r>
        <w:t xml:space="preserve">visa costs </w:t>
      </w:r>
      <w:r w:rsidR="00223B76">
        <w:t xml:space="preserve">and delays </w:t>
      </w:r>
      <w:r>
        <w:t xml:space="preserve">may </w:t>
      </w:r>
      <w:r w:rsidR="00223B76">
        <w:t xml:space="preserve">discourage </w:t>
      </w:r>
      <w:r>
        <w:t xml:space="preserve">employers, and DAMAs are in general little known, little used, and </w:t>
      </w:r>
      <w:r w:rsidR="00223B76">
        <w:t xml:space="preserve">only apply in </w:t>
      </w:r>
      <w:r w:rsidR="005F3CB3">
        <w:t xml:space="preserve">areas </w:t>
      </w:r>
      <w:r w:rsidR="00223B76">
        <w:t xml:space="preserve">with </w:t>
      </w:r>
      <w:r w:rsidR="005F3CB3">
        <w:t xml:space="preserve">they </w:t>
      </w:r>
      <w:r>
        <w:t xml:space="preserve">cover </w:t>
      </w:r>
      <w:r w:rsidR="005F3CB3">
        <w:t xml:space="preserve">are </w:t>
      </w:r>
      <w:r>
        <w:t xml:space="preserve">home only to about </w:t>
      </w:r>
      <w:r w:rsidR="00370A24">
        <w:t>one</w:t>
      </w:r>
      <w:r>
        <w:t xml:space="preserve"> million </w:t>
      </w:r>
      <w:r w:rsidR="00370A24">
        <w:t>population.</w:t>
      </w:r>
      <w:r w:rsidR="00676441">
        <w:t xml:space="preserve"> </w:t>
      </w:r>
      <w:r>
        <w:t>Moreover, there are reports that the minimum income threshold may be increased for the TSS, without offsetting concessions. This might not affect meat workers and trades (as employers of these workers already use the TSS), but would affect carer</w:t>
      </w:r>
      <w:r w:rsidR="007451FA">
        <w:t>, farmworker and</w:t>
      </w:r>
      <w:r>
        <w:t xml:space="preserve"> hospitality pathways where employers are not yet reliant on the TSS. </w:t>
      </w:r>
    </w:p>
    <w:p w14:paraId="516DF71D" w14:textId="77777777" w:rsidR="00D00ACE" w:rsidRDefault="00D00ACE" w:rsidP="0046693F">
      <w:pPr>
        <w:pStyle w:val="ListParagraph"/>
        <w:spacing w:after="0"/>
        <w:jc w:val="both"/>
      </w:pPr>
    </w:p>
    <w:p w14:paraId="70100EB0" w14:textId="4C7236EC" w:rsidR="009670DC" w:rsidRDefault="00376765" w:rsidP="0050018C">
      <w:pPr>
        <w:pStyle w:val="ListParagraph"/>
        <w:numPr>
          <w:ilvl w:val="0"/>
          <w:numId w:val="7"/>
        </w:numPr>
        <w:spacing w:after="0"/>
        <w:jc w:val="both"/>
      </w:pPr>
      <w:r>
        <w:t xml:space="preserve">Very few Pacific </w:t>
      </w:r>
      <w:r w:rsidR="002735D9">
        <w:t xml:space="preserve">and Timor-Leste </w:t>
      </w:r>
      <w:r>
        <w:t>workers are hired offshore</w:t>
      </w:r>
      <w:r w:rsidR="000A4A0C">
        <w:t xml:space="preserve"> via the TSS visa</w:t>
      </w:r>
      <w:r>
        <w:t xml:space="preserve"> and it is not clear whether the barriers to </w:t>
      </w:r>
      <w:r w:rsidR="00744784">
        <w:t>employers recru</w:t>
      </w:r>
      <w:r w:rsidR="002735D9">
        <w:t xml:space="preserve">iting workers </w:t>
      </w:r>
      <w:r>
        <w:t xml:space="preserve">offshore can be </w:t>
      </w:r>
      <w:r w:rsidR="00194B92">
        <w:t xml:space="preserve">sufficiently </w:t>
      </w:r>
      <w:r>
        <w:t>reduced.</w:t>
      </w:r>
      <w:r w:rsidR="007D2302">
        <w:t xml:space="preserve"> </w:t>
      </w:r>
      <w:r w:rsidR="00360A8C">
        <w:t>These barriers relate to offshore hiring in general (</w:t>
      </w:r>
      <w:r w:rsidR="00FB1C2D">
        <w:t>e.g.,</w:t>
      </w:r>
      <w:r w:rsidR="00360A8C">
        <w:t xml:space="preserve"> the long delay in visa processing times), and to the Pacific in particular (</w:t>
      </w:r>
      <w:r w:rsidR="00FB1C2D">
        <w:t>e.g.,</w:t>
      </w:r>
      <w:r w:rsidR="00360A8C">
        <w:t xml:space="preserve"> lack of skills assessment centres). </w:t>
      </w:r>
      <w:r w:rsidR="00104955">
        <w:t xml:space="preserve">Having an effective and responsive intermediary will be crucial. </w:t>
      </w:r>
      <w:r w:rsidR="007D2302">
        <w:t xml:space="preserve">Initial experiences </w:t>
      </w:r>
      <w:r w:rsidR="00D36F9E">
        <w:t xml:space="preserve">with </w:t>
      </w:r>
      <w:r w:rsidR="005F3CB3">
        <w:t xml:space="preserve">pilots </w:t>
      </w:r>
      <w:r w:rsidR="00B50762">
        <w:t xml:space="preserve">will </w:t>
      </w:r>
      <w:r w:rsidR="007D2302">
        <w:t>need to be closely monitored.</w:t>
      </w:r>
    </w:p>
    <w:p w14:paraId="6D6357CB" w14:textId="7234BD5E" w:rsidR="00EE1C9E" w:rsidRDefault="00EE1C9E" w:rsidP="009670DC">
      <w:pPr>
        <w:spacing w:after="0"/>
        <w:jc w:val="both"/>
      </w:pPr>
    </w:p>
    <w:p w14:paraId="6B0657CE" w14:textId="113A0AF9" w:rsidR="00EE1C9E" w:rsidRDefault="00EE1C9E" w:rsidP="00EE1C9E">
      <w:pPr>
        <w:pStyle w:val="ListParagraph"/>
        <w:numPr>
          <w:ilvl w:val="0"/>
          <w:numId w:val="7"/>
        </w:numPr>
        <w:spacing w:after="0"/>
        <w:jc w:val="both"/>
      </w:pPr>
      <w:r>
        <w:t xml:space="preserve">If it is successful, this initiative will increase incentives for </w:t>
      </w:r>
      <w:r w:rsidR="00A40143">
        <w:t xml:space="preserve">Pacific </w:t>
      </w:r>
      <w:r w:rsidR="00D4184F">
        <w:t xml:space="preserve">students and workers </w:t>
      </w:r>
      <w:r>
        <w:t>to invest in training, and thus could augment the skilled workforce in the Pacific (“brain gain").</w:t>
      </w:r>
      <w:r w:rsidR="00676441">
        <w:t xml:space="preserve"> </w:t>
      </w:r>
      <w:r>
        <w:t xml:space="preserve">“Brain drain” risks should be managed by </w:t>
      </w:r>
      <w:r w:rsidR="0043364D">
        <w:t xml:space="preserve">funding Pacific </w:t>
      </w:r>
      <w:r>
        <w:t>training providers</w:t>
      </w:r>
      <w:r w:rsidR="00676441">
        <w:t xml:space="preserve"> </w:t>
      </w:r>
      <w:r>
        <w:t xml:space="preserve">to collect data on their graduates and to increase the supply of skills in areas in demand. </w:t>
      </w:r>
    </w:p>
    <w:p w14:paraId="23F47DD8" w14:textId="77777777" w:rsidR="007451FA" w:rsidRDefault="007451FA" w:rsidP="007451FA">
      <w:pPr>
        <w:pStyle w:val="ListParagraph"/>
      </w:pPr>
    </w:p>
    <w:p w14:paraId="37251071" w14:textId="56FDFAED" w:rsidR="007451FA" w:rsidRDefault="00F30223" w:rsidP="0046693F">
      <w:pPr>
        <w:pStyle w:val="ListParagraph"/>
        <w:numPr>
          <w:ilvl w:val="0"/>
          <w:numId w:val="7"/>
        </w:numPr>
        <w:spacing w:after="0"/>
        <w:jc w:val="both"/>
      </w:pPr>
      <w:r>
        <w:t>S</w:t>
      </w:r>
      <w:r w:rsidR="007451FA">
        <w:t xml:space="preserve">ome Pacific governments may not want to support </w:t>
      </w:r>
      <w:r w:rsidR="00C64CED">
        <w:t>m</w:t>
      </w:r>
      <w:r w:rsidR="007451FA">
        <w:t>igration opportunities</w:t>
      </w:r>
      <w:r w:rsidR="00C64CED">
        <w:t xml:space="preserve"> that could res</w:t>
      </w:r>
      <w:r w:rsidR="00BD635E">
        <w:t>ult in permanent residence</w:t>
      </w:r>
      <w:r w:rsidR="007451FA">
        <w:t xml:space="preserve">. </w:t>
      </w:r>
      <w:r w:rsidR="00BD635E">
        <w:t>However, Pacific governments</w:t>
      </w:r>
      <w:r w:rsidR="000861C9">
        <w:t xml:space="preserve"> have also, in various for</w:t>
      </w:r>
      <w:r w:rsidR="00472850">
        <w:t>ums</w:t>
      </w:r>
      <w:r w:rsidR="000861C9">
        <w:t xml:space="preserve">, made it clear that </w:t>
      </w:r>
      <w:r w:rsidR="00DB67B2">
        <w:t xml:space="preserve">they want access </w:t>
      </w:r>
      <w:r w:rsidR="000861C9">
        <w:t xml:space="preserve">for their citizens </w:t>
      </w:r>
      <w:r w:rsidR="00D4184F">
        <w:t xml:space="preserve">for skilled work opportunities </w:t>
      </w:r>
      <w:r w:rsidR="006139AE">
        <w:t xml:space="preserve">beyond </w:t>
      </w:r>
      <w:r w:rsidR="00541A36">
        <w:t xml:space="preserve">the </w:t>
      </w:r>
      <w:r w:rsidR="006139AE">
        <w:t>low</w:t>
      </w:r>
      <w:r w:rsidR="00B50762">
        <w:t>-</w:t>
      </w:r>
      <w:r w:rsidR="006139AE">
        <w:t>skilled, temporary jobs</w:t>
      </w:r>
      <w:r w:rsidR="00541A36">
        <w:t xml:space="preserve"> </w:t>
      </w:r>
      <w:r w:rsidR="00D4184F">
        <w:t xml:space="preserve">available </w:t>
      </w:r>
      <w:r w:rsidR="000861C9">
        <w:t xml:space="preserve">through </w:t>
      </w:r>
      <w:r w:rsidR="00D4184F">
        <w:t xml:space="preserve">Australia’s </w:t>
      </w:r>
      <w:r w:rsidR="000861C9">
        <w:t>Pacific labour mobility schemes</w:t>
      </w:r>
      <w:r w:rsidR="00DB67B2">
        <w:t xml:space="preserve">. </w:t>
      </w:r>
      <w:r w:rsidR="007451FA">
        <w:t>Early communication with partner governments will be important.</w:t>
      </w:r>
    </w:p>
    <w:p w14:paraId="1B3CB024" w14:textId="77777777" w:rsidR="00104955" w:rsidRDefault="00104955" w:rsidP="004353B3">
      <w:pPr>
        <w:pStyle w:val="ListParagraph"/>
      </w:pPr>
    </w:p>
    <w:p w14:paraId="06C0C90A" w14:textId="1A8AFD49" w:rsidR="00104955" w:rsidRDefault="003D137C" w:rsidP="0046693F">
      <w:pPr>
        <w:pStyle w:val="ListParagraph"/>
        <w:numPr>
          <w:ilvl w:val="0"/>
          <w:numId w:val="7"/>
        </w:numPr>
        <w:spacing w:after="0"/>
        <w:jc w:val="both"/>
      </w:pPr>
      <w:r>
        <w:t>Workers on a TSS visa have the same safeguards and protections as other workers</w:t>
      </w:r>
      <w:r w:rsidR="006A5D8D">
        <w:t xml:space="preserve"> in Australia</w:t>
      </w:r>
      <w:r>
        <w:t>. This includes the right to resign and find another employer, provided it is in the same occupation to retain their TSS visa.</w:t>
      </w:r>
      <w:r>
        <w:rPr>
          <w:rStyle w:val="FootnoteReference"/>
        </w:rPr>
        <w:footnoteReference w:id="10"/>
      </w:r>
      <w:r w:rsidR="00676441">
        <w:t xml:space="preserve"> </w:t>
      </w:r>
      <w:r>
        <w:t>However, the PLS is more regulated and more closely monitored.</w:t>
      </w:r>
      <w:r w:rsidR="00676441">
        <w:t xml:space="preserve"> </w:t>
      </w:r>
      <w:r>
        <w:t xml:space="preserve">The risk of mistreatment should be minimal for workers who move from the PLS to the TSS, but could be a risk for workers who migrate directly onto the TSS. To mitigate this risk, Pacific workers who access the TSS with APTC </w:t>
      </w:r>
      <w:r w:rsidR="00A40143">
        <w:t xml:space="preserve">or PLF </w:t>
      </w:r>
      <w:r>
        <w:t>assistance should be eligible for the same support as PLS workers (</w:t>
      </w:r>
      <w:r w:rsidR="00FB1C2D">
        <w:t>e.g.,</w:t>
      </w:r>
      <w:r>
        <w:t xml:space="preserve"> hotline, access to </w:t>
      </w:r>
      <w:r w:rsidR="00A40143">
        <w:t>PLF welfare officers, etc</w:t>
      </w:r>
      <w:r>
        <w:t>).</w:t>
      </w:r>
    </w:p>
    <w:p w14:paraId="63A43F74" w14:textId="77777777" w:rsidR="007451FA" w:rsidRPr="004B18A1" w:rsidRDefault="007451FA" w:rsidP="007451FA">
      <w:pPr>
        <w:spacing w:after="0"/>
        <w:jc w:val="both"/>
      </w:pPr>
    </w:p>
    <w:p w14:paraId="28A9C817" w14:textId="44FB4E56" w:rsidR="00D70444" w:rsidRDefault="009A16ED" w:rsidP="0046693F">
      <w:pPr>
        <w:pStyle w:val="Heading1"/>
        <w:spacing w:before="0"/>
        <w:rPr>
          <w:b/>
          <w:bCs/>
        </w:rPr>
      </w:pPr>
      <w:bookmarkStart w:id="17" w:name="_Toc90621513"/>
      <w:r>
        <w:rPr>
          <w:b/>
          <w:bCs/>
        </w:rPr>
        <w:t xml:space="preserve">6. </w:t>
      </w:r>
      <w:bookmarkStart w:id="18" w:name="Recommendations"/>
      <w:bookmarkEnd w:id="18"/>
      <w:r w:rsidR="00D70444" w:rsidRPr="00D70444">
        <w:rPr>
          <w:b/>
          <w:bCs/>
        </w:rPr>
        <w:t>Recommendations</w:t>
      </w:r>
      <w:bookmarkEnd w:id="17"/>
    </w:p>
    <w:p w14:paraId="6E59C9CC" w14:textId="77777777" w:rsidR="005D2079" w:rsidRDefault="005D2079" w:rsidP="0046693F">
      <w:pPr>
        <w:spacing w:after="0"/>
      </w:pPr>
    </w:p>
    <w:p w14:paraId="6E39BC7D" w14:textId="77777777" w:rsidR="007477B0" w:rsidRDefault="007477B0" w:rsidP="007477B0">
      <w:pPr>
        <w:spacing w:after="0"/>
        <w:jc w:val="both"/>
      </w:pPr>
      <w:r>
        <w:t xml:space="preserve">The first set of reforms are at the </w:t>
      </w:r>
      <w:r w:rsidRPr="00E90F6C">
        <w:rPr>
          <w:b/>
          <w:bCs/>
        </w:rPr>
        <w:t>strategic and informational levels</w:t>
      </w:r>
      <w:r>
        <w:t>:</w:t>
      </w:r>
    </w:p>
    <w:p w14:paraId="3800F8ED" w14:textId="77777777" w:rsidR="007477B0" w:rsidRDefault="007477B0" w:rsidP="007477B0">
      <w:pPr>
        <w:spacing w:after="0"/>
        <w:jc w:val="both"/>
      </w:pPr>
    </w:p>
    <w:p w14:paraId="2F252A31" w14:textId="4B14D45F" w:rsidR="009670DC" w:rsidRDefault="009670DC" w:rsidP="009670DC">
      <w:pPr>
        <w:pStyle w:val="ListParagraph"/>
        <w:numPr>
          <w:ilvl w:val="0"/>
          <w:numId w:val="27"/>
        </w:numPr>
        <w:spacing w:after="0"/>
        <w:jc w:val="both"/>
      </w:pPr>
      <w:r>
        <w:t xml:space="preserve">DFAT should develop a position paper endorsing the goal of increasing Pacific participation in the TSS, setting out its rationale and benefits, and spelling out the possible pathways. </w:t>
      </w:r>
    </w:p>
    <w:p w14:paraId="627F3D71" w14:textId="77777777" w:rsidR="007477B0" w:rsidRDefault="007477B0" w:rsidP="00E90F6C">
      <w:pPr>
        <w:pStyle w:val="ListParagraph"/>
        <w:spacing w:after="0"/>
        <w:jc w:val="both"/>
      </w:pPr>
    </w:p>
    <w:p w14:paraId="46650BD1" w14:textId="62ED21EF" w:rsidR="007477B0" w:rsidRDefault="009670DC" w:rsidP="007477B0">
      <w:pPr>
        <w:pStyle w:val="ListParagraph"/>
        <w:numPr>
          <w:ilvl w:val="0"/>
          <w:numId w:val="27"/>
        </w:numPr>
        <w:spacing w:after="0"/>
        <w:jc w:val="both"/>
      </w:pPr>
      <w:r>
        <w:t>DFAT should make information on the pathways available to prospective TSS workers from the Pacific and Timor-Leste and to Australian employers.</w:t>
      </w:r>
      <w:r w:rsidR="007477B0">
        <w:t xml:space="preserve"> </w:t>
      </w:r>
    </w:p>
    <w:p w14:paraId="2D831CC1" w14:textId="77777777" w:rsidR="007477B0" w:rsidRDefault="007477B0" w:rsidP="00E90F6C">
      <w:pPr>
        <w:pStyle w:val="ListParagraph"/>
      </w:pPr>
    </w:p>
    <w:p w14:paraId="5DF916DC" w14:textId="01F9E790" w:rsidR="007477B0" w:rsidRDefault="009670DC" w:rsidP="007477B0">
      <w:pPr>
        <w:pStyle w:val="ListParagraph"/>
        <w:numPr>
          <w:ilvl w:val="0"/>
          <w:numId w:val="27"/>
        </w:numPr>
        <w:spacing w:after="0"/>
        <w:jc w:val="both"/>
      </w:pPr>
      <w:r>
        <w:t>Much remains to be learnt. The ANU labour mobility team should be utilised to monitor pilots, capture changes, and further develop the ideas in this approach paper.</w:t>
      </w:r>
    </w:p>
    <w:p w14:paraId="39F39B83" w14:textId="77777777" w:rsidR="007477B0" w:rsidRDefault="007477B0" w:rsidP="007477B0">
      <w:pPr>
        <w:spacing w:after="0"/>
        <w:jc w:val="both"/>
      </w:pPr>
    </w:p>
    <w:p w14:paraId="51A1C2B6" w14:textId="77777777" w:rsidR="007477B0" w:rsidRDefault="007477B0" w:rsidP="007477B0">
      <w:pPr>
        <w:spacing w:after="0"/>
        <w:jc w:val="both"/>
      </w:pPr>
      <w:r>
        <w:t xml:space="preserve">Several </w:t>
      </w:r>
      <w:r w:rsidRPr="004353B3">
        <w:rPr>
          <w:b/>
        </w:rPr>
        <w:t>organisational reforms</w:t>
      </w:r>
      <w:r>
        <w:t xml:space="preserve"> would also be important:</w:t>
      </w:r>
    </w:p>
    <w:p w14:paraId="45B79CF4" w14:textId="77777777" w:rsidR="007477B0" w:rsidRDefault="007477B0" w:rsidP="007477B0">
      <w:pPr>
        <w:spacing w:after="0"/>
        <w:jc w:val="both"/>
      </w:pPr>
    </w:p>
    <w:p w14:paraId="300D1881" w14:textId="03EC6211" w:rsidR="007477B0" w:rsidRDefault="009670DC" w:rsidP="009670DC">
      <w:pPr>
        <w:pStyle w:val="ListParagraph"/>
        <w:numPr>
          <w:ilvl w:val="0"/>
          <w:numId w:val="27"/>
        </w:numPr>
        <w:spacing w:after="0"/>
        <w:jc w:val="both"/>
      </w:pPr>
      <w:r>
        <w:t>An intermediary needs to be tasked to facilitate PLS-TSS transitions. This job could go to the Pacific Labour Facility, given its focus on the PLS. Duties for the intermediary would include: informing workers and employers of PLS-TSS transition possibilities; helping workers and employers meet transition preconditions</w:t>
      </w:r>
      <w:r w:rsidR="002313D8">
        <w:t>;</w:t>
      </w:r>
      <w:r>
        <w:t xml:space="preserve"> and collecting information on where speed bumps are slowing progress on the pathway.</w:t>
      </w:r>
      <w:r w:rsidR="00676441">
        <w:t xml:space="preserve"> </w:t>
      </w:r>
    </w:p>
    <w:p w14:paraId="0171DADE" w14:textId="77777777" w:rsidR="007477B0" w:rsidRDefault="007477B0" w:rsidP="007477B0">
      <w:pPr>
        <w:pStyle w:val="ListParagraph"/>
        <w:spacing w:after="0"/>
        <w:jc w:val="both"/>
      </w:pPr>
    </w:p>
    <w:p w14:paraId="0729BD51" w14:textId="37981333" w:rsidR="00634C6A" w:rsidRPr="00226884" w:rsidRDefault="00634C6A" w:rsidP="00634C6A">
      <w:pPr>
        <w:pStyle w:val="ListParagraph"/>
        <w:numPr>
          <w:ilvl w:val="0"/>
          <w:numId w:val="27"/>
        </w:numPr>
        <w:spacing w:after="0"/>
        <w:jc w:val="both"/>
      </w:pPr>
      <w:r>
        <w:t xml:space="preserve">The </w:t>
      </w:r>
      <w:r w:rsidRPr="00226884">
        <w:t>Australia Pacific Training Coalition (APTC)</w:t>
      </w:r>
      <w:r>
        <w:t>,</w:t>
      </w:r>
      <w:r w:rsidRPr="00226884">
        <w:t xml:space="preserve"> as a fullyfunded </w:t>
      </w:r>
      <w:r>
        <w:t xml:space="preserve">Australian Government initiative undertaken in partnership with the Pacific, </w:t>
      </w:r>
      <w:r w:rsidRPr="00226884">
        <w:t>and the primary provider of Australian-accredited qualifications in the Pacific</w:t>
      </w:r>
      <w:r>
        <w:t>,</w:t>
      </w:r>
      <w:r w:rsidRPr="00226884">
        <w:t xml:space="preserve"> </w:t>
      </w:r>
      <w:r>
        <w:t>sh</w:t>
      </w:r>
      <w:r w:rsidRPr="00226884">
        <w:t xml:space="preserve">ould </w:t>
      </w:r>
      <w:r>
        <w:t>help</w:t>
      </w:r>
      <w:r w:rsidRPr="00226884">
        <w:t xml:space="preserve"> </w:t>
      </w:r>
      <w:r>
        <w:t>their graduates access labour mobility in relation to occupations that require their skills and experience via both the PLS and the TSS</w:t>
      </w:r>
      <w:r w:rsidRPr="00226884">
        <w:t>. APTC’s new labour mobility strategy would spell out its role as a labour mobility intermediary</w:t>
      </w:r>
      <w:r>
        <w:t xml:space="preserve"> for its eligible graduates through both pathways</w:t>
      </w:r>
      <w:r w:rsidRPr="00226884">
        <w:t xml:space="preserve">, </w:t>
      </w:r>
      <w:r>
        <w:t xml:space="preserve">with the direct-to-TSS pathway being pursued via a variety of </w:t>
      </w:r>
      <w:r w:rsidRPr="00226884">
        <w:t>pilots undertaken with employers.</w:t>
      </w:r>
    </w:p>
    <w:p w14:paraId="47BAD5CD" w14:textId="77777777" w:rsidR="002B568A" w:rsidRDefault="002B568A" w:rsidP="002B568A">
      <w:pPr>
        <w:pStyle w:val="ListParagraph"/>
        <w:spacing w:after="0"/>
        <w:jc w:val="both"/>
      </w:pPr>
    </w:p>
    <w:p w14:paraId="03385B2B" w14:textId="0349BBF7" w:rsidR="009670DC" w:rsidRDefault="009670DC" w:rsidP="009670DC">
      <w:pPr>
        <w:pStyle w:val="ListParagraph"/>
        <w:numPr>
          <w:ilvl w:val="0"/>
          <w:numId w:val="27"/>
        </w:numPr>
        <w:spacing w:after="0"/>
        <w:jc w:val="both"/>
      </w:pPr>
      <w:r>
        <w:t>Any Pacific workers who access the TSS with support from the APTC or PL</w:t>
      </w:r>
      <w:r w:rsidR="00A40143">
        <w:t>F</w:t>
      </w:r>
      <w:r>
        <w:t xml:space="preserve"> should be eligible for the same support as PLS workers (</w:t>
      </w:r>
      <w:r w:rsidR="00FB1C2D">
        <w:t>e.g.,</w:t>
      </w:r>
      <w:r>
        <w:t xml:space="preserve"> hotline, access to </w:t>
      </w:r>
      <w:r w:rsidR="002313D8">
        <w:t>r</w:t>
      </w:r>
      <w:r>
        <w:t xml:space="preserve">elationship </w:t>
      </w:r>
      <w:r w:rsidR="002313D8">
        <w:t>m</w:t>
      </w:r>
      <w:r>
        <w:t>anagers, etc).</w:t>
      </w:r>
    </w:p>
    <w:p w14:paraId="6BED7C57" w14:textId="77777777" w:rsidR="002A75D6" w:rsidRDefault="002A75D6" w:rsidP="00E90F6C">
      <w:pPr>
        <w:pStyle w:val="ListParagraph"/>
        <w:spacing w:after="0"/>
        <w:jc w:val="both"/>
      </w:pPr>
    </w:p>
    <w:p w14:paraId="66E5E894" w14:textId="0F59BA5F" w:rsidR="007477B0" w:rsidRDefault="007477B0" w:rsidP="007477B0">
      <w:pPr>
        <w:pStyle w:val="ListParagraph"/>
        <w:numPr>
          <w:ilvl w:val="0"/>
          <w:numId w:val="27"/>
        </w:numPr>
        <w:spacing w:after="0"/>
        <w:jc w:val="both"/>
      </w:pPr>
      <w:r>
        <w:t xml:space="preserve">Other key Pacific training providers, including Pacific TAFE, and FNU, should be made aware of Australian labour market opportunities for qualifications they provide, and relationships </w:t>
      </w:r>
      <w:r w:rsidR="002313D8">
        <w:t xml:space="preserve">with them </w:t>
      </w:r>
      <w:r>
        <w:t xml:space="preserve">continued to be developed. Funding should be directed, where required, to counter risks of </w:t>
      </w:r>
      <w:r w:rsidR="00E043AB">
        <w:t>“</w:t>
      </w:r>
      <w:r>
        <w:t>brain drain</w:t>
      </w:r>
      <w:r w:rsidR="00E043AB">
        <w:t>”</w:t>
      </w:r>
      <w:r>
        <w:t>.</w:t>
      </w:r>
    </w:p>
    <w:p w14:paraId="1D186380" w14:textId="77777777" w:rsidR="007477B0" w:rsidRDefault="007477B0" w:rsidP="007477B0">
      <w:pPr>
        <w:spacing w:after="0"/>
        <w:jc w:val="both"/>
      </w:pPr>
    </w:p>
    <w:p w14:paraId="4BADECAE" w14:textId="77777777" w:rsidR="007477B0" w:rsidRDefault="007477B0" w:rsidP="007477B0">
      <w:pPr>
        <w:spacing w:after="0"/>
        <w:jc w:val="both"/>
      </w:pPr>
      <w:r>
        <w:t xml:space="preserve">While the above pathways are predicated on existing policy setting, some </w:t>
      </w:r>
      <w:r w:rsidRPr="001A2BE4">
        <w:rPr>
          <w:b/>
          <w:bCs/>
        </w:rPr>
        <w:t>policy reforms</w:t>
      </w:r>
      <w:r>
        <w:t xml:space="preserve"> would be useful to increase their utilisation. Within the time constraints of the existing assignment, the following reforms have been identified as potentially useful for further consideration and/or implementation:</w:t>
      </w:r>
    </w:p>
    <w:p w14:paraId="6A5DBE7A" w14:textId="77777777" w:rsidR="007477B0" w:rsidRDefault="007477B0" w:rsidP="007477B0">
      <w:pPr>
        <w:spacing w:after="0"/>
      </w:pPr>
    </w:p>
    <w:p w14:paraId="0DAC5183" w14:textId="77777777" w:rsidR="009670DC" w:rsidRDefault="009670DC" w:rsidP="009670DC">
      <w:pPr>
        <w:pStyle w:val="ListParagraph"/>
        <w:numPr>
          <w:ilvl w:val="0"/>
          <w:numId w:val="27"/>
        </w:numPr>
        <w:spacing w:after="0"/>
        <w:jc w:val="both"/>
      </w:pPr>
      <w:r>
        <w:t xml:space="preserve">The PLS could be written into industry and area migration agreements so that PLS work in the nominated occupations in these agreements for, say, 12 months, can meet the work experience requirement of the agreement. </w:t>
      </w:r>
    </w:p>
    <w:p w14:paraId="26BFB913" w14:textId="77777777" w:rsidR="009670DC" w:rsidRDefault="009670DC" w:rsidP="009670DC">
      <w:pPr>
        <w:pStyle w:val="ListParagraph"/>
        <w:spacing w:after="0"/>
      </w:pPr>
    </w:p>
    <w:p w14:paraId="6879E4FF" w14:textId="77777777" w:rsidR="00D4184F" w:rsidRDefault="009670DC" w:rsidP="00D4184F">
      <w:pPr>
        <w:pStyle w:val="ListParagraph"/>
        <w:numPr>
          <w:ilvl w:val="0"/>
          <w:numId w:val="27"/>
        </w:numPr>
        <w:spacing w:after="0"/>
        <w:jc w:val="both"/>
      </w:pPr>
      <w:r>
        <w:t>Minimum-income threshold (TSMIT) concessions could be offered in regional areas, if required, for lower-skill (</w:t>
      </w:r>
      <w:r w:rsidR="002313D8">
        <w:t>S</w:t>
      </w:r>
      <w:r>
        <w:t xml:space="preserve">kill </w:t>
      </w:r>
      <w:r w:rsidR="002313D8">
        <w:t>L</w:t>
      </w:r>
      <w:r>
        <w:t xml:space="preserve">evel 4) occupations such as aged care workers. </w:t>
      </w:r>
    </w:p>
    <w:p w14:paraId="2752E873" w14:textId="77777777" w:rsidR="00D4184F" w:rsidRDefault="00D4184F" w:rsidP="00D4184F">
      <w:pPr>
        <w:pStyle w:val="ListParagraph"/>
      </w:pPr>
    </w:p>
    <w:p w14:paraId="2E13B919" w14:textId="42AFAC83" w:rsidR="00D4184F" w:rsidRPr="00D4184F" w:rsidRDefault="00D4184F" w:rsidP="00D4184F">
      <w:pPr>
        <w:pStyle w:val="ListParagraph"/>
        <w:numPr>
          <w:ilvl w:val="0"/>
          <w:numId w:val="27"/>
        </w:numPr>
        <w:spacing w:after="0"/>
        <w:jc w:val="both"/>
      </w:pPr>
      <w:r w:rsidRPr="00D4184F">
        <w:t>To increase the accessibility of DAMAs to employers, and while acknowledging that each DAMA will be different in its focus, it would be useful for the Department of Home Affairs to streamline the DAMAs to produce a consistent set of qualifications and work experience required for the same nominated occupations.</w:t>
      </w:r>
    </w:p>
    <w:p w14:paraId="3131A14C" w14:textId="77777777" w:rsidR="009670DC" w:rsidRDefault="009670DC" w:rsidP="009670DC">
      <w:pPr>
        <w:pStyle w:val="ListParagraph"/>
      </w:pPr>
    </w:p>
    <w:p w14:paraId="356D612E" w14:textId="68AAF384" w:rsidR="00D4184F" w:rsidRPr="00D4184F" w:rsidRDefault="009670DC" w:rsidP="00D4184F">
      <w:pPr>
        <w:pStyle w:val="ListParagraph"/>
        <w:numPr>
          <w:ilvl w:val="0"/>
          <w:numId w:val="27"/>
        </w:numPr>
        <w:spacing w:after="0"/>
        <w:jc w:val="both"/>
        <w:rPr>
          <w:rStyle w:val="FootnoteReference"/>
          <w:vertAlign w:val="baseline"/>
        </w:rPr>
      </w:pPr>
      <w:r>
        <w:t xml:space="preserve">Most meatworkers in the PLS are employed by labour hire companies, which cannot participate in the Meat Industry Labour Agreement. </w:t>
      </w:r>
      <w:r w:rsidR="007C197F">
        <w:t>A</w:t>
      </w:r>
      <w:r>
        <w:t xml:space="preserve">n exception could be granted by the </w:t>
      </w:r>
      <w:r>
        <w:lastRenderedPageBreak/>
        <w:t>Department of Home Affairs for labour hire companies to participate in the MILA to enable their PLS workers to access the TSS pathway.</w:t>
      </w:r>
      <w:r w:rsidRPr="009670DC">
        <w:rPr>
          <w:rStyle w:val="FootnoteReference"/>
        </w:rPr>
        <w:t xml:space="preserve"> </w:t>
      </w:r>
      <w:r>
        <w:rPr>
          <w:rStyle w:val="FootnoteReference"/>
        </w:rPr>
        <w:footnoteReference w:id="11"/>
      </w:r>
    </w:p>
    <w:p w14:paraId="4035E3B9" w14:textId="77777777" w:rsidR="00D4184F" w:rsidRDefault="00D4184F" w:rsidP="00D4184F">
      <w:pPr>
        <w:pStyle w:val="ListParagraph"/>
      </w:pPr>
    </w:p>
    <w:p w14:paraId="47DD4C59" w14:textId="0670EE29" w:rsidR="00221A9F" w:rsidRDefault="009670DC" w:rsidP="00D4184F">
      <w:pPr>
        <w:pStyle w:val="ListParagraph"/>
        <w:numPr>
          <w:ilvl w:val="0"/>
          <w:numId w:val="27"/>
        </w:numPr>
        <w:spacing w:after="0"/>
        <w:jc w:val="both"/>
      </w:pPr>
      <w:r>
        <w:t>Pacific countries and Timor-Leste could, like Asian countries, have capped access to the backpacker Work and Holiday (462) Visa. This would provide an additional pathway to gain relevant work experience and on-the-job training, and link with employers.</w:t>
      </w:r>
      <w:r w:rsidR="00221A9F">
        <w:rPr>
          <w:rStyle w:val="FootnoteReference"/>
        </w:rPr>
        <w:footnoteReference w:id="12"/>
      </w:r>
    </w:p>
    <w:p w14:paraId="0AF2F980" w14:textId="77777777" w:rsidR="00221A9F" w:rsidRDefault="00221A9F" w:rsidP="007D697A">
      <w:pPr>
        <w:spacing w:after="0"/>
        <w:jc w:val="both"/>
      </w:pPr>
    </w:p>
    <w:p w14:paraId="14843EE9" w14:textId="77777777" w:rsidR="00221A9F" w:rsidRDefault="00221A9F" w:rsidP="007D697A">
      <w:pPr>
        <w:spacing w:after="0"/>
        <w:jc w:val="both"/>
      </w:pPr>
    </w:p>
    <w:p w14:paraId="551F97A1" w14:textId="77777777" w:rsidR="00F25AF1" w:rsidRDefault="00F25AF1" w:rsidP="0046693F">
      <w:pPr>
        <w:pStyle w:val="ListParagraph"/>
        <w:spacing w:after="0"/>
        <w:jc w:val="both"/>
      </w:pPr>
    </w:p>
    <w:p w14:paraId="3B12EF3C" w14:textId="77777777" w:rsidR="00BE3E1D" w:rsidRDefault="00BE3E1D" w:rsidP="00BE3E1D">
      <w:pPr>
        <w:spacing w:after="0"/>
        <w:jc w:val="both"/>
      </w:pPr>
    </w:p>
    <w:p w14:paraId="5FEB36B6" w14:textId="77777777" w:rsidR="00BE3E1D" w:rsidRDefault="00BE3E1D" w:rsidP="0046693F">
      <w:pPr>
        <w:spacing w:after="0"/>
        <w:rPr>
          <w:b/>
          <w:bCs/>
        </w:rPr>
      </w:pPr>
    </w:p>
    <w:p w14:paraId="0E27643A" w14:textId="77777777" w:rsidR="005F3CB3" w:rsidRDefault="005F3CB3">
      <w:pPr>
        <w:rPr>
          <w:rFonts w:asciiTheme="majorHAnsi" w:eastAsiaTheme="majorEastAsia" w:hAnsiTheme="majorHAnsi" w:cstheme="majorBidi"/>
          <w:b/>
          <w:bCs/>
          <w:color w:val="2F5496" w:themeColor="accent1" w:themeShade="BF"/>
          <w:sz w:val="32"/>
          <w:szCs w:val="32"/>
        </w:rPr>
      </w:pPr>
      <w:r>
        <w:rPr>
          <w:b/>
          <w:bCs/>
        </w:rPr>
        <w:br w:type="page"/>
      </w:r>
    </w:p>
    <w:p w14:paraId="1DDB2556" w14:textId="28779EFD" w:rsidR="009A16ED" w:rsidRDefault="009A16ED" w:rsidP="0046693F">
      <w:pPr>
        <w:pStyle w:val="Heading1"/>
        <w:spacing w:before="0"/>
        <w:rPr>
          <w:b/>
          <w:bCs/>
        </w:rPr>
      </w:pPr>
      <w:bookmarkStart w:id="19" w:name="_Annex_1:_Working"/>
      <w:bookmarkStart w:id="20" w:name="_Toc90621514"/>
      <w:bookmarkEnd w:id="19"/>
      <w:r>
        <w:rPr>
          <w:b/>
          <w:bCs/>
        </w:rPr>
        <w:lastRenderedPageBreak/>
        <w:t>Annex 1: Working Group Terms of Reference</w:t>
      </w:r>
      <w:r w:rsidR="0034436C">
        <w:rPr>
          <w:b/>
          <w:bCs/>
        </w:rPr>
        <w:t xml:space="preserve">, </w:t>
      </w:r>
      <w:r>
        <w:rPr>
          <w:b/>
          <w:bCs/>
        </w:rPr>
        <w:t>Membership</w:t>
      </w:r>
      <w:r w:rsidR="0034436C">
        <w:rPr>
          <w:b/>
          <w:bCs/>
        </w:rPr>
        <w:t xml:space="preserve"> and Consultations</w:t>
      </w:r>
      <w:bookmarkEnd w:id="20"/>
    </w:p>
    <w:p w14:paraId="6B6D5F4B" w14:textId="5DEDB6C8" w:rsidR="009E74C3" w:rsidRDefault="009E74C3" w:rsidP="009E74C3"/>
    <w:p w14:paraId="72DE9FA0" w14:textId="6AB2B497" w:rsidR="0022131B" w:rsidRDefault="0022131B" w:rsidP="00770594">
      <w:pPr>
        <w:rPr>
          <w:b/>
          <w:sz w:val="28"/>
          <w:szCs w:val="28"/>
        </w:rPr>
      </w:pPr>
      <w:r>
        <w:rPr>
          <w:b/>
          <w:sz w:val="28"/>
          <w:szCs w:val="28"/>
        </w:rPr>
        <w:t xml:space="preserve">Working Group: Increasing Pacific </w:t>
      </w:r>
      <w:r w:rsidR="002313D8">
        <w:rPr>
          <w:b/>
          <w:sz w:val="28"/>
          <w:szCs w:val="28"/>
        </w:rPr>
        <w:t>A</w:t>
      </w:r>
      <w:r>
        <w:rPr>
          <w:b/>
          <w:sz w:val="28"/>
          <w:szCs w:val="28"/>
        </w:rPr>
        <w:t>ccess to Australia’s Temporary Skills Shortage Visa</w:t>
      </w:r>
      <w:r w:rsidRPr="00AD42FB">
        <w:rPr>
          <w:b/>
          <w:sz w:val="28"/>
          <w:szCs w:val="28"/>
        </w:rPr>
        <w:t xml:space="preserve"> </w:t>
      </w:r>
    </w:p>
    <w:p w14:paraId="619EB04A" w14:textId="64C6EA26" w:rsidR="0022131B" w:rsidRPr="00AD42FB" w:rsidRDefault="0022131B" w:rsidP="0022131B">
      <w:pPr>
        <w:rPr>
          <w:b/>
          <w:sz w:val="28"/>
          <w:szCs w:val="28"/>
        </w:rPr>
      </w:pPr>
      <w:r w:rsidRPr="00AD42FB">
        <w:rPr>
          <w:b/>
          <w:sz w:val="28"/>
          <w:szCs w:val="28"/>
        </w:rPr>
        <w:t xml:space="preserve">Terms of </w:t>
      </w:r>
      <w:r w:rsidR="00A744AA">
        <w:rPr>
          <w:b/>
          <w:sz w:val="28"/>
          <w:szCs w:val="28"/>
        </w:rPr>
        <w:t>r</w:t>
      </w:r>
      <w:r w:rsidRPr="00AD42FB">
        <w:rPr>
          <w:b/>
          <w:sz w:val="28"/>
          <w:szCs w:val="28"/>
        </w:rPr>
        <w:t xml:space="preserve">eference </w:t>
      </w:r>
    </w:p>
    <w:p w14:paraId="1FDDE7C4" w14:textId="6D99BA7A" w:rsidR="0022131B" w:rsidRDefault="0022131B" w:rsidP="0022131B">
      <w:r>
        <w:t xml:space="preserve">The Working Group is a governance mechanism contributing to the education and labour mobility components of Australia’s Pacific Step Up. The Working Group will prepare recommendations for Government on opportunities to enhance Pacific Islander utilisation of the </w:t>
      </w:r>
      <w:r w:rsidR="002313D8">
        <w:t>T</w:t>
      </w:r>
      <w:r>
        <w:t xml:space="preserve">emporary </w:t>
      </w:r>
      <w:r w:rsidR="002313D8">
        <w:t>S</w:t>
      </w:r>
      <w:r>
        <w:t xml:space="preserve">kills </w:t>
      </w:r>
      <w:r w:rsidR="002313D8">
        <w:t>S</w:t>
      </w:r>
      <w:r>
        <w:t>hortages</w:t>
      </w:r>
      <w:r w:rsidR="00D12914">
        <w:t xml:space="preserve"> (TSS)</w:t>
      </w:r>
      <w:r>
        <w:t xml:space="preserve"> visa or other visa pathways (excluding the Pacific Australia Labour Scheme). The Working Group will provide the incubation of ideas with members and provide contestability to options proposed. </w:t>
      </w:r>
    </w:p>
    <w:p w14:paraId="1F111EB9" w14:textId="77777777" w:rsidR="0022131B" w:rsidRPr="007A5F19" w:rsidRDefault="0022131B" w:rsidP="0022131B">
      <w:pPr>
        <w:rPr>
          <w:b/>
        </w:rPr>
      </w:pPr>
      <w:r w:rsidRPr="007A5F19">
        <w:rPr>
          <w:b/>
        </w:rPr>
        <w:t>Frequency</w:t>
      </w:r>
    </w:p>
    <w:p w14:paraId="6ED474D9" w14:textId="77777777" w:rsidR="0022131B" w:rsidRDefault="0022131B" w:rsidP="0022131B">
      <w:r>
        <w:t>This Working Group will meet virtually every month, commencing in September 2021 and conclude in December. It is expected that inter-sessional meetings may be required on a bilateral basis with participants to progress topics.</w:t>
      </w:r>
    </w:p>
    <w:p w14:paraId="67939A45" w14:textId="77777777" w:rsidR="0022131B" w:rsidRPr="007A5F19" w:rsidRDefault="0022131B" w:rsidP="0022131B">
      <w:pPr>
        <w:rPr>
          <w:b/>
        </w:rPr>
      </w:pPr>
      <w:r w:rsidRPr="007A5F19">
        <w:rPr>
          <w:b/>
        </w:rPr>
        <w:t>Membership</w:t>
      </w:r>
    </w:p>
    <w:p w14:paraId="24924992" w14:textId="77777777" w:rsidR="0022131B" w:rsidRPr="00EA608A" w:rsidRDefault="0022131B" w:rsidP="0022131B">
      <w:pPr>
        <w:spacing w:after="0" w:line="257" w:lineRule="auto"/>
        <w:rPr>
          <w:rFonts w:cstheme="minorHAnsi"/>
        </w:rPr>
      </w:pPr>
      <w:r>
        <w:t xml:space="preserve">Members will include representatives from Australian employers, regulators, independent experts, Australian government agencies, and the Pacific. </w:t>
      </w:r>
    </w:p>
    <w:p w14:paraId="1B1D2D39" w14:textId="77777777" w:rsidR="0022131B" w:rsidRDefault="0022131B" w:rsidP="0022131B">
      <w:pPr>
        <w:spacing w:after="0" w:line="257" w:lineRule="auto"/>
      </w:pPr>
    </w:p>
    <w:p w14:paraId="495CAC9D" w14:textId="77777777" w:rsidR="0022131B" w:rsidRPr="007A5F19" w:rsidRDefault="0022131B" w:rsidP="0022131B">
      <w:pPr>
        <w:rPr>
          <w:b/>
        </w:rPr>
      </w:pPr>
      <w:r w:rsidRPr="007A5F19">
        <w:rPr>
          <w:b/>
        </w:rPr>
        <w:t>Chair and secretariat</w:t>
      </w:r>
    </w:p>
    <w:p w14:paraId="0356D2C3" w14:textId="3D93BB5A" w:rsidR="0022131B" w:rsidRDefault="0022131B" w:rsidP="0022131B">
      <w:r>
        <w:t xml:space="preserve">Professor Stephen Howes, Director, Development Policy Centre, Crawford School of Public Policy, will </w:t>
      </w:r>
      <w:r w:rsidR="002313D8">
        <w:t>c</w:t>
      </w:r>
      <w:r>
        <w:t>hair this Working Group. The Office of the Pacific will provide secretariat services.</w:t>
      </w:r>
    </w:p>
    <w:p w14:paraId="34E04082" w14:textId="44A3F6CC" w:rsidR="0022131B" w:rsidRPr="00EA1552" w:rsidRDefault="0022131B" w:rsidP="0022131B">
      <w:pPr>
        <w:rPr>
          <w:b/>
          <w:bCs/>
        </w:rPr>
      </w:pPr>
      <w:r>
        <w:rPr>
          <w:b/>
          <w:bCs/>
        </w:rPr>
        <w:t xml:space="preserve">Governance – Inter-Departmental Committee on Pacific </w:t>
      </w:r>
      <w:r w:rsidR="00E043AB">
        <w:rPr>
          <w:b/>
          <w:bCs/>
        </w:rPr>
        <w:t>E</w:t>
      </w:r>
      <w:r>
        <w:rPr>
          <w:b/>
          <w:bCs/>
        </w:rPr>
        <w:t xml:space="preserve">ducation and </w:t>
      </w:r>
      <w:r w:rsidR="00E043AB">
        <w:rPr>
          <w:b/>
          <w:bCs/>
        </w:rPr>
        <w:t>L</w:t>
      </w:r>
      <w:r>
        <w:rPr>
          <w:b/>
          <w:bCs/>
        </w:rPr>
        <w:t xml:space="preserve">abour </w:t>
      </w:r>
      <w:r w:rsidR="00E043AB">
        <w:rPr>
          <w:b/>
          <w:bCs/>
        </w:rPr>
        <w:t>M</w:t>
      </w:r>
      <w:r>
        <w:rPr>
          <w:b/>
          <w:bCs/>
        </w:rPr>
        <w:t xml:space="preserve">obility </w:t>
      </w:r>
      <w:r w:rsidR="00E043AB">
        <w:rPr>
          <w:b/>
          <w:bCs/>
        </w:rPr>
        <w:t>E</w:t>
      </w:r>
      <w:r>
        <w:rPr>
          <w:b/>
          <w:bCs/>
        </w:rPr>
        <w:t>xpansion</w:t>
      </w:r>
    </w:p>
    <w:p w14:paraId="1A178183" w14:textId="7A823821" w:rsidR="0022131B" w:rsidRPr="001C3489" w:rsidRDefault="0022131B" w:rsidP="0022131B">
      <w:r>
        <w:t xml:space="preserve">This Working Group will make policy recommendations on ways to increase access by the Pacific to Australian </w:t>
      </w:r>
      <w:r w:rsidR="00D12914">
        <w:t>TSS</w:t>
      </w:r>
      <w:r>
        <w:t xml:space="preserve"> visa</w:t>
      </w:r>
      <w:r w:rsidR="00D12914">
        <w:t>s</w:t>
      </w:r>
      <w:r>
        <w:t xml:space="preserve"> by December 2021 for consideration by the Australian Inter-Departmental Committee on Pacific </w:t>
      </w:r>
      <w:r w:rsidR="00E043AB">
        <w:t>E</w:t>
      </w:r>
      <w:r>
        <w:t xml:space="preserve">ducation and </w:t>
      </w:r>
      <w:r w:rsidR="00E043AB">
        <w:t>L</w:t>
      </w:r>
      <w:r>
        <w:t xml:space="preserve">abour </w:t>
      </w:r>
      <w:r w:rsidR="00E043AB">
        <w:t>M</w:t>
      </w:r>
      <w:r>
        <w:t xml:space="preserve">obility </w:t>
      </w:r>
      <w:r w:rsidR="00E043AB">
        <w:t>E</w:t>
      </w:r>
      <w:r>
        <w:t xml:space="preserve">xpansion. The role of the Working Group will be reviewed in 2022. </w:t>
      </w:r>
    </w:p>
    <w:p w14:paraId="4FB919D3" w14:textId="0B2093CA" w:rsidR="0022131B" w:rsidRPr="0022131B" w:rsidRDefault="0022131B">
      <w:pPr>
        <w:rPr>
          <w:b/>
          <w:bCs/>
          <w:sz w:val="28"/>
          <w:szCs w:val="28"/>
        </w:rPr>
      </w:pPr>
      <w:r w:rsidRPr="0022131B">
        <w:rPr>
          <w:b/>
          <w:bCs/>
          <w:sz w:val="28"/>
          <w:szCs w:val="28"/>
        </w:rPr>
        <w:t xml:space="preserve">Membership </w:t>
      </w:r>
    </w:p>
    <w:p w14:paraId="7BD26194" w14:textId="4702DD87" w:rsidR="0022131B" w:rsidRDefault="0022131B">
      <w:r w:rsidRPr="0022131B">
        <w:t>Representatives from the following organisations were members of the Working Group</w:t>
      </w:r>
    </w:p>
    <w:p w14:paraId="2EC24959" w14:textId="77777777" w:rsidR="001173C3" w:rsidRDefault="001173C3" w:rsidP="001173C3">
      <w:pPr>
        <w:pStyle w:val="ListParagraph"/>
        <w:numPr>
          <w:ilvl w:val="0"/>
          <w:numId w:val="37"/>
        </w:numPr>
      </w:pPr>
      <w:r>
        <w:t>Aged &amp; Community Services Australia (ASCA)</w:t>
      </w:r>
    </w:p>
    <w:p w14:paraId="53F96AB2" w14:textId="3A88E6D9" w:rsidR="0022131B" w:rsidRDefault="002C5F6B" w:rsidP="002C5F6B">
      <w:pPr>
        <w:pStyle w:val="ListParagraph"/>
        <w:numPr>
          <w:ilvl w:val="0"/>
          <w:numId w:val="37"/>
        </w:numPr>
      </w:pPr>
      <w:r>
        <w:t>Australian National University, Development Policy Centre</w:t>
      </w:r>
    </w:p>
    <w:p w14:paraId="720692C4" w14:textId="77777777" w:rsidR="001173C3" w:rsidRDefault="001173C3" w:rsidP="001173C3">
      <w:pPr>
        <w:pStyle w:val="ListParagraph"/>
        <w:numPr>
          <w:ilvl w:val="0"/>
          <w:numId w:val="37"/>
        </w:numPr>
      </w:pPr>
      <w:r>
        <w:t>Health X</w:t>
      </w:r>
    </w:p>
    <w:p w14:paraId="14BAAA53" w14:textId="77777777" w:rsidR="001173C3" w:rsidRDefault="001173C3" w:rsidP="001173C3">
      <w:pPr>
        <w:pStyle w:val="ListParagraph"/>
        <w:numPr>
          <w:ilvl w:val="0"/>
          <w:numId w:val="37"/>
        </w:numPr>
      </w:pPr>
      <w:r>
        <w:t xml:space="preserve">Human Service Skills Organisation </w:t>
      </w:r>
    </w:p>
    <w:p w14:paraId="76B50AFD" w14:textId="77777777" w:rsidR="001173C3" w:rsidRDefault="001173C3" w:rsidP="001173C3">
      <w:pPr>
        <w:pStyle w:val="ListParagraph"/>
        <w:numPr>
          <w:ilvl w:val="0"/>
          <w:numId w:val="37"/>
        </w:numPr>
      </w:pPr>
      <w:r>
        <w:t xml:space="preserve">Law Council of Australia </w:t>
      </w:r>
    </w:p>
    <w:p w14:paraId="0B70522A" w14:textId="2AA6F5C6" w:rsidR="002C5F6B" w:rsidRDefault="002C5F6B" w:rsidP="002C5F6B">
      <w:pPr>
        <w:pStyle w:val="ListParagraph"/>
        <w:numPr>
          <w:ilvl w:val="0"/>
          <w:numId w:val="37"/>
        </w:numPr>
      </w:pPr>
      <w:r>
        <w:t xml:space="preserve">Masters Builders of Australia </w:t>
      </w:r>
    </w:p>
    <w:p w14:paraId="2CFB9EDF" w14:textId="622F729C" w:rsidR="002C5F6B" w:rsidRDefault="002C5F6B" w:rsidP="002C5F6B">
      <w:pPr>
        <w:pStyle w:val="ListParagraph"/>
        <w:numPr>
          <w:ilvl w:val="0"/>
          <w:numId w:val="37"/>
        </w:numPr>
      </w:pPr>
      <w:r>
        <w:t xml:space="preserve">Migration Institute of Australia </w:t>
      </w:r>
    </w:p>
    <w:p w14:paraId="0F60D77A" w14:textId="77777777" w:rsidR="001173C3" w:rsidRDefault="001173C3" w:rsidP="001173C3">
      <w:pPr>
        <w:pStyle w:val="ListParagraph"/>
        <w:numPr>
          <w:ilvl w:val="0"/>
          <w:numId w:val="37"/>
        </w:numPr>
      </w:pPr>
      <w:r>
        <w:t>Migration NT</w:t>
      </w:r>
    </w:p>
    <w:p w14:paraId="514CC807" w14:textId="0BE85AF2" w:rsidR="002C5F6B" w:rsidRDefault="002C5F6B" w:rsidP="002C5F6B">
      <w:pPr>
        <w:pStyle w:val="ListParagraph"/>
        <w:numPr>
          <w:ilvl w:val="0"/>
          <w:numId w:val="37"/>
        </w:numPr>
      </w:pPr>
      <w:r>
        <w:lastRenderedPageBreak/>
        <w:t xml:space="preserve">National </w:t>
      </w:r>
      <w:r w:rsidR="001173C3">
        <w:t>Meat Industry Training Advisory Council Ltd (</w:t>
      </w:r>
      <w:r>
        <w:t>MINTRAC</w:t>
      </w:r>
      <w:r w:rsidR="001173C3">
        <w:t>)</w:t>
      </w:r>
    </w:p>
    <w:p w14:paraId="6BF5AEEF" w14:textId="0D844F44" w:rsidR="001173C3" w:rsidRDefault="001173C3" w:rsidP="002C5F6B">
      <w:pPr>
        <w:pStyle w:val="ListParagraph"/>
        <w:numPr>
          <w:ilvl w:val="0"/>
          <w:numId w:val="37"/>
        </w:numPr>
      </w:pPr>
      <w:r>
        <w:t xml:space="preserve">National Skills Commission </w:t>
      </w:r>
    </w:p>
    <w:p w14:paraId="1B5BAB98" w14:textId="77777777" w:rsidR="001173C3" w:rsidRPr="0022131B" w:rsidRDefault="001173C3" w:rsidP="001173C3">
      <w:pPr>
        <w:pStyle w:val="ListParagraph"/>
        <w:numPr>
          <w:ilvl w:val="0"/>
          <w:numId w:val="37"/>
        </w:numPr>
      </w:pPr>
      <w:r>
        <w:t>University of the South Pacific</w:t>
      </w:r>
    </w:p>
    <w:p w14:paraId="6C5152DE" w14:textId="77777777" w:rsidR="001173C3" w:rsidRDefault="002C5F6B" w:rsidP="00CE423F">
      <w:pPr>
        <w:pStyle w:val="ListParagraph"/>
        <w:numPr>
          <w:ilvl w:val="0"/>
          <w:numId w:val="37"/>
        </w:numPr>
      </w:pPr>
      <w:r>
        <w:t>VETASSESS</w:t>
      </w:r>
    </w:p>
    <w:p w14:paraId="725375F1" w14:textId="62B1D937" w:rsidR="002C5F6B" w:rsidRDefault="002C5F6B" w:rsidP="002C5F6B">
      <w:pPr>
        <w:pStyle w:val="ListParagraph"/>
        <w:numPr>
          <w:ilvl w:val="0"/>
          <w:numId w:val="37"/>
        </w:numPr>
      </w:pPr>
      <w:r>
        <w:t xml:space="preserve">Queensland Tourism Council </w:t>
      </w:r>
    </w:p>
    <w:p w14:paraId="5BE6F390" w14:textId="791701B0" w:rsidR="001173C3" w:rsidRDefault="001173C3" w:rsidP="002C5F6B">
      <w:pPr>
        <w:pStyle w:val="ListParagraph"/>
        <w:numPr>
          <w:ilvl w:val="0"/>
          <w:numId w:val="37"/>
        </w:numPr>
      </w:pPr>
      <w:r>
        <w:t xml:space="preserve">Australian Department of Health </w:t>
      </w:r>
    </w:p>
    <w:p w14:paraId="1734B192" w14:textId="4D17A269" w:rsidR="001173C3" w:rsidRDefault="001173C3" w:rsidP="002C5F6B">
      <w:pPr>
        <w:pStyle w:val="ListParagraph"/>
        <w:numPr>
          <w:ilvl w:val="0"/>
          <w:numId w:val="37"/>
        </w:numPr>
      </w:pPr>
      <w:r>
        <w:t xml:space="preserve">Australian Department of Home Affairs </w:t>
      </w:r>
    </w:p>
    <w:p w14:paraId="6168BC75" w14:textId="78BB3600" w:rsidR="001173C3" w:rsidRDefault="001173C3" w:rsidP="001173C3">
      <w:pPr>
        <w:pStyle w:val="ListParagraph"/>
        <w:numPr>
          <w:ilvl w:val="0"/>
          <w:numId w:val="37"/>
        </w:numPr>
      </w:pPr>
      <w:r>
        <w:t>Australian Department of Foreign Affairs and Trade, Office of the Pacific</w:t>
      </w:r>
      <w:r w:rsidR="00676441">
        <w:t xml:space="preserve"> </w:t>
      </w:r>
      <w:r>
        <w:t>and also two DFAT development program teams from the Pacific Labour Facility and the Australia Pacific Training Coalition programme</w:t>
      </w:r>
    </w:p>
    <w:p w14:paraId="3C5C7EFA" w14:textId="351CC5DE" w:rsidR="00770594" w:rsidRPr="00770594" w:rsidRDefault="001173C3" w:rsidP="00770594">
      <w:pPr>
        <w:pStyle w:val="ListParagraph"/>
        <w:numPr>
          <w:ilvl w:val="0"/>
          <w:numId w:val="37"/>
        </w:numPr>
      </w:pPr>
      <w:r>
        <w:t>Australian Department of Education, Skills and Employment</w:t>
      </w:r>
    </w:p>
    <w:p w14:paraId="4B4DDD2B" w14:textId="70B047B7" w:rsidR="00770594" w:rsidRPr="00770594" w:rsidRDefault="00770594" w:rsidP="001173C3">
      <w:pPr>
        <w:rPr>
          <w:b/>
          <w:bCs/>
          <w:sz w:val="28"/>
          <w:szCs w:val="28"/>
        </w:rPr>
      </w:pPr>
      <w:r>
        <w:rPr>
          <w:b/>
          <w:bCs/>
          <w:sz w:val="28"/>
          <w:szCs w:val="28"/>
        </w:rPr>
        <w:t xml:space="preserve">Additional </w:t>
      </w:r>
      <w:r w:rsidR="00E043AB">
        <w:rPr>
          <w:b/>
          <w:bCs/>
          <w:sz w:val="28"/>
          <w:szCs w:val="28"/>
        </w:rPr>
        <w:t>c</w:t>
      </w:r>
      <w:r>
        <w:rPr>
          <w:b/>
          <w:bCs/>
          <w:sz w:val="28"/>
          <w:szCs w:val="28"/>
        </w:rPr>
        <w:t xml:space="preserve">onsultations </w:t>
      </w:r>
    </w:p>
    <w:p w14:paraId="1FC2F083" w14:textId="6E54EE7B" w:rsidR="001173C3" w:rsidRDefault="001173C3" w:rsidP="001173C3">
      <w:r>
        <w:t>In addition, representatives from the following organisations were consulted in the development of this paper</w:t>
      </w:r>
    </w:p>
    <w:p w14:paraId="1AF3D363" w14:textId="5BAE7EF9" w:rsidR="00BE28A5" w:rsidRDefault="00BE28A5" w:rsidP="001173C3">
      <w:pPr>
        <w:pStyle w:val="ListParagraph"/>
        <w:numPr>
          <w:ilvl w:val="0"/>
          <w:numId w:val="38"/>
        </w:numPr>
      </w:pPr>
      <w:r>
        <w:t>Accor</w:t>
      </w:r>
    </w:p>
    <w:p w14:paraId="7B4F87C7" w14:textId="77777777" w:rsidR="003510DA" w:rsidRDefault="003510DA" w:rsidP="003510DA">
      <w:pPr>
        <w:pStyle w:val="ListParagraph"/>
        <w:numPr>
          <w:ilvl w:val="0"/>
          <w:numId w:val="38"/>
        </w:numPr>
      </w:pPr>
      <w:r>
        <w:t>Agri Labour Australia</w:t>
      </w:r>
    </w:p>
    <w:p w14:paraId="5BB6CAE3" w14:textId="0E924F85" w:rsidR="003510DA" w:rsidRDefault="003510DA" w:rsidP="001173C3">
      <w:pPr>
        <w:pStyle w:val="ListParagraph"/>
        <w:numPr>
          <w:ilvl w:val="0"/>
          <w:numId w:val="38"/>
        </w:numPr>
      </w:pPr>
      <w:r>
        <w:t>Costa Group</w:t>
      </w:r>
    </w:p>
    <w:p w14:paraId="504A0D38" w14:textId="3264AFBE" w:rsidR="00BE28A5" w:rsidRDefault="00BE28A5" w:rsidP="001173C3">
      <w:pPr>
        <w:pStyle w:val="ListParagraph"/>
        <w:numPr>
          <w:ilvl w:val="0"/>
          <w:numId w:val="38"/>
        </w:numPr>
      </w:pPr>
      <w:r>
        <w:t>Far North Queensland TSS Designated Area Migration Agreement (DAMA)</w:t>
      </w:r>
    </w:p>
    <w:p w14:paraId="1DD41CF4" w14:textId="15CAD976" w:rsidR="001173C3" w:rsidRDefault="001173C3" w:rsidP="001173C3">
      <w:pPr>
        <w:pStyle w:val="ListParagraph"/>
        <w:numPr>
          <w:ilvl w:val="0"/>
          <w:numId w:val="38"/>
        </w:numPr>
      </w:pPr>
      <w:r>
        <w:t xml:space="preserve">Fiji National University </w:t>
      </w:r>
    </w:p>
    <w:p w14:paraId="220532A0" w14:textId="184D8679" w:rsidR="00BE28A5" w:rsidRDefault="00BE28A5" w:rsidP="001173C3">
      <w:pPr>
        <w:pStyle w:val="ListParagraph"/>
        <w:numPr>
          <w:ilvl w:val="0"/>
          <w:numId w:val="38"/>
        </w:numPr>
      </w:pPr>
      <w:r>
        <w:t>Granger Australia</w:t>
      </w:r>
    </w:p>
    <w:p w14:paraId="0B9A9D4C" w14:textId="2F318B59" w:rsidR="00BE28A5" w:rsidRDefault="00BE28A5" w:rsidP="001173C3">
      <w:pPr>
        <w:pStyle w:val="ListParagraph"/>
        <w:numPr>
          <w:ilvl w:val="0"/>
          <w:numId w:val="38"/>
        </w:numPr>
      </w:pPr>
      <w:r>
        <w:t>Great South Coast TSS Designated Area Migration Agreement (DAMA)</w:t>
      </w:r>
    </w:p>
    <w:p w14:paraId="3008B5CC" w14:textId="77777777" w:rsidR="003510DA" w:rsidRDefault="003510DA" w:rsidP="003510DA">
      <w:pPr>
        <w:pStyle w:val="ListParagraph"/>
        <w:numPr>
          <w:ilvl w:val="0"/>
          <w:numId w:val="38"/>
        </w:numPr>
      </w:pPr>
      <w:r>
        <w:t>Nucleus International Recruitment (Tanya Costello)</w:t>
      </w:r>
    </w:p>
    <w:p w14:paraId="152EFDC0" w14:textId="3A75E9CB" w:rsidR="00BE28A5" w:rsidRDefault="00BE28A5" w:rsidP="00BE28A5">
      <w:pPr>
        <w:pStyle w:val="ListParagraph"/>
        <w:numPr>
          <w:ilvl w:val="0"/>
          <w:numId w:val="38"/>
        </w:numPr>
      </w:pPr>
      <w:r>
        <w:t>Orana TSS Designated Area Migration Agreement (DAMA)</w:t>
      </w:r>
    </w:p>
    <w:p w14:paraId="2E15D339" w14:textId="16550F38" w:rsidR="003510DA" w:rsidRDefault="003510DA" w:rsidP="001173C3">
      <w:pPr>
        <w:pStyle w:val="ListParagraph"/>
        <w:numPr>
          <w:ilvl w:val="0"/>
          <w:numId w:val="38"/>
        </w:numPr>
      </w:pPr>
      <w:r>
        <w:t>Queensland Berries</w:t>
      </w:r>
    </w:p>
    <w:p w14:paraId="0351DB95" w14:textId="1FE4F849" w:rsidR="00BE28A5" w:rsidRDefault="00BE28A5" w:rsidP="001173C3">
      <w:pPr>
        <w:pStyle w:val="ListParagraph"/>
        <w:numPr>
          <w:ilvl w:val="0"/>
          <w:numId w:val="38"/>
        </w:numPr>
      </w:pPr>
      <w:r>
        <w:t>Sealink Fraser Island</w:t>
      </w:r>
    </w:p>
    <w:p w14:paraId="093E4ACC" w14:textId="51E0C9F7" w:rsidR="001173C3" w:rsidRDefault="00BE28A5" w:rsidP="001173C3">
      <w:pPr>
        <w:pStyle w:val="ListParagraph"/>
        <w:numPr>
          <w:ilvl w:val="0"/>
          <w:numId w:val="38"/>
        </w:numPr>
      </w:pPr>
      <w:r>
        <w:t>South Australia TSS Designated Area Migration Agreement (DAMA)</w:t>
      </w:r>
    </w:p>
    <w:p w14:paraId="37B0F2FB" w14:textId="33ABFF11" w:rsidR="00BE28A5" w:rsidRDefault="00BE28A5" w:rsidP="001173C3">
      <w:pPr>
        <w:pStyle w:val="ListParagraph"/>
        <w:numPr>
          <w:ilvl w:val="0"/>
          <w:numId w:val="38"/>
        </w:numPr>
      </w:pPr>
      <w:r>
        <w:t>Regional Workforce Management (RWM)</w:t>
      </w:r>
    </w:p>
    <w:p w14:paraId="49207B7B" w14:textId="23CD2FE2" w:rsidR="003510DA" w:rsidRDefault="00BE28A5" w:rsidP="003510DA">
      <w:pPr>
        <w:pStyle w:val="ListParagraph"/>
        <w:numPr>
          <w:ilvl w:val="0"/>
          <w:numId w:val="38"/>
        </w:numPr>
      </w:pPr>
      <w:r>
        <w:t>Teys Australia</w:t>
      </w:r>
    </w:p>
    <w:p w14:paraId="5EC7DCEC" w14:textId="17708492" w:rsidR="001173C3" w:rsidRDefault="001173C3" w:rsidP="003510DA"/>
    <w:p w14:paraId="3AB7ED06" w14:textId="63E74E87" w:rsidR="0022131B" w:rsidRDefault="0022131B">
      <w:pPr>
        <w:rPr>
          <w:b/>
          <w:bCs/>
        </w:rPr>
      </w:pPr>
      <w:r>
        <w:rPr>
          <w:b/>
          <w:bCs/>
        </w:rPr>
        <w:t xml:space="preserve">The Chair and the Office of the Pacific in the Department of Foreign Affairs and Trade thank all Working Group members and organisations who were consulted for their time and contributions to the development of this paper. </w:t>
      </w:r>
    </w:p>
    <w:p w14:paraId="3F42226B" w14:textId="0F306C58" w:rsidR="009E74C3" w:rsidRDefault="009E74C3">
      <w:pPr>
        <w:rPr>
          <w:rFonts w:asciiTheme="majorHAnsi" w:eastAsiaTheme="majorEastAsia" w:hAnsiTheme="majorHAnsi" w:cstheme="majorBidi"/>
          <w:b/>
          <w:bCs/>
          <w:color w:val="2F5496" w:themeColor="accent1" w:themeShade="BF"/>
          <w:sz w:val="32"/>
          <w:szCs w:val="32"/>
        </w:rPr>
      </w:pPr>
      <w:r>
        <w:rPr>
          <w:b/>
          <w:bCs/>
        </w:rPr>
        <w:br w:type="page"/>
      </w:r>
    </w:p>
    <w:p w14:paraId="04197CEA" w14:textId="554A0E0A" w:rsidR="009A16ED" w:rsidRDefault="009A16ED" w:rsidP="0046693F">
      <w:pPr>
        <w:pStyle w:val="Heading1"/>
        <w:spacing w:before="0"/>
        <w:rPr>
          <w:b/>
          <w:bCs/>
        </w:rPr>
      </w:pPr>
      <w:bookmarkStart w:id="21" w:name="_Annex_2:_PLS-to-TSS"/>
      <w:bookmarkStart w:id="22" w:name="_Toc90621515"/>
      <w:bookmarkStart w:id="23" w:name="_Hlk88915294"/>
      <w:bookmarkEnd w:id="21"/>
      <w:r w:rsidRPr="00D70444">
        <w:rPr>
          <w:b/>
          <w:bCs/>
        </w:rPr>
        <w:lastRenderedPageBreak/>
        <w:t xml:space="preserve">Annex </w:t>
      </w:r>
      <w:r>
        <w:rPr>
          <w:b/>
          <w:bCs/>
        </w:rPr>
        <w:t>2</w:t>
      </w:r>
      <w:r w:rsidRPr="00D70444">
        <w:rPr>
          <w:b/>
          <w:bCs/>
        </w:rPr>
        <w:t xml:space="preserve">: </w:t>
      </w:r>
      <w:r>
        <w:rPr>
          <w:b/>
          <w:bCs/>
        </w:rPr>
        <w:t xml:space="preserve">PLS-to-TSS </w:t>
      </w:r>
      <w:r w:rsidRPr="00D70444">
        <w:rPr>
          <w:b/>
          <w:bCs/>
        </w:rPr>
        <w:t>Meatworkers</w:t>
      </w:r>
      <w:r>
        <w:rPr>
          <w:b/>
          <w:bCs/>
        </w:rPr>
        <w:t xml:space="preserve"> Fact Sheet</w:t>
      </w:r>
      <w:bookmarkEnd w:id="22"/>
    </w:p>
    <w:p w14:paraId="150967C2" w14:textId="77777777" w:rsidR="00184F71" w:rsidRPr="00184F71" w:rsidRDefault="00184F71" w:rsidP="00184F71"/>
    <w:p w14:paraId="6D1D6B91" w14:textId="0B612762" w:rsidR="000E1960" w:rsidRPr="0081237F" w:rsidRDefault="000E1960" w:rsidP="0081237F">
      <w:pPr>
        <w:jc w:val="center"/>
        <w:rPr>
          <w:b/>
          <w:bCs/>
          <w:sz w:val="28"/>
          <w:szCs w:val="28"/>
        </w:rPr>
      </w:pPr>
      <w:bookmarkStart w:id="24" w:name="_Toc85395297"/>
      <w:r w:rsidRPr="0081237F">
        <w:rPr>
          <w:b/>
          <w:bCs/>
          <w:sz w:val="28"/>
          <w:szCs w:val="28"/>
        </w:rPr>
        <w:t>Promoting Pacific Participation in the TSS</w:t>
      </w:r>
    </w:p>
    <w:p w14:paraId="1CB48580" w14:textId="77777777" w:rsidR="000E1960" w:rsidRPr="0081237F" w:rsidRDefault="000E1960" w:rsidP="0081237F">
      <w:pPr>
        <w:jc w:val="center"/>
        <w:rPr>
          <w:b/>
          <w:bCs/>
          <w:sz w:val="28"/>
          <w:szCs w:val="28"/>
        </w:rPr>
      </w:pPr>
      <w:r w:rsidRPr="0081237F">
        <w:rPr>
          <w:b/>
          <w:bCs/>
          <w:sz w:val="28"/>
          <w:szCs w:val="28"/>
        </w:rPr>
        <w:t>Meat workers</w:t>
      </w:r>
      <w:bookmarkEnd w:id="24"/>
    </w:p>
    <w:p w14:paraId="3E4DD925" w14:textId="77777777" w:rsidR="000E1960" w:rsidRPr="0081237F" w:rsidRDefault="000E1960" w:rsidP="0081237F">
      <w:pPr>
        <w:jc w:val="center"/>
        <w:rPr>
          <w:b/>
          <w:bCs/>
          <w:sz w:val="28"/>
          <w:szCs w:val="28"/>
        </w:rPr>
      </w:pPr>
      <w:r w:rsidRPr="0081237F">
        <w:rPr>
          <w:b/>
          <w:bCs/>
          <w:sz w:val="28"/>
          <w:szCs w:val="28"/>
        </w:rPr>
        <w:t>Fact sheet</w:t>
      </w:r>
    </w:p>
    <w:p w14:paraId="6377671F" w14:textId="342E2BEF" w:rsidR="000E1960" w:rsidRDefault="000E1960" w:rsidP="000D30EB">
      <w:pPr>
        <w:spacing w:after="0"/>
        <w:jc w:val="both"/>
        <w:rPr>
          <w:rStyle w:val="markedcontent"/>
        </w:rPr>
      </w:pPr>
      <w:bookmarkStart w:id="25" w:name="_Toc85395298"/>
      <w:bookmarkEnd w:id="23"/>
      <w:r>
        <w:rPr>
          <w:rStyle w:val="markedcontent"/>
        </w:rPr>
        <w:t xml:space="preserve">As part of the Pacific Step-Up, the Department of Foreign Affairs and Trade is promoting Pacific participation in Australia’s Temporary Skill Shortage (TSS) visa. </w:t>
      </w:r>
      <w:r>
        <w:t>This fact sheet spells out the opportunities in regards to meat workers.</w:t>
      </w:r>
      <w:r w:rsidR="006157C0" w:rsidRPr="006157C0">
        <w:rPr>
          <w:rStyle w:val="FootnoteReference"/>
        </w:rPr>
        <w:t xml:space="preserve"> </w:t>
      </w:r>
      <w:r w:rsidR="002A1D0B">
        <w:rPr>
          <w:rStyle w:val="markedcontent"/>
        </w:rPr>
        <w:t xml:space="preserve">It </w:t>
      </w:r>
      <w:r w:rsidR="000D30EB" w:rsidRPr="004353B3">
        <w:rPr>
          <w:rStyle w:val="markedcontent"/>
        </w:rPr>
        <w:t xml:space="preserve">should be read in conjunction with official Home Affairs information, </w:t>
      </w:r>
      <w:hyperlink r:id="rId10" w:history="1">
        <w:r w:rsidR="000D30EB" w:rsidRPr="004353B3">
          <w:rPr>
            <w:rStyle w:val="Hyperlink"/>
          </w:rPr>
          <w:t>here</w:t>
        </w:r>
      </w:hyperlink>
      <w:r w:rsidR="000D30EB" w:rsidRPr="004353B3">
        <w:rPr>
          <w:rStyle w:val="markedcontent"/>
        </w:rPr>
        <w:t xml:space="preserve"> and </w:t>
      </w:r>
      <w:hyperlink r:id="rId11" w:history="1">
        <w:hyperlink r:id="rId12" w:history="1">
          <w:r w:rsidR="000D30EB" w:rsidRPr="004353B3">
            <w:rPr>
              <w:rStyle w:val="Hyperlink"/>
            </w:rPr>
            <w:t>here</w:t>
          </w:r>
        </w:hyperlink>
      </w:hyperlink>
      <w:r w:rsidR="000D30EB" w:rsidRPr="004353B3">
        <w:rPr>
          <w:rStyle w:val="markedcontent"/>
        </w:rPr>
        <w:t xml:space="preserve">. </w:t>
      </w:r>
      <w:r w:rsidR="004353B3">
        <w:rPr>
          <w:rStyle w:val="markedcontent"/>
        </w:rPr>
        <w:t xml:space="preserve">This document </w:t>
      </w:r>
      <w:r w:rsidR="000D30EB" w:rsidRPr="004353B3">
        <w:rPr>
          <w:rStyle w:val="markedcontent"/>
        </w:rPr>
        <w:t xml:space="preserve">represents the best efforts of the authors, but note that information can become quickly out of date, and the information presented </w:t>
      </w:r>
      <w:r w:rsidR="000D30EB">
        <w:rPr>
          <w:rStyle w:val="markedcontent"/>
        </w:rPr>
        <w:t xml:space="preserve">herein </w:t>
      </w:r>
      <w:r w:rsidR="000D30EB" w:rsidRPr="004353B3">
        <w:rPr>
          <w:rStyle w:val="markedcontent"/>
        </w:rPr>
        <w:t>should only be used as a guide for and stimulus to further investigation, and should not replace reliance on official information</w:t>
      </w:r>
      <w:r w:rsidR="000D30EB">
        <w:rPr>
          <w:rStyle w:val="markedcontent"/>
        </w:rPr>
        <w:t>.</w:t>
      </w:r>
    </w:p>
    <w:p w14:paraId="106AD5A9" w14:textId="77777777" w:rsidR="000D30EB" w:rsidRPr="004353B3" w:rsidRDefault="000D30EB" w:rsidP="000D30EB">
      <w:pPr>
        <w:spacing w:after="0"/>
        <w:jc w:val="both"/>
        <w:rPr>
          <w:rStyle w:val="markedcontent"/>
        </w:rPr>
      </w:pPr>
    </w:p>
    <w:p w14:paraId="76BBF82F" w14:textId="77777777" w:rsidR="000E1960" w:rsidRPr="0081237F" w:rsidRDefault="000E1960" w:rsidP="0081237F">
      <w:pPr>
        <w:rPr>
          <w:b/>
          <w:bCs/>
        </w:rPr>
      </w:pPr>
      <w:r w:rsidRPr="0081237F">
        <w:rPr>
          <w:b/>
          <w:bCs/>
        </w:rPr>
        <w:t>(a) Summary</w:t>
      </w:r>
    </w:p>
    <w:p w14:paraId="242D20CE" w14:textId="706F7875" w:rsidR="000E1960" w:rsidRDefault="000E1960" w:rsidP="000E1960">
      <w:pPr>
        <w:jc w:val="both"/>
      </w:pPr>
      <w:r>
        <w:t xml:space="preserve">There are realistic opportunities for meat workers under the PLS to transition to the TSS. </w:t>
      </w:r>
    </w:p>
    <w:p w14:paraId="725050E1" w14:textId="49FC7FE3" w:rsidR="000E1960" w:rsidRPr="0081237F" w:rsidRDefault="000E1960" w:rsidP="0081237F">
      <w:pPr>
        <w:rPr>
          <w:b/>
          <w:bCs/>
        </w:rPr>
      </w:pPr>
      <w:bookmarkStart w:id="26" w:name="_Toc85395299"/>
      <w:bookmarkEnd w:id="25"/>
      <w:r w:rsidRPr="0081237F">
        <w:rPr>
          <w:b/>
          <w:bCs/>
        </w:rPr>
        <w:t>(b) Opportunity</w:t>
      </w:r>
      <w:bookmarkEnd w:id="26"/>
    </w:p>
    <w:p w14:paraId="0E3BC3F9" w14:textId="74D32832" w:rsidR="000E1960" w:rsidRDefault="000E1960" w:rsidP="000E1960">
      <w:pPr>
        <w:jc w:val="both"/>
      </w:pPr>
      <w:r>
        <w:t xml:space="preserve">The meat processing industry is very reliant on the TSS, which it uses under the </w:t>
      </w:r>
      <w:hyperlink r:id="rId13" w:history="1">
        <w:r w:rsidRPr="002E7095">
          <w:rPr>
            <w:rStyle w:val="Hyperlink"/>
          </w:rPr>
          <w:t>Meat Industry Labour Agreement</w:t>
        </w:r>
      </w:hyperlink>
      <w:r w:rsidRPr="002E7095">
        <w:t xml:space="preserve"> (MILA)</w:t>
      </w:r>
      <w:r w:rsidR="002E7095">
        <w:t xml:space="preserve"> which individual businesses can request </w:t>
      </w:r>
      <w:r w:rsidR="00D641D9">
        <w:t>to join</w:t>
      </w:r>
      <w:r>
        <w:t xml:space="preserve">. This allows for the provision of visas for Skilled Meat Workers, </w:t>
      </w:r>
      <w:r w:rsidR="002E7095">
        <w:t xml:space="preserve">not an </w:t>
      </w:r>
      <w:r w:rsidR="0070016A">
        <w:t>ANZSCO</w:t>
      </w:r>
      <w:r w:rsidR="002E7095">
        <w:t xml:space="preserve"> occupation, but one which is defined to </w:t>
      </w:r>
      <w:r>
        <w:t xml:space="preserve">combine the ANZSCO occupations of </w:t>
      </w:r>
      <w:r>
        <w:rPr>
          <w:rStyle w:val="markedcontent"/>
        </w:rPr>
        <w:t xml:space="preserve">Slaughterer </w:t>
      </w:r>
      <w:r>
        <w:t xml:space="preserve">(831212) </w:t>
      </w:r>
      <w:r>
        <w:rPr>
          <w:rStyle w:val="markedcontent"/>
        </w:rPr>
        <w:t xml:space="preserve">and Meat Boner &amp; Slicer </w:t>
      </w:r>
      <w:r>
        <w:t>(831211)</w:t>
      </w:r>
      <w:r>
        <w:rPr>
          <w:rStyle w:val="markedcontent"/>
        </w:rPr>
        <w:t>. These are</w:t>
      </w:r>
      <w:r>
        <w:t xml:space="preserve"> at Skill Level 4, below the standard TSS Skill Level 3 threshold.</w:t>
      </w:r>
    </w:p>
    <w:p w14:paraId="25D9E13B" w14:textId="33B48900" w:rsidR="000E1960" w:rsidRDefault="000E1960" w:rsidP="000E1960">
      <w:pPr>
        <w:jc w:val="both"/>
      </w:pPr>
      <w:r>
        <w:t xml:space="preserve">The meat industry is </w:t>
      </w:r>
      <w:r w:rsidR="000D30EB">
        <w:t xml:space="preserve">very heavily reliant on migrant labour. It is </w:t>
      </w:r>
      <w:r>
        <w:t xml:space="preserve">facing major labour shortages due to (a) COVID, (b) difficulty of finding overseas meat workers who can meet the English language requirements, and (c) </w:t>
      </w:r>
      <w:r w:rsidR="000D30EB">
        <w:t xml:space="preserve">legacy </w:t>
      </w:r>
      <w:r w:rsidR="002E7095">
        <w:t>integrity issues</w:t>
      </w:r>
      <w:r>
        <w:t>.</w:t>
      </w:r>
    </w:p>
    <w:p w14:paraId="32A249A2" w14:textId="6D66B48C" w:rsidR="000E1960" w:rsidRDefault="000E1960" w:rsidP="000E1960">
      <w:pPr>
        <w:jc w:val="both"/>
      </w:pPr>
      <w:r>
        <w:t xml:space="preserve">The meat industry hires a large number of Pacific and Timorese meat workers under the PLS </w:t>
      </w:r>
      <w:bookmarkStart w:id="27" w:name="_Hlk86829067"/>
      <w:r>
        <w:t xml:space="preserve">(over </w:t>
      </w:r>
      <w:r w:rsidR="00184F71">
        <w:t>3,0</w:t>
      </w:r>
      <w:r>
        <w:t>00 as of August 2021, 6</w:t>
      </w:r>
      <w:r w:rsidR="00184F71">
        <w:t>7</w:t>
      </w:r>
      <w:r>
        <w:t xml:space="preserve">% of all PLS workers). </w:t>
      </w:r>
      <w:bookmarkEnd w:id="27"/>
      <w:r>
        <w:t xml:space="preserve">A significant number of these are already performing the more skilled roles that are needed to meet TSS eligibility requirements. </w:t>
      </w:r>
    </w:p>
    <w:p w14:paraId="16EFA458" w14:textId="77777777" w:rsidR="000E1960" w:rsidRPr="0081237F" w:rsidRDefault="000E1960" w:rsidP="0081237F">
      <w:pPr>
        <w:rPr>
          <w:b/>
          <w:bCs/>
        </w:rPr>
      </w:pPr>
      <w:bookmarkStart w:id="28" w:name="_Toc85395302"/>
      <w:r w:rsidRPr="0081237F">
        <w:rPr>
          <w:b/>
          <w:bCs/>
        </w:rPr>
        <w:t>(c) Pathway</w:t>
      </w:r>
      <w:bookmarkEnd w:id="28"/>
      <w:r w:rsidRPr="0081237F">
        <w:rPr>
          <w:b/>
          <w:bCs/>
        </w:rPr>
        <w:t xml:space="preserve"> </w:t>
      </w:r>
    </w:p>
    <w:p w14:paraId="02808B4E" w14:textId="24DE33F4" w:rsidR="000E1960" w:rsidRDefault="000E1960" w:rsidP="000E1960">
      <w:pPr>
        <w:jc w:val="both"/>
      </w:pPr>
      <w:r>
        <w:t xml:space="preserve">A pathway from the PLS visa to the TSS is available under the Meat Industry Labour Agreement (MILA), a </w:t>
      </w:r>
      <w:r w:rsidR="00D12914">
        <w:t>four</w:t>
      </w:r>
      <w:r>
        <w:t>-year visa.</w:t>
      </w:r>
      <w:r>
        <w:rPr>
          <w:rStyle w:val="FootnoteReference"/>
        </w:rPr>
        <w:footnoteReference w:id="13"/>
      </w:r>
      <w:r>
        <w:t xml:space="preserve"> Direct hire of Pacific workers under the TSS-MILA (without having worked on the PLS) is not a realistic proposition.</w:t>
      </w:r>
    </w:p>
    <w:p w14:paraId="7B7BCD23" w14:textId="2110F889" w:rsidR="00184F71" w:rsidRDefault="00184F71" w:rsidP="000E1960">
      <w:pPr>
        <w:jc w:val="both"/>
      </w:pPr>
    </w:p>
    <w:p w14:paraId="231B550C" w14:textId="77777777" w:rsidR="00184F71" w:rsidRDefault="00184F71" w:rsidP="000E1960">
      <w:pPr>
        <w:jc w:val="both"/>
      </w:pPr>
    </w:p>
    <w:p w14:paraId="186CDFD1" w14:textId="6144996E" w:rsidR="000E1960" w:rsidRPr="0081237F" w:rsidRDefault="000E1960" w:rsidP="0081237F">
      <w:pPr>
        <w:rPr>
          <w:b/>
          <w:bCs/>
        </w:rPr>
      </w:pPr>
      <w:bookmarkStart w:id="29" w:name="_Toc85395303"/>
      <w:r w:rsidRPr="0081237F">
        <w:rPr>
          <w:b/>
          <w:bCs/>
        </w:rPr>
        <w:lastRenderedPageBreak/>
        <w:t>(d) Prerequisites</w:t>
      </w:r>
      <w:bookmarkEnd w:id="29"/>
    </w:p>
    <w:p w14:paraId="23D31C69" w14:textId="5A091882" w:rsidR="000E1960" w:rsidRDefault="000E1960" w:rsidP="000E1960">
      <w:pPr>
        <w:jc w:val="both"/>
      </w:pPr>
      <w:r>
        <w:t xml:space="preserve">The </w:t>
      </w:r>
      <w:hyperlink r:id="rId14" w:history="1">
        <w:hyperlink r:id="rId15" w:history="1">
          <w:r w:rsidRPr="005C2C68">
            <w:rPr>
              <w:rStyle w:val="Hyperlink"/>
            </w:rPr>
            <w:t>MILA</w:t>
          </w:r>
        </w:hyperlink>
      </w:hyperlink>
      <w:r>
        <w:t xml:space="preserve"> has </w:t>
      </w:r>
      <w:r w:rsidR="002E7095">
        <w:t xml:space="preserve">recently been amended and </w:t>
      </w:r>
      <w:r>
        <w:t xml:space="preserve">a number of </w:t>
      </w:r>
      <w:r w:rsidRPr="002E7095">
        <w:t>criteria</w:t>
      </w:r>
      <w:r>
        <w:t xml:space="preserve"> </w:t>
      </w:r>
      <w:r w:rsidR="002E7095">
        <w:t xml:space="preserve">relaxed </w:t>
      </w:r>
      <w:r>
        <w:t xml:space="preserve">that need to be satisfied for a successful </w:t>
      </w:r>
      <w:r w:rsidR="006D5692">
        <w:t xml:space="preserve">TSS </w:t>
      </w:r>
      <w:r>
        <w:t>application.</w:t>
      </w:r>
      <w:r w:rsidR="000D30EB">
        <w:t xml:space="preserve"> Within the MILA, </w:t>
      </w:r>
      <w:r w:rsidR="00184F71">
        <w:t xml:space="preserve">additional </w:t>
      </w:r>
      <w:r w:rsidR="000D30EB">
        <w:t xml:space="preserve">concessions are available for </w:t>
      </w:r>
      <w:hyperlink r:id="rId16" w:history="1">
        <w:r w:rsidR="000D30EB" w:rsidRPr="000D30EB">
          <w:rPr>
            <w:rStyle w:val="Hyperlink"/>
          </w:rPr>
          <w:t>regional areas</w:t>
        </w:r>
      </w:hyperlink>
      <w:r w:rsidR="000D30EB">
        <w:t>.</w:t>
      </w:r>
    </w:p>
    <w:p w14:paraId="74F5BD8F" w14:textId="264A7DDA" w:rsidR="000E1960" w:rsidRDefault="000E1960" w:rsidP="000E1960">
      <w:pPr>
        <w:pStyle w:val="ListParagraph"/>
        <w:numPr>
          <w:ilvl w:val="0"/>
          <w:numId w:val="16"/>
        </w:numPr>
        <w:jc w:val="both"/>
        <w:rPr>
          <w:rStyle w:val="markedcontent"/>
        </w:rPr>
      </w:pPr>
      <w:r w:rsidRPr="00B96D5E">
        <w:rPr>
          <w:rStyle w:val="markedcontent"/>
          <w:b/>
          <w:bCs/>
        </w:rPr>
        <w:t>Skills:</w:t>
      </w:r>
      <w:r w:rsidR="00676441">
        <w:rPr>
          <w:rStyle w:val="markedcontent"/>
        </w:rPr>
        <w:t xml:space="preserve"> </w:t>
      </w:r>
      <w:r>
        <w:rPr>
          <w:rStyle w:val="markedcontent"/>
        </w:rPr>
        <w:t>The worker has to be assessed by a MINTRAC registered assessor as having skills commensurate with a Certificate III in meat processing.</w:t>
      </w:r>
      <w:r>
        <w:rPr>
          <w:rStyle w:val="FootnoteReference"/>
        </w:rPr>
        <w:footnoteReference w:id="14"/>
      </w:r>
      <w:r>
        <w:rPr>
          <w:rStyle w:val="markedcontent"/>
        </w:rPr>
        <w:t xml:space="preserve"> Some </w:t>
      </w:r>
      <w:hyperlink r:id="rId17" w:history="1">
        <w:r w:rsidRPr="00242461">
          <w:rPr>
            <w:rStyle w:val="Hyperlink"/>
          </w:rPr>
          <w:t>funding</w:t>
        </w:r>
      </w:hyperlink>
      <w:r>
        <w:rPr>
          <w:rStyle w:val="markedcontent"/>
        </w:rPr>
        <w:t xml:space="preserve"> is available from DFAT through the PLF that could subsidise the required training.</w:t>
      </w:r>
    </w:p>
    <w:p w14:paraId="127619DA" w14:textId="2FF88298" w:rsidR="000E1960" w:rsidRDefault="000E1960" w:rsidP="000E1960">
      <w:pPr>
        <w:pStyle w:val="ListParagraph"/>
        <w:numPr>
          <w:ilvl w:val="0"/>
          <w:numId w:val="16"/>
        </w:numPr>
        <w:jc w:val="both"/>
        <w:rPr>
          <w:rStyle w:val="markedcontent"/>
        </w:rPr>
      </w:pPr>
      <w:r w:rsidRPr="00BD453D">
        <w:rPr>
          <w:rStyle w:val="markedcontent"/>
          <w:b/>
          <w:bCs/>
        </w:rPr>
        <w:t>Experience</w:t>
      </w:r>
      <w:r>
        <w:rPr>
          <w:rStyle w:val="markedcontent"/>
        </w:rPr>
        <w:t xml:space="preserve">: </w:t>
      </w:r>
      <w:r w:rsidR="0071306B">
        <w:rPr>
          <w:rStyle w:val="markedcontent"/>
        </w:rPr>
        <w:t>PLS w</w:t>
      </w:r>
      <w:r>
        <w:rPr>
          <w:rStyle w:val="markedcontent"/>
        </w:rPr>
        <w:t xml:space="preserve">orkers </w:t>
      </w:r>
      <w:r w:rsidR="0071306B">
        <w:rPr>
          <w:rStyle w:val="markedcontent"/>
        </w:rPr>
        <w:t xml:space="preserve">would </w:t>
      </w:r>
      <w:r>
        <w:rPr>
          <w:rStyle w:val="markedcontent"/>
        </w:rPr>
        <w:t xml:space="preserve">need to demonstrate one year of “relevant work experience” gained in an appropriate Australian facility. </w:t>
      </w:r>
    </w:p>
    <w:p w14:paraId="57CA8042" w14:textId="127BDFFD" w:rsidR="000E1960" w:rsidRDefault="000E1960" w:rsidP="000E1960">
      <w:pPr>
        <w:pStyle w:val="ListParagraph"/>
        <w:numPr>
          <w:ilvl w:val="0"/>
          <w:numId w:val="16"/>
        </w:numPr>
        <w:jc w:val="both"/>
        <w:rPr>
          <w:rStyle w:val="markedcontent"/>
        </w:rPr>
      </w:pPr>
      <w:r w:rsidRPr="00BD453D">
        <w:rPr>
          <w:rStyle w:val="markedcontent"/>
          <w:b/>
          <w:bCs/>
        </w:rPr>
        <w:t>English language</w:t>
      </w:r>
      <w:r>
        <w:rPr>
          <w:rStyle w:val="markedcontent"/>
        </w:rPr>
        <w:t>: An IELTS score</w:t>
      </w:r>
      <w:r w:rsidR="00357CF9">
        <w:rPr>
          <w:rStyle w:val="markedcontent"/>
        </w:rPr>
        <w:t xml:space="preserve"> of </w:t>
      </w:r>
      <w:r w:rsidR="00E043AB">
        <w:rPr>
          <w:rStyle w:val="markedcontent"/>
        </w:rPr>
        <w:t>5.0</w:t>
      </w:r>
      <w:r w:rsidR="00357CF9">
        <w:rPr>
          <w:rStyle w:val="markedcontent"/>
        </w:rPr>
        <w:t xml:space="preserve"> with no component</w:t>
      </w:r>
      <w:r>
        <w:rPr>
          <w:rStyle w:val="markedcontent"/>
        </w:rPr>
        <w:t xml:space="preserve"> (listening, reading, writing, speaking)</w:t>
      </w:r>
      <w:r w:rsidR="00357CF9">
        <w:rPr>
          <w:rStyle w:val="markedcontent"/>
        </w:rPr>
        <w:t xml:space="preserve"> with a score less than 4</w:t>
      </w:r>
      <w:r w:rsidR="00E043AB">
        <w:rPr>
          <w:rStyle w:val="markedcontent"/>
        </w:rPr>
        <w:t>.0</w:t>
      </w:r>
      <w:r>
        <w:rPr>
          <w:rStyle w:val="markedcontent"/>
        </w:rPr>
        <w:t>. A score of 5</w:t>
      </w:r>
      <w:r w:rsidR="00E043AB">
        <w:rPr>
          <w:rStyle w:val="markedcontent"/>
        </w:rPr>
        <w:t>.0</w:t>
      </w:r>
      <w:r>
        <w:rPr>
          <w:rStyle w:val="markedcontent"/>
        </w:rPr>
        <w:t xml:space="preserve"> corresponds to a “modest user”. </w:t>
      </w:r>
      <w:r w:rsidRPr="00367FB7">
        <w:rPr>
          <w:rStyle w:val="markedcontent"/>
        </w:rPr>
        <w:t>Many PLS workers have good</w:t>
      </w:r>
      <w:r>
        <w:rPr>
          <w:rStyle w:val="markedcontent"/>
        </w:rPr>
        <w:t xml:space="preserve"> spoken</w:t>
      </w:r>
      <w:r w:rsidRPr="00367FB7">
        <w:rPr>
          <w:rStyle w:val="markedcontent"/>
        </w:rPr>
        <w:t xml:space="preserve"> English.</w:t>
      </w:r>
      <w:r>
        <w:rPr>
          <w:rStyle w:val="markedcontent"/>
        </w:rPr>
        <w:t xml:space="preserve"> The IELTS can be taken more than once, and employers are advised to provide opportunities for interested workers to take the test at an early stage to see whether English language training is needed. Visa applicants from Pacific countries such as Tonga, Samoa, Fiji, PNG, Solomon Islands and Vanuatu may be exempt from the language requirement if they can prove that they </w:t>
      </w:r>
      <w:r w:rsidRPr="008755A7">
        <w:rPr>
          <w:rStyle w:val="markedcontent"/>
        </w:rPr>
        <w:t>have completed at least</w:t>
      </w:r>
      <w:r>
        <w:rPr>
          <w:rStyle w:val="markedcontent"/>
        </w:rPr>
        <w:t xml:space="preserve"> five</w:t>
      </w:r>
      <w:r w:rsidRPr="008755A7">
        <w:rPr>
          <w:rStyle w:val="markedcontent"/>
        </w:rPr>
        <w:t xml:space="preserve"> years of full-time study in a secondary </w:t>
      </w:r>
      <w:r w:rsidR="00D12914">
        <w:rPr>
          <w:rStyle w:val="markedcontent"/>
        </w:rPr>
        <w:t>or higher</w:t>
      </w:r>
      <w:r w:rsidR="00184F71">
        <w:rPr>
          <w:rStyle w:val="markedcontent"/>
        </w:rPr>
        <w:t>-</w:t>
      </w:r>
      <w:r w:rsidRPr="008755A7">
        <w:rPr>
          <w:rStyle w:val="markedcontent"/>
        </w:rPr>
        <w:t>level institution</w:t>
      </w:r>
      <w:r>
        <w:rPr>
          <w:rStyle w:val="markedcontent"/>
        </w:rPr>
        <w:t xml:space="preserve"> </w:t>
      </w:r>
      <w:r w:rsidRPr="008755A7">
        <w:rPr>
          <w:rStyle w:val="markedcontent"/>
        </w:rPr>
        <w:t>where most classes were in English</w:t>
      </w:r>
      <w:r>
        <w:rPr>
          <w:rStyle w:val="markedcontent"/>
        </w:rPr>
        <w:t>.</w:t>
      </w:r>
      <w:r>
        <w:rPr>
          <w:rStyle w:val="FootnoteReference"/>
        </w:rPr>
        <w:footnoteReference w:id="15"/>
      </w:r>
    </w:p>
    <w:p w14:paraId="0EA7496F" w14:textId="6BB6C088" w:rsidR="000E1960" w:rsidRDefault="000E1960" w:rsidP="000E1960">
      <w:pPr>
        <w:pStyle w:val="ListParagraph"/>
        <w:numPr>
          <w:ilvl w:val="0"/>
          <w:numId w:val="16"/>
        </w:numPr>
        <w:jc w:val="both"/>
        <w:rPr>
          <w:rStyle w:val="markedcontent"/>
        </w:rPr>
      </w:pPr>
      <w:r w:rsidRPr="00BD453D">
        <w:rPr>
          <w:rStyle w:val="markedcontent"/>
          <w:b/>
          <w:bCs/>
        </w:rPr>
        <w:t>Age</w:t>
      </w:r>
      <w:r>
        <w:rPr>
          <w:rStyle w:val="markedcontent"/>
        </w:rPr>
        <w:t xml:space="preserve">: </w:t>
      </w:r>
      <w:r w:rsidR="000D30EB">
        <w:rPr>
          <w:rStyle w:val="markedcontent"/>
        </w:rPr>
        <w:t>There is n</w:t>
      </w:r>
      <w:r>
        <w:rPr>
          <w:rStyle w:val="markedcontent"/>
        </w:rPr>
        <w:t xml:space="preserve">o age limit for the TSS. However, age limits apply to the visas for permanent residence, with higher age limits available in the DAMAs. </w:t>
      </w:r>
    </w:p>
    <w:p w14:paraId="42B8D88D" w14:textId="13C275E4" w:rsidR="000E1960" w:rsidRDefault="000E1960" w:rsidP="000E1960">
      <w:pPr>
        <w:pStyle w:val="ListParagraph"/>
        <w:numPr>
          <w:ilvl w:val="0"/>
          <w:numId w:val="16"/>
        </w:numPr>
        <w:jc w:val="both"/>
      </w:pPr>
      <w:r w:rsidRPr="00BD453D">
        <w:rPr>
          <w:b/>
          <w:bCs/>
        </w:rPr>
        <w:t>Health</w:t>
      </w:r>
      <w:r>
        <w:t xml:space="preserve">: </w:t>
      </w:r>
      <w:hyperlink r:id="rId18" w:history="1">
        <w:r>
          <w:rPr>
            <w:rStyle w:val="Hyperlink"/>
          </w:rPr>
          <w:t>S</w:t>
        </w:r>
        <w:r w:rsidRPr="00CD0274">
          <w:rPr>
            <w:rStyle w:val="Hyperlink"/>
          </w:rPr>
          <w:t>tandard TSS health test requirements</w:t>
        </w:r>
      </w:hyperlink>
      <w:r>
        <w:t xml:space="preserve"> apply for applicants from high-risk countries (all Pacific and Timor-Leste</w:t>
      </w:r>
      <w:r w:rsidR="00676441">
        <w:t xml:space="preserve"> </w:t>
      </w:r>
      <w:r>
        <w:t>countries except Cook Islands, Samoa and Tonga),</w:t>
      </w:r>
      <w:r w:rsidR="00676441">
        <w:t xml:space="preserve"> </w:t>
      </w:r>
      <w:r>
        <w:t>namely a medical examination and a chest x-ray. This also applies to family members.</w:t>
      </w:r>
    </w:p>
    <w:p w14:paraId="48588006" w14:textId="6D86E74B" w:rsidR="000E1960" w:rsidRDefault="000E1960" w:rsidP="000E1960">
      <w:pPr>
        <w:pStyle w:val="ListParagraph"/>
        <w:numPr>
          <w:ilvl w:val="0"/>
          <w:numId w:val="16"/>
        </w:numPr>
        <w:jc w:val="both"/>
      </w:pPr>
      <w:r w:rsidRPr="00BD453D">
        <w:rPr>
          <w:b/>
          <w:bCs/>
        </w:rPr>
        <w:t>Police certificate</w:t>
      </w:r>
      <w:r w:rsidR="002835D7">
        <w:rPr>
          <w:b/>
          <w:bCs/>
        </w:rPr>
        <w:t>:</w:t>
      </w:r>
      <w:r>
        <w:t xml:space="preserve"> </w:t>
      </w:r>
      <w:hyperlink r:id="rId19" w:history="1">
        <w:r>
          <w:rPr>
            <w:rStyle w:val="Hyperlink"/>
          </w:rPr>
          <w:t>I</w:t>
        </w:r>
        <w:r w:rsidRPr="00CD0274">
          <w:rPr>
            <w:rStyle w:val="Hyperlink"/>
          </w:rPr>
          <w:t>f requested</w:t>
        </w:r>
      </w:hyperlink>
    </w:p>
    <w:p w14:paraId="0634481D" w14:textId="77777777" w:rsidR="000E1960" w:rsidRDefault="000E1960" w:rsidP="000E1960">
      <w:pPr>
        <w:pStyle w:val="ListParagraph"/>
        <w:numPr>
          <w:ilvl w:val="0"/>
          <w:numId w:val="16"/>
        </w:numPr>
      </w:pPr>
      <w:r>
        <w:rPr>
          <w:b/>
          <w:bCs/>
        </w:rPr>
        <w:t xml:space="preserve">Australian values statement: </w:t>
      </w:r>
      <w:hyperlink r:id="rId20" w:history="1">
        <w:r>
          <w:rPr>
            <w:rStyle w:val="Hyperlink"/>
          </w:rPr>
          <w:t>Needs to be signed</w:t>
        </w:r>
      </w:hyperlink>
    </w:p>
    <w:p w14:paraId="1EBF4386" w14:textId="77777777" w:rsidR="000E1960" w:rsidRDefault="00383966" w:rsidP="000E1960">
      <w:pPr>
        <w:pStyle w:val="ListParagraph"/>
        <w:numPr>
          <w:ilvl w:val="0"/>
          <w:numId w:val="16"/>
        </w:numPr>
        <w:jc w:val="both"/>
      </w:pPr>
      <w:hyperlink r:id="rId21" w:anchor="About" w:history="1">
        <w:r w:rsidR="000E1960" w:rsidRPr="00BD453D">
          <w:rPr>
            <w:rStyle w:val="Hyperlink"/>
            <w:b/>
          </w:rPr>
          <w:t>Cost</w:t>
        </w:r>
      </w:hyperlink>
      <w:r w:rsidR="000E1960">
        <w:t>: the TSS visa cost is $2,690 for the main applicant and each dependant 18 years and over, and $675 for each dependant under 18. In addition, it costs $330 for an employer to nominate a worker, and the SAF (Skilling Australians Fund) levy must be paid ($1,200 upfront per year for the visa term for small businesses, and $1,800 for others).</w:t>
      </w:r>
    </w:p>
    <w:p w14:paraId="2A8E2DFE" w14:textId="6B64218D" w:rsidR="000E1960" w:rsidRDefault="000E1960" w:rsidP="000E1960">
      <w:pPr>
        <w:pStyle w:val="ListParagraph"/>
        <w:numPr>
          <w:ilvl w:val="0"/>
          <w:numId w:val="16"/>
        </w:numPr>
        <w:jc w:val="both"/>
        <w:rPr>
          <w:b/>
          <w:bCs/>
        </w:rPr>
      </w:pPr>
      <w:r>
        <w:rPr>
          <w:b/>
          <w:bCs/>
        </w:rPr>
        <w:t xml:space="preserve">Business sponsor: </w:t>
      </w:r>
      <w:r w:rsidR="002835D7" w:rsidRPr="002835D7">
        <w:t>A</w:t>
      </w:r>
      <w:r w:rsidR="002835D7">
        <w:t xml:space="preserve"> participating b</w:t>
      </w:r>
      <w:r>
        <w:t>usiness must be approved as a Standard Business Sponsor</w:t>
      </w:r>
      <w:r w:rsidR="00FE35AC">
        <w:t xml:space="preserve"> and enter into its own MILA agreement with DHA</w:t>
      </w:r>
      <w:r>
        <w:t xml:space="preserve">. </w:t>
      </w:r>
    </w:p>
    <w:p w14:paraId="2B873999" w14:textId="77777777" w:rsidR="000E1960" w:rsidRPr="00257732" w:rsidRDefault="000E1960" w:rsidP="000E1960">
      <w:pPr>
        <w:pStyle w:val="ListParagraph"/>
        <w:numPr>
          <w:ilvl w:val="0"/>
          <w:numId w:val="16"/>
        </w:numPr>
        <w:jc w:val="both"/>
      </w:pPr>
      <w:r>
        <w:rPr>
          <w:b/>
          <w:bCs/>
        </w:rPr>
        <w:t xml:space="preserve">Labour market testing: </w:t>
      </w:r>
      <w:r>
        <w:t>Must be carried out by employer.</w:t>
      </w:r>
    </w:p>
    <w:p w14:paraId="7DB971A1" w14:textId="7B68216B" w:rsidR="000E1960" w:rsidRPr="00257732" w:rsidRDefault="000E1960" w:rsidP="000E1960">
      <w:pPr>
        <w:pStyle w:val="ListParagraph"/>
        <w:numPr>
          <w:ilvl w:val="0"/>
          <w:numId w:val="16"/>
        </w:numPr>
        <w:jc w:val="both"/>
      </w:pPr>
      <w:r w:rsidRPr="0047349B">
        <w:rPr>
          <w:b/>
          <w:bCs/>
        </w:rPr>
        <w:t xml:space="preserve">TSS processing time </w:t>
      </w:r>
      <w:r w:rsidRPr="00920F60">
        <w:rPr>
          <w:bCs/>
        </w:rPr>
        <w:t>(</w:t>
      </w:r>
      <w:hyperlink r:id="rId22" w:history="1">
        <w:r w:rsidRPr="00920F60">
          <w:rPr>
            <w:rStyle w:val="Hyperlink"/>
            <w:bCs/>
          </w:rPr>
          <w:t>labour agreement stream</w:t>
        </w:r>
      </w:hyperlink>
      <w:r w:rsidRPr="00920F60">
        <w:rPr>
          <w:bCs/>
        </w:rPr>
        <w:t>)</w:t>
      </w:r>
      <w:r w:rsidRPr="007E38E2">
        <w:rPr>
          <w:b/>
          <w:bCs/>
        </w:rPr>
        <w:t xml:space="preserve">: </w:t>
      </w:r>
      <w:r w:rsidRPr="00257732">
        <w:t xml:space="preserve">75% of applications processed in </w:t>
      </w:r>
      <w:r w:rsidR="002835D7">
        <w:t>six</w:t>
      </w:r>
      <w:r w:rsidR="002835D7" w:rsidRPr="00257732">
        <w:t xml:space="preserve"> </w:t>
      </w:r>
      <w:r w:rsidRPr="00257732">
        <w:t xml:space="preserve">months, with 90% of applications in 11 months. </w:t>
      </w:r>
    </w:p>
    <w:p w14:paraId="4E491F87" w14:textId="2AFFB1DD" w:rsidR="000E1960" w:rsidRPr="00CC56B6" w:rsidRDefault="000E1960" w:rsidP="000E1960">
      <w:pPr>
        <w:pStyle w:val="ListParagraph"/>
        <w:numPr>
          <w:ilvl w:val="0"/>
          <w:numId w:val="16"/>
        </w:numPr>
        <w:jc w:val="both"/>
        <w:rPr>
          <w:b/>
          <w:bCs/>
        </w:rPr>
      </w:pPr>
      <w:r>
        <w:rPr>
          <w:b/>
          <w:bCs/>
        </w:rPr>
        <w:t xml:space="preserve">Minimum income requirement (TSMIT): </w:t>
      </w:r>
      <w:r>
        <w:t xml:space="preserve">Currently $53,900 plus super. Some PLS employees performing work as skilled meat workers are already paid this, and since skilled meat workers already hired under TSS, employers are willing to pay this amount. A 10% concession </w:t>
      </w:r>
      <w:r w:rsidR="006D5692">
        <w:t xml:space="preserve">is </w:t>
      </w:r>
      <w:r>
        <w:t>available in regional areas.</w:t>
      </w:r>
    </w:p>
    <w:p w14:paraId="664B6990" w14:textId="77777777" w:rsidR="000E1960" w:rsidRPr="0081237F" w:rsidRDefault="000E1960" w:rsidP="0081237F">
      <w:pPr>
        <w:rPr>
          <w:b/>
          <w:bCs/>
        </w:rPr>
      </w:pPr>
      <w:r w:rsidRPr="0081237F">
        <w:rPr>
          <w:b/>
          <w:bCs/>
        </w:rPr>
        <w:t>(e) DAMA concessions</w:t>
      </w:r>
    </w:p>
    <w:p w14:paraId="761DAC40" w14:textId="0F05F585" w:rsidR="000E1960" w:rsidRDefault="000E1960" w:rsidP="000E1960">
      <w:pPr>
        <w:jc w:val="both"/>
      </w:pPr>
      <w:r w:rsidRPr="007257DF">
        <w:t>Four DAMAs include meat workers with concessions for TSS visas</w:t>
      </w:r>
      <w:r>
        <w:t>. These are: t</w:t>
      </w:r>
      <w:r w:rsidRPr="007257DF">
        <w:t xml:space="preserve">he Goldfields WA </w:t>
      </w:r>
      <w:r>
        <w:t xml:space="preserve">DAMA (covering the area surrounding Kalgoorlie), the </w:t>
      </w:r>
      <w:r w:rsidR="00737C66">
        <w:t>Orana</w:t>
      </w:r>
      <w:r w:rsidR="00737C66" w:rsidRPr="007257DF">
        <w:t xml:space="preserve"> </w:t>
      </w:r>
      <w:r>
        <w:t xml:space="preserve">(north-central </w:t>
      </w:r>
      <w:r w:rsidRPr="007257DF">
        <w:t>NSW</w:t>
      </w:r>
      <w:r>
        <w:t xml:space="preserve">) DAMA, the Great South </w:t>
      </w:r>
      <w:r>
        <w:lastRenderedPageBreak/>
        <w:t xml:space="preserve">Coast (south-west Victoria) DAMA and the South Australia Regional Workforce Agreement. These DAMAs include a range of meat worker occupations </w:t>
      </w:r>
      <w:r w:rsidRPr="007257DF">
        <w:t>with reduced qualification and work experience requirements. See the table at the end of this document for details.</w:t>
      </w:r>
      <w:r>
        <w:rPr>
          <w:b/>
          <w:bCs/>
        </w:rPr>
        <w:t xml:space="preserve"> </w:t>
      </w:r>
      <w:r w:rsidRPr="00DF0842">
        <w:t>DAMA</w:t>
      </w:r>
      <w:r>
        <w:t xml:space="preserve">s have additional costs in terms of payment to the regional sponsor. With the </w:t>
      </w:r>
      <w:r w:rsidR="00D641D9">
        <w:t xml:space="preserve">recent </w:t>
      </w:r>
      <w:r>
        <w:t xml:space="preserve">reforms to the MILA, the DAMA concessions </w:t>
      </w:r>
      <w:r w:rsidR="00184F71">
        <w:t>may</w:t>
      </w:r>
      <w:r>
        <w:t xml:space="preserve"> not be as important. </w:t>
      </w:r>
    </w:p>
    <w:p w14:paraId="6B660583" w14:textId="78880F49" w:rsidR="000E1960" w:rsidRPr="0081237F" w:rsidRDefault="000E1960" w:rsidP="0081237F">
      <w:pPr>
        <w:rPr>
          <w:b/>
          <w:bCs/>
        </w:rPr>
      </w:pPr>
      <w:bookmarkStart w:id="30" w:name="_Toc85395304"/>
      <w:r w:rsidRPr="0081237F">
        <w:rPr>
          <w:b/>
          <w:bCs/>
        </w:rPr>
        <w:t>(f) Pathway to permanency</w:t>
      </w:r>
      <w:bookmarkEnd w:id="30"/>
    </w:p>
    <w:p w14:paraId="43EE72F1" w14:textId="537D5E69" w:rsidR="000E1960" w:rsidRPr="001C0BE9" w:rsidRDefault="000E1960" w:rsidP="000E1960">
      <w:pPr>
        <w:jc w:val="both"/>
      </w:pPr>
      <w:r>
        <w:t xml:space="preserve">The MILA allows TSS workers to transition after three years to an </w:t>
      </w:r>
      <w:hyperlink r:id="rId23" w:history="1">
        <w:r w:rsidRPr="007013D0">
          <w:rPr>
            <w:rStyle w:val="Hyperlink"/>
          </w:rPr>
          <w:t>Employer Nomination Scheme (186)</w:t>
        </w:r>
      </w:hyperlink>
      <w:r>
        <w:t xml:space="preserve"> permanent resident visa.</w:t>
      </w:r>
      <w:r w:rsidR="0092621A">
        <w:rPr>
          <w:rStyle w:val="FootnoteReference"/>
        </w:rPr>
        <w:footnoteReference w:id="16"/>
      </w:r>
    </w:p>
    <w:p w14:paraId="2DBC673C" w14:textId="4A2D4FDD" w:rsidR="000E1960" w:rsidRPr="0081237F" w:rsidRDefault="000E1960" w:rsidP="0081237F">
      <w:pPr>
        <w:rPr>
          <w:b/>
          <w:bCs/>
        </w:rPr>
      </w:pPr>
      <w:bookmarkStart w:id="31" w:name="_Toc85395305"/>
      <w:r w:rsidRPr="0081237F">
        <w:rPr>
          <w:b/>
          <w:bCs/>
        </w:rPr>
        <w:t xml:space="preserve">(g) Issues </w:t>
      </w:r>
      <w:bookmarkEnd w:id="31"/>
    </w:p>
    <w:p w14:paraId="2FD140EA" w14:textId="41646579" w:rsidR="000E1960" w:rsidRDefault="000E1960" w:rsidP="000E1960">
      <w:pPr>
        <w:pStyle w:val="ListParagraph"/>
        <w:numPr>
          <w:ilvl w:val="0"/>
          <w:numId w:val="17"/>
        </w:numPr>
        <w:jc w:val="both"/>
      </w:pPr>
      <w:r w:rsidRPr="00C018E8">
        <w:rPr>
          <w:b/>
          <w:bCs/>
        </w:rPr>
        <w:t>Labour hire companies</w:t>
      </w:r>
      <w:r w:rsidR="00737C66">
        <w:rPr>
          <w:b/>
          <w:bCs/>
        </w:rPr>
        <w:t>:</w:t>
      </w:r>
      <w:r>
        <w:t xml:space="preserve"> </w:t>
      </w:r>
      <w:r w:rsidRPr="00BD453D">
        <w:t>Most</w:t>
      </w:r>
      <w:r w:rsidRPr="00C018E8">
        <w:rPr>
          <w:b/>
          <w:bCs/>
        </w:rPr>
        <w:t xml:space="preserve"> </w:t>
      </w:r>
      <w:r w:rsidRPr="00BD453D">
        <w:t>PLS w</w:t>
      </w:r>
      <w:r>
        <w:t>orkers are hired by labour hire companies, but labour hire companies under the MILA are not eligible to be a sponsoring employer for the TSS.</w:t>
      </w:r>
      <w:r>
        <w:rPr>
          <w:rStyle w:val="FootnoteReference"/>
        </w:rPr>
        <w:footnoteReference w:id="17"/>
      </w:r>
      <w:r>
        <w:t xml:space="preserve"> Labour hire companies and meat-processing</w:t>
      </w:r>
      <w:r w:rsidR="00357CF9">
        <w:t xml:space="preserve"> plant</w:t>
      </w:r>
      <w:r>
        <w:t xml:space="preserve"> owners/managers would need to </w:t>
      </w:r>
      <w:proofErr w:type="gramStart"/>
      <w:r>
        <w:t>make arrangements</w:t>
      </w:r>
      <w:proofErr w:type="gramEnd"/>
      <w:r>
        <w:t xml:space="preserve"> for the transition of </w:t>
      </w:r>
      <w:r w:rsidR="00184F71">
        <w:t xml:space="preserve">PLS </w:t>
      </w:r>
      <w:r>
        <w:t xml:space="preserve">workers to direct employment by the TSS sponsoring employer. </w:t>
      </w:r>
    </w:p>
    <w:p w14:paraId="09B41BDD" w14:textId="77777777" w:rsidR="000E1960" w:rsidRPr="007B3758" w:rsidRDefault="000E1960" w:rsidP="000E1960">
      <w:pPr>
        <w:pStyle w:val="ListParagraph"/>
        <w:numPr>
          <w:ilvl w:val="0"/>
          <w:numId w:val="17"/>
        </w:numPr>
        <w:jc w:val="both"/>
        <w:rPr>
          <w:b/>
          <w:bCs/>
        </w:rPr>
      </w:pPr>
      <w:r>
        <w:rPr>
          <w:b/>
          <w:bCs/>
        </w:rPr>
        <w:t xml:space="preserve">Worker agency: </w:t>
      </w:r>
      <w:r>
        <w:t xml:space="preserve">Workers can express interest in staying, and in taking a more skilled role. They can work on their English as required. But only employers can provide the experience, </w:t>
      </w:r>
      <w:proofErr w:type="gramStart"/>
      <w:r>
        <w:t>training</w:t>
      </w:r>
      <w:proofErr w:type="gramEnd"/>
      <w:r>
        <w:t xml:space="preserve"> and skills assessment they need.</w:t>
      </w:r>
    </w:p>
    <w:p w14:paraId="5D9DB25E" w14:textId="0B50D727" w:rsidR="000E1960" w:rsidRDefault="000E1960" w:rsidP="000E1960">
      <w:pPr>
        <w:pStyle w:val="ListParagraph"/>
        <w:numPr>
          <w:ilvl w:val="0"/>
          <w:numId w:val="17"/>
        </w:numPr>
        <w:jc w:val="both"/>
        <w:rPr>
          <w:b/>
          <w:bCs/>
        </w:rPr>
      </w:pPr>
      <w:r w:rsidRPr="007B3758">
        <w:rPr>
          <w:b/>
          <w:bCs/>
        </w:rPr>
        <w:t>Training</w:t>
      </w:r>
      <w:r w:rsidR="00737C66">
        <w:t>:</w:t>
      </w:r>
      <w:r>
        <w:t xml:space="preserve"> TSS does not require a Cert</w:t>
      </w:r>
      <w:r w:rsidR="00737C66">
        <w:t>ificate</w:t>
      </w:r>
      <w:r>
        <w:t xml:space="preserve"> III, but workers need to demonstrate competencies at that level. As the competencies are in a range of areas, the training/testing may take two years. </w:t>
      </w:r>
      <w:r w:rsidR="00184F71">
        <w:t xml:space="preserve">Available </w:t>
      </w:r>
      <w:r>
        <w:t xml:space="preserve">DFAT subsidies </w:t>
      </w:r>
      <w:r w:rsidR="00184F71">
        <w:t>could</w:t>
      </w:r>
      <w:r>
        <w:t xml:space="preserve"> be used for training. </w:t>
      </w:r>
      <w:proofErr w:type="gramStart"/>
      <w:r>
        <w:t>Otherwise</w:t>
      </w:r>
      <w:proofErr w:type="gramEnd"/>
      <w:r>
        <w:t xml:space="preserve"> employers would have to foot this bill, or cost-share with interested workers.</w:t>
      </w:r>
    </w:p>
    <w:p w14:paraId="05D0AC20" w14:textId="0767727F" w:rsidR="000E1960" w:rsidRPr="007B3758" w:rsidRDefault="000E1960" w:rsidP="000E1960">
      <w:pPr>
        <w:pStyle w:val="ListParagraph"/>
        <w:numPr>
          <w:ilvl w:val="0"/>
          <w:numId w:val="17"/>
        </w:numPr>
        <w:jc w:val="both"/>
        <w:rPr>
          <w:b/>
          <w:bCs/>
        </w:rPr>
      </w:pPr>
      <w:r w:rsidRPr="007B3758">
        <w:rPr>
          <w:b/>
          <w:bCs/>
        </w:rPr>
        <w:t>English</w:t>
      </w:r>
      <w:r>
        <w:rPr>
          <w:b/>
          <w:bCs/>
        </w:rPr>
        <w:t xml:space="preserve">: </w:t>
      </w:r>
      <w:r>
        <w:t>It remains to be seen how hard the English test barrier is to surmount.</w:t>
      </w:r>
    </w:p>
    <w:p w14:paraId="3167F149" w14:textId="396A5FBF" w:rsidR="000E1960" w:rsidRPr="00C7688A" w:rsidRDefault="000E1960" w:rsidP="000E1960">
      <w:pPr>
        <w:pStyle w:val="ListParagraph"/>
        <w:numPr>
          <w:ilvl w:val="0"/>
          <w:numId w:val="17"/>
        </w:numPr>
        <w:jc w:val="both"/>
        <w:rPr>
          <w:b/>
          <w:bCs/>
        </w:rPr>
      </w:pPr>
      <w:r>
        <w:rPr>
          <w:b/>
          <w:bCs/>
        </w:rPr>
        <w:t>Promotion</w:t>
      </w:r>
      <w:r w:rsidR="00737C66">
        <w:rPr>
          <w:b/>
          <w:bCs/>
        </w:rPr>
        <w:t>:</w:t>
      </w:r>
      <w:r>
        <w:rPr>
          <w:b/>
          <w:bCs/>
        </w:rPr>
        <w:t xml:space="preserve"> </w:t>
      </w:r>
      <w:r w:rsidR="00B53E9A">
        <w:t>I</w:t>
      </w:r>
      <w:r>
        <w:t xml:space="preserve">nformation </w:t>
      </w:r>
      <w:r w:rsidR="00B53E9A">
        <w:t xml:space="preserve">about this pathway should </w:t>
      </w:r>
      <w:r>
        <w:t>be made available to both employers and workers so that they can plan accordingly.</w:t>
      </w:r>
    </w:p>
    <w:p w14:paraId="50B50992" w14:textId="29C896B8" w:rsidR="000E1960" w:rsidRDefault="000E1960" w:rsidP="000E1960">
      <w:pPr>
        <w:pStyle w:val="ListParagraph"/>
        <w:numPr>
          <w:ilvl w:val="0"/>
          <w:numId w:val="17"/>
        </w:numPr>
        <w:jc w:val="both"/>
        <w:sectPr w:rsidR="000E1960" w:rsidSect="001A5253">
          <w:type w:val="continuous"/>
          <w:pgSz w:w="11906" w:h="16838"/>
          <w:pgMar w:top="1440" w:right="1440" w:bottom="1440" w:left="1440" w:header="708" w:footer="708" w:gutter="0"/>
          <w:pgNumType w:start="1"/>
          <w:cols w:space="708"/>
          <w:docGrid w:linePitch="360"/>
        </w:sectPr>
      </w:pPr>
      <w:bookmarkStart w:id="32" w:name="_Hlk85190268"/>
      <w:r w:rsidRPr="009E230D">
        <w:rPr>
          <w:b/>
          <w:bCs/>
        </w:rPr>
        <w:t>Transition</w:t>
      </w:r>
      <w:r>
        <w:rPr>
          <w:b/>
          <w:bCs/>
        </w:rPr>
        <w:t xml:space="preserve">: </w:t>
      </w:r>
      <w:r w:rsidRPr="0086652B">
        <w:t>There is</w:t>
      </w:r>
      <w:r>
        <w:rPr>
          <w:b/>
          <w:bCs/>
        </w:rPr>
        <w:t xml:space="preserve"> </w:t>
      </w:r>
      <w:r>
        <w:t xml:space="preserve">no bar </w:t>
      </w:r>
      <w:r w:rsidR="00357CF9">
        <w:t xml:space="preserve">to </w:t>
      </w:r>
      <w:r>
        <w:t xml:space="preserve">workers in Australia on the PLS applying for and being sponsored for a TSS visa. Workers do not have to return home to apply. TSS workers need health insurance, but PLS workers already have that. If workers </w:t>
      </w:r>
      <w:proofErr w:type="gramStart"/>
      <w:r>
        <w:t>have to</w:t>
      </w:r>
      <w:proofErr w:type="gramEnd"/>
      <w:r>
        <w:t xml:space="preserve"> move from one geographical area to another, </w:t>
      </w:r>
      <w:r w:rsidR="00184F71">
        <w:t xml:space="preserve">the challenge would be greater. But most </w:t>
      </w:r>
      <w:r>
        <w:t xml:space="preserve">workers </w:t>
      </w:r>
      <w:r w:rsidR="00184F71">
        <w:t xml:space="preserve">would be </w:t>
      </w:r>
      <w:r>
        <w:t>staying at the same plant</w:t>
      </w:r>
      <w:r w:rsidR="00184F71">
        <w:t>;</w:t>
      </w:r>
      <w:r>
        <w:t xml:space="preserve"> the biggest change </w:t>
      </w:r>
      <w:r w:rsidR="00184F71">
        <w:t xml:space="preserve">for them </w:t>
      </w:r>
      <w:r>
        <w:t>would be that they could be joined by their family. Th</w:t>
      </w:r>
      <w:r w:rsidR="00184F71">
        <w:t>es</w:t>
      </w:r>
      <w:r>
        <w:t xml:space="preserve">e workers would have had four years of experience by then and would already </w:t>
      </w:r>
      <w:r w:rsidR="00B6693F">
        <w:t xml:space="preserve">be </w:t>
      </w:r>
      <w:r>
        <w:t xml:space="preserve">integrated into the local community. Spouses would most likely be able to find work at the meat-processing plant (if they wanted it). Workers on a TSS visa </w:t>
      </w:r>
      <w:hyperlink r:id="rId24" w:history="1">
        <w:r w:rsidRPr="004A67C0">
          <w:rPr>
            <w:rStyle w:val="Hyperlink"/>
          </w:rPr>
          <w:t>may be required to pay school fees</w:t>
        </w:r>
      </w:hyperlink>
      <w:r>
        <w:t xml:space="preserve">, depending on the state or territory they </w:t>
      </w:r>
      <w:r w:rsidR="00357CF9">
        <w:t xml:space="preserve">are </w:t>
      </w:r>
      <w:r>
        <w:t>resident in (no fees in Victoria, Queensland, NT and Tasmania).</w:t>
      </w:r>
    </w:p>
    <w:bookmarkEnd w:id="32"/>
    <w:p w14:paraId="4203DCDF" w14:textId="328CE045" w:rsidR="005667B1" w:rsidRPr="005667B1" w:rsidRDefault="005667B1" w:rsidP="005667B1">
      <w:pPr>
        <w:rPr>
          <w:b/>
          <w:bCs/>
          <w:sz w:val="28"/>
          <w:szCs w:val="28"/>
        </w:rPr>
      </w:pPr>
      <w:r w:rsidRPr="005667B1">
        <w:rPr>
          <w:b/>
          <w:bCs/>
          <w:sz w:val="28"/>
          <w:szCs w:val="28"/>
        </w:rPr>
        <w:lastRenderedPageBreak/>
        <w:t xml:space="preserve">Summary of DAMA </w:t>
      </w:r>
      <w:r w:rsidR="009F0019">
        <w:rPr>
          <w:b/>
          <w:bCs/>
          <w:sz w:val="28"/>
          <w:szCs w:val="28"/>
        </w:rPr>
        <w:t xml:space="preserve">(Designated Area Migration Agreement) </w:t>
      </w:r>
      <w:r w:rsidRPr="005667B1">
        <w:rPr>
          <w:b/>
          <w:bCs/>
          <w:sz w:val="28"/>
          <w:szCs w:val="28"/>
        </w:rPr>
        <w:t xml:space="preserve">provision relating to meat workers </w:t>
      </w:r>
    </w:p>
    <w:p w14:paraId="293D204B" w14:textId="1D5E35AD" w:rsidR="005667B1" w:rsidRDefault="005667B1" w:rsidP="005667B1">
      <w:pPr>
        <w:rPr>
          <w:b/>
          <w:bCs/>
        </w:rPr>
      </w:pPr>
      <w:r w:rsidRPr="00D3013C">
        <w:rPr>
          <w:b/>
          <w:bCs/>
        </w:rPr>
        <w:t>Orana Regional (NSW) and Goldfields (WA)</w:t>
      </w:r>
    </w:p>
    <w:tbl>
      <w:tblPr>
        <w:tblStyle w:val="TableGrid"/>
        <w:tblW w:w="0" w:type="auto"/>
        <w:tblLook w:val="04A0" w:firstRow="1" w:lastRow="0" w:firstColumn="1" w:lastColumn="0" w:noHBand="0" w:noVBand="1"/>
      </w:tblPr>
      <w:tblGrid>
        <w:gridCol w:w="1129"/>
        <w:gridCol w:w="1276"/>
        <w:gridCol w:w="4357"/>
        <w:gridCol w:w="2254"/>
      </w:tblGrid>
      <w:tr w:rsidR="00DC6D2F" w14:paraId="3FBFFCA8" w14:textId="77777777" w:rsidTr="0070016A">
        <w:tc>
          <w:tcPr>
            <w:tcW w:w="1129" w:type="dxa"/>
            <w:shd w:val="clear" w:color="auto" w:fill="FFC000" w:themeFill="accent4"/>
          </w:tcPr>
          <w:p w14:paraId="41FC5500" w14:textId="00259FAC" w:rsidR="00DC6D2F" w:rsidRPr="0070016A" w:rsidRDefault="00DC6D2F" w:rsidP="00DC6D2F">
            <w:pPr>
              <w:rPr>
                <w:b/>
                <w:bCs/>
              </w:rPr>
            </w:pPr>
            <w:r w:rsidRPr="0070016A">
              <w:rPr>
                <w:b/>
                <w:bCs/>
                <w:sz w:val="20"/>
                <w:szCs w:val="20"/>
              </w:rPr>
              <w:t xml:space="preserve">ANZSCO </w:t>
            </w:r>
          </w:p>
        </w:tc>
        <w:tc>
          <w:tcPr>
            <w:tcW w:w="1276" w:type="dxa"/>
            <w:shd w:val="clear" w:color="auto" w:fill="FFC000" w:themeFill="accent4"/>
          </w:tcPr>
          <w:p w14:paraId="0855C1D0" w14:textId="3E6B4654" w:rsidR="00DC6D2F" w:rsidRPr="0070016A" w:rsidRDefault="00DC6D2F" w:rsidP="00DC6D2F">
            <w:pPr>
              <w:rPr>
                <w:b/>
                <w:bCs/>
              </w:rPr>
            </w:pPr>
            <w:r w:rsidRPr="0070016A">
              <w:rPr>
                <w:b/>
                <w:bCs/>
                <w:sz w:val="20"/>
                <w:szCs w:val="20"/>
              </w:rPr>
              <w:t xml:space="preserve">Skill Level </w:t>
            </w:r>
          </w:p>
        </w:tc>
        <w:tc>
          <w:tcPr>
            <w:tcW w:w="4357" w:type="dxa"/>
            <w:shd w:val="clear" w:color="auto" w:fill="FFC000" w:themeFill="accent4"/>
          </w:tcPr>
          <w:p w14:paraId="5CF8EFC0" w14:textId="3475CAE0" w:rsidR="00DC6D2F" w:rsidRPr="0070016A" w:rsidRDefault="00DC6D2F" w:rsidP="00DC6D2F">
            <w:pPr>
              <w:rPr>
                <w:b/>
                <w:bCs/>
              </w:rPr>
            </w:pPr>
            <w:r w:rsidRPr="0070016A">
              <w:rPr>
                <w:b/>
                <w:bCs/>
                <w:sz w:val="20"/>
                <w:szCs w:val="20"/>
              </w:rPr>
              <w:t xml:space="preserve">Occupation </w:t>
            </w:r>
          </w:p>
        </w:tc>
        <w:tc>
          <w:tcPr>
            <w:tcW w:w="2254" w:type="dxa"/>
            <w:shd w:val="clear" w:color="auto" w:fill="FFC000" w:themeFill="accent4"/>
          </w:tcPr>
          <w:p w14:paraId="55127283" w14:textId="25F4CABE" w:rsidR="00DC6D2F" w:rsidRPr="0070016A" w:rsidRDefault="00DC6D2F" w:rsidP="00DC6D2F">
            <w:pPr>
              <w:rPr>
                <w:b/>
                <w:bCs/>
              </w:rPr>
            </w:pPr>
            <w:r w:rsidRPr="0070016A">
              <w:rPr>
                <w:b/>
                <w:bCs/>
                <w:sz w:val="20"/>
                <w:szCs w:val="20"/>
              </w:rPr>
              <w:t xml:space="preserve">TSMIT Concession </w:t>
            </w:r>
          </w:p>
        </w:tc>
      </w:tr>
      <w:tr w:rsidR="00DC6D2F" w14:paraId="79E85D07" w14:textId="77777777" w:rsidTr="00384598">
        <w:tc>
          <w:tcPr>
            <w:tcW w:w="1129" w:type="dxa"/>
          </w:tcPr>
          <w:p w14:paraId="5AD09872" w14:textId="4BC21EDB" w:rsidR="00DC6D2F" w:rsidRDefault="00DC6D2F" w:rsidP="00DC6D2F">
            <w:pPr>
              <w:rPr>
                <w:b/>
                <w:bCs/>
              </w:rPr>
            </w:pPr>
            <w:r w:rsidRPr="0041070B">
              <w:rPr>
                <w:rFonts w:ascii="Calibri" w:eastAsia="Times New Roman" w:hAnsi="Calibri" w:cs="Calibri"/>
                <w:color w:val="000000"/>
                <w:sz w:val="20"/>
                <w:szCs w:val="20"/>
                <w:lang w:eastAsia="en-AU"/>
              </w:rPr>
              <w:t>831211</w:t>
            </w:r>
          </w:p>
        </w:tc>
        <w:tc>
          <w:tcPr>
            <w:tcW w:w="1276" w:type="dxa"/>
          </w:tcPr>
          <w:p w14:paraId="0F7546BA" w14:textId="71268688" w:rsidR="00DC6D2F" w:rsidRDefault="00DC6D2F" w:rsidP="00DC6D2F">
            <w:pPr>
              <w:rPr>
                <w:b/>
                <w:bCs/>
              </w:rPr>
            </w:pPr>
            <w:r w:rsidRPr="0041070B">
              <w:rPr>
                <w:sz w:val="20"/>
                <w:szCs w:val="20"/>
              </w:rPr>
              <w:t>4</w:t>
            </w:r>
          </w:p>
        </w:tc>
        <w:tc>
          <w:tcPr>
            <w:tcW w:w="4357" w:type="dxa"/>
          </w:tcPr>
          <w:p w14:paraId="212703F8" w14:textId="6E03FA7A" w:rsidR="00DC6D2F" w:rsidRDefault="00DC6D2F" w:rsidP="00DC6D2F">
            <w:pPr>
              <w:rPr>
                <w:b/>
                <w:bCs/>
              </w:rPr>
            </w:pPr>
            <w:r w:rsidRPr="0041070B">
              <w:rPr>
                <w:rFonts w:ascii="Calibri" w:eastAsia="Times New Roman" w:hAnsi="Calibri" w:cs="Calibri"/>
                <w:color w:val="000000"/>
                <w:sz w:val="20"/>
                <w:szCs w:val="20"/>
                <w:lang w:eastAsia="en-AU"/>
              </w:rPr>
              <w:t>Meat Boner and Slicer</w:t>
            </w:r>
          </w:p>
        </w:tc>
        <w:tc>
          <w:tcPr>
            <w:tcW w:w="2254" w:type="dxa"/>
          </w:tcPr>
          <w:p w14:paraId="70D015FC" w14:textId="29AD09E4" w:rsidR="00DC6D2F" w:rsidRDefault="00DC6D2F" w:rsidP="00DC6D2F">
            <w:pPr>
              <w:rPr>
                <w:b/>
                <w:bCs/>
              </w:rPr>
            </w:pPr>
            <w:r w:rsidRPr="0041070B">
              <w:rPr>
                <w:sz w:val="20"/>
                <w:szCs w:val="20"/>
              </w:rPr>
              <w:t xml:space="preserve">No </w:t>
            </w:r>
          </w:p>
        </w:tc>
      </w:tr>
      <w:tr w:rsidR="00DC6D2F" w14:paraId="45C7C217" w14:textId="77777777" w:rsidTr="00384598">
        <w:tc>
          <w:tcPr>
            <w:tcW w:w="1129" w:type="dxa"/>
          </w:tcPr>
          <w:p w14:paraId="1D891019" w14:textId="6E613522" w:rsidR="00DC6D2F" w:rsidRDefault="00DC6D2F" w:rsidP="00DC6D2F">
            <w:pPr>
              <w:rPr>
                <w:b/>
                <w:bCs/>
              </w:rPr>
            </w:pPr>
            <w:r w:rsidRPr="0041070B">
              <w:rPr>
                <w:rFonts w:ascii="Calibri" w:eastAsia="Times New Roman" w:hAnsi="Calibri" w:cs="Calibri"/>
                <w:color w:val="000000"/>
                <w:sz w:val="20"/>
                <w:szCs w:val="20"/>
                <w:lang w:eastAsia="en-AU"/>
              </w:rPr>
              <w:t>831212</w:t>
            </w:r>
          </w:p>
        </w:tc>
        <w:tc>
          <w:tcPr>
            <w:tcW w:w="1276" w:type="dxa"/>
          </w:tcPr>
          <w:p w14:paraId="2E3B5AD6" w14:textId="22405A3B" w:rsidR="00DC6D2F" w:rsidRDefault="00DC6D2F" w:rsidP="00DC6D2F">
            <w:pPr>
              <w:rPr>
                <w:b/>
                <w:bCs/>
              </w:rPr>
            </w:pPr>
            <w:r w:rsidRPr="0041070B">
              <w:rPr>
                <w:sz w:val="20"/>
                <w:szCs w:val="20"/>
              </w:rPr>
              <w:t>4</w:t>
            </w:r>
          </w:p>
        </w:tc>
        <w:tc>
          <w:tcPr>
            <w:tcW w:w="4357" w:type="dxa"/>
          </w:tcPr>
          <w:p w14:paraId="36188FB8" w14:textId="19D24D19" w:rsidR="00DC6D2F" w:rsidRDefault="00DC6D2F" w:rsidP="00DC6D2F">
            <w:pPr>
              <w:rPr>
                <w:b/>
                <w:bCs/>
              </w:rPr>
            </w:pPr>
            <w:r w:rsidRPr="0041070B">
              <w:rPr>
                <w:rFonts w:ascii="Calibri" w:eastAsia="Times New Roman" w:hAnsi="Calibri" w:cs="Calibri"/>
                <w:color w:val="000000"/>
                <w:sz w:val="20"/>
                <w:szCs w:val="20"/>
                <w:lang w:eastAsia="en-AU"/>
              </w:rPr>
              <w:t>Slaughterer</w:t>
            </w:r>
          </w:p>
        </w:tc>
        <w:tc>
          <w:tcPr>
            <w:tcW w:w="2254" w:type="dxa"/>
          </w:tcPr>
          <w:p w14:paraId="674E66B9" w14:textId="33E46C62" w:rsidR="00DC6D2F" w:rsidRDefault="00DC6D2F" w:rsidP="00DC6D2F">
            <w:pPr>
              <w:rPr>
                <w:b/>
                <w:bCs/>
              </w:rPr>
            </w:pPr>
            <w:r w:rsidRPr="0041070B">
              <w:rPr>
                <w:sz w:val="20"/>
                <w:szCs w:val="20"/>
              </w:rPr>
              <w:t xml:space="preserve">No </w:t>
            </w:r>
          </w:p>
        </w:tc>
      </w:tr>
    </w:tbl>
    <w:p w14:paraId="32D269D9" w14:textId="15D4029B" w:rsidR="005667B1" w:rsidRDefault="005667B1" w:rsidP="005667B1">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 xml:space="preserve">Required qualifications and work experience: </w:t>
      </w:r>
      <w:r w:rsidRPr="005667B1">
        <w:rPr>
          <w:rFonts w:ascii="Calibri" w:eastAsia="Times New Roman" w:hAnsi="Calibri" w:cs="Calibri"/>
          <w:color w:val="000000"/>
          <w:lang w:eastAsia="en-AU"/>
        </w:rPr>
        <w:t xml:space="preserve">Have at least a relevant </w:t>
      </w:r>
      <w:r w:rsidR="00CC7335">
        <w:rPr>
          <w:rFonts w:ascii="Calibri" w:eastAsia="Times New Roman" w:hAnsi="Calibri" w:cs="Calibri"/>
          <w:color w:val="000000"/>
          <w:lang w:eastAsia="en-AU"/>
        </w:rPr>
        <w:t>Australian Qualification Framework</w:t>
      </w:r>
      <w:r w:rsidR="00DF61B7">
        <w:rPr>
          <w:rFonts w:ascii="Calibri" w:eastAsia="Times New Roman" w:hAnsi="Calibri" w:cs="Calibri"/>
          <w:color w:val="000000"/>
          <w:lang w:eastAsia="en-AU"/>
        </w:rPr>
        <w:t xml:space="preserve"> (AQF)</w:t>
      </w:r>
      <w:r w:rsidRPr="005667B1">
        <w:rPr>
          <w:rFonts w:ascii="Calibri" w:eastAsia="Times New Roman" w:hAnsi="Calibri" w:cs="Calibri"/>
          <w:color w:val="000000"/>
          <w:lang w:eastAsia="en-AU"/>
        </w:rPr>
        <w:t xml:space="preserve">Certificate II or equivalent or higher level qualification, and have at least one and a half (1.5) years (20+ hours per week – </w:t>
      </w:r>
      <w:proofErr w:type="spellStart"/>
      <w:r w:rsidRPr="005667B1">
        <w:rPr>
          <w:rFonts w:ascii="Calibri" w:eastAsia="Times New Roman" w:hAnsi="Calibri" w:cs="Calibri"/>
          <w:color w:val="000000"/>
          <w:lang w:eastAsia="en-AU"/>
        </w:rPr>
        <w:t>hpw</w:t>
      </w:r>
      <w:proofErr w:type="spellEnd"/>
      <w:r w:rsidRPr="005667B1">
        <w:rPr>
          <w:rFonts w:ascii="Calibri" w:eastAsia="Times New Roman" w:hAnsi="Calibri" w:cs="Calibri"/>
          <w:color w:val="000000"/>
          <w:lang w:eastAsia="en-AU"/>
        </w:rPr>
        <w:t xml:space="preserve">) relevant post qualification experience OR have at least a relevant AQF Certificate III or equivalent or higher level qualification and have at least one (1) year (20+ </w:t>
      </w:r>
      <w:proofErr w:type="spellStart"/>
      <w:r w:rsidRPr="005667B1">
        <w:rPr>
          <w:rFonts w:ascii="Calibri" w:eastAsia="Times New Roman" w:hAnsi="Calibri" w:cs="Calibri"/>
          <w:color w:val="000000"/>
          <w:lang w:eastAsia="en-AU"/>
        </w:rPr>
        <w:t>hpw</w:t>
      </w:r>
      <w:proofErr w:type="spellEnd"/>
      <w:r w:rsidRPr="005667B1">
        <w:rPr>
          <w:rFonts w:ascii="Calibri" w:eastAsia="Times New Roman" w:hAnsi="Calibri" w:cs="Calibri"/>
          <w:color w:val="000000"/>
          <w:lang w:eastAsia="en-AU"/>
        </w:rPr>
        <w:t xml:space="preserve">) relevant post qualification experience) OR have at least one (1) year (38+ </w:t>
      </w:r>
      <w:proofErr w:type="spellStart"/>
      <w:r w:rsidRPr="005667B1">
        <w:rPr>
          <w:rFonts w:ascii="Calibri" w:eastAsia="Times New Roman" w:hAnsi="Calibri" w:cs="Calibri"/>
          <w:color w:val="000000"/>
          <w:lang w:eastAsia="en-AU"/>
        </w:rPr>
        <w:t>hpw</w:t>
      </w:r>
      <w:proofErr w:type="spellEnd"/>
      <w:r w:rsidRPr="005667B1">
        <w:rPr>
          <w:rFonts w:ascii="Calibri" w:eastAsia="Times New Roman" w:hAnsi="Calibri" w:cs="Calibri"/>
          <w:color w:val="000000"/>
          <w:lang w:eastAsia="en-AU"/>
        </w:rPr>
        <w:t>) relevant experience</w:t>
      </w:r>
    </w:p>
    <w:p w14:paraId="7B5198DE" w14:textId="1D5D6F0D" w:rsidR="00D96571" w:rsidRDefault="00D96571" w:rsidP="00D96571">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 xml:space="preserve">English language </w:t>
      </w:r>
      <w:r w:rsidR="003E3201">
        <w:rPr>
          <w:rFonts w:ascii="Calibri" w:eastAsia="Times New Roman" w:hAnsi="Calibri" w:cs="Calibri"/>
          <w:b/>
          <w:bCs/>
          <w:color w:val="000000"/>
          <w:lang w:eastAsia="en-AU"/>
        </w:rPr>
        <w:t>requirement</w:t>
      </w:r>
      <w:r w:rsidRPr="00EC48B6">
        <w:rPr>
          <w:rFonts w:ascii="Calibri" w:eastAsia="Times New Roman" w:hAnsi="Calibri" w:cs="Calibri"/>
          <w:b/>
          <w:bCs/>
          <w:color w:val="000000"/>
          <w:lang w:eastAsia="en-AU"/>
        </w:rPr>
        <w:t>:</w:t>
      </w:r>
      <w:r>
        <w:rPr>
          <w:rFonts w:ascii="Calibri" w:eastAsia="Times New Roman" w:hAnsi="Calibri" w:cs="Calibri"/>
          <w:b/>
          <w:bCs/>
          <w:color w:val="000000"/>
          <w:lang w:eastAsia="en-AU"/>
        </w:rPr>
        <w:t xml:space="preserve"> </w:t>
      </w:r>
      <w:r w:rsidR="003E3201" w:rsidRPr="003E3201">
        <w:rPr>
          <w:rFonts w:ascii="Calibri" w:eastAsia="Times New Roman" w:hAnsi="Calibri" w:cs="Calibri"/>
          <w:color w:val="000000"/>
          <w:lang w:eastAsia="en-AU"/>
        </w:rPr>
        <w:t>IELTS 5.0 with no component less than 4.0 (or equivalent)</w:t>
      </w:r>
    </w:p>
    <w:p w14:paraId="496C7065" w14:textId="2479FA79" w:rsidR="005667B1" w:rsidRDefault="005667B1" w:rsidP="005667B1">
      <w:pPr>
        <w:rPr>
          <w:rFonts w:ascii="Calibri" w:eastAsia="Times New Roman" w:hAnsi="Calibri" w:cs="Calibri"/>
          <w:b/>
          <w:bCs/>
          <w:color w:val="000000"/>
          <w:lang w:eastAsia="en-AU"/>
        </w:rPr>
      </w:pPr>
      <w:r w:rsidRPr="00D3013C">
        <w:rPr>
          <w:rFonts w:ascii="Calibri" w:eastAsia="Times New Roman" w:hAnsi="Calibri" w:cs="Calibri"/>
          <w:b/>
          <w:bCs/>
          <w:color w:val="000000"/>
          <w:lang w:eastAsia="en-AU"/>
        </w:rPr>
        <w:t xml:space="preserve">Great South Coast (VIC) </w:t>
      </w:r>
    </w:p>
    <w:tbl>
      <w:tblPr>
        <w:tblStyle w:val="TableGrid"/>
        <w:tblW w:w="9016" w:type="dxa"/>
        <w:tblLook w:val="04A0" w:firstRow="1" w:lastRow="0" w:firstColumn="1" w:lastColumn="0" w:noHBand="0" w:noVBand="1"/>
      </w:tblPr>
      <w:tblGrid>
        <w:gridCol w:w="1129"/>
        <w:gridCol w:w="1276"/>
        <w:gridCol w:w="4357"/>
        <w:gridCol w:w="2254"/>
      </w:tblGrid>
      <w:tr w:rsidR="00384598" w:rsidRPr="0070016A" w14:paraId="562F0855" w14:textId="32B099CF" w:rsidTr="0070016A">
        <w:tc>
          <w:tcPr>
            <w:tcW w:w="1129" w:type="dxa"/>
            <w:shd w:val="clear" w:color="auto" w:fill="FFC000" w:themeFill="accent4"/>
          </w:tcPr>
          <w:p w14:paraId="524C4474" w14:textId="4DF280A1" w:rsidR="00384598" w:rsidRPr="0070016A" w:rsidRDefault="00384598" w:rsidP="00384598">
            <w:pPr>
              <w:rPr>
                <w:b/>
                <w:bCs/>
                <w:sz w:val="20"/>
                <w:szCs w:val="20"/>
              </w:rPr>
            </w:pPr>
            <w:r w:rsidRPr="0041070B">
              <w:rPr>
                <w:b/>
                <w:bCs/>
                <w:sz w:val="20"/>
                <w:szCs w:val="20"/>
              </w:rPr>
              <w:t xml:space="preserve">ANZSCO </w:t>
            </w:r>
          </w:p>
        </w:tc>
        <w:tc>
          <w:tcPr>
            <w:tcW w:w="1276" w:type="dxa"/>
            <w:shd w:val="clear" w:color="auto" w:fill="FFC000" w:themeFill="accent4"/>
          </w:tcPr>
          <w:p w14:paraId="52EAE5F0" w14:textId="6B3D795A" w:rsidR="00384598" w:rsidRPr="0070016A" w:rsidRDefault="00384598" w:rsidP="00384598">
            <w:pPr>
              <w:rPr>
                <w:b/>
                <w:bCs/>
                <w:sz w:val="20"/>
                <w:szCs w:val="20"/>
              </w:rPr>
            </w:pPr>
            <w:r w:rsidRPr="0041070B">
              <w:rPr>
                <w:b/>
                <w:bCs/>
                <w:sz w:val="20"/>
                <w:szCs w:val="20"/>
              </w:rPr>
              <w:t xml:space="preserve">Skill Level </w:t>
            </w:r>
          </w:p>
        </w:tc>
        <w:tc>
          <w:tcPr>
            <w:tcW w:w="4357" w:type="dxa"/>
            <w:shd w:val="clear" w:color="auto" w:fill="FFC000" w:themeFill="accent4"/>
          </w:tcPr>
          <w:p w14:paraId="18841330" w14:textId="30655BDF" w:rsidR="00384598" w:rsidRPr="0070016A" w:rsidRDefault="00384598" w:rsidP="00384598">
            <w:pPr>
              <w:rPr>
                <w:b/>
                <w:bCs/>
                <w:sz w:val="20"/>
                <w:szCs w:val="20"/>
              </w:rPr>
            </w:pPr>
            <w:r w:rsidRPr="0041070B">
              <w:rPr>
                <w:b/>
                <w:bCs/>
                <w:sz w:val="20"/>
                <w:szCs w:val="20"/>
              </w:rPr>
              <w:t xml:space="preserve">Occupation </w:t>
            </w:r>
          </w:p>
        </w:tc>
        <w:tc>
          <w:tcPr>
            <w:tcW w:w="2254" w:type="dxa"/>
            <w:shd w:val="clear" w:color="auto" w:fill="FFC000" w:themeFill="accent4"/>
          </w:tcPr>
          <w:p w14:paraId="1DE0DA9A" w14:textId="3B823C53" w:rsidR="00384598" w:rsidRPr="0070016A" w:rsidRDefault="00384598" w:rsidP="00384598">
            <w:pPr>
              <w:rPr>
                <w:b/>
                <w:bCs/>
                <w:sz w:val="20"/>
                <w:szCs w:val="20"/>
              </w:rPr>
            </w:pPr>
            <w:r w:rsidRPr="0041070B">
              <w:rPr>
                <w:b/>
                <w:bCs/>
                <w:sz w:val="20"/>
                <w:szCs w:val="20"/>
              </w:rPr>
              <w:t xml:space="preserve">TSMIT Concession </w:t>
            </w:r>
          </w:p>
        </w:tc>
      </w:tr>
      <w:tr w:rsidR="00384598" w14:paraId="2C77204C" w14:textId="77777777" w:rsidTr="00384598">
        <w:tc>
          <w:tcPr>
            <w:tcW w:w="1129" w:type="dxa"/>
          </w:tcPr>
          <w:p w14:paraId="5ED0A874" w14:textId="7B5EDD37"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831211</w:t>
            </w:r>
          </w:p>
        </w:tc>
        <w:tc>
          <w:tcPr>
            <w:tcW w:w="1276" w:type="dxa"/>
          </w:tcPr>
          <w:p w14:paraId="05DB5EE2" w14:textId="015984DD" w:rsidR="00384598" w:rsidRDefault="00384598" w:rsidP="00384598">
            <w:pPr>
              <w:rPr>
                <w:rFonts w:ascii="Calibri" w:eastAsia="Times New Roman" w:hAnsi="Calibri" w:cs="Calibri"/>
                <w:b/>
                <w:bCs/>
                <w:color w:val="000000"/>
                <w:lang w:eastAsia="en-AU"/>
              </w:rPr>
            </w:pPr>
            <w:r w:rsidRPr="0041070B">
              <w:rPr>
                <w:sz w:val="20"/>
                <w:szCs w:val="20"/>
              </w:rPr>
              <w:t>4</w:t>
            </w:r>
          </w:p>
        </w:tc>
        <w:tc>
          <w:tcPr>
            <w:tcW w:w="4357" w:type="dxa"/>
          </w:tcPr>
          <w:p w14:paraId="4BD3B76D" w14:textId="624ACBC1"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Meat Boner and Slicer</w:t>
            </w:r>
          </w:p>
        </w:tc>
        <w:tc>
          <w:tcPr>
            <w:tcW w:w="2254" w:type="dxa"/>
          </w:tcPr>
          <w:p w14:paraId="1430BAB3" w14:textId="6A77912A" w:rsidR="00384598" w:rsidRDefault="00384598" w:rsidP="00384598">
            <w:pPr>
              <w:rPr>
                <w:rFonts w:ascii="Calibri" w:eastAsia="Times New Roman" w:hAnsi="Calibri" w:cs="Calibri"/>
                <w:b/>
                <w:bCs/>
                <w:color w:val="000000"/>
                <w:lang w:eastAsia="en-AU"/>
              </w:rPr>
            </w:pPr>
            <w:r w:rsidRPr="0041070B">
              <w:rPr>
                <w:sz w:val="20"/>
                <w:szCs w:val="20"/>
              </w:rPr>
              <w:t>Yes</w:t>
            </w:r>
          </w:p>
        </w:tc>
      </w:tr>
      <w:tr w:rsidR="00384598" w14:paraId="51C90577" w14:textId="77777777" w:rsidTr="00384598">
        <w:tc>
          <w:tcPr>
            <w:tcW w:w="1129" w:type="dxa"/>
          </w:tcPr>
          <w:p w14:paraId="3E1BF897" w14:textId="0808ECB3"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831212</w:t>
            </w:r>
          </w:p>
        </w:tc>
        <w:tc>
          <w:tcPr>
            <w:tcW w:w="1276" w:type="dxa"/>
          </w:tcPr>
          <w:p w14:paraId="521C9D2F" w14:textId="596D4CD8" w:rsidR="00384598" w:rsidRDefault="00384598" w:rsidP="00384598">
            <w:pPr>
              <w:rPr>
                <w:rFonts w:ascii="Calibri" w:eastAsia="Times New Roman" w:hAnsi="Calibri" w:cs="Calibri"/>
                <w:b/>
                <w:bCs/>
                <w:color w:val="000000"/>
                <w:lang w:eastAsia="en-AU"/>
              </w:rPr>
            </w:pPr>
            <w:r w:rsidRPr="0041070B">
              <w:rPr>
                <w:sz w:val="20"/>
                <w:szCs w:val="20"/>
              </w:rPr>
              <w:t>4</w:t>
            </w:r>
          </w:p>
        </w:tc>
        <w:tc>
          <w:tcPr>
            <w:tcW w:w="4357" w:type="dxa"/>
          </w:tcPr>
          <w:p w14:paraId="2EC6F63B" w14:textId="5129CEB0"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Slaughterer</w:t>
            </w:r>
          </w:p>
        </w:tc>
        <w:tc>
          <w:tcPr>
            <w:tcW w:w="2254" w:type="dxa"/>
          </w:tcPr>
          <w:p w14:paraId="21E10D54" w14:textId="4BEB1612" w:rsidR="00384598" w:rsidRDefault="00384598" w:rsidP="00384598">
            <w:pPr>
              <w:rPr>
                <w:rFonts w:ascii="Calibri" w:eastAsia="Times New Roman" w:hAnsi="Calibri" w:cs="Calibri"/>
                <w:b/>
                <w:bCs/>
                <w:color w:val="000000"/>
                <w:lang w:eastAsia="en-AU"/>
              </w:rPr>
            </w:pPr>
            <w:r w:rsidRPr="0041070B">
              <w:rPr>
                <w:sz w:val="20"/>
                <w:szCs w:val="20"/>
              </w:rPr>
              <w:t>Yes</w:t>
            </w:r>
          </w:p>
        </w:tc>
      </w:tr>
      <w:tr w:rsidR="00384598" w14:paraId="03CAF664" w14:textId="77777777" w:rsidTr="00384598">
        <w:tc>
          <w:tcPr>
            <w:tcW w:w="1129" w:type="dxa"/>
          </w:tcPr>
          <w:p w14:paraId="0E78E212" w14:textId="14BA8C1B"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839312</w:t>
            </w:r>
          </w:p>
        </w:tc>
        <w:tc>
          <w:tcPr>
            <w:tcW w:w="1276" w:type="dxa"/>
          </w:tcPr>
          <w:p w14:paraId="4E857826" w14:textId="539D99EF" w:rsidR="00384598" w:rsidRDefault="00384598" w:rsidP="00384598">
            <w:pPr>
              <w:rPr>
                <w:rFonts w:ascii="Calibri" w:eastAsia="Times New Roman" w:hAnsi="Calibri" w:cs="Calibri"/>
                <w:b/>
                <w:bCs/>
                <w:color w:val="000000"/>
                <w:lang w:eastAsia="en-AU"/>
              </w:rPr>
            </w:pPr>
            <w:r w:rsidRPr="0041070B">
              <w:rPr>
                <w:sz w:val="20"/>
                <w:szCs w:val="20"/>
              </w:rPr>
              <w:t>5</w:t>
            </w:r>
          </w:p>
        </w:tc>
        <w:tc>
          <w:tcPr>
            <w:tcW w:w="4357" w:type="dxa"/>
          </w:tcPr>
          <w:p w14:paraId="715F18B4" w14:textId="60275385"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Product Grader (Meat Grader)</w:t>
            </w:r>
          </w:p>
        </w:tc>
        <w:tc>
          <w:tcPr>
            <w:tcW w:w="2254" w:type="dxa"/>
          </w:tcPr>
          <w:p w14:paraId="6843957E" w14:textId="5FBBEC28" w:rsidR="00384598" w:rsidRDefault="00384598" w:rsidP="00384598">
            <w:pPr>
              <w:rPr>
                <w:rFonts w:ascii="Calibri" w:eastAsia="Times New Roman" w:hAnsi="Calibri" w:cs="Calibri"/>
                <w:b/>
                <w:bCs/>
                <w:color w:val="000000"/>
                <w:lang w:eastAsia="en-AU"/>
              </w:rPr>
            </w:pPr>
            <w:r w:rsidRPr="0041070B">
              <w:rPr>
                <w:sz w:val="20"/>
                <w:szCs w:val="20"/>
              </w:rPr>
              <w:t>No</w:t>
            </w:r>
          </w:p>
        </w:tc>
      </w:tr>
      <w:tr w:rsidR="00384598" w14:paraId="36DEF424" w14:textId="77777777" w:rsidTr="00384598">
        <w:tc>
          <w:tcPr>
            <w:tcW w:w="1129" w:type="dxa"/>
          </w:tcPr>
          <w:p w14:paraId="3700E2C2" w14:textId="475FA860"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831311</w:t>
            </w:r>
          </w:p>
        </w:tc>
        <w:tc>
          <w:tcPr>
            <w:tcW w:w="1276" w:type="dxa"/>
          </w:tcPr>
          <w:p w14:paraId="3807F4EF" w14:textId="3BCB4FA7" w:rsidR="00384598" w:rsidRDefault="00384598" w:rsidP="00384598">
            <w:pPr>
              <w:rPr>
                <w:rFonts w:ascii="Calibri" w:eastAsia="Times New Roman" w:hAnsi="Calibri" w:cs="Calibri"/>
                <w:b/>
                <w:bCs/>
                <w:color w:val="000000"/>
                <w:lang w:eastAsia="en-AU"/>
              </w:rPr>
            </w:pPr>
            <w:r w:rsidRPr="0041070B">
              <w:rPr>
                <w:sz w:val="20"/>
                <w:szCs w:val="20"/>
              </w:rPr>
              <w:t>4</w:t>
            </w:r>
          </w:p>
        </w:tc>
        <w:tc>
          <w:tcPr>
            <w:tcW w:w="4357" w:type="dxa"/>
          </w:tcPr>
          <w:p w14:paraId="244C411A" w14:textId="01BB9F46" w:rsidR="00384598" w:rsidRDefault="00384598" w:rsidP="00384598">
            <w:pPr>
              <w:rPr>
                <w:rFonts w:ascii="Calibri" w:eastAsia="Times New Roman" w:hAnsi="Calibri" w:cs="Calibri"/>
                <w:b/>
                <w:bCs/>
                <w:color w:val="000000"/>
                <w:lang w:eastAsia="en-AU"/>
              </w:rPr>
            </w:pPr>
            <w:r w:rsidRPr="0041070B">
              <w:rPr>
                <w:rFonts w:ascii="Calibri" w:eastAsia="Times New Roman" w:hAnsi="Calibri" w:cs="Calibri"/>
                <w:color w:val="000000"/>
                <w:sz w:val="20"/>
                <w:szCs w:val="20"/>
                <w:lang w:eastAsia="en-AU"/>
              </w:rPr>
              <w:t>Meat Process Worker</w:t>
            </w:r>
          </w:p>
        </w:tc>
        <w:tc>
          <w:tcPr>
            <w:tcW w:w="2254" w:type="dxa"/>
          </w:tcPr>
          <w:p w14:paraId="1C6A58D7" w14:textId="15D9FF99" w:rsidR="00384598" w:rsidRDefault="00384598" w:rsidP="00384598">
            <w:pPr>
              <w:rPr>
                <w:rFonts w:ascii="Calibri" w:eastAsia="Times New Roman" w:hAnsi="Calibri" w:cs="Calibri"/>
                <w:b/>
                <w:bCs/>
                <w:color w:val="000000"/>
                <w:lang w:eastAsia="en-AU"/>
              </w:rPr>
            </w:pPr>
            <w:r w:rsidRPr="0041070B">
              <w:rPr>
                <w:sz w:val="20"/>
                <w:szCs w:val="20"/>
              </w:rPr>
              <w:t>Yes</w:t>
            </w:r>
          </w:p>
        </w:tc>
      </w:tr>
    </w:tbl>
    <w:p w14:paraId="6DE38AA9" w14:textId="77777777" w:rsidR="00CD1E65" w:rsidRDefault="005667B1" w:rsidP="005667B1">
      <w:pPr>
        <w:rPr>
          <w:rFonts w:ascii="Calibri" w:eastAsia="Times New Roman" w:hAnsi="Calibri" w:cs="Calibri"/>
          <w:b/>
          <w:bCs/>
          <w:color w:val="000000"/>
          <w:lang w:eastAsia="en-AU"/>
        </w:rPr>
      </w:pPr>
      <w:r w:rsidRPr="005667B1">
        <w:rPr>
          <w:rFonts w:ascii="Calibri" w:eastAsia="Times New Roman" w:hAnsi="Calibri" w:cs="Calibri"/>
          <w:b/>
          <w:bCs/>
          <w:color w:val="000000"/>
          <w:lang w:eastAsia="en-AU"/>
        </w:rPr>
        <w:t xml:space="preserve">Required qualifications and work experience: </w:t>
      </w:r>
    </w:p>
    <w:p w14:paraId="03E45E87" w14:textId="1731EC1A" w:rsidR="005667B1" w:rsidRDefault="00CD1E65" w:rsidP="00FD7445">
      <w:pPr>
        <w:rPr>
          <w:rFonts w:ascii="Calibri" w:eastAsia="Times New Roman" w:hAnsi="Calibri" w:cs="Calibri"/>
          <w:color w:val="000000"/>
          <w:lang w:eastAsia="en-AU"/>
        </w:rPr>
      </w:pPr>
      <w:r w:rsidRPr="00FD7445">
        <w:rPr>
          <w:rFonts w:ascii="Calibri" w:eastAsia="Times New Roman" w:hAnsi="Calibri" w:cs="Calibri"/>
          <w:b/>
          <w:bCs/>
          <w:color w:val="000000"/>
          <w:lang w:eastAsia="en-AU"/>
        </w:rPr>
        <w:t xml:space="preserve">For </w:t>
      </w:r>
      <w:r w:rsidR="0070016A">
        <w:rPr>
          <w:rFonts w:ascii="Calibri" w:eastAsia="Times New Roman" w:hAnsi="Calibri" w:cs="Calibri"/>
          <w:b/>
          <w:bCs/>
          <w:color w:val="000000"/>
          <w:lang w:eastAsia="en-AU"/>
        </w:rPr>
        <w:t>ANZSCO</w:t>
      </w:r>
      <w:r w:rsidR="00940690" w:rsidRPr="00FD7445">
        <w:rPr>
          <w:rFonts w:ascii="Calibri" w:eastAsia="Times New Roman" w:hAnsi="Calibri" w:cs="Calibri"/>
          <w:b/>
          <w:bCs/>
          <w:color w:val="000000"/>
          <w:lang w:eastAsia="en-AU"/>
        </w:rPr>
        <w:t xml:space="preserve"> 831211 and 831212:</w:t>
      </w:r>
      <w:r w:rsidR="00940690" w:rsidRPr="00FD7445">
        <w:rPr>
          <w:rFonts w:ascii="Calibri" w:eastAsia="Times New Roman" w:hAnsi="Calibri" w:cs="Calibri"/>
          <w:color w:val="000000"/>
          <w:lang w:eastAsia="en-AU"/>
        </w:rPr>
        <w:t xml:space="preserve"> </w:t>
      </w:r>
      <w:r w:rsidR="00827AB6" w:rsidRPr="00827AB6">
        <w:rPr>
          <w:rFonts w:ascii="Calibri" w:eastAsia="Times New Roman" w:hAnsi="Calibri" w:cs="Calibri"/>
          <w:color w:val="000000"/>
          <w:lang w:eastAsia="en-AU"/>
        </w:rPr>
        <w:t xml:space="preserve">A minimum skill level commensurate with the MINTRAC </w:t>
      </w:r>
      <w:r w:rsidR="00897C60">
        <w:rPr>
          <w:rFonts w:ascii="Calibri" w:eastAsia="Times New Roman" w:hAnsi="Calibri" w:cs="Calibri"/>
          <w:color w:val="000000"/>
          <w:lang w:eastAsia="en-AU"/>
        </w:rPr>
        <w:t>(</w:t>
      </w:r>
      <w:r w:rsidR="00897C60">
        <w:rPr>
          <w:rFonts w:ascii="Arial" w:hAnsi="Arial" w:cs="Arial"/>
          <w:color w:val="4D5156"/>
          <w:sz w:val="21"/>
          <w:szCs w:val="21"/>
          <w:shd w:val="clear" w:color="auto" w:fill="FFFFFF"/>
        </w:rPr>
        <w:t>National Meat Industry Training Advisory Council</w:t>
      </w:r>
      <w:r w:rsidR="00C475A9">
        <w:rPr>
          <w:rFonts w:ascii="Arial" w:hAnsi="Arial" w:cs="Arial"/>
          <w:color w:val="4D5156"/>
          <w:sz w:val="21"/>
          <w:szCs w:val="21"/>
          <w:shd w:val="clear" w:color="auto" w:fill="FFFFFF"/>
        </w:rPr>
        <w:t xml:space="preserve">) </w:t>
      </w:r>
      <w:r w:rsidR="00827AB6" w:rsidRPr="00827AB6">
        <w:rPr>
          <w:rFonts w:ascii="Calibri" w:eastAsia="Times New Roman" w:hAnsi="Calibri" w:cs="Calibri"/>
          <w:color w:val="000000"/>
          <w:lang w:eastAsia="en-AU"/>
        </w:rPr>
        <w:t>referenced AQF Certificate III in meat processing AND EITHER demonstrate a minimum of three (3) years skilled work experience obtained at an Meat Processing Establishment (MPE) acceptable to the Parties OR have been working in Australia on a subclass 457 or TSS visa at an Australian MPE acceptable to the Parties for at least nine (9) months prior to being nominated</w:t>
      </w:r>
    </w:p>
    <w:p w14:paraId="752D7B1D" w14:textId="4AB34316" w:rsidR="00480307" w:rsidRDefault="00480307" w:rsidP="00480307">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 xml:space="preserve">English language </w:t>
      </w:r>
      <w:r>
        <w:rPr>
          <w:rFonts w:ascii="Calibri" w:eastAsia="Times New Roman" w:hAnsi="Calibri" w:cs="Calibri"/>
          <w:b/>
          <w:bCs/>
          <w:color w:val="000000"/>
          <w:lang w:eastAsia="en-AU"/>
        </w:rPr>
        <w:t>requirement</w:t>
      </w:r>
      <w:r w:rsidRPr="00EC48B6">
        <w:rPr>
          <w:rFonts w:ascii="Calibri" w:eastAsia="Times New Roman" w:hAnsi="Calibri" w:cs="Calibri"/>
          <w:b/>
          <w:bCs/>
          <w:color w:val="000000"/>
          <w:lang w:eastAsia="en-AU"/>
        </w:rPr>
        <w:t>:</w:t>
      </w:r>
      <w:r>
        <w:rPr>
          <w:rFonts w:ascii="Calibri" w:eastAsia="Times New Roman" w:hAnsi="Calibri" w:cs="Calibri"/>
          <w:b/>
          <w:bCs/>
          <w:color w:val="000000"/>
          <w:lang w:eastAsia="en-AU"/>
        </w:rPr>
        <w:t xml:space="preserve"> </w:t>
      </w:r>
      <w:r w:rsidR="00A6659C" w:rsidRPr="00A6659C">
        <w:rPr>
          <w:rFonts w:ascii="Calibri" w:eastAsia="Times New Roman" w:hAnsi="Calibri" w:cs="Calibri"/>
          <w:color w:val="000000"/>
          <w:lang w:eastAsia="en-AU"/>
        </w:rPr>
        <w:t>IELTS 5.0 with no component less than 4.0 (or equivalent)</w:t>
      </w:r>
    </w:p>
    <w:p w14:paraId="6E992EA6" w14:textId="57306FCC" w:rsidR="00940690" w:rsidRDefault="00940690" w:rsidP="00FD7445">
      <w:pPr>
        <w:rPr>
          <w:lang w:eastAsia="en-AU"/>
        </w:rPr>
      </w:pPr>
      <w:r w:rsidRPr="00FD7445">
        <w:rPr>
          <w:rFonts w:ascii="Calibri" w:eastAsia="Times New Roman" w:hAnsi="Calibri" w:cs="Calibri"/>
          <w:b/>
          <w:bCs/>
          <w:color w:val="000000"/>
          <w:lang w:eastAsia="en-AU"/>
        </w:rPr>
        <w:t xml:space="preserve">For </w:t>
      </w:r>
      <w:r w:rsidR="0070016A">
        <w:rPr>
          <w:rFonts w:ascii="Calibri" w:eastAsia="Times New Roman" w:hAnsi="Calibri" w:cs="Calibri"/>
          <w:b/>
          <w:bCs/>
          <w:color w:val="000000"/>
          <w:lang w:eastAsia="en-AU"/>
        </w:rPr>
        <w:t>ANZSCO</w:t>
      </w:r>
      <w:r w:rsidRPr="00FD7445">
        <w:rPr>
          <w:rFonts w:ascii="Calibri" w:eastAsia="Times New Roman" w:hAnsi="Calibri" w:cs="Calibri"/>
          <w:b/>
          <w:bCs/>
          <w:color w:val="000000"/>
          <w:lang w:eastAsia="en-AU"/>
        </w:rPr>
        <w:t xml:space="preserve"> 83</w:t>
      </w:r>
      <w:r w:rsidR="00F908D3" w:rsidRPr="00FD7445">
        <w:rPr>
          <w:rFonts w:ascii="Calibri" w:eastAsia="Times New Roman" w:hAnsi="Calibri" w:cs="Calibri"/>
          <w:b/>
          <w:bCs/>
          <w:color w:val="000000"/>
          <w:lang w:eastAsia="en-AU"/>
        </w:rPr>
        <w:t>9312</w:t>
      </w:r>
      <w:r w:rsidRPr="00FD7445">
        <w:rPr>
          <w:rFonts w:ascii="Calibri" w:eastAsia="Times New Roman" w:hAnsi="Calibri" w:cs="Calibri"/>
          <w:b/>
          <w:bCs/>
          <w:color w:val="000000"/>
          <w:lang w:eastAsia="en-AU"/>
        </w:rPr>
        <w:t>:</w:t>
      </w:r>
      <w:r w:rsidR="00F908D3" w:rsidRPr="00FD7445">
        <w:rPr>
          <w:rFonts w:ascii="Calibri" w:eastAsia="Times New Roman" w:hAnsi="Calibri" w:cs="Calibri"/>
          <w:b/>
          <w:bCs/>
          <w:color w:val="000000"/>
          <w:lang w:eastAsia="en-AU"/>
        </w:rPr>
        <w:t xml:space="preserve"> </w:t>
      </w:r>
      <w:r w:rsidR="00495F91" w:rsidRPr="00495F91">
        <w:rPr>
          <w:lang w:eastAsia="en-AU"/>
        </w:rPr>
        <w:t>Have at least an AQF Certificate II or III (or equivalent) OR at least one (1) year of recent and relevant work experience</w:t>
      </w:r>
    </w:p>
    <w:p w14:paraId="3292DD70" w14:textId="0126F190" w:rsidR="00A6659C" w:rsidRDefault="002D7779" w:rsidP="00FD7445">
      <w:pPr>
        <w:rPr>
          <w:lang w:eastAsia="en-AU"/>
        </w:rPr>
      </w:pPr>
      <w:r w:rsidRPr="00EC48B6">
        <w:rPr>
          <w:rFonts w:ascii="Calibri" w:eastAsia="Times New Roman" w:hAnsi="Calibri" w:cs="Calibri"/>
          <w:b/>
          <w:bCs/>
          <w:color w:val="000000"/>
          <w:lang w:eastAsia="en-AU"/>
        </w:rPr>
        <w:t xml:space="preserve">English language </w:t>
      </w:r>
      <w:r>
        <w:rPr>
          <w:rFonts w:ascii="Calibri" w:eastAsia="Times New Roman" w:hAnsi="Calibri" w:cs="Calibri"/>
          <w:b/>
          <w:bCs/>
          <w:color w:val="000000"/>
          <w:lang w:eastAsia="en-AU"/>
        </w:rPr>
        <w:t>requirement</w:t>
      </w:r>
      <w:r w:rsidRPr="00EC48B6">
        <w:rPr>
          <w:rFonts w:ascii="Calibri" w:eastAsia="Times New Roman" w:hAnsi="Calibri" w:cs="Calibri"/>
          <w:b/>
          <w:bCs/>
          <w:color w:val="000000"/>
          <w:lang w:eastAsia="en-AU"/>
        </w:rPr>
        <w:t>:</w:t>
      </w:r>
      <w:r>
        <w:rPr>
          <w:rFonts w:ascii="Calibri" w:eastAsia="Times New Roman" w:hAnsi="Calibri" w:cs="Calibri"/>
          <w:b/>
          <w:bCs/>
          <w:color w:val="000000"/>
          <w:lang w:eastAsia="en-AU"/>
        </w:rPr>
        <w:t xml:space="preserve"> </w:t>
      </w:r>
      <w:r w:rsidRPr="002D7779">
        <w:rPr>
          <w:lang w:eastAsia="en-AU"/>
        </w:rPr>
        <w:t>As per TSS</w:t>
      </w:r>
    </w:p>
    <w:p w14:paraId="0983A3FF" w14:textId="7723496F" w:rsidR="009237D5" w:rsidRDefault="009237D5" w:rsidP="00FD7445">
      <w:pPr>
        <w:rPr>
          <w:rFonts w:ascii="Calibri" w:eastAsia="Times New Roman" w:hAnsi="Calibri" w:cs="Calibri"/>
          <w:color w:val="000000"/>
          <w:sz w:val="20"/>
          <w:szCs w:val="20"/>
          <w:lang w:eastAsia="en-AU"/>
        </w:rPr>
      </w:pPr>
      <w:r w:rsidRPr="00FD7445">
        <w:rPr>
          <w:rFonts w:ascii="Calibri" w:eastAsia="Times New Roman" w:hAnsi="Calibri" w:cs="Calibri"/>
          <w:b/>
          <w:bCs/>
          <w:color w:val="000000"/>
          <w:lang w:eastAsia="en-AU"/>
        </w:rPr>
        <w:t xml:space="preserve">For </w:t>
      </w:r>
      <w:r w:rsidR="0070016A">
        <w:rPr>
          <w:rFonts w:ascii="Calibri" w:eastAsia="Times New Roman" w:hAnsi="Calibri" w:cs="Calibri"/>
          <w:b/>
          <w:bCs/>
          <w:color w:val="000000"/>
          <w:lang w:eastAsia="en-AU"/>
        </w:rPr>
        <w:t>ANZSCO</w:t>
      </w:r>
      <w:r w:rsidRPr="00FD7445">
        <w:rPr>
          <w:rFonts w:ascii="Calibri" w:eastAsia="Times New Roman" w:hAnsi="Calibri" w:cs="Calibri"/>
          <w:b/>
          <w:bCs/>
          <w:color w:val="000000"/>
          <w:lang w:eastAsia="en-AU"/>
        </w:rPr>
        <w:t xml:space="preserve"> 831311: </w:t>
      </w:r>
      <w:r w:rsidR="003F6187" w:rsidRPr="003F6187">
        <w:rPr>
          <w:rFonts w:ascii="Calibri" w:eastAsia="Times New Roman" w:hAnsi="Calibri" w:cs="Calibri"/>
          <w:color w:val="000000"/>
          <w:sz w:val="20"/>
          <w:szCs w:val="20"/>
          <w:lang w:eastAsia="en-AU"/>
        </w:rPr>
        <w:t>Visa applicant must undergo skills assessment conducted by MINTRAC AND, at time of visa application, an AQF Certificate I or compulsory secondary education</w:t>
      </w:r>
    </w:p>
    <w:p w14:paraId="60F0CDAD" w14:textId="26302349" w:rsidR="002D7779" w:rsidRPr="002355B4" w:rsidRDefault="002D7779" w:rsidP="002355B4">
      <w:pPr>
        <w:rPr>
          <w:rFonts w:ascii="Calibri" w:eastAsia="Times New Roman" w:hAnsi="Calibri" w:cs="Calibri"/>
          <w:b/>
          <w:bCs/>
          <w:color w:val="000000"/>
          <w:lang w:eastAsia="en-AU"/>
        </w:rPr>
      </w:pPr>
      <w:r w:rsidRPr="00EC48B6">
        <w:rPr>
          <w:rFonts w:ascii="Calibri" w:eastAsia="Times New Roman" w:hAnsi="Calibri" w:cs="Calibri"/>
          <w:b/>
          <w:bCs/>
          <w:color w:val="000000"/>
          <w:lang w:eastAsia="en-AU"/>
        </w:rPr>
        <w:t xml:space="preserve">English language </w:t>
      </w:r>
      <w:r>
        <w:rPr>
          <w:rFonts w:ascii="Calibri" w:eastAsia="Times New Roman" w:hAnsi="Calibri" w:cs="Calibri"/>
          <w:b/>
          <w:bCs/>
          <w:color w:val="000000"/>
          <w:lang w:eastAsia="en-AU"/>
        </w:rPr>
        <w:t>requirement</w:t>
      </w:r>
      <w:r w:rsidRPr="00EC48B6">
        <w:rPr>
          <w:rFonts w:ascii="Calibri" w:eastAsia="Times New Roman" w:hAnsi="Calibri" w:cs="Calibri"/>
          <w:b/>
          <w:bCs/>
          <w:color w:val="000000"/>
          <w:lang w:eastAsia="en-AU"/>
        </w:rPr>
        <w:t>:</w:t>
      </w:r>
      <w:r>
        <w:rPr>
          <w:rFonts w:ascii="Calibri" w:eastAsia="Times New Roman" w:hAnsi="Calibri" w:cs="Calibri"/>
          <w:b/>
          <w:bCs/>
          <w:color w:val="000000"/>
          <w:lang w:eastAsia="en-AU"/>
        </w:rPr>
        <w:t xml:space="preserve"> </w:t>
      </w:r>
      <w:r w:rsidRPr="00527A48">
        <w:rPr>
          <w:rFonts w:ascii="Calibri" w:eastAsia="Times New Roman" w:hAnsi="Calibri" w:cs="Calibri"/>
          <w:color w:val="000000"/>
          <w:lang w:eastAsia="en-AU"/>
        </w:rPr>
        <w:t>IELTS 5.0 with no component less than 4.0 (or equivalent)</w:t>
      </w:r>
      <w:r w:rsidRPr="002355B4">
        <w:rPr>
          <w:rFonts w:ascii="Calibri" w:eastAsia="Times New Roman" w:hAnsi="Calibri" w:cs="Calibri"/>
          <w:b/>
          <w:bCs/>
          <w:color w:val="000000"/>
          <w:lang w:eastAsia="en-AU"/>
        </w:rPr>
        <w:t xml:space="preserve"> </w:t>
      </w:r>
    </w:p>
    <w:p w14:paraId="21F9D12F" w14:textId="69C8430A" w:rsidR="005667B1" w:rsidRDefault="00B8276C" w:rsidP="005667B1">
      <w:pPr>
        <w:rPr>
          <w:rFonts w:ascii="Calibri" w:eastAsia="Times New Roman" w:hAnsi="Calibri" w:cs="Calibri"/>
          <w:b/>
          <w:bCs/>
          <w:color w:val="000000"/>
          <w:lang w:eastAsia="en-AU"/>
        </w:rPr>
      </w:pPr>
      <w:r w:rsidRPr="00B8276C">
        <w:rPr>
          <w:rFonts w:ascii="Calibri" w:eastAsia="Times New Roman" w:hAnsi="Calibri" w:cs="Calibri"/>
          <w:b/>
          <w:bCs/>
          <w:color w:val="000000"/>
          <w:lang w:eastAsia="en-AU"/>
        </w:rPr>
        <w:t>South Australian Regional Workforce Agreement</w:t>
      </w:r>
    </w:p>
    <w:tbl>
      <w:tblPr>
        <w:tblStyle w:val="TableGrid"/>
        <w:tblW w:w="0" w:type="auto"/>
        <w:tblLook w:val="04A0" w:firstRow="1" w:lastRow="0" w:firstColumn="1" w:lastColumn="0" w:noHBand="0" w:noVBand="1"/>
      </w:tblPr>
      <w:tblGrid>
        <w:gridCol w:w="1129"/>
        <w:gridCol w:w="1276"/>
        <w:gridCol w:w="4357"/>
        <w:gridCol w:w="2254"/>
      </w:tblGrid>
      <w:tr w:rsidR="00613969" w:rsidRPr="0070016A" w14:paraId="2E7C86D9" w14:textId="77777777" w:rsidTr="0070016A">
        <w:tc>
          <w:tcPr>
            <w:tcW w:w="1129" w:type="dxa"/>
            <w:shd w:val="clear" w:color="auto" w:fill="FFC000" w:themeFill="accent4"/>
          </w:tcPr>
          <w:p w14:paraId="39C44DDB" w14:textId="77777777" w:rsidR="00613969" w:rsidRPr="0070016A" w:rsidRDefault="00613969" w:rsidP="0066041E">
            <w:pPr>
              <w:rPr>
                <w:b/>
                <w:bCs/>
                <w:sz w:val="20"/>
                <w:szCs w:val="20"/>
              </w:rPr>
            </w:pPr>
            <w:r w:rsidRPr="0041070B">
              <w:rPr>
                <w:b/>
                <w:bCs/>
                <w:sz w:val="20"/>
                <w:szCs w:val="20"/>
              </w:rPr>
              <w:t xml:space="preserve">ANZSCO </w:t>
            </w:r>
          </w:p>
        </w:tc>
        <w:tc>
          <w:tcPr>
            <w:tcW w:w="1276" w:type="dxa"/>
            <w:shd w:val="clear" w:color="auto" w:fill="FFC000" w:themeFill="accent4"/>
          </w:tcPr>
          <w:p w14:paraId="3AEBA06D" w14:textId="77777777" w:rsidR="00613969" w:rsidRPr="0070016A" w:rsidRDefault="00613969" w:rsidP="0066041E">
            <w:pPr>
              <w:rPr>
                <w:b/>
                <w:bCs/>
                <w:sz w:val="20"/>
                <w:szCs w:val="20"/>
              </w:rPr>
            </w:pPr>
            <w:r w:rsidRPr="0041070B">
              <w:rPr>
                <w:b/>
                <w:bCs/>
                <w:sz w:val="20"/>
                <w:szCs w:val="20"/>
              </w:rPr>
              <w:t xml:space="preserve">Skill Level </w:t>
            </w:r>
          </w:p>
        </w:tc>
        <w:tc>
          <w:tcPr>
            <w:tcW w:w="4357" w:type="dxa"/>
            <w:shd w:val="clear" w:color="auto" w:fill="FFC000" w:themeFill="accent4"/>
          </w:tcPr>
          <w:p w14:paraId="7C765594" w14:textId="77777777" w:rsidR="00613969" w:rsidRPr="0070016A" w:rsidRDefault="00613969" w:rsidP="0066041E">
            <w:pPr>
              <w:rPr>
                <w:b/>
                <w:bCs/>
                <w:sz w:val="20"/>
                <w:szCs w:val="20"/>
              </w:rPr>
            </w:pPr>
            <w:r w:rsidRPr="0041070B">
              <w:rPr>
                <w:b/>
                <w:bCs/>
                <w:sz w:val="20"/>
                <w:szCs w:val="20"/>
              </w:rPr>
              <w:t xml:space="preserve">Occupation </w:t>
            </w:r>
          </w:p>
        </w:tc>
        <w:tc>
          <w:tcPr>
            <w:tcW w:w="2254" w:type="dxa"/>
            <w:shd w:val="clear" w:color="auto" w:fill="FFC000" w:themeFill="accent4"/>
          </w:tcPr>
          <w:p w14:paraId="62BE02C1" w14:textId="77777777" w:rsidR="00613969" w:rsidRPr="0070016A" w:rsidRDefault="00613969" w:rsidP="0066041E">
            <w:pPr>
              <w:rPr>
                <w:b/>
                <w:bCs/>
                <w:sz w:val="20"/>
                <w:szCs w:val="20"/>
              </w:rPr>
            </w:pPr>
            <w:r w:rsidRPr="0041070B">
              <w:rPr>
                <w:b/>
                <w:bCs/>
                <w:sz w:val="20"/>
                <w:szCs w:val="20"/>
              </w:rPr>
              <w:t xml:space="preserve">TSMIT Concession </w:t>
            </w:r>
          </w:p>
        </w:tc>
      </w:tr>
      <w:tr w:rsidR="00613969" w14:paraId="33740F2E" w14:textId="77777777" w:rsidTr="0066041E">
        <w:tc>
          <w:tcPr>
            <w:tcW w:w="1129" w:type="dxa"/>
          </w:tcPr>
          <w:p w14:paraId="7A4DF969" w14:textId="27FEC7C9" w:rsidR="00613969" w:rsidRDefault="00613969" w:rsidP="00613969">
            <w:pPr>
              <w:rPr>
                <w:b/>
                <w:bCs/>
              </w:rPr>
            </w:pPr>
            <w:r w:rsidRPr="0041070B">
              <w:rPr>
                <w:rFonts w:ascii="Calibri" w:eastAsia="Times New Roman" w:hAnsi="Calibri" w:cs="Calibri"/>
                <w:color w:val="000000"/>
                <w:sz w:val="20"/>
                <w:szCs w:val="20"/>
                <w:lang w:eastAsia="en-AU"/>
              </w:rPr>
              <w:t>831211</w:t>
            </w:r>
          </w:p>
        </w:tc>
        <w:tc>
          <w:tcPr>
            <w:tcW w:w="1276" w:type="dxa"/>
          </w:tcPr>
          <w:p w14:paraId="1C663565" w14:textId="4EAF98B8" w:rsidR="00613969" w:rsidRDefault="00613969" w:rsidP="00613969">
            <w:pPr>
              <w:rPr>
                <w:b/>
                <w:bCs/>
              </w:rPr>
            </w:pPr>
            <w:r w:rsidRPr="0041070B">
              <w:rPr>
                <w:sz w:val="20"/>
                <w:szCs w:val="20"/>
              </w:rPr>
              <w:t>4</w:t>
            </w:r>
          </w:p>
        </w:tc>
        <w:tc>
          <w:tcPr>
            <w:tcW w:w="4357" w:type="dxa"/>
          </w:tcPr>
          <w:p w14:paraId="181B2E19" w14:textId="4F7576E5" w:rsidR="00613969" w:rsidRDefault="00613969" w:rsidP="00613969">
            <w:pPr>
              <w:rPr>
                <w:b/>
                <w:bCs/>
              </w:rPr>
            </w:pPr>
            <w:r w:rsidRPr="0041070B">
              <w:rPr>
                <w:rFonts w:ascii="Calibri" w:eastAsia="Times New Roman" w:hAnsi="Calibri" w:cs="Calibri"/>
                <w:color w:val="000000"/>
                <w:sz w:val="20"/>
                <w:szCs w:val="20"/>
                <w:lang w:eastAsia="en-AU"/>
              </w:rPr>
              <w:t>Meat Boner and Slicer</w:t>
            </w:r>
          </w:p>
        </w:tc>
        <w:tc>
          <w:tcPr>
            <w:tcW w:w="2254" w:type="dxa"/>
          </w:tcPr>
          <w:p w14:paraId="65C436B8" w14:textId="23A1EA49" w:rsidR="00613969" w:rsidRDefault="00613969" w:rsidP="00613969">
            <w:pPr>
              <w:rPr>
                <w:b/>
                <w:bCs/>
              </w:rPr>
            </w:pPr>
            <w:r w:rsidRPr="0041070B">
              <w:rPr>
                <w:sz w:val="20"/>
                <w:szCs w:val="20"/>
              </w:rPr>
              <w:t>Yes</w:t>
            </w:r>
          </w:p>
        </w:tc>
      </w:tr>
      <w:tr w:rsidR="00613969" w14:paraId="618C0B67" w14:textId="77777777" w:rsidTr="0066041E">
        <w:tc>
          <w:tcPr>
            <w:tcW w:w="1129" w:type="dxa"/>
          </w:tcPr>
          <w:p w14:paraId="0677257E" w14:textId="0ED279D4" w:rsidR="00613969" w:rsidRDefault="00613969" w:rsidP="00613969">
            <w:pPr>
              <w:rPr>
                <w:b/>
                <w:bCs/>
              </w:rPr>
            </w:pPr>
            <w:r w:rsidRPr="0041070B">
              <w:rPr>
                <w:rFonts w:ascii="Calibri" w:eastAsia="Times New Roman" w:hAnsi="Calibri" w:cs="Calibri"/>
                <w:color w:val="000000"/>
                <w:sz w:val="20"/>
                <w:szCs w:val="20"/>
                <w:lang w:eastAsia="en-AU"/>
              </w:rPr>
              <w:t>831212</w:t>
            </w:r>
          </w:p>
        </w:tc>
        <w:tc>
          <w:tcPr>
            <w:tcW w:w="1276" w:type="dxa"/>
          </w:tcPr>
          <w:p w14:paraId="23E5F4B8" w14:textId="641470C5" w:rsidR="00613969" w:rsidRDefault="00613969" w:rsidP="00613969">
            <w:pPr>
              <w:rPr>
                <w:b/>
                <w:bCs/>
              </w:rPr>
            </w:pPr>
            <w:r w:rsidRPr="0041070B">
              <w:rPr>
                <w:sz w:val="20"/>
                <w:szCs w:val="20"/>
              </w:rPr>
              <w:t>4</w:t>
            </w:r>
          </w:p>
        </w:tc>
        <w:tc>
          <w:tcPr>
            <w:tcW w:w="4357" w:type="dxa"/>
          </w:tcPr>
          <w:p w14:paraId="47E9F52F" w14:textId="7E56DA73" w:rsidR="00613969" w:rsidRDefault="00613969" w:rsidP="00613969">
            <w:pPr>
              <w:rPr>
                <w:b/>
                <w:bCs/>
              </w:rPr>
            </w:pPr>
            <w:r w:rsidRPr="0041070B">
              <w:rPr>
                <w:rFonts w:ascii="Calibri" w:eastAsia="Times New Roman" w:hAnsi="Calibri" w:cs="Calibri"/>
                <w:color w:val="000000"/>
                <w:sz w:val="20"/>
                <w:szCs w:val="20"/>
                <w:lang w:eastAsia="en-AU"/>
              </w:rPr>
              <w:t>Slaughterer</w:t>
            </w:r>
          </w:p>
        </w:tc>
        <w:tc>
          <w:tcPr>
            <w:tcW w:w="2254" w:type="dxa"/>
          </w:tcPr>
          <w:p w14:paraId="756FEAB5" w14:textId="69078872" w:rsidR="00613969" w:rsidRDefault="00613969" w:rsidP="00613969">
            <w:pPr>
              <w:rPr>
                <w:b/>
                <w:bCs/>
              </w:rPr>
            </w:pPr>
            <w:r w:rsidRPr="0041070B">
              <w:rPr>
                <w:sz w:val="20"/>
                <w:szCs w:val="20"/>
              </w:rPr>
              <w:t>Yes</w:t>
            </w:r>
          </w:p>
        </w:tc>
      </w:tr>
    </w:tbl>
    <w:p w14:paraId="33609089" w14:textId="5E8570FF" w:rsidR="005667B1" w:rsidRPr="00E41A9D" w:rsidRDefault="00E41A9D" w:rsidP="005667B1">
      <w:pPr>
        <w:rPr>
          <w:rFonts w:ascii="Calibri" w:eastAsia="Times New Roman" w:hAnsi="Calibri" w:cs="Calibri"/>
          <w:b/>
          <w:bCs/>
          <w:color w:val="000000"/>
          <w:lang w:eastAsia="en-AU"/>
        </w:rPr>
      </w:pPr>
      <w:r w:rsidRPr="005667B1">
        <w:rPr>
          <w:rFonts w:ascii="Calibri" w:eastAsia="Times New Roman" w:hAnsi="Calibri" w:cs="Calibri"/>
          <w:b/>
          <w:bCs/>
          <w:color w:val="000000"/>
          <w:lang w:eastAsia="en-AU"/>
        </w:rPr>
        <w:t xml:space="preserve">Required qualifications and work experience: </w:t>
      </w:r>
      <w:r w:rsidR="008020F6" w:rsidRPr="008020F6">
        <w:rPr>
          <w:rFonts w:ascii="Calibri" w:eastAsia="Times New Roman" w:hAnsi="Calibri" w:cs="Calibri"/>
          <w:color w:val="000000"/>
          <w:lang w:eastAsia="en-AU"/>
        </w:rPr>
        <w:t>At least a Certificate III in Meat Processing or equivalent AND at least two (2) years of post-qualification work experience; MINTRAC Skills Assessment required</w:t>
      </w:r>
    </w:p>
    <w:p w14:paraId="43CB9E8D" w14:textId="18B7D867" w:rsidR="002355B4" w:rsidRPr="00FB1C2D" w:rsidRDefault="008020F6" w:rsidP="002355B4">
      <w:pPr>
        <w:pStyle w:val="Default"/>
        <w:rPr>
          <w:rFonts w:eastAsia="Times New Roman"/>
          <w:sz w:val="22"/>
          <w:szCs w:val="22"/>
          <w:lang w:eastAsia="en-AU"/>
        </w:rPr>
      </w:pPr>
      <w:r w:rsidRPr="00EC48B6">
        <w:rPr>
          <w:rFonts w:eastAsia="Times New Roman"/>
          <w:b/>
          <w:bCs/>
          <w:lang w:eastAsia="en-AU"/>
        </w:rPr>
        <w:lastRenderedPageBreak/>
        <w:t xml:space="preserve">English language </w:t>
      </w:r>
      <w:r>
        <w:rPr>
          <w:rFonts w:eastAsia="Times New Roman"/>
          <w:b/>
          <w:bCs/>
          <w:lang w:eastAsia="en-AU"/>
        </w:rPr>
        <w:t>requirement</w:t>
      </w:r>
      <w:r w:rsidRPr="00EC48B6">
        <w:rPr>
          <w:rFonts w:eastAsia="Times New Roman"/>
          <w:b/>
          <w:bCs/>
          <w:lang w:eastAsia="en-AU"/>
        </w:rPr>
        <w:t>:</w:t>
      </w:r>
      <w:r>
        <w:rPr>
          <w:rFonts w:eastAsia="Times New Roman"/>
          <w:b/>
          <w:bCs/>
          <w:lang w:eastAsia="en-AU"/>
        </w:rPr>
        <w:t xml:space="preserve"> </w:t>
      </w:r>
      <w:r w:rsidR="002355B4" w:rsidRPr="00FB1C2D">
        <w:rPr>
          <w:rFonts w:eastAsia="Times New Roman"/>
          <w:sz w:val="22"/>
          <w:szCs w:val="22"/>
          <w:lang w:eastAsia="en-AU"/>
        </w:rPr>
        <w:t xml:space="preserve">IELTS 5.0 (4.5 for outer regional areas) with no component less than 4.0 (or equivalent) </w:t>
      </w:r>
    </w:p>
    <w:p w14:paraId="6B5F571E" w14:textId="50100CAF" w:rsidR="008020F6" w:rsidRPr="002D7779" w:rsidRDefault="008020F6" w:rsidP="008020F6">
      <w:pPr>
        <w:pStyle w:val="Default"/>
        <w:rPr>
          <w:sz w:val="20"/>
          <w:szCs w:val="20"/>
        </w:rPr>
      </w:pPr>
    </w:p>
    <w:p w14:paraId="311484EA" w14:textId="77777777" w:rsidR="002355B4" w:rsidRDefault="002355B4" w:rsidP="005667B1">
      <w:pPr>
        <w:spacing w:before="60" w:after="0" w:line="240" w:lineRule="auto"/>
      </w:pPr>
    </w:p>
    <w:p w14:paraId="788704F9" w14:textId="672FD53D" w:rsidR="005667B1" w:rsidRPr="005667B1" w:rsidRDefault="005667B1" w:rsidP="005667B1">
      <w:pPr>
        <w:spacing w:before="60" w:after="0" w:line="240" w:lineRule="auto"/>
      </w:pPr>
      <w:r w:rsidRPr="005667B1">
        <w:t>N</w:t>
      </w:r>
      <w:r w:rsidRPr="005667B1">
        <w:rPr>
          <w:b/>
        </w:rPr>
        <w:t>otes</w:t>
      </w:r>
      <w:r w:rsidRPr="005667B1">
        <w:t>:</w:t>
      </w:r>
    </w:p>
    <w:p w14:paraId="2BBD22C6" w14:textId="2DB2964A" w:rsidR="00921944" w:rsidRPr="00921944" w:rsidRDefault="00921944" w:rsidP="00921944">
      <w:pPr>
        <w:pStyle w:val="ListParagraph"/>
        <w:numPr>
          <w:ilvl w:val="0"/>
          <w:numId w:val="18"/>
        </w:numPr>
        <w:spacing w:after="0" w:line="240" w:lineRule="auto"/>
        <w:rPr>
          <w:rFonts w:ascii="Calibri" w:eastAsia="Times New Roman" w:hAnsi="Calibri" w:cs="Calibri"/>
          <w:color w:val="000000"/>
          <w:lang w:eastAsia="en-AU"/>
        </w:rPr>
      </w:pPr>
      <w:r w:rsidRPr="00921944">
        <w:rPr>
          <w:rFonts w:ascii="Calibri" w:eastAsia="Times New Roman" w:hAnsi="Calibri" w:cs="Calibri"/>
          <w:color w:val="000000"/>
          <w:lang w:eastAsia="en-AU"/>
        </w:rPr>
        <w:t>Employers seeking an English concession for an occupation need to provide reasoning as part of their endorsement application. This should explain why a lower level of English language is acceptable for the requested occupation. Consideration should be given to how any workplace safety risks will be managed for workers with lower levels of English. IELTS exemptions possible for workers with English-language schooling.</w:t>
      </w:r>
    </w:p>
    <w:p w14:paraId="11EBD4C2" w14:textId="71D707DE" w:rsidR="00921944" w:rsidRPr="00921944" w:rsidRDefault="00921944" w:rsidP="00921944">
      <w:pPr>
        <w:pStyle w:val="ListParagraph"/>
        <w:numPr>
          <w:ilvl w:val="0"/>
          <w:numId w:val="18"/>
        </w:numPr>
        <w:spacing w:after="0" w:line="240" w:lineRule="auto"/>
        <w:rPr>
          <w:rFonts w:ascii="Calibri" w:eastAsia="Times New Roman" w:hAnsi="Calibri" w:cs="Calibri"/>
          <w:color w:val="000000"/>
          <w:lang w:eastAsia="en-AU"/>
        </w:rPr>
      </w:pPr>
      <w:r w:rsidRPr="00921944">
        <w:rPr>
          <w:rFonts w:ascii="Calibri" w:eastAsia="Times New Roman" w:hAnsi="Calibri" w:cs="Calibri"/>
          <w:color w:val="000000"/>
          <w:lang w:eastAsia="en-AU"/>
        </w:rPr>
        <w:t>Permanent pathway except for Meat Process Workers under the Great South Coast DAMA.</w:t>
      </w:r>
    </w:p>
    <w:p w14:paraId="27B1027F" w14:textId="2974B6B6" w:rsidR="005667B1" w:rsidRPr="005667B1" w:rsidRDefault="00921944" w:rsidP="00170628">
      <w:pPr>
        <w:pStyle w:val="ListParagraph"/>
        <w:numPr>
          <w:ilvl w:val="0"/>
          <w:numId w:val="18"/>
        </w:numPr>
        <w:spacing w:after="0" w:line="240" w:lineRule="auto"/>
      </w:pPr>
      <w:r w:rsidRPr="00921944">
        <w:rPr>
          <w:rFonts w:ascii="Calibri" w:eastAsia="Times New Roman" w:hAnsi="Calibri" w:cs="Calibri"/>
          <w:color w:val="000000"/>
          <w:lang w:eastAsia="en-AU"/>
        </w:rPr>
        <w:t>This table is a summary only. Consult DAMA webpages for further details.</w:t>
      </w:r>
    </w:p>
    <w:p w14:paraId="4CB9984E" w14:textId="77777777" w:rsidR="005667B1" w:rsidRPr="00D3013C" w:rsidRDefault="005667B1" w:rsidP="005667B1">
      <w:pPr>
        <w:rPr>
          <w:lang w:eastAsia="en-AU"/>
        </w:rPr>
      </w:pPr>
    </w:p>
    <w:p w14:paraId="7DC72007" w14:textId="77777777" w:rsidR="001D2B45" w:rsidRDefault="001D2B45">
      <w:pPr>
        <w:rPr>
          <w:rFonts w:asciiTheme="majorHAnsi" w:eastAsiaTheme="majorEastAsia" w:hAnsiTheme="majorHAnsi" w:cstheme="majorBidi"/>
          <w:b/>
          <w:bCs/>
          <w:color w:val="2F5496" w:themeColor="accent1" w:themeShade="BF"/>
          <w:sz w:val="32"/>
          <w:szCs w:val="32"/>
        </w:rPr>
      </w:pPr>
      <w:bookmarkStart w:id="33" w:name="_Annex_3:_PLS-to-TSS"/>
      <w:bookmarkStart w:id="34" w:name="_Toc90621516"/>
      <w:bookmarkEnd w:id="33"/>
      <w:r>
        <w:rPr>
          <w:b/>
          <w:bCs/>
        </w:rPr>
        <w:br w:type="page"/>
      </w:r>
    </w:p>
    <w:p w14:paraId="024A6EB7" w14:textId="3077C4D6" w:rsidR="00767168" w:rsidRDefault="00767168" w:rsidP="00767168">
      <w:pPr>
        <w:pStyle w:val="Heading1"/>
        <w:spacing w:before="0"/>
        <w:rPr>
          <w:b/>
          <w:bCs/>
        </w:rPr>
      </w:pPr>
      <w:r w:rsidRPr="00D70444">
        <w:rPr>
          <w:b/>
          <w:bCs/>
        </w:rPr>
        <w:lastRenderedPageBreak/>
        <w:t xml:space="preserve">Annex </w:t>
      </w:r>
      <w:r>
        <w:rPr>
          <w:b/>
          <w:bCs/>
        </w:rPr>
        <w:t>3</w:t>
      </w:r>
      <w:r w:rsidRPr="00D70444">
        <w:rPr>
          <w:b/>
          <w:bCs/>
        </w:rPr>
        <w:t xml:space="preserve">: </w:t>
      </w:r>
      <w:r>
        <w:rPr>
          <w:b/>
          <w:bCs/>
        </w:rPr>
        <w:t>PLS-to-TSS Horticultural Workers Fact Sheet</w:t>
      </w:r>
      <w:bookmarkEnd w:id="34"/>
    </w:p>
    <w:p w14:paraId="29248B12" w14:textId="77777777" w:rsidR="00A0608D" w:rsidRPr="00A0608D" w:rsidRDefault="00A0608D" w:rsidP="00A0608D"/>
    <w:p w14:paraId="3E80EFA1" w14:textId="77777777" w:rsidR="00767168" w:rsidRPr="0081237F" w:rsidRDefault="00767168" w:rsidP="00767168">
      <w:pPr>
        <w:jc w:val="center"/>
        <w:rPr>
          <w:b/>
          <w:bCs/>
          <w:sz w:val="28"/>
          <w:szCs w:val="28"/>
        </w:rPr>
      </w:pPr>
      <w:r w:rsidRPr="0081237F">
        <w:rPr>
          <w:b/>
          <w:bCs/>
          <w:sz w:val="28"/>
          <w:szCs w:val="28"/>
        </w:rPr>
        <w:t>Promoting Pacific Participation in the TSS</w:t>
      </w:r>
    </w:p>
    <w:p w14:paraId="7375BB57" w14:textId="77777777" w:rsidR="00767168" w:rsidRPr="0081237F" w:rsidRDefault="00767168" w:rsidP="00767168">
      <w:pPr>
        <w:jc w:val="center"/>
        <w:rPr>
          <w:b/>
          <w:bCs/>
          <w:sz w:val="28"/>
          <w:szCs w:val="28"/>
        </w:rPr>
      </w:pPr>
      <w:r>
        <w:rPr>
          <w:b/>
          <w:bCs/>
          <w:sz w:val="28"/>
          <w:szCs w:val="28"/>
        </w:rPr>
        <w:t xml:space="preserve">Horticultural </w:t>
      </w:r>
      <w:r w:rsidRPr="0081237F">
        <w:rPr>
          <w:b/>
          <w:bCs/>
          <w:sz w:val="28"/>
          <w:szCs w:val="28"/>
        </w:rPr>
        <w:t>workers</w:t>
      </w:r>
    </w:p>
    <w:p w14:paraId="06A1003B" w14:textId="77777777" w:rsidR="00767168" w:rsidRPr="0081237F" w:rsidRDefault="00767168" w:rsidP="00767168">
      <w:pPr>
        <w:jc w:val="center"/>
        <w:rPr>
          <w:b/>
          <w:bCs/>
          <w:sz w:val="28"/>
          <w:szCs w:val="28"/>
        </w:rPr>
      </w:pPr>
      <w:r w:rsidRPr="0081237F">
        <w:rPr>
          <w:b/>
          <w:bCs/>
          <w:sz w:val="28"/>
          <w:szCs w:val="28"/>
        </w:rPr>
        <w:t>Fact sheet</w:t>
      </w:r>
    </w:p>
    <w:p w14:paraId="36B4BEE7" w14:textId="79F80036" w:rsidR="0071306B" w:rsidRDefault="00767168" w:rsidP="0071306B">
      <w:pPr>
        <w:spacing w:after="0"/>
        <w:jc w:val="both"/>
        <w:rPr>
          <w:rStyle w:val="markedcontent"/>
        </w:rPr>
      </w:pPr>
      <w:r>
        <w:rPr>
          <w:rStyle w:val="markedcontent"/>
        </w:rPr>
        <w:t xml:space="preserve">As part of the Pacific Step-Up, the Department of Foreign Affairs and Trade is promoting Pacific participation in Australia’s Temporary Skill Shortage (TSS) visa. </w:t>
      </w:r>
      <w:r>
        <w:t>This fact sheet spells out the opportunities for PLS workers in horticulture to access the TSS pathway</w:t>
      </w:r>
      <w:r w:rsidR="00896D2C">
        <w:t xml:space="preserve"> through the Horticulture Industry Labour Agreement (HILA)</w:t>
      </w:r>
      <w:r>
        <w:t>.</w:t>
      </w:r>
      <w:r w:rsidR="0071306B">
        <w:t xml:space="preserve"> </w:t>
      </w:r>
      <w:r w:rsidR="002A1D0B">
        <w:t xml:space="preserve">It </w:t>
      </w:r>
      <w:r w:rsidR="0071306B" w:rsidRPr="004F058F">
        <w:rPr>
          <w:rStyle w:val="markedcontent"/>
        </w:rPr>
        <w:t>should be read in conjunction with official Home Affairs information,</w:t>
      </w:r>
      <w:r w:rsidR="0071306B">
        <w:rPr>
          <w:rStyle w:val="markedcontent"/>
        </w:rPr>
        <w:t xml:space="preserve"> </w:t>
      </w:r>
      <w:hyperlink r:id="rId25" w:history="1">
        <w:r w:rsidR="0071306B" w:rsidRPr="004177E6">
          <w:rPr>
            <w:rStyle w:val="Hyperlink"/>
            <w:lang w:val="en-US"/>
          </w:rPr>
          <w:t>here</w:t>
        </w:r>
      </w:hyperlink>
      <w:r w:rsidR="0071306B">
        <w:rPr>
          <w:lang w:val="en-US"/>
        </w:rPr>
        <w:t xml:space="preserve"> and </w:t>
      </w:r>
      <w:hyperlink r:id="rId26" w:history="1">
        <w:r w:rsidR="0071306B" w:rsidRPr="004177E6">
          <w:rPr>
            <w:rStyle w:val="Hyperlink"/>
            <w:lang w:val="en-US"/>
          </w:rPr>
          <w:t>here</w:t>
        </w:r>
      </w:hyperlink>
      <w:r w:rsidR="0071306B" w:rsidRPr="004F058F">
        <w:rPr>
          <w:rStyle w:val="markedcontent"/>
        </w:rPr>
        <w:t xml:space="preserve">. </w:t>
      </w:r>
      <w:r w:rsidR="004353B3">
        <w:rPr>
          <w:rStyle w:val="markedcontent"/>
        </w:rPr>
        <w:t>This document</w:t>
      </w:r>
      <w:r w:rsidR="0071306B">
        <w:rPr>
          <w:rStyle w:val="markedcontent"/>
        </w:rPr>
        <w:t xml:space="preserve"> </w:t>
      </w:r>
      <w:r w:rsidR="0071306B" w:rsidRPr="004F058F">
        <w:rPr>
          <w:rStyle w:val="markedcontent"/>
        </w:rPr>
        <w:t xml:space="preserve">represents the best efforts of the </w:t>
      </w:r>
      <w:proofErr w:type="gramStart"/>
      <w:r w:rsidR="0071306B" w:rsidRPr="004F058F">
        <w:rPr>
          <w:rStyle w:val="markedcontent"/>
        </w:rPr>
        <w:t>authors, but</w:t>
      </w:r>
      <w:proofErr w:type="gramEnd"/>
      <w:r w:rsidR="0071306B" w:rsidRPr="004F058F">
        <w:rPr>
          <w:rStyle w:val="markedcontent"/>
        </w:rPr>
        <w:t xml:space="preserve"> note that information can become quickly out of date, and the information presented </w:t>
      </w:r>
      <w:r w:rsidR="0071306B">
        <w:rPr>
          <w:rStyle w:val="markedcontent"/>
        </w:rPr>
        <w:t xml:space="preserve">herein </w:t>
      </w:r>
      <w:r w:rsidR="0071306B" w:rsidRPr="004F058F">
        <w:rPr>
          <w:rStyle w:val="markedcontent"/>
        </w:rPr>
        <w:t>should only be used as a guide for and stimulus to further investigation, and should not replace reliance on official information</w:t>
      </w:r>
      <w:r w:rsidR="0071306B">
        <w:rPr>
          <w:rStyle w:val="markedcontent"/>
        </w:rPr>
        <w:t>.</w:t>
      </w:r>
    </w:p>
    <w:p w14:paraId="349A6D52" w14:textId="77777777" w:rsidR="00767168" w:rsidRPr="0081237F" w:rsidRDefault="00767168" w:rsidP="001D411C">
      <w:pPr>
        <w:spacing w:before="240"/>
        <w:rPr>
          <w:b/>
          <w:bCs/>
        </w:rPr>
      </w:pPr>
      <w:r w:rsidRPr="0081237F">
        <w:rPr>
          <w:b/>
          <w:bCs/>
        </w:rPr>
        <w:t>(a) Summary</w:t>
      </w:r>
    </w:p>
    <w:p w14:paraId="2360A780" w14:textId="0E5BDBE9" w:rsidR="00767168" w:rsidRDefault="00767168" w:rsidP="00767168">
      <w:pPr>
        <w:jc w:val="both"/>
      </w:pPr>
      <w:r>
        <w:t xml:space="preserve">There are opportunities for workers employed in farming and horticulture under the PLS to transition to the TSS. However, </w:t>
      </w:r>
      <w:r w:rsidR="0071306B">
        <w:t xml:space="preserve">the </w:t>
      </w:r>
      <w:hyperlink r:id="rId27" w:history="1">
        <w:r w:rsidR="00474B3C" w:rsidRPr="00777612">
          <w:rPr>
            <w:rStyle w:val="Hyperlink"/>
          </w:rPr>
          <w:t>Horticulture Industry Labour Agreement (HILA)</w:t>
        </w:r>
      </w:hyperlink>
      <w:r w:rsidR="00474B3C">
        <w:t xml:space="preserve"> </w:t>
      </w:r>
      <w:r w:rsidR="0071306B">
        <w:t xml:space="preserve">is new </w:t>
      </w:r>
      <w:r w:rsidR="00474B3C">
        <w:t xml:space="preserve">and </w:t>
      </w:r>
      <w:r w:rsidR="008F6F1D">
        <w:t xml:space="preserve">appears to be </w:t>
      </w:r>
      <w:r>
        <w:t xml:space="preserve">little known among PLS employers. </w:t>
      </w:r>
      <w:r w:rsidR="008C7548">
        <w:t>Also, u</w:t>
      </w:r>
      <w:r>
        <w:t xml:space="preserve">nusually high qualification and work experience requirements for the new Skill </w:t>
      </w:r>
      <w:r w:rsidR="00474B3C">
        <w:t>L</w:t>
      </w:r>
      <w:r>
        <w:t>evel</w:t>
      </w:r>
      <w:r w:rsidR="00474B3C">
        <w:t>s</w:t>
      </w:r>
      <w:r>
        <w:t xml:space="preserve"> 4 and 5 approved occupations would need to be lowered to enable PLS workers to use the HILA as a TSS pathway. Further research is also needed on whether the TSMIT would be a barrier.</w:t>
      </w:r>
    </w:p>
    <w:p w14:paraId="4E06A2A1" w14:textId="77777777" w:rsidR="00767168" w:rsidRPr="0081237F" w:rsidRDefault="00767168" w:rsidP="00767168">
      <w:pPr>
        <w:rPr>
          <w:b/>
          <w:bCs/>
        </w:rPr>
      </w:pPr>
      <w:r w:rsidRPr="0081237F">
        <w:rPr>
          <w:b/>
          <w:bCs/>
        </w:rPr>
        <w:t>(b) Opportunity</w:t>
      </w:r>
    </w:p>
    <w:p w14:paraId="6F99DF1D" w14:textId="1D7B12D5" w:rsidR="00767168" w:rsidRDefault="00767168" w:rsidP="00767168">
      <w:pPr>
        <w:jc w:val="both"/>
      </w:pPr>
      <w:r>
        <w:t xml:space="preserve">The new </w:t>
      </w:r>
      <w:r w:rsidR="00474B3C" w:rsidRPr="00920F60">
        <w:t>HILA</w:t>
      </w:r>
      <w:r>
        <w:t xml:space="preserve"> has been in place since the </w:t>
      </w:r>
      <w:proofErr w:type="gramStart"/>
      <w:r>
        <w:t xml:space="preserve">beginning of 2020, </w:t>
      </w:r>
      <w:r w:rsidR="0071306B">
        <w:t>but</w:t>
      </w:r>
      <w:proofErr w:type="gramEnd"/>
      <w:r w:rsidR="0071306B">
        <w:t xml:space="preserve"> </w:t>
      </w:r>
      <w:r>
        <w:t>has been little used given COVID-19. HILA allows employers in horticulture to s</w:t>
      </w:r>
      <w:r w:rsidRPr="00777612">
        <w:t xml:space="preserve">ponsor overseas workers </w:t>
      </w:r>
      <w:r>
        <w:t xml:space="preserve">in </w:t>
      </w:r>
      <w:hyperlink r:id="rId28" w:history="1">
        <w:r w:rsidRPr="004177E6">
          <w:rPr>
            <w:rStyle w:val="Hyperlink"/>
          </w:rPr>
          <w:t>31 approved occupations</w:t>
        </w:r>
      </w:hyperlink>
      <w:r>
        <w:t xml:space="preserve"> </w:t>
      </w:r>
      <w:r w:rsidRPr="00777612">
        <w:t>for the TSS (subclass 482) visa.</w:t>
      </w:r>
      <w:r>
        <w:t xml:space="preserve"> HILA also </w:t>
      </w:r>
      <w:proofErr w:type="gramStart"/>
      <w:r>
        <w:t>offers</w:t>
      </w:r>
      <w:proofErr w:type="gramEnd"/>
      <w:r>
        <w:t xml:space="preserve"> workers in these occupations a pathway to permanent residency. A language concession and the opportunity for employers to apply for wage concessions apply to all nominated Skill Level 3 to 5 occupations. </w:t>
      </w:r>
    </w:p>
    <w:p w14:paraId="7D115990" w14:textId="4E758CC4" w:rsidR="00767168" w:rsidRDefault="00767168" w:rsidP="00767168">
      <w:pPr>
        <w:jc w:val="both"/>
      </w:pPr>
      <w:r>
        <w:t xml:space="preserve">A quarter of PLS jobs held </w:t>
      </w:r>
      <w:proofErr w:type="gramStart"/>
      <w:r>
        <w:t>at</w:t>
      </w:r>
      <w:proofErr w:type="gramEnd"/>
      <w:r>
        <w:t xml:space="preserve"> 23 September 2021 were in farm work. This includes 13% of PLS workers, numbering 564, in jobs specifically related to horticulture.</w:t>
      </w:r>
      <w:r w:rsidR="00676441">
        <w:t xml:space="preserve"> </w:t>
      </w:r>
    </w:p>
    <w:p w14:paraId="1DA5D73C" w14:textId="77777777" w:rsidR="00767168" w:rsidRDefault="00767168" w:rsidP="00767168">
      <w:pPr>
        <w:rPr>
          <w:b/>
          <w:bCs/>
        </w:rPr>
      </w:pPr>
      <w:r w:rsidRPr="0081237F">
        <w:rPr>
          <w:b/>
          <w:bCs/>
        </w:rPr>
        <w:t xml:space="preserve">(c) Pathway </w:t>
      </w:r>
    </w:p>
    <w:p w14:paraId="7E3EDE40" w14:textId="2D0F18F4" w:rsidR="00767168" w:rsidRPr="0081237F" w:rsidRDefault="00767168" w:rsidP="00767168">
      <w:pPr>
        <w:jc w:val="both"/>
      </w:pPr>
      <w:r>
        <w:t xml:space="preserve">PLS workers in </w:t>
      </w:r>
      <w:r w:rsidR="009F731D">
        <w:t xml:space="preserve">horticulture </w:t>
      </w:r>
      <w:r>
        <w:t>production</w:t>
      </w:r>
      <w:r w:rsidR="003F2AE8">
        <w:t>-</w:t>
      </w:r>
      <w:r>
        <w:t xml:space="preserve">related work related to </w:t>
      </w:r>
      <w:r w:rsidR="00C938C6">
        <w:t>Section Supervisor</w:t>
      </w:r>
      <w:r>
        <w:t xml:space="preserve">, </w:t>
      </w:r>
      <w:r w:rsidRPr="005B270E">
        <w:t>Production Horticulture Supervisor</w:t>
      </w:r>
      <w:r>
        <w:t xml:space="preserve">, </w:t>
      </w:r>
      <w:r w:rsidR="0045405C">
        <w:t xml:space="preserve">and </w:t>
      </w:r>
      <w:r w:rsidRPr="005B270E">
        <w:t>Horticulture Section Manager</w:t>
      </w:r>
      <w:r>
        <w:t xml:space="preserve"> (Skill Level 4 and 5 occupations) who had acquired the relevant qualifications and/or work experience </w:t>
      </w:r>
      <w:r w:rsidR="009F731D">
        <w:t xml:space="preserve">could </w:t>
      </w:r>
      <w:r>
        <w:t>access a TSS pathway under the HILA.</w:t>
      </w:r>
      <w:r w:rsidR="0071306B">
        <w:rPr>
          <w:rStyle w:val="FootnoteReference"/>
        </w:rPr>
        <w:footnoteReference w:id="18"/>
      </w:r>
      <w:r>
        <w:t xml:space="preserve"> PLS workers who acquire skills on</w:t>
      </w:r>
      <w:r w:rsidR="00294FB2">
        <w:t xml:space="preserve"> </w:t>
      </w:r>
      <w:r>
        <w:t>the</w:t>
      </w:r>
      <w:r w:rsidR="00294FB2">
        <w:t xml:space="preserve"> </w:t>
      </w:r>
      <w:r>
        <w:t xml:space="preserve">job and </w:t>
      </w:r>
      <w:r w:rsidR="00A0608D">
        <w:t xml:space="preserve">have </w:t>
      </w:r>
      <w:r>
        <w:t>a relevant qualification in the Skill Level 4 occupations of truck driver, forklift driver, mobile plant operator or machinery manager would</w:t>
      </w:r>
      <w:r w:rsidR="0029093B">
        <w:t xml:space="preserve"> also</w:t>
      </w:r>
      <w:r>
        <w:t xml:space="preserve"> be eligible for accessing the TSS pathway. </w:t>
      </w:r>
      <w:r w:rsidR="00163A5B">
        <w:rPr>
          <w:rStyle w:val="markedcontent"/>
        </w:rPr>
        <w:t xml:space="preserve">Some </w:t>
      </w:r>
      <w:hyperlink r:id="rId29" w:history="1">
        <w:r w:rsidR="00163A5B" w:rsidRPr="00242461">
          <w:rPr>
            <w:rStyle w:val="Hyperlink"/>
          </w:rPr>
          <w:t>funding</w:t>
        </w:r>
      </w:hyperlink>
      <w:r w:rsidR="00163A5B">
        <w:rPr>
          <w:rStyle w:val="markedcontent"/>
        </w:rPr>
        <w:t xml:space="preserve"> is available from DFAT through the PLF that could subsidise the required training.</w:t>
      </w:r>
    </w:p>
    <w:p w14:paraId="4CE14C10" w14:textId="5FE44A91" w:rsidR="00767168" w:rsidRPr="0081237F" w:rsidRDefault="00767168" w:rsidP="00767168">
      <w:pPr>
        <w:rPr>
          <w:b/>
          <w:bCs/>
        </w:rPr>
      </w:pPr>
      <w:r w:rsidRPr="0081237F">
        <w:rPr>
          <w:b/>
          <w:bCs/>
        </w:rPr>
        <w:lastRenderedPageBreak/>
        <w:t>(d) Prerequisites</w:t>
      </w:r>
    </w:p>
    <w:p w14:paraId="7A2FE3BE" w14:textId="77777777" w:rsidR="00767168" w:rsidRDefault="00767168" w:rsidP="00767168">
      <w:pPr>
        <w:jc w:val="both"/>
      </w:pPr>
      <w:r>
        <w:t xml:space="preserve">The TSS-HILA pathway has </w:t>
      </w:r>
      <w:proofErr w:type="gramStart"/>
      <w:r>
        <w:t xml:space="preserve">a number </w:t>
      </w:r>
      <w:r w:rsidRPr="004177E6">
        <w:t>of</w:t>
      </w:r>
      <w:proofErr w:type="gramEnd"/>
      <w:r w:rsidRPr="004177E6">
        <w:t xml:space="preserve"> </w:t>
      </w:r>
      <w:hyperlink r:id="rId30" w:history="1">
        <w:r w:rsidRPr="004177E6">
          <w:rPr>
            <w:rStyle w:val="Hyperlink"/>
          </w:rPr>
          <w:t>criteria</w:t>
        </w:r>
      </w:hyperlink>
      <w:r>
        <w:t xml:space="preserve"> that need to be satisfied for a successful application. </w:t>
      </w:r>
    </w:p>
    <w:p w14:paraId="1A40D960" w14:textId="485E1381" w:rsidR="00767168" w:rsidRDefault="00767168" w:rsidP="00767168">
      <w:pPr>
        <w:pStyle w:val="ListParagraph"/>
        <w:numPr>
          <w:ilvl w:val="0"/>
          <w:numId w:val="16"/>
        </w:numPr>
        <w:spacing w:after="0"/>
        <w:ind w:left="714" w:hanging="357"/>
        <w:jc w:val="both"/>
        <w:rPr>
          <w:rStyle w:val="markedcontent"/>
        </w:rPr>
      </w:pPr>
      <w:r w:rsidRPr="00B96D5E">
        <w:rPr>
          <w:rStyle w:val="markedcontent"/>
          <w:b/>
          <w:bCs/>
        </w:rPr>
        <w:t>Skills</w:t>
      </w:r>
      <w:r w:rsidRPr="002F324D">
        <w:rPr>
          <w:rStyle w:val="markedcontent"/>
          <w:b/>
          <w:bCs/>
        </w:rPr>
        <w:t xml:space="preserve"> </w:t>
      </w:r>
      <w:r>
        <w:rPr>
          <w:rStyle w:val="markedcontent"/>
          <w:b/>
          <w:bCs/>
        </w:rPr>
        <w:t>and e</w:t>
      </w:r>
      <w:r w:rsidRPr="00BD453D">
        <w:rPr>
          <w:rStyle w:val="markedcontent"/>
          <w:b/>
          <w:bCs/>
        </w:rPr>
        <w:t>xperience</w:t>
      </w:r>
      <w:r w:rsidRPr="00920F60">
        <w:rPr>
          <w:rStyle w:val="markedcontent"/>
          <w:b/>
        </w:rPr>
        <w:t>:</w:t>
      </w:r>
      <w:r w:rsidR="00676441">
        <w:rPr>
          <w:rStyle w:val="markedcontent"/>
        </w:rPr>
        <w:t xml:space="preserve"> </w:t>
      </w:r>
      <w:r>
        <w:rPr>
          <w:rStyle w:val="markedcontent"/>
        </w:rPr>
        <w:t>The new occupations at Skill Level 4 and 5 approved for HILA have a mix of qualifications and work experience requirements. Many of the qualification</w:t>
      </w:r>
      <w:r w:rsidR="00A0608D">
        <w:rPr>
          <w:rStyle w:val="markedcontent"/>
        </w:rPr>
        <w:t xml:space="preserve"> levels required</w:t>
      </w:r>
      <w:r>
        <w:rPr>
          <w:rStyle w:val="markedcontent"/>
        </w:rPr>
        <w:t xml:space="preserve"> are unusually high for these lower skill levels (</w:t>
      </w:r>
      <w:proofErr w:type="gramStart"/>
      <w:r w:rsidR="00163A5B">
        <w:rPr>
          <w:rStyle w:val="markedcontent"/>
        </w:rPr>
        <w:t>e.g.</w:t>
      </w:r>
      <w:proofErr w:type="gramEnd"/>
      <w:r>
        <w:rPr>
          <w:rStyle w:val="markedcontent"/>
        </w:rPr>
        <w:t xml:space="preserve"> Diploma or Certificate IV). Where work experience only is specified, the requirement is set at five years in that occupation, which would not be possible for a PLS worker to achieve. Some requirements are vague: “relevant formal training”. </w:t>
      </w:r>
    </w:p>
    <w:p w14:paraId="44DFFA56" w14:textId="0D6FE3F9" w:rsidR="00767168" w:rsidRDefault="00767168" w:rsidP="00767168">
      <w:pPr>
        <w:numPr>
          <w:ilvl w:val="0"/>
          <w:numId w:val="16"/>
        </w:numPr>
        <w:spacing w:after="0"/>
        <w:ind w:left="714" w:hanging="357"/>
        <w:jc w:val="both"/>
        <w:rPr>
          <w:rStyle w:val="markedcontent"/>
        </w:rPr>
      </w:pPr>
      <w:r w:rsidRPr="00E10DD2">
        <w:rPr>
          <w:rStyle w:val="markedcontent"/>
          <w:b/>
          <w:bCs/>
        </w:rPr>
        <w:t>English language</w:t>
      </w:r>
      <w:r w:rsidRPr="00920F60">
        <w:rPr>
          <w:rStyle w:val="markedcontent"/>
          <w:b/>
        </w:rPr>
        <w:t>:</w:t>
      </w:r>
      <w:r>
        <w:rPr>
          <w:rStyle w:val="markedcontent"/>
        </w:rPr>
        <w:t xml:space="preserve"> </w:t>
      </w:r>
      <w:r w:rsidR="00A51A03">
        <w:rPr>
          <w:rStyle w:val="markedcontent"/>
        </w:rPr>
        <w:t>A</w:t>
      </w:r>
      <w:r>
        <w:rPr>
          <w:rStyle w:val="markedcontent"/>
        </w:rPr>
        <w:t xml:space="preserve">pplicants for the TSS </w:t>
      </w:r>
      <w:r w:rsidRPr="00ED4B7D">
        <w:rPr>
          <w:rStyle w:val="markedcontent"/>
        </w:rPr>
        <w:t xml:space="preserve">must score at least IELTS 5.0 overall, and at least IELTS 4.0 in each individual component score. </w:t>
      </w:r>
      <w:r>
        <w:rPr>
          <w:rStyle w:val="markedcontent"/>
        </w:rPr>
        <w:t xml:space="preserve">Visa applicants from Pacific countries such as Tonga, Samoa, Fiji, PNG, Solomon Islands and Vanuatu may be exempt from the language requirement if they can prove that they </w:t>
      </w:r>
      <w:r w:rsidRPr="008755A7">
        <w:rPr>
          <w:rStyle w:val="markedcontent"/>
        </w:rPr>
        <w:t>have completed at least</w:t>
      </w:r>
      <w:r>
        <w:rPr>
          <w:rStyle w:val="markedcontent"/>
        </w:rPr>
        <w:t xml:space="preserve"> five</w:t>
      </w:r>
      <w:r w:rsidRPr="008755A7">
        <w:rPr>
          <w:rStyle w:val="markedcontent"/>
        </w:rPr>
        <w:t xml:space="preserve"> years of full-time study in a secondary level institution</w:t>
      </w:r>
      <w:r>
        <w:rPr>
          <w:rStyle w:val="markedcontent"/>
        </w:rPr>
        <w:t xml:space="preserve"> or higher-level institution</w:t>
      </w:r>
      <w:r w:rsidRPr="008755A7">
        <w:rPr>
          <w:rStyle w:val="markedcontent"/>
        </w:rPr>
        <w:t xml:space="preserve"> where most classes were in English</w:t>
      </w:r>
      <w:r>
        <w:rPr>
          <w:rStyle w:val="markedcontent"/>
        </w:rPr>
        <w:t>.</w:t>
      </w:r>
      <w:r>
        <w:rPr>
          <w:rStyle w:val="FootnoteReference"/>
        </w:rPr>
        <w:footnoteReference w:id="19"/>
      </w:r>
    </w:p>
    <w:p w14:paraId="5F939380" w14:textId="181AC9D5" w:rsidR="00767168" w:rsidRDefault="00767168" w:rsidP="00767168">
      <w:pPr>
        <w:pStyle w:val="ListParagraph"/>
        <w:numPr>
          <w:ilvl w:val="0"/>
          <w:numId w:val="16"/>
        </w:numPr>
        <w:jc w:val="both"/>
        <w:rPr>
          <w:rStyle w:val="markedcontent"/>
        </w:rPr>
      </w:pPr>
      <w:r w:rsidRPr="00BD453D">
        <w:rPr>
          <w:rStyle w:val="markedcontent"/>
          <w:b/>
          <w:bCs/>
        </w:rPr>
        <w:t>Age</w:t>
      </w:r>
      <w:r w:rsidRPr="00920F60">
        <w:rPr>
          <w:rStyle w:val="markedcontent"/>
          <w:b/>
        </w:rPr>
        <w:t>:</w:t>
      </w:r>
      <w:r>
        <w:rPr>
          <w:rStyle w:val="markedcontent"/>
        </w:rPr>
        <w:t xml:space="preserve"> No age limit for the TSS. However, an applicant </w:t>
      </w:r>
      <w:proofErr w:type="gramStart"/>
      <w:r>
        <w:rPr>
          <w:rStyle w:val="markedcontent"/>
        </w:rPr>
        <w:t>has to</w:t>
      </w:r>
      <w:proofErr w:type="gramEnd"/>
      <w:r>
        <w:rPr>
          <w:rStyle w:val="markedcontent"/>
        </w:rPr>
        <w:t xml:space="preserve"> be </w:t>
      </w:r>
      <w:r w:rsidRPr="00790EB2">
        <w:rPr>
          <w:rStyle w:val="markedcontent"/>
        </w:rPr>
        <w:t xml:space="preserve">50 years of age </w:t>
      </w:r>
      <w:r>
        <w:rPr>
          <w:rStyle w:val="markedcontent"/>
        </w:rPr>
        <w:t>or under for the visas for permanent residence.</w:t>
      </w:r>
      <w:r w:rsidR="00676441">
        <w:rPr>
          <w:rStyle w:val="markedcontent"/>
        </w:rPr>
        <w:t xml:space="preserve"> </w:t>
      </w:r>
    </w:p>
    <w:p w14:paraId="3B8E82AC" w14:textId="34BEE1A5" w:rsidR="00767168" w:rsidRDefault="00767168" w:rsidP="00767168">
      <w:pPr>
        <w:pStyle w:val="ListParagraph"/>
        <w:numPr>
          <w:ilvl w:val="0"/>
          <w:numId w:val="16"/>
        </w:numPr>
        <w:jc w:val="both"/>
      </w:pPr>
      <w:r w:rsidRPr="00BD453D">
        <w:rPr>
          <w:b/>
          <w:bCs/>
        </w:rPr>
        <w:t>Health</w:t>
      </w:r>
      <w:r w:rsidRPr="00920F60">
        <w:rPr>
          <w:b/>
        </w:rPr>
        <w:t>:</w:t>
      </w:r>
      <w:r>
        <w:t xml:space="preserve"> </w:t>
      </w:r>
      <w:hyperlink r:id="rId31" w:history="1">
        <w:r>
          <w:rPr>
            <w:rStyle w:val="Hyperlink"/>
          </w:rPr>
          <w:t>S</w:t>
        </w:r>
        <w:r w:rsidRPr="00CD0274">
          <w:rPr>
            <w:rStyle w:val="Hyperlink"/>
          </w:rPr>
          <w:t>tandard TSS health test requirements</w:t>
        </w:r>
      </w:hyperlink>
      <w:r>
        <w:t xml:space="preserve"> apply for applicants from high-risk countries (all Pacific </w:t>
      </w:r>
      <w:r w:rsidR="0071306B">
        <w:t xml:space="preserve">countries </w:t>
      </w:r>
      <w:r>
        <w:t>and Timor-Leste</w:t>
      </w:r>
      <w:r w:rsidR="00676441">
        <w:t xml:space="preserve"> </w:t>
      </w:r>
      <w:r>
        <w:t>except Cook Islands, Samoa and Tonga),</w:t>
      </w:r>
      <w:r w:rsidR="00676441">
        <w:t xml:space="preserve"> </w:t>
      </w:r>
      <w:r>
        <w:t>namely a medical examination and a chest x-ray. This also applies to family members.</w:t>
      </w:r>
    </w:p>
    <w:p w14:paraId="6537CCE9" w14:textId="6EED2118" w:rsidR="00767168" w:rsidRDefault="00767168" w:rsidP="00767168">
      <w:pPr>
        <w:pStyle w:val="ListParagraph"/>
        <w:numPr>
          <w:ilvl w:val="0"/>
          <w:numId w:val="16"/>
        </w:numPr>
        <w:jc w:val="both"/>
      </w:pPr>
      <w:r w:rsidRPr="00BD453D">
        <w:rPr>
          <w:b/>
          <w:bCs/>
        </w:rPr>
        <w:t>Police certificate</w:t>
      </w:r>
      <w:r w:rsidR="00294FB2">
        <w:rPr>
          <w:b/>
          <w:bCs/>
        </w:rPr>
        <w:t>:</w:t>
      </w:r>
      <w:r>
        <w:t xml:space="preserve"> </w:t>
      </w:r>
      <w:hyperlink r:id="rId32" w:history="1">
        <w:r>
          <w:rPr>
            <w:rStyle w:val="Hyperlink"/>
          </w:rPr>
          <w:t>I</w:t>
        </w:r>
        <w:r w:rsidRPr="00CD0274">
          <w:rPr>
            <w:rStyle w:val="Hyperlink"/>
          </w:rPr>
          <w:t>f requested</w:t>
        </w:r>
      </w:hyperlink>
    </w:p>
    <w:p w14:paraId="28BCEAFA" w14:textId="74AEF6B9" w:rsidR="00767168" w:rsidRDefault="00767168" w:rsidP="00767168">
      <w:pPr>
        <w:pStyle w:val="ListParagraph"/>
        <w:numPr>
          <w:ilvl w:val="0"/>
          <w:numId w:val="16"/>
        </w:numPr>
      </w:pPr>
      <w:r>
        <w:rPr>
          <w:b/>
          <w:bCs/>
        </w:rPr>
        <w:t xml:space="preserve">Australian values statement: </w:t>
      </w:r>
      <w:hyperlink r:id="rId33" w:history="1">
        <w:r>
          <w:rPr>
            <w:rStyle w:val="Hyperlink"/>
          </w:rPr>
          <w:t>Needs to be signed</w:t>
        </w:r>
      </w:hyperlink>
      <w:r w:rsidR="00573BA9">
        <w:rPr>
          <w:rStyle w:val="Hyperlink"/>
        </w:rPr>
        <w:t>.</w:t>
      </w:r>
    </w:p>
    <w:p w14:paraId="728F349C" w14:textId="1A1B9121" w:rsidR="00767168" w:rsidRDefault="00383966" w:rsidP="00767168">
      <w:pPr>
        <w:pStyle w:val="ListParagraph"/>
        <w:numPr>
          <w:ilvl w:val="0"/>
          <w:numId w:val="16"/>
        </w:numPr>
        <w:jc w:val="both"/>
      </w:pPr>
      <w:hyperlink r:id="rId34" w:anchor="About" w:history="1">
        <w:r w:rsidR="00767168" w:rsidRPr="00BD453D">
          <w:rPr>
            <w:rStyle w:val="Hyperlink"/>
            <w:b/>
          </w:rPr>
          <w:t>Cost</w:t>
        </w:r>
      </w:hyperlink>
      <w:r w:rsidR="00767168">
        <w:t xml:space="preserve">: </w:t>
      </w:r>
      <w:r w:rsidR="00A51A03">
        <w:t>T</w:t>
      </w:r>
      <w:r w:rsidR="00767168">
        <w:t>he TSS visa cost is $2,690 for the main applicant and each dependant 18 years and over, and $675 for each dependant under 18. In addition, it costs $330 for an employer to nominate a worker, and the SAF (Skilling Australians Fund) levy must be paid ($1,200 upfront per year for the visa term for small businesses, and $1,800 for others).</w:t>
      </w:r>
    </w:p>
    <w:p w14:paraId="7AE242EC" w14:textId="18A8E60B" w:rsidR="00767168" w:rsidRDefault="00767168" w:rsidP="00767168">
      <w:pPr>
        <w:pStyle w:val="ListParagraph"/>
        <w:numPr>
          <w:ilvl w:val="0"/>
          <w:numId w:val="16"/>
        </w:numPr>
        <w:jc w:val="both"/>
        <w:rPr>
          <w:b/>
          <w:bCs/>
        </w:rPr>
      </w:pPr>
      <w:r>
        <w:rPr>
          <w:b/>
          <w:bCs/>
        </w:rPr>
        <w:t xml:space="preserve">Business sponsor: </w:t>
      </w:r>
      <w:r w:rsidR="0092621A">
        <w:t>Business must be approved as a Standard Business Sponsor and enter into its own HILA agreement with DHA.</w:t>
      </w:r>
    </w:p>
    <w:p w14:paraId="552E5A7C" w14:textId="77777777" w:rsidR="00767168" w:rsidRPr="00257732" w:rsidRDefault="00767168" w:rsidP="00767168">
      <w:pPr>
        <w:pStyle w:val="ListParagraph"/>
        <w:numPr>
          <w:ilvl w:val="0"/>
          <w:numId w:val="16"/>
        </w:numPr>
        <w:jc w:val="both"/>
      </w:pPr>
      <w:r>
        <w:rPr>
          <w:b/>
          <w:bCs/>
        </w:rPr>
        <w:t xml:space="preserve">Labour market testing: </w:t>
      </w:r>
      <w:r>
        <w:t>Must be carried out by employer.</w:t>
      </w:r>
    </w:p>
    <w:p w14:paraId="6E521F89" w14:textId="228DE620" w:rsidR="00767168" w:rsidRPr="00257732" w:rsidRDefault="00767168" w:rsidP="00767168">
      <w:pPr>
        <w:pStyle w:val="ListParagraph"/>
        <w:numPr>
          <w:ilvl w:val="0"/>
          <w:numId w:val="16"/>
        </w:numPr>
        <w:jc w:val="both"/>
      </w:pPr>
      <w:r w:rsidRPr="0047349B">
        <w:rPr>
          <w:b/>
          <w:bCs/>
        </w:rPr>
        <w:t xml:space="preserve">TSS processing time </w:t>
      </w:r>
      <w:r w:rsidRPr="00920F60">
        <w:rPr>
          <w:bCs/>
        </w:rPr>
        <w:t>(</w:t>
      </w:r>
      <w:hyperlink r:id="rId35" w:history="1">
        <w:r w:rsidRPr="00920F60">
          <w:rPr>
            <w:rStyle w:val="Hyperlink"/>
            <w:bCs/>
          </w:rPr>
          <w:t>labour agreement stream</w:t>
        </w:r>
      </w:hyperlink>
      <w:r w:rsidRPr="00920F60">
        <w:rPr>
          <w:bCs/>
        </w:rPr>
        <w:t>)</w:t>
      </w:r>
      <w:r w:rsidRPr="007E38E2">
        <w:rPr>
          <w:b/>
          <w:bCs/>
        </w:rPr>
        <w:t xml:space="preserve">: </w:t>
      </w:r>
      <w:r w:rsidRPr="00257732">
        <w:t xml:space="preserve">75% of applications processed in </w:t>
      </w:r>
      <w:r w:rsidR="00A51A03">
        <w:t>six</w:t>
      </w:r>
      <w:r w:rsidRPr="00257732">
        <w:t xml:space="preserve"> months, with 90% of applications in 11 months. </w:t>
      </w:r>
    </w:p>
    <w:p w14:paraId="5F90B877" w14:textId="3DD5FA67" w:rsidR="00767168" w:rsidRDefault="00767168" w:rsidP="00767168">
      <w:pPr>
        <w:pStyle w:val="ListParagraph"/>
        <w:numPr>
          <w:ilvl w:val="0"/>
          <w:numId w:val="16"/>
        </w:numPr>
        <w:jc w:val="both"/>
      </w:pPr>
      <w:r w:rsidRPr="006337F2">
        <w:rPr>
          <w:b/>
          <w:bCs/>
        </w:rPr>
        <w:t xml:space="preserve">Minimum income requirement (TSMIT): </w:t>
      </w:r>
      <w:r>
        <w:t>Currently $53,900 plus super.</w:t>
      </w:r>
      <w:r w:rsidR="00676441">
        <w:t xml:space="preserve"> </w:t>
      </w:r>
      <w:r>
        <w:t>A 10% concession available. A range of monetary payments (</w:t>
      </w:r>
      <w:proofErr w:type="gramStart"/>
      <w:r>
        <w:t>e.g.</w:t>
      </w:r>
      <w:proofErr w:type="gramEnd"/>
      <w:r>
        <w:t xml:space="preserve"> regularised overtime) and non-monetary benefits (e.g. accommodation) can be counted as guaranteed earnings.</w:t>
      </w:r>
    </w:p>
    <w:p w14:paraId="4E018412" w14:textId="77777777" w:rsidR="00767168" w:rsidRPr="0081237F" w:rsidRDefault="00767168" w:rsidP="00767168">
      <w:pPr>
        <w:rPr>
          <w:b/>
          <w:bCs/>
        </w:rPr>
      </w:pPr>
      <w:r w:rsidRPr="0081237F">
        <w:rPr>
          <w:b/>
          <w:bCs/>
        </w:rPr>
        <w:t>(f) Pathway to permanency</w:t>
      </w:r>
    </w:p>
    <w:p w14:paraId="2B349463" w14:textId="1926A551" w:rsidR="00767168" w:rsidRDefault="0092621A" w:rsidP="00767168">
      <w:pPr>
        <w:jc w:val="both"/>
      </w:pPr>
      <w:r>
        <w:t xml:space="preserve">The </w:t>
      </w:r>
      <w:r w:rsidR="00767168">
        <w:t xml:space="preserve">HILA allows TSS workers to transition to an </w:t>
      </w:r>
      <w:hyperlink r:id="rId36" w:history="1">
        <w:r w:rsidR="00767168" w:rsidRPr="007013D0">
          <w:rPr>
            <w:rStyle w:val="Hyperlink"/>
          </w:rPr>
          <w:t>Employer Nomination Scheme (186)</w:t>
        </w:r>
      </w:hyperlink>
      <w:r w:rsidR="00767168">
        <w:t xml:space="preserve"> permanent resident visa </w:t>
      </w:r>
      <w:r w:rsidR="00767168" w:rsidRPr="008D462C">
        <w:t>after a three or four year transitional period on a TSS visa</w:t>
      </w:r>
      <w:r w:rsidR="00627CF7">
        <w:t xml:space="preserve"> – </w:t>
      </w:r>
      <w:r w:rsidR="00767168" w:rsidRPr="008D462C">
        <w:t>three years for approved Skill Level 1</w:t>
      </w:r>
      <w:r w:rsidR="00E043AB">
        <w:t xml:space="preserve"> to </w:t>
      </w:r>
      <w:r w:rsidR="00767168" w:rsidRPr="008D462C">
        <w:t>3 occupations and four years for approved Skill Level 4</w:t>
      </w:r>
      <w:r w:rsidR="00E043AB">
        <w:t xml:space="preserve"> and </w:t>
      </w:r>
      <w:r w:rsidR="00767168" w:rsidRPr="008D462C">
        <w:t>5 occupations.</w:t>
      </w:r>
      <w:r>
        <w:rPr>
          <w:rStyle w:val="FootnoteReference"/>
        </w:rPr>
        <w:footnoteReference w:id="20"/>
      </w:r>
      <w:r w:rsidR="00767168">
        <w:t xml:space="preserve"> </w:t>
      </w:r>
    </w:p>
    <w:p w14:paraId="1B2D5862" w14:textId="31A45D39" w:rsidR="00767168" w:rsidRPr="0081237F" w:rsidRDefault="00767168" w:rsidP="00767168">
      <w:pPr>
        <w:rPr>
          <w:b/>
          <w:bCs/>
        </w:rPr>
      </w:pPr>
      <w:r w:rsidRPr="0081237F">
        <w:rPr>
          <w:b/>
          <w:bCs/>
        </w:rPr>
        <w:t>(g) Issues</w:t>
      </w:r>
      <w:r w:rsidR="00676441">
        <w:rPr>
          <w:b/>
          <w:bCs/>
        </w:rPr>
        <w:t xml:space="preserve"> </w:t>
      </w:r>
    </w:p>
    <w:p w14:paraId="35A466D8" w14:textId="0174B679" w:rsidR="00767168" w:rsidRPr="00C02A18" w:rsidRDefault="00767168" w:rsidP="00A0608D">
      <w:pPr>
        <w:widowControl w:val="0"/>
        <w:numPr>
          <w:ilvl w:val="0"/>
          <w:numId w:val="29"/>
        </w:numPr>
        <w:spacing w:after="0"/>
        <w:ind w:left="714" w:hanging="357"/>
        <w:jc w:val="both"/>
        <w:rPr>
          <w:b/>
          <w:bCs/>
        </w:rPr>
      </w:pPr>
      <w:r>
        <w:rPr>
          <w:b/>
          <w:bCs/>
        </w:rPr>
        <w:t>Onerous training and experience prerequisites</w:t>
      </w:r>
      <w:r w:rsidR="00D60896" w:rsidRPr="00920F60">
        <w:rPr>
          <w:b/>
        </w:rPr>
        <w:t>:</w:t>
      </w:r>
      <w:r>
        <w:t xml:space="preserve"> Given the low</w:t>
      </w:r>
      <w:r w:rsidR="00A0608D">
        <w:t>er</w:t>
      </w:r>
      <w:r>
        <w:t>-skill nature of these jobs, conditions would need to be lowered to make transition a realistic proposition. Across-the-board lowering of requirements could lead to large-scale recruitment of non-PLS workers (</w:t>
      </w:r>
      <w:proofErr w:type="gramStart"/>
      <w:r>
        <w:t>e.g.</w:t>
      </w:r>
      <w:proofErr w:type="gramEnd"/>
      <w:r>
        <w:t xml:space="preserve"> </w:t>
      </w:r>
      <w:r>
        <w:lastRenderedPageBreak/>
        <w:t xml:space="preserve">backpackers). A PLS prerequisite could be written </w:t>
      </w:r>
      <w:r w:rsidR="007B08A8">
        <w:t xml:space="preserve">into the HILA </w:t>
      </w:r>
      <w:r>
        <w:t xml:space="preserve">so that work under the PLS in one of the </w:t>
      </w:r>
      <w:r w:rsidR="007B08A8">
        <w:t xml:space="preserve">nominated </w:t>
      </w:r>
      <w:r w:rsidR="00EF50CE">
        <w:t>occupations</w:t>
      </w:r>
      <w:r>
        <w:t xml:space="preserve"> for a period of one to two years satisfie</w:t>
      </w:r>
      <w:r w:rsidR="00D60896">
        <w:t>s</w:t>
      </w:r>
      <w:r>
        <w:t xml:space="preserve"> the requirements for a HILA TSS visa.</w:t>
      </w:r>
    </w:p>
    <w:p w14:paraId="7F0A2BA1" w14:textId="75102D44" w:rsidR="00767168" w:rsidRDefault="00767168" w:rsidP="00767168">
      <w:pPr>
        <w:widowControl w:val="0"/>
        <w:numPr>
          <w:ilvl w:val="0"/>
          <w:numId w:val="29"/>
        </w:numPr>
        <w:spacing w:after="0"/>
        <w:ind w:left="714" w:hanging="357"/>
        <w:jc w:val="both"/>
        <w:rPr>
          <w:b/>
          <w:bCs/>
        </w:rPr>
      </w:pPr>
      <w:r>
        <w:rPr>
          <w:b/>
          <w:bCs/>
        </w:rPr>
        <w:t>Other prerequisites</w:t>
      </w:r>
      <w:r w:rsidR="00D60896">
        <w:rPr>
          <w:b/>
          <w:bCs/>
        </w:rPr>
        <w:t>:</w:t>
      </w:r>
      <w:r>
        <w:rPr>
          <w:b/>
          <w:bCs/>
        </w:rPr>
        <w:t xml:space="preserve"> </w:t>
      </w:r>
      <w:r>
        <w:t xml:space="preserve">More research is needed to see how hard it </w:t>
      </w:r>
      <w:r w:rsidR="0092621A">
        <w:t xml:space="preserve">would </w:t>
      </w:r>
      <w:r>
        <w:t>be for PLS workers to meet the TSMIT and language requirements.</w:t>
      </w:r>
    </w:p>
    <w:p w14:paraId="4438C469" w14:textId="506858B7" w:rsidR="00767168" w:rsidRDefault="00767168" w:rsidP="00767168">
      <w:pPr>
        <w:pStyle w:val="ListParagraph"/>
        <w:numPr>
          <w:ilvl w:val="0"/>
          <w:numId w:val="17"/>
        </w:numPr>
        <w:spacing w:after="0"/>
        <w:ind w:left="714" w:hanging="357"/>
        <w:jc w:val="both"/>
        <w:rPr>
          <w:b/>
          <w:bCs/>
        </w:rPr>
      </w:pPr>
      <w:r>
        <w:rPr>
          <w:b/>
          <w:bCs/>
        </w:rPr>
        <w:t xml:space="preserve">Promotion. </w:t>
      </w:r>
      <w:r w:rsidRPr="009450D4">
        <w:t>Discussions with two major</w:t>
      </w:r>
      <w:r>
        <w:rPr>
          <w:b/>
          <w:bCs/>
        </w:rPr>
        <w:t xml:space="preserve"> </w:t>
      </w:r>
      <w:r w:rsidRPr="00DD3DB5">
        <w:t xml:space="preserve">employers </w:t>
      </w:r>
      <w:r w:rsidR="00D60896" w:rsidRPr="00DD3DB5">
        <w:t xml:space="preserve">with PLS workers </w:t>
      </w:r>
      <w:r w:rsidRPr="00DD3DB5">
        <w:t>in horticulture revealed that neither were aware of HILA</w:t>
      </w:r>
      <w:r>
        <w:t xml:space="preserve">. </w:t>
      </w:r>
    </w:p>
    <w:p w14:paraId="50D3D2F9" w14:textId="68CAD45A" w:rsidR="00767168" w:rsidRPr="00192D7A" w:rsidRDefault="00767168" w:rsidP="00767168">
      <w:pPr>
        <w:numPr>
          <w:ilvl w:val="0"/>
          <w:numId w:val="17"/>
        </w:numPr>
        <w:spacing w:after="0"/>
        <w:jc w:val="both"/>
        <w:rPr>
          <w:b/>
          <w:bCs/>
        </w:rPr>
      </w:pPr>
      <w:r w:rsidRPr="00192D7A">
        <w:rPr>
          <w:b/>
          <w:bCs/>
        </w:rPr>
        <w:t>Labour hire companies</w:t>
      </w:r>
      <w:r w:rsidR="00D60896">
        <w:rPr>
          <w:b/>
          <w:bCs/>
        </w:rPr>
        <w:t>:</w:t>
      </w:r>
      <w:r w:rsidRPr="00192D7A">
        <w:rPr>
          <w:b/>
          <w:bCs/>
        </w:rPr>
        <w:t xml:space="preserve"> </w:t>
      </w:r>
      <w:r w:rsidRPr="00BA16BB">
        <w:t xml:space="preserve">The </w:t>
      </w:r>
      <w:r>
        <w:t xml:space="preserve">HILA </w:t>
      </w:r>
      <w:r w:rsidRPr="00BA16BB">
        <w:t>template</w:t>
      </w:r>
      <w:r w:rsidRPr="00192D7A">
        <w:rPr>
          <w:b/>
          <w:bCs/>
        </w:rPr>
        <w:t xml:space="preserve"> </w:t>
      </w:r>
      <w:r w:rsidRPr="00F45E2B">
        <w:t xml:space="preserve">agreement </w:t>
      </w:r>
      <w:r w:rsidRPr="00CB142D">
        <w:t>states that</w:t>
      </w:r>
      <w:r>
        <w:t xml:space="preserve"> t</w:t>
      </w:r>
      <w:r w:rsidRPr="00BA16BB">
        <w:t>he</w:t>
      </w:r>
      <w:r>
        <w:t xml:space="preserve"> </w:t>
      </w:r>
      <w:r w:rsidRPr="00BA16BB">
        <w:t xml:space="preserve">Approved Work Sponsor must ensure that </w:t>
      </w:r>
      <w:r w:rsidR="00D60896">
        <w:t>“</w:t>
      </w:r>
      <w:r w:rsidRPr="00BA16BB">
        <w:t>each Overseas Worker works directly for them once employed</w:t>
      </w:r>
      <w:r w:rsidR="00D60896">
        <w:t>”</w:t>
      </w:r>
      <w:r>
        <w:t xml:space="preserve">. However, there are </w:t>
      </w:r>
      <w:proofErr w:type="gramStart"/>
      <w:r w:rsidR="00C54E45">
        <w:t>a number of</w:t>
      </w:r>
      <w:proofErr w:type="gramEnd"/>
      <w:r w:rsidR="00C54E45">
        <w:t xml:space="preserve"> </w:t>
      </w:r>
      <w:r>
        <w:t>direct employers of PLS workers in horticulture.</w:t>
      </w:r>
    </w:p>
    <w:p w14:paraId="69518AB3" w14:textId="75890257" w:rsidR="007B08A8" w:rsidRDefault="00767168" w:rsidP="00767168">
      <w:pPr>
        <w:pStyle w:val="ListParagraph"/>
        <w:numPr>
          <w:ilvl w:val="0"/>
          <w:numId w:val="17"/>
        </w:numPr>
        <w:jc w:val="both"/>
      </w:pPr>
      <w:r w:rsidRPr="009E230D">
        <w:rPr>
          <w:b/>
          <w:bCs/>
        </w:rPr>
        <w:t>Transition</w:t>
      </w:r>
      <w:r>
        <w:rPr>
          <w:b/>
          <w:bCs/>
        </w:rPr>
        <w:t xml:space="preserve">: </w:t>
      </w:r>
      <w:r w:rsidRPr="0086652B">
        <w:t>There is</w:t>
      </w:r>
      <w:r>
        <w:rPr>
          <w:b/>
          <w:bCs/>
        </w:rPr>
        <w:t xml:space="preserve"> </w:t>
      </w:r>
      <w:r>
        <w:t xml:space="preserve">no bar </w:t>
      </w:r>
      <w:r w:rsidR="00D60896">
        <w:t xml:space="preserve">to </w:t>
      </w:r>
      <w:r>
        <w:t xml:space="preserve">workers in Australia on the PLS applying for and being sponsored for a TSS visa. Workers do not have to return home to apply. TSS workers need health insurance, but PLS workers already have that. </w:t>
      </w:r>
      <w:r w:rsidR="007B08A8">
        <w:t xml:space="preserve">If workers </w:t>
      </w:r>
      <w:r w:rsidR="001B63B0">
        <w:t xml:space="preserve">need </w:t>
      </w:r>
      <w:r w:rsidR="007B08A8">
        <w:t xml:space="preserve">to move from one geographical area to another, the challenge would be greater. But most workers would be staying at the same plant; the biggest change for them would be that they could be joined by their family. </w:t>
      </w:r>
      <w:r>
        <w:t xml:space="preserve">The workers would have had four years of experience by then and would be already integrated into the local community. It is likely that spouses would also be able to find work with the employer (if they wanted it). Workers on a TSS visa </w:t>
      </w:r>
      <w:hyperlink r:id="rId37" w:history="1">
        <w:r w:rsidRPr="004A67C0">
          <w:rPr>
            <w:rStyle w:val="Hyperlink"/>
          </w:rPr>
          <w:t>may be required to pay school fees</w:t>
        </w:r>
      </w:hyperlink>
      <w:r>
        <w:t>, depending on the state or territory are they resident in (no fees in Victoria, Queensland, NT and Tasmania).</w:t>
      </w:r>
    </w:p>
    <w:p w14:paraId="7842D29C" w14:textId="62374F99" w:rsidR="00767168" w:rsidRDefault="00767168" w:rsidP="007B08A8">
      <w:pPr>
        <w:jc w:val="center"/>
        <w:rPr>
          <w:b/>
          <w:bCs/>
        </w:rPr>
      </w:pPr>
      <w:r>
        <w:rPr>
          <w:b/>
          <w:bCs/>
        </w:rPr>
        <w:t xml:space="preserve">Summary of </w:t>
      </w:r>
      <w:r w:rsidR="0092621A">
        <w:rPr>
          <w:b/>
          <w:bCs/>
        </w:rPr>
        <w:t xml:space="preserve">HILA </w:t>
      </w:r>
      <w:r>
        <w:rPr>
          <w:b/>
          <w:bCs/>
        </w:rPr>
        <w:t xml:space="preserve">provisions relating to </w:t>
      </w:r>
      <w:r w:rsidR="00B53E9A">
        <w:rPr>
          <w:b/>
          <w:bCs/>
        </w:rPr>
        <w:t>horticultural</w:t>
      </w:r>
      <w:r>
        <w:rPr>
          <w:b/>
          <w:bCs/>
        </w:rPr>
        <w:t xml:space="preserve"> workers</w:t>
      </w:r>
    </w:p>
    <w:tbl>
      <w:tblPr>
        <w:tblStyle w:val="TableGrid"/>
        <w:tblW w:w="0" w:type="auto"/>
        <w:tblInd w:w="-5" w:type="dxa"/>
        <w:tblLook w:val="04A0" w:firstRow="1" w:lastRow="0" w:firstColumn="1" w:lastColumn="0" w:noHBand="0" w:noVBand="1"/>
      </w:tblPr>
      <w:tblGrid>
        <w:gridCol w:w="1560"/>
        <w:gridCol w:w="1275"/>
        <w:gridCol w:w="1134"/>
        <w:gridCol w:w="5052"/>
      </w:tblGrid>
      <w:tr w:rsidR="0041070B" w:rsidRPr="00ED0FA7" w14:paraId="1B6934CE" w14:textId="77777777" w:rsidTr="0070016A">
        <w:tc>
          <w:tcPr>
            <w:tcW w:w="1560" w:type="dxa"/>
            <w:shd w:val="clear" w:color="auto" w:fill="FFC000" w:themeFill="accent4"/>
          </w:tcPr>
          <w:p w14:paraId="7CD119E6" w14:textId="77777777" w:rsidR="0041070B" w:rsidRPr="00ED0FA7" w:rsidRDefault="0041070B" w:rsidP="00983B2F">
            <w:pPr>
              <w:spacing w:after="160" w:line="259" w:lineRule="auto"/>
              <w:rPr>
                <w:b/>
                <w:bCs/>
                <w:sz w:val="20"/>
                <w:szCs w:val="20"/>
              </w:rPr>
            </w:pPr>
            <w:r w:rsidRPr="00ED0FA7">
              <w:rPr>
                <w:b/>
                <w:bCs/>
                <w:sz w:val="20"/>
                <w:szCs w:val="20"/>
              </w:rPr>
              <w:t>Approved occupation</w:t>
            </w:r>
          </w:p>
        </w:tc>
        <w:tc>
          <w:tcPr>
            <w:tcW w:w="1275" w:type="dxa"/>
            <w:shd w:val="clear" w:color="auto" w:fill="FFC000" w:themeFill="accent4"/>
          </w:tcPr>
          <w:p w14:paraId="7CDB79C2" w14:textId="65DB6235" w:rsidR="0041070B" w:rsidRPr="00ED0FA7" w:rsidRDefault="0070016A" w:rsidP="00983B2F">
            <w:pPr>
              <w:spacing w:after="160" w:line="259" w:lineRule="auto"/>
              <w:rPr>
                <w:b/>
                <w:bCs/>
                <w:sz w:val="20"/>
                <w:szCs w:val="20"/>
              </w:rPr>
            </w:pPr>
            <w:r>
              <w:rPr>
                <w:b/>
                <w:bCs/>
                <w:sz w:val="20"/>
                <w:szCs w:val="20"/>
              </w:rPr>
              <w:t>ANZSCO</w:t>
            </w:r>
            <w:r w:rsidR="0041070B" w:rsidRPr="00ED0FA7">
              <w:rPr>
                <w:b/>
                <w:bCs/>
                <w:sz w:val="20"/>
                <w:szCs w:val="20"/>
              </w:rPr>
              <w:t xml:space="preserve"> code </w:t>
            </w:r>
          </w:p>
        </w:tc>
        <w:tc>
          <w:tcPr>
            <w:tcW w:w="1134" w:type="dxa"/>
            <w:shd w:val="clear" w:color="auto" w:fill="FFC000" w:themeFill="accent4"/>
          </w:tcPr>
          <w:p w14:paraId="0ADB10F9" w14:textId="77777777" w:rsidR="0041070B" w:rsidRPr="00ED0FA7" w:rsidRDefault="0041070B" w:rsidP="00983B2F">
            <w:pPr>
              <w:spacing w:after="160" w:line="259" w:lineRule="auto"/>
              <w:rPr>
                <w:b/>
                <w:bCs/>
                <w:sz w:val="20"/>
                <w:szCs w:val="20"/>
              </w:rPr>
            </w:pPr>
            <w:r w:rsidRPr="00ED0FA7">
              <w:rPr>
                <w:b/>
                <w:bCs/>
                <w:sz w:val="20"/>
                <w:szCs w:val="20"/>
              </w:rPr>
              <w:t xml:space="preserve">Skill level </w:t>
            </w:r>
          </w:p>
        </w:tc>
        <w:tc>
          <w:tcPr>
            <w:tcW w:w="5052" w:type="dxa"/>
            <w:shd w:val="clear" w:color="auto" w:fill="FFC000" w:themeFill="accent4"/>
          </w:tcPr>
          <w:p w14:paraId="1126DFED" w14:textId="77777777" w:rsidR="0041070B" w:rsidRPr="00ED0FA7" w:rsidRDefault="0041070B" w:rsidP="00983B2F">
            <w:pPr>
              <w:spacing w:after="160" w:line="259" w:lineRule="auto"/>
              <w:rPr>
                <w:b/>
                <w:bCs/>
                <w:sz w:val="20"/>
                <w:szCs w:val="20"/>
              </w:rPr>
            </w:pPr>
            <w:r w:rsidRPr="00ED0FA7">
              <w:rPr>
                <w:b/>
                <w:bCs/>
                <w:sz w:val="20"/>
                <w:szCs w:val="20"/>
              </w:rPr>
              <w:t xml:space="preserve">Skills and qualifications </w:t>
            </w:r>
          </w:p>
        </w:tc>
      </w:tr>
      <w:tr w:rsidR="0041070B" w:rsidRPr="00ED0FA7" w14:paraId="60F5E32B" w14:textId="77777777" w:rsidTr="0070016A">
        <w:tc>
          <w:tcPr>
            <w:tcW w:w="1560" w:type="dxa"/>
          </w:tcPr>
          <w:p w14:paraId="2E1B9509"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Maintenance Electrician</w:t>
            </w:r>
          </w:p>
        </w:tc>
        <w:tc>
          <w:tcPr>
            <w:tcW w:w="1275" w:type="dxa"/>
          </w:tcPr>
          <w:p w14:paraId="733137B5" w14:textId="72DDC8E3" w:rsidR="0041070B" w:rsidRPr="00ED0FA7" w:rsidRDefault="0041070B" w:rsidP="00983B2F">
            <w:pPr>
              <w:spacing w:after="160" w:line="259" w:lineRule="auto"/>
              <w:rPr>
                <w:rFonts w:cstheme="minorHAnsi"/>
                <w:sz w:val="20"/>
                <w:szCs w:val="20"/>
              </w:rPr>
            </w:pPr>
            <w:r w:rsidRPr="0070016A">
              <w:rPr>
                <w:rFonts w:cstheme="minorHAnsi"/>
                <w:sz w:val="20"/>
                <w:szCs w:val="20"/>
              </w:rPr>
              <w:t>341111</w:t>
            </w:r>
            <w:r w:rsidR="0070016A">
              <w:rPr>
                <w:rFonts w:cstheme="minorHAnsi"/>
                <w:sz w:val="20"/>
                <w:szCs w:val="20"/>
              </w:rPr>
              <w:t>*</w:t>
            </w:r>
          </w:p>
        </w:tc>
        <w:tc>
          <w:tcPr>
            <w:tcW w:w="1134" w:type="dxa"/>
          </w:tcPr>
          <w:p w14:paraId="423318DC"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3D4D7E5F" w14:textId="4A3E5ED4" w:rsidR="0041070B" w:rsidRPr="00ED0FA7" w:rsidRDefault="00BC3D12" w:rsidP="00983B2F">
            <w:pPr>
              <w:spacing w:after="160" w:line="259" w:lineRule="auto"/>
              <w:rPr>
                <w:rFonts w:cstheme="minorHAnsi"/>
                <w:sz w:val="20"/>
                <w:szCs w:val="20"/>
              </w:rPr>
            </w:pPr>
            <w:r w:rsidRPr="00BC3D12">
              <w:rPr>
                <w:rFonts w:cstheme="minorHAnsi"/>
                <w:sz w:val="20"/>
                <w:szCs w:val="20"/>
              </w:rPr>
              <w:t>Qualifications and relevant work experience specified in ANZSCO</w:t>
            </w:r>
          </w:p>
        </w:tc>
      </w:tr>
      <w:tr w:rsidR="0041070B" w:rsidRPr="00ED0FA7" w14:paraId="0A50D4D1" w14:textId="77777777" w:rsidTr="0070016A">
        <w:tc>
          <w:tcPr>
            <w:tcW w:w="1560" w:type="dxa"/>
          </w:tcPr>
          <w:p w14:paraId="5418CE99"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Fitter and Welder </w:t>
            </w:r>
          </w:p>
        </w:tc>
        <w:tc>
          <w:tcPr>
            <w:tcW w:w="1275" w:type="dxa"/>
          </w:tcPr>
          <w:p w14:paraId="56BAA596"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323213</w:t>
            </w:r>
          </w:p>
        </w:tc>
        <w:tc>
          <w:tcPr>
            <w:tcW w:w="1134" w:type="dxa"/>
          </w:tcPr>
          <w:p w14:paraId="516F5BCF"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3821F8C1" w14:textId="46A5E85F" w:rsidR="0041070B" w:rsidRPr="00ED0FA7" w:rsidRDefault="00DB76D1" w:rsidP="00983B2F">
            <w:pPr>
              <w:spacing w:after="160" w:line="259" w:lineRule="auto"/>
              <w:rPr>
                <w:rFonts w:cstheme="minorHAnsi"/>
                <w:sz w:val="20"/>
                <w:szCs w:val="20"/>
              </w:rPr>
            </w:pPr>
            <w:r w:rsidRPr="00DB76D1">
              <w:rPr>
                <w:rFonts w:cstheme="minorHAnsi"/>
                <w:sz w:val="20"/>
                <w:szCs w:val="20"/>
              </w:rPr>
              <w:t>Qualifications and relevant work experience specified in ANZSCO</w:t>
            </w:r>
          </w:p>
        </w:tc>
      </w:tr>
      <w:tr w:rsidR="0041070B" w:rsidRPr="00ED0FA7" w14:paraId="1C5A7D0E" w14:textId="77777777" w:rsidTr="0070016A">
        <w:tc>
          <w:tcPr>
            <w:tcW w:w="1560" w:type="dxa"/>
          </w:tcPr>
          <w:p w14:paraId="5A00FB17"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Agriculture Technician </w:t>
            </w:r>
          </w:p>
        </w:tc>
        <w:tc>
          <w:tcPr>
            <w:tcW w:w="1275" w:type="dxa"/>
          </w:tcPr>
          <w:p w14:paraId="72AD7ECA" w14:textId="4170AA32" w:rsidR="0041070B" w:rsidRPr="00ED0FA7" w:rsidRDefault="0041070B" w:rsidP="00983B2F">
            <w:pPr>
              <w:spacing w:after="160" w:line="259" w:lineRule="auto"/>
              <w:rPr>
                <w:rFonts w:cstheme="minorHAnsi"/>
                <w:sz w:val="20"/>
                <w:szCs w:val="20"/>
              </w:rPr>
            </w:pPr>
            <w:r w:rsidRPr="0070016A">
              <w:rPr>
                <w:rFonts w:cstheme="minorHAnsi"/>
                <w:sz w:val="20"/>
                <w:szCs w:val="20"/>
              </w:rPr>
              <w:t>321212</w:t>
            </w:r>
            <w:r w:rsidR="0070016A">
              <w:rPr>
                <w:rFonts w:cstheme="minorHAnsi"/>
                <w:sz w:val="20"/>
                <w:szCs w:val="20"/>
              </w:rPr>
              <w:t>*</w:t>
            </w:r>
          </w:p>
        </w:tc>
        <w:tc>
          <w:tcPr>
            <w:tcW w:w="1134" w:type="dxa"/>
          </w:tcPr>
          <w:p w14:paraId="04E5F8A2"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05800C0A" w14:textId="04E482E7" w:rsidR="0041070B" w:rsidRPr="00ED0FA7" w:rsidRDefault="00DB76D1" w:rsidP="00983B2F">
            <w:pPr>
              <w:spacing w:after="160" w:line="259" w:lineRule="auto"/>
              <w:rPr>
                <w:rFonts w:cstheme="minorHAnsi"/>
                <w:sz w:val="20"/>
                <w:szCs w:val="20"/>
              </w:rPr>
            </w:pPr>
            <w:r w:rsidRPr="00DB76D1">
              <w:rPr>
                <w:rFonts w:cstheme="minorHAnsi"/>
                <w:sz w:val="20"/>
                <w:szCs w:val="20"/>
              </w:rPr>
              <w:t>Qualifications and relevant work experience specified in ANZSCO</w:t>
            </w:r>
          </w:p>
        </w:tc>
      </w:tr>
      <w:tr w:rsidR="0041070B" w:rsidRPr="00ED0FA7" w14:paraId="5710E558" w14:textId="77777777" w:rsidTr="0070016A">
        <w:tc>
          <w:tcPr>
            <w:tcW w:w="1560" w:type="dxa"/>
          </w:tcPr>
          <w:p w14:paraId="567C3603"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Mechanic</w:t>
            </w:r>
          </w:p>
        </w:tc>
        <w:tc>
          <w:tcPr>
            <w:tcW w:w="1275" w:type="dxa"/>
          </w:tcPr>
          <w:p w14:paraId="7630E635" w14:textId="1A3E1237" w:rsidR="0041070B" w:rsidRPr="00ED0FA7" w:rsidRDefault="0041070B" w:rsidP="00983B2F">
            <w:pPr>
              <w:spacing w:after="160" w:line="259" w:lineRule="auto"/>
              <w:rPr>
                <w:rFonts w:cstheme="minorHAnsi"/>
                <w:sz w:val="20"/>
                <w:szCs w:val="20"/>
              </w:rPr>
            </w:pPr>
            <w:r w:rsidRPr="0070016A">
              <w:rPr>
                <w:rFonts w:cstheme="minorHAnsi"/>
                <w:sz w:val="20"/>
                <w:szCs w:val="20"/>
              </w:rPr>
              <w:t>321211</w:t>
            </w:r>
            <w:r w:rsidR="0070016A">
              <w:rPr>
                <w:rFonts w:cstheme="minorHAnsi"/>
                <w:sz w:val="20"/>
                <w:szCs w:val="20"/>
              </w:rPr>
              <w:t>*</w:t>
            </w:r>
          </w:p>
        </w:tc>
        <w:tc>
          <w:tcPr>
            <w:tcW w:w="1134" w:type="dxa"/>
          </w:tcPr>
          <w:p w14:paraId="4CFC6648"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09ECA8B5" w14:textId="79076E6A" w:rsidR="0041070B" w:rsidRPr="00ED0FA7" w:rsidRDefault="00DB76D1" w:rsidP="00983B2F">
            <w:pPr>
              <w:spacing w:after="160" w:line="259" w:lineRule="auto"/>
              <w:rPr>
                <w:rFonts w:cstheme="minorHAnsi"/>
                <w:sz w:val="20"/>
                <w:szCs w:val="20"/>
              </w:rPr>
            </w:pPr>
            <w:r w:rsidRPr="00DB76D1">
              <w:rPr>
                <w:rFonts w:cstheme="minorHAnsi"/>
                <w:sz w:val="20"/>
                <w:szCs w:val="20"/>
              </w:rPr>
              <w:t>Qualifications and relevant work experience specified in ANZSCO</w:t>
            </w:r>
          </w:p>
        </w:tc>
      </w:tr>
      <w:tr w:rsidR="0041070B" w:rsidRPr="00ED0FA7" w14:paraId="03FD9E01" w14:textId="77777777" w:rsidTr="0070016A">
        <w:tc>
          <w:tcPr>
            <w:tcW w:w="1560" w:type="dxa"/>
          </w:tcPr>
          <w:p w14:paraId="3E3B46A6"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Senior Nurseryperson </w:t>
            </w:r>
          </w:p>
        </w:tc>
        <w:tc>
          <w:tcPr>
            <w:tcW w:w="1275" w:type="dxa"/>
          </w:tcPr>
          <w:p w14:paraId="03121471"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362411</w:t>
            </w:r>
          </w:p>
        </w:tc>
        <w:tc>
          <w:tcPr>
            <w:tcW w:w="1134" w:type="dxa"/>
          </w:tcPr>
          <w:p w14:paraId="67A6E720"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08FD99B0" w14:textId="5D7FA2D0" w:rsidR="0041070B" w:rsidRPr="00ED0FA7" w:rsidRDefault="00DB76D1" w:rsidP="00983B2F">
            <w:pPr>
              <w:spacing w:after="160" w:line="259" w:lineRule="auto"/>
              <w:rPr>
                <w:rFonts w:cstheme="minorHAnsi"/>
                <w:sz w:val="20"/>
                <w:szCs w:val="20"/>
              </w:rPr>
            </w:pPr>
            <w:r w:rsidRPr="00DB76D1">
              <w:rPr>
                <w:rFonts w:cstheme="minorHAnsi"/>
                <w:sz w:val="20"/>
                <w:szCs w:val="20"/>
              </w:rPr>
              <w:t>Qualifications and relevant work experience specified in ANZSCO</w:t>
            </w:r>
          </w:p>
        </w:tc>
      </w:tr>
      <w:tr w:rsidR="0041070B" w:rsidRPr="00ED0FA7" w14:paraId="69646324" w14:textId="77777777" w:rsidTr="0070016A">
        <w:tc>
          <w:tcPr>
            <w:tcW w:w="1560" w:type="dxa"/>
          </w:tcPr>
          <w:p w14:paraId="33A32E28"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Nurseryperson </w:t>
            </w:r>
          </w:p>
        </w:tc>
        <w:tc>
          <w:tcPr>
            <w:tcW w:w="1275" w:type="dxa"/>
          </w:tcPr>
          <w:p w14:paraId="162E8B4D"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362411</w:t>
            </w:r>
          </w:p>
        </w:tc>
        <w:tc>
          <w:tcPr>
            <w:tcW w:w="1134" w:type="dxa"/>
          </w:tcPr>
          <w:p w14:paraId="12A2C97D"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0A1882F3" w14:textId="3FDFDC06" w:rsidR="0041070B" w:rsidRPr="00ED0FA7" w:rsidRDefault="00DB76D1" w:rsidP="00983B2F">
            <w:pPr>
              <w:spacing w:after="160" w:line="259" w:lineRule="auto"/>
              <w:rPr>
                <w:rFonts w:cstheme="minorHAnsi"/>
                <w:sz w:val="20"/>
                <w:szCs w:val="20"/>
              </w:rPr>
            </w:pPr>
            <w:r w:rsidRPr="00DB76D1">
              <w:rPr>
                <w:rFonts w:cstheme="minorHAnsi"/>
                <w:sz w:val="20"/>
                <w:szCs w:val="20"/>
              </w:rPr>
              <w:t>Qualifications and relevant work experience specified in ANZSCO</w:t>
            </w:r>
          </w:p>
        </w:tc>
      </w:tr>
      <w:tr w:rsidR="0041070B" w:rsidRPr="00ED0FA7" w14:paraId="4298A876" w14:textId="77777777" w:rsidTr="0070016A">
        <w:tc>
          <w:tcPr>
            <w:tcW w:w="1560" w:type="dxa"/>
          </w:tcPr>
          <w:p w14:paraId="4B3C4521"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Nursery Supervisor </w:t>
            </w:r>
          </w:p>
        </w:tc>
        <w:tc>
          <w:tcPr>
            <w:tcW w:w="1275" w:type="dxa"/>
          </w:tcPr>
          <w:p w14:paraId="6234CFCA"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362411</w:t>
            </w:r>
          </w:p>
        </w:tc>
        <w:tc>
          <w:tcPr>
            <w:tcW w:w="1134" w:type="dxa"/>
          </w:tcPr>
          <w:p w14:paraId="1F145931"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6AAE7A59" w14:textId="18E98488" w:rsidR="0041070B" w:rsidRPr="00ED0FA7" w:rsidRDefault="00DB76D1" w:rsidP="00983B2F">
            <w:pPr>
              <w:spacing w:after="160" w:line="259" w:lineRule="auto"/>
              <w:rPr>
                <w:rFonts w:cstheme="minorHAnsi"/>
                <w:sz w:val="20"/>
                <w:szCs w:val="20"/>
              </w:rPr>
            </w:pPr>
            <w:r w:rsidRPr="00DB76D1">
              <w:rPr>
                <w:rFonts w:cstheme="minorHAnsi"/>
                <w:sz w:val="20"/>
                <w:szCs w:val="20"/>
              </w:rPr>
              <w:t>Qualifications and relevant work experience specified in ANZSCO</w:t>
            </w:r>
          </w:p>
        </w:tc>
      </w:tr>
      <w:tr w:rsidR="0041070B" w:rsidRPr="00ED0FA7" w14:paraId="2E2C54EE" w14:textId="77777777" w:rsidTr="0070016A">
        <w:tc>
          <w:tcPr>
            <w:tcW w:w="1560" w:type="dxa"/>
          </w:tcPr>
          <w:p w14:paraId="75838191"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Production Horticulturist </w:t>
            </w:r>
          </w:p>
        </w:tc>
        <w:tc>
          <w:tcPr>
            <w:tcW w:w="1275" w:type="dxa"/>
          </w:tcPr>
          <w:p w14:paraId="510E9B8D" w14:textId="5A4D777C" w:rsidR="0041070B" w:rsidRPr="00ED0FA7" w:rsidRDefault="0041070B" w:rsidP="00983B2F">
            <w:pPr>
              <w:spacing w:after="160" w:line="259" w:lineRule="auto"/>
              <w:rPr>
                <w:rFonts w:cstheme="minorHAnsi"/>
                <w:sz w:val="20"/>
                <w:szCs w:val="20"/>
              </w:rPr>
            </w:pPr>
            <w:r w:rsidRPr="0070016A">
              <w:rPr>
                <w:rFonts w:cstheme="minorHAnsi"/>
                <w:sz w:val="20"/>
                <w:szCs w:val="20"/>
              </w:rPr>
              <w:t>070499</w:t>
            </w:r>
            <w:r w:rsidR="0070016A">
              <w:rPr>
                <w:rFonts w:cstheme="minorHAnsi"/>
                <w:sz w:val="20"/>
                <w:szCs w:val="20"/>
              </w:rPr>
              <w:t>*</w:t>
            </w:r>
          </w:p>
        </w:tc>
        <w:tc>
          <w:tcPr>
            <w:tcW w:w="1134" w:type="dxa"/>
          </w:tcPr>
          <w:p w14:paraId="38723E13"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11C42E2E" w14:textId="243A93CF" w:rsidR="0041070B" w:rsidRPr="00ED0FA7" w:rsidRDefault="00444BF3" w:rsidP="00983B2F">
            <w:pPr>
              <w:spacing w:after="160" w:line="259" w:lineRule="auto"/>
              <w:rPr>
                <w:rFonts w:cstheme="minorHAnsi"/>
                <w:sz w:val="20"/>
                <w:szCs w:val="20"/>
              </w:rPr>
            </w:pPr>
            <w:r w:rsidRPr="00444BF3">
              <w:rPr>
                <w:rFonts w:cstheme="minorHAnsi"/>
                <w:sz w:val="20"/>
                <w:szCs w:val="20"/>
              </w:rPr>
              <w:t>At least relevant AQF Certificate III or Certificate IV qualifications or equivalent OR three (3) years employment experience as a production horticulturalist with relevant formal training OR five (5) years employment experience as a production horticulturalist with no formal training</w:t>
            </w:r>
          </w:p>
        </w:tc>
      </w:tr>
      <w:tr w:rsidR="0041070B" w:rsidRPr="00ED0FA7" w14:paraId="5CA586E9" w14:textId="77777777" w:rsidTr="0070016A">
        <w:tc>
          <w:tcPr>
            <w:tcW w:w="1560" w:type="dxa"/>
          </w:tcPr>
          <w:p w14:paraId="75C30D78"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lastRenderedPageBreak/>
              <w:t xml:space="preserve">Cold Storage Manager </w:t>
            </w:r>
          </w:p>
        </w:tc>
        <w:tc>
          <w:tcPr>
            <w:tcW w:w="1275" w:type="dxa"/>
          </w:tcPr>
          <w:p w14:paraId="56E89AB8" w14:textId="68EDB007" w:rsidR="0041070B" w:rsidRPr="00ED0FA7" w:rsidRDefault="0041070B" w:rsidP="00983B2F">
            <w:pPr>
              <w:spacing w:after="160" w:line="259" w:lineRule="auto"/>
              <w:rPr>
                <w:rFonts w:cstheme="minorHAnsi"/>
                <w:sz w:val="20"/>
                <w:szCs w:val="20"/>
              </w:rPr>
            </w:pPr>
            <w:r w:rsidRPr="0070016A">
              <w:rPr>
                <w:rFonts w:cstheme="minorHAnsi"/>
                <w:sz w:val="20"/>
                <w:szCs w:val="20"/>
              </w:rPr>
              <w:t>149999</w:t>
            </w:r>
            <w:r w:rsidR="0070016A">
              <w:rPr>
                <w:rFonts w:cstheme="minorHAnsi"/>
                <w:sz w:val="20"/>
                <w:szCs w:val="20"/>
              </w:rPr>
              <w:t>*</w:t>
            </w:r>
          </w:p>
        </w:tc>
        <w:tc>
          <w:tcPr>
            <w:tcW w:w="1134" w:type="dxa"/>
          </w:tcPr>
          <w:p w14:paraId="348474DD"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3</w:t>
            </w:r>
          </w:p>
        </w:tc>
        <w:tc>
          <w:tcPr>
            <w:tcW w:w="5052" w:type="dxa"/>
          </w:tcPr>
          <w:p w14:paraId="58840AF7" w14:textId="40E6048B" w:rsidR="0041070B" w:rsidRPr="00ED0FA7" w:rsidRDefault="00EA381D" w:rsidP="00983B2F">
            <w:pPr>
              <w:spacing w:after="160" w:line="259" w:lineRule="auto"/>
              <w:rPr>
                <w:rFonts w:cstheme="minorHAnsi"/>
                <w:sz w:val="20"/>
                <w:szCs w:val="20"/>
              </w:rPr>
            </w:pPr>
            <w:r w:rsidRPr="00EA381D">
              <w:rPr>
                <w:rFonts w:cstheme="minorHAnsi"/>
                <w:sz w:val="20"/>
                <w:szCs w:val="20"/>
              </w:rPr>
              <w:t>At least a relevant AQF Diploma or equivalent OR 2 years employment experience as a cold storage manager</w:t>
            </w:r>
          </w:p>
        </w:tc>
      </w:tr>
      <w:tr w:rsidR="0041070B" w:rsidRPr="00ED0FA7" w14:paraId="2AA3FB01" w14:textId="77777777" w:rsidTr="0070016A">
        <w:tc>
          <w:tcPr>
            <w:tcW w:w="1560" w:type="dxa"/>
          </w:tcPr>
          <w:p w14:paraId="55358909"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Truck Driver</w:t>
            </w:r>
          </w:p>
        </w:tc>
        <w:tc>
          <w:tcPr>
            <w:tcW w:w="1275" w:type="dxa"/>
          </w:tcPr>
          <w:p w14:paraId="01D709CC"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733111</w:t>
            </w:r>
          </w:p>
        </w:tc>
        <w:tc>
          <w:tcPr>
            <w:tcW w:w="1134" w:type="dxa"/>
          </w:tcPr>
          <w:p w14:paraId="319F7D53"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4</w:t>
            </w:r>
          </w:p>
        </w:tc>
        <w:tc>
          <w:tcPr>
            <w:tcW w:w="5052" w:type="dxa"/>
          </w:tcPr>
          <w:p w14:paraId="4E97A50E" w14:textId="66A5ABE5" w:rsidR="0041070B" w:rsidRPr="00ED0FA7" w:rsidRDefault="003446E4" w:rsidP="00983B2F">
            <w:pPr>
              <w:spacing w:after="160" w:line="259" w:lineRule="auto"/>
              <w:rPr>
                <w:rFonts w:cstheme="minorHAnsi"/>
                <w:sz w:val="20"/>
                <w:szCs w:val="20"/>
              </w:rPr>
            </w:pPr>
            <w:r w:rsidRPr="003446E4">
              <w:rPr>
                <w:rFonts w:cstheme="minorHAnsi"/>
                <w:sz w:val="20"/>
                <w:szCs w:val="20"/>
              </w:rPr>
              <w:t xml:space="preserve">At least a relevant AQF Certificate II or equivalent AND at least one (1) year (20+ hours per week – </w:t>
            </w:r>
            <w:proofErr w:type="spellStart"/>
            <w:r w:rsidRPr="003446E4">
              <w:rPr>
                <w:rFonts w:cstheme="minorHAnsi"/>
                <w:sz w:val="20"/>
                <w:szCs w:val="20"/>
              </w:rPr>
              <w:t>hpw</w:t>
            </w:r>
            <w:proofErr w:type="spellEnd"/>
            <w:r w:rsidRPr="003446E4">
              <w:rPr>
                <w:rFonts w:cstheme="minorHAnsi"/>
                <w:sz w:val="20"/>
                <w:szCs w:val="20"/>
              </w:rPr>
              <w:t xml:space="preserve">) relevant experience OR At least two (2) years (10+ </w:t>
            </w:r>
            <w:proofErr w:type="spellStart"/>
            <w:r w:rsidRPr="003446E4">
              <w:rPr>
                <w:rFonts w:cstheme="minorHAnsi"/>
                <w:sz w:val="20"/>
                <w:szCs w:val="20"/>
              </w:rPr>
              <w:t>hpw</w:t>
            </w:r>
            <w:proofErr w:type="spellEnd"/>
            <w:r w:rsidRPr="003446E4">
              <w:rPr>
                <w:rFonts w:cstheme="minorHAnsi"/>
                <w:sz w:val="20"/>
                <w:szCs w:val="20"/>
              </w:rPr>
              <w:t>) relevant experience AND at least two (2) years post qualifications experience</w:t>
            </w:r>
          </w:p>
        </w:tc>
      </w:tr>
      <w:tr w:rsidR="0041070B" w:rsidRPr="00ED0FA7" w14:paraId="53DCEC7D" w14:textId="77777777" w:rsidTr="0070016A">
        <w:tc>
          <w:tcPr>
            <w:tcW w:w="1560" w:type="dxa"/>
          </w:tcPr>
          <w:p w14:paraId="6FE124EF"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Mobile Plant Operator </w:t>
            </w:r>
          </w:p>
        </w:tc>
        <w:tc>
          <w:tcPr>
            <w:tcW w:w="1275" w:type="dxa"/>
          </w:tcPr>
          <w:p w14:paraId="2B52E148"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721111</w:t>
            </w:r>
          </w:p>
        </w:tc>
        <w:tc>
          <w:tcPr>
            <w:tcW w:w="1134" w:type="dxa"/>
          </w:tcPr>
          <w:p w14:paraId="259955C2"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4</w:t>
            </w:r>
          </w:p>
        </w:tc>
        <w:tc>
          <w:tcPr>
            <w:tcW w:w="5052" w:type="dxa"/>
          </w:tcPr>
          <w:p w14:paraId="067BBBB6" w14:textId="693841CA" w:rsidR="0041070B" w:rsidRPr="00ED0FA7" w:rsidRDefault="00E51F65" w:rsidP="00983B2F">
            <w:pPr>
              <w:spacing w:after="160" w:line="259" w:lineRule="auto"/>
              <w:rPr>
                <w:rFonts w:cstheme="minorHAnsi"/>
                <w:sz w:val="20"/>
                <w:szCs w:val="20"/>
              </w:rPr>
            </w:pPr>
            <w:r w:rsidRPr="00E51F65">
              <w:rPr>
                <w:rFonts w:cstheme="minorHAnsi"/>
                <w:sz w:val="20"/>
                <w:szCs w:val="20"/>
              </w:rPr>
              <w:t xml:space="preserve">At least a relevant AQF Certificate II or equivalent AND at least one (1) year (20+ </w:t>
            </w:r>
            <w:proofErr w:type="spellStart"/>
            <w:r w:rsidRPr="00E51F65">
              <w:rPr>
                <w:rFonts w:cstheme="minorHAnsi"/>
                <w:sz w:val="20"/>
                <w:szCs w:val="20"/>
              </w:rPr>
              <w:t>hpw</w:t>
            </w:r>
            <w:proofErr w:type="spellEnd"/>
            <w:r w:rsidRPr="00E51F65">
              <w:rPr>
                <w:rFonts w:cstheme="minorHAnsi"/>
                <w:sz w:val="20"/>
                <w:szCs w:val="20"/>
              </w:rPr>
              <w:t xml:space="preserve">) relevant experience OR at least two (2) years (10+ </w:t>
            </w:r>
            <w:proofErr w:type="spellStart"/>
            <w:r w:rsidRPr="00E51F65">
              <w:rPr>
                <w:rFonts w:cstheme="minorHAnsi"/>
                <w:sz w:val="20"/>
                <w:szCs w:val="20"/>
              </w:rPr>
              <w:t>hpw</w:t>
            </w:r>
            <w:proofErr w:type="spellEnd"/>
            <w:r w:rsidRPr="00E51F65">
              <w:rPr>
                <w:rFonts w:cstheme="minorHAnsi"/>
                <w:sz w:val="20"/>
                <w:szCs w:val="20"/>
              </w:rPr>
              <w:t>) relevant experience AND at least two (2) years post qualifications experience</w:t>
            </w:r>
          </w:p>
        </w:tc>
      </w:tr>
      <w:tr w:rsidR="0041070B" w:rsidRPr="00ED0FA7" w14:paraId="1FC480DC" w14:textId="77777777" w:rsidTr="0070016A">
        <w:tc>
          <w:tcPr>
            <w:tcW w:w="1560" w:type="dxa"/>
          </w:tcPr>
          <w:p w14:paraId="5D695A2A" w14:textId="77777777" w:rsidR="0041070B" w:rsidRPr="00ED0FA7" w:rsidRDefault="0041070B" w:rsidP="00983B2F">
            <w:pPr>
              <w:spacing w:after="160" w:line="259" w:lineRule="auto"/>
              <w:rPr>
                <w:rFonts w:cstheme="minorHAnsi"/>
                <w:sz w:val="20"/>
                <w:szCs w:val="20"/>
              </w:rPr>
            </w:pPr>
            <w:proofErr w:type="gramStart"/>
            <w:r w:rsidRPr="00ED0FA7">
              <w:rPr>
                <w:rFonts w:cstheme="minorHAnsi"/>
                <w:sz w:val="20"/>
                <w:szCs w:val="20"/>
              </w:rPr>
              <w:t>Fork Lift</w:t>
            </w:r>
            <w:proofErr w:type="gramEnd"/>
            <w:r w:rsidRPr="00ED0FA7">
              <w:rPr>
                <w:rFonts w:cstheme="minorHAnsi"/>
                <w:sz w:val="20"/>
                <w:szCs w:val="20"/>
              </w:rPr>
              <w:t xml:space="preserve"> Driver</w:t>
            </w:r>
          </w:p>
        </w:tc>
        <w:tc>
          <w:tcPr>
            <w:tcW w:w="1275" w:type="dxa"/>
          </w:tcPr>
          <w:p w14:paraId="2DB4E689"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721311</w:t>
            </w:r>
          </w:p>
        </w:tc>
        <w:tc>
          <w:tcPr>
            <w:tcW w:w="1134" w:type="dxa"/>
          </w:tcPr>
          <w:p w14:paraId="0FFCD11E"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4</w:t>
            </w:r>
          </w:p>
        </w:tc>
        <w:tc>
          <w:tcPr>
            <w:tcW w:w="5052" w:type="dxa"/>
          </w:tcPr>
          <w:p w14:paraId="70EF19FA" w14:textId="1C13AD88" w:rsidR="0041070B" w:rsidRPr="00ED0FA7" w:rsidRDefault="00D96E26" w:rsidP="00983B2F">
            <w:pPr>
              <w:spacing w:after="160" w:line="259" w:lineRule="auto"/>
              <w:rPr>
                <w:rFonts w:cstheme="minorHAnsi"/>
                <w:sz w:val="20"/>
                <w:szCs w:val="20"/>
              </w:rPr>
            </w:pPr>
            <w:r w:rsidRPr="00D96E26">
              <w:rPr>
                <w:rFonts w:cstheme="minorHAnsi"/>
                <w:sz w:val="20"/>
                <w:szCs w:val="20"/>
              </w:rPr>
              <w:t xml:space="preserve">At least relevant AQF Certificate II or equivalent AND at least one and a half (1.5) years (20+ </w:t>
            </w:r>
            <w:proofErr w:type="spellStart"/>
            <w:r w:rsidRPr="00D96E26">
              <w:rPr>
                <w:rFonts w:cstheme="minorHAnsi"/>
                <w:sz w:val="20"/>
                <w:szCs w:val="20"/>
              </w:rPr>
              <w:t>hpw</w:t>
            </w:r>
            <w:proofErr w:type="spellEnd"/>
            <w:r w:rsidRPr="00D96E26">
              <w:rPr>
                <w:rFonts w:cstheme="minorHAnsi"/>
                <w:sz w:val="20"/>
                <w:szCs w:val="20"/>
              </w:rPr>
              <w:t xml:space="preserve">) relevant post qualifications experience OR at least relevant AQF Certificate III or equivalent AND at least one (1) year (20+ </w:t>
            </w:r>
            <w:proofErr w:type="spellStart"/>
            <w:r w:rsidRPr="00D96E26">
              <w:rPr>
                <w:rFonts w:cstheme="minorHAnsi"/>
                <w:sz w:val="20"/>
                <w:szCs w:val="20"/>
              </w:rPr>
              <w:t>hpw</w:t>
            </w:r>
            <w:proofErr w:type="spellEnd"/>
            <w:r w:rsidRPr="00D96E26">
              <w:rPr>
                <w:rFonts w:cstheme="minorHAnsi"/>
                <w:sz w:val="20"/>
                <w:szCs w:val="20"/>
              </w:rPr>
              <w:t xml:space="preserve">) relevant post qualifications experience OR at least two (2) years (38+ </w:t>
            </w:r>
            <w:proofErr w:type="spellStart"/>
            <w:r w:rsidRPr="00D96E26">
              <w:rPr>
                <w:rFonts w:cstheme="minorHAnsi"/>
                <w:sz w:val="20"/>
                <w:szCs w:val="20"/>
              </w:rPr>
              <w:t>hpw</w:t>
            </w:r>
            <w:proofErr w:type="spellEnd"/>
            <w:r w:rsidRPr="00D96E26">
              <w:rPr>
                <w:rFonts w:cstheme="minorHAnsi"/>
                <w:sz w:val="20"/>
                <w:szCs w:val="20"/>
              </w:rPr>
              <w:t>) relevant experience.</w:t>
            </w:r>
          </w:p>
        </w:tc>
      </w:tr>
      <w:tr w:rsidR="0041070B" w:rsidRPr="00ED0FA7" w14:paraId="38F6BC3D" w14:textId="77777777" w:rsidTr="0070016A">
        <w:tc>
          <w:tcPr>
            <w:tcW w:w="1560" w:type="dxa"/>
          </w:tcPr>
          <w:p w14:paraId="50904745"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Machinery Manger </w:t>
            </w:r>
          </w:p>
        </w:tc>
        <w:tc>
          <w:tcPr>
            <w:tcW w:w="1275" w:type="dxa"/>
          </w:tcPr>
          <w:p w14:paraId="4A0B099E" w14:textId="0186F089" w:rsidR="0041070B" w:rsidRPr="00ED0FA7" w:rsidRDefault="0041070B" w:rsidP="00983B2F">
            <w:pPr>
              <w:spacing w:after="160" w:line="259" w:lineRule="auto"/>
              <w:rPr>
                <w:rFonts w:cstheme="minorHAnsi"/>
                <w:sz w:val="20"/>
                <w:szCs w:val="20"/>
              </w:rPr>
            </w:pPr>
            <w:r w:rsidRPr="00ED0FA7">
              <w:rPr>
                <w:rFonts w:cstheme="minorHAnsi"/>
                <w:sz w:val="20"/>
                <w:szCs w:val="20"/>
              </w:rPr>
              <w:t>149913 or 149999</w:t>
            </w:r>
            <w:r w:rsidR="0070016A">
              <w:rPr>
                <w:rFonts w:cstheme="minorHAnsi"/>
                <w:sz w:val="20"/>
                <w:szCs w:val="20"/>
              </w:rPr>
              <w:t>*</w:t>
            </w:r>
          </w:p>
        </w:tc>
        <w:tc>
          <w:tcPr>
            <w:tcW w:w="1134" w:type="dxa"/>
          </w:tcPr>
          <w:p w14:paraId="247CCD4A"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4</w:t>
            </w:r>
          </w:p>
        </w:tc>
        <w:tc>
          <w:tcPr>
            <w:tcW w:w="5052" w:type="dxa"/>
          </w:tcPr>
          <w:p w14:paraId="62DC5005" w14:textId="21349882" w:rsidR="0041070B" w:rsidRPr="00ED0FA7" w:rsidRDefault="007E6014" w:rsidP="00983B2F">
            <w:pPr>
              <w:spacing w:after="160" w:line="259" w:lineRule="auto"/>
              <w:rPr>
                <w:rFonts w:cstheme="minorHAnsi"/>
                <w:sz w:val="20"/>
                <w:szCs w:val="20"/>
              </w:rPr>
            </w:pPr>
            <w:r w:rsidRPr="007E6014">
              <w:rPr>
                <w:rFonts w:cstheme="minorHAnsi"/>
                <w:sz w:val="20"/>
                <w:szCs w:val="20"/>
              </w:rPr>
              <w:t>At least a relevant AQF Diploma or equivalent OR three (3) years employment experience as a machinery manager</w:t>
            </w:r>
          </w:p>
        </w:tc>
      </w:tr>
      <w:tr w:rsidR="0041070B" w:rsidRPr="00ED0FA7" w14:paraId="47D5A039" w14:textId="77777777" w:rsidTr="0070016A">
        <w:tc>
          <w:tcPr>
            <w:tcW w:w="1560" w:type="dxa"/>
          </w:tcPr>
          <w:p w14:paraId="6CA043A1"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Machinery Supervisor </w:t>
            </w:r>
          </w:p>
        </w:tc>
        <w:tc>
          <w:tcPr>
            <w:tcW w:w="1275" w:type="dxa"/>
          </w:tcPr>
          <w:p w14:paraId="5B4F5EAA" w14:textId="30C67224" w:rsidR="0041070B" w:rsidRPr="00ED0FA7" w:rsidRDefault="0041070B" w:rsidP="00983B2F">
            <w:pPr>
              <w:spacing w:after="160" w:line="259" w:lineRule="auto"/>
              <w:rPr>
                <w:rFonts w:cstheme="minorHAnsi"/>
                <w:sz w:val="20"/>
                <w:szCs w:val="20"/>
              </w:rPr>
            </w:pPr>
            <w:r w:rsidRPr="0070016A">
              <w:rPr>
                <w:rFonts w:cstheme="minorHAnsi"/>
                <w:sz w:val="20"/>
                <w:szCs w:val="20"/>
              </w:rPr>
              <w:t>149999</w:t>
            </w:r>
            <w:r w:rsidR="0070016A">
              <w:rPr>
                <w:rFonts w:cstheme="minorHAnsi"/>
                <w:sz w:val="20"/>
                <w:szCs w:val="20"/>
              </w:rPr>
              <w:t>*</w:t>
            </w:r>
          </w:p>
        </w:tc>
        <w:tc>
          <w:tcPr>
            <w:tcW w:w="1134" w:type="dxa"/>
          </w:tcPr>
          <w:p w14:paraId="0EEF7E3F"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4</w:t>
            </w:r>
          </w:p>
        </w:tc>
        <w:tc>
          <w:tcPr>
            <w:tcW w:w="5052" w:type="dxa"/>
          </w:tcPr>
          <w:p w14:paraId="14CAEC3D" w14:textId="6B3D67D1" w:rsidR="0041070B" w:rsidRPr="00ED0FA7" w:rsidRDefault="00041FEE" w:rsidP="00983B2F">
            <w:pPr>
              <w:spacing w:after="160" w:line="259" w:lineRule="auto"/>
              <w:rPr>
                <w:rFonts w:cstheme="minorHAnsi"/>
                <w:sz w:val="20"/>
                <w:szCs w:val="20"/>
              </w:rPr>
            </w:pPr>
            <w:r w:rsidRPr="00041FEE">
              <w:rPr>
                <w:rFonts w:cstheme="minorHAnsi"/>
                <w:sz w:val="20"/>
                <w:szCs w:val="20"/>
              </w:rPr>
              <w:t>At least a relevant AQF Diploma or equivalent OR three (3) years employment experience as a machinery supervisor</w:t>
            </w:r>
          </w:p>
        </w:tc>
      </w:tr>
      <w:tr w:rsidR="0041070B" w:rsidRPr="00ED0FA7" w14:paraId="75673F30" w14:textId="77777777" w:rsidTr="0070016A">
        <w:tc>
          <w:tcPr>
            <w:tcW w:w="1560" w:type="dxa"/>
          </w:tcPr>
          <w:p w14:paraId="69709028"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Section Supervisor </w:t>
            </w:r>
          </w:p>
        </w:tc>
        <w:tc>
          <w:tcPr>
            <w:tcW w:w="1275" w:type="dxa"/>
          </w:tcPr>
          <w:p w14:paraId="1E574C7D" w14:textId="481595A9" w:rsidR="0041070B" w:rsidRPr="00ED0FA7" w:rsidRDefault="0041070B" w:rsidP="00983B2F">
            <w:pPr>
              <w:spacing w:after="160" w:line="259" w:lineRule="auto"/>
              <w:rPr>
                <w:rFonts w:cstheme="minorHAnsi"/>
                <w:sz w:val="20"/>
                <w:szCs w:val="20"/>
              </w:rPr>
            </w:pPr>
            <w:r w:rsidRPr="0070016A">
              <w:rPr>
                <w:rFonts w:cstheme="minorHAnsi"/>
                <w:sz w:val="20"/>
                <w:szCs w:val="20"/>
              </w:rPr>
              <w:t>070499</w:t>
            </w:r>
            <w:r w:rsidR="0070016A">
              <w:rPr>
                <w:rFonts w:cstheme="minorHAnsi"/>
                <w:sz w:val="20"/>
                <w:szCs w:val="20"/>
              </w:rPr>
              <w:t>*</w:t>
            </w:r>
          </w:p>
        </w:tc>
        <w:tc>
          <w:tcPr>
            <w:tcW w:w="1134" w:type="dxa"/>
          </w:tcPr>
          <w:p w14:paraId="161E17DA"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4</w:t>
            </w:r>
          </w:p>
        </w:tc>
        <w:tc>
          <w:tcPr>
            <w:tcW w:w="5052" w:type="dxa"/>
          </w:tcPr>
          <w:p w14:paraId="1B85C1C4" w14:textId="0F952966" w:rsidR="0041070B" w:rsidRPr="00ED0FA7" w:rsidRDefault="007B498D" w:rsidP="00983B2F">
            <w:pPr>
              <w:spacing w:after="160" w:line="259" w:lineRule="auto"/>
              <w:rPr>
                <w:rFonts w:cstheme="minorHAnsi"/>
                <w:sz w:val="20"/>
                <w:szCs w:val="20"/>
              </w:rPr>
            </w:pPr>
            <w:r w:rsidRPr="007B498D">
              <w:rPr>
                <w:rFonts w:cstheme="minorHAnsi"/>
                <w:sz w:val="20"/>
                <w:szCs w:val="20"/>
              </w:rPr>
              <w:t xml:space="preserve">At least relevant AQF Certificate IV or equivalent AND one (1) year (20+ </w:t>
            </w:r>
            <w:proofErr w:type="spellStart"/>
            <w:r w:rsidRPr="007B498D">
              <w:rPr>
                <w:rFonts w:cstheme="minorHAnsi"/>
                <w:sz w:val="20"/>
                <w:szCs w:val="20"/>
              </w:rPr>
              <w:t>hpw</w:t>
            </w:r>
            <w:proofErr w:type="spellEnd"/>
            <w:r w:rsidRPr="007B498D">
              <w:rPr>
                <w:rFonts w:cstheme="minorHAnsi"/>
                <w:sz w:val="20"/>
                <w:szCs w:val="20"/>
              </w:rPr>
              <w:t>) relevant post qualifications experience.</w:t>
            </w:r>
          </w:p>
        </w:tc>
      </w:tr>
      <w:tr w:rsidR="0041070B" w:rsidRPr="00ED0FA7" w14:paraId="79274AEC" w14:textId="77777777" w:rsidTr="0070016A">
        <w:tc>
          <w:tcPr>
            <w:tcW w:w="1560" w:type="dxa"/>
          </w:tcPr>
          <w:p w14:paraId="14EFFD1E"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Production Horticulture Supervisor </w:t>
            </w:r>
          </w:p>
        </w:tc>
        <w:tc>
          <w:tcPr>
            <w:tcW w:w="1275" w:type="dxa"/>
          </w:tcPr>
          <w:p w14:paraId="55CE11EF" w14:textId="7F1B5DC7" w:rsidR="0041070B" w:rsidRPr="00ED0FA7" w:rsidRDefault="0041070B" w:rsidP="00983B2F">
            <w:pPr>
              <w:spacing w:after="160" w:line="259" w:lineRule="auto"/>
              <w:rPr>
                <w:rFonts w:cstheme="minorHAnsi"/>
                <w:sz w:val="20"/>
                <w:szCs w:val="20"/>
              </w:rPr>
            </w:pPr>
            <w:r w:rsidRPr="0070016A">
              <w:rPr>
                <w:rFonts w:cstheme="minorHAnsi"/>
                <w:sz w:val="20"/>
                <w:szCs w:val="20"/>
              </w:rPr>
              <w:t>070499</w:t>
            </w:r>
            <w:r w:rsidR="0070016A">
              <w:rPr>
                <w:rFonts w:cstheme="minorHAnsi"/>
                <w:sz w:val="20"/>
                <w:szCs w:val="20"/>
              </w:rPr>
              <w:t>*</w:t>
            </w:r>
          </w:p>
        </w:tc>
        <w:tc>
          <w:tcPr>
            <w:tcW w:w="1134" w:type="dxa"/>
          </w:tcPr>
          <w:p w14:paraId="5D92D3D7"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4</w:t>
            </w:r>
          </w:p>
        </w:tc>
        <w:tc>
          <w:tcPr>
            <w:tcW w:w="5052" w:type="dxa"/>
          </w:tcPr>
          <w:p w14:paraId="64D5CD06" w14:textId="0E3C92A9" w:rsidR="0041070B" w:rsidRPr="00ED0FA7" w:rsidRDefault="00CA6C6F" w:rsidP="00983B2F">
            <w:pPr>
              <w:spacing w:after="160" w:line="259" w:lineRule="auto"/>
              <w:rPr>
                <w:rFonts w:cstheme="minorHAnsi"/>
                <w:sz w:val="20"/>
                <w:szCs w:val="20"/>
              </w:rPr>
            </w:pPr>
            <w:r w:rsidRPr="00CA6C6F">
              <w:rPr>
                <w:rFonts w:cstheme="minorHAnsi"/>
                <w:sz w:val="20"/>
                <w:szCs w:val="20"/>
              </w:rPr>
              <w:t>At least relevant AQF Certificate III or Certificate IV qualifications or equivalent OR three (3) years employment experience as a production horticulturalist with relevant formal training OR five (5) years employment experience as a production horticulturalist with no formal training</w:t>
            </w:r>
          </w:p>
        </w:tc>
      </w:tr>
      <w:tr w:rsidR="0041070B" w:rsidRPr="00ED0FA7" w14:paraId="63FCB25E" w14:textId="77777777" w:rsidTr="0070016A">
        <w:tc>
          <w:tcPr>
            <w:tcW w:w="1560" w:type="dxa"/>
          </w:tcPr>
          <w:p w14:paraId="73724794" w14:textId="77777777" w:rsidR="0041070B" w:rsidRPr="00ED0FA7" w:rsidRDefault="0041070B" w:rsidP="00983B2F">
            <w:pPr>
              <w:spacing w:after="160" w:line="259" w:lineRule="auto"/>
              <w:rPr>
                <w:rFonts w:cstheme="minorHAnsi"/>
                <w:sz w:val="20"/>
                <w:szCs w:val="20"/>
              </w:rPr>
            </w:pPr>
            <w:proofErr w:type="spellStart"/>
            <w:r w:rsidRPr="00ED0FA7">
              <w:rPr>
                <w:rFonts w:cstheme="minorHAnsi"/>
                <w:sz w:val="20"/>
                <w:szCs w:val="20"/>
              </w:rPr>
              <w:t>Irrigationist</w:t>
            </w:r>
            <w:proofErr w:type="spellEnd"/>
            <w:r w:rsidRPr="00ED0FA7">
              <w:rPr>
                <w:rFonts w:cstheme="minorHAnsi"/>
                <w:sz w:val="20"/>
                <w:szCs w:val="20"/>
              </w:rPr>
              <w:t xml:space="preserve"> </w:t>
            </w:r>
          </w:p>
        </w:tc>
        <w:tc>
          <w:tcPr>
            <w:tcW w:w="1275" w:type="dxa"/>
          </w:tcPr>
          <w:p w14:paraId="0230DEBF"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841999</w:t>
            </w:r>
          </w:p>
        </w:tc>
        <w:tc>
          <w:tcPr>
            <w:tcW w:w="1134" w:type="dxa"/>
          </w:tcPr>
          <w:p w14:paraId="27DE011B"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5</w:t>
            </w:r>
          </w:p>
        </w:tc>
        <w:tc>
          <w:tcPr>
            <w:tcW w:w="5052" w:type="dxa"/>
          </w:tcPr>
          <w:p w14:paraId="0ADD39BD" w14:textId="0AEA46DB" w:rsidR="0041070B" w:rsidRPr="00ED0FA7" w:rsidRDefault="00AD0DBF" w:rsidP="00983B2F">
            <w:pPr>
              <w:spacing w:after="160" w:line="259" w:lineRule="auto"/>
              <w:rPr>
                <w:rFonts w:cstheme="minorHAnsi"/>
                <w:sz w:val="20"/>
                <w:szCs w:val="20"/>
              </w:rPr>
            </w:pPr>
            <w:r w:rsidRPr="00AD0DBF">
              <w:rPr>
                <w:rFonts w:cstheme="minorHAnsi"/>
                <w:sz w:val="20"/>
                <w:szCs w:val="20"/>
              </w:rPr>
              <w:t xml:space="preserve">At least a relevant AQF Certificate II or equivalent AND at least one (1) year (20+ </w:t>
            </w:r>
            <w:proofErr w:type="spellStart"/>
            <w:r w:rsidRPr="00AD0DBF">
              <w:rPr>
                <w:rFonts w:cstheme="minorHAnsi"/>
                <w:sz w:val="20"/>
                <w:szCs w:val="20"/>
              </w:rPr>
              <w:t>hpw</w:t>
            </w:r>
            <w:proofErr w:type="spellEnd"/>
            <w:r w:rsidRPr="00AD0DBF">
              <w:rPr>
                <w:rFonts w:cstheme="minorHAnsi"/>
                <w:sz w:val="20"/>
                <w:szCs w:val="20"/>
              </w:rPr>
              <w:t>) relevant post qualifications experience OR at least two (2) years (38+hpw) relevant experience</w:t>
            </w:r>
          </w:p>
        </w:tc>
      </w:tr>
      <w:tr w:rsidR="0041070B" w:rsidRPr="00ED0FA7" w14:paraId="05D0545B" w14:textId="77777777" w:rsidTr="0070016A">
        <w:tc>
          <w:tcPr>
            <w:tcW w:w="1560" w:type="dxa"/>
          </w:tcPr>
          <w:p w14:paraId="7053AE84" w14:textId="77777777" w:rsidR="0041070B" w:rsidRPr="00ED0FA7" w:rsidRDefault="0041070B" w:rsidP="00983B2F">
            <w:pPr>
              <w:spacing w:after="160" w:line="259" w:lineRule="auto"/>
              <w:rPr>
                <w:rFonts w:cstheme="minorHAnsi"/>
                <w:sz w:val="20"/>
                <w:szCs w:val="20"/>
              </w:rPr>
            </w:pPr>
            <w:proofErr w:type="spellStart"/>
            <w:r w:rsidRPr="00ED0FA7">
              <w:rPr>
                <w:rFonts w:cstheme="minorHAnsi"/>
                <w:sz w:val="20"/>
                <w:szCs w:val="20"/>
              </w:rPr>
              <w:t>Irrigationist</w:t>
            </w:r>
            <w:proofErr w:type="spellEnd"/>
            <w:r w:rsidRPr="00ED0FA7">
              <w:rPr>
                <w:rFonts w:cstheme="minorHAnsi"/>
                <w:sz w:val="20"/>
                <w:szCs w:val="20"/>
              </w:rPr>
              <w:t xml:space="preserve"> Assistant </w:t>
            </w:r>
          </w:p>
        </w:tc>
        <w:tc>
          <w:tcPr>
            <w:tcW w:w="1275" w:type="dxa"/>
          </w:tcPr>
          <w:p w14:paraId="555AED25"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841999</w:t>
            </w:r>
          </w:p>
        </w:tc>
        <w:tc>
          <w:tcPr>
            <w:tcW w:w="1134" w:type="dxa"/>
          </w:tcPr>
          <w:p w14:paraId="1C489390"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5</w:t>
            </w:r>
          </w:p>
        </w:tc>
        <w:tc>
          <w:tcPr>
            <w:tcW w:w="5052" w:type="dxa"/>
          </w:tcPr>
          <w:p w14:paraId="2751BD1A" w14:textId="1E9D2630" w:rsidR="0041070B" w:rsidRPr="00ED0FA7" w:rsidRDefault="00672714" w:rsidP="00983B2F">
            <w:pPr>
              <w:spacing w:after="160" w:line="259" w:lineRule="auto"/>
              <w:rPr>
                <w:rFonts w:cstheme="minorHAnsi"/>
                <w:sz w:val="20"/>
                <w:szCs w:val="20"/>
              </w:rPr>
            </w:pPr>
            <w:r w:rsidRPr="00672714">
              <w:rPr>
                <w:rFonts w:cstheme="minorHAnsi"/>
                <w:sz w:val="20"/>
                <w:szCs w:val="20"/>
              </w:rPr>
              <w:t xml:space="preserve">At least a relevant AQF Certificate II or equivalent AND at least one (1) year (20+ </w:t>
            </w:r>
            <w:proofErr w:type="spellStart"/>
            <w:r w:rsidRPr="00672714">
              <w:rPr>
                <w:rFonts w:cstheme="minorHAnsi"/>
                <w:sz w:val="20"/>
                <w:szCs w:val="20"/>
              </w:rPr>
              <w:t>hpw</w:t>
            </w:r>
            <w:proofErr w:type="spellEnd"/>
            <w:r w:rsidRPr="00672714">
              <w:rPr>
                <w:rFonts w:cstheme="minorHAnsi"/>
                <w:sz w:val="20"/>
                <w:szCs w:val="20"/>
              </w:rPr>
              <w:t xml:space="preserve">) relevant post qualifications experience OR at least two (2) years (38+ </w:t>
            </w:r>
            <w:proofErr w:type="spellStart"/>
            <w:r w:rsidRPr="00672714">
              <w:rPr>
                <w:rFonts w:cstheme="minorHAnsi"/>
                <w:sz w:val="20"/>
                <w:szCs w:val="20"/>
              </w:rPr>
              <w:t>hpw</w:t>
            </w:r>
            <w:proofErr w:type="spellEnd"/>
            <w:r w:rsidRPr="00672714">
              <w:rPr>
                <w:rFonts w:cstheme="minorHAnsi"/>
                <w:sz w:val="20"/>
                <w:szCs w:val="20"/>
              </w:rPr>
              <w:t>) relevant experience</w:t>
            </w:r>
          </w:p>
        </w:tc>
      </w:tr>
      <w:tr w:rsidR="0041070B" w:rsidRPr="00ED0FA7" w14:paraId="7C3E9778" w14:textId="77777777" w:rsidTr="0070016A">
        <w:tc>
          <w:tcPr>
            <w:tcW w:w="1560" w:type="dxa"/>
          </w:tcPr>
          <w:p w14:paraId="2440EC98" w14:textId="77777777" w:rsidR="0041070B" w:rsidRPr="00ED0FA7" w:rsidRDefault="0041070B" w:rsidP="00983B2F">
            <w:pPr>
              <w:spacing w:after="160" w:line="259" w:lineRule="auto"/>
              <w:rPr>
                <w:rFonts w:cstheme="minorHAnsi"/>
                <w:sz w:val="20"/>
                <w:szCs w:val="20"/>
              </w:rPr>
            </w:pPr>
            <w:r w:rsidRPr="00ED0FA7">
              <w:rPr>
                <w:rFonts w:cstheme="minorHAnsi"/>
                <w:sz w:val="20"/>
                <w:szCs w:val="20"/>
              </w:rPr>
              <w:t xml:space="preserve">Horticulture Section Manager </w:t>
            </w:r>
          </w:p>
        </w:tc>
        <w:tc>
          <w:tcPr>
            <w:tcW w:w="1275" w:type="dxa"/>
          </w:tcPr>
          <w:p w14:paraId="69C14C46" w14:textId="57E99AAC" w:rsidR="0041070B" w:rsidRPr="00ED0FA7" w:rsidRDefault="0041070B" w:rsidP="00983B2F">
            <w:pPr>
              <w:spacing w:after="160" w:line="259" w:lineRule="auto"/>
              <w:rPr>
                <w:rFonts w:cstheme="minorHAnsi"/>
                <w:sz w:val="20"/>
                <w:szCs w:val="20"/>
              </w:rPr>
            </w:pPr>
            <w:r w:rsidRPr="0070016A">
              <w:rPr>
                <w:rFonts w:cstheme="minorHAnsi"/>
                <w:sz w:val="20"/>
                <w:szCs w:val="20"/>
              </w:rPr>
              <w:t>070499</w:t>
            </w:r>
            <w:r w:rsidR="0070016A">
              <w:rPr>
                <w:rFonts w:cstheme="minorHAnsi"/>
                <w:sz w:val="20"/>
                <w:szCs w:val="20"/>
              </w:rPr>
              <w:t>*</w:t>
            </w:r>
          </w:p>
        </w:tc>
        <w:tc>
          <w:tcPr>
            <w:tcW w:w="1134" w:type="dxa"/>
          </w:tcPr>
          <w:p w14:paraId="3797F717" w14:textId="77777777" w:rsidR="0041070B" w:rsidRPr="00ED0FA7" w:rsidRDefault="0041070B" w:rsidP="00FB1C2D">
            <w:pPr>
              <w:spacing w:after="160" w:line="259" w:lineRule="auto"/>
              <w:jc w:val="center"/>
              <w:rPr>
                <w:rFonts w:cstheme="minorHAnsi"/>
                <w:sz w:val="20"/>
                <w:szCs w:val="20"/>
              </w:rPr>
            </w:pPr>
            <w:r w:rsidRPr="00ED0FA7">
              <w:rPr>
                <w:rFonts w:cstheme="minorHAnsi"/>
                <w:sz w:val="20"/>
                <w:szCs w:val="20"/>
              </w:rPr>
              <w:t>5</w:t>
            </w:r>
          </w:p>
        </w:tc>
        <w:tc>
          <w:tcPr>
            <w:tcW w:w="5052" w:type="dxa"/>
          </w:tcPr>
          <w:p w14:paraId="5BEF0924" w14:textId="45C63593" w:rsidR="0041070B" w:rsidRPr="00ED0FA7" w:rsidRDefault="00D50333" w:rsidP="00983B2F">
            <w:pPr>
              <w:spacing w:after="160" w:line="259" w:lineRule="auto"/>
              <w:rPr>
                <w:rFonts w:cstheme="minorHAnsi"/>
                <w:sz w:val="20"/>
                <w:szCs w:val="20"/>
              </w:rPr>
            </w:pPr>
            <w:r w:rsidRPr="00D50333">
              <w:rPr>
                <w:rFonts w:cstheme="minorHAnsi"/>
                <w:sz w:val="20"/>
                <w:szCs w:val="20"/>
              </w:rPr>
              <w:t xml:space="preserve">At least relevant AQF Certificate IV or equivalent AND one (1) year (20+ </w:t>
            </w:r>
            <w:proofErr w:type="spellStart"/>
            <w:r w:rsidRPr="00D50333">
              <w:rPr>
                <w:rFonts w:cstheme="minorHAnsi"/>
                <w:sz w:val="20"/>
                <w:szCs w:val="20"/>
              </w:rPr>
              <w:t>hpw</w:t>
            </w:r>
            <w:proofErr w:type="spellEnd"/>
            <w:r w:rsidRPr="00D50333">
              <w:rPr>
                <w:rFonts w:cstheme="minorHAnsi"/>
                <w:sz w:val="20"/>
                <w:szCs w:val="20"/>
              </w:rPr>
              <w:t>) relevant post qualifications experience</w:t>
            </w:r>
          </w:p>
        </w:tc>
      </w:tr>
    </w:tbl>
    <w:p w14:paraId="405363BF" w14:textId="6DBBE45E" w:rsidR="00D60896" w:rsidRPr="0070016A" w:rsidRDefault="0070016A" w:rsidP="0070016A">
      <w:r w:rsidRPr="0070016A">
        <w:t>* Where an occupation in the table above does not exist in ANZSCO, the closest equivalent occupation available under ANZSCO has been utilised. Where no close equivalent exists, code 070499 is used with the relevant skills/qualifications specified under the terms of each Labour Agreement.</w:t>
      </w:r>
    </w:p>
    <w:p w14:paraId="3F9F47D8" w14:textId="64F90576" w:rsidR="00BB1FF7" w:rsidRDefault="009B0AA6" w:rsidP="004353B3">
      <w:pPr>
        <w:pStyle w:val="Heading1"/>
        <w:spacing w:before="0"/>
        <w:jc w:val="center"/>
        <w:rPr>
          <w:b/>
          <w:bCs/>
        </w:rPr>
      </w:pPr>
      <w:bookmarkStart w:id="35" w:name="_Annex_4:_Designated"/>
      <w:bookmarkStart w:id="36" w:name="_Toc90621517"/>
      <w:bookmarkEnd w:id="35"/>
      <w:r w:rsidRPr="00D70444">
        <w:rPr>
          <w:b/>
          <w:bCs/>
        </w:rPr>
        <w:lastRenderedPageBreak/>
        <w:t>Annex</w:t>
      </w:r>
      <w:r w:rsidR="00D70444" w:rsidRPr="00D70444">
        <w:rPr>
          <w:b/>
          <w:bCs/>
        </w:rPr>
        <w:t xml:space="preserve"> </w:t>
      </w:r>
      <w:r w:rsidR="00867948">
        <w:rPr>
          <w:b/>
          <w:bCs/>
        </w:rPr>
        <w:t>4</w:t>
      </w:r>
      <w:r w:rsidRPr="00D70444">
        <w:rPr>
          <w:b/>
          <w:bCs/>
        </w:rPr>
        <w:t xml:space="preserve">: </w:t>
      </w:r>
      <w:r w:rsidR="0081237F">
        <w:rPr>
          <w:b/>
          <w:bCs/>
        </w:rPr>
        <w:t>Designated Area Migration Agreements (</w:t>
      </w:r>
      <w:r w:rsidRPr="00D70444">
        <w:rPr>
          <w:b/>
          <w:bCs/>
        </w:rPr>
        <w:t>DAMAs</w:t>
      </w:r>
      <w:r w:rsidR="0081237F">
        <w:rPr>
          <w:b/>
          <w:bCs/>
        </w:rPr>
        <w:t>)</w:t>
      </w:r>
      <w:bookmarkEnd w:id="36"/>
    </w:p>
    <w:p w14:paraId="0EABCE95" w14:textId="77777777" w:rsidR="000E1960" w:rsidRDefault="000E1960" w:rsidP="009E74C3">
      <w:pPr>
        <w:spacing w:after="0"/>
      </w:pPr>
    </w:p>
    <w:p w14:paraId="18D65DFD" w14:textId="5956623B" w:rsidR="002A1D0B" w:rsidRDefault="002A1D0B" w:rsidP="002A1D0B">
      <w:pPr>
        <w:spacing w:after="0"/>
        <w:jc w:val="both"/>
        <w:rPr>
          <w:rStyle w:val="markedcontent"/>
        </w:rPr>
      </w:pPr>
      <w:r>
        <w:rPr>
          <w:rStyle w:val="markedcontent"/>
        </w:rPr>
        <w:t xml:space="preserve">This fact sheet </w:t>
      </w:r>
      <w:r w:rsidRPr="004F058F">
        <w:rPr>
          <w:rStyle w:val="markedcontent"/>
        </w:rPr>
        <w:t xml:space="preserve">should be read in conjunction with official Home Affairs information. </w:t>
      </w:r>
      <w:r>
        <w:rPr>
          <w:rStyle w:val="markedcontent"/>
        </w:rPr>
        <w:t xml:space="preserve">It </w:t>
      </w:r>
      <w:r w:rsidRPr="004F058F">
        <w:rPr>
          <w:rStyle w:val="markedcontent"/>
        </w:rPr>
        <w:t xml:space="preserve">represents the best efforts of the </w:t>
      </w:r>
      <w:proofErr w:type="gramStart"/>
      <w:r w:rsidRPr="004F058F">
        <w:rPr>
          <w:rStyle w:val="markedcontent"/>
        </w:rPr>
        <w:t>authors, but</w:t>
      </w:r>
      <w:proofErr w:type="gramEnd"/>
      <w:r w:rsidRPr="004F058F">
        <w:rPr>
          <w:rStyle w:val="markedcontent"/>
        </w:rPr>
        <w:t xml:space="preserve"> note that information can become quickly out of date, and the information presented </w:t>
      </w:r>
      <w:r>
        <w:rPr>
          <w:rStyle w:val="markedcontent"/>
        </w:rPr>
        <w:t xml:space="preserve">herein </w:t>
      </w:r>
      <w:r w:rsidRPr="004F058F">
        <w:rPr>
          <w:rStyle w:val="markedcontent"/>
        </w:rPr>
        <w:t>should only be used as a guide for and stimulus to further investigation, and should not replace reliance on official information</w:t>
      </w:r>
      <w:r>
        <w:rPr>
          <w:rStyle w:val="markedcontent"/>
        </w:rPr>
        <w:t>.</w:t>
      </w:r>
    </w:p>
    <w:p w14:paraId="62035503" w14:textId="77777777" w:rsidR="002A1D0B" w:rsidRDefault="002A1D0B" w:rsidP="002A1D0B">
      <w:pPr>
        <w:spacing w:after="0"/>
        <w:jc w:val="both"/>
        <w:rPr>
          <w:rStyle w:val="markedcontent"/>
        </w:rPr>
      </w:pPr>
    </w:p>
    <w:p w14:paraId="3D5E24FE" w14:textId="0F000EAE" w:rsidR="009E74C3" w:rsidRDefault="0082311A" w:rsidP="009E74C3">
      <w:pPr>
        <w:spacing w:after="0"/>
      </w:pPr>
      <w:r>
        <w:t xml:space="preserve">There are </w:t>
      </w:r>
      <w:r w:rsidR="00A2322C">
        <w:t>two state</w:t>
      </w:r>
      <w:r w:rsidR="00A5598D">
        <w:t>/territory</w:t>
      </w:r>
      <w:r w:rsidR="00A2322C">
        <w:t xml:space="preserve"> wide</w:t>
      </w:r>
      <w:r w:rsidR="00A5598D">
        <w:t xml:space="preserve"> DAMAs </w:t>
      </w:r>
      <w:r w:rsidR="00251F1A">
        <w:t>(S</w:t>
      </w:r>
      <w:r w:rsidR="00A658B1">
        <w:t>A</w:t>
      </w:r>
      <w:r w:rsidR="00251F1A">
        <w:t xml:space="preserve"> and N</w:t>
      </w:r>
      <w:r w:rsidR="00A658B1">
        <w:t>T</w:t>
      </w:r>
      <w:r w:rsidR="00251F1A">
        <w:t xml:space="preserve">) </w:t>
      </w:r>
      <w:r w:rsidR="00A5598D">
        <w:t xml:space="preserve">and </w:t>
      </w:r>
      <w:r w:rsidR="00A2322C">
        <w:t>four regional DAMAs</w:t>
      </w:r>
      <w:r w:rsidR="00A5598D">
        <w:t xml:space="preserve"> </w:t>
      </w:r>
      <w:r w:rsidR="002609F3">
        <w:t>in each of four states</w:t>
      </w:r>
      <w:r w:rsidR="00251F1A">
        <w:t>, Qld</w:t>
      </w:r>
      <w:r w:rsidR="00EE552A">
        <w:t xml:space="preserve">, NSW, </w:t>
      </w:r>
      <w:proofErr w:type="gramStart"/>
      <w:r w:rsidR="00EE552A">
        <w:t>Vic</w:t>
      </w:r>
      <w:proofErr w:type="gramEnd"/>
      <w:r w:rsidR="00EE552A">
        <w:t xml:space="preserve"> and WA</w:t>
      </w:r>
      <w:r w:rsidR="002609F3">
        <w:t xml:space="preserve">. </w:t>
      </w:r>
      <w:r w:rsidR="009E74C3">
        <w:t>Details are in the table below.</w:t>
      </w:r>
    </w:p>
    <w:p w14:paraId="768D9D8C" w14:textId="5FBE0B26" w:rsidR="007A6A45" w:rsidRDefault="007A6A45" w:rsidP="009E74C3">
      <w:pPr>
        <w:spacing w:after="0"/>
        <w:jc w:val="both"/>
      </w:pPr>
      <w:r>
        <w:fldChar w:fldCharType="begin"/>
      </w:r>
      <w:r>
        <w:instrText xml:space="preserve"> LINK Excel.Sheet.12 "https://d.docs.live.net/6d2004f3d6110e8d/Documents/1ANU Development Policy Centre/1TSS working group/DAMAs/DAMA Matrix/DAMA matrix draft_22OcCarers Hospitality.xlsx" "All DAMAs!R1C3:R7C5" \a \f 5 \h  \* MERGEFORMAT </w:instrText>
      </w:r>
      <w:r>
        <w:fldChar w:fldCharType="separate"/>
      </w:r>
    </w:p>
    <w:tbl>
      <w:tblPr>
        <w:tblStyle w:val="TableGrid"/>
        <w:tblW w:w="8926" w:type="dxa"/>
        <w:tblLook w:val="04A0" w:firstRow="1" w:lastRow="0" w:firstColumn="1" w:lastColumn="0" w:noHBand="0" w:noVBand="1"/>
      </w:tblPr>
      <w:tblGrid>
        <w:gridCol w:w="2830"/>
        <w:gridCol w:w="2835"/>
        <w:gridCol w:w="3261"/>
      </w:tblGrid>
      <w:tr w:rsidR="007A6A45" w:rsidRPr="00D21149" w14:paraId="136FB9CA" w14:textId="77777777" w:rsidTr="0070016A">
        <w:trPr>
          <w:trHeight w:val="300"/>
        </w:trPr>
        <w:tc>
          <w:tcPr>
            <w:tcW w:w="2830" w:type="dxa"/>
            <w:shd w:val="clear" w:color="auto" w:fill="FFC000" w:themeFill="accent4"/>
            <w:hideMark/>
          </w:tcPr>
          <w:p w14:paraId="32C913B2" w14:textId="7D59F195" w:rsidR="007A6A45" w:rsidRPr="00D21149" w:rsidRDefault="007A6A45" w:rsidP="0046693F">
            <w:pPr>
              <w:rPr>
                <w:b/>
                <w:bCs/>
                <w:sz w:val="20"/>
                <w:szCs w:val="20"/>
              </w:rPr>
            </w:pPr>
            <w:r w:rsidRPr="00D21149">
              <w:rPr>
                <w:b/>
                <w:bCs/>
                <w:sz w:val="20"/>
                <w:szCs w:val="20"/>
              </w:rPr>
              <w:t>Name</w:t>
            </w:r>
          </w:p>
        </w:tc>
        <w:tc>
          <w:tcPr>
            <w:tcW w:w="2835" w:type="dxa"/>
            <w:shd w:val="clear" w:color="auto" w:fill="FFC000" w:themeFill="accent4"/>
            <w:noWrap/>
            <w:hideMark/>
          </w:tcPr>
          <w:p w14:paraId="67054F9B" w14:textId="693D3B69" w:rsidR="007A6A45" w:rsidRPr="00D21149" w:rsidRDefault="007A6A45" w:rsidP="0046693F">
            <w:pPr>
              <w:rPr>
                <w:b/>
                <w:bCs/>
                <w:sz w:val="20"/>
                <w:szCs w:val="20"/>
              </w:rPr>
            </w:pPr>
            <w:r w:rsidRPr="00D21149">
              <w:rPr>
                <w:b/>
                <w:bCs/>
                <w:sz w:val="20"/>
                <w:szCs w:val="20"/>
              </w:rPr>
              <w:t>Designated Area Representative</w:t>
            </w:r>
          </w:p>
        </w:tc>
        <w:tc>
          <w:tcPr>
            <w:tcW w:w="3261" w:type="dxa"/>
            <w:shd w:val="clear" w:color="auto" w:fill="FFC000" w:themeFill="accent4"/>
            <w:noWrap/>
            <w:hideMark/>
          </w:tcPr>
          <w:p w14:paraId="51CBD323" w14:textId="77777777" w:rsidR="007A6A45" w:rsidRPr="00D21149" w:rsidRDefault="007A6A45" w:rsidP="0046693F">
            <w:pPr>
              <w:rPr>
                <w:b/>
                <w:bCs/>
                <w:sz w:val="20"/>
                <w:szCs w:val="20"/>
              </w:rPr>
            </w:pPr>
            <w:r w:rsidRPr="00D21149">
              <w:rPr>
                <w:b/>
                <w:bCs/>
                <w:sz w:val="20"/>
                <w:szCs w:val="20"/>
              </w:rPr>
              <w:t>When launched</w:t>
            </w:r>
          </w:p>
        </w:tc>
      </w:tr>
      <w:tr w:rsidR="007A6A45" w:rsidRPr="00D21149" w14:paraId="7F010C36" w14:textId="77777777" w:rsidTr="000E1960">
        <w:trPr>
          <w:trHeight w:val="603"/>
        </w:trPr>
        <w:tc>
          <w:tcPr>
            <w:tcW w:w="2830" w:type="dxa"/>
            <w:vAlign w:val="center"/>
            <w:hideMark/>
          </w:tcPr>
          <w:p w14:paraId="40372637" w14:textId="1667FD94" w:rsidR="007A6A45" w:rsidRPr="00D21149" w:rsidRDefault="00383966" w:rsidP="0046693F">
            <w:pPr>
              <w:rPr>
                <w:sz w:val="20"/>
                <w:szCs w:val="20"/>
                <w:u w:val="single"/>
              </w:rPr>
            </w:pPr>
            <w:hyperlink r:id="rId38" w:history="1">
              <w:r w:rsidR="007A6A45" w:rsidRPr="00D21149">
                <w:rPr>
                  <w:rStyle w:val="Hyperlink"/>
                  <w:sz w:val="20"/>
                  <w:szCs w:val="20"/>
                </w:rPr>
                <w:t>Northern Territory DAMA</w:t>
              </w:r>
            </w:hyperlink>
          </w:p>
        </w:tc>
        <w:tc>
          <w:tcPr>
            <w:tcW w:w="2835" w:type="dxa"/>
            <w:vAlign w:val="center"/>
            <w:hideMark/>
          </w:tcPr>
          <w:p w14:paraId="1EC1EFCA" w14:textId="77777777" w:rsidR="007A6A45" w:rsidRPr="00D21149" w:rsidRDefault="007A6A45" w:rsidP="0046693F">
            <w:pPr>
              <w:rPr>
                <w:sz w:val="20"/>
                <w:szCs w:val="20"/>
              </w:rPr>
            </w:pPr>
            <w:r w:rsidRPr="00D21149">
              <w:rPr>
                <w:sz w:val="20"/>
                <w:szCs w:val="20"/>
              </w:rPr>
              <w:t>NT Govt Dept of Industry, Tourism &amp; Trade</w:t>
            </w:r>
          </w:p>
        </w:tc>
        <w:tc>
          <w:tcPr>
            <w:tcW w:w="3261" w:type="dxa"/>
            <w:vAlign w:val="center"/>
            <w:hideMark/>
          </w:tcPr>
          <w:p w14:paraId="1118C9C4" w14:textId="77777777" w:rsidR="007A6A45" w:rsidRPr="00D21149" w:rsidRDefault="007A6A45" w:rsidP="0046693F">
            <w:pPr>
              <w:rPr>
                <w:sz w:val="20"/>
                <w:szCs w:val="20"/>
              </w:rPr>
            </w:pPr>
            <w:r w:rsidRPr="00D21149">
              <w:rPr>
                <w:sz w:val="20"/>
                <w:szCs w:val="20"/>
              </w:rPr>
              <w:t xml:space="preserve">First DAMA January 2015 </w:t>
            </w:r>
            <w:r w:rsidRPr="00D21149">
              <w:rPr>
                <w:sz w:val="20"/>
                <w:szCs w:val="20"/>
              </w:rPr>
              <w:br/>
              <w:t>Second DAMA 1 January 2019</w:t>
            </w:r>
          </w:p>
        </w:tc>
      </w:tr>
      <w:tr w:rsidR="007A6A45" w:rsidRPr="00D21149" w14:paraId="55A55830" w14:textId="77777777" w:rsidTr="000E1960">
        <w:trPr>
          <w:trHeight w:val="591"/>
        </w:trPr>
        <w:tc>
          <w:tcPr>
            <w:tcW w:w="2830" w:type="dxa"/>
            <w:vAlign w:val="center"/>
            <w:hideMark/>
          </w:tcPr>
          <w:p w14:paraId="663E73AB" w14:textId="2E77C632" w:rsidR="007A6A45" w:rsidRPr="00D21149" w:rsidRDefault="00383966" w:rsidP="0046693F">
            <w:pPr>
              <w:rPr>
                <w:sz w:val="20"/>
                <w:szCs w:val="20"/>
                <w:u w:val="single"/>
              </w:rPr>
            </w:pPr>
            <w:hyperlink r:id="rId39" w:history="1">
              <w:r w:rsidR="007A6A45" w:rsidRPr="00D21149">
                <w:rPr>
                  <w:rStyle w:val="Hyperlink"/>
                  <w:sz w:val="20"/>
                  <w:szCs w:val="20"/>
                </w:rPr>
                <w:t>Goldfields WA DAMA</w:t>
              </w:r>
            </w:hyperlink>
          </w:p>
        </w:tc>
        <w:tc>
          <w:tcPr>
            <w:tcW w:w="2835" w:type="dxa"/>
            <w:noWrap/>
            <w:vAlign w:val="center"/>
            <w:hideMark/>
          </w:tcPr>
          <w:p w14:paraId="04E8514C" w14:textId="77777777" w:rsidR="007A6A45" w:rsidRPr="00D21149" w:rsidRDefault="007A6A45" w:rsidP="0046693F">
            <w:pPr>
              <w:rPr>
                <w:sz w:val="20"/>
                <w:szCs w:val="20"/>
              </w:rPr>
            </w:pPr>
            <w:r w:rsidRPr="00D21149">
              <w:rPr>
                <w:sz w:val="20"/>
                <w:szCs w:val="20"/>
              </w:rPr>
              <w:t>City of Kalgoorlie Boulder</w:t>
            </w:r>
          </w:p>
        </w:tc>
        <w:tc>
          <w:tcPr>
            <w:tcW w:w="3261" w:type="dxa"/>
            <w:noWrap/>
            <w:vAlign w:val="center"/>
            <w:hideMark/>
          </w:tcPr>
          <w:p w14:paraId="5F8392D8" w14:textId="77777777" w:rsidR="007A6A45" w:rsidRPr="00D21149" w:rsidRDefault="007A6A45" w:rsidP="0046693F">
            <w:pPr>
              <w:rPr>
                <w:sz w:val="20"/>
                <w:szCs w:val="20"/>
              </w:rPr>
            </w:pPr>
            <w:r w:rsidRPr="00D21149">
              <w:rPr>
                <w:sz w:val="20"/>
                <w:szCs w:val="20"/>
              </w:rPr>
              <w:t>March 2019</w:t>
            </w:r>
          </w:p>
        </w:tc>
      </w:tr>
      <w:tr w:rsidR="007A6A45" w:rsidRPr="00D21149" w14:paraId="72C2E1F0" w14:textId="77777777" w:rsidTr="000E1960">
        <w:trPr>
          <w:trHeight w:val="538"/>
        </w:trPr>
        <w:tc>
          <w:tcPr>
            <w:tcW w:w="2830" w:type="dxa"/>
            <w:vAlign w:val="center"/>
            <w:hideMark/>
          </w:tcPr>
          <w:p w14:paraId="4334FC9C" w14:textId="43FB452E" w:rsidR="007A6A45" w:rsidRPr="00D21149" w:rsidRDefault="00383966" w:rsidP="0046693F">
            <w:pPr>
              <w:rPr>
                <w:sz w:val="20"/>
                <w:szCs w:val="20"/>
                <w:u w:val="single"/>
              </w:rPr>
            </w:pPr>
            <w:hyperlink r:id="rId40" w:history="1">
              <w:r w:rsidR="007A6A45" w:rsidRPr="00D21149">
                <w:rPr>
                  <w:rStyle w:val="Hyperlink"/>
                  <w:sz w:val="20"/>
                  <w:szCs w:val="20"/>
                </w:rPr>
                <w:t>Great South Coast DAMA</w:t>
              </w:r>
            </w:hyperlink>
          </w:p>
        </w:tc>
        <w:tc>
          <w:tcPr>
            <w:tcW w:w="2835" w:type="dxa"/>
            <w:noWrap/>
            <w:vAlign w:val="center"/>
            <w:hideMark/>
          </w:tcPr>
          <w:p w14:paraId="62CBB7F9" w14:textId="77777777" w:rsidR="007A6A45" w:rsidRPr="00D21149" w:rsidRDefault="007A6A45" w:rsidP="0046693F">
            <w:pPr>
              <w:rPr>
                <w:sz w:val="20"/>
                <w:szCs w:val="20"/>
              </w:rPr>
            </w:pPr>
            <w:r w:rsidRPr="00D21149">
              <w:rPr>
                <w:sz w:val="20"/>
                <w:szCs w:val="20"/>
              </w:rPr>
              <w:t>Warrnambool City Council</w:t>
            </w:r>
          </w:p>
        </w:tc>
        <w:tc>
          <w:tcPr>
            <w:tcW w:w="3261" w:type="dxa"/>
            <w:noWrap/>
            <w:vAlign w:val="center"/>
            <w:hideMark/>
          </w:tcPr>
          <w:p w14:paraId="3C5DBA5A" w14:textId="77777777" w:rsidR="007A6A45" w:rsidRPr="00D21149" w:rsidRDefault="007A6A45" w:rsidP="0046693F">
            <w:pPr>
              <w:rPr>
                <w:sz w:val="20"/>
                <w:szCs w:val="20"/>
              </w:rPr>
            </w:pPr>
            <w:r w:rsidRPr="00D21149">
              <w:rPr>
                <w:sz w:val="20"/>
                <w:szCs w:val="20"/>
              </w:rPr>
              <w:t>June 2019</w:t>
            </w:r>
          </w:p>
        </w:tc>
      </w:tr>
      <w:tr w:rsidR="007A6A45" w:rsidRPr="00D21149" w14:paraId="7FE610DA" w14:textId="77777777" w:rsidTr="000E1960">
        <w:trPr>
          <w:trHeight w:val="830"/>
        </w:trPr>
        <w:tc>
          <w:tcPr>
            <w:tcW w:w="2830" w:type="dxa"/>
            <w:vAlign w:val="center"/>
            <w:hideMark/>
          </w:tcPr>
          <w:p w14:paraId="3962ACD3" w14:textId="1999C776" w:rsidR="007A6A45" w:rsidRPr="00D21149" w:rsidRDefault="00383966" w:rsidP="0046693F">
            <w:pPr>
              <w:rPr>
                <w:sz w:val="20"/>
                <w:szCs w:val="20"/>
                <w:u w:val="single"/>
              </w:rPr>
            </w:pPr>
            <w:hyperlink r:id="rId41" w:history="1">
              <w:r w:rsidR="007A6A45" w:rsidRPr="00D21149">
                <w:rPr>
                  <w:rStyle w:val="Hyperlink"/>
                  <w:sz w:val="20"/>
                  <w:szCs w:val="20"/>
                </w:rPr>
                <w:t>South Australian Regional Workforce Agreement</w:t>
              </w:r>
            </w:hyperlink>
          </w:p>
        </w:tc>
        <w:tc>
          <w:tcPr>
            <w:tcW w:w="2835" w:type="dxa"/>
            <w:vAlign w:val="center"/>
            <w:hideMark/>
          </w:tcPr>
          <w:p w14:paraId="198CDF37" w14:textId="2E2D2D70" w:rsidR="007A6A45" w:rsidRPr="00D21149" w:rsidRDefault="007A6A45" w:rsidP="0046693F">
            <w:pPr>
              <w:rPr>
                <w:sz w:val="20"/>
                <w:szCs w:val="20"/>
              </w:rPr>
            </w:pPr>
            <w:r w:rsidRPr="00D21149">
              <w:rPr>
                <w:sz w:val="20"/>
                <w:szCs w:val="20"/>
              </w:rPr>
              <w:t>Skilled &amp; Business Migration, SA Dep</w:t>
            </w:r>
            <w:r w:rsidR="00D60896" w:rsidRPr="00D21149">
              <w:rPr>
                <w:sz w:val="20"/>
                <w:szCs w:val="20"/>
              </w:rPr>
              <w:t>artmen</w:t>
            </w:r>
            <w:r w:rsidRPr="00D21149">
              <w:rPr>
                <w:sz w:val="20"/>
                <w:szCs w:val="20"/>
              </w:rPr>
              <w:t>t for Innovation and Skills</w:t>
            </w:r>
          </w:p>
        </w:tc>
        <w:tc>
          <w:tcPr>
            <w:tcW w:w="3261" w:type="dxa"/>
            <w:noWrap/>
            <w:vAlign w:val="center"/>
            <w:hideMark/>
          </w:tcPr>
          <w:p w14:paraId="4C5BFC2C" w14:textId="77777777" w:rsidR="007A6A45" w:rsidRPr="00D21149" w:rsidRDefault="007A6A45" w:rsidP="0046693F">
            <w:pPr>
              <w:rPr>
                <w:sz w:val="20"/>
                <w:szCs w:val="20"/>
              </w:rPr>
            </w:pPr>
            <w:r w:rsidRPr="00D21149">
              <w:rPr>
                <w:sz w:val="20"/>
                <w:szCs w:val="20"/>
              </w:rPr>
              <w:t>April 2019</w:t>
            </w:r>
          </w:p>
        </w:tc>
      </w:tr>
      <w:tr w:rsidR="007A6A45" w:rsidRPr="00D21149" w14:paraId="13AE1CD6" w14:textId="77777777" w:rsidTr="000E1960">
        <w:trPr>
          <w:trHeight w:val="700"/>
        </w:trPr>
        <w:tc>
          <w:tcPr>
            <w:tcW w:w="2830" w:type="dxa"/>
            <w:vAlign w:val="center"/>
            <w:hideMark/>
          </w:tcPr>
          <w:p w14:paraId="3821787A" w14:textId="4DBE526F" w:rsidR="007A6A45" w:rsidRPr="00D21149" w:rsidRDefault="00383966" w:rsidP="0046693F">
            <w:pPr>
              <w:rPr>
                <w:sz w:val="20"/>
                <w:szCs w:val="20"/>
                <w:u w:val="single"/>
              </w:rPr>
            </w:pPr>
            <w:hyperlink r:id="rId42" w:history="1">
              <w:r w:rsidR="007A6A45" w:rsidRPr="00D21149">
                <w:rPr>
                  <w:rStyle w:val="Hyperlink"/>
                  <w:sz w:val="20"/>
                  <w:szCs w:val="20"/>
                </w:rPr>
                <w:t xml:space="preserve">Orana Region </w:t>
              </w:r>
              <w:r w:rsidR="00FA7114" w:rsidRPr="00D21149">
                <w:rPr>
                  <w:rStyle w:val="Hyperlink"/>
                  <w:sz w:val="20"/>
                  <w:szCs w:val="20"/>
                </w:rPr>
                <w:t xml:space="preserve">NSW </w:t>
              </w:r>
              <w:r w:rsidR="007A6A45" w:rsidRPr="00D21149">
                <w:rPr>
                  <w:rStyle w:val="Hyperlink"/>
                  <w:sz w:val="20"/>
                  <w:szCs w:val="20"/>
                </w:rPr>
                <w:t>DAMA</w:t>
              </w:r>
            </w:hyperlink>
          </w:p>
        </w:tc>
        <w:tc>
          <w:tcPr>
            <w:tcW w:w="2835" w:type="dxa"/>
            <w:vAlign w:val="center"/>
            <w:hideMark/>
          </w:tcPr>
          <w:p w14:paraId="7717AEC4" w14:textId="5F9180F5" w:rsidR="007A6A45" w:rsidRPr="00D21149" w:rsidRDefault="007A6A45" w:rsidP="0046693F">
            <w:pPr>
              <w:rPr>
                <w:sz w:val="20"/>
                <w:szCs w:val="20"/>
              </w:rPr>
            </w:pPr>
            <w:r w:rsidRPr="00D21149">
              <w:rPr>
                <w:sz w:val="20"/>
                <w:szCs w:val="20"/>
              </w:rPr>
              <w:t>Regional Development Australia Orana</w:t>
            </w:r>
            <w:r w:rsidR="000E3FEB" w:rsidRPr="00D21149">
              <w:rPr>
                <w:sz w:val="20"/>
                <w:szCs w:val="20"/>
              </w:rPr>
              <w:t xml:space="preserve"> NSW</w:t>
            </w:r>
          </w:p>
        </w:tc>
        <w:tc>
          <w:tcPr>
            <w:tcW w:w="3261" w:type="dxa"/>
            <w:noWrap/>
            <w:vAlign w:val="center"/>
            <w:hideMark/>
          </w:tcPr>
          <w:p w14:paraId="62989C39" w14:textId="1EEA9BF8" w:rsidR="007A6A45" w:rsidRPr="00D21149" w:rsidRDefault="00DD724F" w:rsidP="0046693F">
            <w:pPr>
              <w:rPr>
                <w:sz w:val="20"/>
                <w:szCs w:val="20"/>
              </w:rPr>
            </w:pPr>
            <w:r w:rsidRPr="00D21149">
              <w:rPr>
                <w:sz w:val="20"/>
                <w:szCs w:val="20"/>
              </w:rPr>
              <w:t xml:space="preserve">April </w:t>
            </w:r>
            <w:r w:rsidR="007A6A45" w:rsidRPr="00D21149">
              <w:rPr>
                <w:sz w:val="20"/>
                <w:szCs w:val="20"/>
              </w:rPr>
              <w:t>2019</w:t>
            </w:r>
          </w:p>
        </w:tc>
      </w:tr>
      <w:tr w:rsidR="007A6A45" w:rsidRPr="00D21149" w14:paraId="70A21D82" w14:textId="77777777" w:rsidTr="000E1960">
        <w:trPr>
          <w:trHeight w:val="698"/>
        </w:trPr>
        <w:tc>
          <w:tcPr>
            <w:tcW w:w="2830" w:type="dxa"/>
            <w:vAlign w:val="center"/>
            <w:hideMark/>
          </w:tcPr>
          <w:p w14:paraId="19950753" w14:textId="1351EF64" w:rsidR="007A6A45" w:rsidRPr="00D21149" w:rsidRDefault="00383966" w:rsidP="0046693F">
            <w:pPr>
              <w:rPr>
                <w:sz w:val="20"/>
                <w:szCs w:val="20"/>
                <w:u w:val="single"/>
              </w:rPr>
            </w:pPr>
            <w:hyperlink r:id="rId43" w:history="1">
              <w:r w:rsidR="007A6A45" w:rsidRPr="00D21149">
                <w:rPr>
                  <w:rStyle w:val="Hyperlink"/>
                  <w:sz w:val="20"/>
                  <w:szCs w:val="20"/>
                </w:rPr>
                <w:t>Far North Queensland DAMA</w:t>
              </w:r>
            </w:hyperlink>
          </w:p>
        </w:tc>
        <w:tc>
          <w:tcPr>
            <w:tcW w:w="2835" w:type="dxa"/>
            <w:noWrap/>
            <w:vAlign w:val="center"/>
            <w:hideMark/>
          </w:tcPr>
          <w:p w14:paraId="0546BCDE" w14:textId="77777777" w:rsidR="007A6A45" w:rsidRPr="00D21149" w:rsidRDefault="007A6A45" w:rsidP="0046693F">
            <w:pPr>
              <w:rPr>
                <w:sz w:val="20"/>
                <w:szCs w:val="20"/>
              </w:rPr>
            </w:pPr>
            <w:r w:rsidRPr="00D21149">
              <w:rPr>
                <w:sz w:val="20"/>
                <w:szCs w:val="20"/>
              </w:rPr>
              <w:t xml:space="preserve">Cairns Chamber of Commerce </w:t>
            </w:r>
          </w:p>
        </w:tc>
        <w:tc>
          <w:tcPr>
            <w:tcW w:w="3261" w:type="dxa"/>
            <w:vAlign w:val="center"/>
            <w:hideMark/>
          </w:tcPr>
          <w:p w14:paraId="05C84F98" w14:textId="3EE76A45" w:rsidR="007A6A45" w:rsidRPr="00D21149" w:rsidRDefault="007A6A45" w:rsidP="0046693F">
            <w:pPr>
              <w:rPr>
                <w:sz w:val="20"/>
                <w:szCs w:val="20"/>
              </w:rPr>
            </w:pPr>
            <w:r w:rsidRPr="00D21149">
              <w:rPr>
                <w:sz w:val="20"/>
                <w:szCs w:val="20"/>
              </w:rPr>
              <w:t>September 2019, Revised FNQ DAMA 1.2 18 June 2021</w:t>
            </w:r>
          </w:p>
        </w:tc>
      </w:tr>
    </w:tbl>
    <w:p w14:paraId="7B09F4C5" w14:textId="1EAA5733" w:rsidR="0070016A" w:rsidRDefault="007A6A45" w:rsidP="0046693F">
      <w:pPr>
        <w:spacing w:after="0"/>
      </w:pPr>
      <w:r>
        <w:fldChar w:fldCharType="end"/>
      </w:r>
    </w:p>
    <w:p w14:paraId="0B4162E8" w14:textId="631B739E" w:rsidR="00B720C9" w:rsidRDefault="00B720C9" w:rsidP="009E74C3">
      <w:pPr>
        <w:spacing w:after="0"/>
        <w:jc w:val="both"/>
      </w:pPr>
      <w:r>
        <w:t xml:space="preserve">Two DAMAs are </w:t>
      </w:r>
      <w:r w:rsidR="00363562">
        <w:t>managed by state/territory departments</w:t>
      </w:r>
      <w:r w:rsidR="00911038">
        <w:t xml:space="preserve"> (SA and NT), two are managed by </w:t>
      </w:r>
      <w:r w:rsidR="006A0F86">
        <w:t xml:space="preserve">a </w:t>
      </w:r>
      <w:r w:rsidR="00911038">
        <w:t xml:space="preserve">local </w:t>
      </w:r>
      <w:r w:rsidR="006A0F86">
        <w:t xml:space="preserve">government authority </w:t>
      </w:r>
      <w:r w:rsidR="00610D32">
        <w:t>which includes other local government areas, one is managed by a</w:t>
      </w:r>
      <w:r w:rsidR="009B09F5">
        <w:t>n association representing the private sector (</w:t>
      </w:r>
      <w:r w:rsidR="004537C9">
        <w:t xml:space="preserve">Cairns Chamber of Commerce) and one </w:t>
      </w:r>
      <w:r w:rsidR="000E41F8">
        <w:t xml:space="preserve">is </w:t>
      </w:r>
      <w:r w:rsidR="00B15E65">
        <w:t xml:space="preserve">managed by a </w:t>
      </w:r>
      <w:r w:rsidR="00EA4FB3">
        <w:t xml:space="preserve">Regional Development Australia committee, </w:t>
      </w:r>
      <w:r w:rsidR="00782E36">
        <w:t>funded by the Australian government</w:t>
      </w:r>
      <w:r w:rsidR="009469E8">
        <w:t xml:space="preserve"> (RDA Orana NSW).</w:t>
      </w:r>
      <w:r w:rsidR="00CC4DB2">
        <w:t xml:space="preserve"> DAMAs are based on a five-year agreement with the </w:t>
      </w:r>
      <w:r w:rsidR="00AF487B">
        <w:t xml:space="preserve">Department of Home Affairs. Each DAMA has a cap on the number of jobs that can be filled </w:t>
      </w:r>
      <w:r w:rsidR="006E45F9">
        <w:t xml:space="preserve">each year. </w:t>
      </w:r>
    </w:p>
    <w:p w14:paraId="2F2F5D73" w14:textId="77777777" w:rsidR="009E74C3" w:rsidRDefault="009E74C3" w:rsidP="009E74C3">
      <w:pPr>
        <w:spacing w:after="0"/>
        <w:jc w:val="both"/>
      </w:pPr>
    </w:p>
    <w:p w14:paraId="308B5DAF" w14:textId="5B7E5C6B" w:rsidR="00812CF2" w:rsidRDefault="00812CF2" w:rsidP="009E74C3">
      <w:pPr>
        <w:spacing w:after="0"/>
        <w:jc w:val="both"/>
      </w:pPr>
      <w:r>
        <w:t xml:space="preserve">The sponsoring agency for the DAMA (known as the Designated Area Representative) is </w:t>
      </w:r>
      <w:r w:rsidR="00010A25">
        <w:t xml:space="preserve">responsible for the management and administration of the DAMA. This involves assessing and endorsing employers who want to sponsor </w:t>
      </w:r>
      <w:r w:rsidR="009E74C3">
        <w:t xml:space="preserve">(in the next 12 months) </w:t>
      </w:r>
      <w:r w:rsidR="00010A25">
        <w:t>overseas workers under the DAMA</w:t>
      </w:r>
      <w:r w:rsidR="00D60896">
        <w:t>;</w:t>
      </w:r>
      <w:r w:rsidR="00666D53">
        <w:t xml:space="preserve"> and m</w:t>
      </w:r>
      <w:r w:rsidR="00010A25">
        <w:t xml:space="preserve">onitoring, reporting, and reviewing activity as </w:t>
      </w:r>
      <w:r w:rsidR="00666D53">
        <w:t xml:space="preserve">required by </w:t>
      </w:r>
      <w:r w:rsidR="00010A25">
        <w:t>the Department of Home Affairs</w:t>
      </w:r>
      <w:r w:rsidR="00666D53">
        <w:t xml:space="preserve">. </w:t>
      </w:r>
      <w:r w:rsidR="00C16CB0">
        <w:t>The Designated Area Representative is also expected to c</w:t>
      </w:r>
      <w:r w:rsidR="00010A25">
        <w:t>onsult with employers</w:t>
      </w:r>
      <w:r w:rsidR="00C16CB0">
        <w:t xml:space="preserve"> and other </w:t>
      </w:r>
      <w:r w:rsidR="00010A25">
        <w:t xml:space="preserve">key stakeholders </w:t>
      </w:r>
      <w:r w:rsidR="00A8138B">
        <w:t xml:space="preserve">and to </w:t>
      </w:r>
      <w:r w:rsidR="00010A25">
        <w:t>monito</w:t>
      </w:r>
      <w:r w:rsidR="00A8138B">
        <w:t>r</w:t>
      </w:r>
      <w:r w:rsidR="00010A25">
        <w:t xml:space="preserve"> the effectiveness of the DAMA.</w:t>
      </w:r>
    </w:p>
    <w:p w14:paraId="5114FB92" w14:textId="77777777" w:rsidR="009E74C3" w:rsidRDefault="009E74C3" w:rsidP="009E74C3">
      <w:pPr>
        <w:spacing w:after="0"/>
        <w:jc w:val="both"/>
      </w:pPr>
    </w:p>
    <w:p w14:paraId="6D148644" w14:textId="103FE7A1" w:rsidR="009B1259" w:rsidRDefault="009B1259" w:rsidP="009E74C3">
      <w:pPr>
        <w:spacing w:after="0"/>
        <w:jc w:val="both"/>
      </w:pPr>
      <w:r>
        <w:t>The</w:t>
      </w:r>
      <w:r w:rsidR="006C220A">
        <w:t xml:space="preserve"> range of occupations </w:t>
      </w:r>
      <w:r w:rsidR="006E45F9">
        <w:t xml:space="preserve">nominated for </w:t>
      </w:r>
      <w:r w:rsidR="009F36D5">
        <w:t xml:space="preserve">DAMA </w:t>
      </w:r>
      <w:r w:rsidR="006E45F9">
        <w:t xml:space="preserve">concessions </w:t>
      </w:r>
      <w:r w:rsidR="006C220A">
        <w:t xml:space="preserve">varies between </w:t>
      </w:r>
      <w:r w:rsidR="003D21DC">
        <w:t>designated areas</w:t>
      </w:r>
      <w:r w:rsidR="00A3555D">
        <w:t xml:space="preserve">. They cover all five ANZSCO skill levels </w:t>
      </w:r>
      <w:r w:rsidR="00CA3AC3">
        <w:t>from managers, professiona</w:t>
      </w:r>
      <w:r w:rsidR="00081A4C">
        <w:t xml:space="preserve">ls, technician, </w:t>
      </w:r>
      <w:proofErr w:type="gramStart"/>
      <w:r w:rsidR="00081A4C">
        <w:t>trades</w:t>
      </w:r>
      <w:proofErr w:type="gramEnd"/>
      <w:r w:rsidR="00081A4C">
        <w:t xml:space="preserve"> and lower</w:t>
      </w:r>
      <w:r w:rsidR="004C450E">
        <w:t>-</w:t>
      </w:r>
      <w:r w:rsidR="00081A4C">
        <w:t xml:space="preserve">skilled workers. DAMAs also </w:t>
      </w:r>
      <w:r w:rsidR="00742A79">
        <w:t>can include occupations not listed in ANZSCO</w:t>
      </w:r>
      <w:r w:rsidR="00AB33AE">
        <w:t xml:space="preserve">. The occupations listed </w:t>
      </w:r>
      <w:r w:rsidR="00C340EE">
        <w:t xml:space="preserve">are </w:t>
      </w:r>
      <w:r w:rsidR="003D21DC">
        <w:t xml:space="preserve">based on </w:t>
      </w:r>
      <w:r w:rsidR="00200FF6">
        <w:t xml:space="preserve">local skill needs identified by employers. </w:t>
      </w:r>
      <w:r w:rsidR="00B916DB">
        <w:t xml:space="preserve">The concessions offered </w:t>
      </w:r>
      <w:r w:rsidR="00752D3A">
        <w:t xml:space="preserve">also differ by occupation, in relation to </w:t>
      </w:r>
      <w:r w:rsidR="00F0516A">
        <w:t xml:space="preserve">qualifications and relevant work experience, </w:t>
      </w:r>
      <w:r w:rsidR="00ED4E0E">
        <w:t>eligibility for a T</w:t>
      </w:r>
      <w:r w:rsidR="002B23DC" w:rsidRPr="002B23DC">
        <w:t>emporary Skilled Migration Income Threshold (TSMIT)</w:t>
      </w:r>
      <w:r w:rsidR="00ED4E0E">
        <w:t xml:space="preserve">, and </w:t>
      </w:r>
      <w:r w:rsidR="00594A30">
        <w:t xml:space="preserve">English language requirements. </w:t>
      </w:r>
    </w:p>
    <w:p w14:paraId="4209B9FF" w14:textId="0A313705" w:rsidR="000E1960" w:rsidRDefault="000E1960" w:rsidP="009E74C3">
      <w:pPr>
        <w:spacing w:after="0"/>
        <w:jc w:val="both"/>
      </w:pPr>
    </w:p>
    <w:p w14:paraId="1D1863F4" w14:textId="31AA154A" w:rsidR="000E1960" w:rsidRDefault="00C947FA" w:rsidP="009E74C3">
      <w:pPr>
        <w:spacing w:after="0"/>
        <w:jc w:val="both"/>
      </w:pPr>
      <w:r>
        <w:lastRenderedPageBreak/>
        <w:t>DAMA c</w:t>
      </w:r>
      <w:r w:rsidR="000E1960">
        <w:t xml:space="preserve">oncessions in relation to meat </w:t>
      </w:r>
      <w:r w:rsidR="00287ACD">
        <w:t xml:space="preserve">processing </w:t>
      </w:r>
      <w:r>
        <w:t xml:space="preserve">occupations </w:t>
      </w:r>
      <w:r w:rsidR="000E1960">
        <w:t xml:space="preserve">are shown in </w:t>
      </w:r>
      <w:hyperlink w:anchor="_Annex_2:_PLS-to-TSS" w:history="1">
        <w:r w:rsidR="000E1960" w:rsidRPr="005572E5">
          <w:rPr>
            <w:rStyle w:val="Hyperlink"/>
          </w:rPr>
          <w:t>Annex 2</w:t>
        </w:r>
      </w:hyperlink>
      <w:r w:rsidR="000E1960">
        <w:t>. Concessions in relation to carers and hospitality workers are shown at the end of this annex.</w:t>
      </w:r>
    </w:p>
    <w:p w14:paraId="0E188168" w14:textId="77777777" w:rsidR="009E74C3" w:rsidRDefault="009E74C3" w:rsidP="009E74C3">
      <w:pPr>
        <w:spacing w:after="0"/>
        <w:jc w:val="both"/>
      </w:pPr>
    </w:p>
    <w:p w14:paraId="35E566A2" w14:textId="11E2005C" w:rsidR="005A2428" w:rsidRDefault="005A2428" w:rsidP="009E74C3">
      <w:pPr>
        <w:spacing w:after="0"/>
        <w:jc w:val="both"/>
      </w:pPr>
      <w:r>
        <w:t xml:space="preserve">Linking the PLS with the DAMAs in regional areas </w:t>
      </w:r>
      <w:r w:rsidR="009E74C3">
        <w:t>would have</w:t>
      </w:r>
      <w:r>
        <w:t xml:space="preserve"> several advantages for an employer and a worker. For migrants from the Pacific and Timor-Leste who want to see their job as a </w:t>
      </w:r>
      <w:proofErr w:type="gramStart"/>
      <w:r>
        <w:t>stepping</w:t>
      </w:r>
      <w:r w:rsidR="00D60896">
        <w:t xml:space="preserve"> </w:t>
      </w:r>
      <w:r>
        <w:t>stone</w:t>
      </w:r>
      <w:proofErr w:type="gramEnd"/>
      <w:r>
        <w:t xml:space="preserve"> to more secure, better</w:t>
      </w:r>
      <w:r w:rsidR="00D60896">
        <w:t>-</w:t>
      </w:r>
      <w:r>
        <w:t xml:space="preserve">paid employment </w:t>
      </w:r>
      <w:r w:rsidR="007B08A8">
        <w:t xml:space="preserve">in Australia </w:t>
      </w:r>
      <w:r>
        <w:t xml:space="preserve">and having their families with them, the advantages of access to the concessions offered by the DAMA pathway for their occupation is a major incentive. </w:t>
      </w:r>
    </w:p>
    <w:p w14:paraId="33EEBB6B" w14:textId="6898BEC0" w:rsidR="000E1960" w:rsidRDefault="000E1960" w:rsidP="009E74C3">
      <w:pPr>
        <w:spacing w:after="0"/>
        <w:jc w:val="both"/>
      </w:pPr>
    </w:p>
    <w:p w14:paraId="51D7EC6F" w14:textId="6506F2B2" w:rsidR="000E1960" w:rsidRDefault="000E1960" w:rsidP="000E1960">
      <w:pPr>
        <w:spacing w:after="0"/>
        <w:jc w:val="both"/>
      </w:pPr>
      <w:r>
        <w:t xml:space="preserve">Many employers in regional areas want to employ workers who see themselves as having a future in that region and with that employer. PLS workers on a year-to-year contract for a maximum of </w:t>
      </w:r>
      <w:r w:rsidR="005D28A2">
        <w:t>four</w:t>
      </w:r>
      <w:r>
        <w:t xml:space="preserve"> years and who are unaccompanied by their partners and children are </w:t>
      </w:r>
      <w:r w:rsidR="007B08A8">
        <w:t xml:space="preserve">seen by many regional employers as </w:t>
      </w:r>
      <w:r>
        <w:t xml:space="preserve">only a partial solution for </w:t>
      </w:r>
      <w:r w:rsidR="007B08A8">
        <w:t>addressing their skill needs</w:t>
      </w:r>
      <w:r>
        <w:t xml:space="preserve">. </w:t>
      </w:r>
    </w:p>
    <w:p w14:paraId="30AE33CB" w14:textId="2605AD44" w:rsidR="009E74C3" w:rsidRDefault="009E74C3" w:rsidP="009E74C3">
      <w:pPr>
        <w:spacing w:after="0"/>
        <w:jc w:val="both"/>
      </w:pPr>
    </w:p>
    <w:p w14:paraId="62B66434" w14:textId="637C3B08" w:rsidR="004C2AFD" w:rsidRDefault="00360A8C" w:rsidP="00B66D9A">
      <w:pPr>
        <w:spacing w:after="0"/>
        <w:jc w:val="both"/>
        <w:sectPr w:rsidR="004C2AFD" w:rsidSect="004C2AFD">
          <w:footerReference w:type="default" r:id="rId44"/>
          <w:pgSz w:w="11906" w:h="16838"/>
          <w:pgMar w:top="1440" w:right="1440" w:bottom="1440" w:left="1440" w:header="708" w:footer="708" w:gutter="0"/>
          <w:cols w:space="708"/>
          <w:docGrid w:linePitch="360"/>
        </w:sectPr>
      </w:pPr>
      <w:r>
        <w:t xml:space="preserve">However, whether employers </w:t>
      </w:r>
      <w:r w:rsidR="00B66D9A">
        <w:t xml:space="preserve">in DAMA areas </w:t>
      </w:r>
      <w:r>
        <w:t xml:space="preserve">are ready to hire under </w:t>
      </w:r>
      <w:r w:rsidR="00B66D9A">
        <w:t xml:space="preserve">the TSS </w:t>
      </w:r>
      <w:r>
        <w:t xml:space="preserve">in the occupations found in the PLS remains to be seen. Together, the DAMAs cover an area in which only </w:t>
      </w:r>
      <w:r w:rsidR="00E930F4">
        <w:t>one</w:t>
      </w:r>
      <w:r>
        <w:t xml:space="preserve"> million Australians live. They are relatively new instruments, and little used, especially at the lower skill levels.</w:t>
      </w:r>
      <w:r>
        <w:rPr>
          <w:rStyle w:val="FootnoteReference"/>
        </w:rPr>
        <w:footnoteReference w:id="21"/>
      </w:r>
      <w:r>
        <w:t xml:space="preserve"> </w:t>
      </w:r>
      <w:r w:rsidR="00B66D9A">
        <w:t xml:space="preserve">The costs of TSS visa, the length of TSS </w:t>
      </w:r>
      <w:r w:rsidR="007B08A8">
        <w:t xml:space="preserve">visa </w:t>
      </w:r>
      <w:r w:rsidR="00B66D9A">
        <w:t>processing time, and the minimum-income thresholds for TSS occupations could all be deterrents.</w:t>
      </w:r>
    </w:p>
    <w:p w14:paraId="09127A4D" w14:textId="77777777" w:rsidR="009D635E" w:rsidRDefault="009D635E" w:rsidP="009D635E">
      <w:pPr>
        <w:rPr>
          <w:b/>
          <w:bCs/>
          <w:sz w:val="28"/>
          <w:szCs w:val="28"/>
        </w:rPr>
      </w:pPr>
      <w:r w:rsidRPr="00656CCF">
        <w:rPr>
          <w:b/>
          <w:bCs/>
          <w:sz w:val="28"/>
          <w:szCs w:val="28"/>
        </w:rPr>
        <w:lastRenderedPageBreak/>
        <w:t>Summary of DAMA provisions relating to carers</w:t>
      </w:r>
    </w:p>
    <w:p w14:paraId="24EA8303" w14:textId="77777777" w:rsidR="009D635E" w:rsidRPr="00D3013C" w:rsidRDefault="009D635E" w:rsidP="009D635E">
      <w:pPr>
        <w:rPr>
          <w:b/>
          <w:bCs/>
        </w:rPr>
      </w:pPr>
      <w:r>
        <w:rPr>
          <w:b/>
          <w:bCs/>
        </w:rPr>
        <w:t>NT</w:t>
      </w:r>
    </w:p>
    <w:tbl>
      <w:tblPr>
        <w:tblStyle w:val="TableGrid"/>
        <w:tblW w:w="9152" w:type="dxa"/>
        <w:tblLook w:val="0420" w:firstRow="1" w:lastRow="0" w:firstColumn="0" w:lastColumn="0" w:noHBand="0" w:noVBand="1"/>
      </w:tblPr>
      <w:tblGrid>
        <w:gridCol w:w="3048"/>
        <w:gridCol w:w="2858"/>
        <w:gridCol w:w="3246"/>
      </w:tblGrid>
      <w:tr w:rsidR="009D635E" w:rsidRPr="0070016A" w14:paraId="471F0955" w14:textId="77777777" w:rsidTr="0070016A">
        <w:trPr>
          <w:trHeight w:val="294"/>
        </w:trPr>
        <w:tc>
          <w:tcPr>
            <w:tcW w:w="3048" w:type="dxa"/>
            <w:shd w:val="clear" w:color="auto" w:fill="FFC000" w:themeFill="accent4"/>
          </w:tcPr>
          <w:p w14:paraId="53B0D5EB" w14:textId="77777777" w:rsidR="009D635E" w:rsidRPr="0070016A" w:rsidRDefault="009D635E" w:rsidP="00983B2F">
            <w:pPr>
              <w:rPr>
                <w:b/>
                <w:bCs/>
                <w:sz w:val="20"/>
                <w:szCs w:val="20"/>
              </w:rPr>
            </w:pPr>
            <w:r w:rsidRPr="0070016A">
              <w:rPr>
                <w:b/>
                <w:bCs/>
                <w:sz w:val="20"/>
                <w:szCs w:val="20"/>
              </w:rPr>
              <w:t xml:space="preserve">ANZSCO </w:t>
            </w:r>
          </w:p>
        </w:tc>
        <w:tc>
          <w:tcPr>
            <w:tcW w:w="2858" w:type="dxa"/>
            <w:shd w:val="clear" w:color="auto" w:fill="FFC000" w:themeFill="accent4"/>
          </w:tcPr>
          <w:p w14:paraId="420B6B51" w14:textId="77777777" w:rsidR="009D635E" w:rsidRPr="0070016A" w:rsidRDefault="009D635E" w:rsidP="00983B2F">
            <w:pPr>
              <w:rPr>
                <w:b/>
                <w:bCs/>
                <w:sz w:val="20"/>
                <w:szCs w:val="20"/>
              </w:rPr>
            </w:pPr>
            <w:r w:rsidRPr="0070016A">
              <w:rPr>
                <w:b/>
                <w:bCs/>
                <w:sz w:val="20"/>
                <w:szCs w:val="20"/>
              </w:rPr>
              <w:t xml:space="preserve">Skill Level </w:t>
            </w:r>
          </w:p>
        </w:tc>
        <w:tc>
          <w:tcPr>
            <w:tcW w:w="3246" w:type="dxa"/>
            <w:shd w:val="clear" w:color="auto" w:fill="FFC000" w:themeFill="accent4"/>
          </w:tcPr>
          <w:p w14:paraId="4B20DF30" w14:textId="77777777" w:rsidR="009D635E" w:rsidRPr="0070016A" w:rsidRDefault="009D635E" w:rsidP="00983B2F">
            <w:pPr>
              <w:rPr>
                <w:b/>
                <w:bCs/>
                <w:sz w:val="20"/>
                <w:szCs w:val="20"/>
              </w:rPr>
            </w:pPr>
            <w:r w:rsidRPr="0070016A">
              <w:rPr>
                <w:b/>
                <w:bCs/>
                <w:sz w:val="20"/>
                <w:szCs w:val="20"/>
              </w:rPr>
              <w:t xml:space="preserve">Occupation </w:t>
            </w:r>
          </w:p>
        </w:tc>
      </w:tr>
      <w:tr w:rsidR="009D635E" w14:paraId="0E560150" w14:textId="77777777" w:rsidTr="00983B2F">
        <w:trPr>
          <w:trHeight w:val="294"/>
        </w:trPr>
        <w:tc>
          <w:tcPr>
            <w:tcW w:w="3048" w:type="dxa"/>
          </w:tcPr>
          <w:p w14:paraId="0CB5D401" w14:textId="77777777" w:rsidR="009D635E" w:rsidRPr="009E0160" w:rsidRDefault="009D635E" w:rsidP="00983B2F">
            <w:pPr>
              <w:rPr>
                <w:sz w:val="20"/>
                <w:szCs w:val="20"/>
              </w:rPr>
            </w:pPr>
            <w:r w:rsidRPr="009E0160">
              <w:rPr>
                <w:sz w:val="20"/>
                <w:szCs w:val="20"/>
              </w:rPr>
              <w:t>421111</w:t>
            </w:r>
          </w:p>
        </w:tc>
        <w:tc>
          <w:tcPr>
            <w:tcW w:w="2858" w:type="dxa"/>
          </w:tcPr>
          <w:p w14:paraId="3692E0D6" w14:textId="77777777" w:rsidR="009D635E" w:rsidRPr="009E0160" w:rsidRDefault="009D635E" w:rsidP="00983B2F">
            <w:pPr>
              <w:rPr>
                <w:sz w:val="20"/>
                <w:szCs w:val="20"/>
              </w:rPr>
            </w:pPr>
            <w:r w:rsidRPr="009E0160">
              <w:rPr>
                <w:sz w:val="20"/>
                <w:szCs w:val="20"/>
              </w:rPr>
              <w:t>4</w:t>
            </w:r>
          </w:p>
        </w:tc>
        <w:tc>
          <w:tcPr>
            <w:tcW w:w="3246" w:type="dxa"/>
          </w:tcPr>
          <w:p w14:paraId="3BC84D9B" w14:textId="77777777" w:rsidR="009D635E" w:rsidRPr="009E0160" w:rsidRDefault="009D635E" w:rsidP="00983B2F">
            <w:pPr>
              <w:rPr>
                <w:sz w:val="20"/>
                <w:szCs w:val="20"/>
              </w:rPr>
            </w:pPr>
            <w:r w:rsidRPr="009E0160">
              <w:rPr>
                <w:sz w:val="20"/>
                <w:szCs w:val="20"/>
              </w:rPr>
              <w:t xml:space="preserve">Childcare Worker </w:t>
            </w:r>
          </w:p>
        </w:tc>
      </w:tr>
      <w:tr w:rsidR="009D635E" w14:paraId="245A686C" w14:textId="77777777" w:rsidTr="00983B2F">
        <w:trPr>
          <w:trHeight w:val="294"/>
        </w:trPr>
        <w:tc>
          <w:tcPr>
            <w:tcW w:w="3048" w:type="dxa"/>
          </w:tcPr>
          <w:p w14:paraId="147D10EA" w14:textId="77777777" w:rsidR="009D635E" w:rsidRPr="009E0160" w:rsidRDefault="009D635E" w:rsidP="00983B2F">
            <w:pPr>
              <w:rPr>
                <w:sz w:val="20"/>
                <w:szCs w:val="20"/>
              </w:rPr>
            </w:pPr>
            <w:r w:rsidRPr="009E0160">
              <w:rPr>
                <w:sz w:val="20"/>
                <w:szCs w:val="20"/>
              </w:rPr>
              <w:t>423111</w:t>
            </w:r>
          </w:p>
        </w:tc>
        <w:tc>
          <w:tcPr>
            <w:tcW w:w="2858" w:type="dxa"/>
          </w:tcPr>
          <w:p w14:paraId="1CFE92FD" w14:textId="77777777" w:rsidR="009D635E" w:rsidRPr="009E0160" w:rsidRDefault="009D635E" w:rsidP="00983B2F">
            <w:pPr>
              <w:rPr>
                <w:sz w:val="20"/>
                <w:szCs w:val="20"/>
              </w:rPr>
            </w:pPr>
            <w:r w:rsidRPr="009E0160">
              <w:rPr>
                <w:sz w:val="20"/>
                <w:szCs w:val="20"/>
              </w:rPr>
              <w:t>4</w:t>
            </w:r>
          </w:p>
        </w:tc>
        <w:tc>
          <w:tcPr>
            <w:tcW w:w="3246" w:type="dxa"/>
          </w:tcPr>
          <w:p w14:paraId="6D59AD4E" w14:textId="77777777" w:rsidR="009D635E" w:rsidRPr="009E0160" w:rsidRDefault="009D635E" w:rsidP="00983B2F">
            <w:pPr>
              <w:rPr>
                <w:sz w:val="20"/>
                <w:szCs w:val="20"/>
              </w:rPr>
            </w:pPr>
            <w:r w:rsidRPr="009E0160">
              <w:rPr>
                <w:sz w:val="20"/>
                <w:szCs w:val="20"/>
              </w:rPr>
              <w:t>Aged or Disabled Carer</w:t>
            </w:r>
          </w:p>
        </w:tc>
      </w:tr>
      <w:tr w:rsidR="009D635E" w14:paraId="336D9578" w14:textId="77777777" w:rsidTr="00983B2F">
        <w:trPr>
          <w:trHeight w:val="283"/>
        </w:trPr>
        <w:tc>
          <w:tcPr>
            <w:tcW w:w="3048" w:type="dxa"/>
          </w:tcPr>
          <w:p w14:paraId="3B64BE0B" w14:textId="77777777" w:rsidR="009D635E" w:rsidRPr="009E0160" w:rsidRDefault="009D635E" w:rsidP="00983B2F">
            <w:pPr>
              <w:rPr>
                <w:sz w:val="20"/>
                <w:szCs w:val="20"/>
              </w:rPr>
            </w:pPr>
            <w:r w:rsidRPr="009E0160">
              <w:rPr>
                <w:sz w:val="20"/>
                <w:szCs w:val="20"/>
              </w:rPr>
              <w:t>423313</w:t>
            </w:r>
          </w:p>
        </w:tc>
        <w:tc>
          <w:tcPr>
            <w:tcW w:w="2858" w:type="dxa"/>
          </w:tcPr>
          <w:p w14:paraId="22DB786D" w14:textId="77777777" w:rsidR="009D635E" w:rsidRPr="009E0160" w:rsidRDefault="009D635E" w:rsidP="00983B2F">
            <w:pPr>
              <w:rPr>
                <w:sz w:val="20"/>
                <w:szCs w:val="20"/>
              </w:rPr>
            </w:pPr>
            <w:r w:rsidRPr="009E0160">
              <w:rPr>
                <w:sz w:val="20"/>
                <w:szCs w:val="20"/>
              </w:rPr>
              <w:t>4</w:t>
            </w:r>
          </w:p>
        </w:tc>
        <w:tc>
          <w:tcPr>
            <w:tcW w:w="3246" w:type="dxa"/>
          </w:tcPr>
          <w:p w14:paraId="58A7AB90" w14:textId="77777777" w:rsidR="009D635E" w:rsidRPr="009E0160" w:rsidRDefault="009D635E" w:rsidP="00983B2F">
            <w:pPr>
              <w:rPr>
                <w:sz w:val="20"/>
                <w:szCs w:val="20"/>
              </w:rPr>
            </w:pPr>
            <w:r w:rsidRPr="009E0160">
              <w:rPr>
                <w:sz w:val="20"/>
                <w:szCs w:val="20"/>
              </w:rPr>
              <w:t xml:space="preserve">Personal Care Assistant </w:t>
            </w:r>
          </w:p>
        </w:tc>
      </w:tr>
    </w:tbl>
    <w:p w14:paraId="0E0BF47D" w14:textId="242BC143" w:rsidR="009D635E" w:rsidRDefault="009D635E" w:rsidP="009D635E">
      <w:pPr>
        <w:rPr>
          <w:rFonts w:ascii="Calibri" w:eastAsia="Times New Roman" w:hAnsi="Calibri" w:cs="Calibri"/>
          <w:color w:val="000000"/>
          <w:lang w:eastAsia="en-AU"/>
        </w:rPr>
      </w:pPr>
      <w:r>
        <w:rPr>
          <w:rFonts w:ascii="Calibri" w:eastAsia="Times New Roman" w:hAnsi="Calibri" w:cs="Calibri"/>
          <w:b/>
          <w:bCs/>
          <w:color w:val="000000"/>
          <w:lang w:eastAsia="en-AU"/>
        </w:rPr>
        <w:br/>
      </w:r>
      <w:r w:rsidRPr="005667B1">
        <w:rPr>
          <w:rFonts w:ascii="Calibri" w:eastAsia="Times New Roman" w:hAnsi="Calibri" w:cs="Calibri"/>
          <w:b/>
          <w:bCs/>
          <w:color w:val="000000"/>
          <w:lang w:eastAsia="en-AU"/>
        </w:rPr>
        <w:t xml:space="preserve">Required qualifications and work experience: </w:t>
      </w:r>
      <w:r w:rsidR="00B1125F" w:rsidRPr="00B1125F">
        <w:rPr>
          <w:rFonts w:ascii="Calibri" w:eastAsia="Times New Roman" w:hAnsi="Calibri" w:cs="Calibri"/>
          <w:color w:val="000000"/>
          <w:lang w:eastAsia="en-AU"/>
        </w:rPr>
        <w:t xml:space="preserve">Undergo a skills verification by the Northern Territory Department of Industry, Tourism and Trade AND have at least a relevant Australian </w:t>
      </w:r>
      <w:r w:rsidR="002E0A57" w:rsidRPr="00B1125F">
        <w:rPr>
          <w:rFonts w:ascii="Calibri" w:eastAsia="Times New Roman" w:hAnsi="Calibri" w:cs="Calibri"/>
          <w:color w:val="000000"/>
          <w:lang w:eastAsia="en-AU"/>
        </w:rPr>
        <w:t xml:space="preserve">Qualifications Framework </w:t>
      </w:r>
      <w:r w:rsidR="00B1125F" w:rsidRPr="00B1125F">
        <w:rPr>
          <w:rFonts w:ascii="Calibri" w:eastAsia="Times New Roman" w:hAnsi="Calibri" w:cs="Calibri"/>
          <w:color w:val="000000"/>
          <w:lang w:eastAsia="en-AU"/>
        </w:rPr>
        <w:t xml:space="preserve">(AQF) diploma or equivalent or </w:t>
      </w:r>
      <w:r w:rsidR="002E0A57" w:rsidRPr="00B1125F">
        <w:rPr>
          <w:rFonts w:ascii="Calibri" w:eastAsia="Times New Roman" w:hAnsi="Calibri" w:cs="Calibri"/>
          <w:color w:val="000000"/>
          <w:lang w:eastAsia="en-AU"/>
        </w:rPr>
        <w:t>higher-level</w:t>
      </w:r>
      <w:r w:rsidR="00B1125F" w:rsidRPr="00B1125F">
        <w:rPr>
          <w:rFonts w:ascii="Calibri" w:eastAsia="Times New Roman" w:hAnsi="Calibri" w:cs="Calibri"/>
          <w:color w:val="000000"/>
          <w:lang w:eastAsia="en-AU"/>
        </w:rPr>
        <w:t xml:space="preserve"> qualification AND have at least one (1) year (20+ hours per week – </w:t>
      </w:r>
      <w:proofErr w:type="spellStart"/>
      <w:r w:rsidR="00B1125F" w:rsidRPr="00B1125F">
        <w:rPr>
          <w:rFonts w:ascii="Calibri" w:eastAsia="Times New Roman" w:hAnsi="Calibri" w:cs="Calibri"/>
          <w:color w:val="000000"/>
          <w:lang w:eastAsia="en-AU"/>
        </w:rPr>
        <w:t>hpw</w:t>
      </w:r>
      <w:proofErr w:type="spellEnd"/>
      <w:r w:rsidR="00B1125F" w:rsidRPr="00B1125F">
        <w:rPr>
          <w:rFonts w:ascii="Calibri" w:eastAsia="Times New Roman" w:hAnsi="Calibri" w:cs="Calibri"/>
          <w:color w:val="000000"/>
          <w:lang w:eastAsia="en-AU"/>
        </w:rPr>
        <w:t>) relevant post qualification experience; work experience cannot be calculated on a pro rata basis</w:t>
      </w:r>
      <w:r>
        <w:rPr>
          <w:rFonts w:ascii="Calibri" w:eastAsia="Times New Roman" w:hAnsi="Calibri" w:cs="Calibri"/>
          <w:color w:val="000000"/>
          <w:lang w:eastAsia="en-AU"/>
        </w:rPr>
        <w:t xml:space="preserve"> </w:t>
      </w:r>
    </w:p>
    <w:p w14:paraId="7BAF155B" w14:textId="77777777" w:rsidR="009D635E" w:rsidRPr="005667B1" w:rsidRDefault="009D635E" w:rsidP="009D635E">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Pr="00CD0832">
        <w:rPr>
          <w:rFonts w:ascii="Calibri" w:eastAsia="Times New Roman" w:hAnsi="Calibri" w:cs="Calibri"/>
          <w:color w:val="000000"/>
          <w:lang w:eastAsia="en-AU"/>
        </w:rPr>
        <w:t>N</w:t>
      </w:r>
      <w:r>
        <w:rPr>
          <w:rFonts w:ascii="Calibri" w:eastAsia="Times New Roman" w:hAnsi="Calibri" w:cs="Calibri"/>
          <w:color w:val="000000"/>
          <w:lang w:eastAsia="en-AU"/>
        </w:rPr>
        <w:t>/A</w:t>
      </w:r>
    </w:p>
    <w:p w14:paraId="06D33BDF" w14:textId="77777777" w:rsidR="009D635E" w:rsidRPr="00D3013C" w:rsidRDefault="009D635E" w:rsidP="009D635E">
      <w:pPr>
        <w:rPr>
          <w:b/>
          <w:bCs/>
        </w:rPr>
      </w:pPr>
      <w:r>
        <w:rPr>
          <w:b/>
          <w:bCs/>
        </w:rPr>
        <w:t xml:space="preserve">Orana regional (NSW) </w:t>
      </w:r>
    </w:p>
    <w:tbl>
      <w:tblPr>
        <w:tblStyle w:val="TableGrid"/>
        <w:tblW w:w="9152" w:type="dxa"/>
        <w:tblLook w:val="0420" w:firstRow="1" w:lastRow="0" w:firstColumn="0" w:lastColumn="0" w:noHBand="0" w:noVBand="1"/>
      </w:tblPr>
      <w:tblGrid>
        <w:gridCol w:w="3048"/>
        <w:gridCol w:w="2858"/>
        <w:gridCol w:w="3246"/>
      </w:tblGrid>
      <w:tr w:rsidR="009D635E" w:rsidRPr="0070016A" w14:paraId="4219D504" w14:textId="77777777" w:rsidTr="0070016A">
        <w:trPr>
          <w:trHeight w:val="294"/>
        </w:trPr>
        <w:tc>
          <w:tcPr>
            <w:tcW w:w="3048" w:type="dxa"/>
            <w:shd w:val="clear" w:color="auto" w:fill="FFC000" w:themeFill="accent4"/>
          </w:tcPr>
          <w:p w14:paraId="70AC9E92" w14:textId="77777777" w:rsidR="009D635E" w:rsidRPr="0070016A" w:rsidRDefault="009D635E" w:rsidP="00983B2F">
            <w:pPr>
              <w:rPr>
                <w:b/>
                <w:bCs/>
                <w:sz w:val="20"/>
                <w:szCs w:val="20"/>
              </w:rPr>
            </w:pPr>
            <w:r w:rsidRPr="0070016A">
              <w:rPr>
                <w:b/>
                <w:bCs/>
                <w:sz w:val="20"/>
                <w:szCs w:val="20"/>
              </w:rPr>
              <w:t xml:space="preserve">ANZSCO </w:t>
            </w:r>
          </w:p>
        </w:tc>
        <w:tc>
          <w:tcPr>
            <w:tcW w:w="2858" w:type="dxa"/>
            <w:shd w:val="clear" w:color="auto" w:fill="FFC000" w:themeFill="accent4"/>
          </w:tcPr>
          <w:p w14:paraId="294C2899" w14:textId="77777777" w:rsidR="009D635E" w:rsidRPr="0070016A" w:rsidRDefault="009D635E" w:rsidP="00983B2F">
            <w:pPr>
              <w:rPr>
                <w:b/>
                <w:bCs/>
                <w:sz w:val="20"/>
                <w:szCs w:val="20"/>
              </w:rPr>
            </w:pPr>
            <w:r w:rsidRPr="0070016A">
              <w:rPr>
                <w:b/>
                <w:bCs/>
                <w:sz w:val="20"/>
                <w:szCs w:val="20"/>
              </w:rPr>
              <w:t xml:space="preserve">Skill Level </w:t>
            </w:r>
          </w:p>
        </w:tc>
        <w:tc>
          <w:tcPr>
            <w:tcW w:w="3246" w:type="dxa"/>
            <w:shd w:val="clear" w:color="auto" w:fill="FFC000" w:themeFill="accent4"/>
          </w:tcPr>
          <w:p w14:paraId="69BE3C3D" w14:textId="77777777" w:rsidR="009D635E" w:rsidRPr="0070016A" w:rsidRDefault="009D635E" w:rsidP="00983B2F">
            <w:pPr>
              <w:rPr>
                <w:b/>
                <w:bCs/>
                <w:sz w:val="20"/>
                <w:szCs w:val="20"/>
              </w:rPr>
            </w:pPr>
            <w:r w:rsidRPr="0070016A">
              <w:rPr>
                <w:b/>
                <w:bCs/>
                <w:sz w:val="20"/>
                <w:szCs w:val="20"/>
              </w:rPr>
              <w:t xml:space="preserve">Occupation </w:t>
            </w:r>
          </w:p>
        </w:tc>
      </w:tr>
      <w:tr w:rsidR="009D635E" w14:paraId="0603E3F2" w14:textId="77777777" w:rsidTr="00983B2F">
        <w:trPr>
          <w:trHeight w:val="294"/>
        </w:trPr>
        <w:tc>
          <w:tcPr>
            <w:tcW w:w="3048" w:type="dxa"/>
          </w:tcPr>
          <w:p w14:paraId="740DC0A8" w14:textId="77777777" w:rsidR="009D635E" w:rsidRPr="009E0160" w:rsidRDefault="009D635E" w:rsidP="00983B2F">
            <w:pPr>
              <w:rPr>
                <w:sz w:val="20"/>
                <w:szCs w:val="20"/>
              </w:rPr>
            </w:pPr>
            <w:r w:rsidRPr="009E0160">
              <w:rPr>
                <w:sz w:val="20"/>
                <w:szCs w:val="20"/>
              </w:rPr>
              <w:t>421111</w:t>
            </w:r>
          </w:p>
        </w:tc>
        <w:tc>
          <w:tcPr>
            <w:tcW w:w="2858" w:type="dxa"/>
          </w:tcPr>
          <w:p w14:paraId="4EA4F4CD" w14:textId="77777777" w:rsidR="009D635E" w:rsidRPr="009E0160" w:rsidRDefault="009D635E" w:rsidP="00983B2F">
            <w:pPr>
              <w:rPr>
                <w:sz w:val="20"/>
                <w:szCs w:val="20"/>
              </w:rPr>
            </w:pPr>
            <w:r w:rsidRPr="009E0160">
              <w:rPr>
                <w:sz w:val="20"/>
                <w:szCs w:val="20"/>
              </w:rPr>
              <w:t>4</w:t>
            </w:r>
          </w:p>
        </w:tc>
        <w:tc>
          <w:tcPr>
            <w:tcW w:w="3246" w:type="dxa"/>
          </w:tcPr>
          <w:p w14:paraId="29503B69" w14:textId="77777777" w:rsidR="009D635E" w:rsidRPr="009E0160" w:rsidRDefault="009D635E" w:rsidP="00983B2F">
            <w:pPr>
              <w:rPr>
                <w:sz w:val="20"/>
                <w:szCs w:val="20"/>
              </w:rPr>
            </w:pPr>
            <w:r w:rsidRPr="009E0160">
              <w:rPr>
                <w:sz w:val="20"/>
                <w:szCs w:val="20"/>
              </w:rPr>
              <w:t xml:space="preserve">Childcare Worker </w:t>
            </w:r>
          </w:p>
        </w:tc>
      </w:tr>
      <w:tr w:rsidR="009D635E" w14:paraId="7A0AC2B4" w14:textId="77777777" w:rsidTr="00983B2F">
        <w:trPr>
          <w:trHeight w:val="294"/>
        </w:trPr>
        <w:tc>
          <w:tcPr>
            <w:tcW w:w="3048" w:type="dxa"/>
          </w:tcPr>
          <w:p w14:paraId="5E4C6240" w14:textId="77777777" w:rsidR="009D635E" w:rsidRPr="009E0160" w:rsidRDefault="009D635E" w:rsidP="00983B2F">
            <w:pPr>
              <w:rPr>
                <w:sz w:val="20"/>
                <w:szCs w:val="20"/>
              </w:rPr>
            </w:pPr>
            <w:bookmarkStart w:id="37" w:name="_Hlk94268232"/>
            <w:r w:rsidRPr="009E0160">
              <w:rPr>
                <w:sz w:val="20"/>
                <w:szCs w:val="20"/>
              </w:rPr>
              <w:t>423111</w:t>
            </w:r>
          </w:p>
        </w:tc>
        <w:tc>
          <w:tcPr>
            <w:tcW w:w="2858" w:type="dxa"/>
          </w:tcPr>
          <w:p w14:paraId="336218F4" w14:textId="77777777" w:rsidR="009D635E" w:rsidRPr="009E0160" w:rsidRDefault="009D635E" w:rsidP="00983B2F">
            <w:pPr>
              <w:rPr>
                <w:sz w:val="20"/>
                <w:szCs w:val="20"/>
              </w:rPr>
            </w:pPr>
            <w:r w:rsidRPr="009E0160">
              <w:rPr>
                <w:sz w:val="20"/>
                <w:szCs w:val="20"/>
              </w:rPr>
              <w:t>4</w:t>
            </w:r>
          </w:p>
        </w:tc>
        <w:tc>
          <w:tcPr>
            <w:tcW w:w="3246" w:type="dxa"/>
          </w:tcPr>
          <w:p w14:paraId="55640B1A" w14:textId="77777777" w:rsidR="009D635E" w:rsidRPr="009E0160" w:rsidRDefault="009D635E" w:rsidP="00983B2F">
            <w:pPr>
              <w:rPr>
                <w:sz w:val="20"/>
                <w:szCs w:val="20"/>
              </w:rPr>
            </w:pPr>
            <w:r w:rsidRPr="009E0160">
              <w:rPr>
                <w:sz w:val="20"/>
                <w:szCs w:val="20"/>
              </w:rPr>
              <w:t>Aged or Disabled Carer</w:t>
            </w:r>
          </w:p>
        </w:tc>
      </w:tr>
      <w:tr w:rsidR="009D635E" w14:paraId="50A113F5" w14:textId="77777777" w:rsidTr="00983B2F">
        <w:trPr>
          <w:trHeight w:val="283"/>
        </w:trPr>
        <w:tc>
          <w:tcPr>
            <w:tcW w:w="3048" w:type="dxa"/>
          </w:tcPr>
          <w:p w14:paraId="09DC6091" w14:textId="77777777" w:rsidR="009D635E" w:rsidRPr="009E0160" w:rsidRDefault="009D635E" w:rsidP="00983B2F">
            <w:pPr>
              <w:rPr>
                <w:sz w:val="20"/>
                <w:szCs w:val="20"/>
              </w:rPr>
            </w:pPr>
            <w:r w:rsidRPr="009E0160">
              <w:rPr>
                <w:sz w:val="20"/>
                <w:szCs w:val="20"/>
              </w:rPr>
              <w:t>423313</w:t>
            </w:r>
          </w:p>
        </w:tc>
        <w:tc>
          <w:tcPr>
            <w:tcW w:w="2858" w:type="dxa"/>
          </w:tcPr>
          <w:p w14:paraId="667140D0" w14:textId="77777777" w:rsidR="009D635E" w:rsidRPr="009E0160" w:rsidRDefault="009D635E" w:rsidP="00983B2F">
            <w:pPr>
              <w:rPr>
                <w:sz w:val="20"/>
                <w:szCs w:val="20"/>
              </w:rPr>
            </w:pPr>
            <w:r w:rsidRPr="009E0160">
              <w:rPr>
                <w:sz w:val="20"/>
                <w:szCs w:val="20"/>
              </w:rPr>
              <w:t>4</w:t>
            </w:r>
          </w:p>
        </w:tc>
        <w:tc>
          <w:tcPr>
            <w:tcW w:w="3246" w:type="dxa"/>
          </w:tcPr>
          <w:p w14:paraId="21D056DD" w14:textId="77777777" w:rsidR="009D635E" w:rsidRPr="009E0160" w:rsidRDefault="009D635E" w:rsidP="00983B2F">
            <w:pPr>
              <w:rPr>
                <w:sz w:val="20"/>
                <w:szCs w:val="20"/>
              </w:rPr>
            </w:pPr>
            <w:r w:rsidRPr="009E0160">
              <w:rPr>
                <w:sz w:val="20"/>
                <w:szCs w:val="20"/>
              </w:rPr>
              <w:t xml:space="preserve">Personal Care Assistant </w:t>
            </w:r>
          </w:p>
        </w:tc>
      </w:tr>
    </w:tbl>
    <w:bookmarkEnd w:id="37"/>
    <w:p w14:paraId="4E877645" w14:textId="610C16AC" w:rsidR="009D635E" w:rsidRDefault="009D635E" w:rsidP="009D635E">
      <w:pPr>
        <w:rPr>
          <w:rFonts w:ascii="Calibri" w:eastAsia="Times New Roman" w:hAnsi="Calibri" w:cs="Calibri"/>
          <w:color w:val="000000"/>
          <w:lang w:eastAsia="en-AU"/>
        </w:rPr>
      </w:pPr>
      <w:r>
        <w:rPr>
          <w:rFonts w:ascii="Calibri" w:eastAsia="Times New Roman" w:hAnsi="Calibri" w:cs="Calibri"/>
          <w:b/>
          <w:bCs/>
          <w:color w:val="000000"/>
          <w:lang w:eastAsia="en-AU"/>
        </w:rPr>
        <w:br/>
      </w: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E35012" w:rsidRPr="00E35012">
        <w:rPr>
          <w:rFonts w:ascii="Calibri" w:eastAsia="Times New Roman" w:hAnsi="Calibri" w:cs="Calibri"/>
          <w:color w:val="000000"/>
          <w:lang w:eastAsia="en-AU"/>
        </w:rPr>
        <w:t xml:space="preserve">A Skills Assessment from the relevant Authority AND a relevant AQF Certificate III AND at least two (2) years (38+ </w:t>
      </w:r>
      <w:proofErr w:type="spellStart"/>
      <w:r w:rsidR="00E35012" w:rsidRPr="00E35012">
        <w:rPr>
          <w:rFonts w:ascii="Calibri" w:eastAsia="Times New Roman" w:hAnsi="Calibri" w:cs="Calibri"/>
          <w:color w:val="000000"/>
          <w:lang w:eastAsia="en-AU"/>
        </w:rPr>
        <w:t>hpw</w:t>
      </w:r>
      <w:proofErr w:type="spellEnd"/>
      <w:r w:rsidR="00E35012" w:rsidRPr="00E35012">
        <w:rPr>
          <w:rFonts w:ascii="Calibri" w:eastAsia="Times New Roman" w:hAnsi="Calibri" w:cs="Calibri"/>
          <w:color w:val="000000"/>
          <w:lang w:eastAsia="en-AU"/>
        </w:rPr>
        <w:t>) relevant post qualification experience</w:t>
      </w:r>
      <w:r>
        <w:rPr>
          <w:rFonts w:ascii="Calibri" w:eastAsia="Times New Roman" w:hAnsi="Calibri" w:cs="Calibri"/>
          <w:color w:val="000000"/>
          <w:lang w:eastAsia="en-AU"/>
        </w:rPr>
        <w:t xml:space="preserve"> </w:t>
      </w:r>
    </w:p>
    <w:p w14:paraId="3DD10DDB" w14:textId="77777777" w:rsidR="009D635E" w:rsidRDefault="009D635E" w:rsidP="009D635E">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Pr="00CD0832">
        <w:rPr>
          <w:rFonts w:ascii="Calibri" w:eastAsia="Times New Roman" w:hAnsi="Calibri" w:cs="Calibri"/>
          <w:color w:val="000000"/>
          <w:lang w:eastAsia="en-AU"/>
        </w:rPr>
        <w:t>N</w:t>
      </w:r>
      <w:r>
        <w:rPr>
          <w:rFonts w:ascii="Calibri" w:eastAsia="Times New Roman" w:hAnsi="Calibri" w:cs="Calibri"/>
          <w:color w:val="000000"/>
          <w:lang w:eastAsia="en-AU"/>
        </w:rPr>
        <w:t>/A</w:t>
      </w:r>
    </w:p>
    <w:p w14:paraId="180D6DC4" w14:textId="77777777" w:rsidR="009D635E" w:rsidRPr="009C7126" w:rsidRDefault="009D635E" w:rsidP="009D635E">
      <w:pPr>
        <w:rPr>
          <w:b/>
          <w:bCs/>
        </w:rPr>
      </w:pPr>
      <w:r w:rsidRPr="009C7126">
        <w:rPr>
          <w:rFonts w:ascii="Calibri" w:eastAsia="Times New Roman" w:hAnsi="Calibri" w:cs="Calibri"/>
          <w:b/>
          <w:bCs/>
          <w:color w:val="000000"/>
          <w:lang w:eastAsia="en-AU"/>
        </w:rPr>
        <w:t xml:space="preserve">Goldfields WA </w:t>
      </w:r>
    </w:p>
    <w:tbl>
      <w:tblPr>
        <w:tblStyle w:val="TableGrid"/>
        <w:tblW w:w="9152" w:type="dxa"/>
        <w:tblLook w:val="0420" w:firstRow="1" w:lastRow="0" w:firstColumn="0" w:lastColumn="0" w:noHBand="0" w:noVBand="1"/>
      </w:tblPr>
      <w:tblGrid>
        <w:gridCol w:w="3048"/>
        <w:gridCol w:w="2858"/>
        <w:gridCol w:w="3246"/>
      </w:tblGrid>
      <w:tr w:rsidR="009D635E" w:rsidRPr="0070016A" w14:paraId="32F17919" w14:textId="77777777" w:rsidTr="0070016A">
        <w:trPr>
          <w:trHeight w:val="294"/>
        </w:trPr>
        <w:tc>
          <w:tcPr>
            <w:tcW w:w="3048" w:type="dxa"/>
            <w:shd w:val="clear" w:color="auto" w:fill="FFC000" w:themeFill="accent4"/>
          </w:tcPr>
          <w:p w14:paraId="5638BE8F" w14:textId="77777777" w:rsidR="009D635E" w:rsidRPr="0070016A" w:rsidRDefault="009D635E" w:rsidP="00983B2F">
            <w:pPr>
              <w:rPr>
                <w:b/>
                <w:bCs/>
                <w:sz w:val="20"/>
                <w:szCs w:val="20"/>
              </w:rPr>
            </w:pPr>
            <w:r w:rsidRPr="0070016A">
              <w:rPr>
                <w:b/>
                <w:bCs/>
                <w:sz w:val="20"/>
                <w:szCs w:val="20"/>
              </w:rPr>
              <w:t xml:space="preserve">ANZSCO </w:t>
            </w:r>
          </w:p>
        </w:tc>
        <w:tc>
          <w:tcPr>
            <w:tcW w:w="2858" w:type="dxa"/>
            <w:shd w:val="clear" w:color="auto" w:fill="FFC000" w:themeFill="accent4"/>
          </w:tcPr>
          <w:p w14:paraId="59F3634B" w14:textId="77777777" w:rsidR="009D635E" w:rsidRPr="0070016A" w:rsidRDefault="009D635E" w:rsidP="00983B2F">
            <w:pPr>
              <w:rPr>
                <w:b/>
                <w:bCs/>
                <w:sz w:val="20"/>
                <w:szCs w:val="20"/>
              </w:rPr>
            </w:pPr>
            <w:r w:rsidRPr="0070016A">
              <w:rPr>
                <w:b/>
                <w:bCs/>
                <w:sz w:val="20"/>
                <w:szCs w:val="20"/>
              </w:rPr>
              <w:t xml:space="preserve">Skill Level </w:t>
            </w:r>
          </w:p>
        </w:tc>
        <w:tc>
          <w:tcPr>
            <w:tcW w:w="3246" w:type="dxa"/>
            <w:shd w:val="clear" w:color="auto" w:fill="FFC000" w:themeFill="accent4"/>
          </w:tcPr>
          <w:p w14:paraId="69350AF0" w14:textId="77777777" w:rsidR="009D635E" w:rsidRPr="0070016A" w:rsidRDefault="009D635E" w:rsidP="00983B2F">
            <w:pPr>
              <w:rPr>
                <w:b/>
                <w:bCs/>
                <w:sz w:val="20"/>
                <w:szCs w:val="20"/>
              </w:rPr>
            </w:pPr>
            <w:r w:rsidRPr="0070016A">
              <w:rPr>
                <w:b/>
                <w:bCs/>
                <w:sz w:val="20"/>
                <w:szCs w:val="20"/>
              </w:rPr>
              <w:t xml:space="preserve">Occupation </w:t>
            </w:r>
          </w:p>
        </w:tc>
      </w:tr>
      <w:tr w:rsidR="009D635E" w14:paraId="0204ED1F" w14:textId="77777777" w:rsidTr="00983B2F">
        <w:trPr>
          <w:trHeight w:val="294"/>
        </w:trPr>
        <w:tc>
          <w:tcPr>
            <w:tcW w:w="3048" w:type="dxa"/>
          </w:tcPr>
          <w:p w14:paraId="74BF7ABD" w14:textId="77777777" w:rsidR="009D635E" w:rsidRPr="009E0160" w:rsidRDefault="009D635E" w:rsidP="00983B2F">
            <w:pPr>
              <w:rPr>
                <w:sz w:val="20"/>
                <w:szCs w:val="20"/>
              </w:rPr>
            </w:pPr>
            <w:r w:rsidRPr="009E0160">
              <w:rPr>
                <w:sz w:val="20"/>
                <w:szCs w:val="20"/>
              </w:rPr>
              <w:t>421111</w:t>
            </w:r>
          </w:p>
        </w:tc>
        <w:tc>
          <w:tcPr>
            <w:tcW w:w="2858" w:type="dxa"/>
          </w:tcPr>
          <w:p w14:paraId="70D48983" w14:textId="77777777" w:rsidR="009D635E" w:rsidRPr="009E0160" w:rsidRDefault="009D635E" w:rsidP="00983B2F">
            <w:pPr>
              <w:rPr>
                <w:sz w:val="20"/>
                <w:szCs w:val="20"/>
              </w:rPr>
            </w:pPr>
            <w:r w:rsidRPr="009E0160">
              <w:rPr>
                <w:sz w:val="20"/>
                <w:szCs w:val="20"/>
              </w:rPr>
              <w:t>3</w:t>
            </w:r>
          </w:p>
        </w:tc>
        <w:tc>
          <w:tcPr>
            <w:tcW w:w="3246" w:type="dxa"/>
          </w:tcPr>
          <w:p w14:paraId="24AC5350" w14:textId="77777777" w:rsidR="009D635E" w:rsidRPr="009E0160" w:rsidRDefault="009D635E" w:rsidP="00983B2F">
            <w:pPr>
              <w:rPr>
                <w:sz w:val="20"/>
                <w:szCs w:val="20"/>
              </w:rPr>
            </w:pPr>
            <w:r w:rsidRPr="009E0160">
              <w:rPr>
                <w:sz w:val="20"/>
                <w:szCs w:val="20"/>
              </w:rPr>
              <w:t xml:space="preserve">Childcare Worker </w:t>
            </w:r>
          </w:p>
        </w:tc>
      </w:tr>
    </w:tbl>
    <w:p w14:paraId="12097590" w14:textId="4BFB59AA" w:rsidR="009D635E" w:rsidRDefault="009D635E" w:rsidP="009D635E">
      <w:pPr>
        <w:rPr>
          <w:rFonts w:ascii="Calibri" w:eastAsia="Times New Roman" w:hAnsi="Calibri" w:cs="Calibri"/>
          <w:color w:val="000000"/>
          <w:lang w:eastAsia="en-AU"/>
        </w:rPr>
      </w:pPr>
      <w:r>
        <w:rPr>
          <w:rFonts w:ascii="Calibri" w:eastAsia="Times New Roman" w:hAnsi="Calibri" w:cs="Calibri"/>
          <w:b/>
          <w:bCs/>
          <w:color w:val="000000"/>
          <w:lang w:eastAsia="en-AU"/>
        </w:rPr>
        <w:br/>
      </w: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7F2D11" w:rsidRPr="007F2D11">
        <w:rPr>
          <w:rFonts w:ascii="Calibri" w:eastAsia="Times New Roman" w:hAnsi="Calibri" w:cs="Calibri"/>
          <w:color w:val="000000"/>
          <w:lang w:eastAsia="en-AU"/>
        </w:rPr>
        <w:t xml:space="preserve">An ACECQA nationally approved certificate III level (or higher) early childhood education and care qualification AND evidence of a minimum of three (3) years (minimum 38+ </w:t>
      </w:r>
      <w:proofErr w:type="spellStart"/>
      <w:r w:rsidR="007F2D11" w:rsidRPr="007F2D11">
        <w:rPr>
          <w:rFonts w:ascii="Calibri" w:eastAsia="Times New Roman" w:hAnsi="Calibri" w:cs="Calibri"/>
          <w:color w:val="000000"/>
          <w:lang w:eastAsia="en-AU"/>
        </w:rPr>
        <w:t>hpw</w:t>
      </w:r>
      <w:proofErr w:type="spellEnd"/>
      <w:r w:rsidR="007F2D11" w:rsidRPr="007F2D11">
        <w:rPr>
          <w:rFonts w:ascii="Calibri" w:eastAsia="Times New Roman" w:hAnsi="Calibri" w:cs="Calibri"/>
          <w:color w:val="000000"/>
          <w:lang w:eastAsia="en-AU"/>
        </w:rPr>
        <w:t>) employment experience as a Child Care Worker in a regulated education and care setting for the sponsoring employer</w:t>
      </w:r>
      <w:r>
        <w:rPr>
          <w:rFonts w:ascii="Calibri" w:eastAsia="Times New Roman" w:hAnsi="Calibri" w:cs="Calibri"/>
          <w:color w:val="000000"/>
          <w:lang w:eastAsia="en-AU"/>
        </w:rPr>
        <w:t xml:space="preserve"> </w:t>
      </w:r>
    </w:p>
    <w:p w14:paraId="7D4192B1" w14:textId="2F1E3A73" w:rsidR="009D635E" w:rsidRDefault="009D635E" w:rsidP="009D635E">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Pr="00CD0832">
        <w:rPr>
          <w:rFonts w:ascii="Calibri" w:eastAsia="Times New Roman" w:hAnsi="Calibri" w:cs="Calibri"/>
          <w:color w:val="000000"/>
          <w:lang w:eastAsia="en-AU"/>
        </w:rPr>
        <w:t>N</w:t>
      </w:r>
      <w:r>
        <w:rPr>
          <w:rFonts w:ascii="Calibri" w:eastAsia="Times New Roman" w:hAnsi="Calibri" w:cs="Calibri"/>
          <w:color w:val="000000"/>
          <w:lang w:eastAsia="en-AU"/>
        </w:rPr>
        <w:t>/A</w:t>
      </w:r>
    </w:p>
    <w:p w14:paraId="57A58EEE" w14:textId="77777777" w:rsidR="009D635E" w:rsidRPr="009C7126" w:rsidRDefault="009D635E" w:rsidP="009D635E">
      <w:pPr>
        <w:rPr>
          <w:b/>
          <w:bCs/>
        </w:rPr>
      </w:pPr>
      <w:r w:rsidRPr="009C7126">
        <w:rPr>
          <w:rFonts w:ascii="Calibri" w:eastAsia="Times New Roman" w:hAnsi="Calibri" w:cs="Calibri"/>
          <w:b/>
          <w:bCs/>
          <w:color w:val="000000"/>
          <w:lang w:eastAsia="en-AU"/>
        </w:rPr>
        <w:t xml:space="preserve">Goldfields WA </w:t>
      </w:r>
    </w:p>
    <w:tbl>
      <w:tblPr>
        <w:tblStyle w:val="TableGrid"/>
        <w:tblW w:w="9152" w:type="dxa"/>
        <w:tblLook w:val="0420" w:firstRow="1" w:lastRow="0" w:firstColumn="0" w:lastColumn="0" w:noHBand="0" w:noVBand="1"/>
      </w:tblPr>
      <w:tblGrid>
        <w:gridCol w:w="3048"/>
        <w:gridCol w:w="2858"/>
        <w:gridCol w:w="3246"/>
      </w:tblGrid>
      <w:tr w:rsidR="009D635E" w:rsidRPr="0070016A" w14:paraId="2FAA24AC" w14:textId="77777777" w:rsidTr="0070016A">
        <w:trPr>
          <w:trHeight w:val="294"/>
        </w:trPr>
        <w:tc>
          <w:tcPr>
            <w:tcW w:w="3048" w:type="dxa"/>
            <w:shd w:val="clear" w:color="auto" w:fill="FFC000" w:themeFill="accent4"/>
          </w:tcPr>
          <w:p w14:paraId="05691968" w14:textId="77777777" w:rsidR="009D635E" w:rsidRPr="0070016A" w:rsidRDefault="009D635E" w:rsidP="00983B2F">
            <w:pPr>
              <w:rPr>
                <w:b/>
                <w:bCs/>
                <w:sz w:val="20"/>
                <w:szCs w:val="20"/>
              </w:rPr>
            </w:pPr>
            <w:r w:rsidRPr="0070016A">
              <w:rPr>
                <w:b/>
                <w:bCs/>
                <w:sz w:val="20"/>
                <w:szCs w:val="20"/>
              </w:rPr>
              <w:t xml:space="preserve">ANZSCO </w:t>
            </w:r>
          </w:p>
        </w:tc>
        <w:tc>
          <w:tcPr>
            <w:tcW w:w="2858" w:type="dxa"/>
            <w:shd w:val="clear" w:color="auto" w:fill="FFC000" w:themeFill="accent4"/>
          </w:tcPr>
          <w:p w14:paraId="2C004F33" w14:textId="77777777" w:rsidR="009D635E" w:rsidRPr="0070016A" w:rsidRDefault="009D635E" w:rsidP="00983B2F">
            <w:pPr>
              <w:rPr>
                <w:b/>
                <w:bCs/>
                <w:sz w:val="20"/>
                <w:szCs w:val="20"/>
              </w:rPr>
            </w:pPr>
            <w:r w:rsidRPr="0070016A">
              <w:rPr>
                <w:b/>
                <w:bCs/>
                <w:sz w:val="20"/>
                <w:szCs w:val="20"/>
              </w:rPr>
              <w:t xml:space="preserve">Skill Level </w:t>
            </w:r>
          </w:p>
        </w:tc>
        <w:tc>
          <w:tcPr>
            <w:tcW w:w="3246" w:type="dxa"/>
            <w:shd w:val="clear" w:color="auto" w:fill="FFC000" w:themeFill="accent4"/>
          </w:tcPr>
          <w:p w14:paraId="22EB15A5" w14:textId="77777777" w:rsidR="009D635E" w:rsidRPr="0070016A" w:rsidRDefault="009D635E" w:rsidP="00983B2F">
            <w:pPr>
              <w:rPr>
                <w:b/>
                <w:bCs/>
                <w:sz w:val="20"/>
                <w:szCs w:val="20"/>
              </w:rPr>
            </w:pPr>
            <w:r w:rsidRPr="0070016A">
              <w:rPr>
                <w:b/>
                <w:bCs/>
                <w:sz w:val="20"/>
                <w:szCs w:val="20"/>
              </w:rPr>
              <w:t xml:space="preserve">Occupation </w:t>
            </w:r>
          </w:p>
        </w:tc>
      </w:tr>
      <w:tr w:rsidR="009D635E" w14:paraId="3170FDA5" w14:textId="77777777" w:rsidTr="00983B2F">
        <w:trPr>
          <w:trHeight w:val="294"/>
        </w:trPr>
        <w:tc>
          <w:tcPr>
            <w:tcW w:w="3048" w:type="dxa"/>
          </w:tcPr>
          <w:p w14:paraId="2D4DAA22" w14:textId="77777777" w:rsidR="009D635E" w:rsidRPr="009E0160" w:rsidRDefault="009D635E" w:rsidP="00983B2F">
            <w:pPr>
              <w:rPr>
                <w:sz w:val="20"/>
                <w:szCs w:val="20"/>
              </w:rPr>
            </w:pPr>
            <w:bookmarkStart w:id="38" w:name="_Hlk94269361"/>
            <w:r w:rsidRPr="009E0160">
              <w:rPr>
                <w:sz w:val="20"/>
                <w:szCs w:val="20"/>
              </w:rPr>
              <w:t>423111</w:t>
            </w:r>
          </w:p>
        </w:tc>
        <w:tc>
          <w:tcPr>
            <w:tcW w:w="2858" w:type="dxa"/>
          </w:tcPr>
          <w:p w14:paraId="1784B76A" w14:textId="77777777" w:rsidR="009D635E" w:rsidRPr="009E0160" w:rsidRDefault="009D635E" w:rsidP="00983B2F">
            <w:pPr>
              <w:rPr>
                <w:sz w:val="20"/>
                <w:szCs w:val="20"/>
              </w:rPr>
            </w:pPr>
            <w:r w:rsidRPr="009E0160">
              <w:rPr>
                <w:sz w:val="20"/>
                <w:szCs w:val="20"/>
              </w:rPr>
              <w:t>4</w:t>
            </w:r>
          </w:p>
        </w:tc>
        <w:tc>
          <w:tcPr>
            <w:tcW w:w="3246" w:type="dxa"/>
          </w:tcPr>
          <w:p w14:paraId="597D27E9" w14:textId="77777777" w:rsidR="009D635E" w:rsidRPr="009E0160" w:rsidRDefault="009D635E" w:rsidP="00983B2F">
            <w:pPr>
              <w:rPr>
                <w:sz w:val="20"/>
                <w:szCs w:val="20"/>
              </w:rPr>
            </w:pPr>
            <w:r w:rsidRPr="009E0160">
              <w:rPr>
                <w:sz w:val="20"/>
                <w:szCs w:val="20"/>
              </w:rPr>
              <w:t>Aged or Disabled Carer</w:t>
            </w:r>
          </w:p>
        </w:tc>
      </w:tr>
      <w:tr w:rsidR="009D635E" w14:paraId="2021B7AD" w14:textId="77777777" w:rsidTr="00983B2F">
        <w:trPr>
          <w:trHeight w:val="107"/>
        </w:trPr>
        <w:tc>
          <w:tcPr>
            <w:tcW w:w="3048" w:type="dxa"/>
          </w:tcPr>
          <w:p w14:paraId="56BF8146" w14:textId="77777777" w:rsidR="009D635E" w:rsidRPr="009E0160" w:rsidRDefault="009D635E" w:rsidP="00983B2F">
            <w:pPr>
              <w:rPr>
                <w:sz w:val="20"/>
                <w:szCs w:val="20"/>
              </w:rPr>
            </w:pPr>
            <w:r w:rsidRPr="009E0160">
              <w:rPr>
                <w:sz w:val="20"/>
                <w:szCs w:val="20"/>
              </w:rPr>
              <w:t>423313</w:t>
            </w:r>
          </w:p>
        </w:tc>
        <w:tc>
          <w:tcPr>
            <w:tcW w:w="2858" w:type="dxa"/>
          </w:tcPr>
          <w:p w14:paraId="0BCF4E92" w14:textId="77777777" w:rsidR="009D635E" w:rsidRPr="009E0160" w:rsidRDefault="009D635E" w:rsidP="00983B2F">
            <w:pPr>
              <w:rPr>
                <w:sz w:val="20"/>
                <w:szCs w:val="20"/>
              </w:rPr>
            </w:pPr>
            <w:r w:rsidRPr="009E0160">
              <w:rPr>
                <w:sz w:val="20"/>
                <w:szCs w:val="20"/>
              </w:rPr>
              <w:t>4</w:t>
            </w:r>
          </w:p>
        </w:tc>
        <w:tc>
          <w:tcPr>
            <w:tcW w:w="3246" w:type="dxa"/>
          </w:tcPr>
          <w:p w14:paraId="2B05FF59" w14:textId="77777777" w:rsidR="009D635E" w:rsidRPr="009E0160" w:rsidRDefault="009D635E" w:rsidP="00983B2F">
            <w:pPr>
              <w:rPr>
                <w:sz w:val="20"/>
                <w:szCs w:val="20"/>
              </w:rPr>
            </w:pPr>
            <w:r w:rsidRPr="009E0160">
              <w:rPr>
                <w:sz w:val="20"/>
                <w:szCs w:val="20"/>
              </w:rPr>
              <w:t xml:space="preserve">Personal Care Assistant </w:t>
            </w:r>
          </w:p>
        </w:tc>
      </w:tr>
      <w:bookmarkEnd w:id="38"/>
    </w:tbl>
    <w:p w14:paraId="4890201E" w14:textId="77777777" w:rsidR="009D635E" w:rsidRDefault="009D635E" w:rsidP="009D635E">
      <w:pPr>
        <w:rPr>
          <w:rFonts w:ascii="Calibri" w:eastAsia="Times New Roman" w:hAnsi="Calibri" w:cs="Calibri"/>
          <w:color w:val="000000"/>
          <w:lang w:eastAsia="en-AU"/>
        </w:rPr>
      </w:pPr>
    </w:p>
    <w:p w14:paraId="5C2D088C" w14:textId="08F0106A" w:rsidR="009D635E" w:rsidRDefault="009D635E" w:rsidP="009D635E">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AD2CFB" w:rsidRPr="00AD2CFB">
        <w:rPr>
          <w:rFonts w:ascii="Calibri" w:eastAsia="Times New Roman" w:hAnsi="Calibri" w:cs="Calibri"/>
          <w:color w:val="000000"/>
          <w:lang w:eastAsia="en-AU"/>
        </w:rPr>
        <w:t xml:space="preserve">Have at least a relevant AQF Certificate II or equivalent or </w:t>
      </w:r>
      <w:proofErr w:type="gramStart"/>
      <w:r w:rsidR="00AD2CFB" w:rsidRPr="00AD2CFB">
        <w:rPr>
          <w:rFonts w:ascii="Calibri" w:eastAsia="Times New Roman" w:hAnsi="Calibri" w:cs="Calibri"/>
          <w:color w:val="000000"/>
          <w:lang w:eastAsia="en-AU"/>
        </w:rPr>
        <w:t>higher level</w:t>
      </w:r>
      <w:proofErr w:type="gramEnd"/>
      <w:r w:rsidR="00AD2CFB" w:rsidRPr="00AD2CFB">
        <w:rPr>
          <w:rFonts w:ascii="Calibri" w:eastAsia="Times New Roman" w:hAnsi="Calibri" w:cs="Calibri"/>
          <w:color w:val="000000"/>
          <w:lang w:eastAsia="en-AU"/>
        </w:rPr>
        <w:t xml:space="preserve"> qualification AND EITHER have at least one and a half (1.5) years (20+) relevant post qualification experience OR have at least a relevant AQF Certificate III or equivalent or </w:t>
      </w:r>
      <w:r w:rsidR="00AD2CFB" w:rsidRPr="00AD2CFB">
        <w:rPr>
          <w:rFonts w:ascii="Calibri" w:eastAsia="Times New Roman" w:hAnsi="Calibri" w:cs="Calibri"/>
          <w:color w:val="000000"/>
          <w:lang w:eastAsia="en-AU"/>
        </w:rPr>
        <w:lastRenderedPageBreak/>
        <w:t xml:space="preserve">higher level qualification and have at least one (1) year (20+ </w:t>
      </w:r>
      <w:proofErr w:type="spellStart"/>
      <w:r w:rsidR="00AD2CFB" w:rsidRPr="00AD2CFB">
        <w:rPr>
          <w:rFonts w:ascii="Calibri" w:eastAsia="Times New Roman" w:hAnsi="Calibri" w:cs="Calibri"/>
          <w:color w:val="000000"/>
          <w:lang w:eastAsia="en-AU"/>
        </w:rPr>
        <w:t>hpw</w:t>
      </w:r>
      <w:proofErr w:type="spellEnd"/>
      <w:r w:rsidR="00AD2CFB" w:rsidRPr="00AD2CFB">
        <w:rPr>
          <w:rFonts w:ascii="Calibri" w:eastAsia="Times New Roman" w:hAnsi="Calibri" w:cs="Calibri"/>
          <w:color w:val="000000"/>
          <w:lang w:eastAsia="en-AU"/>
        </w:rPr>
        <w:t xml:space="preserve">) relevant post qualification experience) OR have at least one (1) year (38+ </w:t>
      </w:r>
      <w:proofErr w:type="spellStart"/>
      <w:r w:rsidR="00AD2CFB" w:rsidRPr="00AD2CFB">
        <w:rPr>
          <w:rFonts w:ascii="Calibri" w:eastAsia="Times New Roman" w:hAnsi="Calibri" w:cs="Calibri"/>
          <w:color w:val="000000"/>
          <w:lang w:eastAsia="en-AU"/>
        </w:rPr>
        <w:t>hpw</w:t>
      </w:r>
      <w:proofErr w:type="spellEnd"/>
      <w:r w:rsidR="00AD2CFB" w:rsidRPr="00AD2CFB">
        <w:rPr>
          <w:rFonts w:ascii="Calibri" w:eastAsia="Times New Roman" w:hAnsi="Calibri" w:cs="Calibri"/>
          <w:color w:val="000000"/>
          <w:lang w:eastAsia="en-AU"/>
        </w:rPr>
        <w:t>) relevant experience</w:t>
      </w:r>
    </w:p>
    <w:p w14:paraId="46ADC10B" w14:textId="6E789DDC" w:rsidR="009D635E" w:rsidRDefault="009D635E" w:rsidP="009D635E">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 xml:space="preserve">English language concession: </w:t>
      </w:r>
      <w:r w:rsidR="006A22FF" w:rsidRPr="006A22FF">
        <w:rPr>
          <w:rFonts w:ascii="Calibri" w:eastAsia="Times New Roman" w:hAnsi="Calibri" w:cs="Calibri"/>
          <w:color w:val="000000"/>
          <w:lang w:eastAsia="en-AU"/>
        </w:rPr>
        <w:t>If the nominee is applying for a TSS visa, the average IELTS score required is 5.0 with no component being less than 4.0 (or the equivalent grading of one of the other English tests)</w:t>
      </w:r>
    </w:p>
    <w:p w14:paraId="12D3A934" w14:textId="2456CDC7" w:rsidR="009D635E" w:rsidRPr="00D3013C" w:rsidRDefault="009D635E" w:rsidP="009D635E">
      <w:pPr>
        <w:rPr>
          <w:b/>
          <w:bCs/>
        </w:rPr>
      </w:pPr>
      <w:r>
        <w:rPr>
          <w:b/>
          <w:bCs/>
        </w:rPr>
        <w:t>South Australia</w:t>
      </w:r>
      <w:r w:rsidR="002748EA">
        <w:rPr>
          <w:b/>
          <w:bCs/>
        </w:rPr>
        <w:t>n</w:t>
      </w:r>
      <w:r>
        <w:rPr>
          <w:b/>
          <w:bCs/>
        </w:rPr>
        <w:t xml:space="preserve"> Regional Workforce Agreement  </w:t>
      </w:r>
    </w:p>
    <w:tbl>
      <w:tblPr>
        <w:tblStyle w:val="TableGrid"/>
        <w:tblW w:w="9152" w:type="dxa"/>
        <w:tblLook w:val="0420" w:firstRow="1" w:lastRow="0" w:firstColumn="0" w:lastColumn="0" w:noHBand="0" w:noVBand="1"/>
      </w:tblPr>
      <w:tblGrid>
        <w:gridCol w:w="3048"/>
        <w:gridCol w:w="2858"/>
        <w:gridCol w:w="3246"/>
      </w:tblGrid>
      <w:tr w:rsidR="009D635E" w:rsidRPr="0070016A" w14:paraId="7E9C434A" w14:textId="77777777" w:rsidTr="0070016A">
        <w:trPr>
          <w:trHeight w:val="294"/>
        </w:trPr>
        <w:tc>
          <w:tcPr>
            <w:tcW w:w="3048" w:type="dxa"/>
            <w:shd w:val="clear" w:color="auto" w:fill="FFC000" w:themeFill="accent4"/>
          </w:tcPr>
          <w:p w14:paraId="5D0EDA13" w14:textId="77777777" w:rsidR="009D635E" w:rsidRPr="0070016A" w:rsidRDefault="009D635E" w:rsidP="00983B2F">
            <w:pPr>
              <w:rPr>
                <w:b/>
                <w:bCs/>
                <w:sz w:val="20"/>
                <w:szCs w:val="20"/>
              </w:rPr>
            </w:pPr>
            <w:r w:rsidRPr="0070016A">
              <w:rPr>
                <w:b/>
                <w:bCs/>
                <w:sz w:val="20"/>
                <w:szCs w:val="20"/>
              </w:rPr>
              <w:t xml:space="preserve">ANZSCO </w:t>
            </w:r>
          </w:p>
        </w:tc>
        <w:tc>
          <w:tcPr>
            <w:tcW w:w="2858" w:type="dxa"/>
            <w:shd w:val="clear" w:color="auto" w:fill="FFC000" w:themeFill="accent4"/>
          </w:tcPr>
          <w:p w14:paraId="1DD0EEDC" w14:textId="77777777" w:rsidR="009D635E" w:rsidRPr="0070016A" w:rsidRDefault="009D635E" w:rsidP="00983B2F">
            <w:pPr>
              <w:rPr>
                <w:b/>
                <w:bCs/>
                <w:sz w:val="20"/>
                <w:szCs w:val="20"/>
              </w:rPr>
            </w:pPr>
            <w:r w:rsidRPr="0070016A">
              <w:rPr>
                <w:b/>
                <w:bCs/>
                <w:sz w:val="20"/>
                <w:szCs w:val="20"/>
              </w:rPr>
              <w:t xml:space="preserve">Skill Level </w:t>
            </w:r>
          </w:p>
        </w:tc>
        <w:tc>
          <w:tcPr>
            <w:tcW w:w="3246" w:type="dxa"/>
            <w:shd w:val="clear" w:color="auto" w:fill="FFC000" w:themeFill="accent4"/>
          </w:tcPr>
          <w:p w14:paraId="73682D3C" w14:textId="77777777" w:rsidR="009D635E" w:rsidRPr="0070016A" w:rsidRDefault="009D635E" w:rsidP="00983B2F">
            <w:pPr>
              <w:rPr>
                <w:b/>
                <w:bCs/>
                <w:sz w:val="20"/>
                <w:szCs w:val="20"/>
              </w:rPr>
            </w:pPr>
            <w:r w:rsidRPr="0070016A">
              <w:rPr>
                <w:b/>
                <w:bCs/>
                <w:sz w:val="20"/>
                <w:szCs w:val="20"/>
              </w:rPr>
              <w:t xml:space="preserve">Occupation </w:t>
            </w:r>
          </w:p>
        </w:tc>
      </w:tr>
      <w:tr w:rsidR="009D635E" w14:paraId="64017D8A" w14:textId="77777777" w:rsidTr="00983B2F">
        <w:trPr>
          <w:trHeight w:val="294"/>
        </w:trPr>
        <w:tc>
          <w:tcPr>
            <w:tcW w:w="3048" w:type="dxa"/>
          </w:tcPr>
          <w:p w14:paraId="4BCE6EAF" w14:textId="77777777" w:rsidR="009D635E" w:rsidRPr="009E0160" w:rsidRDefault="009D635E" w:rsidP="00983B2F">
            <w:pPr>
              <w:rPr>
                <w:sz w:val="20"/>
                <w:szCs w:val="20"/>
              </w:rPr>
            </w:pPr>
            <w:r w:rsidRPr="009E0160">
              <w:rPr>
                <w:sz w:val="20"/>
                <w:szCs w:val="20"/>
              </w:rPr>
              <w:t>421111</w:t>
            </w:r>
          </w:p>
        </w:tc>
        <w:tc>
          <w:tcPr>
            <w:tcW w:w="2858" w:type="dxa"/>
          </w:tcPr>
          <w:p w14:paraId="497912B4" w14:textId="77777777" w:rsidR="009D635E" w:rsidRPr="009E0160" w:rsidRDefault="009D635E" w:rsidP="00983B2F">
            <w:pPr>
              <w:rPr>
                <w:sz w:val="20"/>
                <w:szCs w:val="20"/>
              </w:rPr>
            </w:pPr>
            <w:r w:rsidRPr="009E0160">
              <w:rPr>
                <w:sz w:val="20"/>
                <w:szCs w:val="20"/>
              </w:rPr>
              <w:t>3</w:t>
            </w:r>
          </w:p>
        </w:tc>
        <w:tc>
          <w:tcPr>
            <w:tcW w:w="3246" w:type="dxa"/>
          </w:tcPr>
          <w:p w14:paraId="44CF6925" w14:textId="77777777" w:rsidR="009D635E" w:rsidRPr="009E0160" w:rsidRDefault="009D635E" w:rsidP="00983B2F">
            <w:pPr>
              <w:rPr>
                <w:sz w:val="20"/>
                <w:szCs w:val="20"/>
              </w:rPr>
            </w:pPr>
            <w:r w:rsidRPr="009E0160">
              <w:rPr>
                <w:sz w:val="20"/>
                <w:szCs w:val="20"/>
              </w:rPr>
              <w:t xml:space="preserve">Childcare Worker (Group Leaders Only) </w:t>
            </w:r>
          </w:p>
        </w:tc>
      </w:tr>
    </w:tbl>
    <w:p w14:paraId="283A13D1" w14:textId="1B9B89C9" w:rsidR="009D635E" w:rsidRDefault="009D635E" w:rsidP="009D635E">
      <w:pPr>
        <w:rPr>
          <w:rFonts w:ascii="Calibri" w:eastAsia="Times New Roman" w:hAnsi="Calibri" w:cs="Calibri"/>
          <w:color w:val="000000"/>
          <w:lang w:eastAsia="en-AU"/>
        </w:rPr>
      </w:pPr>
      <w:r>
        <w:rPr>
          <w:rFonts w:ascii="Calibri" w:eastAsia="Times New Roman" w:hAnsi="Calibri" w:cs="Calibri"/>
          <w:b/>
          <w:bCs/>
          <w:color w:val="000000"/>
          <w:lang w:eastAsia="en-AU"/>
        </w:rPr>
        <w:br/>
      </w: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B930DE" w:rsidRPr="00B930DE">
        <w:rPr>
          <w:rFonts w:ascii="Calibri" w:eastAsia="Times New Roman" w:hAnsi="Calibri" w:cs="Calibri"/>
          <w:color w:val="000000"/>
          <w:lang w:eastAsia="en-AU"/>
        </w:rPr>
        <w:t>Must meet the skill level as defined in ANZSCO AND have one (1) year of relevant and recent work experience; work experience can be served concurrently with any work experience used to substitute for formal qualifications as per ANZSCO requirements</w:t>
      </w:r>
    </w:p>
    <w:p w14:paraId="5716F5FE" w14:textId="349D4CCC" w:rsidR="009D635E" w:rsidRDefault="009D635E" w:rsidP="009D635E">
      <w:pPr>
        <w:rPr>
          <w:rFonts w:ascii="Calibri" w:eastAsia="Times New Roman" w:hAnsi="Calibri" w:cs="Calibri"/>
          <w:color w:val="000000"/>
          <w:lang w:eastAsia="en-AU"/>
        </w:rPr>
      </w:pPr>
      <w:r w:rsidRPr="00B13EA0">
        <w:rPr>
          <w:rFonts w:ascii="Calibri" w:eastAsia="Times New Roman" w:hAnsi="Calibri" w:cs="Calibri"/>
          <w:b/>
          <w:bCs/>
          <w:color w:val="000000"/>
          <w:lang w:eastAsia="en-AU"/>
        </w:rPr>
        <w:t xml:space="preserve">English language concession: </w:t>
      </w:r>
      <w:r>
        <w:rPr>
          <w:rFonts w:ascii="Calibri" w:eastAsia="Times New Roman" w:hAnsi="Calibri" w:cs="Calibri"/>
          <w:b/>
          <w:bCs/>
          <w:color w:val="000000"/>
          <w:lang w:eastAsia="en-AU"/>
        </w:rPr>
        <w:t xml:space="preserve"> </w:t>
      </w:r>
      <w:r w:rsidR="00272F33" w:rsidRPr="00272F33">
        <w:rPr>
          <w:rFonts w:ascii="Calibri" w:eastAsia="Times New Roman" w:hAnsi="Calibri" w:cs="Calibri"/>
          <w:color w:val="000000"/>
          <w:lang w:eastAsia="en-AU"/>
        </w:rPr>
        <w:t>Outer regional South Australia available only English concession 482 and 494 visas – IELTS score 4.5 overall (or equivalent) and minimum of IELTS score 4.0 (or equivalent) for individual bands</w:t>
      </w:r>
      <w:r>
        <w:rPr>
          <w:rFonts w:ascii="Calibri" w:eastAsia="Times New Roman" w:hAnsi="Calibri" w:cs="Calibri"/>
          <w:color w:val="000000"/>
          <w:lang w:eastAsia="en-AU"/>
        </w:rPr>
        <w:t xml:space="preserve"> </w:t>
      </w:r>
    </w:p>
    <w:p w14:paraId="26E7EC8A" w14:textId="75E9C5D1" w:rsidR="009D635E" w:rsidRPr="00D3013C" w:rsidRDefault="009D635E" w:rsidP="009D635E">
      <w:pPr>
        <w:rPr>
          <w:b/>
          <w:bCs/>
        </w:rPr>
      </w:pPr>
      <w:r>
        <w:rPr>
          <w:b/>
          <w:bCs/>
        </w:rPr>
        <w:t>South Australia</w:t>
      </w:r>
      <w:r w:rsidR="002748EA">
        <w:rPr>
          <w:b/>
          <w:bCs/>
        </w:rPr>
        <w:t>n</w:t>
      </w:r>
      <w:r>
        <w:rPr>
          <w:b/>
          <w:bCs/>
        </w:rPr>
        <w:t xml:space="preserve"> Regional Workforce Agreement  </w:t>
      </w:r>
    </w:p>
    <w:tbl>
      <w:tblPr>
        <w:tblStyle w:val="TableGrid"/>
        <w:tblW w:w="9152" w:type="dxa"/>
        <w:tblLook w:val="0420" w:firstRow="1" w:lastRow="0" w:firstColumn="0" w:lastColumn="0" w:noHBand="0" w:noVBand="1"/>
      </w:tblPr>
      <w:tblGrid>
        <w:gridCol w:w="3048"/>
        <w:gridCol w:w="2858"/>
        <w:gridCol w:w="3246"/>
      </w:tblGrid>
      <w:tr w:rsidR="009D635E" w:rsidRPr="0070016A" w14:paraId="5B53E862" w14:textId="77777777" w:rsidTr="0070016A">
        <w:trPr>
          <w:trHeight w:val="294"/>
        </w:trPr>
        <w:tc>
          <w:tcPr>
            <w:tcW w:w="3048" w:type="dxa"/>
            <w:shd w:val="clear" w:color="auto" w:fill="FFC000" w:themeFill="accent4"/>
          </w:tcPr>
          <w:p w14:paraId="2A6A26C0" w14:textId="77777777" w:rsidR="009D635E" w:rsidRPr="0070016A" w:rsidRDefault="009D635E" w:rsidP="00983B2F">
            <w:pPr>
              <w:rPr>
                <w:b/>
                <w:bCs/>
                <w:sz w:val="20"/>
                <w:szCs w:val="20"/>
              </w:rPr>
            </w:pPr>
            <w:r w:rsidRPr="0070016A">
              <w:rPr>
                <w:b/>
                <w:bCs/>
                <w:sz w:val="20"/>
                <w:szCs w:val="20"/>
              </w:rPr>
              <w:t xml:space="preserve">ANZSCO </w:t>
            </w:r>
          </w:p>
        </w:tc>
        <w:tc>
          <w:tcPr>
            <w:tcW w:w="2858" w:type="dxa"/>
            <w:shd w:val="clear" w:color="auto" w:fill="FFC000" w:themeFill="accent4"/>
          </w:tcPr>
          <w:p w14:paraId="455D6B91" w14:textId="77777777" w:rsidR="009D635E" w:rsidRPr="0070016A" w:rsidRDefault="009D635E" w:rsidP="00983B2F">
            <w:pPr>
              <w:rPr>
                <w:b/>
                <w:bCs/>
                <w:sz w:val="20"/>
                <w:szCs w:val="20"/>
              </w:rPr>
            </w:pPr>
            <w:r w:rsidRPr="0070016A">
              <w:rPr>
                <w:b/>
                <w:bCs/>
                <w:sz w:val="20"/>
                <w:szCs w:val="20"/>
              </w:rPr>
              <w:t xml:space="preserve">Skill Level </w:t>
            </w:r>
          </w:p>
        </w:tc>
        <w:tc>
          <w:tcPr>
            <w:tcW w:w="3246" w:type="dxa"/>
            <w:shd w:val="clear" w:color="auto" w:fill="FFC000" w:themeFill="accent4"/>
          </w:tcPr>
          <w:p w14:paraId="2BF46F05" w14:textId="77777777" w:rsidR="009D635E" w:rsidRPr="0070016A" w:rsidRDefault="009D635E" w:rsidP="00983B2F">
            <w:pPr>
              <w:rPr>
                <w:b/>
                <w:bCs/>
                <w:sz w:val="20"/>
                <w:szCs w:val="20"/>
              </w:rPr>
            </w:pPr>
            <w:r w:rsidRPr="0070016A">
              <w:rPr>
                <w:b/>
                <w:bCs/>
                <w:sz w:val="20"/>
                <w:szCs w:val="20"/>
              </w:rPr>
              <w:t xml:space="preserve">Occupation </w:t>
            </w:r>
          </w:p>
        </w:tc>
      </w:tr>
      <w:tr w:rsidR="009D635E" w14:paraId="234027D3" w14:textId="77777777" w:rsidTr="00983B2F">
        <w:trPr>
          <w:trHeight w:val="294"/>
        </w:trPr>
        <w:tc>
          <w:tcPr>
            <w:tcW w:w="3048" w:type="dxa"/>
          </w:tcPr>
          <w:p w14:paraId="3D06E213" w14:textId="77777777" w:rsidR="009D635E" w:rsidRPr="009E0160" w:rsidRDefault="009D635E" w:rsidP="00983B2F">
            <w:pPr>
              <w:rPr>
                <w:sz w:val="20"/>
                <w:szCs w:val="20"/>
              </w:rPr>
            </w:pPr>
            <w:r w:rsidRPr="009E0160">
              <w:rPr>
                <w:sz w:val="20"/>
                <w:szCs w:val="20"/>
              </w:rPr>
              <w:t>423111</w:t>
            </w:r>
          </w:p>
        </w:tc>
        <w:tc>
          <w:tcPr>
            <w:tcW w:w="2858" w:type="dxa"/>
          </w:tcPr>
          <w:p w14:paraId="4C1BD103" w14:textId="77777777" w:rsidR="009D635E" w:rsidRPr="009E0160" w:rsidRDefault="009D635E" w:rsidP="00983B2F">
            <w:pPr>
              <w:rPr>
                <w:sz w:val="20"/>
                <w:szCs w:val="20"/>
              </w:rPr>
            </w:pPr>
            <w:r w:rsidRPr="009E0160">
              <w:rPr>
                <w:sz w:val="20"/>
                <w:szCs w:val="20"/>
              </w:rPr>
              <w:t>4</w:t>
            </w:r>
          </w:p>
        </w:tc>
        <w:tc>
          <w:tcPr>
            <w:tcW w:w="3246" w:type="dxa"/>
          </w:tcPr>
          <w:p w14:paraId="622E3F52" w14:textId="77777777" w:rsidR="009D635E" w:rsidRPr="009E0160" w:rsidRDefault="009D635E" w:rsidP="00983B2F">
            <w:pPr>
              <w:rPr>
                <w:sz w:val="20"/>
                <w:szCs w:val="20"/>
              </w:rPr>
            </w:pPr>
            <w:r w:rsidRPr="009E0160">
              <w:rPr>
                <w:sz w:val="20"/>
                <w:szCs w:val="20"/>
              </w:rPr>
              <w:t>Aged or Disabled Carer</w:t>
            </w:r>
          </w:p>
        </w:tc>
      </w:tr>
      <w:tr w:rsidR="009D635E" w14:paraId="5F392F9A" w14:textId="77777777" w:rsidTr="00983B2F">
        <w:trPr>
          <w:trHeight w:val="107"/>
        </w:trPr>
        <w:tc>
          <w:tcPr>
            <w:tcW w:w="3048" w:type="dxa"/>
          </w:tcPr>
          <w:p w14:paraId="6F4486DE" w14:textId="77777777" w:rsidR="009D635E" w:rsidRPr="009E0160" w:rsidRDefault="009D635E" w:rsidP="00983B2F">
            <w:pPr>
              <w:rPr>
                <w:sz w:val="20"/>
                <w:szCs w:val="20"/>
              </w:rPr>
            </w:pPr>
            <w:r w:rsidRPr="009E0160">
              <w:rPr>
                <w:sz w:val="20"/>
                <w:szCs w:val="20"/>
              </w:rPr>
              <w:t>423313</w:t>
            </w:r>
          </w:p>
        </w:tc>
        <w:tc>
          <w:tcPr>
            <w:tcW w:w="2858" w:type="dxa"/>
          </w:tcPr>
          <w:p w14:paraId="32F6DBD9" w14:textId="77777777" w:rsidR="009D635E" w:rsidRPr="009E0160" w:rsidRDefault="009D635E" w:rsidP="00983B2F">
            <w:pPr>
              <w:rPr>
                <w:sz w:val="20"/>
                <w:szCs w:val="20"/>
              </w:rPr>
            </w:pPr>
            <w:r w:rsidRPr="009E0160">
              <w:rPr>
                <w:sz w:val="20"/>
                <w:szCs w:val="20"/>
              </w:rPr>
              <w:t>4</w:t>
            </w:r>
          </w:p>
        </w:tc>
        <w:tc>
          <w:tcPr>
            <w:tcW w:w="3246" w:type="dxa"/>
          </w:tcPr>
          <w:p w14:paraId="435CEE92" w14:textId="77777777" w:rsidR="009D635E" w:rsidRPr="009E0160" w:rsidRDefault="009D635E" w:rsidP="00983B2F">
            <w:pPr>
              <w:rPr>
                <w:sz w:val="20"/>
                <w:szCs w:val="20"/>
              </w:rPr>
            </w:pPr>
            <w:r w:rsidRPr="009E0160">
              <w:rPr>
                <w:sz w:val="20"/>
                <w:szCs w:val="20"/>
              </w:rPr>
              <w:t xml:space="preserve">Personal Care Assistant </w:t>
            </w:r>
          </w:p>
        </w:tc>
      </w:tr>
    </w:tbl>
    <w:p w14:paraId="2FE41B9C" w14:textId="77777777" w:rsidR="009D635E" w:rsidRDefault="009D635E" w:rsidP="009D635E">
      <w:pPr>
        <w:rPr>
          <w:rFonts w:ascii="Calibri" w:eastAsia="Times New Roman" w:hAnsi="Calibri" w:cs="Calibri"/>
          <w:color w:val="000000"/>
          <w:lang w:eastAsia="en-AU"/>
        </w:rPr>
      </w:pPr>
    </w:p>
    <w:p w14:paraId="5D040264" w14:textId="3D9E66FE" w:rsidR="009D635E" w:rsidRDefault="009D635E" w:rsidP="009D635E">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382F31" w:rsidRPr="00382F31">
        <w:rPr>
          <w:rFonts w:ascii="Calibri" w:eastAsia="Times New Roman" w:hAnsi="Calibri" w:cs="Calibri"/>
          <w:color w:val="000000"/>
          <w:lang w:eastAsia="en-AU"/>
        </w:rPr>
        <w:t>At least a Certificate III or higher qualification AND have at least one (1) year of recent and relevant work experience; two (2) years of relevant work experience may substitute for a qualification</w:t>
      </w:r>
    </w:p>
    <w:p w14:paraId="7DDCA48B" w14:textId="30E41166" w:rsidR="009D635E" w:rsidRPr="00C022E6" w:rsidRDefault="009D635E" w:rsidP="009D635E">
      <w:pPr>
        <w:rPr>
          <w:rFonts w:ascii="Calibri" w:eastAsia="Times New Roman" w:hAnsi="Calibri" w:cs="Calibri"/>
          <w:color w:val="000000"/>
          <w:lang w:eastAsia="en-AU"/>
        </w:rPr>
      </w:pPr>
      <w:r w:rsidRPr="009D26D3">
        <w:rPr>
          <w:rFonts w:ascii="Calibri" w:eastAsia="Times New Roman" w:hAnsi="Calibri" w:cs="Calibri"/>
          <w:b/>
          <w:bCs/>
          <w:color w:val="000000"/>
          <w:lang w:eastAsia="en-AU"/>
        </w:rPr>
        <w:t>English language concession:</w:t>
      </w:r>
      <w:r>
        <w:rPr>
          <w:rFonts w:ascii="Calibri" w:eastAsia="Times New Roman" w:hAnsi="Calibri" w:cs="Calibri"/>
          <w:color w:val="000000"/>
          <w:lang w:eastAsia="en-AU"/>
        </w:rPr>
        <w:t xml:space="preserve">  </w:t>
      </w:r>
      <w:r w:rsidR="00192C35" w:rsidRPr="00192C35">
        <w:rPr>
          <w:rFonts w:ascii="Calibri" w:eastAsia="Times New Roman" w:hAnsi="Calibri" w:cs="Calibri"/>
          <w:color w:val="000000"/>
          <w:lang w:eastAsia="en-AU"/>
        </w:rPr>
        <w:t>English Concession 482 and 494 – IELTS score of 5.0 overall (or equivalent) and minimum of IELTS score 4.0 (or equivalent) for individual bands</w:t>
      </w:r>
    </w:p>
    <w:p w14:paraId="14A1701F" w14:textId="77777777" w:rsidR="009D635E" w:rsidRPr="00D3013C" w:rsidRDefault="009D635E" w:rsidP="009D635E">
      <w:pPr>
        <w:rPr>
          <w:b/>
          <w:bCs/>
        </w:rPr>
      </w:pPr>
      <w:r>
        <w:rPr>
          <w:b/>
          <w:bCs/>
        </w:rPr>
        <w:t>Far North Queensland</w:t>
      </w:r>
    </w:p>
    <w:tbl>
      <w:tblPr>
        <w:tblStyle w:val="TableGrid"/>
        <w:tblW w:w="9152" w:type="dxa"/>
        <w:tblLook w:val="0420" w:firstRow="1" w:lastRow="0" w:firstColumn="0" w:lastColumn="0" w:noHBand="0" w:noVBand="1"/>
      </w:tblPr>
      <w:tblGrid>
        <w:gridCol w:w="3048"/>
        <w:gridCol w:w="2858"/>
        <w:gridCol w:w="3246"/>
      </w:tblGrid>
      <w:tr w:rsidR="009D635E" w:rsidRPr="0070016A" w14:paraId="37E6B7D9" w14:textId="77777777" w:rsidTr="0070016A">
        <w:trPr>
          <w:trHeight w:val="294"/>
        </w:trPr>
        <w:tc>
          <w:tcPr>
            <w:tcW w:w="3048" w:type="dxa"/>
            <w:shd w:val="clear" w:color="auto" w:fill="FFC000" w:themeFill="accent4"/>
          </w:tcPr>
          <w:p w14:paraId="1057000D" w14:textId="77777777" w:rsidR="009D635E" w:rsidRPr="0070016A" w:rsidRDefault="009D635E" w:rsidP="00983B2F">
            <w:pPr>
              <w:rPr>
                <w:b/>
                <w:bCs/>
                <w:sz w:val="20"/>
                <w:szCs w:val="20"/>
              </w:rPr>
            </w:pPr>
            <w:r w:rsidRPr="0070016A">
              <w:rPr>
                <w:b/>
                <w:bCs/>
                <w:sz w:val="20"/>
                <w:szCs w:val="20"/>
              </w:rPr>
              <w:t xml:space="preserve">ANZSCO </w:t>
            </w:r>
          </w:p>
        </w:tc>
        <w:tc>
          <w:tcPr>
            <w:tcW w:w="2858" w:type="dxa"/>
            <w:shd w:val="clear" w:color="auto" w:fill="FFC000" w:themeFill="accent4"/>
          </w:tcPr>
          <w:p w14:paraId="74A99B55" w14:textId="77777777" w:rsidR="009D635E" w:rsidRPr="0070016A" w:rsidRDefault="009D635E" w:rsidP="00983B2F">
            <w:pPr>
              <w:rPr>
                <w:b/>
                <w:bCs/>
                <w:sz w:val="20"/>
                <w:szCs w:val="20"/>
              </w:rPr>
            </w:pPr>
            <w:r w:rsidRPr="0070016A">
              <w:rPr>
                <w:b/>
                <w:bCs/>
                <w:sz w:val="20"/>
                <w:szCs w:val="20"/>
              </w:rPr>
              <w:t xml:space="preserve">Skill Level </w:t>
            </w:r>
          </w:p>
        </w:tc>
        <w:tc>
          <w:tcPr>
            <w:tcW w:w="3246" w:type="dxa"/>
            <w:shd w:val="clear" w:color="auto" w:fill="FFC000" w:themeFill="accent4"/>
          </w:tcPr>
          <w:p w14:paraId="29B8F6F4" w14:textId="77777777" w:rsidR="009D635E" w:rsidRPr="0070016A" w:rsidRDefault="009D635E" w:rsidP="00983B2F">
            <w:pPr>
              <w:rPr>
                <w:b/>
                <w:bCs/>
                <w:sz w:val="20"/>
                <w:szCs w:val="20"/>
              </w:rPr>
            </w:pPr>
            <w:r w:rsidRPr="0070016A">
              <w:rPr>
                <w:b/>
                <w:bCs/>
                <w:sz w:val="20"/>
                <w:szCs w:val="20"/>
              </w:rPr>
              <w:t xml:space="preserve">Occupation </w:t>
            </w:r>
          </w:p>
        </w:tc>
      </w:tr>
      <w:tr w:rsidR="009D635E" w14:paraId="33CCB45A" w14:textId="77777777" w:rsidTr="00983B2F">
        <w:trPr>
          <w:trHeight w:val="294"/>
        </w:trPr>
        <w:tc>
          <w:tcPr>
            <w:tcW w:w="3048" w:type="dxa"/>
          </w:tcPr>
          <w:p w14:paraId="2927C511" w14:textId="77777777" w:rsidR="009D635E" w:rsidRPr="009E0160" w:rsidRDefault="009D635E" w:rsidP="00983B2F">
            <w:pPr>
              <w:rPr>
                <w:sz w:val="20"/>
                <w:szCs w:val="20"/>
              </w:rPr>
            </w:pPr>
            <w:r w:rsidRPr="009E0160">
              <w:rPr>
                <w:sz w:val="20"/>
                <w:szCs w:val="20"/>
              </w:rPr>
              <w:t>421111</w:t>
            </w:r>
          </w:p>
        </w:tc>
        <w:tc>
          <w:tcPr>
            <w:tcW w:w="2858" w:type="dxa"/>
          </w:tcPr>
          <w:p w14:paraId="75BFF0B8" w14:textId="77777777" w:rsidR="009D635E" w:rsidRPr="009E0160" w:rsidRDefault="009D635E" w:rsidP="00983B2F">
            <w:pPr>
              <w:rPr>
                <w:sz w:val="20"/>
                <w:szCs w:val="20"/>
              </w:rPr>
            </w:pPr>
            <w:r w:rsidRPr="009E0160">
              <w:rPr>
                <w:sz w:val="20"/>
                <w:szCs w:val="20"/>
              </w:rPr>
              <w:t>3</w:t>
            </w:r>
          </w:p>
        </w:tc>
        <w:tc>
          <w:tcPr>
            <w:tcW w:w="3246" w:type="dxa"/>
          </w:tcPr>
          <w:p w14:paraId="5F82B0FD" w14:textId="77777777" w:rsidR="009D635E" w:rsidRPr="009E0160" w:rsidRDefault="009D635E" w:rsidP="00983B2F">
            <w:pPr>
              <w:rPr>
                <w:sz w:val="20"/>
                <w:szCs w:val="20"/>
              </w:rPr>
            </w:pPr>
            <w:r w:rsidRPr="009E0160">
              <w:rPr>
                <w:sz w:val="20"/>
                <w:szCs w:val="20"/>
              </w:rPr>
              <w:t xml:space="preserve">Childcare Worker </w:t>
            </w:r>
          </w:p>
        </w:tc>
      </w:tr>
      <w:tr w:rsidR="009D635E" w14:paraId="53CC0966" w14:textId="77777777" w:rsidTr="00983B2F">
        <w:trPr>
          <w:trHeight w:val="294"/>
        </w:trPr>
        <w:tc>
          <w:tcPr>
            <w:tcW w:w="3048" w:type="dxa"/>
          </w:tcPr>
          <w:p w14:paraId="4F2F9D63" w14:textId="77777777" w:rsidR="009D635E" w:rsidRPr="009E0160" w:rsidRDefault="009D635E" w:rsidP="00983B2F">
            <w:pPr>
              <w:rPr>
                <w:sz w:val="20"/>
                <w:szCs w:val="20"/>
              </w:rPr>
            </w:pPr>
            <w:r w:rsidRPr="009E0160">
              <w:rPr>
                <w:sz w:val="20"/>
                <w:szCs w:val="20"/>
              </w:rPr>
              <w:t>423111</w:t>
            </w:r>
          </w:p>
        </w:tc>
        <w:tc>
          <w:tcPr>
            <w:tcW w:w="2858" w:type="dxa"/>
          </w:tcPr>
          <w:p w14:paraId="70B5BDBF" w14:textId="77777777" w:rsidR="009D635E" w:rsidRPr="009E0160" w:rsidRDefault="009D635E" w:rsidP="00983B2F">
            <w:pPr>
              <w:rPr>
                <w:sz w:val="20"/>
                <w:szCs w:val="20"/>
              </w:rPr>
            </w:pPr>
            <w:r w:rsidRPr="009E0160">
              <w:rPr>
                <w:sz w:val="20"/>
                <w:szCs w:val="20"/>
              </w:rPr>
              <w:t>4</w:t>
            </w:r>
          </w:p>
        </w:tc>
        <w:tc>
          <w:tcPr>
            <w:tcW w:w="3246" w:type="dxa"/>
          </w:tcPr>
          <w:p w14:paraId="073D3FFA" w14:textId="77777777" w:rsidR="009D635E" w:rsidRPr="009E0160" w:rsidRDefault="009D635E" w:rsidP="00983B2F">
            <w:pPr>
              <w:rPr>
                <w:sz w:val="20"/>
                <w:szCs w:val="20"/>
              </w:rPr>
            </w:pPr>
            <w:r w:rsidRPr="009E0160">
              <w:rPr>
                <w:sz w:val="20"/>
                <w:szCs w:val="20"/>
              </w:rPr>
              <w:t>Aged or Disabled Carer</w:t>
            </w:r>
          </w:p>
        </w:tc>
      </w:tr>
      <w:tr w:rsidR="009D635E" w14:paraId="3A18FE8F" w14:textId="77777777" w:rsidTr="00983B2F">
        <w:trPr>
          <w:trHeight w:val="283"/>
        </w:trPr>
        <w:tc>
          <w:tcPr>
            <w:tcW w:w="3048" w:type="dxa"/>
          </w:tcPr>
          <w:p w14:paraId="55917501" w14:textId="77777777" w:rsidR="009D635E" w:rsidRPr="009E0160" w:rsidRDefault="009D635E" w:rsidP="00983B2F">
            <w:pPr>
              <w:rPr>
                <w:sz w:val="20"/>
                <w:szCs w:val="20"/>
              </w:rPr>
            </w:pPr>
            <w:r w:rsidRPr="009E0160">
              <w:rPr>
                <w:sz w:val="20"/>
                <w:szCs w:val="20"/>
              </w:rPr>
              <w:t>423312</w:t>
            </w:r>
          </w:p>
        </w:tc>
        <w:tc>
          <w:tcPr>
            <w:tcW w:w="2858" w:type="dxa"/>
          </w:tcPr>
          <w:p w14:paraId="4842973B" w14:textId="77777777" w:rsidR="009D635E" w:rsidRPr="009E0160" w:rsidRDefault="009D635E" w:rsidP="00983B2F">
            <w:pPr>
              <w:rPr>
                <w:sz w:val="20"/>
                <w:szCs w:val="20"/>
              </w:rPr>
            </w:pPr>
            <w:r w:rsidRPr="009E0160">
              <w:rPr>
                <w:sz w:val="20"/>
                <w:szCs w:val="20"/>
              </w:rPr>
              <w:t>4</w:t>
            </w:r>
          </w:p>
        </w:tc>
        <w:tc>
          <w:tcPr>
            <w:tcW w:w="3246" w:type="dxa"/>
          </w:tcPr>
          <w:p w14:paraId="3DB0938B" w14:textId="77777777" w:rsidR="009D635E" w:rsidRPr="009E0160" w:rsidRDefault="009D635E" w:rsidP="00983B2F">
            <w:pPr>
              <w:rPr>
                <w:sz w:val="20"/>
                <w:szCs w:val="20"/>
              </w:rPr>
            </w:pPr>
            <w:r w:rsidRPr="009E0160">
              <w:rPr>
                <w:sz w:val="20"/>
                <w:szCs w:val="20"/>
              </w:rPr>
              <w:t xml:space="preserve">Nursing Support Worker </w:t>
            </w:r>
          </w:p>
        </w:tc>
      </w:tr>
      <w:tr w:rsidR="009D635E" w14:paraId="2D27739B" w14:textId="77777777" w:rsidTr="00983B2F">
        <w:trPr>
          <w:trHeight w:val="283"/>
        </w:trPr>
        <w:tc>
          <w:tcPr>
            <w:tcW w:w="3048" w:type="dxa"/>
          </w:tcPr>
          <w:p w14:paraId="6BEA7D3A" w14:textId="77777777" w:rsidR="009D635E" w:rsidRPr="009E0160" w:rsidRDefault="009D635E" w:rsidP="00983B2F">
            <w:pPr>
              <w:rPr>
                <w:sz w:val="20"/>
                <w:szCs w:val="20"/>
              </w:rPr>
            </w:pPr>
            <w:r w:rsidRPr="009E0160">
              <w:rPr>
                <w:sz w:val="20"/>
                <w:szCs w:val="20"/>
              </w:rPr>
              <w:t>423313</w:t>
            </w:r>
          </w:p>
        </w:tc>
        <w:tc>
          <w:tcPr>
            <w:tcW w:w="2858" w:type="dxa"/>
          </w:tcPr>
          <w:p w14:paraId="1DD30CA3" w14:textId="77777777" w:rsidR="009D635E" w:rsidRPr="009E0160" w:rsidRDefault="009D635E" w:rsidP="00983B2F">
            <w:pPr>
              <w:rPr>
                <w:sz w:val="20"/>
                <w:szCs w:val="20"/>
              </w:rPr>
            </w:pPr>
            <w:r w:rsidRPr="009E0160">
              <w:rPr>
                <w:sz w:val="20"/>
                <w:szCs w:val="20"/>
              </w:rPr>
              <w:t>4</w:t>
            </w:r>
          </w:p>
        </w:tc>
        <w:tc>
          <w:tcPr>
            <w:tcW w:w="3246" w:type="dxa"/>
          </w:tcPr>
          <w:p w14:paraId="449898B7" w14:textId="77777777" w:rsidR="009D635E" w:rsidRPr="009E0160" w:rsidRDefault="009D635E" w:rsidP="00983B2F">
            <w:pPr>
              <w:rPr>
                <w:sz w:val="20"/>
                <w:szCs w:val="20"/>
              </w:rPr>
            </w:pPr>
            <w:r w:rsidRPr="009E0160">
              <w:rPr>
                <w:sz w:val="20"/>
                <w:szCs w:val="20"/>
              </w:rPr>
              <w:t>Personal Care Assistant</w:t>
            </w:r>
          </w:p>
        </w:tc>
      </w:tr>
      <w:tr w:rsidR="009D635E" w14:paraId="50CD1FE0" w14:textId="77777777" w:rsidTr="00983B2F">
        <w:trPr>
          <w:trHeight w:val="283"/>
        </w:trPr>
        <w:tc>
          <w:tcPr>
            <w:tcW w:w="3048" w:type="dxa"/>
          </w:tcPr>
          <w:p w14:paraId="5D8AD3F4" w14:textId="77777777" w:rsidR="009D635E" w:rsidRPr="009E0160" w:rsidRDefault="009D635E" w:rsidP="00983B2F">
            <w:pPr>
              <w:rPr>
                <w:sz w:val="20"/>
                <w:szCs w:val="20"/>
              </w:rPr>
            </w:pPr>
            <w:r w:rsidRPr="009E0160">
              <w:rPr>
                <w:sz w:val="20"/>
                <w:szCs w:val="20"/>
              </w:rPr>
              <w:t>422115</w:t>
            </w:r>
          </w:p>
        </w:tc>
        <w:tc>
          <w:tcPr>
            <w:tcW w:w="2858" w:type="dxa"/>
          </w:tcPr>
          <w:p w14:paraId="31F21EE5" w14:textId="77777777" w:rsidR="009D635E" w:rsidRPr="009E0160" w:rsidRDefault="009D635E" w:rsidP="00983B2F">
            <w:pPr>
              <w:rPr>
                <w:sz w:val="20"/>
                <w:szCs w:val="20"/>
              </w:rPr>
            </w:pPr>
            <w:r w:rsidRPr="009E0160">
              <w:rPr>
                <w:sz w:val="20"/>
                <w:szCs w:val="20"/>
              </w:rPr>
              <w:t>4</w:t>
            </w:r>
          </w:p>
        </w:tc>
        <w:tc>
          <w:tcPr>
            <w:tcW w:w="3246" w:type="dxa"/>
          </w:tcPr>
          <w:p w14:paraId="3097F635" w14:textId="77777777" w:rsidR="009D635E" w:rsidRPr="009E0160" w:rsidRDefault="009D635E" w:rsidP="00983B2F">
            <w:pPr>
              <w:rPr>
                <w:sz w:val="20"/>
                <w:szCs w:val="20"/>
              </w:rPr>
            </w:pPr>
            <w:r w:rsidRPr="009E0160">
              <w:rPr>
                <w:sz w:val="20"/>
                <w:szCs w:val="20"/>
              </w:rPr>
              <w:t xml:space="preserve">Preschool Alde </w:t>
            </w:r>
          </w:p>
        </w:tc>
      </w:tr>
    </w:tbl>
    <w:p w14:paraId="684CBF4C" w14:textId="3D9522E1" w:rsidR="009D635E" w:rsidRDefault="009D635E" w:rsidP="009D635E">
      <w:pPr>
        <w:rPr>
          <w:rFonts w:ascii="Calibri" w:eastAsia="Times New Roman" w:hAnsi="Calibri" w:cs="Calibri"/>
          <w:color w:val="000000"/>
          <w:lang w:eastAsia="en-AU"/>
        </w:rPr>
      </w:pPr>
      <w:r>
        <w:rPr>
          <w:rFonts w:ascii="Calibri" w:eastAsia="Times New Roman" w:hAnsi="Calibri" w:cs="Calibri"/>
          <w:color w:val="000000"/>
          <w:lang w:eastAsia="en-AU"/>
        </w:rPr>
        <w:br/>
      </w: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2E68DF" w:rsidRPr="002E68DF">
        <w:rPr>
          <w:rFonts w:ascii="Calibri" w:eastAsia="Times New Roman" w:hAnsi="Calibri" w:cs="Calibri"/>
          <w:color w:val="000000"/>
          <w:lang w:eastAsia="en-AU"/>
        </w:rPr>
        <w:t xml:space="preserve">Have at least a relevant AQF or equivalent Certificate III (Skill Level 4) OR have at least a relevant AQF or equivalent Certificate IV (Skill Level 3) and have at least one (1) year (20+ </w:t>
      </w:r>
      <w:proofErr w:type="spellStart"/>
      <w:r w:rsidR="002E68DF" w:rsidRPr="002E68DF">
        <w:rPr>
          <w:rFonts w:ascii="Calibri" w:eastAsia="Times New Roman" w:hAnsi="Calibri" w:cs="Calibri"/>
          <w:color w:val="000000"/>
          <w:lang w:eastAsia="en-AU"/>
        </w:rPr>
        <w:t>hpw</w:t>
      </w:r>
      <w:proofErr w:type="spellEnd"/>
      <w:r w:rsidR="002E68DF" w:rsidRPr="002E68DF">
        <w:rPr>
          <w:rFonts w:ascii="Calibri" w:eastAsia="Times New Roman" w:hAnsi="Calibri" w:cs="Calibri"/>
          <w:color w:val="000000"/>
          <w:lang w:eastAsia="en-AU"/>
        </w:rPr>
        <w:t xml:space="preserve">) relevant work experience; </w:t>
      </w:r>
      <w:proofErr w:type="gramStart"/>
      <w:r w:rsidR="002E68DF" w:rsidRPr="002E68DF">
        <w:rPr>
          <w:rFonts w:ascii="Calibri" w:eastAsia="Times New Roman" w:hAnsi="Calibri" w:cs="Calibri"/>
          <w:color w:val="000000"/>
          <w:lang w:eastAsia="en-AU"/>
        </w:rPr>
        <w:t>plus</w:t>
      </w:r>
      <w:proofErr w:type="gramEnd"/>
      <w:r w:rsidR="002E68DF" w:rsidRPr="002E68DF">
        <w:rPr>
          <w:rFonts w:ascii="Calibri" w:eastAsia="Times New Roman" w:hAnsi="Calibri" w:cs="Calibri"/>
          <w:color w:val="000000"/>
          <w:lang w:eastAsia="en-AU"/>
        </w:rPr>
        <w:t xml:space="preserve"> skills assessment</w:t>
      </w:r>
    </w:p>
    <w:p w14:paraId="6353A82A" w14:textId="77777777" w:rsidR="009D635E" w:rsidRDefault="009D635E" w:rsidP="009D635E">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Pr="00CD0832">
        <w:rPr>
          <w:rFonts w:ascii="Calibri" w:eastAsia="Times New Roman" w:hAnsi="Calibri" w:cs="Calibri"/>
          <w:color w:val="000000"/>
          <w:lang w:eastAsia="en-AU"/>
        </w:rPr>
        <w:t>N</w:t>
      </w:r>
      <w:r>
        <w:rPr>
          <w:rFonts w:ascii="Calibri" w:eastAsia="Times New Roman" w:hAnsi="Calibri" w:cs="Calibri"/>
          <w:color w:val="000000"/>
          <w:lang w:eastAsia="en-AU"/>
        </w:rPr>
        <w:t>/A</w:t>
      </w:r>
    </w:p>
    <w:p w14:paraId="3167185E" w14:textId="253FC0BB" w:rsidR="004C2AFD" w:rsidRPr="00AC6329" w:rsidRDefault="004C2AFD" w:rsidP="00AC6329">
      <w:pPr>
        <w:rPr>
          <w:rFonts w:ascii="Calibri" w:eastAsia="Times New Roman" w:hAnsi="Calibri" w:cs="Calibri"/>
          <w:color w:val="000000"/>
          <w:lang w:eastAsia="en-AU"/>
        </w:rPr>
      </w:pPr>
      <w:r w:rsidRPr="00AC6329">
        <w:rPr>
          <w:b/>
          <w:bCs/>
        </w:rPr>
        <w:t xml:space="preserve">Notes: </w:t>
      </w:r>
      <w:r w:rsidRPr="00AC6329">
        <w:t>10% TSMIT concession and pathway to permanency available for all.</w:t>
      </w:r>
    </w:p>
    <w:p w14:paraId="1642E5EE" w14:textId="75341BDE" w:rsidR="00B22C38" w:rsidRDefault="00B22C38">
      <w:r>
        <w:br w:type="page"/>
      </w:r>
    </w:p>
    <w:p w14:paraId="47E8F70A" w14:textId="77777777" w:rsidR="009E0160" w:rsidRDefault="009E0160" w:rsidP="009E0160">
      <w:pPr>
        <w:rPr>
          <w:b/>
          <w:bCs/>
          <w:sz w:val="28"/>
          <w:szCs w:val="28"/>
        </w:rPr>
      </w:pPr>
      <w:bookmarkStart w:id="39" w:name="_Annex_5:_Direct-to-TSS"/>
      <w:bookmarkStart w:id="40" w:name="_Toc90621518"/>
      <w:bookmarkStart w:id="41" w:name="_Toc85395318"/>
      <w:bookmarkEnd w:id="39"/>
      <w:r w:rsidRPr="00AF375C">
        <w:rPr>
          <w:b/>
          <w:bCs/>
          <w:sz w:val="28"/>
          <w:szCs w:val="28"/>
        </w:rPr>
        <w:lastRenderedPageBreak/>
        <w:t xml:space="preserve">Summary of DAMA provisions relating to hospitality workers </w:t>
      </w:r>
    </w:p>
    <w:p w14:paraId="4F5A0603" w14:textId="77777777" w:rsidR="009E0160" w:rsidRPr="00D3013C" w:rsidRDefault="009E0160" w:rsidP="009E0160">
      <w:pPr>
        <w:rPr>
          <w:b/>
          <w:bCs/>
        </w:rPr>
      </w:pPr>
      <w:r>
        <w:rPr>
          <w:b/>
          <w:bCs/>
        </w:rPr>
        <w:t>NT</w:t>
      </w:r>
    </w:p>
    <w:tbl>
      <w:tblPr>
        <w:tblStyle w:val="TableGrid"/>
        <w:tblW w:w="9152" w:type="dxa"/>
        <w:tblLook w:val="0420" w:firstRow="1" w:lastRow="0" w:firstColumn="0" w:lastColumn="0" w:noHBand="0" w:noVBand="1"/>
      </w:tblPr>
      <w:tblGrid>
        <w:gridCol w:w="3048"/>
        <w:gridCol w:w="2858"/>
        <w:gridCol w:w="3246"/>
      </w:tblGrid>
      <w:tr w:rsidR="009E0160" w:rsidRPr="0070016A" w14:paraId="4B795644" w14:textId="77777777" w:rsidTr="0070016A">
        <w:trPr>
          <w:trHeight w:val="294"/>
        </w:trPr>
        <w:tc>
          <w:tcPr>
            <w:tcW w:w="3048" w:type="dxa"/>
            <w:shd w:val="clear" w:color="auto" w:fill="FFC000" w:themeFill="accent4"/>
          </w:tcPr>
          <w:p w14:paraId="4BA57097"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24DD1FFB"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5220B2D4" w14:textId="77777777" w:rsidR="009E0160" w:rsidRPr="0070016A" w:rsidRDefault="009E0160" w:rsidP="003A3E15">
            <w:pPr>
              <w:rPr>
                <w:b/>
                <w:bCs/>
                <w:sz w:val="20"/>
                <w:szCs w:val="20"/>
              </w:rPr>
            </w:pPr>
            <w:r w:rsidRPr="0070016A">
              <w:rPr>
                <w:b/>
                <w:bCs/>
                <w:sz w:val="20"/>
                <w:szCs w:val="20"/>
              </w:rPr>
              <w:t xml:space="preserve">Occupation </w:t>
            </w:r>
          </w:p>
        </w:tc>
      </w:tr>
      <w:tr w:rsidR="009E0160" w14:paraId="3DFF7D8B" w14:textId="77777777" w:rsidTr="003A3E15">
        <w:trPr>
          <w:trHeight w:val="294"/>
        </w:trPr>
        <w:tc>
          <w:tcPr>
            <w:tcW w:w="3048" w:type="dxa"/>
          </w:tcPr>
          <w:p w14:paraId="08EF5416" w14:textId="77777777" w:rsidR="009E0160" w:rsidRPr="00B50E42" w:rsidRDefault="009E0160" w:rsidP="003A3E15">
            <w:pPr>
              <w:rPr>
                <w:sz w:val="20"/>
                <w:szCs w:val="20"/>
              </w:rPr>
            </w:pPr>
            <w:r w:rsidRPr="00B50E42">
              <w:rPr>
                <w:sz w:val="20"/>
                <w:szCs w:val="20"/>
              </w:rPr>
              <w:t>351411</w:t>
            </w:r>
          </w:p>
        </w:tc>
        <w:tc>
          <w:tcPr>
            <w:tcW w:w="2858" w:type="dxa"/>
          </w:tcPr>
          <w:p w14:paraId="60797A40" w14:textId="77777777" w:rsidR="009E0160" w:rsidRPr="00B50E42" w:rsidRDefault="009E0160" w:rsidP="003A3E15">
            <w:pPr>
              <w:rPr>
                <w:sz w:val="20"/>
                <w:szCs w:val="20"/>
              </w:rPr>
            </w:pPr>
            <w:r w:rsidRPr="00B50E42">
              <w:rPr>
                <w:sz w:val="20"/>
                <w:szCs w:val="20"/>
              </w:rPr>
              <w:t>3</w:t>
            </w:r>
          </w:p>
        </w:tc>
        <w:tc>
          <w:tcPr>
            <w:tcW w:w="3246" w:type="dxa"/>
          </w:tcPr>
          <w:p w14:paraId="2F53D42D" w14:textId="77777777" w:rsidR="009E0160" w:rsidRPr="00B50E42" w:rsidRDefault="009E0160" w:rsidP="003A3E15">
            <w:pPr>
              <w:rPr>
                <w:sz w:val="20"/>
                <w:szCs w:val="20"/>
              </w:rPr>
            </w:pPr>
            <w:r w:rsidRPr="00B50E42">
              <w:rPr>
                <w:sz w:val="20"/>
                <w:szCs w:val="20"/>
              </w:rPr>
              <w:t xml:space="preserve">Cook  </w:t>
            </w:r>
          </w:p>
        </w:tc>
      </w:tr>
    </w:tbl>
    <w:p w14:paraId="0D800402" w14:textId="2D4F759F" w:rsidR="009E0160" w:rsidRDefault="009E0160" w:rsidP="009E0160">
      <w:pPr>
        <w:rPr>
          <w:rFonts w:ascii="Calibri" w:eastAsia="Times New Roman" w:hAnsi="Calibri" w:cs="Calibri"/>
          <w:color w:val="000000"/>
          <w:lang w:eastAsia="en-AU"/>
        </w:rPr>
      </w:pPr>
      <w:r>
        <w:rPr>
          <w:rFonts w:ascii="Calibri" w:eastAsia="Times New Roman" w:hAnsi="Calibri" w:cs="Calibri"/>
          <w:b/>
          <w:bCs/>
          <w:color w:val="000000"/>
          <w:lang w:eastAsia="en-AU"/>
        </w:rPr>
        <w:br/>
      </w:r>
      <w:r w:rsidRPr="005667B1">
        <w:rPr>
          <w:rFonts w:ascii="Calibri" w:eastAsia="Times New Roman" w:hAnsi="Calibri" w:cs="Calibri"/>
          <w:b/>
          <w:bCs/>
          <w:color w:val="000000"/>
          <w:lang w:eastAsia="en-AU"/>
        </w:rPr>
        <w:t xml:space="preserve">Required qualifications and work experience: </w:t>
      </w:r>
      <w:r w:rsidR="00D0615F" w:rsidRPr="00D0615F">
        <w:rPr>
          <w:rFonts w:ascii="Calibri" w:eastAsia="Times New Roman" w:hAnsi="Calibri" w:cs="Calibri"/>
          <w:color w:val="000000"/>
          <w:lang w:eastAsia="en-AU"/>
        </w:rPr>
        <w:t>Five (5) years’ employment experience as a Commercial Cook (with no formal training) OR three (3) years’ employment experience as a Commercial Cook (with relevant formal training; formal training’ is training that aligns with the national training standards</w:t>
      </w:r>
      <w:r>
        <w:rPr>
          <w:rFonts w:ascii="Calibri" w:eastAsia="Times New Roman" w:hAnsi="Calibri" w:cs="Calibri"/>
          <w:color w:val="000000"/>
          <w:lang w:eastAsia="en-AU"/>
        </w:rPr>
        <w:t xml:space="preserve"> </w:t>
      </w:r>
    </w:p>
    <w:p w14:paraId="03267149" w14:textId="44C26976"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F56042" w:rsidRPr="00F56042">
        <w:rPr>
          <w:rFonts w:ascii="Calibri" w:eastAsia="Times New Roman" w:hAnsi="Calibri" w:cs="Calibri"/>
          <w:color w:val="000000"/>
          <w:lang w:eastAsia="en-AU"/>
        </w:rPr>
        <w:t>Average of 5.0 for IELTS with speaking and listening components no less than 4.0. English language concession not available for Hotel or Motel Receptionist</w:t>
      </w:r>
    </w:p>
    <w:p w14:paraId="74D4A59A" w14:textId="77777777" w:rsidR="009E0160" w:rsidRPr="008001F0" w:rsidRDefault="009E0160" w:rsidP="009E0160">
      <w:pPr>
        <w:rPr>
          <w:rFonts w:ascii="Calibri" w:eastAsia="Times New Roman" w:hAnsi="Calibri" w:cs="Calibri"/>
          <w:b/>
          <w:bCs/>
          <w:color w:val="000000"/>
          <w:lang w:eastAsia="en-AU"/>
        </w:rPr>
      </w:pPr>
      <w:r w:rsidRPr="008001F0">
        <w:rPr>
          <w:rFonts w:ascii="Calibri" w:eastAsia="Times New Roman" w:hAnsi="Calibri" w:cs="Calibri"/>
          <w:b/>
          <w:bCs/>
          <w:color w:val="000000"/>
          <w:lang w:eastAsia="en-AU"/>
        </w:rPr>
        <w:t xml:space="preserve">NT </w:t>
      </w:r>
    </w:p>
    <w:tbl>
      <w:tblPr>
        <w:tblStyle w:val="TableGrid"/>
        <w:tblW w:w="9152" w:type="dxa"/>
        <w:tblLook w:val="0420" w:firstRow="1" w:lastRow="0" w:firstColumn="0" w:lastColumn="0" w:noHBand="0" w:noVBand="1"/>
      </w:tblPr>
      <w:tblGrid>
        <w:gridCol w:w="3048"/>
        <w:gridCol w:w="2858"/>
        <w:gridCol w:w="3246"/>
      </w:tblGrid>
      <w:tr w:rsidR="009E0160" w:rsidRPr="0070016A" w14:paraId="59C6EE1E" w14:textId="77777777" w:rsidTr="0070016A">
        <w:trPr>
          <w:trHeight w:val="294"/>
        </w:trPr>
        <w:tc>
          <w:tcPr>
            <w:tcW w:w="3048" w:type="dxa"/>
            <w:shd w:val="clear" w:color="auto" w:fill="FFC000" w:themeFill="accent4"/>
          </w:tcPr>
          <w:p w14:paraId="1CE20BF9"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26F1FFCA"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2CEEA1EE" w14:textId="77777777" w:rsidR="009E0160" w:rsidRPr="0070016A" w:rsidRDefault="009E0160" w:rsidP="003A3E15">
            <w:pPr>
              <w:rPr>
                <w:b/>
                <w:bCs/>
                <w:sz w:val="20"/>
                <w:szCs w:val="20"/>
              </w:rPr>
            </w:pPr>
            <w:r w:rsidRPr="0070016A">
              <w:rPr>
                <w:b/>
                <w:bCs/>
                <w:sz w:val="20"/>
                <w:szCs w:val="20"/>
              </w:rPr>
              <w:t xml:space="preserve">Occupation </w:t>
            </w:r>
          </w:p>
        </w:tc>
      </w:tr>
      <w:tr w:rsidR="009E0160" w14:paraId="649AFB19" w14:textId="77777777" w:rsidTr="003A3E15">
        <w:trPr>
          <w:trHeight w:val="294"/>
        </w:trPr>
        <w:tc>
          <w:tcPr>
            <w:tcW w:w="3048" w:type="dxa"/>
          </w:tcPr>
          <w:p w14:paraId="3FA9D9C1" w14:textId="5948B6B5" w:rsidR="009E0160" w:rsidRPr="00B50E42" w:rsidRDefault="009E0160" w:rsidP="003A3E15">
            <w:pPr>
              <w:rPr>
                <w:sz w:val="20"/>
                <w:szCs w:val="20"/>
              </w:rPr>
            </w:pPr>
            <w:r w:rsidRPr="00B50E42">
              <w:rPr>
                <w:sz w:val="20"/>
                <w:szCs w:val="20"/>
              </w:rPr>
              <w:t>431411</w:t>
            </w:r>
          </w:p>
        </w:tc>
        <w:tc>
          <w:tcPr>
            <w:tcW w:w="2858" w:type="dxa"/>
          </w:tcPr>
          <w:p w14:paraId="72138752" w14:textId="77777777" w:rsidR="009E0160" w:rsidRPr="00B50E42" w:rsidRDefault="009E0160" w:rsidP="003A3E15">
            <w:pPr>
              <w:rPr>
                <w:sz w:val="20"/>
                <w:szCs w:val="20"/>
              </w:rPr>
            </w:pPr>
            <w:r w:rsidRPr="00B50E42">
              <w:rPr>
                <w:sz w:val="20"/>
                <w:szCs w:val="20"/>
              </w:rPr>
              <w:t>3</w:t>
            </w:r>
          </w:p>
        </w:tc>
        <w:tc>
          <w:tcPr>
            <w:tcW w:w="3246" w:type="dxa"/>
          </w:tcPr>
          <w:p w14:paraId="723B3631" w14:textId="77777777" w:rsidR="009E0160" w:rsidRPr="00B50E42" w:rsidRDefault="009E0160" w:rsidP="003A3E15">
            <w:pPr>
              <w:rPr>
                <w:sz w:val="20"/>
                <w:szCs w:val="20"/>
              </w:rPr>
            </w:pPr>
            <w:r w:rsidRPr="00B50E42">
              <w:rPr>
                <w:sz w:val="20"/>
                <w:szCs w:val="20"/>
              </w:rPr>
              <w:t xml:space="preserve">Hotel Service Manager   </w:t>
            </w:r>
          </w:p>
        </w:tc>
      </w:tr>
    </w:tbl>
    <w:p w14:paraId="289FCD51" w14:textId="77777777" w:rsidR="009E0160" w:rsidRPr="005667B1" w:rsidRDefault="009E0160" w:rsidP="009E0160">
      <w:pPr>
        <w:rPr>
          <w:rFonts w:ascii="Calibri" w:eastAsia="Times New Roman" w:hAnsi="Calibri" w:cs="Calibri"/>
          <w:color w:val="000000"/>
          <w:lang w:eastAsia="en-AU"/>
        </w:rPr>
      </w:pPr>
    </w:p>
    <w:p w14:paraId="15947119" w14:textId="580BA5D8"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515B7F" w:rsidRPr="00515B7F">
        <w:rPr>
          <w:rFonts w:ascii="Calibri" w:eastAsia="Times New Roman" w:hAnsi="Calibri" w:cs="Calibri"/>
          <w:color w:val="000000"/>
          <w:lang w:eastAsia="en-AU"/>
        </w:rPr>
        <w:t>Undergo a skills verification by the Northern Territory Department of Industry, Tourism and Trade; meet the skill level as defined in ANZSCO; have at least two (2) years post qualification experience; the two (2) years post qualification experience is in addition to any work experience requirements outlined in ANZSCO as substitution of qualifications</w:t>
      </w:r>
    </w:p>
    <w:p w14:paraId="18ABF9EA" w14:textId="77777777" w:rsidR="00A04029" w:rsidRDefault="009E0160" w:rsidP="00A04029">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A04029" w:rsidRPr="00F56042">
        <w:rPr>
          <w:rFonts w:ascii="Calibri" w:eastAsia="Times New Roman" w:hAnsi="Calibri" w:cs="Calibri"/>
          <w:color w:val="000000"/>
          <w:lang w:eastAsia="en-AU"/>
        </w:rPr>
        <w:t>Average of 5.0 for IELTS with speaking and listening components no less than 4.0. English language concession not available for Hotel or Motel Receptionist</w:t>
      </w:r>
    </w:p>
    <w:p w14:paraId="3A7711CF" w14:textId="77777777" w:rsidR="009E0160" w:rsidRPr="0090013E" w:rsidRDefault="009E0160" w:rsidP="009E0160">
      <w:pPr>
        <w:rPr>
          <w:rFonts w:ascii="Calibri" w:eastAsia="Times New Roman" w:hAnsi="Calibri" w:cs="Calibri"/>
          <w:b/>
          <w:bCs/>
          <w:color w:val="000000"/>
          <w:lang w:eastAsia="en-AU"/>
        </w:rPr>
      </w:pPr>
      <w:r w:rsidRPr="0090013E">
        <w:rPr>
          <w:rFonts w:ascii="Calibri" w:eastAsia="Times New Roman" w:hAnsi="Calibri" w:cs="Calibri"/>
          <w:b/>
          <w:bCs/>
          <w:color w:val="000000"/>
          <w:lang w:eastAsia="en-AU"/>
        </w:rPr>
        <w:t xml:space="preserve">NT </w:t>
      </w:r>
    </w:p>
    <w:tbl>
      <w:tblPr>
        <w:tblStyle w:val="TableGrid"/>
        <w:tblW w:w="9152" w:type="dxa"/>
        <w:tblLook w:val="0420" w:firstRow="1" w:lastRow="0" w:firstColumn="0" w:lastColumn="0" w:noHBand="0" w:noVBand="1"/>
      </w:tblPr>
      <w:tblGrid>
        <w:gridCol w:w="3048"/>
        <w:gridCol w:w="2858"/>
        <w:gridCol w:w="3246"/>
      </w:tblGrid>
      <w:tr w:rsidR="009E0160" w:rsidRPr="0070016A" w14:paraId="5C260A4D" w14:textId="77777777" w:rsidTr="0070016A">
        <w:trPr>
          <w:trHeight w:val="294"/>
        </w:trPr>
        <w:tc>
          <w:tcPr>
            <w:tcW w:w="3048" w:type="dxa"/>
            <w:shd w:val="clear" w:color="auto" w:fill="FFC000" w:themeFill="accent4"/>
          </w:tcPr>
          <w:p w14:paraId="04F30CF1"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7B442BC0"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014F596B" w14:textId="77777777" w:rsidR="009E0160" w:rsidRPr="0070016A" w:rsidRDefault="009E0160" w:rsidP="003A3E15">
            <w:pPr>
              <w:rPr>
                <w:b/>
                <w:bCs/>
                <w:sz w:val="20"/>
                <w:szCs w:val="20"/>
              </w:rPr>
            </w:pPr>
            <w:r w:rsidRPr="0070016A">
              <w:rPr>
                <w:b/>
                <w:bCs/>
                <w:sz w:val="20"/>
                <w:szCs w:val="20"/>
              </w:rPr>
              <w:t xml:space="preserve">Occupation </w:t>
            </w:r>
          </w:p>
        </w:tc>
      </w:tr>
      <w:tr w:rsidR="009E0160" w14:paraId="55097C05" w14:textId="77777777" w:rsidTr="003A3E15">
        <w:trPr>
          <w:trHeight w:val="294"/>
        </w:trPr>
        <w:tc>
          <w:tcPr>
            <w:tcW w:w="3048" w:type="dxa"/>
          </w:tcPr>
          <w:p w14:paraId="3A66212A" w14:textId="77777777" w:rsidR="009E0160" w:rsidRPr="00B50E42" w:rsidRDefault="009E0160" w:rsidP="003A3E15">
            <w:pPr>
              <w:rPr>
                <w:sz w:val="20"/>
                <w:szCs w:val="20"/>
              </w:rPr>
            </w:pPr>
            <w:r w:rsidRPr="00B50E42">
              <w:rPr>
                <w:sz w:val="20"/>
                <w:szCs w:val="20"/>
              </w:rPr>
              <w:t>431112</w:t>
            </w:r>
          </w:p>
        </w:tc>
        <w:tc>
          <w:tcPr>
            <w:tcW w:w="2858" w:type="dxa"/>
          </w:tcPr>
          <w:p w14:paraId="7B130A7E" w14:textId="77777777" w:rsidR="009E0160" w:rsidRPr="00B50E42" w:rsidRDefault="009E0160" w:rsidP="003A3E15">
            <w:pPr>
              <w:rPr>
                <w:sz w:val="20"/>
                <w:szCs w:val="20"/>
              </w:rPr>
            </w:pPr>
            <w:r w:rsidRPr="00B50E42">
              <w:rPr>
                <w:sz w:val="20"/>
                <w:szCs w:val="20"/>
              </w:rPr>
              <w:t>4</w:t>
            </w:r>
          </w:p>
        </w:tc>
        <w:tc>
          <w:tcPr>
            <w:tcW w:w="3246" w:type="dxa"/>
          </w:tcPr>
          <w:p w14:paraId="2486737E" w14:textId="77777777" w:rsidR="009E0160" w:rsidRPr="00B50E42" w:rsidRDefault="009E0160" w:rsidP="003A3E15">
            <w:pPr>
              <w:rPr>
                <w:sz w:val="20"/>
                <w:szCs w:val="20"/>
              </w:rPr>
            </w:pPr>
            <w:r w:rsidRPr="00B50E42">
              <w:rPr>
                <w:sz w:val="20"/>
                <w:szCs w:val="20"/>
              </w:rPr>
              <w:t xml:space="preserve">Barista   </w:t>
            </w:r>
          </w:p>
        </w:tc>
      </w:tr>
      <w:tr w:rsidR="009E0160" w14:paraId="737B1366" w14:textId="77777777" w:rsidTr="003A3E15">
        <w:trPr>
          <w:trHeight w:val="294"/>
        </w:trPr>
        <w:tc>
          <w:tcPr>
            <w:tcW w:w="3048" w:type="dxa"/>
          </w:tcPr>
          <w:p w14:paraId="67E79E16" w14:textId="77777777" w:rsidR="009E0160" w:rsidRPr="00B50E42" w:rsidRDefault="009E0160" w:rsidP="003A3E15">
            <w:pPr>
              <w:rPr>
                <w:sz w:val="20"/>
                <w:szCs w:val="20"/>
              </w:rPr>
            </w:pPr>
            <w:r w:rsidRPr="00B50E42">
              <w:rPr>
                <w:sz w:val="20"/>
                <w:szCs w:val="20"/>
              </w:rPr>
              <w:t>451412</w:t>
            </w:r>
          </w:p>
        </w:tc>
        <w:tc>
          <w:tcPr>
            <w:tcW w:w="2858" w:type="dxa"/>
          </w:tcPr>
          <w:p w14:paraId="3BA89CC4" w14:textId="77777777" w:rsidR="009E0160" w:rsidRPr="00B50E42" w:rsidRDefault="009E0160" w:rsidP="003A3E15">
            <w:pPr>
              <w:rPr>
                <w:sz w:val="20"/>
                <w:szCs w:val="20"/>
              </w:rPr>
            </w:pPr>
            <w:r w:rsidRPr="00B50E42">
              <w:rPr>
                <w:sz w:val="20"/>
                <w:szCs w:val="20"/>
              </w:rPr>
              <w:t>4</w:t>
            </w:r>
          </w:p>
        </w:tc>
        <w:tc>
          <w:tcPr>
            <w:tcW w:w="3246" w:type="dxa"/>
          </w:tcPr>
          <w:p w14:paraId="4E92DED3" w14:textId="77777777" w:rsidR="009E0160" w:rsidRPr="00B50E42" w:rsidRDefault="009E0160" w:rsidP="003A3E15">
            <w:pPr>
              <w:rPr>
                <w:sz w:val="20"/>
                <w:szCs w:val="20"/>
              </w:rPr>
            </w:pPr>
            <w:r w:rsidRPr="00B50E42">
              <w:rPr>
                <w:sz w:val="20"/>
                <w:szCs w:val="20"/>
              </w:rPr>
              <w:t xml:space="preserve">Tour Guide </w:t>
            </w:r>
          </w:p>
        </w:tc>
      </w:tr>
      <w:tr w:rsidR="009E0160" w14:paraId="576D36BC" w14:textId="77777777" w:rsidTr="003A3E15">
        <w:trPr>
          <w:trHeight w:val="294"/>
        </w:trPr>
        <w:tc>
          <w:tcPr>
            <w:tcW w:w="3048" w:type="dxa"/>
          </w:tcPr>
          <w:p w14:paraId="53A42C96" w14:textId="77777777" w:rsidR="009E0160" w:rsidRPr="00B50E42" w:rsidRDefault="009E0160" w:rsidP="003A3E15">
            <w:pPr>
              <w:rPr>
                <w:sz w:val="20"/>
                <w:szCs w:val="20"/>
              </w:rPr>
            </w:pPr>
            <w:r w:rsidRPr="00B50E42">
              <w:rPr>
                <w:sz w:val="20"/>
                <w:szCs w:val="20"/>
              </w:rPr>
              <w:t>542113</w:t>
            </w:r>
          </w:p>
        </w:tc>
        <w:tc>
          <w:tcPr>
            <w:tcW w:w="2858" w:type="dxa"/>
          </w:tcPr>
          <w:p w14:paraId="5C4F4C22" w14:textId="77777777" w:rsidR="009E0160" w:rsidRPr="00B50E42" w:rsidRDefault="009E0160" w:rsidP="003A3E15">
            <w:pPr>
              <w:rPr>
                <w:sz w:val="20"/>
                <w:szCs w:val="20"/>
              </w:rPr>
            </w:pPr>
            <w:r w:rsidRPr="00B50E42">
              <w:rPr>
                <w:sz w:val="20"/>
                <w:szCs w:val="20"/>
              </w:rPr>
              <w:t>4</w:t>
            </w:r>
          </w:p>
        </w:tc>
        <w:tc>
          <w:tcPr>
            <w:tcW w:w="3246" w:type="dxa"/>
          </w:tcPr>
          <w:p w14:paraId="6928A5CA" w14:textId="77777777" w:rsidR="009E0160" w:rsidRPr="00B50E42" w:rsidRDefault="009E0160" w:rsidP="003A3E15">
            <w:pPr>
              <w:rPr>
                <w:sz w:val="20"/>
                <w:szCs w:val="20"/>
              </w:rPr>
            </w:pPr>
            <w:r w:rsidRPr="00B50E42">
              <w:rPr>
                <w:sz w:val="20"/>
                <w:szCs w:val="20"/>
              </w:rPr>
              <w:t xml:space="preserve">Hotel or Motel Receptionist </w:t>
            </w:r>
          </w:p>
        </w:tc>
      </w:tr>
    </w:tbl>
    <w:p w14:paraId="13D9A9E9" w14:textId="77777777" w:rsidR="009E0160" w:rsidRPr="005667B1" w:rsidRDefault="009E0160" w:rsidP="009E0160">
      <w:pPr>
        <w:rPr>
          <w:rFonts w:ascii="Calibri" w:eastAsia="Times New Roman" w:hAnsi="Calibri" w:cs="Calibri"/>
          <w:color w:val="000000"/>
          <w:lang w:eastAsia="en-AU"/>
        </w:rPr>
      </w:pPr>
    </w:p>
    <w:p w14:paraId="2057FA6E" w14:textId="1EEDDDCA"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D62F31" w:rsidRPr="00D62F31">
        <w:rPr>
          <w:rFonts w:ascii="Calibri" w:eastAsia="Times New Roman" w:hAnsi="Calibri" w:cs="Calibri"/>
          <w:color w:val="000000"/>
          <w:lang w:eastAsia="en-AU"/>
        </w:rPr>
        <w:t xml:space="preserve">Undergo a skills verification by the Northern Territory Department of Industry, Tourism and Trade, AND EITHER have a relevant AQF Certificate II or equivalent and at least one and a half (1.5) years (20+ hours per week – </w:t>
      </w:r>
      <w:proofErr w:type="spellStart"/>
      <w:r w:rsidR="00D62F31" w:rsidRPr="00D62F31">
        <w:rPr>
          <w:rFonts w:ascii="Calibri" w:eastAsia="Times New Roman" w:hAnsi="Calibri" w:cs="Calibri"/>
          <w:color w:val="000000"/>
          <w:lang w:eastAsia="en-AU"/>
        </w:rPr>
        <w:t>hpw</w:t>
      </w:r>
      <w:proofErr w:type="spellEnd"/>
      <w:r w:rsidR="00D62F31" w:rsidRPr="00D62F31">
        <w:rPr>
          <w:rFonts w:ascii="Calibri" w:eastAsia="Times New Roman" w:hAnsi="Calibri" w:cs="Calibri"/>
          <w:color w:val="000000"/>
          <w:lang w:eastAsia="en-AU"/>
        </w:rPr>
        <w:t xml:space="preserve">) relevant post qualifications experience OR have at least a relevant AQF Certificate III or equivalent or higher level qualification and at least one (1) year (20+ </w:t>
      </w:r>
      <w:proofErr w:type="spellStart"/>
      <w:r w:rsidR="00D62F31" w:rsidRPr="00D62F31">
        <w:rPr>
          <w:rFonts w:ascii="Calibri" w:eastAsia="Times New Roman" w:hAnsi="Calibri" w:cs="Calibri"/>
          <w:color w:val="000000"/>
          <w:lang w:eastAsia="en-AU"/>
        </w:rPr>
        <w:t>hpw</w:t>
      </w:r>
      <w:proofErr w:type="spellEnd"/>
      <w:r w:rsidR="00D62F31" w:rsidRPr="00D62F31">
        <w:rPr>
          <w:rFonts w:ascii="Calibri" w:eastAsia="Times New Roman" w:hAnsi="Calibri" w:cs="Calibri"/>
          <w:color w:val="000000"/>
          <w:lang w:eastAsia="en-AU"/>
        </w:rPr>
        <w:t xml:space="preserve">) relevant post qualification experience OR have at least two (2) years (38+ </w:t>
      </w:r>
      <w:proofErr w:type="spellStart"/>
      <w:r w:rsidR="00D62F31" w:rsidRPr="00D62F31">
        <w:rPr>
          <w:rFonts w:ascii="Calibri" w:eastAsia="Times New Roman" w:hAnsi="Calibri" w:cs="Calibri"/>
          <w:color w:val="000000"/>
          <w:lang w:eastAsia="en-AU"/>
        </w:rPr>
        <w:t>hpw</w:t>
      </w:r>
      <w:proofErr w:type="spellEnd"/>
      <w:r w:rsidR="00D62F31" w:rsidRPr="00D62F31">
        <w:rPr>
          <w:rFonts w:ascii="Calibri" w:eastAsia="Times New Roman" w:hAnsi="Calibri" w:cs="Calibri"/>
          <w:color w:val="000000"/>
          <w:lang w:eastAsia="en-AU"/>
        </w:rPr>
        <w:t>) relevant experience</w:t>
      </w:r>
    </w:p>
    <w:p w14:paraId="1A14D04E" w14:textId="77777777" w:rsidR="00E30E21" w:rsidRDefault="009E0160" w:rsidP="00E30E21">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E30E21" w:rsidRPr="00F56042">
        <w:rPr>
          <w:rFonts w:ascii="Calibri" w:eastAsia="Times New Roman" w:hAnsi="Calibri" w:cs="Calibri"/>
          <w:color w:val="000000"/>
          <w:lang w:eastAsia="en-AU"/>
        </w:rPr>
        <w:t>Average of 5.0 for IELTS with speaking and listening components no less than 4.0. English language concession not available for Hotel or Motel Receptionist</w:t>
      </w:r>
    </w:p>
    <w:p w14:paraId="2C75E7E6" w14:textId="77777777" w:rsidR="009E0160" w:rsidRPr="0090013E" w:rsidRDefault="009E0160" w:rsidP="009E0160">
      <w:pPr>
        <w:rPr>
          <w:rFonts w:ascii="Calibri" w:eastAsia="Times New Roman" w:hAnsi="Calibri" w:cs="Calibri"/>
          <w:b/>
          <w:bCs/>
          <w:color w:val="000000"/>
          <w:lang w:eastAsia="en-AU"/>
        </w:rPr>
      </w:pPr>
      <w:r w:rsidRPr="0090013E">
        <w:rPr>
          <w:rFonts w:ascii="Calibri" w:eastAsia="Times New Roman" w:hAnsi="Calibri" w:cs="Calibri"/>
          <w:b/>
          <w:bCs/>
          <w:color w:val="000000"/>
          <w:lang w:eastAsia="en-AU"/>
        </w:rPr>
        <w:t xml:space="preserve">NT </w:t>
      </w:r>
    </w:p>
    <w:tbl>
      <w:tblPr>
        <w:tblStyle w:val="TableGrid"/>
        <w:tblW w:w="9152" w:type="dxa"/>
        <w:tblLook w:val="0420" w:firstRow="1" w:lastRow="0" w:firstColumn="0" w:lastColumn="0" w:noHBand="0" w:noVBand="1"/>
      </w:tblPr>
      <w:tblGrid>
        <w:gridCol w:w="3048"/>
        <w:gridCol w:w="2858"/>
        <w:gridCol w:w="3246"/>
      </w:tblGrid>
      <w:tr w:rsidR="009E0160" w:rsidRPr="0070016A" w14:paraId="64A8745B" w14:textId="77777777" w:rsidTr="0070016A">
        <w:trPr>
          <w:trHeight w:val="294"/>
        </w:trPr>
        <w:tc>
          <w:tcPr>
            <w:tcW w:w="3048" w:type="dxa"/>
            <w:shd w:val="clear" w:color="auto" w:fill="FFC000" w:themeFill="accent4"/>
          </w:tcPr>
          <w:p w14:paraId="424E2BAF"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4BEEBD34"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20DD4B8F" w14:textId="77777777" w:rsidR="009E0160" w:rsidRPr="0070016A" w:rsidRDefault="009E0160" w:rsidP="003A3E15">
            <w:pPr>
              <w:rPr>
                <w:b/>
                <w:bCs/>
                <w:sz w:val="20"/>
                <w:szCs w:val="20"/>
              </w:rPr>
            </w:pPr>
            <w:r w:rsidRPr="0070016A">
              <w:rPr>
                <w:b/>
                <w:bCs/>
                <w:sz w:val="20"/>
                <w:szCs w:val="20"/>
              </w:rPr>
              <w:t xml:space="preserve">Occupation </w:t>
            </w:r>
          </w:p>
        </w:tc>
      </w:tr>
      <w:tr w:rsidR="009E0160" w14:paraId="6BD6AAD6" w14:textId="77777777" w:rsidTr="003A3E15">
        <w:trPr>
          <w:trHeight w:val="294"/>
        </w:trPr>
        <w:tc>
          <w:tcPr>
            <w:tcW w:w="3048" w:type="dxa"/>
          </w:tcPr>
          <w:p w14:paraId="2D84A4DF" w14:textId="77777777" w:rsidR="009E0160" w:rsidRPr="00B50E42" w:rsidRDefault="009E0160" w:rsidP="003A3E15">
            <w:pPr>
              <w:rPr>
                <w:sz w:val="20"/>
                <w:szCs w:val="20"/>
              </w:rPr>
            </w:pPr>
            <w:r w:rsidRPr="00B50E42">
              <w:rPr>
                <w:sz w:val="20"/>
                <w:szCs w:val="20"/>
              </w:rPr>
              <w:t>070499</w:t>
            </w:r>
          </w:p>
        </w:tc>
        <w:tc>
          <w:tcPr>
            <w:tcW w:w="2858" w:type="dxa"/>
          </w:tcPr>
          <w:p w14:paraId="54B5C25F" w14:textId="77777777" w:rsidR="009E0160" w:rsidRPr="00B50E42" w:rsidRDefault="009E0160" w:rsidP="003A3E15">
            <w:pPr>
              <w:rPr>
                <w:sz w:val="20"/>
                <w:szCs w:val="20"/>
              </w:rPr>
            </w:pPr>
            <w:r w:rsidRPr="00B50E42">
              <w:rPr>
                <w:sz w:val="20"/>
                <w:szCs w:val="20"/>
              </w:rPr>
              <w:t>4</w:t>
            </w:r>
          </w:p>
        </w:tc>
        <w:tc>
          <w:tcPr>
            <w:tcW w:w="3246" w:type="dxa"/>
          </w:tcPr>
          <w:p w14:paraId="5BEE9BAA" w14:textId="77777777" w:rsidR="009E0160" w:rsidRPr="00B50E42" w:rsidRDefault="009E0160" w:rsidP="003A3E15">
            <w:pPr>
              <w:rPr>
                <w:sz w:val="20"/>
                <w:szCs w:val="20"/>
              </w:rPr>
            </w:pPr>
            <w:r w:rsidRPr="00B50E42">
              <w:rPr>
                <w:sz w:val="20"/>
                <w:szCs w:val="20"/>
              </w:rPr>
              <w:t>Waiter (Supervisor)</w:t>
            </w:r>
          </w:p>
        </w:tc>
      </w:tr>
    </w:tbl>
    <w:p w14:paraId="2564CB08" w14:textId="77777777" w:rsidR="009E0160" w:rsidRPr="005667B1" w:rsidRDefault="009E0160" w:rsidP="009E0160">
      <w:pPr>
        <w:rPr>
          <w:rFonts w:ascii="Calibri" w:eastAsia="Times New Roman" w:hAnsi="Calibri" w:cs="Calibri"/>
          <w:color w:val="000000"/>
          <w:lang w:eastAsia="en-AU"/>
        </w:rPr>
      </w:pPr>
    </w:p>
    <w:p w14:paraId="26CDABFA" w14:textId="7B68EC70"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lastRenderedPageBreak/>
        <w:t>Required qualifications and work experience:</w:t>
      </w:r>
      <w:r>
        <w:rPr>
          <w:rFonts w:ascii="Calibri" w:eastAsia="Times New Roman" w:hAnsi="Calibri" w:cs="Calibri"/>
          <w:b/>
          <w:bCs/>
          <w:color w:val="000000"/>
          <w:lang w:eastAsia="en-AU"/>
        </w:rPr>
        <w:t xml:space="preserve"> </w:t>
      </w:r>
      <w:r w:rsidR="00661E8D" w:rsidRPr="00661E8D">
        <w:rPr>
          <w:rFonts w:ascii="Calibri" w:eastAsia="Times New Roman" w:hAnsi="Calibri" w:cs="Calibri"/>
          <w:color w:val="000000"/>
          <w:lang w:eastAsia="en-AU"/>
        </w:rPr>
        <w:t>Attend and actively participate in training programs as required by the employer; maintain current Responsible Service of Alcohol (RSA) qualification; develop training programs for Food &amp; Beverage employees</w:t>
      </w:r>
      <w:r>
        <w:rPr>
          <w:rFonts w:ascii="Calibri" w:eastAsia="Times New Roman" w:hAnsi="Calibri" w:cs="Calibri"/>
          <w:color w:val="000000"/>
          <w:lang w:eastAsia="en-AU"/>
        </w:rPr>
        <w:t xml:space="preserve"> </w:t>
      </w:r>
    </w:p>
    <w:p w14:paraId="3B4B66E5" w14:textId="4A7E6659"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C70366" w:rsidRPr="00F56042">
        <w:rPr>
          <w:rFonts w:ascii="Calibri" w:eastAsia="Times New Roman" w:hAnsi="Calibri" w:cs="Calibri"/>
          <w:color w:val="000000"/>
          <w:lang w:eastAsia="en-AU"/>
        </w:rPr>
        <w:t>Average of 5.0 for IELTS with speaking and listening components no less than 4.0. English language concession not available for Hotel or Motel Receptionist</w:t>
      </w:r>
    </w:p>
    <w:p w14:paraId="56B72732" w14:textId="77777777" w:rsidR="009E0160" w:rsidRPr="0090013E" w:rsidRDefault="009E0160" w:rsidP="009E0160">
      <w:pPr>
        <w:rPr>
          <w:rFonts w:ascii="Calibri" w:eastAsia="Times New Roman" w:hAnsi="Calibri" w:cs="Calibri"/>
          <w:b/>
          <w:bCs/>
          <w:color w:val="000000"/>
          <w:lang w:eastAsia="en-AU"/>
        </w:rPr>
      </w:pPr>
      <w:r w:rsidRPr="0090013E">
        <w:rPr>
          <w:rFonts w:ascii="Calibri" w:eastAsia="Times New Roman" w:hAnsi="Calibri" w:cs="Calibri"/>
          <w:b/>
          <w:bCs/>
          <w:color w:val="000000"/>
          <w:lang w:eastAsia="en-AU"/>
        </w:rPr>
        <w:t xml:space="preserve">NT </w:t>
      </w:r>
    </w:p>
    <w:tbl>
      <w:tblPr>
        <w:tblStyle w:val="TableGrid"/>
        <w:tblW w:w="9152" w:type="dxa"/>
        <w:tblLook w:val="0420" w:firstRow="1" w:lastRow="0" w:firstColumn="0" w:lastColumn="0" w:noHBand="0" w:noVBand="1"/>
      </w:tblPr>
      <w:tblGrid>
        <w:gridCol w:w="3048"/>
        <w:gridCol w:w="2858"/>
        <w:gridCol w:w="3246"/>
      </w:tblGrid>
      <w:tr w:rsidR="009E0160" w:rsidRPr="0070016A" w14:paraId="5F53DC68" w14:textId="77777777" w:rsidTr="0070016A">
        <w:trPr>
          <w:trHeight w:val="294"/>
        </w:trPr>
        <w:tc>
          <w:tcPr>
            <w:tcW w:w="3048" w:type="dxa"/>
            <w:shd w:val="clear" w:color="auto" w:fill="FFC000" w:themeFill="accent4"/>
          </w:tcPr>
          <w:p w14:paraId="4B67985B"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604CCA2D"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7CF5087F" w14:textId="77777777" w:rsidR="009E0160" w:rsidRPr="0070016A" w:rsidRDefault="009E0160" w:rsidP="003A3E15">
            <w:pPr>
              <w:rPr>
                <w:b/>
                <w:bCs/>
                <w:sz w:val="20"/>
                <w:szCs w:val="20"/>
              </w:rPr>
            </w:pPr>
            <w:r w:rsidRPr="0070016A">
              <w:rPr>
                <w:b/>
                <w:bCs/>
                <w:sz w:val="20"/>
                <w:szCs w:val="20"/>
              </w:rPr>
              <w:t xml:space="preserve">Occupation </w:t>
            </w:r>
          </w:p>
        </w:tc>
      </w:tr>
      <w:tr w:rsidR="009E0160" w14:paraId="381B0EC7" w14:textId="77777777" w:rsidTr="003A3E15">
        <w:trPr>
          <w:trHeight w:val="294"/>
        </w:trPr>
        <w:tc>
          <w:tcPr>
            <w:tcW w:w="3048" w:type="dxa"/>
          </w:tcPr>
          <w:p w14:paraId="2F3B6DC1" w14:textId="77777777" w:rsidR="009E0160" w:rsidRPr="00B50E42" w:rsidRDefault="009E0160" w:rsidP="003A3E15">
            <w:pPr>
              <w:rPr>
                <w:sz w:val="20"/>
                <w:szCs w:val="20"/>
              </w:rPr>
            </w:pPr>
            <w:r w:rsidRPr="00B50E42">
              <w:rPr>
                <w:sz w:val="20"/>
                <w:szCs w:val="20"/>
              </w:rPr>
              <w:t>070499</w:t>
            </w:r>
          </w:p>
        </w:tc>
        <w:tc>
          <w:tcPr>
            <w:tcW w:w="2858" w:type="dxa"/>
          </w:tcPr>
          <w:p w14:paraId="15EE5524" w14:textId="77777777" w:rsidR="009E0160" w:rsidRPr="00B50E42" w:rsidRDefault="009E0160" w:rsidP="003A3E15">
            <w:pPr>
              <w:rPr>
                <w:sz w:val="20"/>
                <w:szCs w:val="20"/>
              </w:rPr>
            </w:pPr>
            <w:r w:rsidRPr="00B50E42">
              <w:rPr>
                <w:sz w:val="20"/>
                <w:szCs w:val="20"/>
              </w:rPr>
              <w:t>4</w:t>
            </w:r>
          </w:p>
        </w:tc>
        <w:tc>
          <w:tcPr>
            <w:tcW w:w="3246" w:type="dxa"/>
          </w:tcPr>
          <w:p w14:paraId="7344F940" w14:textId="77777777" w:rsidR="009E0160" w:rsidRPr="00B50E42" w:rsidRDefault="009E0160" w:rsidP="003A3E15">
            <w:pPr>
              <w:rPr>
                <w:sz w:val="20"/>
                <w:szCs w:val="20"/>
              </w:rPr>
            </w:pPr>
            <w:r w:rsidRPr="00B50E42">
              <w:rPr>
                <w:sz w:val="20"/>
                <w:szCs w:val="20"/>
              </w:rPr>
              <w:t>Bar Attendant (Supervisor)</w:t>
            </w:r>
          </w:p>
        </w:tc>
      </w:tr>
    </w:tbl>
    <w:p w14:paraId="0112ABF5" w14:textId="77777777" w:rsidR="009E0160" w:rsidRPr="005667B1" w:rsidRDefault="009E0160" w:rsidP="009E0160">
      <w:pPr>
        <w:rPr>
          <w:rFonts w:ascii="Calibri" w:eastAsia="Times New Roman" w:hAnsi="Calibri" w:cs="Calibri"/>
          <w:color w:val="000000"/>
          <w:lang w:eastAsia="en-AU"/>
        </w:rPr>
      </w:pPr>
    </w:p>
    <w:p w14:paraId="445B8A4E" w14:textId="737CA9EF"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230EB2" w:rsidRPr="00230EB2">
        <w:rPr>
          <w:rFonts w:ascii="Calibri" w:eastAsia="Times New Roman" w:hAnsi="Calibri" w:cs="Calibri"/>
          <w:color w:val="000000"/>
          <w:lang w:eastAsia="en-AU"/>
        </w:rPr>
        <w:t>Attend and actively participate in training programs as required by the employer; maintain current Responsible Service of Alcohol (RSA) qualification</w:t>
      </w:r>
      <w:r>
        <w:rPr>
          <w:rFonts w:ascii="Calibri" w:eastAsia="Times New Roman" w:hAnsi="Calibri" w:cs="Calibri"/>
          <w:color w:val="000000"/>
          <w:lang w:eastAsia="en-AU"/>
        </w:rPr>
        <w:t xml:space="preserve"> </w:t>
      </w:r>
    </w:p>
    <w:p w14:paraId="06D5A3F0" w14:textId="4028E54F" w:rsidR="009E0160" w:rsidRPr="000E52A3" w:rsidRDefault="009E0160" w:rsidP="009E0160">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C70366" w:rsidRPr="00F56042">
        <w:rPr>
          <w:rFonts w:ascii="Calibri" w:eastAsia="Times New Roman" w:hAnsi="Calibri" w:cs="Calibri"/>
          <w:color w:val="000000"/>
          <w:lang w:eastAsia="en-AU"/>
        </w:rPr>
        <w:t>Average of 5.0 for IELTS with speaking and listening components no less than 4.0. English language concession not available for Hotel or Motel Receptionist</w:t>
      </w:r>
    </w:p>
    <w:p w14:paraId="4CFEE5B5" w14:textId="77777777" w:rsidR="009E0160" w:rsidRPr="000D7949" w:rsidRDefault="009E0160" w:rsidP="009E0160">
      <w:pPr>
        <w:rPr>
          <w:b/>
          <w:bCs/>
        </w:rPr>
      </w:pPr>
      <w:r w:rsidRPr="000D7949">
        <w:rPr>
          <w:b/>
          <w:bCs/>
        </w:rPr>
        <w:t xml:space="preserve">Great South Coast (VIC) </w:t>
      </w:r>
    </w:p>
    <w:tbl>
      <w:tblPr>
        <w:tblStyle w:val="TableGrid"/>
        <w:tblW w:w="9152" w:type="dxa"/>
        <w:tblLook w:val="0420" w:firstRow="1" w:lastRow="0" w:firstColumn="0" w:lastColumn="0" w:noHBand="0" w:noVBand="1"/>
      </w:tblPr>
      <w:tblGrid>
        <w:gridCol w:w="3048"/>
        <w:gridCol w:w="2858"/>
        <w:gridCol w:w="3246"/>
      </w:tblGrid>
      <w:tr w:rsidR="009E0160" w:rsidRPr="0070016A" w14:paraId="69635E69" w14:textId="77777777" w:rsidTr="0070016A">
        <w:trPr>
          <w:trHeight w:val="294"/>
        </w:trPr>
        <w:tc>
          <w:tcPr>
            <w:tcW w:w="3048" w:type="dxa"/>
            <w:shd w:val="clear" w:color="auto" w:fill="FFC000" w:themeFill="accent4"/>
          </w:tcPr>
          <w:p w14:paraId="69BF4172"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693E9372"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20AB5EDF" w14:textId="77777777" w:rsidR="009E0160" w:rsidRPr="0070016A" w:rsidRDefault="009E0160" w:rsidP="003A3E15">
            <w:pPr>
              <w:rPr>
                <w:b/>
                <w:bCs/>
                <w:sz w:val="20"/>
                <w:szCs w:val="20"/>
              </w:rPr>
            </w:pPr>
            <w:r w:rsidRPr="0070016A">
              <w:rPr>
                <w:b/>
                <w:bCs/>
                <w:sz w:val="20"/>
                <w:szCs w:val="20"/>
              </w:rPr>
              <w:t xml:space="preserve">Occupation </w:t>
            </w:r>
          </w:p>
        </w:tc>
      </w:tr>
      <w:tr w:rsidR="009E0160" w14:paraId="16709993" w14:textId="77777777" w:rsidTr="003A3E15">
        <w:trPr>
          <w:trHeight w:val="294"/>
        </w:trPr>
        <w:tc>
          <w:tcPr>
            <w:tcW w:w="3048" w:type="dxa"/>
          </w:tcPr>
          <w:p w14:paraId="2429D456" w14:textId="77777777" w:rsidR="009E0160" w:rsidRPr="00B50E42" w:rsidRDefault="009E0160" w:rsidP="003A3E15">
            <w:pPr>
              <w:rPr>
                <w:sz w:val="20"/>
                <w:szCs w:val="20"/>
              </w:rPr>
            </w:pPr>
            <w:r w:rsidRPr="00B50E42">
              <w:rPr>
                <w:sz w:val="20"/>
                <w:szCs w:val="20"/>
              </w:rPr>
              <w:t>351411</w:t>
            </w:r>
          </w:p>
        </w:tc>
        <w:tc>
          <w:tcPr>
            <w:tcW w:w="2858" w:type="dxa"/>
          </w:tcPr>
          <w:p w14:paraId="73C3BA2F" w14:textId="77777777" w:rsidR="009E0160" w:rsidRPr="00B50E42" w:rsidRDefault="009E0160" w:rsidP="003A3E15">
            <w:pPr>
              <w:rPr>
                <w:sz w:val="20"/>
                <w:szCs w:val="20"/>
              </w:rPr>
            </w:pPr>
            <w:r w:rsidRPr="00B50E42">
              <w:rPr>
                <w:sz w:val="20"/>
                <w:szCs w:val="20"/>
              </w:rPr>
              <w:t>3</w:t>
            </w:r>
          </w:p>
        </w:tc>
        <w:tc>
          <w:tcPr>
            <w:tcW w:w="3246" w:type="dxa"/>
          </w:tcPr>
          <w:p w14:paraId="36CAA033" w14:textId="77777777" w:rsidR="009E0160" w:rsidRPr="00B50E42" w:rsidRDefault="009E0160" w:rsidP="003A3E15">
            <w:pPr>
              <w:rPr>
                <w:sz w:val="20"/>
                <w:szCs w:val="20"/>
              </w:rPr>
            </w:pPr>
            <w:r w:rsidRPr="00B50E42">
              <w:rPr>
                <w:sz w:val="20"/>
                <w:szCs w:val="20"/>
              </w:rPr>
              <w:t>Cook</w:t>
            </w:r>
          </w:p>
        </w:tc>
      </w:tr>
    </w:tbl>
    <w:p w14:paraId="78C05618" w14:textId="77777777" w:rsidR="009E0160" w:rsidRDefault="009E0160" w:rsidP="009E0160"/>
    <w:p w14:paraId="05B3D1AE" w14:textId="0DBFCEA3" w:rsidR="009E0160" w:rsidRPr="000E52A3" w:rsidRDefault="009E0160" w:rsidP="009E0160">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142F47" w:rsidRPr="00142F47">
        <w:rPr>
          <w:rFonts w:ascii="Calibri" w:eastAsia="Times New Roman" w:hAnsi="Calibri" w:cs="Calibri"/>
          <w:color w:val="000000"/>
          <w:lang w:eastAsia="en-AU"/>
        </w:rPr>
        <w:t xml:space="preserve">Five (5) years’ employment experience as a Commercial Cook (with no formal training) OR three (3) years’ employment experience as a Commercial Cook (with relevant formal training, </w:t>
      </w:r>
      <w:proofErr w:type="gramStart"/>
      <w:r w:rsidR="00142F47" w:rsidRPr="00142F47">
        <w:rPr>
          <w:rFonts w:ascii="Calibri" w:eastAsia="Times New Roman" w:hAnsi="Calibri" w:cs="Calibri"/>
          <w:color w:val="000000"/>
          <w:lang w:eastAsia="en-AU"/>
        </w:rPr>
        <w:t>i.e.</w:t>
      </w:r>
      <w:proofErr w:type="gramEnd"/>
      <w:r w:rsidR="00142F47" w:rsidRPr="00142F47">
        <w:rPr>
          <w:rFonts w:ascii="Calibri" w:eastAsia="Times New Roman" w:hAnsi="Calibri" w:cs="Calibri"/>
          <w:color w:val="000000"/>
          <w:lang w:eastAsia="en-AU"/>
        </w:rPr>
        <w:t xml:space="preserve"> "training that aligns with the national training standards"</w:t>
      </w:r>
    </w:p>
    <w:p w14:paraId="5E7FB688" w14:textId="0A8E46C3"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B71090" w:rsidRPr="00B71090">
        <w:rPr>
          <w:rFonts w:ascii="Calibri" w:eastAsia="Times New Roman" w:hAnsi="Calibri" w:cs="Calibri"/>
          <w:color w:val="000000"/>
          <w:lang w:eastAsia="en-AU"/>
        </w:rPr>
        <w:t>Average score of IELTS 5.0 with no component less than 4.0</w:t>
      </w:r>
    </w:p>
    <w:p w14:paraId="648A73B1" w14:textId="0F7B2139" w:rsidR="009E0160" w:rsidRDefault="009E0160" w:rsidP="009E0160">
      <w:pPr>
        <w:rPr>
          <w:b/>
          <w:bCs/>
        </w:rPr>
      </w:pPr>
      <w:r w:rsidRPr="00ED170B">
        <w:rPr>
          <w:b/>
          <w:bCs/>
        </w:rPr>
        <w:t xml:space="preserve">Far </w:t>
      </w:r>
      <w:r w:rsidR="006D30C3">
        <w:rPr>
          <w:b/>
          <w:bCs/>
        </w:rPr>
        <w:t>N</w:t>
      </w:r>
      <w:r w:rsidRPr="00ED170B">
        <w:rPr>
          <w:b/>
          <w:bCs/>
        </w:rPr>
        <w:t>orth QLD</w:t>
      </w:r>
    </w:p>
    <w:tbl>
      <w:tblPr>
        <w:tblStyle w:val="TableGrid"/>
        <w:tblW w:w="9152" w:type="dxa"/>
        <w:tblLook w:val="0420" w:firstRow="1" w:lastRow="0" w:firstColumn="0" w:lastColumn="0" w:noHBand="0" w:noVBand="1"/>
      </w:tblPr>
      <w:tblGrid>
        <w:gridCol w:w="3048"/>
        <w:gridCol w:w="2858"/>
        <w:gridCol w:w="3246"/>
      </w:tblGrid>
      <w:tr w:rsidR="009E0160" w:rsidRPr="0070016A" w14:paraId="32587D63" w14:textId="77777777" w:rsidTr="0070016A">
        <w:trPr>
          <w:trHeight w:val="294"/>
        </w:trPr>
        <w:tc>
          <w:tcPr>
            <w:tcW w:w="3048" w:type="dxa"/>
            <w:shd w:val="clear" w:color="auto" w:fill="FFC000" w:themeFill="accent4"/>
          </w:tcPr>
          <w:p w14:paraId="2E8549E8"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4A7125BE"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71C1C968" w14:textId="77777777" w:rsidR="009E0160" w:rsidRPr="0070016A" w:rsidRDefault="009E0160" w:rsidP="003A3E15">
            <w:pPr>
              <w:rPr>
                <w:b/>
                <w:bCs/>
                <w:sz w:val="20"/>
                <w:szCs w:val="20"/>
              </w:rPr>
            </w:pPr>
            <w:r w:rsidRPr="0070016A">
              <w:rPr>
                <w:b/>
                <w:bCs/>
                <w:sz w:val="20"/>
                <w:szCs w:val="20"/>
              </w:rPr>
              <w:t xml:space="preserve">Occupation </w:t>
            </w:r>
          </w:p>
        </w:tc>
      </w:tr>
      <w:tr w:rsidR="009E0160" w14:paraId="2459EBAE" w14:textId="77777777" w:rsidTr="003A3E15">
        <w:trPr>
          <w:trHeight w:val="294"/>
        </w:trPr>
        <w:tc>
          <w:tcPr>
            <w:tcW w:w="3048" w:type="dxa"/>
          </w:tcPr>
          <w:p w14:paraId="07CF1A4E" w14:textId="77777777" w:rsidR="009E0160" w:rsidRPr="00B50E42" w:rsidRDefault="009E0160" w:rsidP="003A3E15">
            <w:pPr>
              <w:rPr>
                <w:sz w:val="20"/>
                <w:szCs w:val="20"/>
              </w:rPr>
            </w:pPr>
            <w:r w:rsidRPr="00B50E42">
              <w:rPr>
                <w:sz w:val="20"/>
                <w:szCs w:val="20"/>
              </w:rPr>
              <w:t>351111</w:t>
            </w:r>
          </w:p>
        </w:tc>
        <w:tc>
          <w:tcPr>
            <w:tcW w:w="2858" w:type="dxa"/>
          </w:tcPr>
          <w:p w14:paraId="2F30E5EC" w14:textId="77777777" w:rsidR="009E0160" w:rsidRPr="00B50E42" w:rsidRDefault="009E0160" w:rsidP="003A3E15">
            <w:pPr>
              <w:rPr>
                <w:sz w:val="20"/>
                <w:szCs w:val="20"/>
              </w:rPr>
            </w:pPr>
            <w:r w:rsidRPr="00B50E42">
              <w:rPr>
                <w:sz w:val="20"/>
                <w:szCs w:val="20"/>
              </w:rPr>
              <w:t>3</w:t>
            </w:r>
          </w:p>
        </w:tc>
        <w:tc>
          <w:tcPr>
            <w:tcW w:w="3246" w:type="dxa"/>
          </w:tcPr>
          <w:p w14:paraId="01F1626F" w14:textId="77777777" w:rsidR="009E0160" w:rsidRPr="00B50E42" w:rsidRDefault="009E0160" w:rsidP="003A3E15">
            <w:pPr>
              <w:rPr>
                <w:sz w:val="20"/>
                <w:szCs w:val="20"/>
              </w:rPr>
            </w:pPr>
            <w:r w:rsidRPr="00B50E42">
              <w:rPr>
                <w:sz w:val="20"/>
                <w:szCs w:val="20"/>
              </w:rPr>
              <w:t xml:space="preserve">Baker </w:t>
            </w:r>
          </w:p>
        </w:tc>
      </w:tr>
      <w:tr w:rsidR="009E0160" w14:paraId="673F4733" w14:textId="77777777" w:rsidTr="003A3E15">
        <w:trPr>
          <w:trHeight w:val="294"/>
        </w:trPr>
        <w:tc>
          <w:tcPr>
            <w:tcW w:w="3048" w:type="dxa"/>
          </w:tcPr>
          <w:p w14:paraId="28B34443" w14:textId="77777777" w:rsidR="009E0160" w:rsidRPr="00B50E42" w:rsidRDefault="009E0160" w:rsidP="003A3E15">
            <w:pPr>
              <w:rPr>
                <w:sz w:val="20"/>
                <w:szCs w:val="20"/>
              </w:rPr>
            </w:pPr>
            <w:r w:rsidRPr="00B50E42">
              <w:rPr>
                <w:sz w:val="20"/>
                <w:szCs w:val="20"/>
              </w:rPr>
              <w:t>351112</w:t>
            </w:r>
          </w:p>
        </w:tc>
        <w:tc>
          <w:tcPr>
            <w:tcW w:w="2858" w:type="dxa"/>
          </w:tcPr>
          <w:p w14:paraId="004E84DA" w14:textId="77777777" w:rsidR="009E0160" w:rsidRPr="00B50E42" w:rsidRDefault="009E0160" w:rsidP="003A3E15">
            <w:pPr>
              <w:rPr>
                <w:sz w:val="20"/>
                <w:szCs w:val="20"/>
              </w:rPr>
            </w:pPr>
            <w:r w:rsidRPr="00B50E42">
              <w:rPr>
                <w:sz w:val="20"/>
                <w:szCs w:val="20"/>
              </w:rPr>
              <w:t>3</w:t>
            </w:r>
          </w:p>
        </w:tc>
        <w:tc>
          <w:tcPr>
            <w:tcW w:w="3246" w:type="dxa"/>
          </w:tcPr>
          <w:p w14:paraId="5F4B4FBF" w14:textId="77777777" w:rsidR="009E0160" w:rsidRPr="00B50E42" w:rsidRDefault="009E0160" w:rsidP="003A3E15">
            <w:pPr>
              <w:rPr>
                <w:sz w:val="20"/>
                <w:szCs w:val="20"/>
              </w:rPr>
            </w:pPr>
            <w:r w:rsidRPr="00B50E42">
              <w:rPr>
                <w:sz w:val="20"/>
                <w:szCs w:val="20"/>
              </w:rPr>
              <w:t xml:space="preserve">Pastry Cook </w:t>
            </w:r>
          </w:p>
        </w:tc>
      </w:tr>
      <w:tr w:rsidR="009E0160" w14:paraId="355DCF49" w14:textId="77777777" w:rsidTr="003A3E15">
        <w:trPr>
          <w:trHeight w:val="294"/>
        </w:trPr>
        <w:tc>
          <w:tcPr>
            <w:tcW w:w="3048" w:type="dxa"/>
          </w:tcPr>
          <w:p w14:paraId="019B5E93" w14:textId="77777777" w:rsidR="009E0160" w:rsidRPr="00B50E42" w:rsidRDefault="009E0160" w:rsidP="003A3E15">
            <w:pPr>
              <w:rPr>
                <w:sz w:val="20"/>
                <w:szCs w:val="20"/>
              </w:rPr>
            </w:pPr>
            <w:r w:rsidRPr="00B50E42">
              <w:rPr>
                <w:sz w:val="20"/>
                <w:szCs w:val="20"/>
              </w:rPr>
              <w:t>452311</w:t>
            </w:r>
          </w:p>
        </w:tc>
        <w:tc>
          <w:tcPr>
            <w:tcW w:w="2858" w:type="dxa"/>
          </w:tcPr>
          <w:p w14:paraId="4087E839" w14:textId="77777777" w:rsidR="009E0160" w:rsidRPr="00B50E42" w:rsidRDefault="009E0160" w:rsidP="003A3E15">
            <w:pPr>
              <w:rPr>
                <w:sz w:val="20"/>
                <w:szCs w:val="20"/>
              </w:rPr>
            </w:pPr>
            <w:r w:rsidRPr="00B50E42">
              <w:rPr>
                <w:sz w:val="20"/>
                <w:szCs w:val="20"/>
              </w:rPr>
              <w:t>3</w:t>
            </w:r>
          </w:p>
        </w:tc>
        <w:tc>
          <w:tcPr>
            <w:tcW w:w="3246" w:type="dxa"/>
          </w:tcPr>
          <w:p w14:paraId="38E49CBD" w14:textId="77777777" w:rsidR="009E0160" w:rsidRPr="00B50E42" w:rsidRDefault="009E0160" w:rsidP="003A3E15">
            <w:pPr>
              <w:rPr>
                <w:sz w:val="20"/>
                <w:szCs w:val="20"/>
              </w:rPr>
            </w:pPr>
            <w:r w:rsidRPr="00B50E42">
              <w:rPr>
                <w:sz w:val="20"/>
                <w:szCs w:val="20"/>
              </w:rPr>
              <w:t xml:space="preserve">Diving Instructor (Open Water) </w:t>
            </w:r>
          </w:p>
        </w:tc>
      </w:tr>
    </w:tbl>
    <w:p w14:paraId="6AE5E814" w14:textId="77777777" w:rsidR="009E0160" w:rsidRPr="00ED170B" w:rsidRDefault="009E0160" w:rsidP="009E0160">
      <w:pPr>
        <w:rPr>
          <w:b/>
          <w:bCs/>
        </w:rPr>
      </w:pPr>
    </w:p>
    <w:p w14:paraId="110528D3" w14:textId="5005C0B4"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A628C4" w:rsidRPr="00A628C4">
        <w:rPr>
          <w:rFonts w:ascii="Calibri" w:eastAsia="Times New Roman" w:hAnsi="Calibri" w:cs="Calibri"/>
          <w:color w:val="000000"/>
          <w:lang w:eastAsia="en-AU"/>
        </w:rPr>
        <w:t>No concessions. As per requirements for TSS eligible list of skilled occupations</w:t>
      </w:r>
      <w:r w:rsidRPr="006836EF">
        <w:rPr>
          <w:rFonts w:ascii="Calibri" w:eastAsia="Times New Roman" w:hAnsi="Calibri" w:cs="Calibri"/>
          <w:color w:val="000000"/>
          <w:lang w:eastAsia="en-AU"/>
        </w:rPr>
        <w:t xml:space="preserve"> </w:t>
      </w:r>
    </w:p>
    <w:p w14:paraId="0DFBED50" w14:textId="01729E94"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43259A" w:rsidRPr="0043259A">
        <w:rPr>
          <w:rFonts w:ascii="Calibri" w:eastAsia="Times New Roman" w:hAnsi="Calibri" w:cs="Calibri"/>
          <w:color w:val="000000"/>
          <w:lang w:eastAsia="en-AU"/>
        </w:rPr>
        <w:t>Average of 5.0 for IELTS with speaking and listening components no less than 4.0</w:t>
      </w:r>
    </w:p>
    <w:p w14:paraId="68C81E65" w14:textId="77777777" w:rsidR="00CA4503" w:rsidRDefault="00CA4503" w:rsidP="00CA4503">
      <w:pPr>
        <w:rPr>
          <w:b/>
          <w:bCs/>
        </w:rPr>
      </w:pPr>
      <w:r w:rsidRPr="00ED170B">
        <w:rPr>
          <w:b/>
          <w:bCs/>
        </w:rPr>
        <w:t xml:space="preserve">Far </w:t>
      </w:r>
      <w:r>
        <w:rPr>
          <w:b/>
          <w:bCs/>
        </w:rPr>
        <w:t>N</w:t>
      </w:r>
      <w:r w:rsidRPr="00ED170B">
        <w:rPr>
          <w:b/>
          <w:bCs/>
        </w:rPr>
        <w:t>orth QLD</w:t>
      </w:r>
    </w:p>
    <w:tbl>
      <w:tblPr>
        <w:tblStyle w:val="TableGrid"/>
        <w:tblW w:w="9152" w:type="dxa"/>
        <w:tblLook w:val="0420" w:firstRow="1" w:lastRow="0" w:firstColumn="0" w:lastColumn="0" w:noHBand="0" w:noVBand="1"/>
      </w:tblPr>
      <w:tblGrid>
        <w:gridCol w:w="3048"/>
        <w:gridCol w:w="2858"/>
        <w:gridCol w:w="3246"/>
      </w:tblGrid>
      <w:tr w:rsidR="009E0160" w:rsidRPr="0070016A" w14:paraId="4D66099B" w14:textId="77777777" w:rsidTr="0070016A">
        <w:trPr>
          <w:trHeight w:val="294"/>
        </w:trPr>
        <w:tc>
          <w:tcPr>
            <w:tcW w:w="3048" w:type="dxa"/>
            <w:shd w:val="clear" w:color="auto" w:fill="FFC000" w:themeFill="accent4"/>
          </w:tcPr>
          <w:p w14:paraId="6AA611CB"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00057A28"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6D2C091A" w14:textId="77777777" w:rsidR="009E0160" w:rsidRPr="0070016A" w:rsidRDefault="009E0160" w:rsidP="003A3E15">
            <w:pPr>
              <w:rPr>
                <w:b/>
                <w:bCs/>
                <w:sz w:val="20"/>
                <w:szCs w:val="20"/>
              </w:rPr>
            </w:pPr>
            <w:r w:rsidRPr="0070016A">
              <w:rPr>
                <w:b/>
                <w:bCs/>
                <w:sz w:val="20"/>
                <w:szCs w:val="20"/>
              </w:rPr>
              <w:t xml:space="preserve">Occupation </w:t>
            </w:r>
          </w:p>
        </w:tc>
      </w:tr>
      <w:tr w:rsidR="009E0160" w14:paraId="1E052E36" w14:textId="77777777" w:rsidTr="003A3E15">
        <w:trPr>
          <w:trHeight w:val="294"/>
        </w:trPr>
        <w:tc>
          <w:tcPr>
            <w:tcW w:w="3048" w:type="dxa"/>
          </w:tcPr>
          <w:p w14:paraId="5E8B5AF2" w14:textId="77777777" w:rsidR="009E0160" w:rsidRPr="00B50E42" w:rsidRDefault="009E0160" w:rsidP="003A3E15">
            <w:pPr>
              <w:rPr>
                <w:sz w:val="20"/>
                <w:szCs w:val="20"/>
              </w:rPr>
            </w:pPr>
            <w:r w:rsidRPr="00B50E42">
              <w:rPr>
                <w:sz w:val="20"/>
                <w:szCs w:val="20"/>
              </w:rPr>
              <w:t>351411</w:t>
            </w:r>
          </w:p>
        </w:tc>
        <w:tc>
          <w:tcPr>
            <w:tcW w:w="2858" w:type="dxa"/>
          </w:tcPr>
          <w:p w14:paraId="232CD560" w14:textId="77777777" w:rsidR="009E0160" w:rsidRPr="00B50E42" w:rsidRDefault="009E0160" w:rsidP="003A3E15">
            <w:pPr>
              <w:rPr>
                <w:sz w:val="20"/>
                <w:szCs w:val="20"/>
              </w:rPr>
            </w:pPr>
            <w:r w:rsidRPr="00B50E42">
              <w:rPr>
                <w:sz w:val="20"/>
                <w:szCs w:val="20"/>
              </w:rPr>
              <w:t>3</w:t>
            </w:r>
          </w:p>
        </w:tc>
        <w:tc>
          <w:tcPr>
            <w:tcW w:w="3246" w:type="dxa"/>
          </w:tcPr>
          <w:p w14:paraId="0A028717" w14:textId="77777777" w:rsidR="009E0160" w:rsidRPr="00B50E42" w:rsidRDefault="009E0160" w:rsidP="003A3E15">
            <w:pPr>
              <w:rPr>
                <w:sz w:val="20"/>
                <w:szCs w:val="20"/>
              </w:rPr>
            </w:pPr>
            <w:r w:rsidRPr="00B50E42">
              <w:rPr>
                <w:sz w:val="20"/>
                <w:szCs w:val="20"/>
              </w:rPr>
              <w:t>Cook</w:t>
            </w:r>
          </w:p>
        </w:tc>
      </w:tr>
    </w:tbl>
    <w:p w14:paraId="47CA9194" w14:textId="77777777" w:rsidR="009E0160" w:rsidRPr="00ED170B" w:rsidRDefault="009E0160" w:rsidP="009E0160">
      <w:pPr>
        <w:rPr>
          <w:b/>
          <w:bCs/>
        </w:rPr>
      </w:pPr>
    </w:p>
    <w:p w14:paraId="413FAAF0" w14:textId="7F736760"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32224F" w:rsidRPr="0032224F">
        <w:rPr>
          <w:rFonts w:ascii="Calibri" w:eastAsia="Times New Roman" w:hAnsi="Calibri" w:cs="Calibri"/>
          <w:color w:val="000000"/>
          <w:lang w:eastAsia="en-AU"/>
        </w:rPr>
        <w:t xml:space="preserve">Meet the skill level as defined in ANZSCO; AND (a) have at least one and a half (1.5) years (20+ hours per week – </w:t>
      </w:r>
      <w:proofErr w:type="spellStart"/>
      <w:r w:rsidR="0032224F" w:rsidRPr="0032224F">
        <w:rPr>
          <w:rFonts w:ascii="Calibri" w:eastAsia="Times New Roman" w:hAnsi="Calibri" w:cs="Calibri"/>
          <w:color w:val="000000"/>
          <w:lang w:eastAsia="en-AU"/>
        </w:rPr>
        <w:t>hpw</w:t>
      </w:r>
      <w:proofErr w:type="spellEnd"/>
      <w:r w:rsidR="0032224F" w:rsidRPr="0032224F">
        <w:rPr>
          <w:rFonts w:ascii="Calibri" w:eastAsia="Times New Roman" w:hAnsi="Calibri" w:cs="Calibri"/>
          <w:color w:val="000000"/>
          <w:lang w:eastAsia="en-AU"/>
        </w:rPr>
        <w:t xml:space="preserve">) relevant work experience if </w:t>
      </w:r>
      <w:r w:rsidR="0032224F" w:rsidRPr="0032224F">
        <w:rPr>
          <w:rFonts w:ascii="Calibri" w:eastAsia="Times New Roman" w:hAnsi="Calibri" w:cs="Calibri"/>
          <w:color w:val="000000"/>
          <w:lang w:eastAsia="en-AU"/>
        </w:rPr>
        <w:lastRenderedPageBreak/>
        <w:t xml:space="preserve">applying for a TSS; OR (b) have at least one (1) year (35+ </w:t>
      </w:r>
      <w:proofErr w:type="spellStart"/>
      <w:r w:rsidR="0032224F" w:rsidRPr="0032224F">
        <w:rPr>
          <w:rFonts w:ascii="Calibri" w:eastAsia="Times New Roman" w:hAnsi="Calibri" w:cs="Calibri"/>
          <w:color w:val="000000"/>
          <w:lang w:eastAsia="en-AU"/>
        </w:rPr>
        <w:t>hpw</w:t>
      </w:r>
      <w:proofErr w:type="spellEnd"/>
      <w:r w:rsidR="0032224F" w:rsidRPr="0032224F">
        <w:rPr>
          <w:rFonts w:ascii="Calibri" w:eastAsia="Times New Roman" w:hAnsi="Calibri" w:cs="Calibri"/>
          <w:color w:val="000000"/>
          <w:lang w:eastAsia="en-AU"/>
        </w:rPr>
        <w:t>) relevant work experience if applying for a TSS</w:t>
      </w:r>
    </w:p>
    <w:p w14:paraId="428DA0AA" w14:textId="41379215"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A7123A" w:rsidRPr="00A7123A">
        <w:rPr>
          <w:rFonts w:ascii="Calibri" w:eastAsia="Times New Roman" w:hAnsi="Calibri" w:cs="Calibri"/>
          <w:color w:val="000000"/>
          <w:lang w:eastAsia="en-AU"/>
        </w:rPr>
        <w:t>Average of 5.0 for IELTS with speaking and listening components no less than 4.0</w:t>
      </w:r>
    </w:p>
    <w:p w14:paraId="4E596DAD" w14:textId="12C48892" w:rsidR="009E0160" w:rsidRDefault="009E0160" w:rsidP="009E0160">
      <w:pPr>
        <w:rPr>
          <w:b/>
          <w:bCs/>
        </w:rPr>
      </w:pPr>
      <w:r w:rsidRPr="00ED170B">
        <w:rPr>
          <w:b/>
          <w:bCs/>
        </w:rPr>
        <w:t xml:space="preserve">Far </w:t>
      </w:r>
      <w:r w:rsidR="00A147C6">
        <w:rPr>
          <w:b/>
          <w:bCs/>
        </w:rPr>
        <w:t>N</w:t>
      </w:r>
      <w:r w:rsidRPr="00ED170B">
        <w:rPr>
          <w:b/>
          <w:bCs/>
        </w:rPr>
        <w:t xml:space="preserve">orth QLD </w:t>
      </w:r>
    </w:p>
    <w:tbl>
      <w:tblPr>
        <w:tblStyle w:val="TableGrid"/>
        <w:tblW w:w="9152" w:type="dxa"/>
        <w:tblLook w:val="0420" w:firstRow="1" w:lastRow="0" w:firstColumn="0" w:lastColumn="0" w:noHBand="0" w:noVBand="1"/>
      </w:tblPr>
      <w:tblGrid>
        <w:gridCol w:w="3048"/>
        <w:gridCol w:w="2858"/>
        <w:gridCol w:w="3246"/>
      </w:tblGrid>
      <w:tr w:rsidR="009E0160" w:rsidRPr="0070016A" w14:paraId="20DBC776" w14:textId="77777777" w:rsidTr="0070016A">
        <w:trPr>
          <w:trHeight w:val="294"/>
        </w:trPr>
        <w:tc>
          <w:tcPr>
            <w:tcW w:w="3048" w:type="dxa"/>
            <w:shd w:val="clear" w:color="auto" w:fill="FFC000" w:themeFill="accent4"/>
          </w:tcPr>
          <w:p w14:paraId="57D17078"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18D497A5"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2ECA4592" w14:textId="77777777" w:rsidR="009E0160" w:rsidRPr="0070016A" w:rsidRDefault="009E0160" w:rsidP="003A3E15">
            <w:pPr>
              <w:rPr>
                <w:b/>
                <w:bCs/>
                <w:sz w:val="20"/>
                <w:szCs w:val="20"/>
              </w:rPr>
            </w:pPr>
            <w:r w:rsidRPr="0070016A">
              <w:rPr>
                <w:b/>
                <w:bCs/>
                <w:sz w:val="20"/>
                <w:szCs w:val="20"/>
              </w:rPr>
              <w:t xml:space="preserve">Occupation </w:t>
            </w:r>
          </w:p>
        </w:tc>
      </w:tr>
      <w:tr w:rsidR="009E0160" w14:paraId="605BA5B1" w14:textId="77777777" w:rsidTr="003A3E15">
        <w:trPr>
          <w:trHeight w:val="294"/>
        </w:trPr>
        <w:tc>
          <w:tcPr>
            <w:tcW w:w="3048" w:type="dxa"/>
          </w:tcPr>
          <w:p w14:paraId="2A7FB00B" w14:textId="77777777" w:rsidR="009E0160" w:rsidRPr="00B50E42" w:rsidRDefault="009E0160" w:rsidP="003A3E15">
            <w:pPr>
              <w:rPr>
                <w:sz w:val="20"/>
                <w:szCs w:val="20"/>
              </w:rPr>
            </w:pPr>
            <w:r w:rsidRPr="00B50E42">
              <w:rPr>
                <w:sz w:val="20"/>
                <w:szCs w:val="20"/>
              </w:rPr>
              <w:t>70499</w:t>
            </w:r>
          </w:p>
        </w:tc>
        <w:tc>
          <w:tcPr>
            <w:tcW w:w="2858" w:type="dxa"/>
          </w:tcPr>
          <w:p w14:paraId="7F9155FB" w14:textId="77777777" w:rsidR="009E0160" w:rsidRPr="00B50E42" w:rsidRDefault="009E0160" w:rsidP="003A3E15">
            <w:pPr>
              <w:rPr>
                <w:sz w:val="20"/>
                <w:szCs w:val="20"/>
              </w:rPr>
            </w:pPr>
            <w:r w:rsidRPr="00B50E42">
              <w:rPr>
                <w:sz w:val="20"/>
                <w:szCs w:val="20"/>
              </w:rPr>
              <w:t>3</w:t>
            </w:r>
          </w:p>
        </w:tc>
        <w:tc>
          <w:tcPr>
            <w:tcW w:w="3246" w:type="dxa"/>
          </w:tcPr>
          <w:p w14:paraId="059C8309" w14:textId="77777777" w:rsidR="009E0160" w:rsidRPr="00B50E42" w:rsidRDefault="009E0160" w:rsidP="003A3E15">
            <w:pPr>
              <w:rPr>
                <w:sz w:val="20"/>
                <w:szCs w:val="20"/>
              </w:rPr>
            </w:pPr>
            <w:r w:rsidRPr="00B50E42">
              <w:rPr>
                <w:sz w:val="20"/>
                <w:szCs w:val="20"/>
              </w:rPr>
              <w:t xml:space="preserve">Café or Restaurant supervisor </w:t>
            </w:r>
          </w:p>
        </w:tc>
      </w:tr>
      <w:tr w:rsidR="009E0160" w14:paraId="15BCB63A" w14:textId="77777777" w:rsidTr="003A3E15">
        <w:trPr>
          <w:trHeight w:val="294"/>
        </w:trPr>
        <w:tc>
          <w:tcPr>
            <w:tcW w:w="3048" w:type="dxa"/>
          </w:tcPr>
          <w:p w14:paraId="36F064B2" w14:textId="77777777" w:rsidR="009E0160" w:rsidRPr="00B50E42" w:rsidRDefault="009E0160" w:rsidP="003A3E15">
            <w:pPr>
              <w:rPr>
                <w:sz w:val="20"/>
                <w:szCs w:val="20"/>
              </w:rPr>
            </w:pPr>
            <w:r w:rsidRPr="00B50E42">
              <w:rPr>
                <w:sz w:val="20"/>
                <w:szCs w:val="20"/>
              </w:rPr>
              <w:t>70499</w:t>
            </w:r>
          </w:p>
        </w:tc>
        <w:tc>
          <w:tcPr>
            <w:tcW w:w="2858" w:type="dxa"/>
          </w:tcPr>
          <w:p w14:paraId="3F53E1FF" w14:textId="77777777" w:rsidR="009E0160" w:rsidRPr="00B50E42" w:rsidRDefault="009E0160" w:rsidP="003A3E15">
            <w:pPr>
              <w:rPr>
                <w:sz w:val="20"/>
                <w:szCs w:val="20"/>
              </w:rPr>
            </w:pPr>
            <w:r w:rsidRPr="00B50E42">
              <w:rPr>
                <w:sz w:val="20"/>
                <w:szCs w:val="20"/>
              </w:rPr>
              <w:t>3</w:t>
            </w:r>
          </w:p>
        </w:tc>
        <w:tc>
          <w:tcPr>
            <w:tcW w:w="3246" w:type="dxa"/>
          </w:tcPr>
          <w:p w14:paraId="1011CB9B" w14:textId="77777777" w:rsidR="009E0160" w:rsidRPr="00B50E42" w:rsidRDefault="009E0160" w:rsidP="003A3E15">
            <w:pPr>
              <w:rPr>
                <w:sz w:val="20"/>
                <w:szCs w:val="20"/>
              </w:rPr>
            </w:pPr>
            <w:r w:rsidRPr="00B50E42">
              <w:rPr>
                <w:sz w:val="20"/>
                <w:szCs w:val="20"/>
              </w:rPr>
              <w:t xml:space="preserve">Diving Instructor (Tourism or Photography) </w:t>
            </w:r>
          </w:p>
        </w:tc>
      </w:tr>
      <w:tr w:rsidR="009E0160" w14:paraId="61AC3E4A" w14:textId="77777777" w:rsidTr="003A3E15">
        <w:trPr>
          <w:trHeight w:val="294"/>
        </w:trPr>
        <w:tc>
          <w:tcPr>
            <w:tcW w:w="3048" w:type="dxa"/>
          </w:tcPr>
          <w:p w14:paraId="03A79C66" w14:textId="77777777" w:rsidR="009E0160" w:rsidRPr="00B50E42" w:rsidRDefault="009E0160" w:rsidP="003A3E15">
            <w:pPr>
              <w:rPr>
                <w:sz w:val="20"/>
                <w:szCs w:val="20"/>
              </w:rPr>
            </w:pPr>
            <w:r w:rsidRPr="00B50E42">
              <w:rPr>
                <w:sz w:val="20"/>
                <w:szCs w:val="20"/>
              </w:rPr>
              <w:t>70499</w:t>
            </w:r>
          </w:p>
        </w:tc>
        <w:tc>
          <w:tcPr>
            <w:tcW w:w="2858" w:type="dxa"/>
          </w:tcPr>
          <w:p w14:paraId="5027B9EA" w14:textId="77777777" w:rsidR="009E0160" w:rsidRPr="00B50E42" w:rsidRDefault="009E0160" w:rsidP="003A3E15">
            <w:pPr>
              <w:rPr>
                <w:sz w:val="20"/>
                <w:szCs w:val="20"/>
              </w:rPr>
            </w:pPr>
            <w:r w:rsidRPr="00B50E42">
              <w:rPr>
                <w:sz w:val="20"/>
                <w:szCs w:val="20"/>
              </w:rPr>
              <w:t>3</w:t>
            </w:r>
          </w:p>
        </w:tc>
        <w:tc>
          <w:tcPr>
            <w:tcW w:w="3246" w:type="dxa"/>
          </w:tcPr>
          <w:p w14:paraId="1F141D14" w14:textId="77777777" w:rsidR="009E0160" w:rsidRPr="00B50E42" w:rsidRDefault="009E0160" w:rsidP="003A3E15">
            <w:pPr>
              <w:rPr>
                <w:sz w:val="20"/>
                <w:szCs w:val="20"/>
              </w:rPr>
            </w:pPr>
            <w:r w:rsidRPr="00B50E42">
              <w:rPr>
                <w:sz w:val="20"/>
                <w:szCs w:val="20"/>
              </w:rPr>
              <w:t xml:space="preserve">Night Auditor </w:t>
            </w:r>
          </w:p>
        </w:tc>
      </w:tr>
    </w:tbl>
    <w:p w14:paraId="27DE754D" w14:textId="77777777" w:rsidR="009E0160" w:rsidRPr="00ED170B" w:rsidRDefault="009E0160" w:rsidP="009E0160">
      <w:pPr>
        <w:rPr>
          <w:b/>
          <w:bCs/>
        </w:rPr>
      </w:pPr>
    </w:p>
    <w:p w14:paraId="1C46CB57" w14:textId="060E0BCC"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5C0C96" w:rsidRPr="005C0C96">
        <w:rPr>
          <w:rFonts w:ascii="Calibri" w:eastAsia="Times New Roman" w:hAnsi="Calibri" w:cs="Calibri"/>
          <w:color w:val="000000"/>
          <w:lang w:eastAsia="en-AU"/>
        </w:rPr>
        <w:t xml:space="preserve">Non-ANZSCO Skill Level 3 occupations (704911): have at least a relevant AQF or equivalent Certificate IV AND at least one (1) year (20+ </w:t>
      </w:r>
      <w:proofErr w:type="spellStart"/>
      <w:r w:rsidR="005C0C96" w:rsidRPr="005C0C96">
        <w:rPr>
          <w:rFonts w:ascii="Calibri" w:eastAsia="Times New Roman" w:hAnsi="Calibri" w:cs="Calibri"/>
          <w:color w:val="000000"/>
          <w:lang w:eastAsia="en-AU"/>
        </w:rPr>
        <w:t>hpw</w:t>
      </w:r>
      <w:proofErr w:type="spellEnd"/>
      <w:r w:rsidR="005C0C96" w:rsidRPr="005C0C96">
        <w:rPr>
          <w:rFonts w:ascii="Calibri" w:eastAsia="Times New Roman" w:hAnsi="Calibri" w:cs="Calibri"/>
          <w:color w:val="000000"/>
          <w:lang w:eastAsia="en-AU"/>
        </w:rPr>
        <w:t xml:space="preserve">) relevant work experience if applying for a TSS or </w:t>
      </w:r>
      <w:hyperlink r:id="rId45" w:history="1">
        <w:r w:rsidR="00B82D1C" w:rsidRPr="00737CB1">
          <w:rPr>
            <w:rStyle w:val="Hyperlink"/>
            <w:rFonts w:ascii="Calibri" w:eastAsia="Times New Roman" w:hAnsi="Calibri" w:cs="Calibri"/>
            <w:lang w:eastAsia="en-AU"/>
          </w:rPr>
          <w:t>Skilled Employer Sponsored Regional (Provisional) visa</w:t>
        </w:r>
      </w:hyperlink>
      <w:r w:rsidR="00B82D1C" w:rsidRPr="00B82D1C">
        <w:rPr>
          <w:rFonts w:ascii="Calibri" w:eastAsia="Times New Roman" w:hAnsi="Calibri" w:cs="Calibri"/>
          <w:color w:val="000000"/>
          <w:lang w:eastAsia="en-AU"/>
        </w:rPr>
        <w:t xml:space="preserve"> </w:t>
      </w:r>
      <w:r w:rsidR="00B82D1C">
        <w:rPr>
          <w:rFonts w:ascii="Calibri" w:eastAsia="Times New Roman" w:hAnsi="Calibri" w:cs="Calibri"/>
          <w:color w:val="000000"/>
          <w:lang w:eastAsia="en-AU"/>
        </w:rPr>
        <w:t>(</w:t>
      </w:r>
      <w:r w:rsidR="005C0C96" w:rsidRPr="005C0C96">
        <w:rPr>
          <w:rFonts w:ascii="Calibri" w:eastAsia="Times New Roman" w:hAnsi="Calibri" w:cs="Calibri"/>
          <w:color w:val="000000"/>
          <w:lang w:eastAsia="en-AU"/>
        </w:rPr>
        <w:t>SESR</w:t>
      </w:r>
      <w:r w:rsidR="00B82D1C">
        <w:rPr>
          <w:rFonts w:ascii="Calibri" w:eastAsia="Times New Roman" w:hAnsi="Calibri" w:cs="Calibri"/>
          <w:color w:val="000000"/>
          <w:lang w:eastAsia="en-AU"/>
        </w:rPr>
        <w:t>)</w:t>
      </w:r>
      <w:r w:rsidR="005C0C96" w:rsidRPr="005C0C96">
        <w:rPr>
          <w:rFonts w:ascii="Calibri" w:eastAsia="Times New Roman" w:hAnsi="Calibri" w:cs="Calibri"/>
          <w:color w:val="000000"/>
          <w:lang w:eastAsia="en-AU"/>
        </w:rPr>
        <w:t xml:space="preserve"> visa; the visa applicant must undergo a skills assessment by the relevant Skills Assessing Authority (as specified in the Labour Agreement)</w:t>
      </w:r>
    </w:p>
    <w:p w14:paraId="62F37D34" w14:textId="3E1A8ABE"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9C7091">
        <w:rPr>
          <w:rFonts w:ascii="Calibri" w:eastAsia="Times New Roman" w:hAnsi="Calibri" w:cs="Calibri"/>
          <w:color w:val="000000"/>
          <w:lang w:eastAsia="en-AU"/>
        </w:rPr>
        <w:t>N/A</w:t>
      </w:r>
    </w:p>
    <w:p w14:paraId="3217215D" w14:textId="2FC2EF47" w:rsidR="009E0160" w:rsidRDefault="009E0160" w:rsidP="009E0160">
      <w:pPr>
        <w:rPr>
          <w:b/>
          <w:bCs/>
        </w:rPr>
      </w:pPr>
      <w:r w:rsidRPr="00ED170B">
        <w:rPr>
          <w:b/>
          <w:bCs/>
        </w:rPr>
        <w:t xml:space="preserve">Far </w:t>
      </w:r>
      <w:r w:rsidR="0025090C">
        <w:rPr>
          <w:b/>
          <w:bCs/>
        </w:rPr>
        <w:t>N</w:t>
      </w:r>
      <w:r w:rsidRPr="00ED170B">
        <w:rPr>
          <w:b/>
          <w:bCs/>
        </w:rPr>
        <w:t xml:space="preserve">orth QLD </w:t>
      </w:r>
    </w:p>
    <w:tbl>
      <w:tblPr>
        <w:tblStyle w:val="TableGrid"/>
        <w:tblW w:w="9152" w:type="dxa"/>
        <w:tblLook w:val="0420" w:firstRow="1" w:lastRow="0" w:firstColumn="0" w:lastColumn="0" w:noHBand="0" w:noVBand="1"/>
      </w:tblPr>
      <w:tblGrid>
        <w:gridCol w:w="3048"/>
        <w:gridCol w:w="2858"/>
        <w:gridCol w:w="3246"/>
      </w:tblGrid>
      <w:tr w:rsidR="009E0160" w:rsidRPr="0070016A" w14:paraId="31292C32" w14:textId="77777777" w:rsidTr="0070016A">
        <w:trPr>
          <w:trHeight w:val="294"/>
        </w:trPr>
        <w:tc>
          <w:tcPr>
            <w:tcW w:w="3048" w:type="dxa"/>
            <w:shd w:val="clear" w:color="auto" w:fill="FFC000" w:themeFill="accent4"/>
          </w:tcPr>
          <w:p w14:paraId="3C67AEB9"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70A6C30D"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4895AD61" w14:textId="77777777" w:rsidR="009E0160" w:rsidRPr="0070016A" w:rsidRDefault="009E0160" w:rsidP="003A3E15">
            <w:pPr>
              <w:rPr>
                <w:b/>
                <w:bCs/>
                <w:sz w:val="20"/>
                <w:szCs w:val="20"/>
              </w:rPr>
            </w:pPr>
            <w:r w:rsidRPr="0070016A">
              <w:rPr>
                <w:b/>
                <w:bCs/>
                <w:sz w:val="20"/>
                <w:szCs w:val="20"/>
              </w:rPr>
              <w:t xml:space="preserve">Occupation </w:t>
            </w:r>
          </w:p>
        </w:tc>
      </w:tr>
      <w:tr w:rsidR="009E0160" w14:paraId="49780CCC" w14:textId="77777777" w:rsidTr="003A3E15">
        <w:trPr>
          <w:trHeight w:val="294"/>
        </w:trPr>
        <w:tc>
          <w:tcPr>
            <w:tcW w:w="3048" w:type="dxa"/>
          </w:tcPr>
          <w:p w14:paraId="1391385C" w14:textId="77777777" w:rsidR="009E0160" w:rsidRPr="00B50E42" w:rsidRDefault="009E0160" w:rsidP="003A3E15">
            <w:pPr>
              <w:rPr>
                <w:sz w:val="20"/>
                <w:szCs w:val="20"/>
              </w:rPr>
            </w:pPr>
            <w:r w:rsidRPr="00B50E42">
              <w:rPr>
                <w:sz w:val="20"/>
                <w:szCs w:val="20"/>
              </w:rPr>
              <w:t>70499</w:t>
            </w:r>
          </w:p>
        </w:tc>
        <w:tc>
          <w:tcPr>
            <w:tcW w:w="2858" w:type="dxa"/>
          </w:tcPr>
          <w:p w14:paraId="452BCBC2" w14:textId="77777777" w:rsidR="009E0160" w:rsidRPr="00B50E42" w:rsidRDefault="009E0160" w:rsidP="003A3E15">
            <w:pPr>
              <w:rPr>
                <w:sz w:val="20"/>
                <w:szCs w:val="20"/>
              </w:rPr>
            </w:pPr>
            <w:r w:rsidRPr="00B50E42">
              <w:rPr>
                <w:sz w:val="20"/>
                <w:szCs w:val="20"/>
              </w:rPr>
              <w:t>4</w:t>
            </w:r>
          </w:p>
        </w:tc>
        <w:tc>
          <w:tcPr>
            <w:tcW w:w="3246" w:type="dxa"/>
          </w:tcPr>
          <w:p w14:paraId="3C349D01" w14:textId="1EF0CEFF" w:rsidR="009E0160" w:rsidRPr="00B50E42" w:rsidRDefault="009E0160" w:rsidP="003A3E15">
            <w:pPr>
              <w:rPr>
                <w:sz w:val="20"/>
                <w:szCs w:val="20"/>
              </w:rPr>
            </w:pPr>
            <w:r w:rsidRPr="00B50E42">
              <w:rPr>
                <w:sz w:val="20"/>
                <w:szCs w:val="20"/>
              </w:rPr>
              <w:t>Bar Attendant (Supervisor)</w:t>
            </w:r>
          </w:p>
        </w:tc>
      </w:tr>
      <w:tr w:rsidR="009E0160" w14:paraId="45B01FDD" w14:textId="77777777" w:rsidTr="003A3E15">
        <w:trPr>
          <w:trHeight w:val="294"/>
        </w:trPr>
        <w:tc>
          <w:tcPr>
            <w:tcW w:w="3048" w:type="dxa"/>
          </w:tcPr>
          <w:p w14:paraId="1D8FDB5B" w14:textId="77777777" w:rsidR="009E0160" w:rsidRPr="00B50E42" w:rsidRDefault="009E0160" w:rsidP="003A3E15">
            <w:pPr>
              <w:rPr>
                <w:sz w:val="20"/>
                <w:szCs w:val="20"/>
              </w:rPr>
            </w:pPr>
            <w:r w:rsidRPr="00B50E42">
              <w:rPr>
                <w:sz w:val="20"/>
                <w:szCs w:val="20"/>
              </w:rPr>
              <w:t>70499</w:t>
            </w:r>
          </w:p>
        </w:tc>
        <w:tc>
          <w:tcPr>
            <w:tcW w:w="2858" w:type="dxa"/>
          </w:tcPr>
          <w:p w14:paraId="32DF0574" w14:textId="77777777" w:rsidR="009E0160" w:rsidRPr="00B50E42" w:rsidRDefault="009E0160" w:rsidP="003A3E15">
            <w:pPr>
              <w:rPr>
                <w:sz w:val="20"/>
                <w:szCs w:val="20"/>
              </w:rPr>
            </w:pPr>
            <w:r w:rsidRPr="00B50E42">
              <w:rPr>
                <w:sz w:val="20"/>
                <w:szCs w:val="20"/>
              </w:rPr>
              <w:t>4</w:t>
            </w:r>
          </w:p>
        </w:tc>
        <w:tc>
          <w:tcPr>
            <w:tcW w:w="3246" w:type="dxa"/>
          </w:tcPr>
          <w:p w14:paraId="30E1135A" w14:textId="77777777" w:rsidR="009E0160" w:rsidRPr="00B50E42" w:rsidRDefault="009E0160" w:rsidP="003A3E15">
            <w:pPr>
              <w:rPr>
                <w:sz w:val="20"/>
                <w:szCs w:val="20"/>
              </w:rPr>
            </w:pPr>
            <w:r w:rsidRPr="00B50E42">
              <w:rPr>
                <w:sz w:val="20"/>
                <w:szCs w:val="20"/>
              </w:rPr>
              <w:t xml:space="preserve">Housekeeping Supervisor </w:t>
            </w:r>
          </w:p>
        </w:tc>
      </w:tr>
      <w:tr w:rsidR="009E0160" w14:paraId="7ACB846C" w14:textId="77777777" w:rsidTr="003A3E15">
        <w:trPr>
          <w:trHeight w:val="294"/>
        </w:trPr>
        <w:tc>
          <w:tcPr>
            <w:tcW w:w="3048" w:type="dxa"/>
          </w:tcPr>
          <w:p w14:paraId="10C335A8" w14:textId="77777777" w:rsidR="009E0160" w:rsidRPr="00B50E42" w:rsidRDefault="009E0160" w:rsidP="003A3E15">
            <w:pPr>
              <w:rPr>
                <w:sz w:val="20"/>
                <w:szCs w:val="20"/>
              </w:rPr>
            </w:pPr>
            <w:r w:rsidRPr="00B50E42">
              <w:rPr>
                <w:sz w:val="20"/>
                <w:szCs w:val="20"/>
              </w:rPr>
              <w:t>70499</w:t>
            </w:r>
          </w:p>
        </w:tc>
        <w:tc>
          <w:tcPr>
            <w:tcW w:w="2858" w:type="dxa"/>
          </w:tcPr>
          <w:p w14:paraId="2BEE35BD" w14:textId="77777777" w:rsidR="009E0160" w:rsidRPr="00B50E42" w:rsidRDefault="009E0160" w:rsidP="003A3E15">
            <w:pPr>
              <w:rPr>
                <w:sz w:val="20"/>
                <w:szCs w:val="20"/>
              </w:rPr>
            </w:pPr>
            <w:r w:rsidRPr="00B50E42">
              <w:rPr>
                <w:sz w:val="20"/>
                <w:szCs w:val="20"/>
              </w:rPr>
              <w:t>4</w:t>
            </w:r>
          </w:p>
        </w:tc>
        <w:tc>
          <w:tcPr>
            <w:tcW w:w="3246" w:type="dxa"/>
          </w:tcPr>
          <w:p w14:paraId="6C9066FA" w14:textId="77777777" w:rsidR="009E0160" w:rsidRPr="00B50E42" w:rsidRDefault="009E0160" w:rsidP="003A3E15">
            <w:pPr>
              <w:rPr>
                <w:sz w:val="20"/>
                <w:szCs w:val="20"/>
              </w:rPr>
            </w:pPr>
            <w:r w:rsidRPr="00B50E42">
              <w:rPr>
                <w:sz w:val="20"/>
                <w:szCs w:val="20"/>
              </w:rPr>
              <w:t xml:space="preserve">Waiter (Supervisor) </w:t>
            </w:r>
          </w:p>
        </w:tc>
      </w:tr>
    </w:tbl>
    <w:p w14:paraId="6CA409F5" w14:textId="77777777" w:rsidR="009E0160" w:rsidRPr="00ED170B" w:rsidRDefault="009E0160" w:rsidP="009E0160">
      <w:pPr>
        <w:rPr>
          <w:b/>
          <w:bCs/>
        </w:rPr>
      </w:pPr>
    </w:p>
    <w:p w14:paraId="6C1EFD67" w14:textId="2D670ADC"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76020E" w:rsidRPr="0076020E">
        <w:rPr>
          <w:rFonts w:ascii="Calibri" w:eastAsia="Times New Roman" w:hAnsi="Calibri" w:cs="Calibri"/>
          <w:color w:val="000000"/>
          <w:lang w:eastAsia="en-AU"/>
        </w:rPr>
        <w:t xml:space="preserve">Non-ANZSCO Skill Level 4 occupations (70499): have at least a relevant AQF or equivalent Certificate III with at least one (1) year (20+ </w:t>
      </w:r>
      <w:proofErr w:type="spellStart"/>
      <w:r w:rsidR="0076020E" w:rsidRPr="0076020E">
        <w:rPr>
          <w:rFonts w:ascii="Calibri" w:eastAsia="Times New Roman" w:hAnsi="Calibri" w:cs="Calibri"/>
          <w:color w:val="000000"/>
          <w:lang w:eastAsia="en-AU"/>
        </w:rPr>
        <w:t>hpw</w:t>
      </w:r>
      <w:proofErr w:type="spellEnd"/>
      <w:r w:rsidR="0076020E" w:rsidRPr="0076020E">
        <w:rPr>
          <w:rFonts w:ascii="Calibri" w:eastAsia="Times New Roman" w:hAnsi="Calibri" w:cs="Calibri"/>
          <w:color w:val="000000"/>
          <w:lang w:eastAsia="en-AU"/>
        </w:rPr>
        <w:t xml:space="preserve">) relevant work experience applying for a TSS OR have at least two (2) years (35+ </w:t>
      </w:r>
      <w:proofErr w:type="spellStart"/>
      <w:r w:rsidR="0076020E" w:rsidRPr="0076020E">
        <w:rPr>
          <w:rFonts w:ascii="Calibri" w:eastAsia="Times New Roman" w:hAnsi="Calibri" w:cs="Calibri"/>
          <w:color w:val="000000"/>
          <w:lang w:eastAsia="en-AU"/>
        </w:rPr>
        <w:t>hpw</w:t>
      </w:r>
      <w:proofErr w:type="spellEnd"/>
      <w:r w:rsidR="0076020E" w:rsidRPr="0076020E">
        <w:rPr>
          <w:rFonts w:ascii="Calibri" w:eastAsia="Times New Roman" w:hAnsi="Calibri" w:cs="Calibri"/>
          <w:color w:val="000000"/>
          <w:lang w:eastAsia="en-AU"/>
        </w:rPr>
        <w:t>) relevant work experience applying for a TSS or SESR visa; the visa applicant must undergo a skills assessment by the relevant Skills Assessing Authority (as specified in the Labour Agreement)</w:t>
      </w:r>
    </w:p>
    <w:p w14:paraId="7BEC4CEE" w14:textId="6E42C28A"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25090C">
        <w:rPr>
          <w:rFonts w:ascii="Calibri" w:eastAsia="Times New Roman" w:hAnsi="Calibri" w:cs="Calibri"/>
          <w:color w:val="000000"/>
          <w:lang w:eastAsia="en-AU"/>
        </w:rPr>
        <w:t>N/A</w:t>
      </w:r>
    </w:p>
    <w:p w14:paraId="553FB232" w14:textId="77777777" w:rsidR="00664C6A" w:rsidRDefault="00664C6A" w:rsidP="00664C6A">
      <w:pPr>
        <w:rPr>
          <w:b/>
          <w:bCs/>
        </w:rPr>
      </w:pPr>
      <w:r w:rsidRPr="00ED170B">
        <w:rPr>
          <w:b/>
          <w:bCs/>
        </w:rPr>
        <w:t xml:space="preserve">Far </w:t>
      </w:r>
      <w:r>
        <w:rPr>
          <w:b/>
          <w:bCs/>
        </w:rPr>
        <w:t>N</w:t>
      </w:r>
      <w:r w:rsidRPr="00ED170B">
        <w:rPr>
          <w:b/>
          <w:bCs/>
        </w:rPr>
        <w:t xml:space="preserve">orth QLD </w:t>
      </w:r>
    </w:p>
    <w:tbl>
      <w:tblPr>
        <w:tblStyle w:val="TableGrid"/>
        <w:tblW w:w="9152" w:type="dxa"/>
        <w:tblLook w:val="0420" w:firstRow="1" w:lastRow="0" w:firstColumn="0" w:lastColumn="0" w:noHBand="0" w:noVBand="1"/>
      </w:tblPr>
      <w:tblGrid>
        <w:gridCol w:w="3048"/>
        <w:gridCol w:w="2858"/>
        <w:gridCol w:w="3246"/>
      </w:tblGrid>
      <w:tr w:rsidR="009E0160" w:rsidRPr="0070016A" w14:paraId="2EED265F" w14:textId="77777777" w:rsidTr="0070016A">
        <w:trPr>
          <w:trHeight w:val="294"/>
        </w:trPr>
        <w:tc>
          <w:tcPr>
            <w:tcW w:w="3048" w:type="dxa"/>
            <w:shd w:val="clear" w:color="auto" w:fill="FFC000" w:themeFill="accent4"/>
          </w:tcPr>
          <w:p w14:paraId="268EDDB8"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51DC98D6"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16E01E0A" w14:textId="77777777" w:rsidR="009E0160" w:rsidRPr="0070016A" w:rsidRDefault="009E0160" w:rsidP="003A3E15">
            <w:pPr>
              <w:rPr>
                <w:b/>
                <w:bCs/>
                <w:sz w:val="20"/>
                <w:szCs w:val="20"/>
              </w:rPr>
            </w:pPr>
            <w:r w:rsidRPr="0070016A">
              <w:rPr>
                <w:b/>
                <w:bCs/>
                <w:sz w:val="20"/>
                <w:szCs w:val="20"/>
              </w:rPr>
              <w:t xml:space="preserve">Occupation </w:t>
            </w:r>
          </w:p>
        </w:tc>
      </w:tr>
      <w:tr w:rsidR="009E0160" w14:paraId="3BB4FADF" w14:textId="77777777" w:rsidTr="003A3E15">
        <w:trPr>
          <w:trHeight w:val="294"/>
        </w:trPr>
        <w:tc>
          <w:tcPr>
            <w:tcW w:w="3048" w:type="dxa"/>
          </w:tcPr>
          <w:p w14:paraId="5AE5E1F4" w14:textId="77777777" w:rsidR="009E0160" w:rsidRPr="00B50E42" w:rsidRDefault="009E0160" w:rsidP="003A3E15">
            <w:pPr>
              <w:rPr>
                <w:sz w:val="20"/>
                <w:szCs w:val="20"/>
              </w:rPr>
            </w:pPr>
            <w:r w:rsidRPr="00B50E42">
              <w:rPr>
                <w:sz w:val="20"/>
                <w:szCs w:val="20"/>
              </w:rPr>
              <w:t>431111</w:t>
            </w:r>
          </w:p>
        </w:tc>
        <w:tc>
          <w:tcPr>
            <w:tcW w:w="2858" w:type="dxa"/>
          </w:tcPr>
          <w:p w14:paraId="401A2682" w14:textId="77777777" w:rsidR="009E0160" w:rsidRPr="00B50E42" w:rsidRDefault="009E0160" w:rsidP="003A3E15">
            <w:pPr>
              <w:rPr>
                <w:sz w:val="20"/>
                <w:szCs w:val="20"/>
              </w:rPr>
            </w:pPr>
            <w:r w:rsidRPr="00B50E42">
              <w:rPr>
                <w:sz w:val="20"/>
                <w:szCs w:val="20"/>
              </w:rPr>
              <w:t>4</w:t>
            </w:r>
          </w:p>
        </w:tc>
        <w:tc>
          <w:tcPr>
            <w:tcW w:w="3246" w:type="dxa"/>
          </w:tcPr>
          <w:p w14:paraId="46440D09" w14:textId="77777777" w:rsidR="009E0160" w:rsidRPr="00B50E42" w:rsidRDefault="009E0160" w:rsidP="003A3E15">
            <w:pPr>
              <w:rPr>
                <w:sz w:val="20"/>
                <w:szCs w:val="20"/>
              </w:rPr>
            </w:pPr>
            <w:r w:rsidRPr="00B50E42">
              <w:rPr>
                <w:sz w:val="20"/>
                <w:szCs w:val="20"/>
              </w:rPr>
              <w:t>Bar Attendant*</w:t>
            </w:r>
          </w:p>
        </w:tc>
      </w:tr>
      <w:tr w:rsidR="009E0160" w14:paraId="498A2219" w14:textId="77777777" w:rsidTr="003A3E15">
        <w:trPr>
          <w:trHeight w:val="294"/>
        </w:trPr>
        <w:tc>
          <w:tcPr>
            <w:tcW w:w="3048" w:type="dxa"/>
          </w:tcPr>
          <w:p w14:paraId="4EF8977F" w14:textId="77777777" w:rsidR="009E0160" w:rsidRPr="00B50E42" w:rsidRDefault="009E0160" w:rsidP="003A3E15">
            <w:pPr>
              <w:rPr>
                <w:sz w:val="20"/>
                <w:szCs w:val="20"/>
              </w:rPr>
            </w:pPr>
            <w:r w:rsidRPr="00B50E42">
              <w:rPr>
                <w:sz w:val="20"/>
                <w:szCs w:val="20"/>
              </w:rPr>
              <w:t>542113</w:t>
            </w:r>
          </w:p>
        </w:tc>
        <w:tc>
          <w:tcPr>
            <w:tcW w:w="2858" w:type="dxa"/>
          </w:tcPr>
          <w:p w14:paraId="31D8B57C" w14:textId="77777777" w:rsidR="009E0160" w:rsidRPr="00B50E42" w:rsidRDefault="009E0160" w:rsidP="003A3E15">
            <w:pPr>
              <w:rPr>
                <w:sz w:val="20"/>
                <w:szCs w:val="20"/>
              </w:rPr>
            </w:pPr>
            <w:r w:rsidRPr="00B50E42">
              <w:rPr>
                <w:sz w:val="20"/>
                <w:szCs w:val="20"/>
              </w:rPr>
              <w:t>4</w:t>
            </w:r>
          </w:p>
        </w:tc>
        <w:tc>
          <w:tcPr>
            <w:tcW w:w="3246" w:type="dxa"/>
          </w:tcPr>
          <w:p w14:paraId="61B7216C" w14:textId="77777777" w:rsidR="009E0160" w:rsidRPr="00B50E42" w:rsidRDefault="009E0160" w:rsidP="003A3E15">
            <w:pPr>
              <w:rPr>
                <w:sz w:val="20"/>
                <w:szCs w:val="20"/>
              </w:rPr>
            </w:pPr>
            <w:r w:rsidRPr="00B50E42">
              <w:rPr>
                <w:sz w:val="20"/>
                <w:szCs w:val="20"/>
              </w:rPr>
              <w:t xml:space="preserve">Hotel or Motel Receptionist </w:t>
            </w:r>
          </w:p>
        </w:tc>
      </w:tr>
      <w:tr w:rsidR="009E0160" w14:paraId="754F8D5C" w14:textId="77777777" w:rsidTr="003A3E15">
        <w:trPr>
          <w:trHeight w:val="294"/>
        </w:trPr>
        <w:tc>
          <w:tcPr>
            <w:tcW w:w="3048" w:type="dxa"/>
          </w:tcPr>
          <w:p w14:paraId="534AE835" w14:textId="77777777" w:rsidR="009E0160" w:rsidRPr="00B50E42" w:rsidRDefault="009E0160" w:rsidP="003A3E15">
            <w:pPr>
              <w:rPr>
                <w:sz w:val="20"/>
                <w:szCs w:val="20"/>
              </w:rPr>
            </w:pPr>
            <w:r w:rsidRPr="00B50E42">
              <w:rPr>
                <w:sz w:val="20"/>
                <w:szCs w:val="20"/>
              </w:rPr>
              <w:t>452299</w:t>
            </w:r>
          </w:p>
        </w:tc>
        <w:tc>
          <w:tcPr>
            <w:tcW w:w="2858" w:type="dxa"/>
          </w:tcPr>
          <w:p w14:paraId="7BBB0BE6" w14:textId="77777777" w:rsidR="009E0160" w:rsidRPr="00B50E42" w:rsidRDefault="009E0160" w:rsidP="003A3E15">
            <w:pPr>
              <w:rPr>
                <w:sz w:val="20"/>
                <w:szCs w:val="20"/>
              </w:rPr>
            </w:pPr>
            <w:r w:rsidRPr="00B50E42">
              <w:rPr>
                <w:sz w:val="20"/>
                <w:szCs w:val="20"/>
              </w:rPr>
              <w:t>4</w:t>
            </w:r>
          </w:p>
        </w:tc>
        <w:tc>
          <w:tcPr>
            <w:tcW w:w="3246" w:type="dxa"/>
          </w:tcPr>
          <w:p w14:paraId="51C45DCE" w14:textId="33FA8A3B" w:rsidR="009E0160" w:rsidRPr="00B50E42" w:rsidRDefault="009E0160" w:rsidP="003A3E15">
            <w:pPr>
              <w:rPr>
                <w:sz w:val="20"/>
                <w:szCs w:val="20"/>
              </w:rPr>
            </w:pPr>
            <w:r w:rsidRPr="00B50E42">
              <w:rPr>
                <w:sz w:val="20"/>
                <w:szCs w:val="20"/>
              </w:rPr>
              <w:t>Outdoor Adventure Guides (</w:t>
            </w:r>
            <w:r w:rsidR="00D51124">
              <w:rPr>
                <w:sz w:val="20"/>
                <w:szCs w:val="20"/>
              </w:rPr>
              <w:t xml:space="preserve">Not elsewhere </w:t>
            </w:r>
            <w:r w:rsidR="00255406">
              <w:rPr>
                <w:sz w:val="20"/>
                <w:szCs w:val="20"/>
              </w:rPr>
              <w:t xml:space="preserve">classified - </w:t>
            </w:r>
            <w:proofErr w:type="spellStart"/>
            <w:r w:rsidR="00097BD9">
              <w:rPr>
                <w:sz w:val="20"/>
                <w:szCs w:val="20"/>
              </w:rPr>
              <w:t>n</w:t>
            </w:r>
            <w:r w:rsidRPr="00B50E42">
              <w:rPr>
                <w:sz w:val="20"/>
                <w:szCs w:val="20"/>
              </w:rPr>
              <w:t>ec</w:t>
            </w:r>
            <w:proofErr w:type="spellEnd"/>
            <w:r w:rsidRPr="00B50E42">
              <w:rPr>
                <w:sz w:val="20"/>
                <w:szCs w:val="20"/>
              </w:rPr>
              <w:t xml:space="preserve">) </w:t>
            </w:r>
          </w:p>
        </w:tc>
      </w:tr>
      <w:tr w:rsidR="009E0160" w14:paraId="0E19D96F" w14:textId="77777777" w:rsidTr="003A3E15">
        <w:trPr>
          <w:trHeight w:val="294"/>
        </w:trPr>
        <w:tc>
          <w:tcPr>
            <w:tcW w:w="3048" w:type="dxa"/>
          </w:tcPr>
          <w:p w14:paraId="07EF0759" w14:textId="77777777" w:rsidR="009E0160" w:rsidRPr="00B50E42" w:rsidRDefault="009E0160" w:rsidP="003A3E15">
            <w:pPr>
              <w:rPr>
                <w:sz w:val="20"/>
                <w:szCs w:val="20"/>
              </w:rPr>
            </w:pPr>
            <w:r w:rsidRPr="00B50E42">
              <w:rPr>
                <w:sz w:val="20"/>
                <w:szCs w:val="20"/>
              </w:rPr>
              <w:t>452215</w:t>
            </w:r>
          </w:p>
        </w:tc>
        <w:tc>
          <w:tcPr>
            <w:tcW w:w="2858" w:type="dxa"/>
          </w:tcPr>
          <w:p w14:paraId="77F99DCC" w14:textId="77777777" w:rsidR="009E0160" w:rsidRPr="00B50E42" w:rsidRDefault="009E0160" w:rsidP="003A3E15">
            <w:pPr>
              <w:rPr>
                <w:sz w:val="20"/>
                <w:szCs w:val="20"/>
              </w:rPr>
            </w:pPr>
            <w:r w:rsidRPr="00B50E42">
              <w:rPr>
                <w:sz w:val="20"/>
                <w:szCs w:val="20"/>
              </w:rPr>
              <w:t>4</w:t>
            </w:r>
          </w:p>
        </w:tc>
        <w:tc>
          <w:tcPr>
            <w:tcW w:w="3246" w:type="dxa"/>
          </w:tcPr>
          <w:p w14:paraId="3E278B5A" w14:textId="77777777" w:rsidR="009E0160" w:rsidRPr="00B50E42" w:rsidRDefault="009E0160" w:rsidP="003A3E15">
            <w:pPr>
              <w:rPr>
                <w:sz w:val="20"/>
                <w:szCs w:val="20"/>
              </w:rPr>
            </w:pPr>
            <w:r w:rsidRPr="00B50E42">
              <w:rPr>
                <w:sz w:val="20"/>
                <w:szCs w:val="20"/>
              </w:rPr>
              <w:t xml:space="preserve">Outdoor Adventure Instructor </w:t>
            </w:r>
          </w:p>
        </w:tc>
      </w:tr>
      <w:tr w:rsidR="009E0160" w14:paraId="2EA181BC" w14:textId="77777777" w:rsidTr="003A3E15">
        <w:trPr>
          <w:trHeight w:val="294"/>
        </w:trPr>
        <w:tc>
          <w:tcPr>
            <w:tcW w:w="3048" w:type="dxa"/>
          </w:tcPr>
          <w:p w14:paraId="10B733B8" w14:textId="77777777" w:rsidR="009E0160" w:rsidRPr="00B50E42" w:rsidRDefault="009E0160" w:rsidP="003A3E15">
            <w:pPr>
              <w:rPr>
                <w:sz w:val="20"/>
                <w:szCs w:val="20"/>
              </w:rPr>
            </w:pPr>
            <w:r w:rsidRPr="00B50E42">
              <w:rPr>
                <w:sz w:val="20"/>
                <w:szCs w:val="20"/>
              </w:rPr>
              <w:t>451412</w:t>
            </w:r>
          </w:p>
        </w:tc>
        <w:tc>
          <w:tcPr>
            <w:tcW w:w="2858" w:type="dxa"/>
          </w:tcPr>
          <w:p w14:paraId="5F47DCC1" w14:textId="77777777" w:rsidR="009E0160" w:rsidRPr="00B50E42" w:rsidRDefault="009E0160" w:rsidP="003A3E15">
            <w:pPr>
              <w:rPr>
                <w:sz w:val="20"/>
                <w:szCs w:val="20"/>
              </w:rPr>
            </w:pPr>
            <w:r w:rsidRPr="00B50E42">
              <w:rPr>
                <w:sz w:val="20"/>
                <w:szCs w:val="20"/>
              </w:rPr>
              <w:t>4</w:t>
            </w:r>
          </w:p>
        </w:tc>
        <w:tc>
          <w:tcPr>
            <w:tcW w:w="3246" w:type="dxa"/>
          </w:tcPr>
          <w:p w14:paraId="62ECB9D1" w14:textId="77777777" w:rsidR="009E0160" w:rsidRPr="00B50E42" w:rsidRDefault="009E0160" w:rsidP="003A3E15">
            <w:pPr>
              <w:rPr>
                <w:sz w:val="20"/>
                <w:szCs w:val="20"/>
              </w:rPr>
            </w:pPr>
            <w:r w:rsidRPr="00B50E42">
              <w:rPr>
                <w:sz w:val="20"/>
                <w:szCs w:val="20"/>
              </w:rPr>
              <w:t xml:space="preserve">Tour Guide </w:t>
            </w:r>
          </w:p>
        </w:tc>
      </w:tr>
      <w:tr w:rsidR="009E0160" w14:paraId="5EF55512" w14:textId="77777777" w:rsidTr="003A3E15">
        <w:trPr>
          <w:trHeight w:val="294"/>
        </w:trPr>
        <w:tc>
          <w:tcPr>
            <w:tcW w:w="3048" w:type="dxa"/>
          </w:tcPr>
          <w:p w14:paraId="04FAD7FA" w14:textId="77777777" w:rsidR="009E0160" w:rsidRPr="00B50E42" w:rsidRDefault="009E0160" w:rsidP="003A3E15">
            <w:pPr>
              <w:rPr>
                <w:sz w:val="20"/>
                <w:szCs w:val="20"/>
              </w:rPr>
            </w:pPr>
            <w:r w:rsidRPr="00B50E42">
              <w:rPr>
                <w:sz w:val="20"/>
                <w:szCs w:val="20"/>
              </w:rPr>
              <w:t>431511</w:t>
            </w:r>
          </w:p>
        </w:tc>
        <w:tc>
          <w:tcPr>
            <w:tcW w:w="2858" w:type="dxa"/>
          </w:tcPr>
          <w:p w14:paraId="263C3AA8" w14:textId="77777777" w:rsidR="009E0160" w:rsidRPr="00B50E42" w:rsidRDefault="009E0160" w:rsidP="003A3E15">
            <w:pPr>
              <w:rPr>
                <w:sz w:val="20"/>
                <w:szCs w:val="20"/>
              </w:rPr>
            </w:pPr>
            <w:r w:rsidRPr="00B50E42">
              <w:rPr>
                <w:sz w:val="20"/>
                <w:szCs w:val="20"/>
              </w:rPr>
              <w:t>4</w:t>
            </w:r>
          </w:p>
        </w:tc>
        <w:tc>
          <w:tcPr>
            <w:tcW w:w="3246" w:type="dxa"/>
          </w:tcPr>
          <w:p w14:paraId="6FA318A5" w14:textId="77777777" w:rsidR="009E0160" w:rsidRPr="00B50E42" w:rsidRDefault="009E0160" w:rsidP="003A3E15">
            <w:pPr>
              <w:rPr>
                <w:sz w:val="20"/>
                <w:szCs w:val="20"/>
              </w:rPr>
            </w:pPr>
            <w:r w:rsidRPr="00B50E42">
              <w:rPr>
                <w:sz w:val="20"/>
                <w:szCs w:val="20"/>
              </w:rPr>
              <w:t xml:space="preserve">Waiter* </w:t>
            </w:r>
          </w:p>
        </w:tc>
      </w:tr>
    </w:tbl>
    <w:p w14:paraId="04CD795F" w14:textId="77777777" w:rsidR="009E0160" w:rsidRPr="00ED170B" w:rsidRDefault="009E0160" w:rsidP="009E0160">
      <w:pPr>
        <w:rPr>
          <w:b/>
          <w:bCs/>
        </w:rPr>
      </w:pPr>
    </w:p>
    <w:p w14:paraId="59B5DF37" w14:textId="4B0B8862"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436BD5" w:rsidRPr="00436BD5">
        <w:rPr>
          <w:rFonts w:ascii="Calibri" w:eastAsia="Times New Roman" w:hAnsi="Calibri" w:cs="Calibri"/>
          <w:color w:val="000000"/>
          <w:lang w:eastAsia="en-AU"/>
        </w:rPr>
        <w:t xml:space="preserve">Have at least a relevant AQF or equivalent Certificate II with at least one and a half (1.5) years (20+ </w:t>
      </w:r>
      <w:proofErr w:type="spellStart"/>
      <w:r w:rsidR="00436BD5" w:rsidRPr="00436BD5">
        <w:rPr>
          <w:rFonts w:ascii="Calibri" w:eastAsia="Times New Roman" w:hAnsi="Calibri" w:cs="Calibri"/>
          <w:color w:val="000000"/>
          <w:lang w:eastAsia="en-AU"/>
        </w:rPr>
        <w:t>hpw</w:t>
      </w:r>
      <w:proofErr w:type="spellEnd"/>
      <w:r w:rsidR="00436BD5" w:rsidRPr="00436BD5">
        <w:rPr>
          <w:rFonts w:ascii="Calibri" w:eastAsia="Times New Roman" w:hAnsi="Calibri" w:cs="Calibri"/>
          <w:color w:val="000000"/>
          <w:lang w:eastAsia="en-AU"/>
        </w:rPr>
        <w:t xml:space="preserve">) relevant work experience if applying for a TSS or </w:t>
      </w:r>
      <w:r w:rsidR="00436BD5" w:rsidRPr="00436BD5">
        <w:rPr>
          <w:rFonts w:ascii="Calibri" w:eastAsia="Times New Roman" w:hAnsi="Calibri" w:cs="Calibri"/>
          <w:color w:val="000000"/>
          <w:lang w:eastAsia="en-AU"/>
        </w:rPr>
        <w:lastRenderedPageBreak/>
        <w:t xml:space="preserve">SESR visa OR have at least a relevant AQF or equivalent Certificate III with at least one (1) year (20+ </w:t>
      </w:r>
      <w:proofErr w:type="spellStart"/>
      <w:r w:rsidR="00436BD5" w:rsidRPr="00436BD5">
        <w:rPr>
          <w:rFonts w:ascii="Calibri" w:eastAsia="Times New Roman" w:hAnsi="Calibri" w:cs="Calibri"/>
          <w:color w:val="000000"/>
          <w:lang w:eastAsia="en-AU"/>
        </w:rPr>
        <w:t>hpw</w:t>
      </w:r>
      <w:proofErr w:type="spellEnd"/>
      <w:r w:rsidR="00436BD5" w:rsidRPr="00436BD5">
        <w:rPr>
          <w:rFonts w:ascii="Calibri" w:eastAsia="Times New Roman" w:hAnsi="Calibri" w:cs="Calibri"/>
          <w:color w:val="000000"/>
          <w:lang w:eastAsia="en-AU"/>
        </w:rPr>
        <w:t xml:space="preserve">) relevant work experience if applying for a TSS or SESR visa OR have at least two years (35+ </w:t>
      </w:r>
      <w:proofErr w:type="spellStart"/>
      <w:r w:rsidR="00436BD5" w:rsidRPr="00436BD5">
        <w:rPr>
          <w:rFonts w:ascii="Calibri" w:eastAsia="Times New Roman" w:hAnsi="Calibri" w:cs="Calibri"/>
          <w:color w:val="000000"/>
          <w:lang w:eastAsia="en-AU"/>
        </w:rPr>
        <w:t>hpw</w:t>
      </w:r>
      <w:proofErr w:type="spellEnd"/>
      <w:r w:rsidR="00436BD5" w:rsidRPr="00436BD5">
        <w:rPr>
          <w:rFonts w:ascii="Calibri" w:eastAsia="Times New Roman" w:hAnsi="Calibri" w:cs="Calibri"/>
          <w:color w:val="000000"/>
          <w:lang w:eastAsia="en-AU"/>
        </w:rPr>
        <w:t>) relevant work experience if applying for a TSS or SESR visa; the visa applicant must undergo a skills assessment by the relevant Skills Assessing Authority (as specified in the Labour Agreement)</w:t>
      </w:r>
    </w:p>
    <w:p w14:paraId="3141398B" w14:textId="52AA9786" w:rsidR="009E0160" w:rsidRDefault="009E0160"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527DFB">
        <w:rPr>
          <w:rFonts w:ascii="Calibri" w:eastAsia="Times New Roman" w:hAnsi="Calibri" w:cs="Calibri"/>
          <w:color w:val="000000"/>
          <w:lang w:eastAsia="en-AU"/>
        </w:rPr>
        <w:t>N/A</w:t>
      </w:r>
    </w:p>
    <w:p w14:paraId="7E4C5E83" w14:textId="77777777" w:rsidR="00F4081B" w:rsidRDefault="00F4081B" w:rsidP="00F4081B">
      <w:pPr>
        <w:rPr>
          <w:b/>
          <w:bCs/>
        </w:rPr>
      </w:pPr>
      <w:r w:rsidRPr="00ED170B">
        <w:rPr>
          <w:b/>
          <w:bCs/>
        </w:rPr>
        <w:t xml:space="preserve">Far </w:t>
      </w:r>
      <w:r>
        <w:rPr>
          <w:b/>
          <w:bCs/>
        </w:rPr>
        <w:t>N</w:t>
      </w:r>
      <w:r w:rsidRPr="00ED170B">
        <w:rPr>
          <w:b/>
          <w:bCs/>
        </w:rPr>
        <w:t xml:space="preserve">orth QLD </w:t>
      </w:r>
    </w:p>
    <w:tbl>
      <w:tblPr>
        <w:tblStyle w:val="TableGrid"/>
        <w:tblW w:w="9152" w:type="dxa"/>
        <w:tblLook w:val="0420" w:firstRow="1" w:lastRow="0" w:firstColumn="0" w:lastColumn="0" w:noHBand="0" w:noVBand="1"/>
      </w:tblPr>
      <w:tblGrid>
        <w:gridCol w:w="3048"/>
        <w:gridCol w:w="2858"/>
        <w:gridCol w:w="3246"/>
      </w:tblGrid>
      <w:tr w:rsidR="00664C6A" w:rsidRPr="0070016A" w14:paraId="42E76CDC" w14:textId="77777777" w:rsidTr="0070016A">
        <w:trPr>
          <w:trHeight w:val="294"/>
        </w:trPr>
        <w:tc>
          <w:tcPr>
            <w:tcW w:w="3048" w:type="dxa"/>
            <w:shd w:val="clear" w:color="auto" w:fill="FFC000" w:themeFill="accent4"/>
          </w:tcPr>
          <w:p w14:paraId="391B924B" w14:textId="77777777" w:rsidR="00664C6A" w:rsidRPr="0070016A" w:rsidRDefault="00664C6A" w:rsidP="0066041E">
            <w:pPr>
              <w:rPr>
                <w:b/>
                <w:bCs/>
                <w:sz w:val="20"/>
                <w:szCs w:val="20"/>
              </w:rPr>
            </w:pPr>
            <w:r w:rsidRPr="0070016A">
              <w:rPr>
                <w:b/>
                <w:bCs/>
                <w:sz w:val="20"/>
                <w:szCs w:val="20"/>
              </w:rPr>
              <w:t xml:space="preserve">ANZSCO </w:t>
            </w:r>
          </w:p>
        </w:tc>
        <w:tc>
          <w:tcPr>
            <w:tcW w:w="2858" w:type="dxa"/>
            <w:shd w:val="clear" w:color="auto" w:fill="FFC000" w:themeFill="accent4"/>
          </w:tcPr>
          <w:p w14:paraId="71C82162" w14:textId="77777777" w:rsidR="00664C6A" w:rsidRPr="0070016A" w:rsidRDefault="00664C6A" w:rsidP="0066041E">
            <w:pPr>
              <w:rPr>
                <w:b/>
                <w:bCs/>
                <w:sz w:val="20"/>
                <w:szCs w:val="20"/>
              </w:rPr>
            </w:pPr>
            <w:r w:rsidRPr="0070016A">
              <w:rPr>
                <w:b/>
                <w:bCs/>
                <w:sz w:val="20"/>
                <w:szCs w:val="20"/>
              </w:rPr>
              <w:t xml:space="preserve">Skill Level </w:t>
            </w:r>
          </w:p>
        </w:tc>
        <w:tc>
          <w:tcPr>
            <w:tcW w:w="3246" w:type="dxa"/>
            <w:shd w:val="clear" w:color="auto" w:fill="FFC000" w:themeFill="accent4"/>
          </w:tcPr>
          <w:p w14:paraId="25B59A26" w14:textId="77777777" w:rsidR="00664C6A" w:rsidRPr="0070016A" w:rsidRDefault="00664C6A" w:rsidP="0066041E">
            <w:pPr>
              <w:rPr>
                <w:b/>
                <w:bCs/>
                <w:sz w:val="20"/>
                <w:szCs w:val="20"/>
              </w:rPr>
            </w:pPr>
            <w:r w:rsidRPr="0070016A">
              <w:rPr>
                <w:b/>
                <w:bCs/>
                <w:sz w:val="20"/>
                <w:szCs w:val="20"/>
              </w:rPr>
              <w:t xml:space="preserve">Occupation </w:t>
            </w:r>
          </w:p>
        </w:tc>
      </w:tr>
      <w:tr w:rsidR="00664C6A" w14:paraId="02EFC83F" w14:textId="77777777" w:rsidTr="0066041E">
        <w:trPr>
          <w:trHeight w:val="294"/>
        </w:trPr>
        <w:tc>
          <w:tcPr>
            <w:tcW w:w="3048" w:type="dxa"/>
          </w:tcPr>
          <w:p w14:paraId="150DBABD" w14:textId="77777777" w:rsidR="00664C6A" w:rsidRPr="00B50E42" w:rsidRDefault="00664C6A" w:rsidP="0066041E">
            <w:pPr>
              <w:rPr>
                <w:sz w:val="20"/>
                <w:szCs w:val="20"/>
              </w:rPr>
            </w:pPr>
            <w:r w:rsidRPr="00B50E42">
              <w:rPr>
                <w:sz w:val="20"/>
                <w:szCs w:val="20"/>
              </w:rPr>
              <w:t>899211</w:t>
            </w:r>
          </w:p>
        </w:tc>
        <w:tc>
          <w:tcPr>
            <w:tcW w:w="2858" w:type="dxa"/>
          </w:tcPr>
          <w:p w14:paraId="4AC1936A" w14:textId="77777777" w:rsidR="00664C6A" w:rsidRPr="00B50E42" w:rsidRDefault="00664C6A" w:rsidP="0066041E">
            <w:pPr>
              <w:rPr>
                <w:sz w:val="20"/>
                <w:szCs w:val="20"/>
              </w:rPr>
            </w:pPr>
            <w:r w:rsidRPr="00B50E42">
              <w:rPr>
                <w:sz w:val="20"/>
                <w:szCs w:val="20"/>
              </w:rPr>
              <w:t>4</w:t>
            </w:r>
          </w:p>
        </w:tc>
        <w:tc>
          <w:tcPr>
            <w:tcW w:w="3246" w:type="dxa"/>
          </w:tcPr>
          <w:p w14:paraId="7F413088" w14:textId="77777777" w:rsidR="00664C6A" w:rsidRPr="00B50E42" w:rsidRDefault="00664C6A" w:rsidP="0066041E">
            <w:pPr>
              <w:rPr>
                <w:sz w:val="20"/>
                <w:szCs w:val="20"/>
              </w:rPr>
            </w:pPr>
            <w:r w:rsidRPr="00B50E42">
              <w:rPr>
                <w:sz w:val="20"/>
                <w:szCs w:val="20"/>
              </w:rPr>
              <w:t xml:space="preserve">Deck Hand </w:t>
            </w:r>
          </w:p>
        </w:tc>
      </w:tr>
    </w:tbl>
    <w:p w14:paraId="0E4E294F" w14:textId="77777777" w:rsidR="00F4081B" w:rsidRDefault="00F4081B" w:rsidP="00F4081B">
      <w:pPr>
        <w:rPr>
          <w:rFonts w:ascii="Calibri" w:eastAsia="Times New Roman" w:hAnsi="Calibri" w:cs="Calibri"/>
          <w:b/>
          <w:bCs/>
          <w:color w:val="000000"/>
          <w:lang w:eastAsia="en-AU"/>
        </w:rPr>
      </w:pPr>
    </w:p>
    <w:p w14:paraId="56ADAB60" w14:textId="5D973EB9" w:rsidR="00F4081B" w:rsidRDefault="00F4081B" w:rsidP="00F4081B">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Pr="00436BD5">
        <w:rPr>
          <w:rFonts w:ascii="Calibri" w:eastAsia="Times New Roman" w:hAnsi="Calibri" w:cs="Calibri"/>
          <w:color w:val="000000"/>
          <w:lang w:eastAsia="en-AU"/>
        </w:rPr>
        <w:t xml:space="preserve">Have at least a relevant AQF or equivalent Certificate II with at least one and a half (1.5) years (20+ </w:t>
      </w:r>
      <w:proofErr w:type="spellStart"/>
      <w:r w:rsidRPr="00436BD5">
        <w:rPr>
          <w:rFonts w:ascii="Calibri" w:eastAsia="Times New Roman" w:hAnsi="Calibri" w:cs="Calibri"/>
          <w:color w:val="000000"/>
          <w:lang w:eastAsia="en-AU"/>
        </w:rPr>
        <w:t>hpw</w:t>
      </w:r>
      <w:proofErr w:type="spellEnd"/>
      <w:r w:rsidRPr="00436BD5">
        <w:rPr>
          <w:rFonts w:ascii="Calibri" w:eastAsia="Times New Roman" w:hAnsi="Calibri" w:cs="Calibri"/>
          <w:color w:val="000000"/>
          <w:lang w:eastAsia="en-AU"/>
        </w:rPr>
        <w:t xml:space="preserve">) relevant work experience if applying for a TSS or SESR visa OR have at least a relevant AQF or equivalent Certificate III with at least one (1) year (20+ </w:t>
      </w:r>
      <w:proofErr w:type="spellStart"/>
      <w:r w:rsidRPr="00436BD5">
        <w:rPr>
          <w:rFonts w:ascii="Calibri" w:eastAsia="Times New Roman" w:hAnsi="Calibri" w:cs="Calibri"/>
          <w:color w:val="000000"/>
          <w:lang w:eastAsia="en-AU"/>
        </w:rPr>
        <w:t>hpw</w:t>
      </w:r>
      <w:proofErr w:type="spellEnd"/>
      <w:r w:rsidRPr="00436BD5">
        <w:rPr>
          <w:rFonts w:ascii="Calibri" w:eastAsia="Times New Roman" w:hAnsi="Calibri" w:cs="Calibri"/>
          <w:color w:val="000000"/>
          <w:lang w:eastAsia="en-AU"/>
        </w:rPr>
        <w:t xml:space="preserve">) relevant work experience if applying for a TSS or SESR visa OR have at least two years (35+ </w:t>
      </w:r>
      <w:proofErr w:type="spellStart"/>
      <w:r w:rsidRPr="00436BD5">
        <w:rPr>
          <w:rFonts w:ascii="Calibri" w:eastAsia="Times New Roman" w:hAnsi="Calibri" w:cs="Calibri"/>
          <w:color w:val="000000"/>
          <w:lang w:eastAsia="en-AU"/>
        </w:rPr>
        <w:t>hpw</w:t>
      </w:r>
      <w:proofErr w:type="spellEnd"/>
      <w:r w:rsidRPr="00436BD5">
        <w:rPr>
          <w:rFonts w:ascii="Calibri" w:eastAsia="Times New Roman" w:hAnsi="Calibri" w:cs="Calibri"/>
          <w:color w:val="000000"/>
          <w:lang w:eastAsia="en-AU"/>
        </w:rPr>
        <w:t>) relevant work experience if applying for a TSS or SESR visa; the visa applicant must undergo a skills assessment by the relevant Skills Assessing Authority (as specified in the Labour Agreement)</w:t>
      </w:r>
    </w:p>
    <w:p w14:paraId="673BC55B" w14:textId="77B36369" w:rsidR="00664C6A" w:rsidRDefault="00F4081B" w:rsidP="009E0160">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Pr="0043259A">
        <w:rPr>
          <w:rFonts w:ascii="Calibri" w:eastAsia="Times New Roman" w:hAnsi="Calibri" w:cs="Calibri"/>
          <w:color w:val="000000"/>
          <w:lang w:eastAsia="en-AU"/>
        </w:rPr>
        <w:t>Average of 5.0 for IELTS with speaking and listening components no less than 4.0</w:t>
      </w:r>
    </w:p>
    <w:p w14:paraId="1510F8A5" w14:textId="77777777" w:rsidR="00664C6A" w:rsidRDefault="00664C6A" w:rsidP="00664C6A">
      <w:pPr>
        <w:rPr>
          <w:b/>
          <w:bCs/>
        </w:rPr>
      </w:pPr>
      <w:r w:rsidRPr="00ED170B">
        <w:rPr>
          <w:b/>
          <w:bCs/>
        </w:rPr>
        <w:t xml:space="preserve">Far </w:t>
      </w:r>
      <w:r>
        <w:rPr>
          <w:b/>
          <w:bCs/>
        </w:rPr>
        <w:t>N</w:t>
      </w:r>
      <w:r w:rsidRPr="00ED170B">
        <w:rPr>
          <w:b/>
          <w:bCs/>
        </w:rPr>
        <w:t xml:space="preserve">orth QLD </w:t>
      </w:r>
    </w:p>
    <w:tbl>
      <w:tblPr>
        <w:tblStyle w:val="TableGrid"/>
        <w:tblW w:w="9152" w:type="dxa"/>
        <w:tblLook w:val="0420" w:firstRow="1" w:lastRow="0" w:firstColumn="0" w:lastColumn="0" w:noHBand="0" w:noVBand="1"/>
      </w:tblPr>
      <w:tblGrid>
        <w:gridCol w:w="3048"/>
        <w:gridCol w:w="2858"/>
        <w:gridCol w:w="3246"/>
      </w:tblGrid>
      <w:tr w:rsidR="009E0160" w:rsidRPr="0070016A" w14:paraId="46D7290F" w14:textId="77777777" w:rsidTr="0070016A">
        <w:trPr>
          <w:trHeight w:val="294"/>
        </w:trPr>
        <w:tc>
          <w:tcPr>
            <w:tcW w:w="3048" w:type="dxa"/>
            <w:shd w:val="clear" w:color="auto" w:fill="FFC000" w:themeFill="accent4"/>
          </w:tcPr>
          <w:p w14:paraId="4C333CEE" w14:textId="77777777" w:rsidR="009E0160" w:rsidRPr="0070016A" w:rsidRDefault="009E0160" w:rsidP="003A3E15">
            <w:pPr>
              <w:rPr>
                <w:b/>
                <w:bCs/>
                <w:sz w:val="20"/>
                <w:szCs w:val="20"/>
              </w:rPr>
            </w:pPr>
            <w:r w:rsidRPr="0070016A">
              <w:rPr>
                <w:b/>
                <w:bCs/>
                <w:sz w:val="20"/>
                <w:szCs w:val="20"/>
              </w:rPr>
              <w:t xml:space="preserve">ANZSCO </w:t>
            </w:r>
          </w:p>
        </w:tc>
        <w:tc>
          <w:tcPr>
            <w:tcW w:w="2858" w:type="dxa"/>
            <w:shd w:val="clear" w:color="auto" w:fill="FFC000" w:themeFill="accent4"/>
          </w:tcPr>
          <w:p w14:paraId="64B544D6" w14:textId="77777777" w:rsidR="009E0160" w:rsidRPr="0070016A" w:rsidRDefault="009E0160" w:rsidP="003A3E15">
            <w:pPr>
              <w:rPr>
                <w:b/>
                <w:bCs/>
                <w:sz w:val="20"/>
                <w:szCs w:val="20"/>
              </w:rPr>
            </w:pPr>
            <w:r w:rsidRPr="0070016A">
              <w:rPr>
                <w:b/>
                <w:bCs/>
                <w:sz w:val="20"/>
                <w:szCs w:val="20"/>
              </w:rPr>
              <w:t xml:space="preserve">Skill Level </w:t>
            </w:r>
          </w:p>
        </w:tc>
        <w:tc>
          <w:tcPr>
            <w:tcW w:w="3246" w:type="dxa"/>
            <w:shd w:val="clear" w:color="auto" w:fill="FFC000" w:themeFill="accent4"/>
          </w:tcPr>
          <w:p w14:paraId="191E9F6F" w14:textId="77777777" w:rsidR="009E0160" w:rsidRPr="0070016A" w:rsidRDefault="009E0160" w:rsidP="003A3E15">
            <w:pPr>
              <w:rPr>
                <w:b/>
                <w:bCs/>
                <w:sz w:val="20"/>
                <w:szCs w:val="20"/>
              </w:rPr>
            </w:pPr>
            <w:r w:rsidRPr="0070016A">
              <w:rPr>
                <w:b/>
                <w:bCs/>
                <w:sz w:val="20"/>
                <w:szCs w:val="20"/>
              </w:rPr>
              <w:t xml:space="preserve">Occupation </w:t>
            </w:r>
          </w:p>
        </w:tc>
      </w:tr>
      <w:tr w:rsidR="009E0160" w14:paraId="57609822" w14:textId="77777777" w:rsidTr="003A3E15">
        <w:trPr>
          <w:trHeight w:val="294"/>
        </w:trPr>
        <w:tc>
          <w:tcPr>
            <w:tcW w:w="3048" w:type="dxa"/>
          </w:tcPr>
          <w:p w14:paraId="474F0615" w14:textId="77777777" w:rsidR="009E0160" w:rsidRPr="00B50E42" w:rsidRDefault="009E0160" w:rsidP="003A3E15">
            <w:pPr>
              <w:rPr>
                <w:sz w:val="20"/>
                <w:szCs w:val="20"/>
              </w:rPr>
            </w:pPr>
            <w:r w:rsidRPr="00B50E42">
              <w:rPr>
                <w:sz w:val="20"/>
                <w:szCs w:val="20"/>
              </w:rPr>
              <w:t>811411</w:t>
            </w:r>
          </w:p>
        </w:tc>
        <w:tc>
          <w:tcPr>
            <w:tcW w:w="2858" w:type="dxa"/>
          </w:tcPr>
          <w:p w14:paraId="3DA9211B" w14:textId="77777777" w:rsidR="009E0160" w:rsidRPr="00B50E42" w:rsidRDefault="009E0160" w:rsidP="003A3E15">
            <w:pPr>
              <w:rPr>
                <w:sz w:val="20"/>
                <w:szCs w:val="20"/>
              </w:rPr>
            </w:pPr>
            <w:r w:rsidRPr="00B50E42">
              <w:rPr>
                <w:sz w:val="20"/>
                <w:szCs w:val="20"/>
              </w:rPr>
              <w:t>5</w:t>
            </w:r>
          </w:p>
        </w:tc>
        <w:tc>
          <w:tcPr>
            <w:tcW w:w="3246" w:type="dxa"/>
          </w:tcPr>
          <w:p w14:paraId="1C67DB9B" w14:textId="77777777" w:rsidR="009E0160" w:rsidRPr="00B50E42" w:rsidRDefault="009E0160" w:rsidP="003A3E15">
            <w:pPr>
              <w:rPr>
                <w:sz w:val="20"/>
                <w:szCs w:val="20"/>
              </w:rPr>
            </w:pPr>
            <w:r w:rsidRPr="00B50E42">
              <w:rPr>
                <w:sz w:val="20"/>
                <w:szCs w:val="20"/>
              </w:rPr>
              <w:t xml:space="preserve">Commercial Housekeeper* </w:t>
            </w:r>
          </w:p>
        </w:tc>
      </w:tr>
      <w:tr w:rsidR="009E0160" w14:paraId="11421F8F" w14:textId="77777777" w:rsidTr="003A3E15">
        <w:trPr>
          <w:trHeight w:val="294"/>
        </w:trPr>
        <w:tc>
          <w:tcPr>
            <w:tcW w:w="3048" w:type="dxa"/>
          </w:tcPr>
          <w:p w14:paraId="2FB92D7D" w14:textId="77777777" w:rsidR="009E0160" w:rsidRPr="00B50E42" w:rsidRDefault="009E0160" w:rsidP="003A3E15">
            <w:pPr>
              <w:rPr>
                <w:sz w:val="20"/>
                <w:szCs w:val="20"/>
              </w:rPr>
            </w:pPr>
            <w:r w:rsidRPr="00B50E42">
              <w:rPr>
                <w:sz w:val="20"/>
                <w:szCs w:val="20"/>
              </w:rPr>
              <w:t>431999</w:t>
            </w:r>
          </w:p>
        </w:tc>
        <w:tc>
          <w:tcPr>
            <w:tcW w:w="2858" w:type="dxa"/>
          </w:tcPr>
          <w:p w14:paraId="6E12E5C8" w14:textId="77777777" w:rsidR="009E0160" w:rsidRPr="00B50E42" w:rsidRDefault="009E0160" w:rsidP="003A3E15">
            <w:pPr>
              <w:rPr>
                <w:sz w:val="20"/>
                <w:szCs w:val="20"/>
              </w:rPr>
            </w:pPr>
            <w:r w:rsidRPr="00B50E42">
              <w:rPr>
                <w:sz w:val="20"/>
                <w:szCs w:val="20"/>
              </w:rPr>
              <w:t>5</w:t>
            </w:r>
          </w:p>
        </w:tc>
        <w:tc>
          <w:tcPr>
            <w:tcW w:w="3246" w:type="dxa"/>
          </w:tcPr>
          <w:p w14:paraId="66060D89" w14:textId="7DE84804" w:rsidR="009E0160" w:rsidRPr="00B50E42" w:rsidRDefault="009E0160" w:rsidP="003A3E15">
            <w:pPr>
              <w:rPr>
                <w:sz w:val="20"/>
                <w:szCs w:val="20"/>
              </w:rPr>
            </w:pPr>
            <w:r w:rsidRPr="00B50E42">
              <w:rPr>
                <w:sz w:val="20"/>
                <w:szCs w:val="20"/>
              </w:rPr>
              <w:t>Other Hospitality Workers (</w:t>
            </w:r>
            <w:proofErr w:type="spellStart"/>
            <w:r w:rsidR="0087166D">
              <w:rPr>
                <w:sz w:val="20"/>
                <w:szCs w:val="20"/>
              </w:rPr>
              <w:t>ne</w:t>
            </w:r>
            <w:r w:rsidRPr="00B50E42">
              <w:rPr>
                <w:sz w:val="20"/>
                <w:szCs w:val="20"/>
              </w:rPr>
              <w:t>c</w:t>
            </w:r>
            <w:proofErr w:type="spellEnd"/>
            <w:r w:rsidRPr="00B50E42">
              <w:rPr>
                <w:sz w:val="20"/>
                <w:szCs w:val="20"/>
              </w:rPr>
              <w:t xml:space="preserve">)* </w:t>
            </w:r>
          </w:p>
        </w:tc>
      </w:tr>
      <w:tr w:rsidR="009E0160" w14:paraId="46F85269" w14:textId="77777777" w:rsidTr="003A3E15">
        <w:trPr>
          <w:trHeight w:val="294"/>
        </w:trPr>
        <w:tc>
          <w:tcPr>
            <w:tcW w:w="3048" w:type="dxa"/>
          </w:tcPr>
          <w:p w14:paraId="30C15BCF" w14:textId="77777777" w:rsidR="009E0160" w:rsidRPr="00B50E42" w:rsidRDefault="009E0160" w:rsidP="003A3E15">
            <w:pPr>
              <w:rPr>
                <w:sz w:val="20"/>
                <w:szCs w:val="20"/>
              </w:rPr>
            </w:pPr>
            <w:r w:rsidRPr="00B50E42">
              <w:rPr>
                <w:sz w:val="20"/>
                <w:szCs w:val="20"/>
              </w:rPr>
              <w:t>851299</w:t>
            </w:r>
          </w:p>
        </w:tc>
        <w:tc>
          <w:tcPr>
            <w:tcW w:w="2858" w:type="dxa"/>
          </w:tcPr>
          <w:p w14:paraId="04EBEA25" w14:textId="77777777" w:rsidR="009E0160" w:rsidRPr="00B50E42" w:rsidRDefault="009E0160" w:rsidP="003A3E15">
            <w:pPr>
              <w:rPr>
                <w:sz w:val="20"/>
                <w:szCs w:val="20"/>
              </w:rPr>
            </w:pPr>
            <w:r w:rsidRPr="00B50E42">
              <w:rPr>
                <w:sz w:val="20"/>
                <w:szCs w:val="20"/>
              </w:rPr>
              <w:t>5</w:t>
            </w:r>
          </w:p>
        </w:tc>
        <w:tc>
          <w:tcPr>
            <w:tcW w:w="3246" w:type="dxa"/>
          </w:tcPr>
          <w:p w14:paraId="69824E07" w14:textId="531FB884" w:rsidR="009E0160" w:rsidRPr="00B50E42" w:rsidRDefault="009E0160" w:rsidP="003A3E15">
            <w:pPr>
              <w:rPr>
                <w:sz w:val="20"/>
                <w:szCs w:val="20"/>
              </w:rPr>
            </w:pPr>
            <w:r w:rsidRPr="00B50E42">
              <w:rPr>
                <w:sz w:val="20"/>
                <w:szCs w:val="20"/>
              </w:rPr>
              <w:t>Food Trades Assistant (</w:t>
            </w:r>
            <w:proofErr w:type="spellStart"/>
            <w:r w:rsidR="0087166D">
              <w:rPr>
                <w:sz w:val="20"/>
                <w:szCs w:val="20"/>
              </w:rPr>
              <w:t>n</w:t>
            </w:r>
            <w:r w:rsidRPr="00B50E42">
              <w:rPr>
                <w:sz w:val="20"/>
                <w:szCs w:val="20"/>
              </w:rPr>
              <w:t>ec</w:t>
            </w:r>
            <w:proofErr w:type="spellEnd"/>
            <w:r w:rsidRPr="00B50E42">
              <w:rPr>
                <w:sz w:val="20"/>
                <w:szCs w:val="20"/>
              </w:rPr>
              <w:t xml:space="preserve">)* </w:t>
            </w:r>
          </w:p>
        </w:tc>
      </w:tr>
    </w:tbl>
    <w:p w14:paraId="3F7E6741" w14:textId="77777777" w:rsidR="009E0160" w:rsidRPr="00ED170B" w:rsidRDefault="009E0160" w:rsidP="009E0160">
      <w:pPr>
        <w:rPr>
          <w:b/>
          <w:bCs/>
        </w:rPr>
      </w:pPr>
    </w:p>
    <w:p w14:paraId="6F4BEBAC" w14:textId="22731153" w:rsidR="009E0160" w:rsidRDefault="009E0160" w:rsidP="009E0160">
      <w:pPr>
        <w:rPr>
          <w:rFonts w:ascii="Calibri" w:eastAsia="Times New Roman" w:hAnsi="Calibri" w:cs="Calibri"/>
          <w:color w:val="000000"/>
          <w:lang w:eastAsia="en-AU"/>
        </w:rPr>
      </w:pPr>
      <w:r w:rsidRPr="005667B1">
        <w:rPr>
          <w:rFonts w:ascii="Calibri" w:eastAsia="Times New Roman" w:hAnsi="Calibri" w:cs="Calibri"/>
          <w:b/>
          <w:bCs/>
          <w:color w:val="000000"/>
          <w:lang w:eastAsia="en-AU"/>
        </w:rPr>
        <w:t>Required qualifications and work experience:</w:t>
      </w:r>
      <w:r>
        <w:rPr>
          <w:rFonts w:ascii="Calibri" w:eastAsia="Times New Roman" w:hAnsi="Calibri" w:cs="Calibri"/>
          <w:b/>
          <w:bCs/>
          <w:color w:val="000000"/>
          <w:lang w:eastAsia="en-AU"/>
        </w:rPr>
        <w:t xml:space="preserve"> </w:t>
      </w:r>
      <w:r w:rsidR="009072D7" w:rsidRPr="009072D7">
        <w:rPr>
          <w:rFonts w:ascii="Calibri" w:eastAsia="Times New Roman" w:hAnsi="Calibri" w:cs="Calibri"/>
          <w:color w:val="000000"/>
          <w:lang w:eastAsia="en-AU"/>
        </w:rPr>
        <w:t xml:space="preserve">Have at least a relevant AQF or equivalent Certificate I OR have at least one (1) year (35+ </w:t>
      </w:r>
      <w:proofErr w:type="spellStart"/>
      <w:r w:rsidR="009072D7" w:rsidRPr="009072D7">
        <w:rPr>
          <w:rFonts w:ascii="Calibri" w:eastAsia="Times New Roman" w:hAnsi="Calibri" w:cs="Calibri"/>
          <w:color w:val="000000"/>
          <w:lang w:eastAsia="en-AU"/>
        </w:rPr>
        <w:t>hpw</w:t>
      </w:r>
      <w:proofErr w:type="spellEnd"/>
      <w:r w:rsidR="009072D7" w:rsidRPr="009072D7">
        <w:rPr>
          <w:rFonts w:ascii="Calibri" w:eastAsia="Times New Roman" w:hAnsi="Calibri" w:cs="Calibri"/>
          <w:color w:val="000000"/>
          <w:lang w:eastAsia="en-AU"/>
        </w:rPr>
        <w:t>) relevant work experience if applying for a TSS or SESR visa; the visa applicant must undergo a skills assessment by the relevant Skills Assessing Authority (as specified in the Labour Agreement)</w:t>
      </w:r>
    </w:p>
    <w:p w14:paraId="6A316876" w14:textId="77777777" w:rsidR="0087166D" w:rsidRDefault="009E0160" w:rsidP="0087166D">
      <w:pPr>
        <w:rPr>
          <w:rFonts w:ascii="Calibri" w:eastAsia="Times New Roman" w:hAnsi="Calibri" w:cs="Calibri"/>
          <w:color w:val="000000"/>
          <w:lang w:eastAsia="en-AU"/>
        </w:rPr>
      </w:pPr>
      <w:r w:rsidRPr="00EC48B6">
        <w:rPr>
          <w:rFonts w:ascii="Calibri" w:eastAsia="Times New Roman" w:hAnsi="Calibri" w:cs="Calibri"/>
          <w:b/>
          <w:bCs/>
          <w:color w:val="000000"/>
          <w:lang w:eastAsia="en-AU"/>
        </w:rPr>
        <w:t>English language concession:</w:t>
      </w:r>
      <w:r>
        <w:rPr>
          <w:rFonts w:ascii="Calibri" w:eastAsia="Times New Roman" w:hAnsi="Calibri" w:cs="Calibri"/>
          <w:b/>
          <w:bCs/>
          <w:color w:val="000000"/>
          <w:lang w:eastAsia="en-AU"/>
        </w:rPr>
        <w:t xml:space="preserve"> </w:t>
      </w:r>
      <w:r w:rsidR="0087166D" w:rsidRPr="0043259A">
        <w:rPr>
          <w:rFonts w:ascii="Calibri" w:eastAsia="Times New Roman" w:hAnsi="Calibri" w:cs="Calibri"/>
          <w:color w:val="000000"/>
          <w:lang w:eastAsia="en-AU"/>
        </w:rPr>
        <w:t>Average of 5.0 for IELTS with speaking and listening components no less than 4.0</w:t>
      </w:r>
    </w:p>
    <w:p w14:paraId="7B405F56" w14:textId="02F67719" w:rsidR="009E0160" w:rsidRPr="001A322F" w:rsidRDefault="009E0160" w:rsidP="0087166D">
      <w:pPr>
        <w:sectPr w:rsidR="009E0160" w:rsidRPr="001A322F" w:rsidSect="009D635E">
          <w:pgSz w:w="11906" w:h="16838"/>
          <w:pgMar w:top="1440" w:right="1440" w:bottom="1440" w:left="1440" w:header="708" w:footer="708" w:gutter="0"/>
          <w:cols w:space="708"/>
          <w:docGrid w:linePitch="360"/>
        </w:sectPr>
      </w:pPr>
      <w:r w:rsidRPr="001A322F">
        <w:rPr>
          <w:b/>
          <w:bCs/>
        </w:rPr>
        <w:t xml:space="preserve">Notes: </w:t>
      </w:r>
      <w:r w:rsidRPr="001A322F">
        <w:t xml:space="preserve">10% TSMIT concession and pathway to permanency available for all; *excludes </w:t>
      </w:r>
      <w:proofErr w:type="gramStart"/>
      <w:r w:rsidRPr="001A322F">
        <w:t>Cairns</w:t>
      </w:r>
      <w:proofErr w:type="gramEnd"/>
      <w:r w:rsidRPr="001A322F">
        <w:t xml:space="preserve"> metro.</w:t>
      </w:r>
    </w:p>
    <w:p w14:paraId="5C5F4EF7" w14:textId="48FCE04A" w:rsidR="00767168" w:rsidRDefault="00767168" w:rsidP="00767168">
      <w:pPr>
        <w:pStyle w:val="Heading1"/>
        <w:spacing w:before="0"/>
        <w:rPr>
          <w:b/>
          <w:bCs/>
        </w:rPr>
      </w:pPr>
      <w:r w:rsidRPr="00D70444">
        <w:rPr>
          <w:b/>
          <w:bCs/>
        </w:rPr>
        <w:lastRenderedPageBreak/>
        <w:t xml:space="preserve">Annex </w:t>
      </w:r>
      <w:r>
        <w:rPr>
          <w:b/>
          <w:bCs/>
        </w:rPr>
        <w:t>5</w:t>
      </w:r>
      <w:r w:rsidRPr="00D70444">
        <w:rPr>
          <w:b/>
          <w:bCs/>
        </w:rPr>
        <w:t xml:space="preserve">: </w:t>
      </w:r>
      <w:r>
        <w:rPr>
          <w:b/>
          <w:bCs/>
        </w:rPr>
        <w:t>Direct-to-TSS Trades Fact Sheet</w:t>
      </w:r>
      <w:bookmarkEnd w:id="40"/>
    </w:p>
    <w:p w14:paraId="4F653EE2" w14:textId="77777777" w:rsidR="00767168" w:rsidRDefault="00767168" w:rsidP="00767168">
      <w:pPr>
        <w:rPr>
          <w:b/>
          <w:bCs/>
          <w:sz w:val="28"/>
          <w:szCs w:val="28"/>
        </w:rPr>
      </w:pPr>
    </w:p>
    <w:p w14:paraId="7A2A462E" w14:textId="77777777" w:rsidR="00767168" w:rsidRPr="0081237F" w:rsidRDefault="00767168" w:rsidP="00767168">
      <w:pPr>
        <w:jc w:val="center"/>
        <w:rPr>
          <w:b/>
          <w:bCs/>
          <w:sz w:val="28"/>
          <w:szCs w:val="28"/>
        </w:rPr>
      </w:pPr>
      <w:r w:rsidRPr="0081237F">
        <w:rPr>
          <w:b/>
          <w:bCs/>
          <w:sz w:val="28"/>
          <w:szCs w:val="28"/>
        </w:rPr>
        <w:t>Promoting Pacific Participation in the TSS</w:t>
      </w:r>
    </w:p>
    <w:p w14:paraId="42D349FF" w14:textId="77777777" w:rsidR="00767168" w:rsidRPr="0081237F" w:rsidRDefault="00767168" w:rsidP="00767168">
      <w:pPr>
        <w:jc w:val="center"/>
        <w:rPr>
          <w:b/>
          <w:bCs/>
          <w:sz w:val="28"/>
          <w:szCs w:val="28"/>
        </w:rPr>
      </w:pPr>
      <w:r>
        <w:rPr>
          <w:b/>
          <w:bCs/>
          <w:sz w:val="28"/>
          <w:szCs w:val="28"/>
        </w:rPr>
        <w:t xml:space="preserve">Trades: direct-to-TSS pathway </w:t>
      </w:r>
    </w:p>
    <w:p w14:paraId="3ECA9C12" w14:textId="77777777" w:rsidR="00767168" w:rsidRPr="0081237F" w:rsidRDefault="00767168" w:rsidP="00767168">
      <w:pPr>
        <w:jc w:val="center"/>
        <w:rPr>
          <w:b/>
          <w:bCs/>
          <w:sz w:val="28"/>
          <w:szCs w:val="28"/>
        </w:rPr>
      </w:pPr>
      <w:r w:rsidRPr="0081237F">
        <w:rPr>
          <w:b/>
          <w:bCs/>
          <w:sz w:val="28"/>
          <w:szCs w:val="28"/>
        </w:rPr>
        <w:t>Fact</w:t>
      </w:r>
      <w:r>
        <w:rPr>
          <w:b/>
          <w:bCs/>
          <w:sz w:val="28"/>
          <w:szCs w:val="28"/>
        </w:rPr>
        <w:t xml:space="preserve"> </w:t>
      </w:r>
      <w:r w:rsidRPr="0081237F">
        <w:rPr>
          <w:b/>
          <w:bCs/>
          <w:sz w:val="28"/>
          <w:szCs w:val="28"/>
        </w:rPr>
        <w:t>sheet</w:t>
      </w:r>
    </w:p>
    <w:p w14:paraId="7DD22F9C" w14:textId="77777777" w:rsidR="00767168" w:rsidRDefault="00767168" w:rsidP="00767168">
      <w:pPr>
        <w:jc w:val="both"/>
        <w:rPr>
          <w:rStyle w:val="markedcontent"/>
        </w:rPr>
      </w:pPr>
      <w:r>
        <w:rPr>
          <w:rStyle w:val="markedcontent"/>
        </w:rPr>
        <w:t xml:space="preserve">As part of the Pacific Step-Up, the Department of Foreign Affairs and Trade is promoting Pacific participation in Australia’s Temporary Skill Shortage (TSS) visa. </w:t>
      </w:r>
    </w:p>
    <w:p w14:paraId="765B1784" w14:textId="50FFCD5D" w:rsidR="004353B3" w:rsidRDefault="00767168" w:rsidP="004353B3">
      <w:pPr>
        <w:spacing w:after="0"/>
        <w:jc w:val="both"/>
        <w:rPr>
          <w:rStyle w:val="markedcontent"/>
        </w:rPr>
      </w:pPr>
      <w:r>
        <w:t>This fact sheet spells out the opportunities for employers to hire workers in the trades, direct from the Pacific, under the TSS.</w:t>
      </w:r>
      <w:r w:rsidR="00676441">
        <w:t xml:space="preserve"> </w:t>
      </w:r>
      <w:r w:rsidR="004353B3">
        <w:t xml:space="preserve">It </w:t>
      </w:r>
      <w:r w:rsidR="004353B3" w:rsidRPr="004F058F">
        <w:rPr>
          <w:rStyle w:val="markedcontent"/>
        </w:rPr>
        <w:t xml:space="preserve">should be read in conjunction with official Home Affairs information. </w:t>
      </w:r>
      <w:r w:rsidR="004353B3">
        <w:rPr>
          <w:rStyle w:val="markedcontent"/>
        </w:rPr>
        <w:t xml:space="preserve">This document </w:t>
      </w:r>
      <w:r w:rsidR="004353B3" w:rsidRPr="004F058F">
        <w:rPr>
          <w:rStyle w:val="markedcontent"/>
        </w:rPr>
        <w:t xml:space="preserve">represents the best efforts of the </w:t>
      </w:r>
      <w:proofErr w:type="gramStart"/>
      <w:r w:rsidR="004353B3" w:rsidRPr="004F058F">
        <w:rPr>
          <w:rStyle w:val="markedcontent"/>
        </w:rPr>
        <w:t>authors, but</w:t>
      </w:r>
      <w:proofErr w:type="gramEnd"/>
      <w:r w:rsidR="004353B3" w:rsidRPr="004F058F">
        <w:rPr>
          <w:rStyle w:val="markedcontent"/>
        </w:rPr>
        <w:t xml:space="preserve"> note that information can become quickly out of date, and the information presented </w:t>
      </w:r>
      <w:r w:rsidR="004353B3">
        <w:rPr>
          <w:rStyle w:val="markedcontent"/>
        </w:rPr>
        <w:t xml:space="preserve">herein </w:t>
      </w:r>
      <w:r w:rsidR="004353B3" w:rsidRPr="004F058F">
        <w:rPr>
          <w:rStyle w:val="markedcontent"/>
        </w:rPr>
        <w:t>should only be used as a guide for and stimulus to further investigation, and should not replace reliance on official information</w:t>
      </w:r>
      <w:r w:rsidR="004353B3">
        <w:rPr>
          <w:rStyle w:val="markedcontent"/>
        </w:rPr>
        <w:t>.</w:t>
      </w:r>
    </w:p>
    <w:p w14:paraId="0379620C" w14:textId="77777777" w:rsidR="00767168" w:rsidRDefault="00767168" w:rsidP="00767168"/>
    <w:bookmarkEnd w:id="41"/>
    <w:p w14:paraId="62B308E6" w14:textId="1B80CB8D" w:rsidR="00767168" w:rsidRPr="004353B3" w:rsidRDefault="004353B3" w:rsidP="004353B3">
      <w:pPr>
        <w:rPr>
          <w:b/>
          <w:bCs/>
        </w:rPr>
      </w:pPr>
      <w:r>
        <w:rPr>
          <w:b/>
          <w:bCs/>
        </w:rPr>
        <w:t xml:space="preserve">(a) </w:t>
      </w:r>
      <w:r w:rsidR="00767168" w:rsidRPr="004353B3">
        <w:rPr>
          <w:b/>
          <w:bCs/>
        </w:rPr>
        <w:t>Summary</w:t>
      </w:r>
    </w:p>
    <w:p w14:paraId="096955A5" w14:textId="30CBDF6C" w:rsidR="00767168" w:rsidRPr="00411B75" w:rsidRDefault="00767168" w:rsidP="00767168">
      <w:pPr>
        <w:jc w:val="both"/>
        <w:rPr>
          <w:b/>
          <w:bCs/>
        </w:rPr>
      </w:pPr>
      <w:r>
        <w:t xml:space="preserve">Although Australian employers have not traditionally hired offshore in the Pacific, given the </w:t>
      </w:r>
      <w:r w:rsidR="00355C95">
        <w:t xml:space="preserve">substantial investment in skills upgrading by </w:t>
      </w:r>
      <w:r w:rsidR="00EB461E">
        <w:t xml:space="preserve">DFAT through </w:t>
      </w:r>
      <w:r>
        <w:t xml:space="preserve">the Australia Pacific Training Coalition (APTC) and its strong labour-mobility mandate, there is an opportunity for </w:t>
      </w:r>
      <w:r w:rsidR="00C35D71">
        <w:t xml:space="preserve">many </w:t>
      </w:r>
      <w:r>
        <w:t xml:space="preserve">Pacific </w:t>
      </w:r>
      <w:proofErr w:type="gramStart"/>
      <w:r>
        <w:t>trades</w:t>
      </w:r>
      <w:proofErr w:type="gramEnd"/>
      <w:r>
        <w:t xml:space="preserve"> workers</w:t>
      </w:r>
      <w:r w:rsidR="00C35D71">
        <w:t>, who now have Australian qualifications,</w:t>
      </w:r>
      <w:r>
        <w:t xml:space="preserve"> to be hired by Australian employers under the TSS.</w:t>
      </w:r>
    </w:p>
    <w:p w14:paraId="2907589C" w14:textId="77777777" w:rsidR="00767168" w:rsidRPr="00D33EA4" w:rsidRDefault="00767168" w:rsidP="00767168">
      <w:pPr>
        <w:rPr>
          <w:b/>
          <w:bCs/>
        </w:rPr>
      </w:pPr>
      <w:r w:rsidRPr="00D33EA4">
        <w:rPr>
          <w:b/>
          <w:bCs/>
        </w:rPr>
        <w:t xml:space="preserve"> (b) Opportunity</w:t>
      </w:r>
    </w:p>
    <w:p w14:paraId="19DF1EF5" w14:textId="39658EE8" w:rsidR="00767168" w:rsidRDefault="00767168" w:rsidP="00767168">
      <w:pPr>
        <w:pStyle w:val="ListParagraph"/>
        <w:numPr>
          <w:ilvl w:val="0"/>
          <w:numId w:val="30"/>
        </w:numPr>
        <w:jc w:val="both"/>
      </w:pPr>
      <w:r>
        <w:t>Trade-based occupations eligible for a TSS visa and</w:t>
      </w:r>
      <w:r w:rsidR="004850DE">
        <w:t xml:space="preserve">, </w:t>
      </w:r>
      <w:r>
        <w:t>prior to COVID</w:t>
      </w:r>
      <w:r w:rsidR="00D12914">
        <w:t>-19</w:t>
      </w:r>
      <w:r w:rsidR="00551A82">
        <w:t xml:space="preserve">, </w:t>
      </w:r>
      <w:r>
        <w:t xml:space="preserve">in demand in Australia </w:t>
      </w:r>
      <w:proofErr w:type="gramStart"/>
      <w:r w:rsidR="00551A82">
        <w:t>were</w:t>
      </w:r>
      <w:r>
        <w:t>:</w:t>
      </w:r>
      <w:proofErr w:type="gramEnd"/>
      <w:r>
        <w:t xml:space="preserve"> </w:t>
      </w:r>
      <w:r w:rsidR="00E930F4">
        <w:rPr>
          <w:rFonts w:cstheme="minorHAnsi"/>
        </w:rPr>
        <w:t>m</w:t>
      </w:r>
      <w:r w:rsidRPr="007A7CDC">
        <w:rPr>
          <w:rFonts w:cstheme="minorHAnsi"/>
        </w:rPr>
        <w:t>otor mechanic (general) (ANZSCO 321211); diesel motor mechanic (321212)</w:t>
      </w:r>
      <w:r w:rsidR="00E930F4" w:rsidRPr="007A7CDC">
        <w:rPr>
          <w:rFonts w:cstheme="minorHAnsi"/>
        </w:rPr>
        <w:t>;</w:t>
      </w:r>
      <w:r>
        <w:rPr>
          <w:rStyle w:val="FootnoteReference"/>
          <w:rFonts w:cstheme="minorHAnsi"/>
        </w:rPr>
        <w:footnoteReference w:id="22"/>
      </w:r>
      <w:r w:rsidRPr="007A7CDC">
        <w:rPr>
          <w:rFonts w:cstheme="minorHAnsi"/>
        </w:rPr>
        <w:t xml:space="preserve"> sheetmetal trades worker (322211); metal fabricator (322311); fitter (general) (323211); carpenter (331212); painting trades worker (332211); wall and floor tiler (333411); plumber (general) (33411); electrician (general) (341111); air-conditioning and refrigeration mechanic (342111)</w:t>
      </w:r>
      <w:r w:rsidR="00E930F4">
        <w:rPr>
          <w:rFonts w:cstheme="minorHAnsi"/>
        </w:rPr>
        <w:t>;</w:t>
      </w:r>
      <w:r w:rsidRPr="007A7CDC">
        <w:rPr>
          <w:rFonts w:cstheme="minorHAnsi"/>
        </w:rPr>
        <w:t xml:space="preserve"> and </w:t>
      </w:r>
      <w:r w:rsidR="00E930F4">
        <w:rPr>
          <w:rFonts w:cstheme="minorHAnsi"/>
        </w:rPr>
        <w:t>c</w:t>
      </w:r>
      <w:r w:rsidRPr="007A7CDC">
        <w:rPr>
          <w:rFonts w:cstheme="minorHAnsi"/>
        </w:rPr>
        <w:t xml:space="preserve">ook </w:t>
      </w:r>
      <w:r>
        <w:t xml:space="preserve">(351411). </w:t>
      </w:r>
    </w:p>
    <w:p w14:paraId="1FB35F05" w14:textId="5CA0D615" w:rsidR="00767168" w:rsidRDefault="00767168" w:rsidP="00767168">
      <w:pPr>
        <w:pStyle w:val="ListParagraph"/>
        <w:numPr>
          <w:ilvl w:val="0"/>
          <w:numId w:val="30"/>
        </w:numPr>
        <w:jc w:val="both"/>
      </w:pPr>
      <w:r>
        <w:t xml:space="preserve">The APTC has produced over </w:t>
      </w:r>
      <w:r w:rsidR="00E930F4">
        <w:t xml:space="preserve">the past </w:t>
      </w:r>
      <w:r>
        <w:t xml:space="preserve">decade </w:t>
      </w:r>
      <w:r w:rsidR="00C35D71">
        <w:t>a substantial number of</w:t>
      </w:r>
      <w:r>
        <w:t xml:space="preserve"> graduates with qualifications that match these occupations. However, the evidence from graduate tracer surveys shows that they are finding it increasingly difficult to find work in the Pacific.</w:t>
      </w:r>
      <w:r>
        <w:rPr>
          <w:rStyle w:val="FootnoteReference"/>
        </w:rPr>
        <w:footnoteReference w:id="23"/>
      </w:r>
    </w:p>
    <w:p w14:paraId="3F50F744" w14:textId="65D63CC3" w:rsidR="00767168" w:rsidRDefault="00767168" w:rsidP="00767168">
      <w:pPr>
        <w:pStyle w:val="ListParagraph"/>
        <w:numPr>
          <w:ilvl w:val="0"/>
          <w:numId w:val="30"/>
        </w:numPr>
        <w:jc w:val="both"/>
      </w:pPr>
      <w:r>
        <w:t xml:space="preserve">These </w:t>
      </w:r>
      <w:r w:rsidR="000C3DD8">
        <w:t>trades</w:t>
      </w:r>
      <w:r w:rsidR="00E930F4">
        <w:t>-</w:t>
      </w:r>
      <w:r w:rsidR="000C3DD8">
        <w:t xml:space="preserve">qualified skilled </w:t>
      </w:r>
      <w:r>
        <w:t>workers could be hired into the TSS from offshore.</w:t>
      </w:r>
    </w:p>
    <w:p w14:paraId="202ACB3D" w14:textId="77777777" w:rsidR="00767168" w:rsidRPr="00D33EA4" w:rsidRDefault="00767168" w:rsidP="00767168">
      <w:pPr>
        <w:rPr>
          <w:b/>
          <w:bCs/>
        </w:rPr>
      </w:pPr>
      <w:r w:rsidRPr="00D33EA4">
        <w:rPr>
          <w:b/>
          <w:bCs/>
        </w:rPr>
        <w:t xml:space="preserve">(c) Pathway </w:t>
      </w:r>
    </w:p>
    <w:p w14:paraId="24C3AD57" w14:textId="4F9B911A" w:rsidR="00767168" w:rsidRDefault="00767168" w:rsidP="00767168">
      <w:pPr>
        <w:pStyle w:val="ListParagraph"/>
        <w:numPr>
          <w:ilvl w:val="0"/>
          <w:numId w:val="32"/>
        </w:numPr>
        <w:jc w:val="both"/>
      </w:pPr>
      <w:proofErr w:type="gramStart"/>
      <w:r>
        <w:t>Trades</w:t>
      </w:r>
      <w:proofErr w:type="gramEnd"/>
      <w:r>
        <w:t xml:space="preserve"> workers can be recruited to work in Australia by regional employers through the PLS and then invited to apply for the TSS visa. However, this fact sheet focus</w:t>
      </w:r>
      <w:r w:rsidR="007C197F">
        <w:t>es</w:t>
      </w:r>
      <w:r>
        <w:t xml:space="preserve"> on employers hiring directly from the Pacific via the TSS. The prerequisites discussed below would also apply for PLS-to-TSS transitions. </w:t>
      </w:r>
    </w:p>
    <w:p w14:paraId="01DDB5B4" w14:textId="20C6CF65" w:rsidR="00767168" w:rsidRDefault="00767168" w:rsidP="00767168">
      <w:pPr>
        <w:pStyle w:val="ListParagraph"/>
        <w:numPr>
          <w:ilvl w:val="0"/>
          <w:numId w:val="32"/>
        </w:numPr>
        <w:jc w:val="both"/>
      </w:pPr>
      <w:r>
        <w:t>For employers to recruit via the TSS visa, the occupations must be on the eligible occupation lists of either the TSS short</w:t>
      </w:r>
      <w:r w:rsidR="00E930F4">
        <w:t>-</w:t>
      </w:r>
      <w:r>
        <w:t>term or TSS medium</w:t>
      </w:r>
      <w:r w:rsidR="00E930F4">
        <w:t>-</w:t>
      </w:r>
      <w:r>
        <w:t xml:space="preserve">term streams. The above listed trade-based </w:t>
      </w:r>
      <w:r>
        <w:lastRenderedPageBreak/>
        <w:t>occupations, except for cooks, are all on the Medium and Long-Term Strategic Skills List (MTSOL).</w:t>
      </w:r>
      <w:r w:rsidR="00E43C06">
        <w:t xml:space="preserve"> </w:t>
      </w:r>
      <w:r>
        <w:t xml:space="preserve">Cooks are on the short-term list. This means that, except for cooks, successful applicants are eligible for a four-year visa and have access to a pathway to permanent residence. </w:t>
      </w:r>
    </w:p>
    <w:p w14:paraId="31907EBA" w14:textId="77777777" w:rsidR="00767168" w:rsidRPr="00D33EA4" w:rsidRDefault="00767168" w:rsidP="00767168">
      <w:pPr>
        <w:jc w:val="both"/>
        <w:rPr>
          <w:b/>
        </w:rPr>
      </w:pPr>
      <w:bookmarkStart w:id="42" w:name="_Toc85395323"/>
      <w:r w:rsidRPr="00D33EA4">
        <w:rPr>
          <w:b/>
        </w:rPr>
        <w:t>(d) Prerequisites</w:t>
      </w:r>
      <w:bookmarkEnd w:id="42"/>
    </w:p>
    <w:p w14:paraId="0F5A723A" w14:textId="7EE26E49" w:rsidR="00767168" w:rsidRPr="006E40F6" w:rsidRDefault="00767168" w:rsidP="00767168">
      <w:pPr>
        <w:pStyle w:val="ListParagraph"/>
        <w:numPr>
          <w:ilvl w:val="0"/>
          <w:numId w:val="16"/>
        </w:numPr>
        <w:jc w:val="both"/>
        <w:rPr>
          <w:rStyle w:val="markedcontent"/>
        </w:rPr>
      </w:pPr>
      <w:r w:rsidRPr="006E40F6">
        <w:rPr>
          <w:rStyle w:val="markedcontent"/>
          <w:b/>
          <w:bCs/>
        </w:rPr>
        <w:t>Skills:</w:t>
      </w:r>
      <w:r w:rsidR="00676441">
        <w:rPr>
          <w:rStyle w:val="markedcontent"/>
        </w:rPr>
        <w:t xml:space="preserve"> </w:t>
      </w:r>
      <w:r w:rsidRPr="006E40F6">
        <w:rPr>
          <w:rFonts w:cstheme="minorHAnsi"/>
        </w:rPr>
        <w:t xml:space="preserve">Qualification and work experience requirements are set out </w:t>
      </w:r>
      <w:hyperlink r:id="rId46" w:history="1">
        <w:r w:rsidR="004353B3" w:rsidRPr="004353B3">
          <w:rPr>
            <w:rStyle w:val="Hyperlink"/>
            <w:rFonts w:cstheme="minorHAnsi"/>
          </w:rPr>
          <w:t>here</w:t>
        </w:r>
      </w:hyperlink>
      <w:r w:rsidR="004353B3">
        <w:rPr>
          <w:rFonts w:cstheme="minorHAnsi"/>
        </w:rPr>
        <w:t xml:space="preserve"> and </w:t>
      </w:r>
      <w:hyperlink r:id="rId47" w:history="1">
        <w:r w:rsidRPr="004353B3">
          <w:rPr>
            <w:rStyle w:val="Hyperlink"/>
            <w:rFonts w:cstheme="minorHAnsi"/>
          </w:rPr>
          <w:t>here</w:t>
        </w:r>
      </w:hyperlink>
      <w:r w:rsidRPr="006E40F6">
        <w:rPr>
          <w:rFonts w:cstheme="minorHAnsi"/>
        </w:rPr>
        <w:t xml:space="preserve"> by </w:t>
      </w:r>
      <w:r>
        <w:rPr>
          <w:rFonts w:cstheme="minorHAnsi"/>
        </w:rPr>
        <w:t xml:space="preserve">the </w:t>
      </w:r>
      <w:r w:rsidRPr="006E40F6">
        <w:rPr>
          <w:rFonts w:cstheme="minorHAnsi"/>
        </w:rPr>
        <w:t>Department of Home Affairs. They typically start at Skill Level 3 level with occupations that require a trade-level qualification and matching work experience. These trade-based occupations match the top-up Australian</w:t>
      </w:r>
      <w:r w:rsidR="00E930F4">
        <w:rPr>
          <w:rFonts w:cstheme="minorHAnsi"/>
        </w:rPr>
        <w:t>-</w:t>
      </w:r>
      <w:r w:rsidRPr="006E40F6">
        <w:rPr>
          <w:rFonts w:cstheme="minorHAnsi"/>
        </w:rPr>
        <w:t>recognised qualifications awarded by ATPC based on a 22-week course</w:t>
      </w:r>
      <w:r>
        <w:rPr>
          <w:rFonts w:cstheme="minorHAnsi"/>
        </w:rPr>
        <w:t xml:space="preserve">. </w:t>
      </w:r>
      <w:r w:rsidR="00E930F4">
        <w:rPr>
          <w:rFonts w:cstheme="minorHAnsi"/>
        </w:rPr>
        <w:t>T</w:t>
      </w:r>
      <w:r>
        <w:rPr>
          <w:rFonts w:cstheme="minorHAnsi"/>
        </w:rPr>
        <w:t xml:space="preserve">his top-up qualification requires that </w:t>
      </w:r>
      <w:r w:rsidRPr="006E40F6">
        <w:rPr>
          <w:rFonts w:cstheme="minorHAnsi"/>
        </w:rPr>
        <w:t>the graduate also has a domestic trade qualification (usually based on a three</w:t>
      </w:r>
      <w:r w:rsidR="00E930F4">
        <w:rPr>
          <w:rFonts w:cstheme="minorHAnsi"/>
        </w:rPr>
        <w:t>-</w:t>
      </w:r>
      <w:r w:rsidRPr="006E40F6">
        <w:rPr>
          <w:rFonts w:cstheme="minorHAnsi"/>
        </w:rPr>
        <w:t xml:space="preserve"> or four-year apprenticeship) and relevant work experience. No practical skills test is needed for Australian</w:t>
      </w:r>
      <w:r w:rsidR="00E930F4">
        <w:rPr>
          <w:rFonts w:cstheme="minorHAnsi"/>
        </w:rPr>
        <w:t>-</w:t>
      </w:r>
      <w:r w:rsidRPr="006E40F6">
        <w:rPr>
          <w:rFonts w:cstheme="minorHAnsi"/>
        </w:rPr>
        <w:t xml:space="preserve">recognised qualifications to meet the </w:t>
      </w:r>
      <w:r>
        <w:rPr>
          <w:rFonts w:cstheme="minorHAnsi"/>
        </w:rPr>
        <w:t xml:space="preserve">TSS </w:t>
      </w:r>
      <w:r w:rsidRPr="006E40F6">
        <w:rPr>
          <w:rFonts w:cstheme="minorHAnsi"/>
        </w:rPr>
        <w:t>assessment requirements for immigration purposes; however, a technical interview is still required.</w:t>
      </w:r>
      <w:r>
        <w:rPr>
          <w:rStyle w:val="FootnoteReference"/>
          <w:rFonts w:cstheme="minorHAnsi"/>
        </w:rPr>
        <w:footnoteReference w:id="24"/>
      </w:r>
      <w:r w:rsidRPr="001B269D">
        <w:rPr>
          <w:rFonts w:ascii="Cambria" w:hAnsi="Cambria"/>
        </w:rPr>
        <w:t xml:space="preserve"> </w:t>
      </w:r>
    </w:p>
    <w:p w14:paraId="1BDCDE95" w14:textId="6EB78A47" w:rsidR="00767168" w:rsidRDefault="00767168" w:rsidP="00767168">
      <w:pPr>
        <w:pStyle w:val="ListParagraph"/>
        <w:numPr>
          <w:ilvl w:val="0"/>
          <w:numId w:val="16"/>
        </w:numPr>
        <w:jc w:val="both"/>
        <w:rPr>
          <w:rFonts w:cstheme="minorHAnsi"/>
        </w:rPr>
      </w:pPr>
      <w:r w:rsidRPr="00DF2E99">
        <w:rPr>
          <w:rStyle w:val="markedcontent"/>
          <w:rFonts w:cstheme="minorHAnsi"/>
          <w:b/>
          <w:bCs/>
        </w:rPr>
        <w:t>Experience</w:t>
      </w:r>
      <w:r w:rsidRPr="00920F60">
        <w:rPr>
          <w:rStyle w:val="markedcontent"/>
          <w:rFonts w:cstheme="minorHAnsi"/>
          <w:b/>
          <w:bCs/>
        </w:rPr>
        <w:t>:</w:t>
      </w:r>
      <w:r w:rsidRPr="00DF2E99">
        <w:rPr>
          <w:rStyle w:val="markedcontent"/>
          <w:rFonts w:cstheme="minorHAnsi"/>
        </w:rPr>
        <w:t xml:space="preserve"> </w:t>
      </w:r>
      <w:r w:rsidRPr="00DF2E99">
        <w:rPr>
          <w:rFonts w:cstheme="minorHAnsi"/>
        </w:rPr>
        <w:t>At least three years relevant employment experience in that occupation with relevant formal training that</w:t>
      </w:r>
      <w:r>
        <w:rPr>
          <w:rFonts w:cstheme="minorHAnsi"/>
        </w:rPr>
        <w:t xml:space="preserve"> </w:t>
      </w:r>
      <w:r w:rsidRPr="00DF2E99">
        <w:rPr>
          <w:rFonts w:cstheme="minorHAnsi"/>
        </w:rPr>
        <w:t>aligns with the</w:t>
      </w:r>
      <w:r>
        <w:rPr>
          <w:rFonts w:cstheme="minorHAnsi"/>
        </w:rPr>
        <w:t xml:space="preserve"> </w:t>
      </w:r>
      <w:r w:rsidRPr="00DF2E99">
        <w:rPr>
          <w:rFonts w:cstheme="minorHAnsi"/>
        </w:rPr>
        <w:t xml:space="preserve">national training standards </w:t>
      </w:r>
      <w:r>
        <w:rPr>
          <w:rFonts w:cstheme="minorHAnsi"/>
        </w:rPr>
        <w:t>of the applicant’s</w:t>
      </w:r>
      <w:r w:rsidR="00676441">
        <w:rPr>
          <w:rFonts w:cstheme="minorHAnsi"/>
        </w:rPr>
        <w:t xml:space="preserve"> </w:t>
      </w:r>
      <w:r w:rsidRPr="00DF2E99">
        <w:rPr>
          <w:rFonts w:cstheme="minorHAnsi"/>
        </w:rPr>
        <w:t>country of training</w:t>
      </w:r>
      <w:r>
        <w:rPr>
          <w:rFonts w:cstheme="minorHAnsi"/>
        </w:rPr>
        <w:t xml:space="preserve"> </w:t>
      </w:r>
      <w:r w:rsidRPr="00DF2E99">
        <w:rPr>
          <w:rFonts w:cstheme="minorHAnsi"/>
        </w:rPr>
        <w:t>(e</w:t>
      </w:r>
      <w:r w:rsidR="004353B3">
        <w:rPr>
          <w:rFonts w:cstheme="minorHAnsi"/>
        </w:rPr>
        <w:t>.</w:t>
      </w:r>
      <w:r w:rsidRPr="00DF2E99">
        <w:rPr>
          <w:rFonts w:cstheme="minorHAnsi"/>
        </w:rPr>
        <w:t>g</w:t>
      </w:r>
      <w:r w:rsidR="004353B3">
        <w:rPr>
          <w:rFonts w:cstheme="minorHAnsi"/>
        </w:rPr>
        <w:t>.,</w:t>
      </w:r>
      <w:r w:rsidRPr="00DF2E99">
        <w:rPr>
          <w:rFonts w:cstheme="minorHAnsi"/>
        </w:rPr>
        <w:t xml:space="preserve"> </w:t>
      </w:r>
      <w:hyperlink r:id="rId48" w:history="1">
        <w:r w:rsidRPr="003F35D4">
          <w:rPr>
            <w:rStyle w:val="Hyperlink"/>
          </w:rPr>
          <w:t>carpenter</w:t>
        </w:r>
      </w:hyperlink>
      <w:r>
        <w:t xml:space="preserve"> </w:t>
      </w:r>
      <w:r w:rsidRPr="00DF2E99">
        <w:rPr>
          <w:rFonts w:cstheme="minorHAnsi"/>
        </w:rPr>
        <w:t xml:space="preserve">or </w:t>
      </w:r>
      <w:hyperlink r:id="rId49" w:history="1">
        <w:r w:rsidRPr="00DF2E99">
          <w:rPr>
            <w:rStyle w:val="Hyperlink"/>
            <w:rFonts w:cstheme="minorHAnsi"/>
          </w:rPr>
          <w:t>motor mechanic</w:t>
        </w:r>
      </w:hyperlink>
      <w:r w:rsidRPr="00DF2E99">
        <w:rPr>
          <w:rFonts w:cstheme="minorHAnsi"/>
        </w:rPr>
        <w:t>).</w:t>
      </w:r>
      <w:r w:rsidRPr="00146F05">
        <w:rPr>
          <w:rStyle w:val="FootnoteReference"/>
          <w:rFonts w:cstheme="minorHAnsi"/>
        </w:rPr>
        <w:footnoteReference w:id="25"/>
      </w:r>
      <w:r w:rsidRPr="00DF2E99">
        <w:rPr>
          <w:rFonts w:cstheme="minorHAnsi"/>
        </w:rPr>
        <w:t xml:space="preserve"> It is likely that many APTC graduates meet this requirement, but this needs to be confirmed by APTC for individual graduates. </w:t>
      </w:r>
    </w:p>
    <w:p w14:paraId="0353C6DC" w14:textId="0460CEEE" w:rsidR="00767168" w:rsidRPr="007B601A" w:rsidRDefault="00767168" w:rsidP="00767168">
      <w:pPr>
        <w:pStyle w:val="ListParagraph"/>
        <w:numPr>
          <w:ilvl w:val="0"/>
          <w:numId w:val="16"/>
        </w:numPr>
        <w:jc w:val="both"/>
      </w:pPr>
      <w:r w:rsidRPr="00B1799A">
        <w:rPr>
          <w:rStyle w:val="markedcontent"/>
          <w:rFonts w:cstheme="minorHAnsi"/>
          <w:b/>
          <w:bCs/>
        </w:rPr>
        <w:t>English proficiency</w:t>
      </w:r>
      <w:r w:rsidRPr="00920F60">
        <w:rPr>
          <w:b/>
          <w:bCs/>
        </w:rPr>
        <w:t>:</w:t>
      </w:r>
      <w:r w:rsidRPr="00B1799A">
        <w:rPr>
          <w:rFonts w:cstheme="minorHAnsi"/>
        </w:rPr>
        <w:t xml:space="preserve"> International English Language Testing System (IELTS) </w:t>
      </w:r>
      <w:r w:rsidR="00E043AB">
        <w:rPr>
          <w:rFonts w:cstheme="minorHAnsi"/>
        </w:rPr>
        <w:t>o</w:t>
      </w:r>
      <w:r w:rsidRPr="00B1799A">
        <w:rPr>
          <w:rFonts w:cstheme="minorHAnsi"/>
        </w:rPr>
        <w:t xml:space="preserve">verall band score of at least 5.0 with a score of at least </w:t>
      </w:r>
      <w:r w:rsidR="00E043AB">
        <w:rPr>
          <w:rFonts w:cstheme="minorHAnsi"/>
        </w:rPr>
        <w:t>5.0</w:t>
      </w:r>
      <w:r w:rsidRPr="00B1799A">
        <w:rPr>
          <w:rFonts w:cstheme="minorHAnsi"/>
        </w:rPr>
        <w:t xml:space="preserve"> in each of the test components</w:t>
      </w:r>
      <w:r>
        <w:rPr>
          <w:rFonts w:cstheme="minorHAnsi"/>
        </w:rPr>
        <w:t xml:space="preserve"> is required for the TSS </w:t>
      </w:r>
      <w:r w:rsidR="00E930F4">
        <w:rPr>
          <w:rFonts w:cstheme="minorHAnsi"/>
        </w:rPr>
        <w:t>m</w:t>
      </w:r>
      <w:r>
        <w:rPr>
          <w:rFonts w:cstheme="minorHAnsi"/>
        </w:rPr>
        <w:t>edium</w:t>
      </w:r>
      <w:r w:rsidR="00E930F4">
        <w:rPr>
          <w:rFonts w:cstheme="minorHAnsi"/>
        </w:rPr>
        <w:t>-</w:t>
      </w:r>
      <w:r>
        <w:rPr>
          <w:rFonts w:cstheme="minorHAnsi"/>
        </w:rPr>
        <w:t xml:space="preserve">term stream. </w:t>
      </w:r>
      <w:r w:rsidR="00615C64">
        <w:rPr>
          <w:rFonts w:cstheme="minorHAnsi"/>
        </w:rPr>
        <w:t>T</w:t>
      </w:r>
      <w:r>
        <w:rPr>
          <w:rFonts w:cstheme="minorHAnsi"/>
        </w:rPr>
        <w:t xml:space="preserve">he </w:t>
      </w:r>
      <w:r w:rsidR="00E62D1F">
        <w:rPr>
          <w:rFonts w:cstheme="minorHAnsi"/>
        </w:rPr>
        <w:t>short-term</w:t>
      </w:r>
      <w:r>
        <w:rPr>
          <w:rFonts w:cstheme="minorHAnsi"/>
        </w:rPr>
        <w:t xml:space="preserve"> stream</w:t>
      </w:r>
      <w:r w:rsidR="00615C64">
        <w:rPr>
          <w:rFonts w:cstheme="minorHAnsi"/>
        </w:rPr>
        <w:t xml:space="preserve"> requires</w:t>
      </w:r>
      <w:r>
        <w:rPr>
          <w:rFonts w:cstheme="minorHAnsi"/>
        </w:rPr>
        <w:t xml:space="preserve"> </w:t>
      </w:r>
      <w:r w:rsidR="00615C64">
        <w:rPr>
          <w:rFonts w:cstheme="minorHAnsi"/>
        </w:rPr>
        <w:t xml:space="preserve">an </w:t>
      </w:r>
      <w:r w:rsidRPr="00B1799A">
        <w:rPr>
          <w:rFonts w:cstheme="minorHAnsi"/>
        </w:rPr>
        <w:t>IELTS</w:t>
      </w:r>
      <w:r>
        <w:rPr>
          <w:rFonts w:cstheme="minorHAnsi"/>
        </w:rPr>
        <w:t xml:space="preserve"> o</w:t>
      </w:r>
      <w:r w:rsidRPr="00B1799A">
        <w:rPr>
          <w:rFonts w:cstheme="minorHAnsi"/>
        </w:rPr>
        <w:t>verall band score of at least 5.0 with a score of at least 4.5 in each of the test components.</w:t>
      </w:r>
      <w:r>
        <w:rPr>
          <w:rFonts w:cstheme="minorHAnsi"/>
        </w:rPr>
        <w:t xml:space="preserve"> </w:t>
      </w:r>
      <w:r w:rsidRPr="00EE6876">
        <w:rPr>
          <w:rFonts w:cstheme="minorHAnsi"/>
        </w:rPr>
        <w:t xml:space="preserve">Visa applicants from Pacific countries such as Tonga, Samoa, Fiji, PNG, Solomon Islands and Vanuatu may be exempt from the language requirement if they can prove that they have completed at least five years of full-time study in a secondary </w:t>
      </w:r>
      <w:r w:rsidR="00615C64" w:rsidRPr="00EE6876">
        <w:rPr>
          <w:rFonts w:cstheme="minorHAnsi"/>
        </w:rPr>
        <w:t xml:space="preserve">higher-level </w:t>
      </w:r>
      <w:r w:rsidRPr="00EE6876">
        <w:rPr>
          <w:rFonts w:cstheme="minorHAnsi"/>
        </w:rPr>
        <w:t>or institution where most classes were in English.</w:t>
      </w:r>
      <w:r>
        <w:rPr>
          <w:rStyle w:val="FootnoteReference"/>
          <w:rFonts w:cstheme="minorHAnsi"/>
        </w:rPr>
        <w:footnoteReference w:id="26"/>
      </w:r>
    </w:p>
    <w:p w14:paraId="40009966" w14:textId="77777777" w:rsidR="00767168" w:rsidRDefault="00767168" w:rsidP="00767168">
      <w:pPr>
        <w:pStyle w:val="ListParagraph"/>
        <w:numPr>
          <w:ilvl w:val="0"/>
          <w:numId w:val="16"/>
        </w:numPr>
        <w:jc w:val="both"/>
        <w:rPr>
          <w:rStyle w:val="markedcontent"/>
        </w:rPr>
      </w:pPr>
      <w:r w:rsidRPr="00BD453D">
        <w:rPr>
          <w:rStyle w:val="markedcontent"/>
          <w:b/>
          <w:bCs/>
        </w:rPr>
        <w:t>Age</w:t>
      </w:r>
      <w:r w:rsidRPr="00920F60">
        <w:rPr>
          <w:rStyle w:val="markedcontent"/>
          <w:b/>
          <w:bCs/>
        </w:rPr>
        <w:t>:</w:t>
      </w:r>
      <w:r>
        <w:rPr>
          <w:rStyle w:val="markedcontent"/>
        </w:rPr>
        <w:t xml:space="preserve"> No age limit for the TSS. However, age limits apply to the visas for permanent residence. </w:t>
      </w:r>
    </w:p>
    <w:p w14:paraId="7209AFBA" w14:textId="0F5B6A2D" w:rsidR="00767168" w:rsidRDefault="00767168" w:rsidP="00767168">
      <w:pPr>
        <w:pStyle w:val="ListParagraph"/>
        <w:numPr>
          <w:ilvl w:val="0"/>
          <w:numId w:val="16"/>
        </w:numPr>
        <w:jc w:val="both"/>
      </w:pPr>
      <w:r w:rsidRPr="00BD453D">
        <w:rPr>
          <w:b/>
          <w:bCs/>
        </w:rPr>
        <w:t>Health</w:t>
      </w:r>
      <w:r w:rsidRPr="00920F60">
        <w:rPr>
          <w:b/>
        </w:rPr>
        <w:t>:</w:t>
      </w:r>
      <w:r>
        <w:t xml:space="preserve"> </w:t>
      </w:r>
      <w:hyperlink r:id="rId50" w:history="1">
        <w:r>
          <w:rPr>
            <w:rStyle w:val="Hyperlink"/>
          </w:rPr>
          <w:t>S</w:t>
        </w:r>
        <w:r w:rsidRPr="00CD0274">
          <w:rPr>
            <w:rStyle w:val="Hyperlink"/>
          </w:rPr>
          <w:t>tandard TSS health test requirements</w:t>
        </w:r>
      </w:hyperlink>
      <w:r>
        <w:t xml:space="preserve"> apply for applicants from high-risk countries (all Pacific and Timor-Leste</w:t>
      </w:r>
      <w:r w:rsidR="00676441">
        <w:t xml:space="preserve"> </w:t>
      </w:r>
      <w:r>
        <w:t>countries except Cook Islands, Samoa and Tonga),</w:t>
      </w:r>
      <w:r w:rsidR="00676441">
        <w:t xml:space="preserve"> </w:t>
      </w:r>
      <w:r>
        <w:t>namely a medical examination and a chest x-ray. This also applies to family members.</w:t>
      </w:r>
    </w:p>
    <w:p w14:paraId="78A762F6" w14:textId="717745AA" w:rsidR="00767168" w:rsidRDefault="00767168" w:rsidP="00767168">
      <w:pPr>
        <w:pStyle w:val="ListParagraph"/>
        <w:numPr>
          <w:ilvl w:val="0"/>
          <w:numId w:val="16"/>
        </w:numPr>
        <w:jc w:val="both"/>
      </w:pPr>
      <w:r w:rsidRPr="00BD453D">
        <w:rPr>
          <w:b/>
          <w:bCs/>
        </w:rPr>
        <w:t>Police certificate</w:t>
      </w:r>
      <w:r w:rsidR="00615C64">
        <w:rPr>
          <w:b/>
          <w:bCs/>
        </w:rPr>
        <w:t>:</w:t>
      </w:r>
      <w:r>
        <w:t xml:space="preserve"> (</w:t>
      </w:r>
      <w:hyperlink r:id="rId51" w:history="1">
        <w:r>
          <w:rPr>
            <w:rStyle w:val="Hyperlink"/>
          </w:rPr>
          <w:t>I</w:t>
        </w:r>
        <w:r w:rsidRPr="00CD0274">
          <w:rPr>
            <w:rStyle w:val="Hyperlink"/>
          </w:rPr>
          <w:t>f requested</w:t>
        </w:r>
      </w:hyperlink>
      <w:r>
        <w:t>)</w:t>
      </w:r>
    </w:p>
    <w:p w14:paraId="488C62E4" w14:textId="77777777" w:rsidR="00767168" w:rsidRDefault="00767168" w:rsidP="00767168">
      <w:pPr>
        <w:pStyle w:val="ListParagraph"/>
        <w:numPr>
          <w:ilvl w:val="0"/>
          <w:numId w:val="16"/>
        </w:numPr>
        <w:jc w:val="both"/>
      </w:pPr>
      <w:r>
        <w:rPr>
          <w:b/>
          <w:bCs/>
        </w:rPr>
        <w:t xml:space="preserve">Australian values statement: </w:t>
      </w:r>
      <w:hyperlink r:id="rId52" w:history="1">
        <w:r>
          <w:rPr>
            <w:rStyle w:val="Hyperlink"/>
          </w:rPr>
          <w:t>Needs to be signed</w:t>
        </w:r>
      </w:hyperlink>
    </w:p>
    <w:p w14:paraId="4CBA917B" w14:textId="10EF33DD" w:rsidR="00767168" w:rsidRDefault="00383966" w:rsidP="00767168">
      <w:pPr>
        <w:pStyle w:val="ListParagraph"/>
        <w:numPr>
          <w:ilvl w:val="0"/>
          <w:numId w:val="16"/>
        </w:numPr>
        <w:jc w:val="both"/>
      </w:pPr>
      <w:hyperlink r:id="rId53" w:anchor="About" w:history="1">
        <w:r w:rsidR="00767168" w:rsidRPr="00BD453D">
          <w:rPr>
            <w:rStyle w:val="Hyperlink"/>
            <w:b/>
          </w:rPr>
          <w:t>Cost</w:t>
        </w:r>
      </w:hyperlink>
      <w:r w:rsidR="00767168">
        <w:t xml:space="preserve">: </w:t>
      </w:r>
      <w:r w:rsidR="00615C64">
        <w:t>T</w:t>
      </w:r>
      <w:r w:rsidR="00767168">
        <w:t>he TSS visa cost is $2,690 for the main applicant and each dependant 18 years and over, and $675 for each dependant under 18. In addition, the SAF (Skilling Australians Fund) levy must be paid ($1,200 upfront per year for the visa term for small businesses, and $1,800 for others).</w:t>
      </w:r>
    </w:p>
    <w:p w14:paraId="2C6BEE8E" w14:textId="77777777" w:rsidR="00767168" w:rsidRPr="00257732" w:rsidRDefault="00767168" w:rsidP="00767168">
      <w:pPr>
        <w:pStyle w:val="ListParagraph"/>
        <w:numPr>
          <w:ilvl w:val="0"/>
          <w:numId w:val="16"/>
        </w:numPr>
        <w:jc w:val="both"/>
      </w:pPr>
      <w:r>
        <w:rPr>
          <w:b/>
          <w:bCs/>
        </w:rPr>
        <w:t xml:space="preserve">Labour market testing: </w:t>
      </w:r>
      <w:r>
        <w:t>Must be carried out by employer.</w:t>
      </w:r>
    </w:p>
    <w:p w14:paraId="43AB9361" w14:textId="3CC61A6C" w:rsidR="00767168" w:rsidRPr="00257732" w:rsidRDefault="00767168" w:rsidP="00767168">
      <w:pPr>
        <w:pStyle w:val="ListParagraph"/>
        <w:numPr>
          <w:ilvl w:val="0"/>
          <w:numId w:val="16"/>
        </w:numPr>
        <w:jc w:val="both"/>
      </w:pPr>
      <w:r w:rsidRPr="0047349B">
        <w:rPr>
          <w:b/>
          <w:bCs/>
        </w:rPr>
        <w:lastRenderedPageBreak/>
        <w:t>TSS processing time (</w:t>
      </w:r>
      <w:hyperlink r:id="rId54" w:history="1">
        <w:r w:rsidR="004353B3" w:rsidRPr="004353B3">
          <w:rPr>
            <w:rStyle w:val="Hyperlink"/>
            <w:b/>
            <w:bCs/>
          </w:rPr>
          <w:t>medium-term stream</w:t>
        </w:r>
      </w:hyperlink>
      <w:r w:rsidRPr="007E38E2">
        <w:rPr>
          <w:b/>
          <w:bCs/>
        </w:rPr>
        <w:t xml:space="preserve">): </w:t>
      </w:r>
      <w:r w:rsidRPr="00257732">
        <w:t xml:space="preserve">75% of applications processed in </w:t>
      </w:r>
      <w:r w:rsidR="00615C64">
        <w:t>six</w:t>
      </w:r>
      <w:r w:rsidRPr="00257732">
        <w:t xml:space="preserve"> months, with 90% of applications in </w:t>
      </w:r>
      <w:r w:rsidR="00615C64">
        <w:t>nine</w:t>
      </w:r>
      <w:r w:rsidR="00676441">
        <w:t xml:space="preserve"> </w:t>
      </w:r>
      <w:r w:rsidRPr="00257732">
        <w:t xml:space="preserve">months. </w:t>
      </w:r>
    </w:p>
    <w:p w14:paraId="2841C941" w14:textId="77777777" w:rsidR="00767168" w:rsidRPr="00CC56B6" w:rsidRDefault="00767168" w:rsidP="00767168">
      <w:pPr>
        <w:pStyle w:val="ListParagraph"/>
        <w:numPr>
          <w:ilvl w:val="0"/>
          <w:numId w:val="16"/>
        </w:numPr>
        <w:jc w:val="both"/>
        <w:rPr>
          <w:b/>
          <w:bCs/>
        </w:rPr>
      </w:pPr>
      <w:r w:rsidRPr="007B601A">
        <w:rPr>
          <w:b/>
          <w:bCs/>
        </w:rPr>
        <w:t xml:space="preserve">Minimum income requirement (TSMIT): </w:t>
      </w:r>
      <w:r>
        <w:t xml:space="preserve">Currently $53,900 plus super. </w:t>
      </w:r>
    </w:p>
    <w:p w14:paraId="7ED2945B" w14:textId="77777777" w:rsidR="00767168" w:rsidRPr="00EE6876" w:rsidRDefault="00767168" w:rsidP="00767168">
      <w:pPr>
        <w:pStyle w:val="ListParagraph"/>
        <w:jc w:val="both"/>
      </w:pPr>
    </w:p>
    <w:p w14:paraId="6F926DC7" w14:textId="77777777" w:rsidR="00767168" w:rsidRDefault="00767168" w:rsidP="00767168">
      <w:pPr>
        <w:pStyle w:val="ListParagraph"/>
        <w:ind w:left="0"/>
        <w:jc w:val="both"/>
        <w:rPr>
          <w:b/>
          <w:bCs/>
        </w:rPr>
      </w:pPr>
      <w:r w:rsidRPr="003B48FE">
        <w:rPr>
          <w:b/>
          <w:bCs/>
        </w:rPr>
        <w:t>Issues</w:t>
      </w:r>
    </w:p>
    <w:p w14:paraId="5F8A5BE9" w14:textId="20E26E45" w:rsidR="00767168" w:rsidRDefault="00767168" w:rsidP="00767168">
      <w:pPr>
        <w:pStyle w:val="ListParagraph"/>
        <w:numPr>
          <w:ilvl w:val="0"/>
          <w:numId w:val="33"/>
        </w:numPr>
        <w:jc w:val="both"/>
      </w:pPr>
      <w:r>
        <w:t>Two-thirds of TSS hiring is onshore. To encourage offshore hiring, a trusted intermediary is required. APTC is expected to play this role as per its forthcoming labour mobility strategy. APTC would promote Pacific hiring opportunities to Australian employers, and help these employers identify eligible candidates.</w:t>
      </w:r>
      <w:r w:rsidR="00676441">
        <w:t xml:space="preserve"> </w:t>
      </w:r>
      <w:r>
        <w:t xml:space="preserve">APTC would also become a VETASSESS testing centre for the conduct of technical interviews. APTC would pre-assess </w:t>
      </w:r>
      <w:r w:rsidR="004510F0">
        <w:t xml:space="preserve">the </w:t>
      </w:r>
      <w:r>
        <w:t>English skills of its students to determine their general level, and ability to meet requirements. The division of remaining tasks between APTC and a migration agent would also need to be determined.</w:t>
      </w:r>
    </w:p>
    <w:p w14:paraId="59F4D3C8" w14:textId="2C155887" w:rsidR="00767168" w:rsidRDefault="00767168" w:rsidP="00767168">
      <w:pPr>
        <w:pStyle w:val="ListParagraph"/>
        <w:numPr>
          <w:ilvl w:val="0"/>
          <w:numId w:val="33"/>
        </w:numPr>
        <w:jc w:val="both"/>
      </w:pPr>
      <w:r>
        <w:t xml:space="preserve">The upfront costs of </w:t>
      </w:r>
      <w:r w:rsidR="00C35D71">
        <w:t>recruitment</w:t>
      </w:r>
      <w:r>
        <w:t xml:space="preserve"> would need to be met by the employer, and it would be up to the employer and employee to agree on the extent to which the employee would have to reimburse the employer for incurring these costs.</w:t>
      </w:r>
    </w:p>
    <w:p w14:paraId="206D8D34" w14:textId="39338BCA" w:rsidR="00767168" w:rsidRDefault="00767168" w:rsidP="00767168">
      <w:pPr>
        <w:pStyle w:val="ListParagraph"/>
        <w:numPr>
          <w:ilvl w:val="0"/>
          <w:numId w:val="33"/>
        </w:numPr>
        <w:jc w:val="both"/>
      </w:pPr>
      <w:r>
        <w:t xml:space="preserve">The risk of </w:t>
      </w:r>
      <w:r w:rsidR="00E043AB">
        <w:t>“</w:t>
      </w:r>
      <w:r>
        <w:t>brain drain</w:t>
      </w:r>
      <w:r w:rsidR="00E043AB">
        <w:t>”</w:t>
      </w:r>
      <w:r>
        <w:t xml:space="preserve"> is reduced by the fact that the evidence suggests excess supply of many skills qualifications.</w:t>
      </w:r>
      <w:r>
        <w:rPr>
          <w:rStyle w:val="FootnoteReference"/>
        </w:rPr>
        <w:footnoteReference w:id="27"/>
      </w:r>
      <w:r>
        <w:t xml:space="preserve"> Australian migration opportunities should </w:t>
      </w:r>
      <w:r w:rsidR="00EB202C">
        <w:t>encourage many other</w:t>
      </w:r>
      <w:r w:rsidR="001E2114">
        <w:t xml:space="preserve">s to undertake skills </w:t>
      </w:r>
      <w:r>
        <w:t>training, which will benefit the domestic econom</w:t>
      </w:r>
      <w:r w:rsidR="001E2114">
        <w:t>ies of the Pacific</w:t>
      </w:r>
      <w:r>
        <w:t xml:space="preserve">. APTC </w:t>
      </w:r>
      <w:r w:rsidR="0094420E">
        <w:t>sh</w:t>
      </w:r>
      <w:r>
        <w:t>ould not assist students who were sponsored by their employers to study at APTC. Careful monitoring would be needed to identify emerging shortages, and remedial actions taken as needed.</w:t>
      </w:r>
    </w:p>
    <w:sectPr w:rsidR="00767168" w:rsidSect="007671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CE775" w14:textId="77777777" w:rsidR="00F777C4" w:rsidRDefault="00F777C4" w:rsidP="0087471E">
      <w:pPr>
        <w:spacing w:after="0" w:line="240" w:lineRule="auto"/>
      </w:pPr>
      <w:r>
        <w:separator/>
      </w:r>
    </w:p>
  </w:endnote>
  <w:endnote w:type="continuationSeparator" w:id="0">
    <w:p w14:paraId="4939FEB9" w14:textId="77777777" w:rsidR="00F777C4" w:rsidRDefault="00F777C4" w:rsidP="0087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492234"/>
      <w:docPartObj>
        <w:docPartGallery w:val="Page Numbers (Bottom of Page)"/>
        <w:docPartUnique/>
      </w:docPartObj>
    </w:sdtPr>
    <w:sdtEndPr>
      <w:rPr>
        <w:noProof/>
      </w:rPr>
    </w:sdtEndPr>
    <w:sdtContent>
      <w:p w14:paraId="414D843D" w14:textId="7E85DEEB" w:rsidR="00EF7B98" w:rsidRDefault="00EF7B98">
        <w:pPr>
          <w:pStyle w:val="Footer"/>
          <w:jc w:val="right"/>
        </w:pPr>
        <w:r>
          <w:fldChar w:fldCharType="begin"/>
        </w:r>
        <w:r>
          <w:instrText xml:space="preserve"> PAGE   \* MERGEFORMAT </w:instrText>
        </w:r>
        <w:r>
          <w:fldChar w:fldCharType="separate"/>
        </w:r>
        <w:r w:rsidR="00A663D2">
          <w:rPr>
            <w:noProof/>
          </w:rPr>
          <w:t>20</w:t>
        </w:r>
        <w:r>
          <w:rPr>
            <w:noProof/>
          </w:rPr>
          <w:fldChar w:fldCharType="end"/>
        </w:r>
      </w:p>
    </w:sdtContent>
  </w:sdt>
  <w:p w14:paraId="02541816" w14:textId="77777777" w:rsidR="00EF7B98" w:rsidRDefault="00EF7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383972"/>
      <w:docPartObj>
        <w:docPartGallery w:val="Page Numbers (Bottom of Page)"/>
        <w:docPartUnique/>
      </w:docPartObj>
    </w:sdtPr>
    <w:sdtEndPr>
      <w:rPr>
        <w:noProof/>
      </w:rPr>
    </w:sdtEndPr>
    <w:sdtContent>
      <w:p w14:paraId="3323B386" w14:textId="1965B155" w:rsidR="00EF7B98" w:rsidRDefault="00EF7B98">
        <w:pPr>
          <w:pStyle w:val="Footer"/>
          <w:jc w:val="right"/>
        </w:pPr>
        <w:r>
          <w:fldChar w:fldCharType="begin"/>
        </w:r>
        <w:r>
          <w:instrText xml:space="preserve"> PAGE   \* MERGEFORMAT </w:instrText>
        </w:r>
        <w:r>
          <w:fldChar w:fldCharType="separate"/>
        </w:r>
        <w:r w:rsidR="00A663D2">
          <w:rPr>
            <w:noProof/>
          </w:rPr>
          <w:t>32</w:t>
        </w:r>
        <w:r>
          <w:rPr>
            <w:noProof/>
          </w:rPr>
          <w:fldChar w:fldCharType="end"/>
        </w:r>
      </w:p>
    </w:sdtContent>
  </w:sdt>
  <w:p w14:paraId="63A41116" w14:textId="77777777" w:rsidR="00EF7B98" w:rsidRDefault="00EF7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7124A" w14:textId="77777777" w:rsidR="00F777C4" w:rsidRDefault="00F777C4" w:rsidP="0087471E">
      <w:pPr>
        <w:spacing w:after="0" w:line="240" w:lineRule="auto"/>
      </w:pPr>
      <w:r>
        <w:separator/>
      </w:r>
    </w:p>
  </w:footnote>
  <w:footnote w:type="continuationSeparator" w:id="0">
    <w:p w14:paraId="190DA728" w14:textId="77777777" w:rsidR="00F777C4" w:rsidRDefault="00F777C4" w:rsidP="0087471E">
      <w:pPr>
        <w:spacing w:after="0" w:line="240" w:lineRule="auto"/>
      </w:pPr>
      <w:r>
        <w:continuationSeparator/>
      </w:r>
    </w:p>
  </w:footnote>
  <w:footnote w:id="1">
    <w:p w14:paraId="15E2B539" w14:textId="75384441" w:rsidR="00EF7B98" w:rsidRPr="004353B3" w:rsidRDefault="00EF7B98">
      <w:pPr>
        <w:pStyle w:val="FootnoteText"/>
        <w:rPr>
          <w:sz w:val="18"/>
          <w:szCs w:val="18"/>
          <w:lang w:val="en-US"/>
        </w:rPr>
      </w:pPr>
      <w:r w:rsidRPr="004353B3">
        <w:rPr>
          <w:rStyle w:val="FootnoteReference"/>
          <w:sz w:val="18"/>
          <w:szCs w:val="18"/>
        </w:rPr>
        <w:footnoteRef/>
      </w:r>
      <w:r w:rsidRPr="004353B3">
        <w:rPr>
          <w:sz w:val="18"/>
          <w:szCs w:val="18"/>
        </w:rPr>
        <w:t xml:space="preserve"> </w:t>
      </w:r>
      <w:r w:rsidRPr="004353B3">
        <w:rPr>
          <w:sz w:val="18"/>
          <w:szCs w:val="18"/>
          <w:lang w:val="en-US"/>
        </w:rPr>
        <w:t>While th</w:t>
      </w:r>
      <w:r>
        <w:rPr>
          <w:sz w:val="18"/>
          <w:szCs w:val="18"/>
          <w:lang w:val="en-US"/>
        </w:rPr>
        <w:t>is</w:t>
      </w:r>
      <w:r w:rsidRPr="004353B3">
        <w:rPr>
          <w:sz w:val="18"/>
          <w:szCs w:val="18"/>
          <w:lang w:val="en-US"/>
        </w:rPr>
        <w:t xml:space="preserve"> approach paper is based on extensive consultation, the views and recommendations are those of the authors only.</w:t>
      </w:r>
    </w:p>
  </w:footnote>
  <w:footnote w:id="2">
    <w:p w14:paraId="49DF0DAD" w14:textId="0A9F7950" w:rsidR="00EF7B98" w:rsidRDefault="00EF7B98" w:rsidP="00950848">
      <w:pPr>
        <w:jc w:val="both"/>
      </w:pPr>
      <w:r w:rsidRPr="00A83924">
        <w:rPr>
          <w:rStyle w:val="FootnoteReference"/>
          <w:sz w:val="18"/>
          <w:szCs w:val="18"/>
        </w:rPr>
        <w:footnoteRef/>
      </w:r>
      <w:r w:rsidRPr="00A83924">
        <w:rPr>
          <w:sz w:val="18"/>
          <w:szCs w:val="18"/>
        </w:rPr>
        <w:t xml:space="preserve"> </w:t>
      </w:r>
      <w:r>
        <w:rPr>
          <w:sz w:val="18"/>
          <w:szCs w:val="18"/>
        </w:rPr>
        <w:t>While this paper focuses on the TSS, the</w:t>
      </w:r>
      <w:r>
        <w:rPr>
          <w:b/>
          <w:bCs/>
          <w:sz w:val="18"/>
          <w:szCs w:val="18"/>
        </w:rPr>
        <w:t xml:space="preserve"> </w:t>
      </w:r>
      <w:r w:rsidRPr="00A83924">
        <w:rPr>
          <w:sz w:val="18"/>
          <w:szCs w:val="18"/>
        </w:rPr>
        <w:t xml:space="preserve">Skilled Employer Sponsored Regional (Provisional) </w:t>
      </w:r>
      <w:r>
        <w:rPr>
          <w:sz w:val="18"/>
          <w:szCs w:val="18"/>
        </w:rPr>
        <w:t xml:space="preserve">(SESR or 494) </w:t>
      </w:r>
      <w:r w:rsidRPr="00A83924">
        <w:rPr>
          <w:sz w:val="18"/>
          <w:szCs w:val="18"/>
        </w:rPr>
        <w:t xml:space="preserve">visa </w:t>
      </w:r>
      <w:r>
        <w:rPr>
          <w:sz w:val="18"/>
          <w:szCs w:val="18"/>
        </w:rPr>
        <w:t xml:space="preserve">is quite similar, but only applies in regional areas. The 494 </w:t>
      </w:r>
      <w:r w:rsidRPr="00A83924">
        <w:rPr>
          <w:sz w:val="18"/>
          <w:szCs w:val="18"/>
        </w:rPr>
        <w:t xml:space="preserve">has two streams: employer sponsored and labour agreement. It provides a </w:t>
      </w:r>
      <w:r>
        <w:rPr>
          <w:sz w:val="18"/>
          <w:szCs w:val="18"/>
        </w:rPr>
        <w:t>five</w:t>
      </w:r>
      <w:r w:rsidRPr="00A83924">
        <w:rPr>
          <w:sz w:val="18"/>
          <w:szCs w:val="18"/>
        </w:rPr>
        <w:t xml:space="preserve">-year visa. Any employer in regional areas (outside Sydney, Melbourne, Brisbane) deciding to hire Pacific workers as temporary migrants could use either visa, </w:t>
      </w:r>
      <w:proofErr w:type="gramStart"/>
      <w:r w:rsidRPr="00A83924">
        <w:rPr>
          <w:sz w:val="18"/>
          <w:szCs w:val="18"/>
        </w:rPr>
        <w:t>and</w:t>
      </w:r>
      <w:proofErr w:type="gramEnd"/>
      <w:r w:rsidRPr="00A83924">
        <w:rPr>
          <w:sz w:val="18"/>
          <w:szCs w:val="18"/>
        </w:rPr>
        <w:t xml:space="preserve"> could decide for themselves</w:t>
      </w:r>
      <w:r>
        <w:rPr>
          <w:sz w:val="18"/>
          <w:szCs w:val="18"/>
        </w:rPr>
        <w:t xml:space="preserve"> which one is most appropriate</w:t>
      </w:r>
      <w:r w:rsidRPr="00A83924">
        <w:rPr>
          <w:sz w:val="18"/>
          <w:szCs w:val="18"/>
        </w:rPr>
        <w:t>.</w:t>
      </w:r>
      <w:r>
        <w:rPr>
          <w:sz w:val="18"/>
          <w:szCs w:val="18"/>
        </w:rPr>
        <w:t xml:space="preserve"> The </w:t>
      </w:r>
      <w:r w:rsidRPr="00F855C3">
        <w:rPr>
          <w:sz w:val="18"/>
          <w:szCs w:val="18"/>
        </w:rPr>
        <w:t xml:space="preserve">Permanent Residence (Skilled Regional) visa (191) is the pathway to permanency from the 494 </w:t>
      </w:r>
      <w:proofErr w:type="gramStart"/>
      <w:r w:rsidRPr="00F855C3">
        <w:rPr>
          <w:sz w:val="18"/>
          <w:szCs w:val="18"/>
        </w:rPr>
        <w:t>visa</w:t>
      </w:r>
      <w:proofErr w:type="gramEnd"/>
      <w:r w:rsidRPr="00F855C3">
        <w:rPr>
          <w:sz w:val="18"/>
          <w:szCs w:val="18"/>
        </w:rPr>
        <w:t>. Employer nomination is not required</w:t>
      </w:r>
      <w:r>
        <w:rPr>
          <w:sz w:val="18"/>
          <w:szCs w:val="18"/>
        </w:rPr>
        <w:t xml:space="preserve"> for the 191 </w:t>
      </w:r>
      <w:proofErr w:type="gramStart"/>
      <w:r>
        <w:rPr>
          <w:sz w:val="18"/>
          <w:szCs w:val="18"/>
        </w:rPr>
        <w:t>visa</w:t>
      </w:r>
      <w:proofErr w:type="gramEnd"/>
      <w:r>
        <w:rPr>
          <w:sz w:val="18"/>
          <w:szCs w:val="18"/>
        </w:rPr>
        <w:t>.</w:t>
      </w:r>
    </w:p>
  </w:footnote>
  <w:footnote w:id="3">
    <w:p w14:paraId="1E903F0E" w14:textId="4AF53E25" w:rsidR="00EF7B98" w:rsidRPr="0050018C" w:rsidRDefault="00EF7B98">
      <w:pPr>
        <w:pStyle w:val="FootnoteText"/>
        <w:rPr>
          <w:sz w:val="18"/>
          <w:szCs w:val="18"/>
          <w:lang w:val="en-US"/>
        </w:rPr>
      </w:pPr>
      <w:r w:rsidRPr="0050018C">
        <w:rPr>
          <w:rStyle w:val="FootnoteReference"/>
          <w:sz w:val="18"/>
          <w:szCs w:val="18"/>
        </w:rPr>
        <w:footnoteRef/>
      </w:r>
      <w:r w:rsidRPr="0050018C">
        <w:rPr>
          <w:sz w:val="18"/>
          <w:szCs w:val="18"/>
        </w:rPr>
        <w:t xml:space="preserve"> </w:t>
      </w:r>
      <w:r w:rsidRPr="0050018C">
        <w:rPr>
          <w:sz w:val="18"/>
          <w:szCs w:val="18"/>
          <w:lang w:val="en-US"/>
        </w:rPr>
        <w:t>Although the PLS visa regulations state that a “no further stay” (8053) condition may be attached to the visa, in practice it has not been, meaning that there is no bar for PLS workers to transition to another visa.</w:t>
      </w:r>
      <w:r>
        <w:rPr>
          <w:sz w:val="18"/>
          <w:szCs w:val="18"/>
          <w:lang w:val="en-US"/>
        </w:rPr>
        <w:t xml:space="preserve"> The requirement that workers return home for 12 months only applies to those who want a second PLS visa, not to those who transition to another visa.</w:t>
      </w:r>
    </w:p>
  </w:footnote>
  <w:footnote w:id="4">
    <w:p w14:paraId="628925D3" w14:textId="2B0C177B" w:rsidR="00EF7B98" w:rsidRPr="004353B3" w:rsidRDefault="00EF7B98">
      <w:pPr>
        <w:pStyle w:val="FootnoteText"/>
        <w:rPr>
          <w:sz w:val="18"/>
          <w:szCs w:val="18"/>
          <w:lang w:val="en-US"/>
        </w:rPr>
      </w:pPr>
      <w:r w:rsidRPr="004353B3">
        <w:rPr>
          <w:rStyle w:val="FootnoteReference"/>
          <w:sz w:val="18"/>
          <w:szCs w:val="18"/>
        </w:rPr>
        <w:footnoteRef/>
      </w:r>
      <w:r w:rsidRPr="004353B3">
        <w:rPr>
          <w:sz w:val="18"/>
          <w:szCs w:val="18"/>
        </w:rPr>
        <w:t xml:space="preserve"> </w:t>
      </w:r>
      <w:r w:rsidRPr="004353B3">
        <w:rPr>
          <w:sz w:val="18"/>
          <w:szCs w:val="18"/>
          <w:lang w:val="en-US"/>
        </w:rPr>
        <w:t>It was previously a three-year program, but in November 2021 was extended to four years. The four-year work period now provided by the PLS visa will make it easier to for workers to meet TSS requirements.</w:t>
      </w:r>
    </w:p>
  </w:footnote>
  <w:footnote w:id="5">
    <w:p w14:paraId="3E224BFB" w14:textId="698B19FE" w:rsidR="00EF7B98" w:rsidRPr="004353B3" w:rsidRDefault="00EF7B98" w:rsidP="001A770B">
      <w:pPr>
        <w:pStyle w:val="FootnoteText"/>
        <w:rPr>
          <w:sz w:val="18"/>
          <w:szCs w:val="18"/>
        </w:rPr>
      </w:pPr>
      <w:r w:rsidRPr="004353B3">
        <w:rPr>
          <w:rStyle w:val="FootnoteReference"/>
          <w:sz w:val="18"/>
          <w:szCs w:val="18"/>
        </w:rPr>
        <w:footnoteRef/>
      </w:r>
      <w:r w:rsidRPr="004353B3">
        <w:rPr>
          <w:sz w:val="18"/>
          <w:szCs w:val="18"/>
        </w:rPr>
        <w:t xml:space="preserve"> The main exception for trade-based qualifications is that of a cook which is on the short-term skills shortage list and therefore not eligible for permanent residency. However, where cook is a designated occupation in demand in a DAMA, a pathway to permanent residence is available. </w:t>
      </w:r>
    </w:p>
    <w:p w14:paraId="77ABE823" w14:textId="44C9B653" w:rsidR="00EF7B98" w:rsidRDefault="00EF7B98">
      <w:pPr>
        <w:pStyle w:val="FootnoteText"/>
      </w:pPr>
    </w:p>
  </w:footnote>
  <w:footnote w:id="6">
    <w:p w14:paraId="7CFD9B13" w14:textId="3B061682" w:rsidR="00EF7B98" w:rsidRDefault="00EF7B98" w:rsidP="009B5DDC">
      <w:pPr>
        <w:pStyle w:val="FootnoteText"/>
      </w:pPr>
      <w:r>
        <w:rPr>
          <w:rStyle w:val="FootnoteReference"/>
        </w:rPr>
        <w:footnoteRef/>
      </w:r>
      <w:r>
        <w:t xml:space="preserve"> As noted earlier, the occupation of cook is on the short-term skills shortage list and not eligible for permanent residency. However, where cook is designated an occupation in demand in a DAMA, a pathway to permanent residence is available. </w:t>
      </w:r>
    </w:p>
  </w:footnote>
  <w:footnote w:id="7">
    <w:p w14:paraId="7700EDC4" w14:textId="1973260C" w:rsidR="00EF7B98" w:rsidRPr="004353B3" w:rsidRDefault="00EF7B98">
      <w:pPr>
        <w:pStyle w:val="FootnoteText"/>
        <w:rPr>
          <w:sz w:val="18"/>
          <w:szCs w:val="18"/>
          <w:lang w:val="en-US"/>
        </w:rPr>
      </w:pPr>
      <w:r w:rsidRPr="004353B3">
        <w:rPr>
          <w:rStyle w:val="FootnoteReference"/>
          <w:sz w:val="18"/>
          <w:szCs w:val="18"/>
        </w:rPr>
        <w:footnoteRef/>
      </w:r>
      <w:r w:rsidRPr="004353B3">
        <w:rPr>
          <w:sz w:val="18"/>
          <w:szCs w:val="18"/>
        </w:rPr>
        <w:t xml:space="preserve"> See Curtain and Howes (2021) “</w:t>
      </w:r>
      <w:hyperlink r:id="rId1" w:history="1">
        <w:r w:rsidRPr="004353B3">
          <w:rPr>
            <w:rStyle w:val="Hyperlink"/>
            <w:sz w:val="18"/>
            <w:szCs w:val="18"/>
          </w:rPr>
          <w:t>Helping APTC graduates to migrate to Australia under the TSS</w:t>
        </w:r>
      </w:hyperlink>
      <w:r w:rsidRPr="004353B3">
        <w:rPr>
          <w:sz w:val="18"/>
          <w:szCs w:val="18"/>
        </w:rPr>
        <w:t>”, Policy Brief 20, Development Policy Centre, ANU.</w:t>
      </w:r>
    </w:p>
  </w:footnote>
  <w:footnote w:id="8">
    <w:p w14:paraId="1FF7434B" w14:textId="19EA26E0" w:rsidR="00EF7B98" w:rsidRPr="004353B3" w:rsidRDefault="00EF7B98">
      <w:pPr>
        <w:pStyle w:val="FootnoteText"/>
        <w:rPr>
          <w:sz w:val="18"/>
          <w:szCs w:val="18"/>
          <w:lang w:val="en-US"/>
        </w:rPr>
      </w:pPr>
      <w:r w:rsidRPr="004353B3">
        <w:rPr>
          <w:rStyle w:val="FootnoteReference"/>
          <w:sz w:val="18"/>
          <w:szCs w:val="18"/>
        </w:rPr>
        <w:footnoteRef/>
      </w:r>
      <w:r w:rsidRPr="004353B3">
        <w:rPr>
          <w:sz w:val="18"/>
          <w:szCs w:val="18"/>
        </w:rPr>
        <w:t xml:space="preserve"> </w:t>
      </w:r>
      <w:r w:rsidRPr="004353B3">
        <w:rPr>
          <w:sz w:val="18"/>
          <w:szCs w:val="18"/>
          <w:lang w:val="en-US"/>
        </w:rPr>
        <w:t xml:space="preserve">See the DFAT response to the 2020 </w:t>
      </w:r>
      <w:hyperlink r:id="rId2" w:history="1">
        <w:r w:rsidRPr="004353B3">
          <w:rPr>
            <w:rStyle w:val="Hyperlink"/>
            <w:sz w:val="18"/>
            <w:szCs w:val="18"/>
            <w:lang w:val="en-US"/>
          </w:rPr>
          <w:t>review</w:t>
        </w:r>
      </w:hyperlink>
      <w:r w:rsidRPr="004353B3">
        <w:rPr>
          <w:sz w:val="18"/>
          <w:szCs w:val="18"/>
          <w:lang w:val="en-US"/>
        </w:rPr>
        <w:t xml:space="preserve"> of APTC, especially recommendations 5 and 7.</w:t>
      </w:r>
    </w:p>
  </w:footnote>
  <w:footnote w:id="9">
    <w:p w14:paraId="07247D2F" w14:textId="77777777" w:rsidR="00EF7B98" w:rsidRPr="00920F60" w:rsidRDefault="00EF7B98" w:rsidP="0050018C">
      <w:pPr>
        <w:pStyle w:val="FootnoteText"/>
        <w:rPr>
          <w:sz w:val="18"/>
          <w:szCs w:val="18"/>
          <w:lang w:val="en-US"/>
        </w:rPr>
      </w:pPr>
      <w:r w:rsidRPr="00920F60">
        <w:rPr>
          <w:rStyle w:val="FootnoteReference"/>
          <w:sz w:val="18"/>
          <w:szCs w:val="18"/>
        </w:rPr>
        <w:footnoteRef/>
      </w:r>
      <w:r w:rsidRPr="00920F60">
        <w:rPr>
          <w:sz w:val="18"/>
          <w:szCs w:val="18"/>
        </w:rPr>
        <w:t xml:space="preserve"> </w:t>
      </w:r>
      <w:bookmarkStart w:id="13" w:name="_Hlk89604655"/>
      <w:r w:rsidRPr="00920F60">
        <w:rPr>
          <w:sz w:val="18"/>
          <w:szCs w:val="18"/>
          <w:lang w:val="en-US"/>
        </w:rPr>
        <w:t>If and until APTC can identify such students, they will have to be asked to self-exclude. On the other hand, APTC graduates already in Australia on the PLS should be encouraged to apply if eligible.</w:t>
      </w:r>
      <w:bookmarkEnd w:id="13"/>
    </w:p>
  </w:footnote>
  <w:footnote w:id="10">
    <w:p w14:paraId="164C5B24" w14:textId="3131EDB8" w:rsidR="00EF7B98" w:rsidRPr="003D137C" w:rsidRDefault="00EF7B98">
      <w:pPr>
        <w:pStyle w:val="FootnoteText"/>
        <w:rPr>
          <w:sz w:val="18"/>
          <w:szCs w:val="18"/>
        </w:rPr>
      </w:pPr>
      <w:r w:rsidRPr="003D137C">
        <w:rPr>
          <w:rStyle w:val="FootnoteReference"/>
          <w:sz w:val="18"/>
          <w:szCs w:val="18"/>
        </w:rPr>
        <w:footnoteRef/>
      </w:r>
      <w:r w:rsidRPr="003D137C">
        <w:rPr>
          <w:sz w:val="18"/>
          <w:szCs w:val="18"/>
        </w:rPr>
        <w:t xml:space="preserve"> </w:t>
      </w:r>
      <w:hyperlink r:id="rId3" w:history="1">
        <w:r w:rsidRPr="003D137C">
          <w:rPr>
            <w:rStyle w:val="Hyperlink"/>
            <w:sz w:val="18"/>
            <w:szCs w:val="18"/>
          </w:rPr>
          <w:t>https://www.finervisa.com.au/visa-482-change-employer/</w:t>
        </w:r>
      </w:hyperlink>
    </w:p>
  </w:footnote>
  <w:footnote w:id="11">
    <w:p w14:paraId="0E0DD4E9" w14:textId="0631A975" w:rsidR="00EF7B98" w:rsidRPr="00E90F6C" w:rsidRDefault="00EF7B98" w:rsidP="009670DC">
      <w:pPr>
        <w:pStyle w:val="FootnoteText"/>
        <w:rPr>
          <w:lang w:val="en-US"/>
        </w:rPr>
      </w:pPr>
      <w:r>
        <w:rPr>
          <w:rStyle w:val="FootnoteReference"/>
        </w:rPr>
        <w:footnoteRef/>
      </w:r>
      <w:r>
        <w:t xml:space="preserve"> </w:t>
      </w:r>
      <w:r>
        <w:rPr>
          <w:lang w:val="en-US"/>
        </w:rPr>
        <w:t>There is a separate industry agreement for labour hire companies, but this agreement only covers workers in occupations on the standard TSS short- and medium-term lists.</w:t>
      </w:r>
    </w:p>
  </w:footnote>
  <w:footnote w:id="12">
    <w:p w14:paraId="0FC6C19C" w14:textId="7941C82C" w:rsidR="00EF7B98" w:rsidRPr="00926EDD" w:rsidRDefault="00EF7B98" w:rsidP="00221A9F">
      <w:pPr>
        <w:pStyle w:val="FootnoteText"/>
        <w:rPr>
          <w:sz w:val="18"/>
          <w:szCs w:val="18"/>
          <w:lang w:val="en-US"/>
        </w:rPr>
      </w:pPr>
      <w:r w:rsidRPr="00926EDD">
        <w:rPr>
          <w:rStyle w:val="FootnoteReference"/>
          <w:sz w:val="18"/>
          <w:szCs w:val="18"/>
        </w:rPr>
        <w:footnoteRef/>
      </w:r>
      <w:r w:rsidR="00D4184F">
        <w:t xml:space="preserve"> </w:t>
      </w:r>
      <w:r>
        <w:t xml:space="preserve">An </w:t>
      </w:r>
      <w:hyperlink r:id="rId4" w:history="1">
        <w:r w:rsidRPr="009670DC">
          <w:rPr>
            <w:rStyle w:val="Hyperlink"/>
          </w:rPr>
          <w:t>agreement</w:t>
        </w:r>
      </w:hyperlink>
      <w:r>
        <w:t xml:space="preserve"> signed with PNG in 2011 is yet to become operational.</w:t>
      </w:r>
      <w:r>
        <w:rPr>
          <w:sz w:val="18"/>
          <w:szCs w:val="18"/>
        </w:rPr>
        <w:t xml:space="preserve"> </w:t>
      </w:r>
    </w:p>
  </w:footnote>
  <w:footnote w:id="13">
    <w:p w14:paraId="6C444211" w14:textId="3A3E91C5" w:rsidR="00EF7B98" w:rsidRDefault="00EF7B98" w:rsidP="000E1960">
      <w:pPr>
        <w:jc w:val="both"/>
      </w:pPr>
      <w:r w:rsidRPr="007013D0">
        <w:rPr>
          <w:rStyle w:val="FootnoteReference"/>
        </w:rPr>
        <w:footnoteRef/>
      </w:r>
      <w:r w:rsidRPr="007013D0">
        <w:t xml:space="preserve"> </w:t>
      </w:r>
      <w:r w:rsidRPr="007013D0">
        <w:rPr>
          <w:sz w:val="18"/>
          <w:szCs w:val="18"/>
        </w:rPr>
        <w:t>The MILA also covers the Skilled Employer Sponsored Regional (Provisional) (SESR or 494) visa which is quite similar, but</w:t>
      </w:r>
      <w:r>
        <w:rPr>
          <w:sz w:val="18"/>
          <w:szCs w:val="18"/>
        </w:rPr>
        <w:t xml:space="preserve"> only applies in regional areas. The 494 </w:t>
      </w:r>
      <w:r w:rsidRPr="00A83924">
        <w:rPr>
          <w:sz w:val="18"/>
          <w:szCs w:val="18"/>
        </w:rPr>
        <w:t xml:space="preserve">provides a </w:t>
      </w:r>
      <w:r>
        <w:rPr>
          <w:sz w:val="18"/>
          <w:szCs w:val="18"/>
        </w:rPr>
        <w:t>five</w:t>
      </w:r>
      <w:r w:rsidRPr="00A83924">
        <w:rPr>
          <w:sz w:val="18"/>
          <w:szCs w:val="18"/>
        </w:rPr>
        <w:t xml:space="preserve">-year visa. Any employer in regional areas (outside Sydney, Melbourne, Brisbane) deciding to hire Pacific workers as temporary migrants could use either visa, </w:t>
      </w:r>
      <w:proofErr w:type="gramStart"/>
      <w:r w:rsidRPr="00A83924">
        <w:rPr>
          <w:sz w:val="18"/>
          <w:szCs w:val="18"/>
        </w:rPr>
        <w:t>and</w:t>
      </w:r>
      <w:proofErr w:type="gramEnd"/>
      <w:r w:rsidRPr="00A83924">
        <w:rPr>
          <w:sz w:val="18"/>
          <w:szCs w:val="18"/>
        </w:rPr>
        <w:t xml:space="preserve"> could decide for themselves.</w:t>
      </w:r>
      <w:r>
        <w:rPr>
          <w:sz w:val="18"/>
          <w:szCs w:val="18"/>
        </w:rPr>
        <w:t xml:space="preserve"> The </w:t>
      </w:r>
      <w:r w:rsidRPr="00F855C3">
        <w:rPr>
          <w:sz w:val="18"/>
          <w:szCs w:val="18"/>
        </w:rPr>
        <w:t xml:space="preserve">Permanent Residence (Skilled Regional) visa (191) is the pathway to permanency from the 494 </w:t>
      </w:r>
      <w:proofErr w:type="gramStart"/>
      <w:r w:rsidRPr="00F855C3">
        <w:rPr>
          <w:sz w:val="18"/>
          <w:szCs w:val="18"/>
        </w:rPr>
        <w:t>visa</w:t>
      </w:r>
      <w:proofErr w:type="gramEnd"/>
      <w:r w:rsidRPr="00F855C3">
        <w:rPr>
          <w:sz w:val="18"/>
          <w:szCs w:val="18"/>
        </w:rPr>
        <w:t>. Employer nomination is not required</w:t>
      </w:r>
      <w:r>
        <w:rPr>
          <w:sz w:val="18"/>
          <w:szCs w:val="18"/>
        </w:rPr>
        <w:t xml:space="preserve"> for the 191.</w:t>
      </w:r>
    </w:p>
  </w:footnote>
  <w:footnote w:id="14">
    <w:p w14:paraId="11A76590" w14:textId="77777777" w:rsidR="00EF7B98" w:rsidRPr="007D3FAF" w:rsidRDefault="00EF7B98" w:rsidP="000E1960">
      <w:pPr>
        <w:pStyle w:val="FootnoteText"/>
        <w:rPr>
          <w:sz w:val="18"/>
          <w:szCs w:val="18"/>
        </w:rPr>
      </w:pPr>
      <w:r w:rsidRPr="007D3FAF">
        <w:rPr>
          <w:rStyle w:val="FootnoteReference"/>
          <w:sz w:val="18"/>
          <w:szCs w:val="18"/>
        </w:rPr>
        <w:footnoteRef/>
      </w:r>
      <w:r w:rsidRPr="007D3FAF">
        <w:rPr>
          <w:sz w:val="18"/>
          <w:szCs w:val="18"/>
        </w:rPr>
        <w:t xml:space="preserve"> </w:t>
      </w:r>
      <w:r>
        <w:rPr>
          <w:sz w:val="18"/>
          <w:szCs w:val="18"/>
        </w:rPr>
        <w:t xml:space="preserve">The actual requirement is that the work must </w:t>
      </w:r>
      <w:r w:rsidRPr="007D3FAF">
        <w:rPr>
          <w:rStyle w:val="markedcontent"/>
          <w:sz w:val="18"/>
          <w:szCs w:val="18"/>
        </w:rPr>
        <w:t>“have been assessed and verified by a MINTRAC registered assessor, or an assessor approved by the Commonwealth, with a Certificate IV in Training and Assessment experienced in meat processing, to be Skilled Meat Workers with a minimum skill level commensurate with the MINTRAC referenced AQF Certificate III in meat processing</w:t>
      </w:r>
      <w:r>
        <w:rPr>
          <w:rStyle w:val="markedcontent"/>
          <w:sz w:val="18"/>
          <w:szCs w:val="18"/>
        </w:rPr>
        <w:t>.</w:t>
      </w:r>
      <w:r w:rsidRPr="007D3FAF">
        <w:rPr>
          <w:rStyle w:val="markedcontent"/>
          <w:sz w:val="18"/>
          <w:szCs w:val="18"/>
        </w:rPr>
        <w:t>”</w:t>
      </w:r>
      <w:r>
        <w:rPr>
          <w:rStyle w:val="markedcontent"/>
          <w:sz w:val="18"/>
          <w:szCs w:val="18"/>
        </w:rPr>
        <w:t xml:space="preserve"> </w:t>
      </w:r>
      <w:r w:rsidRPr="00514E96">
        <w:rPr>
          <w:rStyle w:val="markedcontent"/>
          <w:sz w:val="18"/>
          <w:szCs w:val="18"/>
        </w:rPr>
        <w:t xml:space="preserve">MINTRAC </w:t>
      </w:r>
      <w:r>
        <w:rPr>
          <w:rStyle w:val="markedcontent"/>
          <w:sz w:val="18"/>
          <w:szCs w:val="18"/>
        </w:rPr>
        <w:t>is the Meat Industry Training Advisory Council Limited.</w:t>
      </w:r>
    </w:p>
  </w:footnote>
  <w:footnote w:id="15">
    <w:p w14:paraId="5DF001A1" w14:textId="0272A870" w:rsidR="00EF7B98" w:rsidRPr="004353B3" w:rsidRDefault="00EF7B98" w:rsidP="000E1960">
      <w:pPr>
        <w:pStyle w:val="FootnoteText"/>
        <w:rPr>
          <w:sz w:val="18"/>
          <w:szCs w:val="18"/>
        </w:rPr>
      </w:pPr>
      <w:r w:rsidRPr="004353B3">
        <w:rPr>
          <w:rStyle w:val="FootnoteReference"/>
          <w:sz w:val="18"/>
          <w:szCs w:val="18"/>
        </w:rPr>
        <w:footnoteRef/>
      </w:r>
      <w:r w:rsidRPr="004353B3">
        <w:rPr>
          <w:sz w:val="18"/>
          <w:szCs w:val="18"/>
        </w:rPr>
        <w:t xml:space="preserve"> Visa applicants </w:t>
      </w:r>
      <w:r>
        <w:rPr>
          <w:sz w:val="18"/>
          <w:szCs w:val="18"/>
        </w:rPr>
        <w:t xml:space="preserve">would </w:t>
      </w:r>
      <w:r w:rsidRPr="004353B3">
        <w:rPr>
          <w:sz w:val="18"/>
          <w:szCs w:val="18"/>
        </w:rPr>
        <w:t xml:space="preserve">need to provide the name and location of the institution/s, level of qualification/s, official transcript from the secondary and/or tertiary institution, number of contact hours per week in English and number of years of study. </w:t>
      </w:r>
    </w:p>
  </w:footnote>
  <w:footnote w:id="16">
    <w:p w14:paraId="1E8B82AC" w14:textId="77777777" w:rsidR="00EF7B98" w:rsidRPr="004F058F" w:rsidRDefault="00EF7B98" w:rsidP="0092621A">
      <w:pPr>
        <w:pStyle w:val="FootnoteText"/>
        <w:rPr>
          <w:sz w:val="18"/>
          <w:szCs w:val="18"/>
        </w:rPr>
      </w:pPr>
      <w:r w:rsidRPr="004F058F">
        <w:rPr>
          <w:rStyle w:val="FootnoteReference"/>
          <w:sz w:val="18"/>
          <w:szCs w:val="18"/>
        </w:rPr>
        <w:footnoteRef/>
      </w:r>
      <w:r w:rsidRPr="004F058F">
        <w:rPr>
          <w:sz w:val="18"/>
          <w:szCs w:val="18"/>
        </w:rPr>
        <w:t xml:space="preserve"> The alternative visa to the TSS is the Skilled Employer Sponsored Regional (SESR) (subclass 494) visa. This visa provides a pathway available after three years to the Permanent Residence (Skilled Regional) visa (subclass 191)</w:t>
      </w:r>
    </w:p>
  </w:footnote>
  <w:footnote w:id="17">
    <w:p w14:paraId="5B7B5FCB" w14:textId="5BAE7DBC" w:rsidR="00EF7B98" w:rsidRPr="00514E96" w:rsidRDefault="00EF7B98" w:rsidP="000E1960">
      <w:pPr>
        <w:pStyle w:val="FootnoteText"/>
        <w:rPr>
          <w:sz w:val="18"/>
          <w:szCs w:val="18"/>
          <w:lang w:val="en-US"/>
        </w:rPr>
      </w:pPr>
      <w:r w:rsidRPr="00514E96">
        <w:rPr>
          <w:rStyle w:val="FootnoteReference"/>
          <w:sz w:val="18"/>
          <w:szCs w:val="18"/>
        </w:rPr>
        <w:footnoteRef/>
      </w:r>
      <w:r w:rsidRPr="00514E96">
        <w:rPr>
          <w:sz w:val="18"/>
          <w:szCs w:val="18"/>
        </w:rPr>
        <w:t xml:space="preserve"> Item 6 of the MILA states that: “The Approved Sponsor must ensure that where they utilised a labour hire or recruitment company to source an Overseas Worker that such providers are licensed in accordance with any relevant state or territory legislation.</w:t>
      </w:r>
      <w:r>
        <w:rPr>
          <w:sz w:val="18"/>
          <w:szCs w:val="18"/>
        </w:rPr>
        <w:t xml:space="preserve"> </w:t>
      </w:r>
      <w:r w:rsidRPr="00514E96">
        <w:rPr>
          <w:sz w:val="18"/>
          <w:szCs w:val="18"/>
        </w:rPr>
        <w:t>The Approved Sponsor must also ensure that any Overseas Worker works directly for them once employed.” Schedule 3 of the MILA titled “Direct employment” states that “The Sponsor must only make a nomination application in respect of a nominee that would work directly for them at an MPE.”</w:t>
      </w:r>
    </w:p>
  </w:footnote>
  <w:footnote w:id="18">
    <w:p w14:paraId="54C91B51" w14:textId="4CCDBCFB" w:rsidR="00EF7B98" w:rsidRPr="004353B3" w:rsidRDefault="00EF7B98">
      <w:pPr>
        <w:pStyle w:val="FootnoteText"/>
        <w:rPr>
          <w:sz w:val="18"/>
          <w:szCs w:val="18"/>
        </w:rPr>
      </w:pPr>
      <w:r w:rsidRPr="004353B3">
        <w:rPr>
          <w:rStyle w:val="FootnoteReference"/>
          <w:sz w:val="18"/>
          <w:szCs w:val="18"/>
        </w:rPr>
        <w:footnoteRef/>
      </w:r>
      <w:r w:rsidRPr="004353B3">
        <w:rPr>
          <w:sz w:val="18"/>
          <w:szCs w:val="18"/>
        </w:rPr>
        <w:t xml:space="preserve"> PLS workers in three Skill Level 3 trade occupations that APTC offers relevant qualifications for (Maintenance Electrician Fitter and Welder and Mechanic) could also access a TSS pathway under the HILA with lower English requirements.</w:t>
      </w:r>
    </w:p>
  </w:footnote>
  <w:footnote w:id="19">
    <w:p w14:paraId="5FFD91EC" w14:textId="77777777" w:rsidR="00EF7B98" w:rsidRPr="004353B3" w:rsidRDefault="00EF7B98" w:rsidP="00767168">
      <w:pPr>
        <w:pStyle w:val="FootnoteText"/>
        <w:rPr>
          <w:sz w:val="18"/>
          <w:szCs w:val="18"/>
        </w:rPr>
      </w:pPr>
      <w:r w:rsidRPr="004353B3">
        <w:rPr>
          <w:rStyle w:val="FootnoteReference"/>
          <w:sz w:val="18"/>
          <w:szCs w:val="18"/>
        </w:rPr>
        <w:footnoteRef/>
      </w:r>
      <w:r w:rsidRPr="004353B3">
        <w:rPr>
          <w:sz w:val="18"/>
          <w:szCs w:val="18"/>
        </w:rPr>
        <w:t xml:space="preserve"> Visa applicants need to provide the name and location of the institution/s, level of qualification/s, official transcript from the secondary and/or tertiary institution, number of contact hours per week in English and number of years of study. </w:t>
      </w:r>
    </w:p>
  </w:footnote>
  <w:footnote w:id="20">
    <w:p w14:paraId="0F520A69" w14:textId="7DECA224" w:rsidR="00EF7B98" w:rsidRPr="004353B3" w:rsidRDefault="00EF7B98">
      <w:pPr>
        <w:pStyle w:val="FootnoteText"/>
        <w:rPr>
          <w:sz w:val="18"/>
          <w:szCs w:val="18"/>
        </w:rPr>
      </w:pPr>
      <w:r w:rsidRPr="004353B3">
        <w:rPr>
          <w:rStyle w:val="FootnoteReference"/>
          <w:sz w:val="18"/>
          <w:szCs w:val="18"/>
        </w:rPr>
        <w:footnoteRef/>
      </w:r>
      <w:r w:rsidRPr="004353B3">
        <w:rPr>
          <w:sz w:val="18"/>
          <w:szCs w:val="18"/>
        </w:rPr>
        <w:t xml:space="preserve"> The alternative visa to the TSS is the Skilled Employer Sponsored Regional (SESR) (subclass 494) visa. This visa provides a pathway available after three years to the Permanent Residence (Skilled Regional) visa (subclass 191)</w:t>
      </w:r>
    </w:p>
  </w:footnote>
  <w:footnote w:id="21">
    <w:p w14:paraId="29093990" w14:textId="3ECD09D5" w:rsidR="00EF7B98" w:rsidRPr="00360A8C" w:rsidRDefault="00EF7B98">
      <w:pPr>
        <w:pStyle w:val="FootnoteText"/>
        <w:rPr>
          <w:lang w:val="en-US"/>
        </w:rPr>
      </w:pPr>
      <w:r>
        <w:rPr>
          <w:rStyle w:val="FootnoteReference"/>
        </w:rPr>
        <w:footnoteRef/>
      </w:r>
      <w:r>
        <w:t xml:space="preserve"> The DAMAs generally have low caps, but even those are not being achieved.</w:t>
      </w:r>
    </w:p>
  </w:footnote>
  <w:footnote w:id="22">
    <w:p w14:paraId="09937DD6" w14:textId="5E494924" w:rsidR="00EF7B98" w:rsidRDefault="00EF7B98" w:rsidP="00767168">
      <w:pPr>
        <w:pStyle w:val="FootnoteText"/>
      </w:pPr>
      <w:r>
        <w:rPr>
          <w:rStyle w:val="FootnoteReference"/>
        </w:rPr>
        <w:footnoteRef/>
      </w:r>
      <w:r>
        <w:t xml:space="preserve"> The relevant APTC qualification is </w:t>
      </w:r>
      <w:r w:rsidRPr="00F10B50">
        <w:t xml:space="preserve">Mem30205 </w:t>
      </w:r>
      <w:r>
        <w:t>–</w:t>
      </w:r>
      <w:r w:rsidRPr="00F10B50">
        <w:t xml:space="preserve"> Certificate III </w:t>
      </w:r>
      <w:proofErr w:type="gramStart"/>
      <w:r w:rsidRPr="00F10B50">
        <w:t>In</w:t>
      </w:r>
      <w:proofErr w:type="gramEnd"/>
      <w:r w:rsidRPr="00F10B50">
        <w:t xml:space="preserve"> Engineering </w:t>
      </w:r>
      <w:r>
        <w:t>–</w:t>
      </w:r>
      <w:r w:rsidRPr="00F10B50">
        <w:t xml:space="preserve"> Mechanical Trade (Maintenance) Diesel Fitting Pathway</w:t>
      </w:r>
      <w:r>
        <w:t xml:space="preserve">. </w:t>
      </w:r>
    </w:p>
  </w:footnote>
  <w:footnote w:id="23">
    <w:p w14:paraId="7A4F3868" w14:textId="77777777" w:rsidR="00EF7B98" w:rsidRPr="00411B75" w:rsidRDefault="00EF7B98" w:rsidP="00767168">
      <w:pPr>
        <w:pStyle w:val="FootnoteText"/>
        <w:rPr>
          <w:lang w:val="en-US"/>
        </w:rPr>
      </w:pPr>
      <w:r>
        <w:rPr>
          <w:rStyle w:val="FootnoteReference"/>
        </w:rPr>
        <w:footnoteRef/>
      </w:r>
      <w:r>
        <w:t xml:space="preserve"> </w:t>
      </w:r>
      <w:hyperlink r:id="rId5" w:history="1">
        <w:r w:rsidRPr="000665F7">
          <w:rPr>
            <w:rStyle w:val="Hyperlink"/>
          </w:rPr>
          <w:t>https://devpolicy.org/aptc-graduates-finding-it-increasingly-difficult-to-find-employment-20210217/</w:t>
        </w:r>
      </w:hyperlink>
      <w:r>
        <w:t xml:space="preserve"> </w:t>
      </w:r>
    </w:p>
  </w:footnote>
  <w:footnote w:id="24">
    <w:p w14:paraId="4C33DA6D" w14:textId="3C87DF57" w:rsidR="00EF7B98" w:rsidRPr="004353B3" w:rsidRDefault="00EF7B98" w:rsidP="00767168">
      <w:pPr>
        <w:spacing w:after="0"/>
        <w:rPr>
          <w:rFonts w:cstheme="minorHAnsi"/>
          <w:sz w:val="18"/>
          <w:szCs w:val="18"/>
          <w:lang w:val="en-US"/>
        </w:rPr>
      </w:pPr>
      <w:r w:rsidRPr="004353B3">
        <w:rPr>
          <w:rStyle w:val="FootnoteReference"/>
          <w:rFonts w:cstheme="minorHAnsi"/>
          <w:sz w:val="18"/>
          <w:szCs w:val="18"/>
        </w:rPr>
        <w:footnoteRef/>
      </w:r>
      <w:r w:rsidRPr="004353B3">
        <w:rPr>
          <w:rFonts w:cstheme="minorHAnsi"/>
          <w:sz w:val="18"/>
          <w:szCs w:val="18"/>
        </w:rPr>
        <w:t xml:space="preserve"> </w:t>
      </w:r>
      <w:r w:rsidRPr="004353B3">
        <w:rPr>
          <w:sz w:val="18"/>
          <w:szCs w:val="18"/>
        </w:rPr>
        <w:t>TSS applicants are exempt from any mandatory skills assessment if they have completed an Australian</w:t>
      </w:r>
      <w:r>
        <w:rPr>
          <w:sz w:val="18"/>
          <w:szCs w:val="18"/>
        </w:rPr>
        <w:t>-</w:t>
      </w:r>
      <w:r w:rsidRPr="004353B3">
        <w:rPr>
          <w:sz w:val="18"/>
          <w:szCs w:val="18"/>
        </w:rPr>
        <w:t xml:space="preserve">recognised qualification. TSS applicants from some countries are required to undergo a mandatory skills assessment if they hold a non-Australian-accredited qualification. The requirement is spelt out </w:t>
      </w:r>
      <w:hyperlink r:id="rId6" w:history="1">
        <w:r w:rsidRPr="004353B3">
          <w:rPr>
            <w:rStyle w:val="Hyperlink"/>
            <w:sz w:val="18"/>
            <w:szCs w:val="18"/>
          </w:rPr>
          <w:t>here</w:t>
        </w:r>
      </w:hyperlink>
      <w:r w:rsidRPr="004353B3">
        <w:rPr>
          <w:sz w:val="18"/>
          <w:szCs w:val="18"/>
        </w:rPr>
        <w:t xml:space="preserve"> in a legislative instrument and it varies by occupation. See also: </w:t>
      </w:r>
      <w:hyperlink r:id="rId7" w:history="1">
        <w:r w:rsidRPr="004353B3">
          <w:rPr>
            <w:rStyle w:val="Hyperlink"/>
            <w:rFonts w:cstheme="minorHAnsi"/>
            <w:sz w:val="18"/>
            <w:szCs w:val="18"/>
          </w:rPr>
          <w:t>https://www.vetassess.com.au/skills-assessment-for-migration/trade-occupations/assessment-process</w:t>
        </w:r>
      </w:hyperlink>
      <w:r w:rsidRPr="004353B3">
        <w:rPr>
          <w:rStyle w:val="Hyperlink"/>
          <w:rFonts w:cstheme="minorHAnsi"/>
          <w:sz w:val="18"/>
          <w:szCs w:val="18"/>
        </w:rPr>
        <w:t>.</w:t>
      </w:r>
    </w:p>
  </w:footnote>
  <w:footnote w:id="25">
    <w:p w14:paraId="7C4F701F" w14:textId="438FF0B6" w:rsidR="00EF7B98" w:rsidRPr="004353B3" w:rsidRDefault="00EF7B98" w:rsidP="00767168">
      <w:pPr>
        <w:pStyle w:val="FootnoteText"/>
        <w:rPr>
          <w:rFonts w:cstheme="minorHAnsi"/>
          <w:sz w:val="18"/>
          <w:szCs w:val="18"/>
        </w:rPr>
      </w:pPr>
      <w:r w:rsidRPr="004353B3">
        <w:rPr>
          <w:rStyle w:val="FootnoteReference"/>
          <w:rFonts w:cstheme="minorHAnsi"/>
          <w:sz w:val="18"/>
          <w:szCs w:val="18"/>
        </w:rPr>
        <w:footnoteRef/>
      </w:r>
      <w:r w:rsidRPr="004353B3">
        <w:rPr>
          <w:rFonts w:cstheme="minorHAnsi"/>
          <w:sz w:val="18"/>
          <w:szCs w:val="18"/>
        </w:rPr>
        <w:t xml:space="preserve"> According to VETASSESS, the largest occupation assessor for immigration purposes, the evidence requirements for the 32 trade-based occupations state </w:t>
      </w:r>
      <w:hyperlink r:id="rId8" w:history="1">
        <w:r w:rsidRPr="004353B3">
          <w:rPr>
            <w:rStyle w:val="Hyperlink"/>
            <w:rFonts w:cstheme="minorHAnsi"/>
            <w:sz w:val="18"/>
            <w:szCs w:val="18"/>
          </w:rPr>
          <w:t>that non-licensed Trades have to have three (3) years</w:t>
        </w:r>
        <w:r>
          <w:rPr>
            <w:rStyle w:val="Hyperlink"/>
            <w:rFonts w:cstheme="minorHAnsi"/>
            <w:sz w:val="18"/>
            <w:szCs w:val="18"/>
          </w:rPr>
          <w:t>’</w:t>
        </w:r>
        <w:r w:rsidRPr="004353B3">
          <w:rPr>
            <w:rStyle w:val="Hyperlink"/>
            <w:rFonts w:cstheme="minorHAnsi"/>
            <w:sz w:val="18"/>
            <w:szCs w:val="18"/>
          </w:rPr>
          <w:t xml:space="preserve"> employment experience (with relevant formal training).</w:t>
        </w:r>
      </w:hyperlink>
      <w:r w:rsidRPr="004353B3">
        <w:rPr>
          <w:rFonts w:cstheme="minorHAnsi"/>
          <w:sz w:val="18"/>
          <w:szCs w:val="18"/>
        </w:rPr>
        <w:t xml:space="preserve"> </w:t>
      </w:r>
    </w:p>
  </w:footnote>
  <w:footnote w:id="26">
    <w:p w14:paraId="0E8D3E04" w14:textId="77777777" w:rsidR="00EF7B98" w:rsidRPr="004353B3" w:rsidRDefault="00EF7B98" w:rsidP="00767168">
      <w:pPr>
        <w:pStyle w:val="FootnoteText"/>
        <w:rPr>
          <w:sz w:val="18"/>
          <w:szCs w:val="18"/>
        </w:rPr>
      </w:pPr>
      <w:r w:rsidRPr="004353B3">
        <w:rPr>
          <w:rStyle w:val="FootnoteReference"/>
          <w:sz w:val="18"/>
          <w:szCs w:val="18"/>
        </w:rPr>
        <w:footnoteRef/>
      </w:r>
      <w:r w:rsidRPr="004353B3">
        <w:rPr>
          <w:sz w:val="18"/>
          <w:szCs w:val="18"/>
        </w:rPr>
        <w:t xml:space="preserve"> Visa applicants need to provide the name and location of the institution/s, level of qualification/s, official transcript from the secondary and/or tertiary institution, number of contact hours per week in English and number of years of study.</w:t>
      </w:r>
    </w:p>
  </w:footnote>
  <w:footnote w:id="27">
    <w:p w14:paraId="5B90D088" w14:textId="4BAF5167" w:rsidR="00EF7B98" w:rsidRPr="00920F60" w:rsidRDefault="00EF7B98" w:rsidP="00920F60">
      <w:pPr>
        <w:rPr>
          <w:sz w:val="18"/>
          <w:szCs w:val="18"/>
        </w:rPr>
      </w:pPr>
      <w:r w:rsidRPr="00920F60">
        <w:rPr>
          <w:rStyle w:val="FootnoteReference"/>
          <w:sz w:val="18"/>
          <w:szCs w:val="18"/>
        </w:rPr>
        <w:footnoteRef/>
      </w:r>
      <w:r w:rsidRPr="00920F60">
        <w:rPr>
          <w:sz w:val="18"/>
          <w:szCs w:val="18"/>
        </w:rPr>
        <w:t xml:space="preserve"> </w:t>
      </w:r>
      <w:r w:rsidRPr="00920F60">
        <w:rPr>
          <w:rStyle w:val="FootnoteTextChar"/>
          <w:sz w:val="18"/>
          <w:szCs w:val="18"/>
        </w:rPr>
        <w:t>Richard Curtain and Stephen Howes, “</w:t>
      </w:r>
      <w:hyperlink r:id="rId9" w:history="1">
        <w:r w:rsidRPr="00920F60">
          <w:rPr>
            <w:rStyle w:val="FootnoteTextChar"/>
            <w:sz w:val="18"/>
            <w:szCs w:val="18"/>
          </w:rPr>
          <w:t>APTC graduates finding it increasingly difficult to find employment</w:t>
        </w:r>
      </w:hyperlink>
      <w:r w:rsidRPr="00920F60">
        <w:rPr>
          <w:rStyle w:val="FootnoteTextChar"/>
          <w:sz w:val="18"/>
          <w:szCs w:val="18"/>
        </w:rPr>
        <w:t>”, Devpolicy Blog, 17 February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6DD"/>
    <w:multiLevelType w:val="hybridMultilevel"/>
    <w:tmpl w:val="C69A8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75933"/>
    <w:multiLevelType w:val="hybridMultilevel"/>
    <w:tmpl w:val="5274857E"/>
    <w:lvl w:ilvl="0" w:tplc="66FC5E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4667F"/>
    <w:multiLevelType w:val="hybridMultilevel"/>
    <w:tmpl w:val="A0FC5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87D67"/>
    <w:multiLevelType w:val="hybridMultilevel"/>
    <w:tmpl w:val="69B2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74B54"/>
    <w:multiLevelType w:val="hybridMultilevel"/>
    <w:tmpl w:val="51246B9A"/>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C7530"/>
    <w:multiLevelType w:val="hybridMultilevel"/>
    <w:tmpl w:val="6554A37A"/>
    <w:lvl w:ilvl="0" w:tplc="27F068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EB1791"/>
    <w:multiLevelType w:val="hybridMultilevel"/>
    <w:tmpl w:val="2D3A8096"/>
    <w:lvl w:ilvl="0" w:tplc="1520D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C20ACB"/>
    <w:multiLevelType w:val="hybridMultilevel"/>
    <w:tmpl w:val="A1F01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AD5DBC"/>
    <w:multiLevelType w:val="hybridMultilevel"/>
    <w:tmpl w:val="A0380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2756C"/>
    <w:multiLevelType w:val="hybridMultilevel"/>
    <w:tmpl w:val="0E5E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264D9"/>
    <w:multiLevelType w:val="hybridMultilevel"/>
    <w:tmpl w:val="5844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670FB"/>
    <w:multiLevelType w:val="hybridMultilevel"/>
    <w:tmpl w:val="2990F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2786D"/>
    <w:multiLevelType w:val="hybridMultilevel"/>
    <w:tmpl w:val="2620EFA0"/>
    <w:lvl w:ilvl="0" w:tplc="D2602A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E65A6E"/>
    <w:multiLevelType w:val="hybridMultilevel"/>
    <w:tmpl w:val="EA126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F2518"/>
    <w:multiLevelType w:val="hybridMultilevel"/>
    <w:tmpl w:val="C9FC8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A5357B"/>
    <w:multiLevelType w:val="hybridMultilevel"/>
    <w:tmpl w:val="5F4AF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9558B"/>
    <w:multiLevelType w:val="hybridMultilevel"/>
    <w:tmpl w:val="0066B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1137DE"/>
    <w:multiLevelType w:val="hybridMultilevel"/>
    <w:tmpl w:val="D9EA637C"/>
    <w:lvl w:ilvl="0" w:tplc="B5BA25FE">
      <w:start w:val="1"/>
      <w:numFmt w:val="decimal"/>
      <w:lvlText w:val="(%1)"/>
      <w:lvlJc w:val="left"/>
      <w:pPr>
        <w:ind w:left="531" w:hanging="360"/>
      </w:pPr>
      <w:rPr>
        <w:rFonts w:hint="default"/>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18" w15:restartNumberingAfterBreak="0">
    <w:nsid w:val="431F362C"/>
    <w:multiLevelType w:val="hybridMultilevel"/>
    <w:tmpl w:val="0CAA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761A2B"/>
    <w:multiLevelType w:val="hybridMultilevel"/>
    <w:tmpl w:val="93FCC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9B11A3"/>
    <w:multiLevelType w:val="hybridMultilevel"/>
    <w:tmpl w:val="C5307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12D2F"/>
    <w:multiLevelType w:val="hybridMultilevel"/>
    <w:tmpl w:val="3A60D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9C2DE6"/>
    <w:multiLevelType w:val="hybridMultilevel"/>
    <w:tmpl w:val="081A2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DE53DE"/>
    <w:multiLevelType w:val="hybridMultilevel"/>
    <w:tmpl w:val="84E0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9C5ED7"/>
    <w:multiLevelType w:val="hybridMultilevel"/>
    <w:tmpl w:val="2620EF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DA4114"/>
    <w:multiLevelType w:val="hybridMultilevel"/>
    <w:tmpl w:val="C6B6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004713"/>
    <w:multiLevelType w:val="hybridMultilevel"/>
    <w:tmpl w:val="C6C6475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A74E4E"/>
    <w:multiLevelType w:val="hybridMultilevel"/>
    <w:tmpl w:val="8CBC70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D36A98"/>
    <w:multiLevelType w:val="hybridMultilevel"/>
    <w:tmpl w:val="5D782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6633C8"/>
    <w:multiLevelType w:val="hybridMultilevel"/>
    <w:tmpl w:val="A0BE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F247FA"/>
    <w:multiLevelType w:val="hybridMultilevel"/>
    <w:tmpl w:val="F95CDF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6F85B2B"/>
    <w:multiLevelType w:val="hybridMultilevel"/>
    <w:tmpl w:val="71265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A34E5F"/>
    <w:multiLevelType w:val="hybridMultilevel"/>
    <w:tmpl w:val="942C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4B248E"/>
    <w:multiLevelType w:val="hybridMultilevel"/>
    <w:tmpl w:val="4C04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B11A8B"/>
    <w:multiLevelType w:val="hybridMultilevel"/>
    <w:tmpl w:val="F656C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006D4B"/>
    <w:multiLevelType w:val="hybridMultilevel"/>
    <w:tmpl w:val="4CBE9122"/>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FA52211"/>
    <w:multiLevelType w:val="hybridMultilevel"/>
    <w:tmpl w:val="18887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1"/>
  </w:num>
  <w:num w:numId="4">
    <w:abstractNumId w:val="2"/>
  </w:num>
  <w:num w:numId="5">
    <w:abstractNumId w:val="14"/>
  </w:num>
  <w:num w:numId="6">
    <w:abstractNumId w:val="18"/>
  </w:num>
  <w:num w:numId="7">
    <w:abstractNumId w:val="28"/>
  </w:num>
  <w:num w:numId="8">
    <w:abstractNumId w:val="19"/>
  </w:num>
  <w:num w:numId="9">
    <w:abstractNumId w:val="0"/>
  </w:num>
  <w:num w:numId="10">
    <w:abstractNumId w:val="22"/>
  </w:num>
  <w:num w:numId="11">
    <w:abstractNumId w:val="3"/>
  </w:num>
  <w:num w:numId="12">
    <w:abstractNumId w:val="25"/>
  </w:num>
  <w:num w:numId="13">
    <w:abstractNumId w:val="36"/>
  </w:num>
  <w:num w:numId="14">
    <w:abstractNumId w:val="34"/>
  </w:num>
  <w:num w:numId="15">
    <w:abstractNumId w:val="21"/>
  </w:num>
  <w:num w:numId="16">
    <w:abstractNumId w:val="15"/>
  </w:num>
  <w:num w:numId="17">
    <w:abstractNumId w:val="33"/>
  </w:num>
  <w:num w:numId="18">
    <w:abstractNumId w:val="5"/>
  </w:num>
  <w:num w:numId="19">
    <w:abstractNumId w:val="31"/>
  </w:num>
  <w:num w:numId="20">
    <w:abstractNumId w:val="2"/>
  </w:num>
  <w:num w:numId="21">
    <w:abstractNumId w:val="13"/>
  </w:num>
  <w:num w:numId="22">
    <w:abstractNumId w:val="20"/>
  </w:num>
  <w:num w:numId="23">
    <w:abstractNumId w:val="30"/>
  </w:num>
  <w:num w:numId="24">
    <w:abstractNumId w:val="35"/>
  </w:num>
  <w:num w:numId="25">
    <w:abstractNumId w:val="12"/>
  </w:num>
  <w:num w:numId="26">
    <w:abstractNumId w:val="26"/>
  </w:num>
  <w:num w:numId="27">
    <w:abstractNumId w:val="24"/>
  </w:num>
  <w:num w:numId="28">
    <w:abstractNumId w:val="4"/>
  </w:num>
  <w:num w:numId="29">
    <w:abstractNumId w:val="9"/>
  </w:num>
  <w:num w:numId="30">
    <w:abstractNumId w:val="10"/>
  </w:num>
  <w:num w:numId="31">
    <w:abstractNumId w:val="6"/>
  </w:num>
  <w:num w:numId="32">
    <w:abstractNumId w:val="8"/>
  </w:num>
  <w:num w:numId="33">
    <w:abstractNumId w:val="11"/>
  </w:num>
  <w:num w:numId="34">
    <w:abstractNumId w:val="7"/>
  </w:num>
  <w:num w:numId="35">
    <w:abstractNumId w:val="1"/>
  </w:num>
  <w:num w:numId="36">
    <w:abstractNumId w:val="17"/>
  </w:num>
  <w:num w:numId="37">
    <w:abstractNumId w:val="32"/>
  </w:num>
  <w:num w:numId="38">
    <w:abstractNumId w:val="29"/>
  </w:num>
  <w:num w:numId="3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BE"/>
    <w:rsid w:val="000004F0"/>
    <w:rsid w:val="0000150B"/>
    <w:rsid w:val="00001FD5"/>
    <w:rsid w:val="00003E0C"/>
    <w:rsid w:val="00003E4C"/>
    <w:rsid w:val="00003ED3"/>
    <w:rsid w:val="000049B3"/>
    <w:rsid w:val="00004A1C"/>
    <w:rsid w:val="00005DC4"/>
    <w:rsid w:val="00007447"/>
    <w:rsid w:val="000102A6"/>
    <w:rsid w:val="00010A25"/>
    <w:rsid w:val="000135F9"/>
    <w:rsid w:val="00013806"/>
    <w:rsid w:val="00013A3C"/>
    <w:rsid w:val="00013E20"/>
    <w:rsid w:val="0001441C"/>
    <w:rsid w:val="000156AC"/>
    <w:rsid w:val="00016C00"/>
    <w:rsid w:val="00017268"/>
    <w:rsid w:val="00022CB2"/>
    <w:rsid w:val="000235C9"/>
    <w:rsid w:val="000248D2"/>
    <w:rsid w:val="00024B26"/>
    <w:rsid w:val="000261E4"/>
    <w:rsid w:val="0002682F"/>
    <w:rsid w:val="000269B1"/>
    <w:rsid w:val="0002734F"/>
    <w:rsid w:val="0003117E"/>
    <w:rsid w:val="0003282F"/>
    <w:rsid w:val="00032EA8"/>
    <w:rsid w:val="00035FA7"/>
    <w:rsid w:val="0003648C"/>
    <w:rsid w:val="000374C8"/>
    <w:rsid w:val="00041FEE"/>
    <w:rsid w:val="00042C48"/>
    <w:rsid w:val="00043080"/>
    <w:rsid w:val="00043786"/>
    <w:rsid w:val="00047025"/>
    <w:rsid w:val="00047F62"/>
    <w:rsid w:val="00052BD4"/>
    <w:rsid w:val="000530B7"/>
    <w:rsid w:val="00054662"/>
    <w:rsid w:val="000548C1"/>
    <w:rsid w:val="00054FCF"/>
    <w:rsid w:val="00055616"/>
    <w:rsid w:val="00056241"/>
    <w:rsid w:val="00056506"/>
    <w:rsid w:val="0005693A"/>
    <w:rsid w:val="000575BF"/>
    <w:rsid w:val="00060F90"/>
    <w:rsid w:val="000613F3"/>
    <w:rsid w:val="0006161F"/>
    <w:rsid w:val="000628D7"/>
    <w:rsid w:val="00062AB8"/>
    <w:rsid w:val="00063669"/>
    <w:rsid w:val="00064F81"/>
    <w:rsid w:val="00066578"/>
    <w:rsid w:val="00074608"/>
    <w:rsid w:val="00074B57"/>
    <w:rsid w:val="000753DD"/>
    <w:rsid w:val="000761C1"/>
    <w:rsid w:val="0007698F"/>
    <w:rsid w:val="00077FA2"/>
    <w:rsid w:val="00081337"/>
    <w:rsid w:val="00081A4C"/>
    <w:rsid w:val="00084579"/>
    <w:rsid w:val="000861C9"/>
    <w:rsid w:val="00090936"/>
    <w:rsid w:val="0009171F"/>
    <w:rsid w:val="000920A6"/>
    <w:rsid w:val="00094705"/>
    <w:rsid w:val="00094AA3"/>
    <w:rsid w:val="0009548D"/>
    <w:rsid w:val="000956DD"/>
    <w:rsid w:val="00097BD9"/>
    <w:rsid w:val="000A1B9C"/>
    <w:rsid w:val="000A1F74"/>
    <w:rsid w:val="000A2453"/>
    <w:rsid w:val="000A2B10"/>
    <w:rsid w:val="000A450F"/>
    <w:rsid w:val="000A4A0C"/>
    <w:rsid w:val="000A6607"/>
    <w:rsid w:val="000A6E6F"/>
    <w:rsid w:val="000A7CFD"/>
    <w:rsid w:val="000B107A"/>
    <w:rsid w:val="000B2D19"/>
    <w:rsid w:val="000B35CE"/>
    <w:rsid w:val="000B3BE0"/>
    <w:rsid w:val="000B58B9"/>
    <w:rsid w:val="000B611B"/>
    <w:rsid w:val="000C1238"/>
    <w:rsid w:val="000C1C43"/>
    <w:rsid w:val="000C2551"/>
    <w:rsid w:val="000C2C63"/>
    <w:rsid w:val="000C3B57"/>
    <w:rsid w:val="000C3DD8"/>
    <w:rsid w:val="000C4E5B"/>
    <w:rsid w:val="000C5307"/>
    <w:rsid w:val="000C6016"/>
    <w:rsid w:val="000C64F4"/>
    <w:rsid w:val="000C66A6"/>
    <w:rsid w:val="000C7455"/>
    <w:rsid w:val="000D0633"/>
    <w:rsid w:val="000D29A2"/>
    <w:rsid w:val="000D30EB"/>
    <w:rsid w:val="000D46E8"/>
    <w:rsid w:val="000D496E"/>
    <w:rsid w:val="000D507E"/>
    <w:rsid w:val="000E1960"/>
    <w:rsid w:val="000E19E1"/>
    <w:rsid w:val="000E1B72"/>
    <w:rsid w:val="000E22A4"/>
    <w:rsid w:val="000E2EDC"/>
    <w:rsid w:val="000E34C3"/>
    <w:rsid w:val="000E3FEB"/>
    <w:rsid w:val="000E41F8"/>
    <w:rsid w:val="000F1E5A"/>
    <w:rsid w:val="000F209F"/>
    <w:rsid w:val="000F2780"/>
    <w:rsid w:val="000F4A5D"/>
    <w:rsid w:val="000F4F2D"/>
    <w:rsid w:val="000F55B9"/>
    <w:rsid w:val="000F6059"/>
    <w:rsid w:val="000F6475"/>
    <w:rsid w:val="000F64E3"/>
    <w:rsid w:val="000F7155"/>
    <w:rsid w:val="00101CE1"/>
    <w:rsid w:val="00101F41"/>
    <w:rsid w:val="00102325"/>
    <w:rsid w:val="00102777"/>
    <w:rsid w:val="00103BD6"/>
    <w:rsid w:val="00104955"/>
    <w:rsid w:val="001062EE"/>
    <w:rsid w:val="00111943"/>
    <w:rsid w:val="001139D3"/>
    <w:rsid w:val="001141A6"/>
    <w:rsid w:val="00116787"/>
    <w:rsid w:val="001173C3"/>
    <w:rsid w:val="001203C9"/>
    <w:rsid w:val="00120E6E"/>
    <w:rsid w:val="0012290E"/>
    <w:rsid w:val="00123DC4"/>
    <w:rsid w:val="001250BC"/>
    <w:rsid w:val="00130B7F"/>
    <w:rsid w:val="00133BD9"/>
    <w:rsid w:val="00133D18"/>
    <w:rsid w:val="001340BB"/>
    <w:rsid w:val="0013499E"/>
    <w:rsid w:val="001352D4"/>
    <w:rsid w:val="00135A25"/>
    <w:rsid w:val="001364F6"/>
    <w:rsid w:val="00137C29"/>
    <w:rsid w:val="00142F47"/>
    <w:rsid w:val="00144F02"/>
    <w:rsid w:val="001451D2"/>
    <w:rsid w:val="00146F05"/>
    <w:rsid w:val="00147ADB"/>
    <w:rsid w:val="00150820"/>
    <w:rsid w:val="00150FD9"/>
    <w:rsid w:val="001542BF"/>
    <w:rsid w:val="00154983"/>
    <w:rsid w:val="00156254"/>
    <w:rsid w:val="0016027D"/>
    <w:rsid w:val="00163A5B"/>
    <w:rsid w:val="0016467B"/>
    <w:rsid w:val="00166224"/>
    <w:rsid w:val="0016641F"/>
    <w:rsid w:val="00167AFE"/>
    <w:rsid w:val="00167F4C"/>
    <w:rsid w:val="0017205B"/>
    <w:rsid w:val="00172A76"/>
    <w:rsid w:val="00173303"/>
    <w:rsid w:val="0017545F"/>
    <w:rsid w:val="00177424"/>
    <w:rsid w:val="00180C2F"/>
    <w:rsid w:val="001835B5"/>
    <w:rsid w:val="00184F71"/>
    <w:rsid w:val="00186875"/>
    <w:rsid w:val="00186BBB"/>
    <w:rsid w:val="00186DD6"/>
    <w:rsid w:val="001914E2"/>
    <w:rsid w:val="00191776"/>
    <w:rsid w:val="00191EB0"/>
    <w:rsid w:val="0019265D"/>
    <w:rsid w:val="00192C35"/>
    <w:rsid w:val="00194526"/>
    <w:rsid w:val="00194B92"/>
    <w:rsid w:val="0019747D"/>
    <w:rsid w:val="00197D10"/>
    <w:rsid w:val="001A1945"/>
    <w:rsid w:val="001A322F"/>
    <w:rsid w:val="001A5253"/>
    <w:rsid w:val="001A53D2"/>
    <w:rsid w:val="001A5F92"/>
    <w:rsid w:val="001A745D"/>
    <w:rsid w:val="001A770B"/>
    <w:rsid w:val="001B0FAE"/>
    <w:rsid w:val="001B15E0"/>
    <w:rsid w:val="001B26D7"/>
    <w:rsid w:val="001B2794"/>
    <w:rsid w:val="001B2B12"/>
    <w:rsid w:val="001B307C"/>
    <w:rsid w:val="001B443C"/>
    <w:rsid w:val="001B493D"/>
    <w:rsid w:val="001B625A"/>
    <w:rsid w:val="001B6373"/>
    <w:rsid w:val="001B63B0"/>
    <w:rsid w:val="001B650F"/>
    <w:rsid w:val="001B7B06"/>
    <w:rsid w:val="001C0BE9"/>
    <w:rsid w:val="001C2344"/>
    <w:rsid w:val="001C311E"/>
    <w:rsid w:val="001C3554"/>
    <w:rsid w:val="001C388C"/>
    <w:rsid w:val="001C3A33"/>
    <w:rsid w:val="001C66CC"/>
    <w:rsid w:val="001C7D53"/>
    <w:rsid w:val="001D0AA3"/>
    <w:rsid w:val="001D0BAF"/>
    <w:rsid w:val="001D1A40"/>
    <w:rsid w:val="001D2B45"/>
    <w:rsid w:val="001D2E09"/>
    <w:rsid w:val="001D411C"/>
    <w:rsid w:val="001E0159"/>
    <w:rsid w:val="001E0367"/>
    <w:rsid w:val="001E15ED"/>
    <w:rsid w:val="001E2114"/>
    <w:rsid w:val="001E246B"/>
    <w:rsid w:val="001E461E"/>
    <w:rsid w:val="001E46A0"/>
    <w:rsid w:val="001E5F4A"/>
    <w:rsid w:val="001E649A"/>
    <w:rsid w:val="001E6BCC"/>
    <w:rsid w:val="001E6C2D"/>
    <w:rsid w:val="001F1CCF"/>
    <w:rsid w:val="001F2F58"/>
    <w:rsid w:val="001F6E1A"/>
    <w:rsid w:val="001F79F1"/>
    <w:rsid w:val="00200FF6"/>
    <w:rsid w:val="00202518"/>
    <w:rsid w:val="002029A2"/>
    <w:rsid w:val="002035C2"/>
    <w:rsid w:val="00203819"/>
    <w:rsid w:val="00203BB9"/>
    <w:rsid w:val="002047C9"/>
    <w:rsid w:val="00204F87"/>
    <w:rsid w:val="00206529"/>
    <w:rsid w:val="0020788A"/>
    <w:rsid w:val="00210696"/>
    <w:rsid w:val="00211499"/>
    <w:rsid w:val="00211956"/>
    <w:rsid w:val="00212492"/>
    <w:rsid w:val="00212CC2"/>
    <w:rsid w:val="00213645"/>
    <w:rsid w:val="0021422F"/>
    <w:rsid w:val="002149E3"/>
    <w:rsid w:val="002157C3"/>
    <w:rsid w:val="00215961"/>
    <w:rsid w:val="0022131B"/>
    <w:rsid w:val="00221A9F"/>
    <w:rsid w:val="00223AA1"/>
    <w:rsid w:val="00223B76"/>
    <w:rsid w:val="00223CEC"/>
    <w:rsid w:val="00225266"/>
    <w:rsid w:val="002257EE"/>
    <w:rsid w:val="00225926"/>
    <w:rsid w:val="00225DA7"/>
    <w:rsid w:val="00226884"/>
    <w:rsid w:val="00226887"/>
    <w:rsid w:val="00226DCF"/>
    <w:rsid w:val="00227F22"/>
    <w:rsid w:val="0023008C"/>
    <w:rsid w:val="00230EB2"/>
    <w:rsid w:val="002313D8"/>
    <w:rsid w:val="00233241"/>
    <w:rsid w:val="00234FE8"/>
    <w:rsid w:val="002355B4"/>
    <w:rsid w:val="0023756C"/>
    <w:rsid w:val="00240E04"/>
    <w:rsid w:val="00242461"/>
    <w:rsid w:val="0024564B"/>
    <w:rsid w:val="002458BC"/>
    <w:rsid w:val="002462B1"/>
    <w:rsid w:val="002468D0"/>
    <w:rsid w:val="002471BA"/>
    <w:rsid w:val="0025090C"/>
    <w:rsid w:val="002509EB"/>
    <w:rsid w:val="00251AED"/>
    <w:rsid w:val="00251F1A"/>
    <w:rsid w:val="00253445"/>
    <w:rsid w:val="00253630"/>
    <w:rsid w:val="00253BE0"/>
    <w:rsid w:val="00254EE0"/>
    <w:rsid w:val="00255406"/>
    <w:rsid w:val="002609F3"/>
    <w:rsid w:val="002619D6"/>
    <w:rsid w:val="0026265A"/>
    <w:rsid w:val="00262AAF"/>
    <w:rsid w:val="0026352C"/>
    <w:rsid w:val="00263DBF"/>
    <w:rsid w:val="00266A93"/>
    <w:rsid w:val="002705C5"/>
    <w:rsid w:val="00270DDC"/>
    <w:rsid w:val="00272093"/>
    <w:rsid w:val="00272F33"/>
    <w:rsid w:val="00273235"/>
    <w:rsid w:val="002733A5"/>
    <w:rsid w:val="002735D9"/>
    <w:rsid w:val="002748EA"/>
    <w:rsid w:val="002749AF"/>
    <w:rsid w:val="00274D4A"/>
    <w:rsid w:val="00274E30"/>
    <w:rsid w:val="0027560E"/>
    <w:rsid w:val="00275D5B"/>
    <w:rsid w:val="00276011"/>
    <w:rsid w:val="00276CBE"/>
    <w:rsid w:val="00280C03"/>
    <w:rsid w:val="00281C95"/>
    <w:rsid w:val="0028296E"/>
    <w:rsid w:val="00282BB9"/>
    <w:rsid w:val="00282D75"/>
    <w:rsid w:val="002835D7"/>
    <w:rsid w:val="0028367F"/>
    <w:rsid w:val="00285368"/>
    <w:rsid w:val="002855D7"/>
    <w:rsid w:val="00287ACD"/>
    <w:rsid w:val="0029093B"/>
    <w:rsid w:val="00290C6E"/>
    <w:rsid w:val="00290E70"/>
    <w:rsid w:val="00291051"/>
    <w:rsid w:val="00291D8A"/>
    <w:rsid w:val="00291E17"/>
    <w:rsid w:val="00293C80"/>
    <w:rsid w:val="00293FB3"/>
    <w:rsid w:val="00294FB2"/>
    <w:rsid w:val="00297B42"/>
    <w:rsid w:val="00297DD5"/>
    <w:rsid w:val="002A1223"/>
    <w:rsid w:val="002A1D0B"/>
    <w:rsid w:val="002A2187"/>
    <w:rsid w:val="002A2ED1"/>
    <w:rsid w:val="002A2F4D"/>
    <w:rsid w:val="002A3334"/>
    <w:rsid w:val="002A464C"/>
    <w:rsid w:val="002A4C4F"/>
    <w:rsid w:val="002A5073"/>
    <w:rsid w:val="002A75D6"/>
    <w:rsid w:val="002B0032"/>
    <w:rsid w:val="002B1467"/>
    <w:rsid w:val="002B23DC"/>
    <w:rsid w:val="002B3433"/>
    <w:rsid w:val="002B3CBC"/>
    <w:rsid w:val="002B568A"/>
    <w:rsid w:val="002B61DF"/>
    <w:rsid w:val="002B74F9"/>
    <w:rsid w:val="002C2F3A"/>
    <w:rsid w:val="002C3EF2"/>
    <w:rsid w:val="002C4CCF"/>
    <w:rsid w:val="002C4F63"/>
    <w:rsid w:val="002C5A23"/>
    <w:rsid w:val="002C5F6B"/>
    <w:rsid w:val="002C68E8"/>
    <w:rsid w:val="002C7784"/>
    <w:rsid w:val="002D0E38"/>
    <w:rsid w:val="002D1D78"/>
    <w:rsid w:val="002D3FB7"/>
    <w:rsid w:val="002D43B8"/>
    <w:rsid w:val="002D4F7B"/>
    <w:rsid w:val="002D5C1F"/>
    <w:rsid w:val="002D7779"/>
    <w:rsid w:val="002D7AD1"/>
    <w:rsid w:val="002E0A57"/>
    <w:rsid w:val="002E0E1C"/>
    <w:rsid w:val="002E321F"/>
    <w:rsid w:val="002E3D9D"/>
    <w:rsid w:val="002E4461"/>
    <w:rsid w:val="002E68DF"/>
    <w:rsid w:val="002E6902"/>
    <w:rsid w:val="002E7095"/>
    <w:rsid w:val="002F2507"/>
    <w:rsid w:val="002F25D6"/>
    <w:rsid w:val="002F4C0C"/>
    <w:rsid w:val="002F72F2"/>
    <w:rsid w:val="003012C7"/>
    <w:rsid w:val="0030254E"/>
    <w:rsid w:val="00302923"/>
    <w:rsid w:val="00303902"/>
    <w:rsid w:val="00303D60"/>
    <w:rsid w:val="00304366"/>
    <w:rsid w:val="0030487A"/>
    <w:rsid w:val="003070A6"/>
    <w:rsid w:val="003076A2"/>
    <w:rsid w:val="003203FD"/>
    <w:rsid w:val="00321015"/>
    <w:rsid w:val="0032224F"/>
    <w:rsid w:val="00322EB5"/>
    <w:rsid w:val="00325CB0"/>
    <w:rsid w:val="00327C21"/>
    <w:rsid w:val="00332E81"/>
    <w:rsid w:val="0033617F"/>
    <w:rsid w:val="003370D6"/>
    <w:rsid w:val="00340C66"/>
    <w:rsid w:val="00341927"/>
    <w:rsid w:val="003419E6"/>
    <w:rsid w:val="00342A8C"/>
    <w:rsid w:val="0034436C"/>
    <w:rsid w:val="003446E4"/>
    <w:rsid w:val="003463FE"/>
    <w:rsid w:val="003476BB"/>
    <w:rsid w:val="00350E30"/>
    <w:rsid w:val="003510DA"/>
    <w:rsid w:val="003516EF"/>
    <w:rsid w:val="00352C7F"/>
    <w:rsid w:val="003537D1"/>
    <w:rsid w:val="00354C85"/>
    <w:rsid w:val="00355C95"/>
    <w:rsid w:val="00356433"/>
    <w:rsid w:val="00357CF9"/>
    <w:rsid w:val="00360A8C"/>
    <w:rsid w:val="00360AB0"/>
    <w:rsid w:val="003634D6"/>
    <w:rsid w:val="00363562"/>
    <w:rsid w:val="003637F7"/>
    <w:rsid w:val="00363F5C"/>
    <w:rsid w:val="003644A4"/>
    <w:rsid w:val="00364ADB"/>
    <w:rsid w:val="0036791C"/>
    <w:rsid w:val="00370943"/>
    <w:rsid w:val="00370A24"/>
    <w:rsid w:val="003715D3"/>
    <w:rsid w:val="00372A35"/>
    <w:rsid w:val="003746DD"/>
    <w:rsid w:val="003748EF"/>
    <w:rsid w:val="003765AD"/>
    <w:rsid w:val="00376765"/>
    <w:rsid w:val="00380728"/>
    <w:rsid w:val="00381787"/>
    <w:rsid w:val="00382F31"/>
    <w:rsid w:val="00383966"/>
    <w:rsid w:val="00384430"/>
    <w:rsid w:val="00384598"/>
    <w:rsid w:val="00384D15"/>
    <w:rsid w:val="00386E70"/>
    <w:rsid w:val="003877CE"/>
    <w:rsid w:val="003902B1"/>
    <w:rsid w:val="003919B9"/>
    <w:rsid w:val="003930D1"/>
    <w:rsid w:val="003953D7"/>
    <w:rsid w:val="003968C4"/>
    <w:rsid w:val="00396D01"/>
    <w:rsid w:val="00397EF2"/>
    <w:rsid w:val="003A0342"/>
    <w:rsid w:val="003A13A6"/>
    <w:rsid w:val="003A2A37"/>
    <w:rsid w:val="003A35A7"/>
    <w:rsid w:val="003A4FC3"/>
    <w:rsid w:val="003A5AB9"/>
    <w:rsid w:val="003A761C"/>
    <w:rsid w:val="003A7A01"/>
    <w:rsid w:val="003B1268"/>
    <w:rsid w:val="003B2786"/>
    <w:rsid w:val="003B2FC4"/>
    <w:rsid w:val="003B4F09"/>
    <w:rsid w:val="003B5937"/>
    <w:rsid w:val="003B7627"/>
    <w:rsid w:val="003C3FDF"/>
    <w:rsid w:val="003C5194"/>
    <w:rsid w:val="003C5965"/>
    <w:rsid w:val="003C658F"/>
    <w:rsid w:val="003C6A4A"/>
    <w:rsid w:val="003C7076"/>
    <w:rsid w:val="003C7410"/>
    <w:rsid w:val="003C7444"/>
    <w:rsid w:val="003D0658"/>
    <w:rsid w:val="003D137C"/>
    <w:rsid w:val="003D14B9"/>
    <w:rsid w:val="003D21DC"/>
    <w:rsid w:val="003D299D"/>
    <w:rsid w:val="003D614C"/>
    <w:rsid w:val="003D6717"/>
    <w:rsid w:val="003D6C87"/>
    <w:rsid w:val="003D7F88"/>
    <w:rsid w:val="003E3201"/>
    <w:rsid w:val="003E404E"/>
    <w:rsid w:val="003E4B0C"/>
    <w:rsid w:val="003E5026"/>
    <w:rsid w:val="003E58A1"/>
    <w:rsid w:val="003E7D87"/>
    <w:rsid w:val="003E7F6A"/>
    <w:rsid w:val="003F0838"/>
    <w:rsid w:val="003F1070"/>
    <w:rsid w:val="003F2AE8"/>
    <w:rsid w:val="003F5663"/>
    <w:rsid w:val="003F6187"/>
    <w:rsid w:val="004002A9"/>
    <w:rsid w:val="00400934"/>
    <w:rsid w:val="00400AED"/>
    <w:rsid w:val="00402F23"/>
    <w:rsid w:val="004039E9"/>
    <w:rsid w:val="0040450B"/>
    <w:rsid w:val="00404B98"/>
    <w:rsid w:val="004059B9"/>
    <w:rsid w:val="00405EA1"/>
    <w:rsid w:val="0041070B"/>
    <w:rsid w:val="00411227"/>
    <w:rsid w:val="00411E5D"/>
    <w:rsid w:val="0041261D"/>
    <w:rsid w:val="00414255"/>
    <w:rsid w:val="004147E0"/>
    <w:rsid w:val="00417EE1"/>
    <w:rsid w:val="004228F5"/>
    <w:rsid w:val="0042336F"/>
    <w:rsid w:val="00423B55"/>
    <w:rsid w:val="004259AA"/>
    <w:rsid w:val="00426CF2"/>
    <w:rsid w:val="004315FF"/>
    <w:rsid w:val="0043259A"/>
    <w:rsid w:val="00432CC8"/>
    <w:rsid w:val="0043364D"/>
    <w:rsid w:val="004353B3"/>
    <w:rsid w:val="00435B0F"/>
    <w:rsid w:val="00435EEA"/>
    <w:rsid w:val="004360E3"/>
    <w:rsid w:val="00436304"/>
    <w:rsid w:val="00436BD5"/>
    <w:rsid w:val="0043773E"/>
    <w:rsid w:val="00440B12"/>
    <w:rsid w:val="00440F26"/>
    <w:rsid w:val="00441CF1"/>
    <w:rsid w:val="00442AEF"/>
    <w:rsid w:val="00444B75"/>
    <w:rsid w:val="00444BF3"/>
    <w:rsid w:val="00444CA9"/>
    <w:rsid w:val="00444F09"/>
    <w:rsid w:val="004465E9"/>
    <w:rsid w:val="00447F0D"/>
    <w:rsid w:val="00450936"/>
    <w:rsid w:val="004510F0"/>
    <w:rsid w:val="00451425"/>
    <w:rsid w:val="0045161B"/>
    <w:rsid w:val="00452610"/>
    <w:rsid w:val="004530B0"/>
    <w:rsid w:val="004530BF"/>
    <w:rsid w:val="004537C9"/>
    <w:rsid w:val="00453F85"/>
    <w:rsid w:val="0045405C"/>
    <w:rsid w:val="00454902"/>
    <w:rsid w:val="00456F3F"/>
    <w:rsid w:val="00457B89"/>
    <w:rsid w:val="00460FB7"/>
    <w:rsid w:val="00463588"/>
    <w:rsid w:val="0046693F"/>
    <w:rsid w:val="00467041"/>
    <w:rsid w:val="00467E7C"/>
    <w:rsid w:val="004703C3"/>
    <w:rsid w:val="00470717"/>
    <w:rsid w:val="0047123D"/>
    <w:rsid w:val="00471507"/>
    <w:rsid w:val="00472850"/>
    <w:rsid w:val="00472ADA"/>
    <w:rsid w:val="00474B3C"/>
    <w:rsid w:val="00480307"/>
    <w:rsid w:val="0048132B"/>
    <w:rsid w:val="00481495"/>
    <w:rsid w:val="00484156"/>
    <w:rsid w:val="004850DE"/>
    <w:rsid w:val="00485C6F"/>
    <w:rsid w:val="004870BC"/>
    <w:rsid w:val="00490992"/>
    <w:rsid w:val="004914EE"/>
    <w:rsid w:val="00492A4E"/>
    <w:rsid w:val="00493021"/>
    <w:rsid w:val="004933F2"/>
    <w:rsid w:val="004959CC"/>
    <w:rsid w:val="00495F91"/>
    <w:rsid w:val="0049627C"/>
    <w:rsid w:val="00496729"/>
    <w:rsid w:val="004A0385"/>
    <w:rsid w:val="004A1458"/>
    <w:rsid w:val="004A16A4"/>
    <w:rsid w:val="004A1BE2"/>
    <w:rsid w:val="004A1C08"/>
    <w:rsid w:val="004A3212"/>
    <w:rsid w:val="004A5763"/>
    <w:rsid w:val="004A613E"/>
    <w:rsid w:val="004A67C0"/>
    <w:rsid w:val="004A6AB6"/>
    <w:rsid w:val="004B18A1"/>
    <w:rsid w:val="004B4716"/>
    <w:rsid w:val="004B50E5"/>
    <w:rsid w:val="004B7146"/>
    <w:rsid w:val="004B7B8F"/>
    <w:rsid w:val="004C02A8"/>
    <w:rsid w:val="004C0BFC"/>
    <w:rsid w:val="004C1F88"/>
    <w:rsid w:val="004C23DD"/>
    <w:rsid w:val="004C2800"/>
    <w:rsid w:val="004C2AFD"/>
    <w:rsid w:val="004C332C"/>
    <w:rsid w:val="004C450E"/>
    <w:rsid w:val="004C4A63"/>
    <w:rsid w:val="004D0D98"/>
    <w:rsid w:val="004D226E"/>
    <w:rsid w:val="004D3289"/>
    <w:rsid w:val="004D43B3"/>
    <w:rsid w:val="004D5D71"/>
    <w:rsid w:val="004E2E76"/>
    <w:rsid w:val="004E30A9"/>
    <w:rsid w:val="004E389D"/>
    <w:rsid w:val="004E45EF"/>
    <w:rsid w:val="004E5D0D"/>
    <w:rsid w:val="004E7184"/>
    <w:rsid w:val="004E7628"/>
    <w:rsid w:val="004F0F51"/>
    <w:rsid w:val="004F18D2"/>
    <w:rsid w:val="004F2F50"/>
    <w:rsid w:val="004F3358"/>
    <w:rsid w:val="004F5D92"/>
    <w:rsid w:val="004F7049"/>
    <w:rsid w:val="0050018C"/>
    <w:rsid w:val="005005C0"/>
    <w:rsid w:val="0050305F"/>
    <w:rsid w:val="00503C18"/>
    <w:rsid w:val="00505028"/>
    <w:rsid w:val="005065ED"/>
    <w:rsid w:val="005068F5"/>
    <w:rsid w:val="00507C72"/>
    <w:rsid w:val="005104E7"/>
    <w:rsid w:val="0051112A"/>
    <w:rsid w:val="00511985"/>
    <w:rsid w:val="00512628"/>
    <w:rsid w:val="00514515"/>
    <w:rsid w:val="00514CFC"/>
    <w:rsid w:val="005153EE"/>
    <w:rsid w:val="00515A74"/>
    <w:rsid w:val="00515B1F"/>
    <w:rsid w:val="00515B7F"/>
    <w:rsid w:val="00515CEC"/>
    <w:rsid w:val="00521E07"/>
    <w:rsid w:val="0052243E"/>
    <w:rsid w:val="00522FD1"/>
    <w:rsid w:val="00525329"/>
    <w:rsid w:val="00525637"/>
    <w:rsid w:val="00527A48"/>
    <w:rsid w:val="00527DFB"/>
    <w:rsid w:val="0053020D"/>
    <w:rsid w:val="005308A9"/>
    <w:rsid w:val="00530E93"/>
    <w:rsid w:val="00531922"/>
    <w:rsid w:val="005334F1"/>
    <w:rsid w:val="0053487B"/>
    <w:rsid w:val="00535A56"/>
    <w:rsid w:val="005400F1"/>
    <w:rsid w:val="00540AF8"/>
    <w:rsid w:val="0054195F"/>
    <w:rsid w:val="00541A36"/>
    <w:rsid w:val="00542EFA"/>
    <w:rsid w:val="0054363C"/>
    <w:rsid w:val="00546A4F"/>
    <w:rsid w:val="00551717"/>
    <w:rsid w:val="00551A82"/>
    <w:rsid w:val="00555339"/>
    <w:rsid w:val="00555DF5"/>
    <w:rsid w:val="00556B98"/>
    <w:rsid w:val="00556C39"/>
    <w:rsid w:val="005572E5"/>
    <w:rsid w:val="00557BD0"/>
    <w:rsid w:val="005646B4"/>
    <w:rsid w:val="00565623"/>
    <w:rsid w:val="005667B1"/>
    <w:rsid w:val="00566E71"/>
    <w:rsid w:val="0057178B"/>
    <w:rsid w:val="00571E00"/>
    <w:rsid w:val="00573BA9"/>
    <w:rsid w:val="00573F81"/>
    <w:rsid w:val="00574D56"/>
    <w:rsid w:val="00575632"/>
    <w:rsid w:val="00575843"/>
    <w:rsid w:val="00577B30"/>
    <w:rsid w:val="00580C10"/>
    <w:rsid w:val="005818ED"/>
    <w:rsid w:val="005827E6"/>
    <w:rsid w:val="00583014"/>
    <w:rsid w:val="00584255"/>
    <w:rsid w:val="00584351"/>
    <w:rsid w:val="00586045"/>
    <w:rsid w:val="00586A66"/>
    <w:rsid w:val="0059027D"/>
    <w:rsid w:val="0059054A"/>
    <w:rsid w:val="00590C14"/>
    <w:rsid w:val="00592BA0"/>
    <w:rsid w:val="00593891"/>
    <w:rsid w:val="00594335"/>
    <w:rsid w:val="00594A30"/>
    <w:rsid w:val="005959C5"/>
    <w:rsid w:val="0059760C"/>
    <w:rsid w:val="00597F08"/>
    <w:rsid w:val="005A06DB"/>
    <w:rsid w:val="005A0C2E"/>
    <w:rsid w:val="005A1F11"/>
    <w:rsid w:val="005A2428"/>
    <w:rsid w:val="005A2465"/>
    <w:rsid w:val="005A2800"/>
    <w:rsid w:val="005A3167"/>
    <w:rsid w:val="005A4648"/>
    <w:rsid w:val="005A58F1"/>
    <w:rsid w:val="005B225A"/>
    <w:rsid w:val="005B73DA"/>
    <w:rsid w:val="005C0BB4"/>
    <w:rsid w:val="005C0C96"/>
    <w:rsid w:val="005C2C68"/>
    <w:rsid w:val="005C73AC"/>
    <w:rsid w:val="005D2079"/>
    <w:rsid w:val="005D28A2"/>
    <w:rsid w:val="005D340A"/>
    <w:rsid w:val="005D3607"/>
    <w:rsid w:val="005D44A4"/>
    <w:rsid w:val="005E0A4D"/>
    <w:rsid w:val="005E0AA0"/>
    <w:rsid w:val="005E1493"/>
    <w:rsid w:val="005E438C"/>
    <w:rsid w:val="005E6968"/>
    <w:rsid w:val="005E7A2F"/>
    <w:rsid w:val="005F15BC"/>
    <w:rsid w:val="005F3731"/>
    <w:rsid w:val="005F3CB3"/>
    <w:rsid w:val="005F6C06"/>
    <w:rsid w:val="005F6FA6"/>
    <w:rsid w:val="005F7AEC"/>
    <w:rsid w:val="00603DE7"/>
    <w:rsid w:val="00610D32"/>
    <w:rsid w:val="0061104E"/>
    <w:rsid w:val="00613969"/>
    <w:rsid w:val="006139AE"/>
    <w:rsid w:val="0061458A"/>
    <w:rsid w:val="006157C0"/>
    <w:rsid w:val="00615C64"/>
    <w:rsid w:val="00615FC2"/>
    <w:rsid w:val="0061615B"/>
    <w:rsid w:val="0061777A"/>
    <w:rsid w:val="00621A1A"/>
    <w:rsid w:val="006224F6"/>
    <w:rsid w:val="00624A46"/>
    <w:rsid w:val="00627A48"/>
    <w:rsid w:val="00627CF7"/>
    <w:rsid w:val="006303A8"/>
    <w:rsid w:val="00632A97"/>
    <w:rsid w:val="00632CD5"/>
    <w:rsid w:val="00633084"/>
    <w:rsid w:val="0063433D"/>
    <w:rsid w:val="00634C6A"/>
    <w:rsid w:val="006360CF"/>
    <w:rsid w:val="00640908"/>
    <w:rsid w:val="006467FE"/>
    <w:rsid w:val="0065069C"/>
    <w:rsid w:val="006533C0"/>
    <w:rsid w:val="0065680A"/>
    <w:rsid w:val="006617E5"/>
    <w:rsid w:val="00661E8D"/>
    <w:rsid w:val="006622C3"/>
    <w:rsid w:val="00663F06"/>
    <w:rsid w:val="006647D1"/>
    <w:rsid w:val="00664A59"/>
    <w:rsid w:val="00664BB3"/>
    <w:rsid w:val="00664C6A"/>
    <w:rsid w:val="00665018"/>
    <w:rsid w:val="00665DAE"/>
    <w:rsid w:val="00666D53"/>
    <w:rsid w:val="00670767"/>
    <w:rsid w:val="00670931"/>
    <w:rsid w:val="0067110D"/>
    <w:rsid w:val="00671AEA"/>
    <w:rsid w:val="00672714"/>
    <w:rsid w:val="00672C50"/>
    <w:rsid w:val="00676441"/>
    <w:rsid w:val="00681464"/>
    <w:rsid w:val="006815F1"/>
    <w:rsid w:val="00682EAF"/>
    <w:rsid w:val="00686BD8"/>
    <w:rsid w:val="0068718A"/>
    <w:rsid w:val="00687428"/>
    <w:rsid w:val="00690AE6"/>
    <w:rsid w:val="006941A4"/>
    <w:rsid w:val="00694B91"/>
    <w:rsid w:val="00696778"/>
    <w:rsid w:val="006973ED"/>
    <w:rsid w:val="006A0CB7"/>
    <w:rsid w:val="006A0E10"/>
    <w:rsid w:val="006A0F86"/>
    <w:rsid w:val="006A22FF"/>
    <w:rsid w:val="006A3715"/>
    <w:rsid w:val="006A5377"/>
    <w:rsid w:val="006A58F8"/>
    <w:rsid w:val="006A5D8D"/>
    <w:rsid w:val="006B09E2"/>
    <w:rsid w:val="006B160D"/>
    <w:rsid w:val="006B1AA0"/>
    <w:rsid w:val="006B1BC3"/>
    <w:rsid w:val="006B1BD5"/>
    <w:rsid w:val="006B25C2"/>
    <w:rsid w:val="006B5E60"/>
    <w:rsid w:val="006B6638"/>
    <w:rsid w:val="006B73D5"/>
    <w:rsid w:val="006B76C7"/>
    <w:rsid w:val="006C043E"/>
    <w:rsid w:val="006C0D9F"/>
    <w:rsid w:val="006C0DED"/>
    <w:rsid w:val="006C11D5"/>
    <w:rsid w:val="006C1CFB"/>
    <w:rsid w:val="006C20DB"/>
    <w:rsid w:val="006C220A"/>
    <w:rsid w:val="006C3ADD"/>
    <w:rsid w:val="006C5C17"/>
    <w:rsid w:val="006C7C00"/>
    <w:rsid w:val="006D1691"/>
    <w:rsid w:val="006D2851"/>
    <w:rsid w:val="006D2E78"/>
    <w:rsid w:val="006D30C3"/>
    <w:rsid w:val="006D3329"/>
    <w:rsid w:val="006D5692"/>
    <w:rsid w:val="006D6B32"/>
    <w:rsid w:val="006D7197"/>
    <w:rsid w:val="006D7D45"/>
    <w:rsid w:val="006E0317"/>
    <w:rsid w:val="006E1239"/>
    <w:rsid w:val="006E23F4"/>
    <w:rsid w:val="006E349C"/>
    <w:rsid w:val="006E40F6"/>
    <w:rsid w:val="006E45F9"/>
    <w:rsid w:val="006E46DD"/>
    <w:rsid w:val="006E4B43"/>
    <w:rsid w:val="006E63B5"/>
    <w:rsid w:val="006E747C"/>
    <w:rsid w:val="006F0284"/>
    <w:rsid w:val="006F0ADD"/>
    <w:rsid w:val="006F13F1"/>
    <w:rsid w:val="006F2840"/>
    <w:rsid w:val="006F2992"/>
    <w:rsid w:val="006F2BD5"/>
    <w:rsid w:val="006F2C84"/>
    <w:rsid w:val="006F4DDB"/>
    <w:rsid w:val="006F6D08"/>
    <w:rsid w:val="006F7769"/>
    <w:rsid w:val="0070016A"/>
    <w:rsid w:val="00701C5D"/>
    <w:rsid w:val="0070253D"/>
    <w:rsid w:val="0070568E"/>
    <w:rsid w:val="007068B6"/>
    <w:rsid w:val="0071306B"/>
    <w:rsid w:val="00713EF8"/>
    <w:rsid w:val="00716115"/>
    <w:rsid w:val="00717690"/>
    <w:rsid w:val="00722607"/>
    <w:rsid w:val="007232A8"/>
    <w:rsid w:val="007236BE"/>
    <w:rsid w:val="00723E77"/>
    <w:rsid w:val="007240B4"/>
    <w:rsid w:val="00730208"/>
    <w:rsid w:val="007328F0"/>
    <w:rsid w:val="007331E2"/>
    <w:rsid w:val="00733ADA"/>
    <w:rsid w:val="0073425F"/>
    <w:rsid w:val="00736C2B"/>
    <w:rsid w:val="00737C66"/>
    <w:rsid w:val="00737CB1"/>
    <w:rsid w:val="0074035A"/>
    <w:rsid w:val="00740CD6"/>
    <w:rsid w:val="00742509"/>
    <w:rsid w:val="00742A79"/>
    <w:rsid w:val="00744784"/>
    <w:rsid w:val="007451FA"/>
    <w:rsid w:val="007477B0"/>
    <w:rsid w:val="00751933"/>
    <w:rsid w:val="00752937"/>
    <w:rsid w:val="00752D3A"/>
    <w:rsid w:val="00753100"/>
    <w:rsid w:val="007553E2"/>
    <w:rsid w:val="00755931"/>
    <w:rsid w:val="00757230"/>
    <w:rsid w:val="00757888"/>
    <w:rsid w:val="0076020E"/>
    <w:rsid w:val="00762502"/>
    <w:rsid w:val="007625EF"/>
    <w:rsid w:val="00763F6F"/>
    <w:rsid w:val="0076613A"/>
    <w:rsid w:val="00767168"/>
    <w:rsid w:val="00770594"/>
    <w:rsid w:val="007743F7"/>
    <w:rsid w:val="00774741"/>
    <w:rsid w:val="00774E18"/>
    <w:rsid w:val="00775CCE"/>
    <w:rsid w:val="00776503"/>
    <w:rsid w:val="00782E36"/>
    <w:rsid w:val="00782FF7"/>
    <w:rsid w:val="00785F56"/>
    <w:rsid w:val="00791125"/>
    <w:rsid w:val="00791760"/>
    <w:rsid w:val="007929CA"/>
    <w:rsid w:val="007946C9"/>
    <w:rsid w:val="0079516B"/>
    <w:rsid w:val="007974A7"/>
    <w:rsid w:val="00797528"/>
    <w:rsid w:val="007A2DB8"/>
    <w:rsid w:val="007A30F2"/>
    <w:rsid w:val="007A330D"/>
    <w:rsid w:val="007A5E66"/>
    <w:rsid w:val="007A6A45"/>
    <w:rsid w:val="007A6D8E"/>
    <w:rsid w:val="007A76D5"/>
    <w:rsid w:val="007A7FE8"/>
    <w:rsid w:val="007B08A8"/>
    <w:rsid w:val="007B0A0E"/>
    <w:rsid w:val="007B2879"/>
    <w:rsid w:val="007B3904"/>
    <w:rsid w:val="007B3C03"/>
    <w:rsid w:val="007B40AA"/>
    <w:rsid w:val="007B498D"/>
    <w:rsid w:val="007B582B"/>
    <w:rsid w:val="007B6AB1"/>
    <w:rsid w:val="007C094D"/>
    <w:rsid w:val="007C0FAA"/>
    <w:rsid w:val="007C197F"/>
    <w:rsid w:val="007C499A"/>
    <w:rsid w:val="007D047A"/>
    <w:rsid w:val="007D050C"/>
    <w:rsid w:val="007D2302"/>
    <w:rsid w:val="007D2546"/>
    <w:rsid w:val="007D2C3F"/>
    <w:rsid w:val="007D3B48"/>
    <w:rsid w:val="007D3E8B"/>
    <w:rsid w:val="007D3FAF"/>
    <w:rsid w:val="007D568A"/>
    <w:rsid w:val="007D697A"/>
    <w:rsid w:val="007D74A2"/>
    <w:rsid w:val="007E178E"/>
    <w:rsid w:val="007E18A2"/>
    <w:rsid w:val="007E2049"/>
    <w:rsid w:val="007E4438"/>
    <w:rsid w:val="007E4E3F"/>
    <w:rsid w:val="007E6014"/>
    <w:rsid w:val="007E606C"/>
    <w:rsid w:val="007F0208"/>
    <w:rsid w:val="007F2D11"/>
    <w:rsid w:val="008001F0"/>
    <w:rsid w:val="00800750"/>
    <w:rsid w:val="00800BD5"/>
    <w:rsid w:val="00800D69"/>
    <w:rsid w:val="008017F0"/>
    <w:rsid w:val="00801846"/>
    <w:rsid w:val="008020F6"/>
    <w:rsid w:val="00803B61"/>
    <w:rsid w:val="00804A3E"/>
    <w:rsid w:val="00804A6A"/>
    <w:rsid w:val="00804AC5"/>
    <w:rsid w:val="00806371"/>
    <w:rsid w:val="00806503"/>
    <w:rsid w:val="008103CE"/>
    <w:rsid w:val="0081046F"/>
    <w:rsid w:val="0081237F"/>
    <w:rsid w:val="008123E8"/>
    <w:rsid w:val="00812CF2"/>
    <w:rsid w:val="00814E67"/>
    <w:rsid w:val="00816B0D"/>
    <w:rsid w:val="00817657"/>
    <w:rsid w:val="0082235D"/>
    <w:rsid w:val="0082285D"/>
    <w:rsid w:val="0082311A"/>
    <w:rsid w:val="0082366E"/>
    <w:rsid w:val="008240AA"/>
    <w:rsid w:val="00827118"/>
    <w:rsid w:val="00827AB6"/>
    <w:rsid w:val="00827E9D"/>
    <w:rsid w:val="00827F3D"/>
    <w:rsid w:val="00830232"/>
    <w:rsid w:val="00830941"/>
    <w:rsid w:val="00831CA3"/>
    <w:rsid w:val="00832307"/>
    <w:rsid w:val="00835077"/>
    <w:rsid w:val="0083588E"/>
    <w:rsid w:val="00840C2F"/>
    <w:rsid w:val="008414DC"/>
    <w:rsid w:val="0084274A"/>
    <w:rsid w:val="00842D49"/>
    <w:rsid w:val="0084689B"/>
    <w:rsid w:val="00846F59"/>
    <w:rsid w:val="0084718F"/>
    <w:rsid w:val="008504F3"/>
    <w:rsid w:val="0085234C"/>
    <w:rsid w:val="0085446E"/>
    <w:rsid w:val="00861D94"/>
    <w:rsid w:val="00864B9C"/>
    <w:rsid w:val="00864C21"/>
    <w:rsid w:val="00865591"/>
    <w:rsid w:val="0086755B"/>
    <w:rsid w:val="00867930"/>
    <w:rsid w:val="00867948"/>
    <w:rsid w:val="00867DA2"/>
    <w:rsid w:val="00867ED9"/>
    <w:rsid w:val="008701C3"/>
    <w:rsid w:val="00870A59"/>
    <w:rsid w:val="0087166D"/>
    <w:rsid w:val="00872631"/>
    <w:rsid w:val="0087333A"/>
    <w:rsid w:val="0087471E"/>
    <w:rsid w:val="00875322"/>
    <w:rsid w:val="00875EB7"/>
    <w:rsid w:val="00876E29"/>
    <w:rsid w:val="00877521"/>
    <w:rsid w:val="00881076"/>
    <w:rsid w:val="00882276"/>
    <w:rsid w:val="008858DC"/>
    <w:rsid w:val="00886CEB"/>
    <w:rsid w:val="00891612"/>
    <w:rsid w:val="008916E2"/>
    <w:rsid w:val="00891A45"/>
    <w:rsid w:val="008930E9"/>
    <w:rsid w:val="008941DC"/>
    <w:rsid w:val="00896D2C"/>
    <w:rsid w:val="00897C60"/>
    <w:rsid w:val="008A18F3"/>
    <w:rsid w:val="008A32C6"/>
    <w:rsid w:val="008A40B1"/>
    <w:rsid w:val="008A4A89"/>
    <w:rsid w:val="008A54A9"/>
    <w:rsid w:val="008A58F5"/>
    <w:rsid w:val="008A7048"/>
    <w:rsid w:val="008B2C86"/>
    <w:rsid w:val="008B2ECA"/>
    <w:rsid w:val="008B346B"/>
    <w:rsid w:val="008B3CB0"/>
    <w:rsid w:val="008B4004"/>
    <w:rsid w:val="008B7B24"/>
    <w:rsid w:val="008C03A2"/>
    <w:rsid w:val="008C19EA"/>
    <w:rsid w:val="008C2B08"/>
    <w:rsid w:val="008C3FD9"/>
    <w:rsid w:val="008C4197"/>
    <w:rsid w:val="008C5C81"/>
    <w:rsid w:val="008C6491"/>
    <w:rsid w:val="008C6671"/>
    <w:rsid w:val="008C6E95"/>
    <w:rsid w:val="008C6F7E"/>
    <w:rsid w:val="008C7006"/>
    <w:rsid w:val="008C7548"/>
    <w:rsid w:val="008D0B9B"/>
    <w:rsid w:val="008D1312"/>
    <w:rsid w:val="008D3752"/>
    <w:rsid w:val="008D490D"/>
    <w:rsid w:val="008D78E5"/>
    <w:rsid w:val="008D7F17"/>
    <w:rsid w:val="008E013D"/>
    <w:rsid w:val="008E4077"/>
    <w:rsid w:val="008E50EE"/>
    <w:rsid w:val="008E5150"/>
    <w:rsid w:val="008E5761"/>
    <w:rsid w:val="008F020F"/>
    <w:rsid w:val="008F2FBC"/>
    <w:rsid w:val="008F3C6D"/>
    <w:rsid w:val="008F6F1D"/>
    <w:rsid w:val="008F7B55"/>
    <w:rsid w:val="008F7CF5"/>
    <w:rsid w:val="008F7CFF"/>
    <w:rsid w:val="009007D3"/>
    <w:rsid w:val="00902BA7"/>
    <w:rsid w:val="00903668"/>
    <w:rsid w:val="009038AA"/>
    <w:rsid w:val="0090632C"/>
    <w:rsid w:val="009072D7"/>
    <w:rsid w:val="009102A4"/>
    <w:rsid w:val="00911038"/>
    <w:rsid w:val="00912117"/>
    <w:rsid w:val="009129A3"/>
    <w:rsid w:val="00913313"/>
    <w:rsid w:val="0091332D"/>
    <w:rsid w:val="009133D3"/>
    <w:rsid w:val="00913B54"/>
    <w:rsid w:val="00916DD3"/>
    <w:rsid w:val="00917055"/>
    <w:rsid w:val="0091734F"/>
    <w:rsid w:val="00920F60"/>
    <w:rsid w:val="009217F2"/>
    <w:rsid w:val="00921944"/>
    <w:rsid w:val="009237D5"/>
    <w:rsid w:val="0092445E"/>
    <w:rsid w:val="0092621A"/>
    <w:rsid w:val="00926EDD"/>
    <w:rsid w:val="00930173"/>
    <w:rsid w:val="0093194B"/>
    <w:rsid w:val="00931B06"/>
    <w:rsid w:val="00934DBC"/>
    <w:rsid w:val="00937852"/>
    <w:rsid w:val="00940690"/>
    <w:rsid w:val="00940C60"/>
    <w:rsid w:val="00941AAB"/>
    <w:rsid w:val="00943337"/>
    <w:rsid w:val="0094420E"/>
    <w:rsid w:val="00944989"/>
    <w:rsid w:val="00944CFA"/>
    <w:rsid w:val="009451DD"/>
    <w:rsid w:val="009469E8"/>
    <w:rsid w:val="0094719D"/>
    <w:rsid w:val="00950848"/>
    <w:rsid w:val="0095273A"/>
    <w:rsid w:val="00953564"/>
    <w:rsid w:val="00960E8B"/>
    <w:rsid w:val="00960EAF"/>
    <w:rsid w:val="0096181B"/>
    <w:rsid w:val="00961D0D"/>
    <w:rsid w:val="00961EEC"/>
    <w:rsid w:val="009622C6"/>
    <w:rsid w:val="009670DC"/>
    <w:rsid w:val="00967E9B"/>
    <w:rsid w:val="009705EF"/>
    <w:rsid w:val="009729D2"/>
    <w:rsid w:val="00973092"/>
    <w:rsid w:val="0097397A"/>
    <w:rsid w:val="009739C9"/>
    <w:rsid w:val="00973AB9"/>
    <w:rsid w:val="00974332"/>
    <w:rsid w:val="00975EEA"/>
    <w:rsid w:val="00977216"/>
    <w:rsid w:val="009774F1"/>
    <w:rsid w:val="00977AB1"/>
    <w:rsid w:val="0098116E"/>
    <w:rsid w:val="00981F14"/>
    <w:rsid w:val="009826CA"/>
    <w:rsid w:val="009835C6"/>
    <w:rsid w:val="00984063"/>
    <w:rsid w:val="0098491E"/>
    <w:rsid w:val="00984AA5"/>
    <w:rsid w:val="009856A8"/>
    <w:rsid w:val="00993737"/>
    <w:rsid w:val="00993D1A"/>
    <w:rsid w:val="00995AEF"/>
    <w:rsid w:val="00995F0E"/>
    <w:rsid w:val="0099679B"/>
    <w:rsid w:val="0099758F"/>
    <w:rsid w:val="00997CC6"/>
    <w:rsid w:val="009A0C3C"/>
    <w:rsid w:val="009A16ED"/>
    <w:rsid w:val="009A17AE"/>
    <w:rsid w:val="009A2569"/>
    <w:rsid w:val="009A2802"/>
    <w:rsid w:val="009A2D7E"/>
    <w:rsid w:val="009A3565"/>
    <w:rsid w:val="009A366D"/>
    <w:rsid w:val="009A3A05"/>
    <w:rsid w:val="009A3B5F"/>
    <w:rsid w:val="009A454B"/>
    <w:rsid w:val="009A6343"/>
    <w:rsid w:val="009B09F5"/>
    <w:rsid w:val="009B0AA6"/>
    <w:rsid w:val="009B1259"/>
    <w:rsid w:val="009B15C9"/>
    <w:rsid w:val="009B2F34"/>
    <w:rsid w:val="009B2FF0"/>
    <w:rsid w:val="009B4631"/>
    <w:rsid w:val="009B5DDC"/>
    <w:rsid w:val="009B6B7E"/>
    <w:rsid w:val="009B7319"/>
    <w:rsid w:val="009C0286"/>
    <w:rsid w:val="009C031F"/>
    <w:rsid w:val="009C0640"/>
    <w:rsid w:val="009C1476"/>
    <w:rsid w:val="009C58C6"/>
    <w:rsid w:val="009C5E1E"/>
    <w:rsid w:val="009C6581"/>
    <w:rsid w:val="009C7091"/>
    <w:rsid w:val="009C74E6"/>
    <w:rsid w:val="009D1BD5"/>
    <w:rsid w:val="009D28DF"/>
    <w:rsid w:val="009D2CAA"/>
    <w:rsid w:val="009D3389"/>
    <w:rsid w:val="009D3CC5"/>
    <w:rsid w:val="009D3F8E"/>
    <w:rsid w:val="009D4D12"/>
    <w:rsid w:val="009D635E"/>
    <w:rsid w:val="009D6F52"/>
    <w:rsid w:val="009E0160"/>
    <w:rsid w:val="009E14A6"/>
    <w:rsid w:val="009E169C"/>
    <w:rsid w:val="009E1A00"/>
    <w:rsid w:val="009E230D"/>
    <w:rsid w:val="009E2466"/>
    <w:rsid w:val="009E3729"/>
    <w:rsid w:val="009E3F06"/>
    <w:rsid w:val="009E5B4E"/>
    <w:rsid w:val="009E618D"/>
    <w:rsid w:val="009E7429"/>
    <w:rsid w:val="009E74C3"/>
    <w:rsid w:val="009E7EC8"/>
    <w:rsid w:val="009F0019"/>
    <w:rsid w:val="009F0BB2"/>
    <w:rsid w:val="009F36D5"/>
    <w:rsid w:val="009F6244"/>
    <w:rsid w:val="009F731D"/>
    <w:rsid w:val="009F74BD"/>
    <w:rsid w:val="00A03BB2"/>
    <w:rsid w:val="00A04029"/>
    <w:rsid w:val="00A0608D"/>
    <w:rsid w:val="00A110F1"/>
    <w:rsid w:val="00A11980"/>
    <w:rsid w:val="00A122D0"/>
    <w:rsid w:val="00A147C6"/>
    <w:rsid w:val="00A14958"/>
    <w:rsid w:val="00A165EB"/>
    <w:rsid w:val="00A1717F"/>
    <w:rsid w:val="00A17DA1"/>
    <w:rsid w:val="00A204A2"/>
    <w:rsid w:val="00A2322C"/>
    <w:rsid w:val="00A23266"/>
    <w:rsid w:val="00A23492"/>
    <w:rsid w:val="00A24309"/>
    <w:rsid w:val="00A26B77"/>
    <w:rsid w:val="00A2720F"/>
    <w:rsid w:val="00A27C4E"/>
    <w:rsid w:val="00A31E76"/>
    <w:rsid w:val="00A3297B"/>
    <w:rsid w:val="00A351AF"/>
    <w:rsid w:val="00A35414"/>
    <w:rsid w:val="00A3555D"/>
    <w:rsid w:val="00A362DD"/>
    <w:rsid w:val="00A40143"/>
    <w:rsid w:val="00A41F92"/>
    <w:rsid w:val="00A46A51"/>
    <w:rsid w:val="00A471A6"/>
    <w:rsid w:val="00A47C66"/>
    <w:rsid w:val="00A505DE"/>
    <w:rsid w:val="00A5067C"/>
    <w:rsid w:val="00A51A03"/>
    <w:rsid w:val="00A5339E"/>
    <w:rsid w:val="00A53BD8"/>
    <w:rsid w:val="00A5598D"/>
    <w:rsid w:val="00A55AFA"/>
    <w:rsid w:val="00A55C85"/>
    <w:rsid w:val="00A5708D"/>
    <w:rsid w:val="00A570BC"/>
    <w:rsid w:val="00A60C96"/>
    <w:rsid w:val="00A610D9"/>
    <w:rsid w:val="00A61E7C"/>
    <w:rsid w:val="00A628B3"/>
    <w:rsid w:val="00A628C4"/>
    <w:rsid w:val="00A63FF8"/>
    <w:rsid w:val="00A64787"/>
    <w:rsid w:val="00A658B1"/>
    <w:rsid w:val="00A663D2"/>
    <w:rsid w:val="00A6659C"/>
    <w:rsid w:val="00A7123A"/>
    <w:rsid w:val="00A71280"/>
    <w:rsid w:val="00A7297A"/>
    <w:rsid w:val="00A72F0C"/>
    <w:rsid w:val="00A744AA"/>
    <w:rsid w:val="00A74BE2"/>
    <w:rsid w:val="00A8138B"/>
    <w:rsid w:val="00A81EAB"/>
    <w:rsid w:val="00A832A1"/>
    <w:rsid w:val="00A83924"/>
    <w:rsid w:val="00A841C4"/>
    <w:rsid w:val="00A90258"/>
    <w:rsid w:val="00A90F01"/>
    <w:rsid w:val="00A912BD"/>
    <w:rsid w:val="00A922DB"/>
    <w:rsid w:val="00A92A42"/>
    <w:rsid w:val="00A92EFB"/>
    <w:rsid w:val="00A94150"/>
    <w:rsid w:val="00A95659"/>
    <w:rsid w:val="00A95A7B"/>
    <w:rsid w:val="00A95D7D"/>
    <w:rsid w:val="00A97F2A"/>
    <w:rsid w:val="00A97F9A"/>
    <w:rsid w:val="00AA02E3"/>
    <w:rsid w:val="00AA1A20"/>
    <w:rsid w:val="00AA4064"/>
    <w:rsid w:val="00AA7906"/>
    <w:rsid w:val="00AB02B0"/>
    <w:rsid w:val="00AB165F"/>
    <w:rsid w:val="00AB33AE"/>
    <w:rsid w:val="00AB374D"/>
    <w:rsid w:val="00AB511A"/>
    <w:rsid w:val="00AB5AC3"/>
    <w:rsid w:val="00AB605C"/>
    <w:rsid w:val="00AB6DE9"/>
    <w:rsid w:val="00AC038A"/>
    <w:rsid w:val="00AC0B60"/>
    <w:rsid w:val="00AC142E"/>
    <w:rsid w:val="00AC21CE"/>
    <w:rsid w:val="00AC4168"/>
    <w:rsid w:val="00AC6329"/>
    <w:rsid w:val="00AD0DBF"/>
    <w:rsid w:val="00AD1AD3"/>
    <w:rsid w:val="00AD2CFB"/>
    <w:rsid w:val="00AD6C2F"/>
    <w:rsid w:val="00AD7932"/>
    <w:rsid w:val="00AE0ED0"/>
    <w:rsid w:val="00AE150A"/>
    <w:rsid w:val="00AE3933"/>
    <w:rsid w:val="00AE5CAA"/>
    <w:rsid w:val="00AE6494"/>
    <w:rsid w:val="00AE6DD6"/>
    <w:rsid w:val="00AE7857"/>
    <w:rsid w:val="00AF072E"/>
    <w:rsid w:val="00AF487B"/>
    <w:rsid w:val="00AF4928"/>
    <w:rsid w:val="00AF69D0"/>
    <w:rsid w:val="00AF7F1A"/>
    <w:rsid w:val="00B0086F"/>
    <w:rsid w:val="00B00B77"/>
    <w:rsid w:val="00B01AA8"/>
    <w:rsid w:val="00B04102"/>
    <w:rsid w:val="00B0516E"/>
    <w:rsid w:val="00B05D90"/>
    <w:rsid w:val="00B0613A"/>
    <w:rsid w:val="00B06F88"/>
    <w:rsid w:val="00B07153"/>
    <w:rsid w:val="00B07F33"/>
    <w:rsid w:val="00B10B9B"/>
    <w:rsid w:val="00B10C83"/>
    <w:rsid w:val="00B1125F"/>
    <w:rsid w:val="00B12377"/>
    <w:rsid w:val="00B1322F"/>
    <w:rsid w:val="00B142BA"/>
    <w:rsid w:val="00B15E65"/>
    <w:rsid w:val="00B15ED2"/>
    <w:rsid w:val="00B16021"/>
    <w:rsid w:val="00B16CAB"/>
    <w:rsid w:val="00B17CBD"/>
    <w:rsid w:val="00B20579"/>
    <w:rsid w:val="00B20E03"/>
    <w:rsid w:val="00B20FD4"/>
    <w:rsid w:val="00B2194B"/>
    <w:rsid w:val="00B21EE9"/>
    <w:rsid w:val="00B228B7"/>
    <w:rsid w:val="00B22C38"/>
    <w:rsid w:val="00B244ED"/>
    <w:rsid w:val="00B25C2D"/>
    <w:rsid w:val="00B2626C"/>
    <w:rsid w:val="00B267CF"/>
    <w:rsid w:val="00B27FDB"/>
    <w:rsid w:val="00B32562"/>
    <w:rsid w:val="00B3280F"/>
    <w:rsid w:val="00B3354C"/>
    <w:rsid w:val="00B3401B"/>
    <w:rsid w:val="00B35429"/>
    <w:rsid w:val="00B3550D"/>
    <w:rsid w:val="00B36910"/>
    <w:rsid w:val="00B41CC8"/>
    <w:rsid w:val="00B420C5"/>
    <w:rsid w:val="00B421DD"/>
    <w:rsid w:val="00B42B9C"/>
    <w:rsid w:val="00B43B01"/>
    <w:rsid w:val="00B463CF"/>
    <w:rsid w:val="00B4755F"/>
    <w:rsid w:val="00B477E4"/>
    <w:rsid w:val="00B47F0A"/>
    <w:rsid w:val="00B50762"/>
    <w:rsid w:val="00B50E42"/>
    <w:rsid w:val="00B522AA"/>
    <w:rsid w:val="00B53139"/>
    <w:rsid w:val="00B536C2"/>
    <w:rsid w:val="00B53E9A"/>
    <w:rsid w:val="00B54265"/>
    <w:rsid w:val="00B60364"/>
    <w:rsid w:val="00B65121"/>
    <w:rsid w:val="00B6573C"/>
    <w:rsid w:val="00B6693F"/>
    <w:rsid w:val="00B66D9A"/>
    <w:rsid w:val="00B67F6D"/>
    <w:rsid w:val="00B71090"/>
    <w:rsid w:val="00B720C9"/>
    <w:rsid w:val="00B8276C"/>
    <w:rsid w:val="00B82D1C"/>
    <w:rsid w:val="00B82E66"/>
    <w:rsid w:val="00B87DC2"/>
    <w:rsid w:val="00B90160"/>
    <w:rsid w:val="00B916DB"/>
    <w:rsid w:val="00B92253"/>
    <w:rsid w:val="00B930DE"/>
    <w:rsid w:val="00B93BEF"/>
    <w:rsid w:val="00B94032"/>
    <w:rsid w:val="00B9741C"/>
    <w:rsid w:val="00BA392C"/>
    <w:rsid w:val="00BA3E0E"/>
    <w:rsid w:val="00BA4A38"/>
    <w:rsid w:val="00BA59FB"/>
    <w:rsid w:val="00BA6DBC"/>
    <w:rsid w:val="00BB137C"/>
    <w:rsid w:val="00BB1FF7"/>
    <w:rsid w:val="00BB22B4"/>
    <w:rsid w:val="00BB267C"/>
    <w:rsid w:val="00BB340B"/>
    <w:rsid w:val="00BB3730"/>
    <w:rsid w:val="00BB409F"/>
    <w:rsid w:val="00BB4D52"/>
    <w:rsid w:val="00BB6711"/>
    <w:rsid w:val="00BC0DE4"/>
    <w:rsid w:val="00BC1899"/>
    <w:rsid w:val="00BC2193"/>
    <w:rsid w:val="00BC3D12"/>
    <w:rsid w:val="00BC6F33"/>
    <w:rsid w:val="00BC7F1D"/>
    <w:rsid w:val="00BD0988"/>
    <w:rsid w:val="00BD12B8"/>
    <w:rsid w:val="00BD1927"/>
    <w:rsid w:val="00BD1D9C"/>
    <w:rsid w:val="00BD25A4"/>
    <w:rsid w:val="00BD2856"/>
    <w:rsid w:val="00BD2B3A"/>
    <w:rsid w:val="00BD3117"/>
    <w:rsid w:val="00BD3AFB"/>
    <w:rsid w:val="00BD3B17"/>
    <w:rsid w:val="00BD4260"/>
    <w:rsid w:val="00BD453D"/>
    <w:rsid w:val="00BD457A"/>
    <w:rsid w:val="00BD46A3"/>
    <w:rsid w:val="00BD542C"/>
    <w:rsid w:val="00BD5F8A"/>
    <w:rsid w:val="00BD635E"/>
    <w:rsid w:val="00BD6FB6"/>
    <w:rsid w:val="00BE15D0"/>
    <w:rsid w:val="00BE1A9D"/>
    <w:rsid w:val="00BE2872"/>
    <w:rsid w:val="00BE28A5"/>
    <w:rsid w:val="00BE3E1D"/>
    <w:rsid w:val="00BE65C0"/>
    <w:rsid w:val="00BF09B8"/>
    <w:rsid w:val="00BF10C4"/>
    <w:rsid w:val="00BF17A9"/>
    <w:rsid w:val="00BF1CF9"/>
    <w:rsid w:val="00BF3934"/>
    <w:rsid w:val="00BF68F8"/>
    <w:rsid w:val="00BF6F92"/>
    <w:rsid w:val="00C004DB"/>
    <w:rsid w:val="00C007CA"/>
    <w:rsid w:val="00C018C5"/>
    <w:rsid w:val="00C018E8"/>
    <w:rsid w:val="00C03D1A"/>
    <w:rsid w:val="00C03FDF"/>
    <w:rsid w:val="00C0475B"/>
    <w:rsid w:val="00C04A0F"/>
    <w:rsid w:val="00C04C98"/>
    <w:rsid w:val="00C059FA"/>
    <w:rsid w:val="00C05C20"/>
    <w:rsid w:val="00C0600C"/>
    <w:rsid w:val="00C136A5"/>
    <w:rsid w:val="00C136C0"/>
    <w:rsid w:val="00C14905"/>
    <w:rsid w:val="00C16CB0"/>
    <w:rsid w:val="00C17661"/>
    <w:rsid w:val="00C20569"/>
    <w:rsid w:val="00C21DD6"/>
    <w:rsid w:val="00C23E74"/>
    <w:rsid w:val="00C24AA9"/>
    <w:rsid w:val="00C24D1B"/>
    <w:rsid w:val="00C2564C"/>
    <w:rsid w:val="00C26246"/>
    <w:rsid w:val="00C268B2"/>
    <w:rsid w:val="00C2730D"/>
    <w:rsid w:val="00C31646"/>
    <w:rsid w:val="00C33838"/>
    <w:rsid w:val="00C340EE"/>
    <w:rsid w:val="00C34217"/>
    <w:rsid w:val="00C34A13"/>
    <w:rsid w:val="00C35D71"/>
    <w:rsid w:val="00C404BE"/>
    <w:rsid w:val="00C4075F"/>
    <w:rsid w:val="00C42527"/>
    <w:rsid w:val="00C426D6"/>
    <w:rsid w:val="00C43041"/>
    <w:rsid w:val="00C4373B"/>
    <w:rsid w:val="00C439D2"/>
    <w:rsid w:val="00C43FF5"/>
    <w:rsid w:val="00C4438F"/>
    <w:rsid w:val="00C446A8"/>
    <w:rsid w:val="00C447E0"/>
    <w:rsid w:val="00C4602E"/>
    <w:rsid w:val="00C46EA4"/>
    <w:rsid w:val="00C475A9"/>
    <w:rsid w:val="00C47782"/>
    <w:rsid w:val="00C54E45"/>
    <w:rsid w:val="00C55F39"/>
    <w:rsid w:val="00C61024"/>
    <w:rsid w:val="00C616FB"/>
    <w:rsid w:val="00C61FD0"/>
    <w:rsid w:val="00C620BA"/>
    <w:rsid w:val="00C6391C"/>
    <w:rsid w:val="00C6487D"/>
    <w:rsid w:val="00C64CED"/>
    <w:rsid w:val="00C64F57"/>
    <w:rsid w:val="00C65956"/>
    <w:rsid w:val="00C70366"/>
    <w:rsid w:val="00C708DC"/>
    <w:rsid w:val="00C7149E"/>
    <w:rsid w:val="00C731F8"/>
    <w:rsid w:val="00C7440C"/>
    <w:rsid w:val="00C76F54"/>
    <w:rsid w:val="00C775EF"/>
    <w:rsid w:val="00C77BB4"/>
    <w:rsid w:val="00C80E55"/>
    <w:rsid w:val="00C817ED"/>
    <w:rsid w:val="00C82749"/>
    <w:rsid w:val="00C8351B"/>
    <w:rsid w:val="00C83614"/>
    <w:rsid w:val="00C84870"/>
    <w:rsid w:val="00C84CAB"/>
    <w:rsid w:val="00C850D2"/>
    <w:rsid w:val="00C870F3"/>
    <w:rsid w:val="00C91296"/>
    <w:rsid w:val="00C9284F"/>
    <w:rsid w:val="00C9288B"/>
    <w:rsid w:val="00C93684"/>
    <w:rsid w:val="00C938C6"/>
    <w:rsid w:val="00C947FA"/>
    <w:rsid w:val="00C9497A"/>
    <w:rsid w:val="00C94C44"/>
    <w:rsid w:val="00C94E84"/>
    <w:rsid w:val="00C94ED8"/>
    <w:rsid w:val="00C95B11"/>
    <w:rsid w:val="00C969AB"/>
    <w:rsid w:val="00CA179C"/>
    <w:rsid w:val="00CA2221"/>
    <w:rsid w:val="00CA22D6"/>
    <w:rsid w:val="00CA27A7"/>
    <w:rsid w:val="00CA282D"/>
    <w:rsid w:val="00CA37C8"/>
    <w:rsid w:val="00CA3AC3"/>
    <w:rsid w:val="00CA4503"/>
    <w:rsid w:val="00CA4723"/>
    <w:rsid w:val="00CA4E39"/>
    <w:rsid w:val="00CA6C6F"/>
    <w:rsid w:val="00CA7AAA"/>
    <w:rsid w:val="00CB00A1"/>
    <w:rsid w:val="00CB07DA"/>
    <w:rsid w:val="00CB188E"/>
    <w:rsid w:val="00CB2FC3"/>
    <w:rsid w:val="00CB31EB"/>
    <w:rsid w:val="00CB35AD"/>
    <w:rsid w:val="00CB49AF"/>
    <w:rsid w:val="00CB5E1A"/>
    <w:rsid w:val="00CB6088"/>
    <w:rsid w:val="00CC010B"/>
    <w:rsid w:val="00CC076A"/>
    <w:rsid w:val="00CC08B8"/>
    <w:rsid w:val="00CC44C4"/>
    <w:rsid w:val="00CC4DB2"/>
    <w:rsid w:val="00CC52B9"/>
    <w:rsid w:val="00CC56B6"/>
    <w:rsid w:val="00CC7335"/>
    <w:rsid w:val="00CD0274"/>
    <w:rsid w:val="00CD179F"/>
    <w:rsid w:val="00CD1E65"/>
    <w:rsid w:val="00CD2B62"/>
    <w:rsid w:val="00CD44C0"/>
    <w:rsid w:val="00CD46A3"/>
    <w:rsid w:val="00CE0341"/>
    <w:rsid w:val="00CE0637"/>
    <w:rsid w:val="00CE0BE1"/>
    <w:rsid w:val="00CE3169"/>
    <w:rsid w:val="00CE31FC"/>
    <w:rsid w:val="00CE3210"/>
    <w:rsid w:val="00CE362A"/>
    <w:rsid w:val="00CE423F"/>
    <w:rsid w:val="00CE5038"/>
    <w:rsid w:val="00CE5863"/>
    <w:rsid w:val="00CE6D03"/>
    <w:rsid w:val="00CF0B13"/>
    <w:rsid w:val="00CF0F81"/>
    <w:rsid w:val="00CF3C10"/>
    <w:rsid w:val="00CF4162"/>
    <w:rsid w:val="00CF4D90"/>
    <w:rsid w:val="00CF5A4D"/>
    <w:rsid w:val="00D00ACE"/>
    <w:rsid w:val="00D010BA"/>
    <w:rsid w:val="00D042E8"/>
    <w:rsid w:val="00D05C16"/>
    <w:rsid w:val="00D0615F"/>
    <w:rsid w:val="00D10132"/>
    <w:rsid w:val="00D12914"/>
    <w:rsid w:val="00D14C28"/>
    <w:rsid w:val="00D14FA7"/>
    <w:rsid w:val="00D150C6"/>
    <w:rsid w:val="00D16442"/>
    <w:rsid w:val="00D20F75"/>
    <w:rsid w:val="00D21149"/>
    <w:rsid w:val="00D214DA"/>
    <w:rsid w:val="00D222C0"/>
    <w:rsid w:val="00D25346"/>
    <w:rsid w:val="00D257F6"/>
    <w:rsid w:val="00D260F0"/>
    <w:rsid w:val="00D304AA"/>
    <w:rsid w:val="00D328E4"/>
    <w:rsid w:val="00D32992"/>
    <w:rsid w:val="00D346D6"/>
    <w:rsid w:val="00D3551A"/>
    <w:rsid w:val="00D35A78"/>
    <w:rsid w:val="00D36F9E"/>
    <w:rsid w:val="00D40225"/>
    <w:rsid w:val="00D41064"/>
    <w:rsid w:val="00D4184F"/>
    <w:rsid w:val="00D424AE"/>
    <w:rsid w:val="00D43964"/>
    <w:rsid w:val="00D43D7F"/>
    <w:rsid w:val="00D44797"/>
    <w:rsid w:val="00D4514B"/>
    <w:rsid w:val="00D50333"/>
    <w:rsid w:val="00D505F6"/>
    <w:rsid w:val="00D505F9"/>
    <w:rsid w:val="00D51124"/>
    <w:rsid w:val="00D516B6"/>
    <w:rsid w:val="00D52BB4"/>
    <w:rsid w:val="00D5388A"/>
    <w:rsid w:val="00D53C7E"/>
    <w:rsid w:val="00D55347"/>
    <w:rsid w:val="00D5595B"/>
    <w:rsid w:val="00D5600C"/>
    <w:rsid w:val="00D56259"/>
    <w:rsid w:val="00D56C0E"/>
    <w:rsid w:val="00D57EF4"/>
    <w:rsid w:val="00D60896"/>
    <w:rsid w:val="00D60F83"/>
    <w:rsid w:val="00D61A48"/>
    <w:rsid w:val="00D62464"/>
    <w:rsid w:val="00D62F31"/>
    <w:rsid w:val="00D641D9"/>
    <w:rsid w:val="00D643D6"/>
    <w:rsid w:val="00D64BA3"/>
    <w:rsid w:val="00D65EE6"/>
    <w:rsid w:val="00D679C5"/>
    <w:rsid w:val="00D70444"/>
    <w:rsid w:val="00D720AE"/>
    <w:rsid w:val="00D72495"/>
    <w:rsid w:val="00D74252"/>
    <w:rsid w:val="00D74ACA"/>
    <w:rsid w:val="00D752FA"/>
    <w:rsid w:val="00D830F6"/>
    <w:rsid w:val="00D84C61"/>
    <w:rsid w:val="00D8645E"/>
    <w:rsid w:val="00D9171B"/>
    <w:rsid w:val="00D94380"/>
    <w:rsid w:val="00D95B32"/>
    <w:rsid w:val="00D96571"/>
    <w:rsid w:val="00D96E26"/>
    <w:rsid w:val="00D96FAA"/>
    <w:rsid w:val="00DA09A6"/>
    <w:rsid w:val="00DA0A5C"/>
    <w:rsid w:val="00DA0EB8"/>
    <w:rsid w:val="00DA13B8"/>
    <w:rsid w:val="00DA1737"/>
    <w:rsid w:val="00DA1790"/>
    <w:rsid w:val="00DB239E"/>
    <w:rsid w:val="00DB2C28"/>
    <w:rsid w:val="00DB3887"/>
    <w:rsid w:val="00DB4769"/>
    <w:rsid w:val="00DB67B2"/>
    <w:rsid w:val="00DB76D1"/>
    <w:rsid w:val="00DC015A"/>
    <w:rsid w:val="00DC1D18"/>
    <w:rsid w:val="00DC203F"/>
    <w:rsid w:val="00DC32C9"/>
    <w:rsid w:val="00DC40B9"/>
    <w:rsid w:val="00DC480B"/>
    <w:rsid w:val="00DC6090"/>
    <w:rsid w:val="00DC63AE"/>
    <w:rsid w:val="00DC6B60"/>
    <w:rsid w:val="00DC6D2F"/>
    <w:rsid w:val="00DC77D1"/>
    <w:rsid w:val="00DD0018"/>
    <w:rsid w:val="00DD12CA"/>
    <w:rsid w:val="00DD17CA"/>
    <w:rsid w:val="00DD218D"/>
    <w:rsid w:val="00DD62E7"/>
    <w:rsid w:val="00DD724F"/>
    <w:rsid w:val="00DD74E1"/>
    <w:rsid w:val="00DD7C7E"/>
    <w:rsid w:val="00DE0501"/>
    <w:rsid w:val="00DE3A7F"/>
    <w:rsid w:val="00DE4D34"/>
    <w:rsid w:val="00DE5137"/>
    <w:rsid w:val="00DE543C"/>
    <w:rsid w:val="00DE64D8"/>
    <w:rsid w:val="00DE6EAA"/>
    <w:rsid w:val="00DF0EED"/>
    <w:rsid w:val="00DF376E"/>
    <w:rsid w:val="00DF5509"/>
    <w:rsid w:val="00DF61B7"/>
    <w:rsid w:val="00E00579"/>
    <w:rsid w:val="00E01301"/>
    <w:rsid w:val="00E043AB"/>
    <w:rsid w:val="00E0504D"/>
    <w:rsid w:val="00E0661D"/>
    <w:rsid w:val="00E06EF8"/>
    <w:rsid w:val="00E07101"/>
    <w:rsid w:val="00E105EC"/>
    <w:rsid w:val="00E113EB"/>
    <w:rsid w:val="00E11FA6"/>
    <w:rsid w:val="00E1207E"/>
    <w:rsid w:val="00E1355A"/>
    <w:rsid w:val="00E15B61"/>
    <w:rsid w:val="00E16EA5"/>
    <w:rsid w:val="00E17DE7"/>
    <w:rsid w:val="00E17E51"/>
    <w:rsid w:val="00E20192"/>
    <w:rsid w:val="00E20AB5"/>
    <w:rsid w:val="00E2300E"/>
    <w:rsid w:val="00E24618"/>
    <w:rsid w:val="00E24890"/>
    <w:rsid w:val="00E27468"/>
    <w:rsid w:val="00E30283"/>
    <w:rsid w:val="00E30E21"/>
    <w:rsid w:val="00E35012"/>
    <w:rsid w:val="00E351DD"/>
    <w:rsid w:val="00E35973"/>
    <w:rsid w:val="00E37E3E"/>
    <w:rsid w:val="00E41A9D"/>
    <w:rsid w:val="00E42A30"/>
    <w:rsid w:val="00E43C06"/>
    <w:rsid w:val="00E457F8"/>
    <w:rsid w:val="00E4582D"/>
    <w:rsid w:val="00E50658"/>
    <w:rsid w:val="00E509CC"/>
    <w:rsid w:val="00E50E0C"/>
    <w:rsid w:val="00E51F65"/>
    <w:rsid w:val="00E53D32"/>
    <w:rsid w:val="00E5569C"/>
    <w:rsid w:val="00E55F30"/>
    <w:rsid w:val="00E565CD"/>
    <w:rsid w:val="00E577E1"/>
    <w:rsid w:val="00E57DFE"/>
    <w:rsid w:val="00E62D1F"/>
    <w:rsid w:val="00E63D1F"/>
    <w:rsid w:val="00E64E6B"/>
    <w:rsid w:val="00E6752D"/>
    <w:rsid w:val="00E67D04"/>
    <w:rsid w:val="00E7027F"/>
    <w:rsid w:val="00E722F7"/>
    <w:rsid w:val="00E746F8"/>
    <w:rsid w:val="00E777A0"/>
    <w:rsid w:val="00E81C16"/>
    <w:rsid w:val="00E82329"/>
    <w:rsid w:val="00E825ED"/>
    <w:rsid w:val="00E8301B"/>
    <w:rsid w:val="00E86106"/>
    <w:rsid w:val="00E86944"/>
    <w:rsid w:val="00E86CDE"/>
    <w:rsid w:val="00E903ED"/>
    <w:rsid w:val="00E90797"/>
    <w:rsid w:val="00E90F6C"/>
    <w:rsid w:val="00E92BA1"/>
    <w:rsid w:val="00E930F4"/>
    <w:rsid w:val="00E9332C"/>
    <w:rsid w:val="00E952CE"/>
    <w:rsid w:val="00E96DF3"/>
    <w:rsid w:val="00E971EF"/>
    <w:rsid w:val="00E97352"/>
    <w:rsid w:val="00EA0B00"/>
    <w:rsid w:val="00EA2D5A"/>
    <w:rsid w:val="00EA381D"/>
    <w:rsid w:val="00EA4FB3"/>
    <w:rsid w:val="00EA548C"/>
    <w:rsid w:val="00EA6F58"/>
    <w:rsid w:val="00EB072F"/>
    <w:rsid w:val="00EB07EC"/>
    <w:rsid w:val="00EB0C47"/>
    <w:rsid w:val="00EB202C"/>
    <w:rsid w:val="00EB30FE"/>
    <w:rsid w:val="00EB461E"/>
    <w:rsid w:val="00EB5313"/>
    <w:rsid w:val="00EB65F8"/>
    <w:rsid w:val="00EB6B17"/>
    <w:rsid w:val="00EB6F7D"/>
    <w:rsid w:val="00EB7665"/>
    <w:rsid w:val="00EB79BD"/>
    <w:rsid w:val="00EC28E1"/>
    <w:rsid w:val="00EC3E17"/>
    <w:rsid w:val="00EC62FB"/>
    <w:rsid w:val="00ED3E88"/>
    <w:rsid w:val="00ED4E0E"/>
    <w:rsid w:val="00ED54B3"/>
    <w:rsid w:val="00ED5AAA"/>
    <w:rsid w:val="00ED774C"/>
    <w:rsid w:val="00EE00F5"/>
    <w:rsid w:val="00EE1C9E"/>
    <w:rsid w:val="00EE27E6"/>
    <w:rsid w:val="00EE3A35"/>
    <w:rsid w:val="00EE41BE"/>
    <w:rsid w:val="00EE47F6"/>
    <w:rsid w:val="00EE53D2"/>
    <w:rsid w:val="00EE552A"/>
    <w:rsid w:val="00EE605E"/>
    <w:rsid w:val="00EE72C6"/>
    <w:rsid w:val="00EF02EF"/>
    <w:rsid w:val="00EF11EE"/>
    <w:rsid w:val="00EF1FBD"/>
    <w:rsid w:val="00EF2204"/>
    <w:rsid w:val="00EF220C"/>
    <w:rsid w:val="00EF4764"/>
    <w:rsid w:val="00EF50CE"/>
    <w:rsid w:val="00EF542E"/>
    <w:rsid w:val="00EF7450"/>
    <w:rsid w:val="00EF7B81"/>
    <w:rsid w:val="00EF7B98"/>
    <w:rsid w:val="00EF7EEA"/>
    <w:rsid w:val="00F01EFC"/>
    <w:rsid w:val="00F03104"/>
    <w:rsid w:val="00F03402"/>
    <w:rsid w:val="00F036BC"/>
    <w:rsid w:val="00F03757"/>
    <w:rsid w:val="00F0516A"/>
    <w:rsid w:val="00F06058"/>
    <w:rsid w:val="00F078B7"/>
    <w:rsid w:val="00F10148"/>
    <w:rsid w:val="00F11992"/>
    <w:rsid w:val="00F13944"/>
    <w:rsid w:val="00F156F9"/>
    <w:rsid w:val="00F201FF"/>
    <w:rsid w:val="00F23212"/>
    <w:rsid w:val="00F23576"/>
    <w:rsid w:val="00F2547E"/>
    <w:rsid w:val="00F25AF1"/>
    <w:rsid w:val="00F270E1"/>
    <w:rsid w:val="00F27D89"/>
    <w:rsid w:val="00F30223"/>
    <w:rsid w:val="00F303A8"/>
    <w:rsid w:val="00F30998"/>
    <w:rsid w:val="00F31053"/>
    <w:rsid w:val="00F32E64"/>
    <w:rsid w:val="00F34318"/>
    <w:rsid w:val="00F34DD4"/>
    <w:rsid w:val="00F3617B"/>
    <w:rsid w:val="00F40813"/>
    <w:rsid w:val="00F4081B"/>
    <w:rsid w:val="00F40A5A"/>
    <w:rsid w:val="00F427AB"/>
    <w:rsid w:val="00F435CB"/>
    <w:rsid w:val="00F4610D"/>
    <w:rsid w:val="00F46536"/>
    <w:rsid w:val="00F467E0"/>
    <w:rsid w:val="00F46D5E"/>
    <w:rsid w:val="00F47E31"/>
    <w:rsid w:val="00F47F6F"/>
    <w:rsid w:val="00F53AD0"/>
    <w:rsid w:val="00F54FCB"/>
    <w:rsid w:val="00F55BCB"/>
    <w:rsid w:val="00F56042"/>
    <w:rsid w:val="00F566EF"/>
    <w:rsid w:val="00F56730"/>
    <w:rsid w:val="00F56C65"/>
    <w:rsid w:val="00F578BD"/>
    <w:rsid w:val="00F57E38"/>
    <w:rsid w:val="00F60352"/>
    <w:rsid w:val="00F61A39"/>
    <w:rsid w:val="00F62742"/>
    <w:rsid w:val="00F62785"/>
    <w:rsid w:val="00F62B59"/>
    <w:rsid w:val="00F631F4"/>
    <w:rsid w:val="00F6536B"/>
    <w:rsid w:val="00F66F60"/>
    <w:rsid w:val="00F67CDC"/>
    <w:rsid w:val="00F7069F"/>
    <w:rsid w:val="00F70FCE"/>
    <w:rsid w:val="00F7176D"/>
    <w:rsid w:val="00F73581"/>
    <w:rsid w:val="00F735C4"/>
    <w:rsid w:val="00F73CC5"/>
    <w:rsid w:val="00F74A4B"/>
    <w:rsid w:val="00F777C4"/>
    <w:rsid w:val="00F77A60"/>
    <w:rsid w:val="00F80260"/>
    <w:rsid w:val="00F8136D"/>
    <w:rsid w:val="00F81445"/>
    <w:rsid w:val="00F818E8"/>
    <w:rsid w:val="00F83BD2"/>
    <w:rsid w:val="00F848CE"/>
    <w:rsid w:val="00F84DE3"/>
    <w:rsid w:val="00F84EEB"/>
    <w:rsid w:val="00F851E2"/>
    <w:rsid w:val="00F85308"/>
    <w:rsid w:val="00F855C3"/>
    <w:rsid w:val="00F85614"/>
    <w:rsid w:val="00F85B66"/>
    <w:rsid w:val="00F904A0"/>
    <w:rsid w:val="00F908D3"/>
    <w:rsid w:val="00F913FE"/>
    <w:rsid w:val="00F93900"/>
    <w:rsid w:val="00F93CF0"/>
    <w:rsid w:val="00F950E6"/>
    <w:rsid w:val="00FA0707"/>
    <w:rsid w:val="00FA0C4E"/>
    <w:rsid w:val="00FA197F"/>
    <w:rsid w:val="00FA24C5"/>
    <w:rsid w:val="00FA36DC"/>
    <w:rsid w:val="00FA48C3"/>
    <w:rsid w:val="00FA67C0"/>
    <w:rsid w:val="00FA7114"/>
    <w:rsid w:val="00FB02E0"/>
    <w:rsid w:val="00FB1B88"/>
    <w:rsid w:val="00FB1C2D"/>
    <w:rsid w:val="00FB34A9"/>
    <w:rsid w:val="00FB5DEA"/>
    <w:rsid w:val="00FC02F6"/>
    <w:rsid w:val="00FC1916"/>
    <w:rsid w:val="00FC205C"/>
    <w:rsid w:val="00FC3745"/>
    <w:rsid w:val="00FC39D9"/>
    <w:rsid w:val="00FC42D6"/>
    <w:rsid w:val="00FC44CA"/>
    <w:rsid w:val="00FC4786"/>
    <w:rsid w:val="00FD0617"/>
    <w:rsid w:val="00FD0F37"/>
    <w:rsid w:val="00FD2392"/>
    <w:rsid w:val="00FD3275"/>
    <w:rsid w:val="00FD6D1F"/>
    <w:rsid w:val="00FD73D4"/>
    <w:rsid w:val="00FD7445"/>
    <w:rsid w:val="00FE086D"/>
    <w:rsid w:val="00FE15FB"/>
    <w:rsid w:val="00FE16C8"/>
    <w:rsid w:val="00FE2AFA"/>
    <w:rsid w:val="00FE339A"/>
    <w:rsid w:val="00FE35AC"/>
    <w:rsid w:val="00FE4D93"/>
    <w:rsid w:val="00FE4DA8"/>
    <w:rsid w:val="00FE5D4C"/>
    <w:rsid w:val="00FF0564"/>
    <w:rsid w:val="00FF0E5C"/>
    <w:rsid w:val="00FF2F7C"/>
    <w:rsid w:val="00FF545A"/>
    <w:rsid w:val="00FF593F"/>
    <w:rsid w:val="00FF6418"/>
    <w:rsid w:val="00FF67DC"/>
    <w:rsid w:val="00FF7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EF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5A"/>
  </w:style>
  <w:style w:type="paragraph" w:styleId="Heading1">
    <w:name w:val="heading 1"/>
    <w:basedOn w:val="Normal"/>
    <w:next w:val="Normal"/>
    <w:link w:val="Heading1Char"/>
    <w:uiPriority w:val="9"/>
    <w:qFormat/>
    <w:rsid w:val="002C5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A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47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4F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1BE"/>
    <w:pPr>
      <w:ind w:left="720"/>
      <w:contextualSpacing/>
    </w:pPr>
  </w:style>
  <w:style w:type="character" w:customStyle="1" w:styleId="Heading1Char">
    <w:name w:val="Heading 1 Char"/>
    <w:basedOn w:val="DefaultParagraphFont"/>
    <w:link w:val="Heading1"/>
    <w:uiPriority w:val="9"/>
    <w:rsid w:val="002C5A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5A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7471E"/>
    <w:pPr>
      <w:outlineLvl w:val="9"/>
    </w:pPr>
    <w:rPr>
      <w:lang w:val="en-US"/>
    </w:rPr>
  </w:style>
  <w:style w:type="paragraph" w:styleId="TOC1">
    <w:name w:val="toc 1"/>
    <w:basedOn w:val="Normal"/>
    <w:next w:val="Normal"/>
    <w:autoRedefine/>
    <w:uiPriority w:val="39"/>
    <w:unhideWhenUsed/>
    <w:rsid w:val="00A912BD"/>
    <w:pPr>
      <w:tabs>
        <w:tab w:val="right" w:leader="dot" w:pos="9016"/>
      </w:tabs>
      <w:spacing w:after="100"/>
    </w:pPr>
  </w:style>
  <w:style w:type="paragraph" w:styleId="TOC2">
    <w:name w:val="toc 2"/>
    <w:basedOn w:val="Normal"/>
    <w:next w:val="Normal"/>
    <w:autoRedefine/>
    <w:uiPriority w:val="39"/>
    <w:unhideWhenUsed/>
    <w:rsid w:val="0087471E"/>
    <w:pPr>
      <w:spacing w:after="100"/>
      <w:ind w:left="220"/>
    </w:pPr>
  </w:style>
  <w:style w:type="character" w:styleId="Hyperlink">
    <w:name w:val="Hyperlink"/>
    <w:basedOn w:val="DefaultParagraphFont"/>
    <w:uiPriority w:val="99"/>
    <w:unhideWhenUsed/>
    <w:rsid w:val="0087471E"/>
    <w:rPr>
      <w:color w:val="0563C1" w:themeColor="hyperlink"/>
      <w:u w:val="single"/>
    </w:rPr>
  </w:style>
  <w:style w:type="paragraph" w:styleId="Header">
    <w:name w:val="header"/>
    <w:basedOn w:val="Normal"/>
    <w:link w:val="HeaderChar"/>
    <w:uiPriority w:val="99"/>
    <w:unhideWhenUsed/>
    <w:rsid w:val="00874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71E"/>
  </w:style>
  <w:style w:type="paragraph" w:styleId="Footer">
    <w:name w:val="footer"/>
    <w:basedOn w:val="Normal"/>
    <w:link w:val="FooterChar"/>
    <w:uiPriority w:val="99"/>
    <w:unhideWhenUsed/>
    <w:rsid w:val="00874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1E"/>
  </w:style>
  <w:style w:type="character" w:customStyle="1" w:styleId="Heading3Char">
    <w:name w:val="Heading 3 Char"/>
    <w:basedOn w:val="DefaultParagraphFont"/>
    <w:link w:val="Heading3"/>
    <w:uiPriority w:val="9"/>
    <w:rsid w:val="0087471E"/>
    <w:rPr>
      <w:rFonts w:asciiTheme="majorHAnsi" w:eastAsiaTheme="majorEastAsia" w:hAnsiTheme="majorHAnsi" w:cstheme="majorBidi"/>
      <w:color w:val="1F3763" w:themeColor="accent1" w:themeShade="7F"/>
      <w:sz w:val="24"/>
      <w:szCs w:val="24"/>
    </w:rPr>
  </w:style>
  <w:style w:type="character" w:customStyle="1" w:styleId="markedcontent">
    <w:name w:val="markedcontent"/>
    <w:basedOn w:val="DefaultParagraphFont"/>
    <w:rsid w:val="006B73D5"/>
  </w:style>
  <w:style w:type="paragraph" w:styleId="FootnoteText">
    <w:name w:val="footnote text"/>
    <w:basedOn w:val="Normal"/>
    <w:link w:val="FootnoteTextChar"/>
    <w:unhideWhenUsed/>
    <w:qFormat/>
    <w:rsid w:val="006B73D5"/>
    <w:pPr>
      <w:spacing w:after="0" w:line="240" w:lineRule="auto"/>
    </w:pPr>
    <w:rPr>
      <w:sz w:val="20"/>
      <w:szCs w:val="20"/>
    </w:rPr>
  </w:style>
  <w:style w:type="character" w:customStyle="1" w:styleId="FootnoteTextChar">
    <w:name w:val="Footnote Text Char"/>
    <w:basedOn w:val="DefaultParagraphFont"/>
    <w:link w:val="FootnoteText"/>
    <w:rsid w:val="006B73D5"/>
    <w:rPr>
      <w:sz w:val="20"/>
      <w:szCs w:val="20"/>
    </w:rPr>
  </w:style>
  <w:style w:type="character" w:styleId="FootnoteReference">
    <w:name w:val="footnote reference"/>
    <w:basedOn w:val="DefaultParagraphFont"/>
    <w:unhideWhenUsed/>
    <w:rsid w:val="006B73D5"/>
    <w:rPr>
      <w:vertAlign w:val="superscript"/>
    </w:rPr>
  </w:style>
  <w:style w:type="character" w:customStyle="1" w:styleId="UnresolvedMention1">
    <w:name w:val="Unresolved Mention1"/>
    <w:basedOn w:val="DefaultParagraphFont"/>
    <w:uiPriority w:val="99"/>
    <w:semiHidden/>
    <w:unhideWhenUsed/>
    <w:rsid w:val="006B73D5"/>
    <w:rPr>
      <w:color w:val="605E5C"/>
      <w:shd w:val="clear" w:color="auto" w:fill="E1DFDD"/>
    </w:rPr>
  </w:style>
  <w:style w:type="paragraph" w:styleId="TOC3">
    <w:name w:val="toc 3"/>
    <w:basedOn w:val="Normal"/>
    <w:next w:val="Normal"/>
    <w:autoRedefine/>
    <w:uiPriority w:val="39"/>
    <w:unhideWhenUsed/>
    <w:rsid w:val="001C0BE9"/>
    <w:pPr>
      <w:spacing w:after="100"/>
      <w:ind w:left="440"/>
    </w:pPr>
  </w:style>
  <w:style w:type="character" w:styleId="FollowedHyperlink">
    <w:name w:val="FollowedHyperlink"/>
    <w:basedOn w:val="DefaultParagraphFont"/>
    <w:uiPriority w:val="99"/>
    <w:semiHidden/>
    <w:unhideWhenUsed/>
    <w:rsid w:val="002C7784"/>
    <w:rPr>
      <w:color w:val="954F72" w:themeColor="followedHyperlink"/>
      <w:u w:val="single"/>
    </w:rPr>
  </w:style>
  <w:style w:type="paragraph" w:styleId="Quote">
    <w:name w:val="Quote"/>
    <w:basedOn w:val="Normal"/>
    <w:next w:val="Normal"/>
    <w:link w:val="QuoteChar"/>
    <w:uiPriority w:val="29"/>
    <w:qFormat/>
    <w:rsid w:val="00574D5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74D56"/>
    <w:rPr>
      <w:i/>
      <w:iCs/>
      <w:color w:val="404040" w:themeColor="text1" w:themeTint="BF"/>
    </w:rPr>
  </w:style>
  <w:style w:type="paragraph" w:styleId="NormalWeb">
    <w:name w:val="Normal (Web)"/>
    <w:basedOn w:val="Normal"/>
    <w:uiPriority w:val="99"/>
    <w:semiHidden/>
    <w:unhideWhenUsed/>
    <w:rsid w:val="009D3C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2C4F63"/>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867930"/>
    <w:rPr>
      <w:sz w:val="16"/>
      <w:szCs w:val="16"/>
    </w:rPr>
  </w:style>
  <w:style w:type="paragraph" w:styleId="CommentText">
    <w:name w:val="annotation text"/>
    <w:basedOn w:val="Normal"/>
    <w:link w:val="CommentTextChar"/>
    <w:uiPriority w:val="99"/>
    <w:unhideWhenUsed/>
    <w:rsid w:val="00867930"/>
    <w:pPr>
      <w:spacing w:line="240" w:lineRule="auto"/>
    </w:pPr>
    <w:rPr>
      <w:sz w:val="20"/>
      <w:szCs w:val="20"/>
    </w:rPr>
  </w:style>
  <w:style w:type="character" w:customStyle="1" w:styleId="CommentTextChar">
    <w:name w:val="Comment Text Char"/>
    <w:basedOn w:val="DefaultParagraphFont"/>
    <w:link w:val="CommentText"/>
    <w:uiPriority w:val="99"/>
    <w:rsid w:val="00867930"/>
    <w:rPr>
      <w:sz w:val="20"/>
      <w:szCs w:val="20"/>
    </w:rPr>
  </w:style>
  <w:style w:type="paragraph" w:styleId="CommentSubject">
    <w:name w:val="annotation subject"/>
    <w:basedOn w:val="CommentText"/>
    <w:next w:val="CommentText"/>
    <w:link w:val="CommentSubjectChar"/>
    <w:uiPriority w:val="99"/>
    <w:semiHidden/>
    <w:unhideWhenUsed/>
    <w:rsid w:val="00867930"/>
    <w:rPr>
      <w:b/>
      <w:bCs/>
    </w:rPr>
  </w:style>
  <w:style w:type="character" w:customStyle="1" w:styleId="CommentSubjectChar">
    <w:name w:val="Comment Subject Char"/>
    <w:basedOn w:val="CommentTextChar"/>
    <w:link w:val="CommentSubject"/>
    <w:uiPriority w:val="99"/>
    <w:semiHidden/>
    <w:rsid w:val="00867930"/>
    <w:rPr>
      <w:b/>
      <w:bCs/>
      <w:sz w:val="20"/>
      <w:szCs w:val="20"/>
    </w:rPr>
  </w:style>
  <w:style w:type="table" w:styleId="TableGrid">
    <w:name w:val="Table Grid"/>
    <w:basedOn w:val="TableNormal"/>
    <w:uiPriority w:val="39"/>
    <w:rsid w:val="00A5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07DA"/>
    <w:pPr>
      <w:spacing w:after="0" w:line="240" w:lineRule="auto"/>
    </w:pPr>
  </w:style>
  <w:style w:type="paragraph" w:styleId="BalloonText">
    <w:name w:val="Balloon Text"/>
    <w:basedOn w:val="Normal"/>
    <w:link w:val="BalloonTextChar"/>
    <w:uiPriority w:val="99"/>
    <w:semiHidden/>
    <w:unhideWhenUsed/>
    <w:rsid w:val="00806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7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477B0"/>
    <w:rPr>
      <w:color w:val="605E5C"/>
      <w:shd w:val="clear" w:color="auto" w:fill="E1DFDD"/>
    </w:rPr>
  </w:style>
  <w:style w:type="character" w:customStyle="1" w:styleId="UnresolvedMention3">
    <w:name w:val="Unresolved Mention3"/>
    <w:basedOn w:val="DefaultParagraphFont"/>
    <w:uiPriority w:val="99"/>
    <w:semiHidden/>
    <w:unhideWhenUsed/>
    <w:rsid w:val="00934DBC"/>
    <w:rPr>
      <w:color w:val="605E5C"/>
      <w:shd w:val="clear" w:color="auto" w:fill="E1DFDD"/>
    </w:rPr>
  </w:style>
  <w:style w:type="paragraph" w:customStyle="1" w:styleId="norm">
    <w:name w:val="norm"/>
    <w:basedOn w:val="Normal"/>
    <w:rsid w:val="003510DA"/>
    <w:pPr>
      <w:spacing w:after="0" w:line="240" w:lineRule="auto"/>
    </w:pPr>
    <w:rPr>
      <w:rFonts w:ascii="Times New Roman" w:hAnsi="Times New Roman" w:cs="Times New Roman"/>
      <w:color w:val="000000"/>
      <w:sz w:val="28"/>
      <w:szCs w:val="28"/>
      <w:lang w:eastAsia="en-AU"/>
    </w:rPr>
  </w:style>
  <w:style w:type="paragraph" w:customStyle="1" w:styleId="Default">
    <w:name w:val="Default"/>
    <w:rsid w:val="002D777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37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39769">
      <w:bodyDiv w:val="1"/>
      <w:marLeft w:val="0"/>
      <w:marRight w:val="0"/>
      <w:marTop w:val="0"/>
      <w:marBottom w:val="0"/>
      <w:divBdr>
        <w:top w:val="none" w:sz="0" w:space="0" w:color="auto"/>
        <w:left w:val="none" w:sz="0" w:space="0" w:color="auto"/>
        <w:bottom w:val="none" w:sz="0" w:space="0" w:color="auto"/>
        <w:right w:val="none" w:sz="0" w:space="0" w:color="auto"/>
      </w:divBdr>
    </w:div>
    <w:div w:id="206453262">
      <w:bodyDiv w:val="1"/>
      <w:marLeft w:val="0"/>
      <w:marRight w:val="0"/>
      <w:marTop w:val="0"/>
      <w:marBottom w:val="0"/>
      <w:divBdr>
        <w:top w:val="none" w:sz="0" w:space="0" w:color="auto"/>
        <w:left w:val="none" w:sz="0" w:space="0" w:color="auto"/>
        <w:bottom w:val="none" w:sz="0" w:space="0" w:color="auto"/>
        <w:right w:val="none" w:sz="0" w:space="0" w:color="auto"/>
      </w:divBdr>
    </w:div>
    <w:div w:id="269631687">
      <w:bodyDiv w:val="1"/>
      <w:marLeft w:val="0"/>
      <w:marRight w:val="0"/>
      <w:marTop w:val="0"/>
      <w:marBottom w:val="0"/>
      <w:divBdr>
        <w:top w:val="none" w:sz="0" w:space="0" w:color="auto"/>
        <w:left w:val="none" w:sz="0" w:space="0" w:color="auto"/>
        <w:bottom w:val="none" w:sz="0" w:space="0" w:color="auto"/>
        <w:right w:val="none" w:sz="0" w:space="0" w:color="auto"/>
      </w:divBdr>
    </w:div>
    <w:div w:id="400105759">
      <w:bodyDiv w:val="1"/>
      <w:marLeft w:val="0"/>
      <w:marRight w:val="0"/>
      <w:marTop w:val="0"/>
      <w:marBottom w:val="0"/>
      <w:divBdr>
        <w:top w:val="none" w:sz="0" w:space="0" w:color="auto"/>
        <w:left w:val="none" w:sz="0" w:space="0" w:color="auto"/>
        <w:bottom w:val="none" w:sz="0" w:space="0" w:color="auto"/>
        <w:right w:val="none" w:sz="0" w:space="0" w:color="auto"/>
      </w:divBdr>
    </w:div>
    <w:div w:id="496769512">
      <w:bodyDiv w:val="1"/>
      <w:marLeft w:val="0"/>
      <w:marRight w:val="0"/>
      <w:marTop w:val="0"/>
      <w:marBottom w:val="0"/>
      <w:divBdr>
        <w:top w:val="none" w:sz="0" w:space="0" w:color="auto"/>
        <w:left w:val="none" w:sz="0" w:space="0" w:color="auto"/>
        <w:bottom w:val="none" w:sz="0" w:space="0" w:color="auto"/>
        <w:right w:val="none" w:sz="0" w:space="0" w:color="auto"/>
      </w:divBdr>
    </w:div>
    <w:div w:id="548733876">
      <w:bodyDiv w:val="1"/>
      <w:marLeft w:val="0"/>
      <w:marRight w:val="0"/>
      <w:marTop w:val="0"/>
      <w:marBottom w:val="0"/>
      <w:divBdr>
        <w:top w:val="none" w:sz="0" w:space="0" w:color="auto"/>
        <w:left w:val="none" w:sz="0" w:space="0" w:color="auto"/>
        <w:bottom w:val="none" w:sz="0" w:space="0" w:color="auto"/>
        <w:right w:val="none" w:sz="0" w:space="0" w:color="auto"/>
      </w:divBdr>
    </w:div>
    <w:div w:id="605356142">
      <w:bodyDiv w:val="1"/>
      <w:marLeft w:val="0"/>
      <w:marRight w:val="0"/>
      <w:marTop w:val="0"/>
      <w:marBottom w:val="0"/>
      <w:divBdr>
        <w:top w:val="none" w:sz="0" w:space="0" w:color="auto"/>
        <w:left w:val="none" w:sz="0" w:space="0" w:color="auto"/>
        <w:bottom w:val="none" w:sz="0" w:space="0" w:color="auto"/>
        <w:right w:val="none" w:sz="0" w:space="0" w:color="auto"/>
      </w:divBdr>
    </w:div>
    <w:div w:id="806318227">
      <w:bodyDiv w:val="1"/>
      <w:marLeft w:val="0"/>
      <w:marRight w:val="0"/>
      <w:marTop w:val="0"/>
      <w:marBottom w:val="0"/>
      <w:divBdr>
        <w:top w:val="none" w:sz="0" w:space="0" w:color="auto"/>
        <w:left w:val="none" w:sz="0" w:space="0" w:color="auto"/>
        <w:bottom w:val="none" w:sz="0" w:space="0" w:color="auto"/>
        <w:right w:val="none" w:sz="0" w:space="0" w:color="auto"/>
      </w:divBdr>
    </w:div>
    <w:div w:id="982202190">
      <w:bodyDiv w:val="1"/>
      <w:marLeft w:val="0"/>
      <w:marRight w:val="0"/>
      <w:marTop w:val="0"/>
      <w:marBottom w:val="0"/>
      <w:divBdr>
        <w:top w:val="none" w:sz="0" w:space="0" w:color="auto"/>
        <w:left w:val="none" w:sz="0" w:space="0" w:color="auto"/>
        <w:bottom w:val="none" w:sz="0" w:space="0" w:color="auto"/>
        <w:right w:val="none" w:sz="0" w:space="0" w:color="auto"/>
      </w:divBdr>
    </w:div>
    <w:div w:id="1000736902">
      <w:bodyDiv w:val="1"/>
      <w:marLeft w:val="0"/>
      <w:marRight w:val="0"/>
      <w:marTop w:val="0"/>
      <w:marBottom w:val="0"/>
      <w:divBdr>
        <w:top w:val="none" w:sz="0" w:space="0" w:color="auto"/>
        <w:left w:val="none" w:sz="0" w:space="0" w:color="auto"/>
        <w:bottom w:val="none" w:sz="0" w:space="0" w:color="auto"/>
        <w:right w:val="none" w:sz="0" w:space="0" w:color="auto"/>
      </w:divBdr>
    </w:div>
    <w:div w:id="1305769002">
      <w:bodyDiv w:val="1"/>
      <w:marLeft w:val="0"/>
      <w:marRight w:val="0"/>
      <w:marTop w:val="0"/>
      <w:marBottom w:val="0"/>
      <w:divBdr>
        <w:top w:val="none" w:sz="0" w:space="0" w:color="auto"/>
        <w:left w:val="none" w:sz="0" w:space="0" w:color="auto"/>
        <w:bottom w:val="none" w:sz="0" w:space="0" w:color="auto"/>
        <w:right w:val="none" w:sz="0" w:space="0" w:color="auto"/>
      </w:divBdr>
    </w:div>
    <w:div w:id="1426341691">
      <w:bodyDiv w:val="1"/>
      <w:marLeft w:val="0"/>
      <w:marRight w:val="0"/>
      <w:marTop w:val="0"/>
      <w:marBottom w:val="0"/>
      <w:divBdr>
        <w:top w:val="none" w:sz="0" w:space="0" w:color="auto"/>
        <w:left w:val="none" w:sz="0" w:space="0" w:color="auto"/>
        <w:bottom w:val="none" w:sz="0" w:space="0" w:color="auto"/>
        <w:right w:val="none" w:sz="0" w:space="0" w:color="auto"/>
      </w:divBdr>
    </w:div>
    <w:div w:id="1459302501">
      <w:bodyDiv w:val="1"/>
      <w:marLeft w:val="0"/>
      <w:marRight w:val="0"/>
      <w:marTop w:val="0"/>
      <w:marBottom w:val="0"/>
      <w:divBdr>
        <w:top w:val="none" w:sz="0" w:space="0" w:color="auto"/>
        <w:left w:val="none" w:sz="0" w:space="0" w:color="auto"/>
        <w:bottom w:val="none" w:sz="0" w:space="0" w:color="auto"/>
        <w:right w:val="none" w:sz="0" w:space="0" w:color="auto"/>
      </w:divBdr>
    </w:div>
    <w:div w:id="1493058492">
      <w:bodyDiv w:val="1"/>
      <w:marLeft w:val="0"/>
      <w:marRight w:val="0"/>
      <w:marTop w:val="0"/>
      <w:marBottom w:val="0"/>
      <w:divBdr>
        <w:top w:val="none" w:sz="0" w:space="0" w:color="auto"/>
        <w:left w:val="none" w:sz="0" w:space="0" w:color="auto"/>
        <w:bottom w:val="none" w:sz="0" w:space="0" w:color="auto"/>
        <w:right w:val="none" w:sz="0" w:space="0" w:color="auto"/>
      </w:divBdr>
    </w:div>
    <w:div w:id="1521436499">
      <w:bodyDiv w:val="1"/>
      <w:marLeft w:val="0"/>
      <w:marRight w:val="0"/>
      <w:marTop w:val="0"/>
      <w:marBottom w:val="0"/>
      <w:divBdr>
        <w:top w:val="none" w:sz="0" w:space="0" w:color="auto"/>
        <w:left w:val="none" w:sz="0" w:space="0" w:color="auto"/>
        <w:bottom w:val="none" w:sz="0" w:space="0" w:color="auto"/>
        <w:right w:val="none" w:sz="0" w:space="0" w:color="auto"/>
      </w:divBdr>
    </w:div>
    <w:div w:id="1576209525">
      <w:bodyDiv w:val="1"/>
      <w:marLeft w:val="0"/>
      <w:marRight w:val="0"/>
      <w:marTop w:val="0"/>
      <w:marBottom w:val="0"/>
      <w:divBdr>
        <w:top w:val="none" w:sz="0" w:space="0" w:color="auto"/>
        <w:left w:val="none" w:sz="0" w:space="0" w:color="auto"/>
        <w:bottom w:val="none" w:sz="0" w:space="0" w:color="auto"/>
        <w:right w:val="none" w:sz="0" w:space="0" w:color="auto"/>
      </w:divBdr>
    </w:div>
    <w:div w:id="1609509350">
      <w:bodyDiv w:val="1"/>
      <w:marLeft w:val="0"/>
      <w:marRight w:val="0"/>
      <w:marTop w:val="0"/>
      <w:marBottom w:val="0"/>
      <w:divBdr>
        <w:top w:val="none" w:sz="0" w:space="0" w:color="auto"/>
        <w:left w:val="none" w:sz="0" w:space="0" w:color="auto"/>
        <w:bottom w:val="none" w:sz="0" w:space="0" w:color="auto"/>
        <w:right w:val="none" w:sz="0" w:space="0" w:color="auto"/>
      </w:divBdr>
    </w:div>
    <w:div w:id="1751736951">
      <w:bodyDiv w:val="1"/>
      <w:marLeft w:val="0"/>
      <w:marRight w:val="0"/>
      <w:marTop w:val="0"/>
      <w:marBottom w:val="0"/>
      <w:divBdr>
        <w:top w:val="none" w:sz="0" w:space="0" w:color="auto"/>
        <w:left w:val="none" w:sz="0" w:space="0" w:color="auto"/>
        <w:bottom w:val="none" w:sz="0" w:space="0" w:color="auto"/>
        <w:right w:val="none" w:sz="0" w:space="0" w:color="auto"/>
      </w:divBdr>
    </w:div>
    <w:div w:id="20036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mi.homeaffairs.gov.au/visas/employing-and-sponsoring-someone/sponsoring-workers/nominating-a-position/labour-agreements/industry-labour-agreements" TargetMode="External"/><Relationship Id="rId18" Type="http://schemas.openxmlformats.org/officeDocument/2006/relationships/hyperlink" Target="https://immi.homeaffairs.gov.au/help-support/meeting-our-requirements/health/what-health-examinations-you-need" TargetMode="External"/><Relationship Id="rId26" Type="http://schemas.openxmlformats.org/officeDocument/2006/relationships/hyperlink" Target="https://immi.homeaffairs.gov.au/employer-subsite/files/labour-agreement-horticulture.pdf" TargetMode="External"/><Relationship Id="rId39" Type="http://schemas.openxmlformats.org/officeDocument/2006/relationships/hyperlink" Target="https://www.ckb.wa.gov.au/Doing-Business/Designated-Area-Migration-Agreement" TargetMode="External"/><Relationship Id="rId21" Type="http://schemas.openxmlformats.org/officeDocument/2006/relationships/hyperlink" Target="https://immi.homeaffairs.gov.au/visas/getting-a-visa/visa-listing/temporary-skill-shortage-482/labour-agreement-stream" TargetMode="External"/><Relationship Id="rId34" Type="http://schemas.openxmlformats.org/officeDocument/2006/relationships/hyperlink" Target="https://immi.homeaffairs.gov.au/visas/getting-a-visa/visa-listing/temporary-skill-shortage-482/labour-agreement-stream" TargetMode="External"/><Relationship Id="rId42" Type="http://schemas.openxmlformats.org/officeDocument/2006/relationships/hyperlink" Target="https://www.rdaorana.org.au/migration/dama/" TargetMode="External"/><Relationship Id="rId47" Type="http://schemas.openxmlformats.org/officeDocument/2006/relationships/hyperlink" Target="https://immi.homeaffairs.gov.au/visas/getting-a-visa/visa-listing/temporary-skill-shortage-482/short-term-stream" TargetMode="External"/><Relationship Id="rId50" Type="http://schemas.openxmlformats.org/officeDocument/2006/relationships/hyperlink" Target="https://immi.homeaffairs.gov.au/help-support/meeting-our-requirements/health/what-health-examinations-you-need"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mi.homeaffairs.gov.au/employer-subsite/files/labour-agreement-template-meat-industry.pdf" TargetMode="External"/><Relationship Id="rId17" Type="http://schemas.openxmlformats.org/officeDocument/2006/relationships/hyperlink" Target="https://www.palmscheme.gov.au/skills-development" TargetMode="External"/><Relationship Id="rId25" Type="http://schemas.openxmlformats.org/officeDocument/2006/relationships/hyperlink" Target="https://tinyurl.com/ybuulkyf" TargetMode="External"/><Relationship Id="rId33" Type="http://schemas.openxmlformats.org/officeDocument/2006/relationships/hyperlink" Target="https://immi.homeaffairs.gov.au/help-support/meeting-our-requirements/australian-values" TargetMode="External"/><Relationship Id="rId38" Type="http://schemas.openxmlformats.org/officeDocument/2006/relationships/hyperlink" Target="https://industry.nt.gov.au/migration-for-business/northern-territory-designated-area-migration-agreement" TargetMode="External"/><Relationship Id="rId46" Type="http://schemas.openxmlformats.org/officeDocument/2006/relationships/hyperlink" Target="https://immi.homeaffairs.gov.au/visas/getting-a-visa/visa-listing/temporary-skill-shortage-482/medium-term-stream" TargetMode="External"/><Relationship Id="rId2" Type="http://schemas.openxmlformats.org/officeDocument/2006/relationships/numbering" Target="numbering.xml"/><Relationship Id="rId16" Type="http://schemas.openxmlformats.org/officeDocument/2006/relationships/hyperlink" Target="https://immi.homeaffairs.gov.au/visas/working-in-australia/skill-occupation-list/regional-postcodes" TargetMode="External"/><Relationship Id="rId20" Type="http://schemas.openxmlformats.org/officeDocument/2006/relationships/hyperlink" Target="https://immi.homeaffairs.gov.au/help-support/meeting-our-requirements/australian-values" TargetMode="External"/><Relationship Id="rId29" Type="http://schemas.openxmlformats.org/officeDocument/2006/relationships/hyperlink" Target="https://www.palmscheme.gov.au/skills-development" TargetMode="External"/><Relationship Id="rId41" Type="http://schemas.openxmlformats.org/officeDocument/2006/relationships/hyperlink" Target="https://www.migration.sa.gov.au/local-businesses/supporting-information/designated-area-migration-agreements" TargetMode="External"/><Relationship Id="rId54" Type="http://schemas.openxmlformats.org/officeDocument/2006/relationships/hyperlink" Target="https://immi.homeaffairs.gov.au/visas/getting-a-visa/visa-listing/temporary-skill-shortage-482/medium-term-str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mi.homeaffairs.gov.au/employer-subsite/files/labour-agreement-template-meat-industry.pdf" TargetMode="External"/><Relationship Id="rId24" Type="http://schemas.openxmlformats.org/officeDocument/2006/relationships/hyperlink" Target="https://www.ames.net.au/skilled-migration-service/news-and-updates/school-fees-for-dependent-subclass-482-visa-holders" TargetMode="External"/><Relationship Id="rId32" Type="http://schemas.openxmlformats.org/officeDocument/2006/relationships/hyperlink" Target="https://immi.homeaffairs.gov.au/help-support/meeting-our-requirements/character" TargetMode="External"/><Relationship Id="rId37" Type="http://schemas.openxmlformats.org/officeDocument/2006/relationships/hyperlink" Target="https://www.ames.net.au/skilled-migration-service/news-and-updates/school-fees-for-dependent-subclass-482-visa-holders" TargetMode="External"/><Relationship Id="rId40" Type="http://schemas.openxmlformats.org/officeDocument/2006/relationships/hyperlink" Target="https://gscdama.warrnambool.vic.gov.au/" TargetMode="External"/><Relationship Id="rId45" Type="http://schemas.openxmlformats.org/officeDocument/2006/relationships/hyperlink" Target="https://immi.homeaffairs.gov.au/visas/getting-a-visa/visa-listing/skilled-employer-sponsored-regional-494" TargetMode="External"/><Relationship Id="rId53" Type="http://schemas.openxmlformats.org/officeDocument/2006/relationships/hyperlink" Target="https://immi.homeaffairs.gov.au/visas/getting-a-visa/visa-listing/temporary-skill-shortage-482/labour-agreement-stream" TargetMode="External"/><Relationship Id="rId5" Type="http://schemas.openxmlformats.org/officeDocument/2006/relationships/webSettings" Target="webSettings.xml"/><Relationship Id="rId15" Type="http://schemas.openxmlformats.org/officeDocument/2006/relationships/hyperlink" Target="https://immi.homeaffairs.gov.au/employer-subsite/files/labour-agreement-template-meat-industry.pdf" TargetMode="External"/><Relationship Id="rId23" Type="http://schemas.openxmlformats.org/officeDocument/2006/relationships/hyperlink" Target="https://immi.homeaffairs.gov.au/visas/getting-a-visa/visa-listing/employer-nomination-scheme-186/labour-agreement-stream" TargetMode="External"/><Relationship Id="rId28" Type="http://schemas.openxmlformats.org/officeDocument/2006/relationships/hyperlink" Target="https://immi.homeaffairs.gov.au/what-we-do/skilled-migration-program/recent-changes/new-horticulture-industry-labour-agreement" TargetMode="External"/><Relationship Id="rId36" Type="http://schemas.openxmlformats.org/officeDocument/2006/relationships/hyperlink" Target="https://immi.homeaffairs.gov.au/visas/getting-a-visa/visa-listing/employer-nomination-scheme-186/labour-agreement-stream" TargetMode="External"/><Relationship Id="rId49" Type="http://schemas.openxmlformats.org/officeDocument/2006/relationships/hyperlink" Target="https://www.vetassess.com.au/Portals/0/Downloads/trade_assessment/Fact%20Sheet%20-%20Motor%20Mechanic.pdf?ver=2019-04-02-102057-163" TargetMode="External"/><Relationship Id="rId10" Type="http://schemas.openxmlformats.org/officeDocument/2006/relationships/hyperlink" Target="https://immi.homeaffairs.gov.au/visas/employing-and-sponsoring-someone/sponsoring-workers/nominating-a-position/labour-agreements/industry-labour-agreements" TargetMode="External"/><Relationship Id="rId19" Type="http://schemas.openxmlformats.org/officeDocument/2006/relationships/hyperlink" Target="https://immi.homeaffairs.gov.au/help-support/meeting-our-requirements/character" TargetMode="External"/><Relationship Id="rId31" Type="http://schemas.openxmlformats.org/officeDocument/2006/relationships/hyperlink" Target="https://immi.homeaffairs.gov.au/help-support/meeting-our-requirements/health/what-health-examinations-you-need" TargetMode="External"/><Relationship Id="rId44" Type="http://schemas.openxmlformats.org/officeDocument/2006/relationships/footer" Target="footer2.xml"/><Relationship Id="rId52" Type="http://schemas.openxmlformats.org/officeDocument/2006/relationships/hyperlink" Target="https://immi.homeaffairs.gov.au/help-support/meeting-our-requirements/australian-values" TargetMode="External"/><Relationship Id="rId4" Type="http://schemas.openxmlformats.org/officeDocument/2006/relationships/settings" Target="settings.xml"/><Relationship Id="rId9" Type="http://schemas.openxmlformats.org/officeDocument/2006/relationships/hyperlink" Target="https://www.legislation.gov.au/Details/F2018L00300" TargetMode="External"/><Relationship Id="rId14" Type="http://schemas.openxmlformats.org/officeDocument/2006/relationships/hyperlink" Target="https://immi.homeaffairs.gov.au/employer-subsite/files/labour-agreement-template-meat-industry.pdf" TargetMode="External"/><Relationship Id="rId22" Type="http://schemas.openxmlformats.org/officeDocument/2006/relationships/hyperlink" Target="https://immi.homeaffairs.gov.au/visas/getting-a-visa/visa-listing/temporary-skill-shortage-482/labour-agreement-stream" TargetMode="External"/><Relationship Id="rId27" Type="http://schemas.openxmlformats.org/officeDocument/2006/relationships/hyperlink" Target="https://tinyurl.com/ybuulkyf" TargetMode="External"/><Relationship Id="rId30" Type="http://schemas.openxmlformats.org/officeDocument/2006/relationships/hyperlink" Target="https://immi.homeaffairs.gov.au/employer-subsite/files/labour-agreement-horticulture.pdf" TargetMode="External"/><Relationship Id="rId35" Type="http://schemas.openxmlformats.org/officeDocument/2006/relationships/hyperlink" Target="https://immi.homeaffairs.gov.au/visas/getting-a-visa/visa-listing/temporary-skill-shortage-482/labour-agreement-stream" TargetMode="External"/><Relationship Id="rId43" Type="http://schemas.openxmlformats.org/officeDocument/2006/relationships/hyperlink" Target="https://www.cairnschamber.com.au/regional-migration/fnq-dama" TargetMode="External"/><Relationship Id="rId48" Type="http://schemas.openxmlformats.org/officeDocument/2006/relationships/hyperlink" Target="https://www.vetassess.com.au/Portals/0/Downloads/trade_assessment/Fact%20Sheet%20-%20Carpenter.pdf"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immi.homeaffairs.gov.au/help-support/meeting-our-requirements/characte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vetassess.com.au/skills-assessment-for-migration/trade-occupations/evidence-requirements" TargetMode="External"/><Relationship Id="rId3" Type="http://schemas.openxmlformats.org/officeDocument/2006/relationships/hyperlink" Target="https://aus01.safelinks.protection.outlook.com/?url=https%3A%2F%2Fwww.finervisa.com.au%2Fvisa-482-change-employer%2F&amp;data=04%7C01%7Cstephen.howes%40anu.edu.au%7C728b498a9fc7459411d708d9b53722a6%7Ce37d725cab5c46249ae5f0533e486437%7C0%7C0%7C637740071581661891%7CUnknown%7CTWFpbGZsb3d8eyJWIjoiMC4wLjAwMDAiLCJQIjoiV2luMzIiLCJBTiI6Ik1haWwiLCJXVCI6Mn0%3D%7C3000&amp;sdata=J%2BGHtIK%2FqXak2r6BNevUBvqxQ0mI9Xa3L9tdrZtDba8%3D&amp;reserved=0" TargetMode="External"/><Relationship Id="rId7" Type="http://schemas.openxmlformats.org/officeDocument/2006/relationships/hyperlink" Target="https://www.vetassess.com.au/skills-assessment-for-migration/trade-occupations/assessment-process" TargetMode="External"/><Relationship Id="rId2" Type="http://schemas.openxmlformats.org/officeDocument/2006/relationships/hyperlink" Target="https://www.dfat.gov.au/publications/international-relations/australia-pacific-training-coalition-strategic-review" TargetMode="External"/><Relationship Id="rId1" Type="http://schemas.openxmlformats.org/officeDocument/2006/relationships/hyperlink" Target="https://devpolicy.org/publications/pb20-helping-aptc-trades-graduates-to-migrate-to-australia-under-the-tss-2021/" TargetMode="External"/><Relationship Id="rId6" Type="http://schemas.openxmlformats.org/officeDocument/2006/relationships/hyperlink" Target="https://www.legislation.gov.au/Details/F2018L00294/Controls/" TargetMode="External"/><Relationship Id="rId5" Type="http://schemas.openxmlformats.org/officeDocument/2006/relationships/hyperlink" Target="https://devpolicy.org/aptc-graduates-finding-it-increasingly-difficult-to-find-employment-20210217/" TargetMode="External"/><Relationship Id="rId4" Type="http://schemas.openxmlformats.org/officeDocument/2006/relationships/hyperlink" Target="https://www.aph.gov.au/About_Parliament/Parliamentary_Departments/Parliamentary_Library/pubs/rp/rp1617/Quick_Guides/WorkingHoliday" TargetMode="External"/><Relationship Id="rId9" Type="http://schemas.openxmlformats.org/officeDocument/2006/relationships/hyperlink" Target="https://devpolicy.org/aptc-graduates-finding-it-increasingly-difficult-to-find-employment-20210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CBBE-77EA-4ABB-A61A-86D93AA9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15222</Words>
  <Characters>82205</Characters>
  <Application>Microsoft Office Word</Application>
  <DocSecurity>0</DocSecurity>
  <Lines>1911</Lines>
  <Paragraphs>984</Paragraphs>
  <ScaleCrop>false</ScaleCrop>
  <Company/>
  <LinksUpToDate>false</LinksUpToDate>
  <CharactersWithSpaces>96443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2022-04-05T02:16:00Z</dcterms:created>
  <dcterms:modified xsi:type="dcterms:W3CDTF">2022-04-05T02:16:00Z</dcterms:modified>
  <cp:category/>
</cp:coreProperties>
</file>