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E03F67" w14:textId="77777777" w:rsidR="009C0CD0" w:rsidRDefault="009C0CD0" w:rsidP="00EB398C">
      <w:pPr>
        <w:pStyle w:val="Title"/>
        <w:rPr>
          <w:sz w:val="36"/>
          <w:szCs w:val="36"/>
        </w:rPr>
      </w:pPr>
    </w:p>
    <w:p w14:paraId="1D4D4D81" w14:textId="0616CDC2" w:rsidR="00EB398C" w:rsidRDefault="00494F98" w:rsidP="00EB398C">
      <w:pPr>
        <w:pStyle w:val="Title"/>
        <w:rPr>
          <w:sz w:val="36"/>
          <w:szCs w:val="36"/>
        </w:rPr>
      </w:pPr>
      <w:r>
        <w:rPr>
          <w:sz w:val="36"/>
          <w:szCs w:val="36"/>
        </w:rPr>
        <w:t xml:space="preserve">2019-20 </w:t>
      </w:r>
      <w:r w:rsidR="004022AE">
        <w:rPr>
          <w:sz w:val="36"/>
          <w:szCs w:val="36"/>
        </w:rPr>
        <w:t xml:space="preserve">Palestinian territories </w:t>
      </w:r>
      <w:r w:rsidR="00DB2D4C">
        <w:rPr>
          <w:sz w:val="36"/>
          <w:szCs w:val="36"/>
        </w:rPr>
        <w:t>DEVELOPMENT PROGRAM PROGRESS REPORT</w:t>
      </w:r>
      <w:r w:rsidR="00660121">
        <w:rPr>
          <w:sz w:val="36"/>
          <w:szCs w:val="36"/>
        </w:rPr>
        <w:t xml:space="preserve">  </w:t>
      </w:r>
    </w:p>
    <w:p w14:paraId="39A3066F" w14:textId="77777777" w:rsidR="00452298" w:rsidRDefault="00230777" w:rsidP="00EB398C">
      <w:pPr>
        <w:pStyle w:val="Title"/>
        <w:rPr>
          <w:noProof/>
          <w:sz w:val="36"/>
          <w:szCs w:val="36"/>
          <w:lang w:val="en-AU" w:eastAsia="en-AU"/>
        </w:rPr>
        <w:sectPr w:rsidR="00452298" w:rsidSect="0090092E">
          <w:headerReference w:type="default" r:id="rId11"/>
          <w:footerReference w:type="default" r:id="rId12"/>
          <w:headerReference w:type="first" r:id="rId13"/>
          <w:footerReference w:type="first" r:id="rId14"/>
          <w:pgSz w:w="11906" w:h="16838" w:code="9"/>
          <w:pgMar w:top="1701" w:right="140" w:bottom="1418" w:left="709" w:header="142" w:footer="493" w:gutter="0"/>
          <w:cols w:space="397"/>
          <w:titlePg/>
          <w:docGrid w:linePitch="360"/>
        </w:sectPr>
      </w:pPr>
      <w:r w:rsidRPr="0090092E">
        <w:rPr>
          <w:noProof/>
          <w:sz w:val="36"/>
          <w:szCs w:val="36"/>
          <w:lang w:val="en-AU" w:eastAsia="en-AU"/>
        </w:rPr>
        <w:t xml:space="preserve"> </w:t>
      </w:r>
    </w:p>
    <w:tbl>
      <w:tblPr>
        <w:tblStyle w:val="TableGrid"/>
        <w:tblW w:w="5137" w:type="dxa"/>
        <w:tblBorders>
          <w:top w:val="single" w:sz="2" w:space="0" w:color="65C5B4" w:themeColor="accent1"/>
          <w:left w:val="single" w:sz="2" w:space="0" w:color="65C5B4" w:themeColor="accent1"/>
          <w:bottom w:val="single" w:sz="2" w:space="0" w:color="65C5B4" w:themeColor="accent1"/>
          <w:right w:val="single" w:sz="2" w:space="0" w:color="65C5B4" w:themeColor="accent1"/>
          <w:insideH w:val="single" w:sz="2" w:space="0" w:color="65C5B4" w:themeColor="accent1"/>
          <w:insideV w:val="single" w:sz="2" w:space="0" w:color="65C5B4" w:themeColor="accent1"/>
        </w:tblBorders>
        <w:tblLook w:val="04A0" w:firstRow="1" w:lastRow="0" w:firstColumn="1" w:lastColumn="0" w:noHBand="0" w:noVBand="1"/>
        <w:tblCaption w:val="2019-20 Budget Estimate"/>
        <w:tblDescription w:val="Bilateral – 20.5&#10;Regional – 1.6&#10;Global – 20.4&#10;Other Government Departments – 0&#10;Total Australian ODA – 42.6&#10;Note. Actual expenditure is expected to be available in December 2020&#10;"/>
      </w:tblPr>
      <w:tblGrid>
        <w:gridCol w:w="3578"/>
        <w:gridCol w:w="1559"/>
      </w:tblGrid>
      <w:tr w:rsidR="0082766C" w14:paraId="767CD999" w14:textId="77777777" w:rsidTr="00F857E7">
        <w:trPr>
          <w:trHeight w:hRule="exact" w:val="724"/>
        </w:trPr>
        <w:tc>
          <w:tcPr>
            <w:tcW w:w="3578" w:type="dxa"/>
            <w:shd w:val="clear" w:color="auto" w:fill="C1E7E0" w:themeFill="accent1" w:themeFillTint="66"/>
            <w:vAlign w:val="center"/>
          </w:tcPr>
          <w:p w14:paraId="79D7E7BB" w14:textId="77777777" w:rsidR="0082766C" w:rsidRPr="00F35E32" w:rsidRDefault="0082766C" w:rsidP="00F857E7">
            <w:pPr>
              <w:pStyle w:val="NormalWeb"/>
              <w:spacing w:before="120" w:beforeAutospacing="0" w:after="60" w:afterAutospacing="0" w:line="200" w:lineRule="exact"/>
              <w:jc w:val="center"/>
              <w:rPr>
                <w:rFonts w:asciiTheme="minorHAnsi" w:hAnsiTheme="minorHAnsi" w:cs="Calibri"/>
                <w:b/>
                <w:bCs/>
                <w:kern w:val="24"/>
                <w:sz w:val="22"/>
                <w:szCs w:val="20"/>
              </w:rPr>
            </w:pPr>
            <w:r w:rsidRPr="00F35E32">
              <w:rPr>
                <w:rFonts w:asciiTheme="minorHAnsi" w:hAnsiTheme="minorHAnsi"/>
                <w:b/>
                <w:sz w:val="22"/>
              </w:rPr>
              <w:t>Program Budget</w:t>
            </w:r>
            <w:r w:rsidRPr="00FB11D4">
              <w:rPr>
                <w:rFonts w:asciiTheme="minorHAnsi" w:hAnsiTheme="minorHAnsi"/>
                <w:b/>
                <w:sz w:val="20"/>
                <w:vertAlign w:val="superscript"/>
              </w:rPr>
              <w:t>1</w:t>
            </w:r>
          </w:p>
        </w:tc>
        <w:tc>
          <w:tcPr>
            <w:tcW w:w="1559" w:type="dxa"/>
            <w:shd w:val="clear" w:color="auto" w:fill="C1E7E0" w:themeFill="accent1" w:themeFillTint="66"/>
            <w:vAlign w:val="bottom"/>
          </w:tcPr>
          <w:p w14:paraId="6AE1E0E0" w14:textId="77777777" w:rsidR="0082766C" w:rsidRPr="000750D1" w:rsidRDefault="0082766C" w:rsidP="00F857E7">
            <w:pPr>
              <w:pStyle w:val="NormalWeb"/>
              <w:spacing w:before="120" w:beforeAutospacing="0" w:after="60" w:afterAutospacing="0" w:line="200" w:lineRule="exact"/>
              <w:jc w:val="center"/>
              <w:rPr>
                <w:rFonts w:ascii="Calibri" w:hAnsi="Calibri" w:cs="Calibri"/>
                <w:b/>
                <w:bCs/>
                <w:kern w:val="24"/>
                <w:sz w:val="20"/>
                <w:szCs w:val="20"/>
              </w:rPr>
            </w:pPr>
            <w:r w:rsidRPr="000750D1">
              <w:rPr>
                <w:rFonts w:ascii="Calibri" w:hAnsi="Calibri" w:cs="Calibri"/>
                <w:b/>
                <w:bCs/>
                <w:kern w:val="24"/>
                <w:sz w:val="20"/>
                <w:szCs w:val="20"/>
              </w:rPr>
              <w:t>2019-20 Budget Estimate ($m)</w:t>
            </w:r>
            <w:r w:rsidRPr="000750D1">
              <w:rPr>
                <w:rFonts w:ascii="Calibri" w:hAnsi="Calibri" w:cs="Calibri"/>
                <w:b/>
                <w:bCs/>
                <w:kern w:val="24"/>
                <w:sz w:val="20"/>
                <w:szCs w:val="20"/>
                <w:vertAlign w:val="superscript"/>
              </w:rPr>
              <w:t>2</w:t>
            </w:r>
          </w:p>
        </w:tc>
      </w:tr>
      <w:tr w:rsidR="0082766C" w14:paraId="1F3A9C5F" w14:textId="77777777" w:rsidTr="00F857E7">
        <w:trPr>
          <w:trHeight w:hRule="exact" w:val="386"/>
        </w:trPr>
        <w:tc>
          <w:tcPr>
            <w:tcW w:w="3578" w:type="dxa"/>
            <w:shd w:val="clear" w:color="auto" w:fill="auto"/>
            <w:vAlign w:val="bottom"/>
          </w:tcPr>
          <w:p w14:paraId="2EB4B5E6" w14:textId="77777777" w:rsidR="0082766C" w:rsidRDefault="0082766C" w:rsidP="00F857E7">
            <w:pPr>
              <w:pStyle w:val="NormalWeb"/>
              <w:spacing w:before="20" w:beforeAutospacing="0" w:after="20" w:afterAutospacing="0"/>
              <w:rPr>
                <w:rFonts w:ascii="Arial" w:hAnsi="Arial" w:cs="Arial"/>
                <w:sz w:val="36"/>
                <w:szCs w:val="36"/>
              </w:rPr>
            </w:pPr>
            <w:r>
              <w:rPr>
                <w:rFonts w:ascii="Calibri" w:hAnsi="Calibri" w:cs="Calibri"/>
                <w:color w:val="000000" w:themeColor="dark1"/>
                <w:kern w:val="24"/>
                <w:sz w:val="20"/>
                <w:szCs w:val="20"/>
              </w:rPr>
              <w:t>Bilateral</w:t>
            </w:r>
          </w:p>
        </w:tc>
        <w:tc>
          <w:tcPr>
            <w:tcW w:w="1559" w:type="dxa"/>
            <w:vAlign w:val="bottom"/>
          </w:tcPr>
          <w:p w14:paraId="65B30102" w14:textId="77777777" w:rsidR="0082766C" w:rsidRDefault="0082766C"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20.5</w:t>
            </w:r>
          </w:p>
        </w:tc>
      </w:tr>
      <w:tr w:rsidR="0082766C" w14:paraId="2949C88D" w14:textId="77777777" w:rsidTr="00F857E7">
        <w:trPr>
          <w:trHeight w:hRule="exact" w:val="386"/>
        </w:trPr>
        <w:tc>
          <w:tcPr>
            <w:tcW w:w="3578" w:type="dxa"/>
            <w:shd w:val="clear" w:color="auto" w:fill="auto"/>
            <w:vAlign w:val="bottom"/>
          </w:tcPr>
          <w:p w14:paraId="268D988B" w14:textId="77777777" w:rsidR="0082766C" w:rsidRDefault="0082766C" w:rsidP="00F857E7">
            <w:pPr>
              <w:pStyle w:val="NormalWeb"/>
              <w:spacing w:before="20" w:beforeAutospacing="0" w:after="20" w:afterAutospacing="0"/>
              <w:rPr>
                <w:rFonts w:ascii="Arial" w:hAnsi="Arial" w:cs="Arial"/>
                <w:sz w:val="36"/>
                <w:szCs w:val="36"/>
              </w:rPr>
            </w:pPr>
            <w:r>
              <w:rPr>
                <w:rFonts w:ascii="Calibri" w:hAnsi="Calibri" w:cs="Calibri"/>
                <w:color w:val="000000" w:themeColor="dark1"/>
                <w:kern w:val="24"/>
                <w:sz w:val="20"/>
                <w:szCs w:val="20"/>
              </w:rPr>
              <w:t>Regional</w:t>
            </w:r>
          </w:p>
        </w:tc>
        <w:tc>
          <w:tcPr>
            <w:tcW w:w="1559" w:type="dxa"/>
            <w:vAlign w:val="bottom"/>
          </w:tcPr>
          <w:p w14:paraId="2121D088" w14:textId="77777777" w:rsidR="0082766C" w:rsidRDefault="0082766C"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1.6</w:t>
            </w:r>
          </w:p>
        </w:tc>
      </w:tr>
      <w:tr w:rsidR="0082766C" w14:paraId="4D992488" w14:textId="77777777" w:rsidTr="00F857E7">
        <w:trPr>
          <w:trHeight w:hRule="exact" w:val="386"/>
        </w:trPr>
        <w:tc>
          <w:tcPr>
            <w:tcW w:w="3578" w:type="dxa"/>
            <w:shd w:val="clear" w:color="auto" w:fill="auto"/>
            <w:vAlign w:val="bottom"/>
          </w:tcPr>
          <w:p w14:paraId="0E9F8638" w14:textId="77777777" w:rsidR="0082766C" w:rsidRDefault="0082766C" w:rsidP="00F857E7">
            <w:pPr>
              <w:pStyle w:val="NormalWeb"/>
              <w:spacing w:before="20" w:beforeAutospacing="0" w:after="20" w:afterAutospacing="0"/>
              <w:rPr>
                <w:rFonts w:ascii="Arial" w:hAnsi="Arial" w:cs="Arial"/>
                <w:sz w:val="36"/>
                <w:szCs w:val="36"/>
              </w:rPr>
            </w:pPr>
            <w:r>
              <w:rPr>
                <w:rFonts w:ascii="Calibri" w:hAnsi="Calibri" w:cs="Calibri"/>
                <w:color w:val="000000" w:themeColor="dark1"/>
                <w:kern w:val="24"/>
                <w:sz w:val="20"/>
                <w:szCs w:val="20"/>
              </w:rPr>
              <w:t>Global</w:t>
            </w:r>
          </w:p>
        </w:tc>
        <w:tc>
          <w:tcPr>
            <w:tcW w:w="1559" w:type="dxa"/>
            <w:vAlign w:val="bottom"/>
          </w:tcPr>
          <w:p w14:paraId="18ECC047" w14:textId="77777777" w:rsidR="0082766C" w:rsidRDefault="0082766C" w:rsidP="00F857E7">
            <w:pPr>
              <w:pStyle w:val="NormalWeb"/>
              <w:spacing w:before="20" w:beforeAutospacing="0" w:after="20" w:afterAutospacing="0"/>
              <w:jc w:val="right"/>
              <w:rPr>
                <w:rFonts w:ascii="Arial" w:hAnsi="Arial" w:cs="Arial"/>
                <w:sz w:val="36"/>
                <w:szCs w:val="36"/>
              </w:rPr>
            </w:pPr>
            <w:r>
              <w:rPr>
                <w:rFonts w:ascii="Calibri Light" w:eastAsia="Calibri Light" w:hAnsi="Calibri Light"/>
                <w:color w:val="495965" w:themeColor="text2"/>
                <w:kern w:val="24"/>
                <w:sz w:val="20"/>
                <w:szCs w:val="20"/>
              </w:rPr>
              <w:t>20.4</w:t>
            </w:r>
          </w:p>
        </w:tc>
      </w:tr>
      <w:tr w:rsidR="0082766C" w14:paraId="25FB0BD7" w14:textId="77777777" w:rsidTr="00F857E7">
        <w:trPr>
          <w:trHeight w:hRule="exact" w:val="483"/>
        </w:trPr>
        <w:tc>
          <w:tcPr>
            <w:tcW w:w="3578" w:type="dxa"/>
            <w:shd w:val="clear" w:color="auto" w:fill="auto"/>
            <w:vAlign w:val="bottom"/>
          </w:tcPr>
          <w:p w14:paraId="071B4CDA" w14:textId="77777777" w:rsidR="0082766C" w:rsidRDefault="0082766C" w:rsidP="00F857E7">
            <w:pPr>
              <w:pStyle w:val="NormalWeb"/>
              <w:spacing w:before="20" w:beforeAutospacing="0" w:after="20" w:afterAutospacing="0"/>
              <w:ind w:right="172"/>
              <w:rPr>
                <w:rFonts w:ascii="Arial" w:hAnsi="Arial" w:cs="Arial"/>
                <w:sz w:val="36"/>
                <w:szCs w:val="36"/>
              </w:rPr>
            </w:pPr>
            <w:r>
              <w:rPr>
                <w:rFonts w:ascii="Calibri" w:hAnsi="Calibri" w:cs="Calibri"/>
                <w:color w:val="000000" w:themeColor="dark1"/>
                <w:kern w:val="24"/>
                <w:sz w:val="20"/>
                <w:szCs w:val="20"/>
              </w:rPr>
              <w:t>Other Government Departments</w:t>
            </w:r>
          </w:p>
        </w:tc>
        <w:tc>
          <w:tcPr>
            <w:tcW w:w="1559" w:type="dxa"/>
            <w:vAlign w:val="bottom"/>
          </w:tcPr>
          <w:p w14:paraId="3D5FF9B3" w14:textId="77777777" w:rsidR="0082766C" w:rsidRDefault="0082766C" w:rsidP="00F857E7">
            <w:pPr>
              <w:pStyle w:val="NormalWeb"/>
              <w:spacing w:before="20" w:beforeAutospacing="0" w:after="20" w:afterAutospacing="0"/>
              <w:ind w:right="172"/>
              <w:jc w:val="right"/>
              <w:rPr>
                <w:rFonts w:ascii="Arial" w:hAnsi="Arial" w:cs="Arial"/>
                <w:sz w:val="36"/>
                <w:szCs w:val="36"/>
              </w:rPr>
            </w:pPr>
            <w:r>
              <w:rPr>
                <w:rFonts w:ascii="Calibri Light" w:eastAsia="Calibri Light" w:hAnsi="Calibri Light"/>
                <w:color w:val="495965" w:themeColor="text2"/>
                <w:kern w:val="24"/>
                <w:sz w:val="20"/>
                <w:szCs w:val="20"/>
              </w:rPr>
              <w:t>-</w:t>
            </w:r>
          </w:p>
        </w:tc>
      </w:tr>
      <w:tr w:rsidR="0082766C" w14:paraId="4EE03952" w14:textId="77777777" w:rsidTr="00F857E7">
        <w:trPr>
          <w:trHeight w:hRule="exact" w:val="572"/>
        </w:trPr>
        <w:tc>
          <w:tcPr>
            <w:tcW w:w="3578" w:type="dxa"/>
            <w:shd w:val="clear" w:color="auto" w:fill="auto"/>
            <w:vAlign w:val="bottom"/>
          </w:tcPr>
          <w:p w14:paraId="2B01F958" w14:textId="77777777" w:rsidR="0082766C" w:rsidRPr="006F1FC8" w:rsidRDefault="0082766C" w:rsidP="00F857E7">
            <w:pPr>
              <w:pStyle w:val="NormalWeb"/>
              <w:spacing w:before="40" w:beforeAutospacing="0" w:after="40" w:afterAutospacing="0"/>
              <w:rPr>
                <w:rFonts w:ascii="Arial" w:hAnsi="Arial" w:cs="Arial"/>
                <w:b/>
                <w:sz w:val="36"/>
                <w:szCs w:val="36"/>
              </w:rPr>
            </w:pPr>
            <w:r>
              <w:rPr>
                <w:rFonts w:ascii="Calibri" w:hAnsi="Calibri" w:cs="Calibri"/>
                <w:b/>
                <w:bCs/>
                <w:color w:val="000000" w:themeColor="dark1"/>
                <w:kern w:val="24"/>
                <w:sz w:val="20"/>
                <w:szCs w:val="20"/>
              </w:rPr>
              <w:t>Total Australian ODA to</w:t>
            </w:r>
            <w:r>
              <w:rPr>
                <w:rFonts w:ascii="Calibri" w:hAnsi="Calibri" w:cs="Calibri"/>
                <w:b/>
                <w:bCs/>
                <w:color w:val="000000" w:themeColor="dark1"/>
                <w:kern w:val="24"/>
                <w:sz w:val="20"/>
                <w:szCs w:val="20"/>
              </w:rPr>
              <w:br/>
              <w:t>Palestinian Territories</w:t>
            </w:r>
          </w:p>
        </w:tc>
        <w:tc>
          <w:tcPr>
            <w:tcW w:w="1559" w:type="dxa"/>
            <w:vAlign w:val="bottom"/>
          </w:tcPr>
          <w:p w14:paraId="05C76E54" w14:textId="77777777" w:rsidR="0082766C" w:rsidRPr="006F1FC8" w:rsidRDefault="0082766C" w:rsidP="00F857E7">
            <w:pPr>
              <w:pStyle w:val="NormalWeb"/>
              <w:spacing w:before="20" w:beforeAutospacing="0" w:after="20" w:afterAutospacing="0"/>
              <w:ind w:right="28"/>
              <w:jc w:val="right"/>
              <w:rPr>
                <w:rFonts w:ascii="Arial" w:hAnsi="Arial" w:cs="Arial"/>
                <w:b/>
                <w:sz w:val="36"/>
                <w:szCs w:val="36"/>
              </w:rPr>
            </w:pPr>
            <w:r w:rsidRPr="006F1FC8">
              <w:rPr>
                <w:rFonts w:ascii="Calibri Light" w:eastAsia="Calibri Light" w:hAnsi="Calibri Light"/>
                <w:b/>
                <w:bCs/>
                <w:color w:val="495965" w:themeColor="text2"/>
                <w:kern w:val="24"/>
                <w:sz w:val="20"/>
                <w:szCs w:val="20"/>
              </w:rPr>
              <w:t>42.6</w:t>
            </w:r>
          </w:p>
        </w:tc>
      </w:tr>
    </w:tbl>
    <w:p w14:paraId="48136F3C" w14:textId="56A17B92" w:rsidR="0082766C" w:rsidRDefault="0082766C" w:rsidP="0082766C">
      <w:pPr>
        <w:spacing w:before="0" w:line="240" w:lineRule="auto"/>
        <w:rPr>
          <w:rFonts w:ascii="Calibri Light" w:eastAsia="Calibri Light" w:hAnsi="Calibri Light"/>
          <w:bCs/>
          <w:kern w:val="24"/>
          <w:sz w:val="18"/>
          <w:szCs w:val="20"/>
        </w:rPr>
      </w:pPr>
      <w:r w:rsidRPr="000750D1">
        <w:rPr>
          <w:sz w:val="16"/>
          <w:szCs w:val="16"/>
          <w:vertAlign w:val="superscript"/>
        </w:rPr>
        <w:t>1</w:t>
      </w:r>
      <w:r w:rsidRPr="007623CE">
        <w:rPr>
          <w:sz w:val="16"/>
          <w:szCs w:val="16"/>
        </w:rPr>
        <w:t>Funding supports programs in the PTs and, through UNRWA, Palestinians in Syria, Lebanon and Jordan</w:t>
      </w:r>
      <w:r>
        <w:rPr>
          <w:sz w:val="16"/>
          <w:szCs w:val="16"/>
        </w:rPr>
        <w:t xml:space="preserve">. </w:t>
      </w:r>
      <w:r w:rsidRPr="00FB11D4">
        <w:rPr>
          <w:sz w:val="16"/>
          <w:szCs w:val="16"/>
          <w:vertAlign w:val="superscript"/>
        </w:rPr>
        <w:t>2</w:t>
      </w:r>
      <w:r>
        <w:rPr>
          <w:sz w:val="16"/>
          <w:szCs w:val="16"/>
        </w:rPr>
        <w:t xml:space="preserve"> Actual expenditure is expected to be available in December 2020</w:t>
      </w:r>
    </w:p>
    <w:p w14:paraId="5359FFDB" w14:textId="541DAE07" w:rsidR="002F784B" w:rsidRDefault="0082766C" w:rsidP="00494F98">
      <w:pPr>
        <w:spacing w:before="0" w:after="0"/>
      </w:pPr>
      <w:r>
        <w:rPr>
          <w:noProof/>
          <w:lang w:val="en-AU" w:eastAsia="en-AU"/>
        </w:rPr>
        <w:drawing>
          <wp:inline distT="0" distB="0" distL="0" distR="0" wp14:anchorId="11AA3303" wp14:editId="7C6CCA38">
            <wp:extent cx="3333750" cy="1807845"/>
            <wp:effectExtent l="0" t="0" r="0" b="1905"/>
            <wp:docPr id="1" name="Picture 1" descr="Infrastructure and trade – 12%&#10;Agriculture, fisheries and water – 40%&#10;Governance – 0.2%&#10;Education – 12%&#10;Health – 1%&#10;Building resilience – 47%&#10;General development support – 0%&#10;Due to rounding total percentage may not add up to 100 per cent&#10;" title="Estimated ODA by Sector, 201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365458" cy="1825040"/>
                    </a:xfrm>
                    <a:prstGeom prst="rect">
                      <a:avLst/>
                    </a:prstGeom>
                    <a:noFill/>
                  </pic:spPr>
                </pic:pic>
              </a:graphicData>
            </a:graphic>
          </wp:inline>
        </w:drawing>
      </w:r>
    </w:p>
    <w:p w14:paraId="05141860" w14:textId="7DACDD4F" w:rsidR="0082766C" w:rsidRDefault="0082766C" w:rsidP="00494F98">
      <w:pPr>
        <w:spacing w:before="0" w:after="0"/>
      </w:pPr>
    </w:p>
    <w:p w14:paraId="6BB3140F" w14:textId="77777777" w:rsidR="0082766C" w:rsidRPr="00452298" w:rsidRDefault="0082766C" w:rsidP="00494F98">
      <w:pPr>
        <w:spacing w:before="0" w:after="0"/>
        <w:sectPr w:rsidR="0082766C" w:rsidRPr="00452298" w:rsidSect="0082766C">
          <w:type w:val="continuous"/>
          <w:pgSz w:w="11906" w:h="16838" w:code="9"/>
          <w:pgMar w:top="1701" w:right="140" w:bottom="1418" w:left="709" w:header="142" w:footer="493" w:gutter="0"/>
          <w:cols w:num="2" w:space="397"/>
          <w:titlePg/>
          <w:docGrid w:linePitch="360"/>
        </w:sectPr>
      </w:pPr>
    </w:p>
    <w:p w14:paraId="1B3A8643" w14:textId="34F2D80A" w:rsidR="003500CF" w:rsidRDefault="00651213" w:rsidP="00655C26">
      <w:pPr>
        <w:spacing w:before="0" w:line="240" w:lineRule="auto"/>
        <w:rPr>
          <w:b/>
          <w:sz w:val="24"/>
        </w:rPr>
      </w:pPr>
      <w:r>
        <w:rPr>
          <w:b/>
          <w:sz w:val="24"/>
        </w:rPr>
        <w:t>COVID-19 Development Response</w:t>
      </w:r>
    </w:p>
    <w:p w14:paraId="0E2F14B9" w14:textId="1EF2FA4C" w:rsidR="00224D7E" w:rsidRDefault="00FF3565" w:rsidP="00655C26">
      <w:pPr>
        <w:pStyle w:val="ListParagraph"/>
        <w:numPr>
          <w:ilvl w:val="0"/>
          <w:numId w:val="39"/>
        </w:numPr>
        <w:ind w:left="567"/>
        <w:rPr>
          <w:lang w:val="en-AU"/>
        </w:rPr>
      </w:pPr>
      <w:r w:rsidRPr="00FF3565">
        <w:rPr>
          <w:lang w:val="en-AU"/>
        </w:rPr>
        <w:t xml:space="preserve">Australia’s </w:t>
      </w:r>
      <w:r w:rsidR="00B32BE5">
        <w:rPr>
          <w:lang w:val="en-AU"/>
        </w:rPr>
        <w:t>support</w:t>
      </w:r>
      <w:r w:rsidR="00B32BE5" w:rsidRPr="00FF3565">
        <w:rPr>
          <w:lang w:val="en-AU"/>
        </w:rPr>
        <w:t xml:space="preserve"> </w:t>
      </w:r>
      <w:r w:rsidRPr="00FF3565">
        <w:rPr>
          <w:lang w:val="en-AU"/>
        </w:rPr>
        <w:t>to the P</w:t>
      </w:r>
      <w:r w:rsidR="00E61733">
        <w:rPr>
          <w:lang w:val="en-AU"/>
        </w:rPr>
        <w:t>alestinian Territories (P</w:t>
      </w:r>
      <w:r w:rsidRPr="00FF3565">
        <w:rPr>
          <w:lang w:val="en-AU"/>
        </w:rPr>
        <w:t>Ts</w:t>
      </w:r>
      <w:r w:rsidR="00E61733">
        <w:rPr>
          <w:lang w:val="en-AU"/>
        </w:rPr>
        <w:t>)</w:t>
      </w:r>
      <w:r w:rsidRPr="00FF3565">
        <w:rPr>
          <w:lang w:val="en-AU"/>
        </w:rPr>
        <w:t xml:space="preserve"> is delivered in the context of </w:t>
      </w:r>
      <w:r w:rsidR="00F33A69">
        <w:rPr>
          <w:lang w:val="en-AU"/>
        </w:rPr>
        <w:t xml:space="preserve">our </w:t>
      </w:r>
      <w:r w:rsidRPr="00FF3565">
        <w:rPr>
          <w:lang w:val="en-AU"/>
        </w:rPr>
        <w:t>long-standing support for a two</w:t>
      </w:r>
      <w:r w:rsidRPr="00FF3565">
        <w:rPr>
          <w:lang w:val="en-AU"/>
        </w:rPr>
        <w:noBreakHyphen/>
        <w:t xml:space="preserve">state solution, where Israel and a future Palestinian state co-exist in peace and security. </w:t>
      </w:r>
      <w:r w:rsidR="00F33A69">
        <w:rPr>
          <w:lang w:val="en-AU"/>
        </w:rPr>
        <w:t xml:space="preserve">It </w:t>
      </w:r>
      <w:r w:rsidR="00E61733">
        <w:rPr>
          <w:lang w:val="en-AU"/>
        </w:rPr>
        <w:t xml:space="preserve">contributes to stability and security in the region, including through supporting the </w:t>
      </w:r>
      <w:r w:rsidR="00E61733">
        <w:t>United Nations Relief and Works Agency (</w:t>
      </w:r>
      <w:r w:rsidR="00E61733">
        <w:rPr>
          <w:lang w:val="en-AU"/>
        </w:rPr>
        <w:t xml:space="preserve">UNRWA) to provide </w:t>
      </w:r>
      <w:r w:rsidR="00587098">
        <w:rPr>
          <w:lang w:val="en-AU"/>
        </w:rPr>
        <w:t xml:space="preserve">health, education and humanitarian services </w:t>
      </w:r>
      <w:r w:rsidR="00E61733">
        <w:rPr>
          <w:lang w:val="en-AU"/>
        </w:rPr>
        <w:t xml:space="preserve">to vulnerable populations, and supporting </w:t>
      </w:r>
      <w:r w:rsidR="00224D7E">
        <w:rPr>
          <w:lang w:val="en-AU"/>
        </w:rPr>
        <w:t xml:space="preserve">agricultural </w:t>
      </w:r>
      <w:r w:rsidR="00E61733">
        <w:rPr>
          <w:lang w:val="en-AU"/>
        </w:rPr>
        <w:t xml:space="preserve">development </w:t>
      </w:r>
      <w:r w:rsidR="00224D7E">
        <w:rPr>
          <w:lang w:val="en-AU"/>
        </w:rPr>
        <w:t xml:space="preserve">to </w:t>
      </w:r>
      <w:r w:rsidR="00F33A69">
        <w:rPr>
          <w:lang w:val="en-AU"/>
        </w:rPr>
        <w:t xml:space="preserve">strengthen </w:t>
      </w:r>
      <w:r w:rsidR="00224D7E">
        <w:rPr>
          <w:lang w:val="en-AU"/>
        </w:rPr>
        <w:t>resilience and capacity</w:t>
      </w:r>
      <w:r w:rsidR="00E61733">
        <w:rPr>
          <w:lang w:val="en-AU"/>
        </w:rPr>
        <w:t xml:space="preserve">. </w:t>
      </w:r>
      <w:r w:rsidR="00F33A69">
        <w:rPr>
          <w:lang w:val="en-AU"/>
        </w:rPr>
        <w:t xml:space="preserve">In </w:t>
      </w:r>
      <w:r w:rsidR="00F600F0">
        <w:rPr>
          <w:lang w:val="en-AU"/>
        </w:rPr>
        <w:t>2019/</w:t>
      </w:r>
      <w:r w:rsidR="00F33A69">
        <w:rPr>
          <w:lang w:val="en-AU"/>
        </w:rPr>
        <w:t>20</w:t>
      </w:r>
      <w:r w:rsidR="00F600F0">
        <w:rPr>
          <w:lang w:val="en-AU"/>
        </w:rPr>
        <w:t>20</w:t>
      </w:r>
      <w:r w:rsidR="00F33A69">
        <w:rPr>
          <w:lang w:val="en-AU"/>
        </w:rPr>
        <w:t xml:space="preserve">, </w:t>
      </w:r>
      <w:r w:rsidR="00F600F0">
        <w:rPr>
          <w:lang w:val="en-AU"/>
        </w:rPr>
        <w:t xml:space="preserve">approximately </w:t>
      </w:r>
      <w:r w:rsidR="00600588">
        <w:rPr>
          <w:lang w:val="en-AU"/>
        </w:rPr>
        <w:t xml:space="preserve">$2,033,000 was </w:t>
      </w:r>
      <w:r w:rsidR="00E61733">
        <w:rPr>
          <w:lang w:val="en-AU"/>
        </w:rPr>
        <w:t>pivot</w:t>
      </w:r>
      <w:r w:rsidR="00F33A69">
        <w:rPr>
          <w:lang w:val="en-AU"/>
        </w:rPr>
        <w:t xml:space="preserve">ed </w:t>
      </w:r>
      <w:r w:rsidR="00E61733">
        <w:rPr>
          <w:lang w:val="en-AU"/>
        </w:rPr>
        <w:t xml:space="preserve">to boost the COVID-19 response in the </w:t>
      </w:r>
      <w:proofErr w:type="spellStart"/>
      <w:r w:rsidR="00E61733">
        <w:rPr>
          <w:lang w:val="en-AU"/>
        </w:rPr>
        <w:t>PTs</w:t>
      </w:r>
      <w:r w:rsidR="00800B0C">
        <w:rPr>
          <w:lang w:val="en-AU"/>
        </w:rPr>
        <w:t>.</w:t>
      </w:r>
      <w:proofErr w:type="spellEnd"/>
    </w:p>
    <w:p w14:paraId="2F3D7BED" w14:textId="7736D483" w:rsidR="00365569" w:rsidRPr="00452298" w:rsidRDefault="00E61733" w:rsidP="00655C26">
      <w:pPr>
        <w:pStyle w:val="ListParagraph"/>
        <w:numPr>
          <w:ilvl w:val="0"/>
          <w:numId w:val="39"/>
        </w:numPr>
        <w:ind w:left="567"/>
        <w:rPr>
          <w:lang w:val="en-AU"/>
        </w:rPr>
      </w:pPr>
      <w:r>
        <w:rPr>
          <w:lang w:val="en-AU"/>
        </w:rPr>
        <w:t>Recognising the importance of agriculture to economic recovery, t</w:t>
      </w:r>
      <w:r w:rsidR="00480B54">
        <w:rPr>
          <w:lang w:val="en-AU"/>
        </w:rPr>
        <w:t xml:space="preserve">he Australia Middle East NGO Cooperation Agreement Phase 3 </w:t>
      </w:r>
      <w:r>
        <w:rPr>
          <w:lang w:val="en-AU"/>
        </w:rPr>
        <w:t xml:space="preserve">(AMENCA 3) </w:t>
      </w:r>
      <w:r w:rsidR="00E61636">
        <w:rPr>
          <w:lang w:val="en-AU"/>
        </w:rPr>
        <w:t>is</w:t>
      </w:r>
      <w:r w:rsidR="00BF7E50">
        <w:rPr>
          <w:lang w:val="en-AU"/>
        </w:rPr>
        <w:t xml:space="preserve"> </w:t>
      </w:r>
      <w:r w:rsidR="00AD0B87">
        <w:rPr>
          <w:lang w:val="en-AU"/>
        </w:rPr>
        <w:t xml:space="preserve">directing </w:t>
      </w:r>
      <w:r w:rsidR="00DA5E33">
        <w:rPr>
          <w:lang w:val="en-AU"/>
        </w:rPr>
        <w:t>about</w:t>
      </w:r>
      <w:r w:rsidR="00AD0B87">
        <w:rPr>
          <w:lang w:val="en-AU"/>
        </w:rPr>
        <w:t xml:space="preserve"> 27 per</w:t>
      </w:r>
      <w:r w:rsidR="00E61636">
        <w:rPr>
          <w:lang w:val="en-AU"/>
        </w:rPr>
        <w:t xml:space="preserve"> </w:t>
      </w:r>
      <w:r w:rsidR="00BF7E50">
        <w:rPr>
          <w:lang w:val="en-AU"/>
        </w:rPr>
        <w:t>cent of</w:t>
      </w:r>
      <w:r w:rsidR="00AD0B87">
        <w:rPr>
          <w:lang w:val="en-AU"/>
        </w:rPr>
        <w:t xml:space="preserve"> </w:t>
      </w:r>
      <w:r>
        <w:rPr>
          <w:lang w:val="en-AU"/>
        </w:rPr>
        <w:t xml:space="preserve">its </w:t>
      </w:r>
      <w:r w:rsidR="00153C96">
        <w:rPr>
          <w:lang w:val="en-AU"/>
        </w:rPr>
        <w:t xml:space="preserve">budget </w:t>
      </w:r>
      <w:r w:rsidR="00AD0B87">
        <w:rPr>
          <w:lang w:val="en-AU"/>
        </w:rPr>
        <w:t xml:space="preserve">in 2020 </w:t>
      </w:r>
      <w:r w:rsidR="008860D9">
        <w:rPr>
          <w:lang w:val="en-AU"/>
        </w:rPr>
        <w:t>to assist farmer</w:t>
      </w:r>
      <w:r w:rsidR="00600588">
        <w:rPr>
          <w:lang w:val="en-AU"/>
        </w:rPr>
        <w:t xml:space="preserve">s and </w:t>
      </w:r>
      <w:r w:rsidR="008860D9">
        <w:rPr>
          <w:lang w:val="en-AU"/>
        </w:rPr>
        <w:t>business</w:t>
      </w:r>
      <w:r w:rsidR="00600588">
        <w:rPr>
          <w:lang w:val="en-AU"/>
        </w:rPr>
        <w:t xml:space="preserve">es’ </w:t>
      </w:r>
      <w:r>
        <w:rPr>
          <w:lang w:val="en-AU"/>
        </w:rPr>
        <w:t xml:space="preserve">amid the </w:t>
      </w:r>
      <w:r w:rsidR="00D04C4D">
        <w:rPr>
          <w:lang w:val="en-AU"/>
        </w:rPr>
        <w:t xml:space="preserve">COVID-19 </w:t>
      </w:r>
      <w:r w:rsidR="00AD0B87">
        <w:rPr>
          <w:lang w:val="en-AU"/>
        </w:rPr>
        <w:t>disruption</w:t>
      </w:r>
      <w:r w:rsidR="00D04C4D">
        <w:rPr>
          <w:lang w:val="en-AU"/>
        </w:rPr>
        <w:t xml:space="preserve">. </w:t>
      </w:r>
    </w:p>
    <w:p w14:paraId="7AED0BAB" w14:textId="79C5036E" w:rsidR="004F74A9" w:rsidRPr="004F74A9" w:rsidRDefault="00E61733" w:rsidP="00655C26">
      <w:pPr>
        <w:pStyle w:val="ListParagraph"/>
        <w:numPr>
          <w:ilvl w:val="0"/>
          <w:numId w:val="39"/>
        </w:numPr>
        <w:suppressAutoHyphens w:val="0"/>
        <w:spacing w:before="0" w:after="0" w:line="254" w:lineRule="auto"/>
        <w:ind w:left="567"/>
        <w:rPr>
          <w:rFonts w:cstheme="minorHAnsi"/>
          <w:color w:val="auto"/>
          <w:lang w:val="en-AU"/>
        </w:rPr>
      </w:pPr>
      <w:r>
        <w:rPr>
          <w:lang w:val="en-AU"/>
        </w:rPr>
        <w:t xml:space="preserve">UNOPS pivoted </w:t>
      </w:r>
      <w:r w:rsidR="00EE381F">
        <w:rPr>
          <w:lang w:val="en-AU"/>
        </w:rPr>
        <w:t xml:space="preserve">about 30 per cent of its funds </w:t>
      </w:r>
      <w:r>
        <w:rPr>
          <w:lang w:val="en-AU"/>
        </w:rPr>
        <w:t xml:space="preserve">to support COVID-19. </w:t>
      </w:r>
      <w:r w:rsidR="00D04C4D" w:rsidRPr="004F74A9">
        <w:rPr>
          <w:lang w:val="en-AU"/>
        </w:rPr>
        <w:t xml:space="preserve">UNOPS </w:t>
      </w:r>
      <w:r w:rsidR="00AD0B87" w:rsidRPr="004F74A9">
        <w:rPr>
          <w:lang w:val="en-AU"/>
        </w:rPr>
        <w:t>assists</w:t>
      </w:r>
      <w:r w:rsidR="000601B9" w:rsidRPr="004F74A9">
        <w:rPr>
          <w:lang w:val="en-AU"/>
        </w:rPr>
        <w:t xml:space="preserve"> </w:t>
      </w:r>
      <w:r w:rsidR="00D04C4D" w:rsidRPr="004F74A9">
        <w:rPr>
          <w:lang w:val="en-AU"/>
        </w:rPr>
        <w:t xml:space="preserve">efficient entry of goods and people into the </w:t>
      </w:r>
      <w:r w:rsidR="00800B0C" w:rsidRPr="004F74A9">
        <w:rPr>
          <w:lang w:val="en-AU"/>
        </w:rPr>
        <w:t>PTs</w:t>
      </w:r>
      <w:r w:rsidR="004F74A9" w:rsidRPr="004F74A9">
        <w:rPr>
          <w:lang w:val="en-AU"/>
        </w:rPr>
        <w:t xml:space="preserve"> which has been important in prioritising timely supply of COVID-19 resources.</w:t>
      </w:r>
    </w:p>
    <w:p w14:paraId="68B96F76" w14:textId="0094B9C4" w:rsidR="00C515C0" w:rsidRPr="004F74A9" w:rsidRDefault="00C515C0" w:rsidP="00655C26">
      <w:pPr>
        <w:pStyle w:val="ListParagraph"/>
        <w:numPr>
          <w:ilvl w:val="0"/>
          <w:numId w:val="39"/>
        </w:numPr>
        <w:suppressAutoHyphens w:val="0"/>
        <w:spacing w:before="0" w:after="0" w:line="254" w:lineRule="auto"/>
        <w:ind w:left="567"/>
        <w:rPr>
          <w:rFonts w:cstheme="minorHAnsi"/>
          <w:color w:val="auto"/>
          <w:lang w:val="en-AU"/>
        </w:rPr>
      </w:pPr>
      <w:r>
        <w:t>UNRWA</w:t>
      </w:r>
      <w:r w:rsidR="000D000C">
        <w:t xml:space="preserve"> </w:t>
      </w:r>
      <w:r w:rsidR="00DA5E33">
        <w:t>allocated</w:t>
      </w:r>
      <w:r w:rsidR="000601B9">
        <w:t xml:space="preserve"> </w:t>
      </w:r>
      <w:r w:rsidR="0035161B">
        <w:t xml:space="preserve">equal to </w:t>
      </w:r>
      <w:r>
        <w:t>6.25 per</w:t>
      </w:r>
      <w:r w:rsidR="00E61636">
        <w:t xml:space="preserve"> </w:t>
      </w:r>
      <w:r>
        <w:t xml:space="preserve">cent of its </w:t>
      </w:r>
      <w:r w:rsidR="002A29E6">
        <w:t xml:space="preserve">2020 </w:t>
      </w:r>
      <w:r>
        <w:t xml:space="preserve">budget </w:t>
      </w:r>
      <w:r w:rsidR="000601B9">
        <w:t xml:space="preserve">to </w:t>
      </w:r>
      <w:r w:rsidR="002A29E6">
        <w:t>COVID-19</w:t>
      </w:r>
      <w:r w:rsidR="00800B0C">
        <w:t xml:space="preserve"> to deliver </w:t>
      </w:r>
      <w:r w:rsidR="004F74A9">
        <w:t xml:space="preserve">targeted </w:t>
      </w:r>
      <w:r w:rsidR="00DA5E33">
        <w:t>health assistance</w:t>
      </w:r>
      <w:r w:rsidR="00800B0C">
        <w:t>, cash assistance to vulnerable people and innovative education solutions</w:t>
      </w:r>
      <w:r w:rsidR="000601B9">
        <w:t>.</w:t>
      </w:r>
      <w:r>
        <w:t xml:space="preserve"> </w:t>
      </w:r>
      <w:r w:rsidR="00DA5E33">
        <w:t>I</w:t>
      </w:r>
      <w:r w:rsidR="000D000C">
        <w:t xml:space="preserve">ts </w:t>
      </w:r>
      <w:r>
        <w:t xml:space="preserve">health, education, and humanitarian </w:t>
      </w:r>
      <w:r w:rsidR="00DA072E">
        <w:t xml:space="preserve">assets </w:t>
      </w:r>
      <w:r w:rsidR="004F74A9">
        <w:t xml:space="preserve">addressed </w:t>
      </w:r>
      <w:r w:rsidR="00BF7E50">
        <w:t xml:space="preserve">the pandemic </w:t>
      </w:r>
      <w:r w:rsidR="00462A6C">
        <w:t>through</w:t>
      </w:r>
      <w:r w:rsidR="0035161B">
        <w:t xml:space="preserve"> medical</w:t>
      </w:r>
      <w:r>
        <w:t xml:space="preserve"> services, </w:t>
      </w:r>
      <w:r w:rsidR="00DA072E">
        <w:t xml:space="preserve">and </w:t>
      </w:r>
      <w:r>
        <w:t xml:space="preserve">schools </w:t>
      </w:r>
      <w:r w:rsidR="00462A6C">
        <w:t xml:space="preserve">used for as </w:t>
      </w:r>
      <w:r>
        <w:t>testing</w:t>
      </w:r>
      <w:r w:rsidR="00DA072E">
        <w:t>.</w:t>
      </w:r>
    </w:p>
    <w:p w14:paraId="2CF5FA47" w14:textId="7702FD84" w:rsidR="00C515C0" w:rsidRPr="00452298" w:rsidRDefault="00587098" w:rsidP="00655C26">
      <w:pPr>
        <w:pStyle w:val="ListParagraph"/>
        <w:numPr>
          <w:ilvl w:val="0"/>
          <w:numId w:val="39"/>
        </w:numPr>
        <w:ind w:left="567"/>
        <w:rPr>
          <w:lang w:val="en-AU"/>
        </w:rPr>
      </w:pPr>
      <w:r>
        <w:rPr>
          <w:lang w:val="en-AU"/>
        </w:rPr>
        <w:t xml:space="preserve">Australia’s </w:t>
      </w:r>
      <w:r w:rsidR="00CC791E">
        <w:rPr>
          <w:lang w:val="en-AU"/>
        </w:rPr>
        <w:t xml:space="preserve">$3.8 million </w:t>
      </w:r>
      <w:r w:rsidR="00F33A69">
        <w:rPr>
          <w:lang w:val="en-AU"/>
        </w:rPr>
        <w:t xml:space="preserve">contribution </w:t>
      </w:r>
      <w:r w:rsidR="00CC791E">
        <w:rPr>
          <w:lang w:val="en-AU"/>
        </w:rPr>
        <w:t xml:space="preserve">to </w:t>
      </w:r>
      <w:r w:rsidR="00DA072E">
        <w:rPr>
          <w:lang w:val="en-AU"/>
        </w:rPr>
        <w:t>the I</w:t>
      </w:r>
      <w:r w:rsidR="00C515C0">
        <w:rPr>
          <w:lang w:val="en-AU"/>
        </w:rPr>
        <w:t>nternational Committee of the Red Cross (ICRC</w:t>
      </w:r>
      <w:r w:rsidR="002A29E6">
        <w:rPr>
          <w:lang w:val="en-AU"/>
        </w:rPr>
        <w:t>)</w:t>
      </w:r>
      <w:r w:rsidR="00CC791E">
        <w:rPr>
          <w:lang w:val="en-AU"/>
        </w:rPr>
        <w:t xml:space="preserve"> </w:t>
      </w:r>
      <w:r>
        <w:rPr>
          <w:lang w:val="en-AU"/>
        </w:rPr>
        <w:t xml:space="preserve">supported provision of </w:t>
      </w:r>
      <w:r w:rsidR="00C515C0">
        <w:rPr>
          <w:lang w:val="en-AU"/>
        </w:rPr>
        <w:t xml:space="preserve">PPE </w:t>
      </w:r>
      <w:r w:rsidR="004F74A9">
        <w:rPr>
          <w:lang w:val="en-AU"/>
        </w:rPr>
        <w:t xml:space="preserve">to </w:t>
      </w:r>
      <w:r>
        <w:rPr>
          <w:lang w:val="en-AU"/>
        </w:rPr>
        <w:t xml:space="preserve">its </w:t>
      </w:r>
      <w:r w:rsidR="004F74A9">
        <w:rPr>
          <w:lang w:val="en-AU"/>
        </w:rPr>
        <w:t>local</w:t>
      </w:r>
      <w:r w:rsidR="00C515C0">
        <w:rPr>
          <w:lang w:val="en-AU"/>
        </w:rPr>
        <w:t xml:space="preserve"> Red Crescent Society</w:t>
      </w:r>
      <w:r w:rsidR="004F74A9">
        <w:rPr>
          <w:lang w:val="en-AU"/>
        </w:rPr>
        <w:t xml:space="preserve"> partners</w:t>
      </w:r>
      <w:r w:rsidR="00C515C0">
        <w:rPr>
          <w:lang w:val="en-AU"/>
        </w:rPr>
        <w:t>,</w:t>
      </w:r>
      <w:r w:rsidR="002A29E6">
        <w:rPr>
          <w:lang w:val="en-AU"/>
        </w:rPr>
        <w:t xml:space="preserve"> </w:t>
      </w:r>
      <w:r w:rsidR="00C515C0">
        <w:rPr>
          <w:lang w:val="en-AU"/>
        </w:rPr>
        <w:t xml:space="preserve">a quarantine centre, </w:t>
      </w:r>
      <w:r w:rsidR="002A29E6">
        <w:rPr>
          <w:lang w:val="en-AU"/>
        </w:rPr>
        <w:t>and</w:t>
      </w:r>
      <w:r w:rsidR="00C515C0">
        <w:rPr>
          <w:lang w:val="en-AU"/>
        </w:rPr>
        <w:t xml:space="preserve"> </w:t>
      </w:r>
      <w:r w:rsidR="00CC791E">
        <w:rPr>
          <w:lang w:val="en-AU"/>
        </w:rPr>
        <w:t xml:space="preserve">medical </w:t>
      </w:r>
      <w:r w:rsidR="004F74A9">
        <w:rPr>
          <w:lang w:val="en-AU"/>
        </w:rPr>
        <w:t>supplies</w:t>
      </w:r>
      <w:r w:rsidR="00C515C0">
        <w:rPr>
          <w:lang w:val="en-AU"/>
        </w:rPr>
        <w:t>.</w:t>
      </w:r>
    </w:p>
    <w:p w14:paraId="738F4BA8" w14:textId="77777777" w:rsidR="003500CF" w:rsidRPr="00452298" w:rsidRDefault="00651213" w:rsidP="00655C26">
      <w:pPr>
        <w:ind w:left="567"/>
        <w:rPr>
          <w:b/>
          <w:sz w:val="24"/>
        </w:rPr>
      </w:pPr>
      <w:r>
        <w:rPr>
          <w:b/>
          <w:sz w:val="24"/>
        </w:rPr>
        <w:t>Other program highlights</w:t>
      </w:r>
    </w:p>
    <w:p w14:paraId="5B567260" w14:textId="66CBD47D" w:rsidR="00276A54" w:rsidRDefault="0078029B" w:rsidP="00655C26">
      <w:pPr>
        <w:pStyle w:val="ListParagraph"/>
        <w:numPr>
          <w:ilvl w:val="0"/>
          <w:numId w:val="41"/>
        </w:numPr>
        <w:ind w:left="567"/>
        <w:rPr>
          <w:lang w:val="en-AU"/>
        </w:rPr>
      </w:pPr>
      <w:r w:rsidRPr="0078029B">
        <w:rPr>
          <w:lang w:val="en-AU"/>
        </w:rPr>
        <w:t xml:space="preserve">AMENCA 3 </w:t>
      </w:r>
      <w:r w:rsidR="002A29E6">
        <w:rPr>
          <w:lang w:val="en-AU"/>
        </w:rPr>
        <w:t>facilitated</w:t>
      </w:r>
      <w:r w:rsidRPr="0078029B">
        <w:rPr>
          <w:lang w:val="en-AU"/>
        </w:rPr>
        <w:t xml:space="preserve"> economic opportunities for farm</w:t>
      </w:r>
      <w:r w:rsidR="004F74A9">
        <w:rPr>
          <w:lang w:val="en-AU"/>
        </w:rPr>
        <w:t xml:space="preserve">ing </w:t>
      </w:r>
      <w:r w:rsidRPr="0078029B">
        <w:rPr>
          <w:lang w:val="en-AU"/>
        </w:rPr>
        <w:t>communities to i</w:t>
      </w:r>
      <w:r w:rsidR="006A2EFF">
        <w:rPr>
          <w:lang w:val="en-AU"/>
        </w:rPr>
        <w:t>mprove</w:t>
      </w:r>
      <w:r w:rsidR="002A29E6">
        <w:rPr>
          <w:lang w:val="en-AU"/>
        </w:rPr>
        <w:t xml:space="preserve"> </w:t>
      </w:r>
      <w:r w:rsidR="004F74A9">
        <w:rPr>
          <w:lang w:val="en-AU"/>
        </w:rPr>
        <w:t xml:space="preserve">markets and </w:t>
      </w:r>
      <w:r w:rsidR="002A29E6">
        <w:rPr>
          <w:lang w:val="en-AU"/>
        </w:rPr>
        <w:t>productivity</w:t>
      </w:r>
      <w:r w:rsidRPr="0078029B">
        <w:rPr>
          <w:lang w:val="en-AU"/>
        </w:rPr>
        <w:t xml:space="preserve">. It </w:t>
      </w:r>
      <w:r w:rsidR="002A29E6">
        <w:rPr>
          <w:lang w:val="en-AU"/>
        </w:rPr>
        <w:t xml:space="preserve">met </w:t>
      </w:r>
      <w:r w:rsidR="0035161B">
        <w:rPr>
          <w:lang w:val="en-AU"/>
        </w:rPr>
        <w:t>or exceeded most</w:t>
      </w:r>
      <w:r w:rsidR="002A29E6">
        <w:rPr>
          <w:lang w:val="en-AU"/>
        </w:rPr>
        <w:t xml:space="preserve"> indicators </w:t>
      </w:r>
      <w:r w:rsidRPr="0078029B">
        <w:rPr>
          <w:lang w:val="en-AU"/>
        </w:rPr>
        <w:t>such as</w:t>
      </w:r>
      <w:r w:rsidR="00480B54">
        <w:rPr>
          <w:lang w:val="en-AU"/>
        </w:rPr>
        <w:t>:</w:t>
      </w:r>
      <w:r w:rsidRPr="0078029B">
        <w:rPr>
          <w:lang w:val="en-AU"/>
        </w:rPr>
        <w:t xml:space="preserve"> 40,000 farmers </w:t>
      </w:r>
      <w:r w:rsidR="002A29E6">
        <w:rPr>
          <w:lang w:val="en-AU"/>
        </w:rPr>
        <w:t>with</w:t>
      </w:r>
      <w:r w:rsidRPr="0078029B">
        <w:rPr>
          <w:lang w:val="en-AU"/>
        </w:rPr>
        <w:t xml:space="preserve"> increased income; </w:t>
      </w:r>
      <w:r w:rsidR="00153C96">
        <w:rPr>
          <w:lang w:val="en-AU"/>
        </w:rPr>
        <w:t xml:space="preserve">upgraded </w:t>
      </w:r>
      <w:r w:rsidR="008E629D">
        <w:rPr>
          <w:lang w:val="en-AU"/>
        </w:rPr>
        <w:t>agricultural roads</w:t>
      </w:r>
      <w:r w:rsidR="00153C96">
        <w:rPr>
          <w:lang w:val="en-AU"/>
        </w:rPr>
        <w:t xml:space="preserve"> t</w:t>
      </w:r>
      <w:r w:rsidR="00293CA0">
        <w:rPr>
          <w:lang w:val="en-AU"/>
        </w:rPr>
        <w:t>o improve accessibility to land</w:t>
      </w:r>
      <w:r w:rsidR="003F65F4">
        <w:rPr>
          <w:lang w:val="en-AU"/>
        </w:rPr>
        <w:t>;</w:t>
      </w:r>
      <w:r w:rsidR="00293CA0">
        <w:rPr>
          <w:lang w:val="en-AU"/>
        </w:rPr>
        <w:t xml:space="preserve"> </w:t>
      </w:r>
      <w:r w:rsidR="00153C96">
        <w:rPr>
          <w:lang w:val="en-AU"/>
        </w:rPr>
        <w:t xml:space="preserve">and increased </w:t>
      </w:r>
      <w:r w:rsidR="008E629D">
        <w:rPr>
          <w:lang w:val="en-AU"/>
        </w:rPr>
        <w:t>agricultural production</w:t>
      </w:r>
      <w:r w:rsidRPr="0078029B">
        <w:rPr>
          <w:lang w:val="en-AU"/>
        </w:rPr>
        <w:t>.</w:t>
      </w:r>
    </w:p>
    <w:p w14:paraId="1E6EC0F1" w14:textId="2868EEA1" w:rsidR="0078029B" w:rsidRPr="0078029B" w:rsidRDefault="00480B54" w:rsidP="00655C26">
      <w:pPr>
        <w:pStyle w:val="ListParagraph"/>
        <w:numPr>
          <w:ilvl w:val="0"/>
          <w:numId w:val="41"/>
        </w:numPr>
        <w:ind w:left="567"/>
        <w:rPr>
          <w:lang w:val="en-AU"/>
        </w:rPr>
      </w:pPr>
      <w:r>
        <w:rPr>
          <w:lang w:val="en-AU"/>
        </w:rPr>
        <w:t xml:space="preserve">UNRWA </w:t>
      </w:r>
      <w:r w:rsidR="00441DF0">
        <w:rPr>
          <w:lang w:val="en-AU"/>
        </w:rPr>
        <w:t>deliver</w:t>
      </w:r>
      <w:r w:rsidR="00F33A69">
        <w:rPr>
          <w:lang w:val="en-AU"/>
        </w:rPr>
        <w:t>ed</w:t>
      </w:r>
      <w:r w:rsidR="00441DF0">
        <w:rPr>
          <w:lang w:val="en-AU"/>
        </w:rPr>
        <w:t xml:space="preserve"> education to 533,000 children</w:t>
      </w:r>
      <w:r w:rsidR="00F33A69">
        <w:rPr>
          <w:lang w:val="en-AU"/>
        </w:rPr>
        <w:t xml:space="preserve"> and </w:t>
      </w:r>
      <w:r w:rsidR="00441DF0">
        <w:rPr>
          <w:lang w:val="en-AU"/>
        </w:rPr>
        <w:t>provide</w:t>
      </w:r>
      <w:r w:rsidR="00F33A69">
        <w:rPr>
          <w:lang w:val="en-AU"/>
        </w:rPr>
        <w:t>d</w:t>
      </w:r>
      <w:r w:rsidR="00441DF0">
        <w:rPr>
          <w:lang w:val="en-AU"/>
        </w:rPr>
        <w:t xml:space="preserve"> </w:t>
      </w:r>
      <w:r w:rsidR="00F33A69">
        <w:rPr>
          <w:lang w:val="en-AU"/>
        </w:rPr>
        <w:t xml:space="preserve">more than 8.7 million </w:t>
      </w:r>
      <w:r w:rsidR="00441DF0">
        <w:rPr>
          <w:lang w:val="en-AU"/>
        </w:rPr>
        <w:t>primary health</w:t>
      </w:r>
      <w:r w:rsidR="004F74A9">
        <w:rPr>
          <w:lang w:val="en-AU"/>
        </w:rPr>
        <w:t xml:space="preserve"> </w:t>
      </w:r>
      <w:r w:rsidR="00441DF0">
        <w:rPr>
          <w:lang w:val="en-AU"/>
        </w:rPr>
        <w:t>consultations</w:t>
      </w:r>
      <w:r w:rsidR="00D1304B">
        <w:rPr>
          <w:lang w:val="en-AU"/>
        </w:rPr>
        <w:t>.</w:t>
      </w:r>
      <w:r w:rsidR="00456A05">
        <w:rPr>
          <w:lang w:val="en-AU"/>
        </w:rPr>
        <w:t xml:space="preserve"> During COVID, </w:t>
      </w:r>
      <w:r w:rsidR="00F33A69">
        <w:rPr>
          <w:lang w:val="en-AU"/>
        </w:rPr>
        <w:t xml:space="preserve">it </w:t>
      </w:r>
      <w:r w:rsidR="00F57DEC">
        <w:rPr>
          <w:lang w:val="en-AU"/>
        </w:rPr>
        <w:t xml:space="preserve">adjusted </w:t>
      </w:r>
      <w:r w:rsidR="00456A05">
        <w:rPr>
          <w:lang w:val="en-AU"/>
        </w:rPr>
        <w:t>to continue service delivery in safe</w:t>
      </w:r>
      <w:r w:rsidR="004F74A9">
        <w:rPr>
          <w:lang w:val="en-AU"/>
        </w:rPr>
        <w:t>ty</w:t>
      </w:r>
      <w:r w:rsidR="00F81370">
        <w:rPr>
          <w:lang w:val="en-AU"/>
        </w:rPr>
        <w:t xml:space="preserve"> </w:t>
      </w:r>
      <w:r w:rsidR="00324882">
        <w:rPr>
          <w:lang w:val="en-AU"/>
        </w:rPr>
        <w:t>including</w:t>
      </w:r>
      <w:r w:rsidR="00456A05">
        <w:rPr>
          <w:lang w:val="en-AU"/>
        </w:rPr>
        <w:t xml:space="preserve"> triag</w:t>
      </w:r>
      <w:r>
        <w:rPr>
          <w:lang w:val="en-AU"/>
        </w:rPr>
        <w:t>ing</w:t>
      </w:r>
      <w:r w:rsidR="00456A05">
        <w:rPr>
          <w:lang w:val="en-AU"/>
        </w:rPr>
        <w:t xml:space="preserve"> patients to reduce congestion </w:t>
      </w:r>
      <w:r>
        <w:rPr>
          <w:lang w:val="en-AU"/>
        </w:rPr>
        <w:t xml:space="preserve">and </w:t>
      </w:r>
      <w:r w:rsidR="004F74A9">
        <w:rPr>
          <w:lang w:val="en-AU"/>
        </w:rPr>
        <w:t xml:space="preserve">providing self-learning resources during school closures to </w:t>
      </w:r>
      <w:r w:rsidR="00456A05">
        <w:rPr>
          <w:lang w:val="en-AU"/>
        </w:rPr>
        <w:t>nearly 92 percent of UNRWA students.</w:t>
      </w:r>
    </w:p>
    <w:p w14:paraId="2598534B" w14:textId="77777777" w:rsidR="00977676" w:rsidRDefault="00977676" w:rsidP="00230777">
      <w:pPr>
        <w:sectPr w:rsidR="00977676" w:rsidSect="00655C26">
          <w:headerReference w:type="default" r:id="rId16"/>
          <w:footerReference w:type="default" r:id="rId17"/>
          <w:headerReference w:type="first" r:id="rId18"/>
          <w:footerReference w:type="first" r:id="rId19"/>
          <w:type w:val="continuous"/>
          <w:pgSz w:w="11906" w:h="16838" w:code="9"/>
          <w:pgMar w:top="1701" w:right="566" w:bottom="1418" w:left="851" w:header="425" w:footer="493" w:gutter="0"/>
          <w:cols w:num="2" w:space="397"/>
          <w:titlePg/>
          <w:docGrid w:linePitch="360"/>
        </w:sectPr>
      </w:pPr>
    </w:p>
    <w:p w14:paraId="5024BC06" w14:textId="77777777" w:rsidR="00B75163" w:rsidRPr="00B75163" w:rsidRDefault="00D00153" w:rsidP="00B75163">
      <w:pPr>
        <w:pStyle w:val="Heading2"/>
        <w:spacing w:before="360" w:line="300" w:lineRule="exact"/>
        <w:contextualSpacing w:val="0"/>
        <w:rPr>
          <w:sz w:val="24"/>
          <w:szCs w:val="24"/>
        </w:rPr>
      </w:pPr>
      <w:r>
        <w:lastRenderedPageBreak/>
        <w:t>P</w:t>
      </w:r>
      <w:r w:rsidR="004C5598">
        <w:t>rogress against 2019-20 performance indicators</w:t>
      </w:r>
      <w:r w:rsidR="00C32299">
        <w:br/>
      </w:r>
    </w:p>
    <w:tbl>
      <w:tblPr>
        <w:tblStyle w:val="TableGrid"/>
        <w:tblW w:w="10201" w:type="dxa"/>
        <w:tblLook w:val="04A0" w:firstRow="1" w:lastRow="0" w:firstColumn="1" w:lastColumn="0" w:noHBand="0" w:noVBand="1"/>
        <w:tblCaption w:val="Performance Assessment Framework"/>
        <w:tblDescription w:val="This program has two strategic objectives and four performance benchmark, indicators that are used to measure progress."/>
      </w:tblPr>
      <w:tblGrid>
        <w:gridCol w:w="1555"/>
        <w:gridCol w:w="2607"/>
        <w:gridCol w:w="6039"/>
      </w:tblGrid>
      <w:tr w:rsidR="00B75163" w:rsidRPr="00AA303C" w14:paraId="09E7EB0E" w14:textId="77777777" w:rsidTr="00E07ADA">
        <w:trPr>
          <w:tblHeader/>
        </w:trPr>
        <w:tc>
          <w:tcPr>
            <w:tcW w:w="1555" w:type="dxa"/>
            <w:shd w:val="clear" w:color="auto" w:fill="C1E7E0" w:themeFill="accent1" w:themeFillTint="66"/>
          </w:tcPr>
          <w:p w14:paraId="2C4E1037" w14:textId="77777777" w:rsidR="00B75163" w:rsidRPr="00AA303C" w:rsidRDefault="00B75163" w:rsidP="00D9679F">
            <w:pPr>
              <w:pStyle w:val="BodyText"/>
              <w:spacing w:before="40" w:after="40" w:line="240" w:lineRule="auto"/>
              <w:rPr>
                <w:rFonts w:asciiTheme="majorHAnsi" w:eastAsiaTheme="majorEastAsia" w:hAnsiTheme="majorHAnsi" w:cstheme="majorHAnsi"/>
                <w:b/>
                <w:caps/>
                <w:sz w:val="20"/>
                <w:szCs w:val="20"/>
              </w:rPr>
            </w:pPr>
            <w:r w:rsidRPr="00AA303C">
              <w:rPr>
                <w:rFonts w:asciiTheme="majorHAnsi" w:eastAsiaTheme="majorEastAsia" w:hAnsiTheme="majorHAnsi" w:cstheme="majorHAnsi"/>
                <w:b/>
                <w:caps/>
                <w:sz w:val="20"/>
                <w:szCs w:val="20"/>
              </w:rPr>
              <w:t>title of strategic OBJECTIVE</w:t>
            </w:r>
          </w:p>
        </w:tc>
        <w:tc>
          <w:tcPr>
            <w:tcW w:w="2607" w:type="dxa"/>
            <w:shd w:val="clear" w:color="auto" w:fill="C1E7E0" w:themeFill="accent1" w:themeFillTint="66"/>
          </w:tcPr>
          <w:p w14:paraId="49D0E63F" w14:textId="77777777" w:rsidR="00B75163" w:rsidRPr="00AA303C" w:rsidRDefault="00B75163" w:rsidP="00D9679F">
            <w:pPr>
              <w:pStyle w:val="BodyText"/>
              <w:spacing w:before="40" w:after="40" w:line="240" w:lineRule="auto"/>
              <w:rPr>
                <w:rFonts w:asciiTheme="majorHAnsi" w:eastAsiaTheme="majorEastAsia" w:hAnsiTheme="majorHAnsi" w:cstheme="majorHAnsi"/>
                <w:b/>
                <w:caps/>
                <w:sz w:val="20"/>
                <w:szCs w:val="20"/>
              </w:rPr>
            </w:pPr>
            <w:r w:rsidRPr="00AA303C">
              <w:rPr>
                <w:rFonts w:asciiTheme="majorHAnsi" w:eastAsiaTheme="majorEastAsia" w:hAnsiTheme="majorHAnsi" w:cstheme="majorHAnsi"/>
                <w:b/>
                <w:caps/>
                <w:sz w:val="20"/>
                <w:szCs w:val="20"/>
              </w:rPr>
              <w:t>Performance assessment framework indicator/benchmark</w:t>
            </w:r>
          </w:p>
        </w:tc>
        <w:tc>
          <w:tcPr>
            <w:tcW w:w="6039" w:type="dxa"/>
            <w:shd w:val="clear" w:color="auto" w:fill="C1E7E0" w:themeFill="accent1" w:themeFillTint="66"/>
          </w:tcPr>
          <w:p w14:paraId="6E1DD7AD" w14:textId="77777777" w:rsidR="00B75163" w:rsidRPr="00AA303C" w:rsidRDefault="00B75163" w:rsidP="00D9679F">
            <w:pPr>
              <w:pStyle w:val="BodyText"/>
              <w:spacing w:before="40" w:after="40" w:line="240" w:lineRule="auto"/>
              <w:rPr>
                <w:rFonts w:asciiTheme="majorHAnsi" w:eastAsiaTheme="majorEastAsia" w:hAnsiTheme="majorHAnsi" w:cstheme="majorHAnsi"/>
                <w:b/>
                <w:caps/>
                <w:sz w:val="20"/>
                <w:szCs w:val="20"/>
              </w:rPr>
            </w:pPr>
            <w:r w:rsidRPr="00AA303C">
              <w:rPr>
                <w:rFonts w:asciiTheme="majorHAnsi" w:eastAsiaTheme="majorEastAsia" w:hAnsiTheme="majorHAnsi" w:cstheme="majorHAnsi"/>
                <w:b/>
                <w:caps/>
                <w:sz w:val="20"/>
                <w:szCs w:val="20"/>
              </w:rPr>
              <w:t>Brief summary of progress against indicator/benchmark</w:t>
            </w:r>
          </w:p>
        </w:tc>
      </w:tr>
      <w:tr w:rsidR="00B75163" w:rsidRPr="00AA303C" w14:paraId="12AF4FA2" w14:textId="77777777" w:rsidTr="00E07ADA">
        <w:trPr>
          <w:trHeight w:val="1126"/>
          <w:tblHeader/>
        </w:trPr>
        <w:tc>
          <w:tcPr>
            <w:tcW w:w="1555" w:type="dxa"/>
          </w:tcPr>
          <w:p w14:paraId="21313E72" w14:textId="77777777" w:rsidR="00B75163" w:rsidRPr="00AA303C" w:rsidRDefault="00B75163" w:rsidP="00D9679F">
            <w:pPr>
              <w:pStyle w:val="BodyText"/>
              <w:spacing w:before="40" w:after="40" w:line="240" w:lineRule="auto"/>
              <w:rPr>
                <w:rFonts w:eastAsiaTheme="majorEastAsia" w:cstheme="minorHAnsi"/>
                <w:caps/>
                <w:sz w:val="20"/>
                <w:szCs w:val="20"/>
              </w:rPr>
            </w:pPr>
            <w:r w:rsidRPr="00AA303C">
              <w:rPr>
                <w:rFonts w:eastAsiaTheme="majorEastAsia" w:cstheme="minorHAnsi"/>
                <w:sz w:val="20"/>
                <w:szCs w:val="20"/>
              </w:rPr>
              <w:t>Objective 1</w:t>
            </w:r>
            <w:r>
              <w:rPr>
                <w:rFonts w:eastAsiaTheme="majorEastAsia" w:cstheme="minorHAnsi"/>
                <w:sz w:val="20"/>
                <w:szCs w:val="20"/>
              </w:rPr>
              <w:t>.</w:t>
            </w:r>
            <w:r w:rsidRPr="00AA303C">
              <w:rPr>
                <w:rFonts w:eastAsiaTheme="majorEastAsia" w:cstheme="minorHAnsi"/>
                <w:sz w:val="20"/>
                <w:szCs w:val="20"/>
              </w:rPr>
              <w:t xml:space="preserve"> </w:t>
            </w:r>
            <w:r w:rsidRPr="00B75163">
              <w:rPr>
                <w:rFonts w:asciiTheme="majorHAnsi" w:eastAsiaTheme="majorEastAsia" w:hAnsiTheme="majorHAnsi" w:cstheme="majorHAnsi"/>
                <w:sz w:val="20"/>
                <w:szCs w:val="20"/>
              </w:rPr>
              <w:t xml:space="preserve">Improved Public Financial Management and a more competitive agricultural economy in the </w:t>
            </w:r>
            <w:proofErr w:type="spellStart"/>
            <w:r w:rsidRPr="00B75163">
              <w:rPr>
                <w:rFonts w:asciiTheme="majorHAnsi" w:eastAsiaTheme="majorEastAsia" w:hAnsiTheme="majorHAnsi" w:cstheme="majorHAnsi"/>
                <w:sz w:val="20"/>
                <w:szCs w:val="20"/>
              </w:rPr>
              <w:t>PTs.</w:t>
            </w:r>
            <w:proofErr w:type="spellEnd"/>
          </w:p>
        </w:tc>
        <w:tc>
          <w:tcPr>
            <w:tcW w:w="2607" w:type="dxa"/>
          </w:tcPr>
          <w:p w14:paraId="79356464" w14:textId="77777777" w:rsidR="00B75163" w:rsidRDefault="00B75163" w:rsidP="00D9679F">
            <w:pPr>
              <w:pStyle w:val="BodyText"/>
              <w:spacing w:before="40" w:after="40" w:line="240" w:lineRule="auto"/>
              <w:rPr>
                <w:rFonts w:eastAsiaTheme="majorEastAsia" w:cstheme="minorHAnsi"/>
                <w:caps/>
                <w:sz w:val="20"/>
                <w:szCs w:val="20"/>
              </w:rPr>
            </w:pPr>
            <w:r w:rsidRPr="00B75163">
              <w:rPr>
                <w:rFonts w:asciiTheme="majorHAnsi" w:eastAsiaTheme="majorEastAsia" w:hAnsiTheme="majorHAnsi" w:cstheme="majorHAnsi"/>
                <w:caps/>
                <w:sz w:val="20"/>
                <w:szCs w:val="20"/>
              </w:rPr>
              <w:t>1.1</w:t>
            </w:r>
            <w:r w:rsidRPr="00AA303C">
              <w:rPr>
                <w:rFonts w:eastAsiaTheme="majorEastAsia" w:cstheme="minorHAnsi"/>
                <w:caps/>
                <w:sz w:val="20"/>
                <w:szCs w:val="20"/>
              </w:rPr>
              <w:t xml:space="preserve"> T</w:t>
            </w:r>
            <w:r w:rsidRPr="00AA303C">
              <w:rPr>
                <w:rFonts w:eastAsiaTheme="majorEastAsia" w:cstheme="minorHAnsi"/>
                <w:sz w:val="20"/>
                <w:szCs w:val="20"/>
              </w:rPr>
              <w:t>he stock of income tax debt is lower than it was in October 2018</w:t>
            </w:r>
            <w:r w:rsidRPr="00AA303C">
              <w:rPr>
                <w:rFonts w:eastAsiaTheme="majorEastAsia" w:cstheme="minorHAnsi"/>
                <w:caps/>
                <w:sz w:val="20"/>
                <w:szCs w:val="20"/>
              </w:rPr>
              <w:t>.</w:t>
            </w:r>
          </w:p>
          <w:p w14:paraId="10594D63" w14:textId="77777777" w:rsidR="00B75163" w:rsidRPr="00AA303C" w:rsidRDefault="00B75163" w:rsidP="00D9679F">
            <w:pPr>
              <w:pStyle w:val="BodyText"/>
              <w:spacing w:before="40" w:after="40" w:line="240" w:lineRule="auto"/>
              <w:rPr>
                <w:rFonts w:eastAsiaTheme="majorEastAsia" w:cstheme="minorHAnsi"/>
                <w:caps/>
                <w:sz w:val="20"/>
                <w:szCs w:val="20"/>
              </w:rPr>
            </w:pPr>
            <w:r w:rsidRPr="00B75163">
              <w:rPr>
                <w:rFonts w:asciiTheme="majorHAnsi" w:eastAsiaTheme="majorEastAsia" w:hAnsiTheme="majorHAnsi" w:cstheme="majorHAnsi"/>
                <w:caps/>
                <w:sz w:val="20"/>
                <w:szCs w:val="20"/>
              </w:rPr>
              <w:t>1.2</w:t>
            </w:r>
            <w:r w:rsidRPr="00AA303C">
              <w:rPr>
                <w:rFonts w:eastAsiaTheme="majorEastAsia" w:cstheme="minorHAnsi"/>
                <w:caps/>
                <w:sz w:val="20"/>
                <w:szCs w:val="20"/>
              </w:rPr>
              <w:t xml:space="preserve"> </w:t>
            </w:r>
            <w:r w:rsidRPr="00AA303C">
              <w:rPr>
                <w:rFonts w:eastAsiaTheme="majorEastAsia" w:cstheme="minorHAnsi"/>
                <w:sz w:val="20"/>
                <w:szCs w:val="20"/>
              </w:rPr>
              <w:t>Farmers Report Increased Income From Better Functioning Value Chains Supported By AMENCA 3</w:t>
            </w:r>
          </w:p>
        </w:tc>
        <w:tc>
          <w:tcPr>
            <w:tcW w:w="6039" w:type="dxa"/>
          </w:tcPr>
          <w:p w14:paraId="4CFA8896" w14:textId="77777777" w:rsidR="00B75163" w:rsidRDefault="00B75163" w:rsidP="00D9679F">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AA303C">
              <w:rPr>
                <w:rFonts w:eastAsiaTheme="majorEastAsia" w:cstheme="minorHAnsi"/>
                <w:sz w:val="20"/>
                <w:szCs w:val="20"/>
              </w:rPr>
              <w:t>Funding to the activity that contributed to this benchmark was discontinued in 2018 as Australia withdrew from the World Bank Palestinian Recovery and Development Program Trust Fund. Australia took the decision due to concern that providing funds for this aspect of the Palestinian Authority’s operations provided an opportunity for the Palestinian Authority to use its own budget to assist Palestinians convicted of politically motivated violence.</w:t>
            </w:r>
          </w:p>
          <w:p w14:paraId="4256B01E" w14:textId="77777777" w:rsidR="00B75163" w:rsidRPr="00AA303C" w:rsidRDefault="00B75163" w:rsidP="00D9679F">
            <w:pPr>
              <w:pStyle w:val="BodyText"/>
              <w:spacing w:before="40" w:after="40" w:line="240" w:lineRule="auto"/>
              <w:rPr>
                <w:rFonts w:eastAsiaTheme="majorEastAsia" w:cstheme="minorHAnsi"/>
                <w:caps/>
                <w:sz w:val="20"/>
                <w:szCs w:val="20"/>
              </w:rPr>
            </w:pPr>
            <w:r>
              <w:rPr>
                <w:rFonts w:eastAsiaTheme="majorEastAsia" w:cstheme="minorHAnsi"/>
                <w:sz w:val="20"/>
                <w:szCs w:val="20"/>
              </w:rPr>
              <w:t xml:space="preserve">~ </w:t>
            </w:r>
            <w:r w:rsidRPr="00AA303C">
              <w:rPr>
                <w:rFonts w:eastAsiaTheme="majorEastAsia" w:cstheme="minorHAnsi"/>
                <w:sz w:val="20"/>
                <w:szCs w:val="20"/>
              </w:rPr>
              <w:t>AMENCA 3 exceeded end of program cumulative targets (a year early) for the indicators that assess increased income. Farmers reported increased incomes in 2019 as business relationships with the private sector matured. Increasingly, farmers enjoy reliable seasonal prices, and business aggregators and processors have a reliable supply chain.  Product diversification and increasing focus on quality was notable in 2019. The targets for women and youth participation were achieved.</w:t>
            </w:r>
          </w:p>
        </w:tc>
      </w:tr>
      <w:tr w:rsidR="00B75163" w:rsidRPr="00AA303C" w14:paraId="7323DCC1" w14:textId="77777777" w:rsidTr="00E07ADA">
        <w:trPr>
          <w:tblHeader/>
        </w:trPr>
        <w:tc>
          <w:tcPr>
            <w:tcW w:w="1555" w:type="dxa"/>
          </w:tcPr>
          <w:p w14:paraId="6A8EC06F" w14:textId="77777777" w:rsidR="00B75163" w:rsidRPr="00AA303C" w:rsidRDefault="00B75163" w:rsidP="00D9679F">
            <w:pPr>
              <w:pStyle w:val="BodyText"/>
              <w:spacing w:before="40" w:after="40" w:line="240" w:lineRule="auto"/>
              <w:rPr>
                <w:rFonts w:eastAsiaTheme="majorEastAsia" w:cstheme="minorHAnsi"/>
                <w:caps/>
                <w:sz w:val="20"/>
                <w:szCs w:val="20"/>
              </w:rPr>
            </w:pPr>
            <w:r w:rsidRPr="00AA303C">
              <w:rPr>
                <w:rFonts w:eastAsiaTheme="majorEastAsia" w:cstheme="minorHAnsi"/>
                <w:sz w:val="20"/>
                <w:szCs w:val="20"/>
              </w:rPr>
              <w:t>Objective 2</w:t>
            </w:r>
            <w:r>
              <w:rPr>
                <w:rFonts w:eastAsiaTheme="majorEastAsia" w:cstheme="minorHAnsi"/>
                <w:sz w:val="20"/>
                <w:szCs w:val="20"/>
              </w:rPr>
              <w:t>.</w:t>
            </w:r>
            <w:r w:rsidRPr="00AA303C">
              <w:rPr>
                <w:rFonts w:eastAsiaTheme="majorEastAsia" w:cstheme="minorHAnsi"/>
                <w:sz w:val="20"/>
                <w:szCs w:val="20"/>
              </w:rPr>
              <w:t xml:space="preserve"> </w:t>
            </w:r>
            <w:r w:rsidRPr="00B75163">
              <w:rPr>
                <w:rFonts w:asciiTheme="majorHAnsi" w:eastAsiaTheme="majorEastAsia" w:hAnsiTheme="majorHAnsi" w:cstheme="majorHAnsi"/>
                <w:sz w:val="20"/>
                <w:szCs w:val="20"/>
              </w:rPr>
              <w:t>Palestinian refugees in the PTs and across the region are able to access quality basic services.</w:t>
            </w:r>
          </w:p>
        </w:tc>
        <w:tc>
          <w:tcPr>
            <w:tcW w:w="2607" w:type="dxa"/>
          </w:tcPr>
          <w:p w14:paraId="01794037" w14:textId="77777777" w:rsidR="00B75163" w:rsidRDefault="00B75163" w:rsidP="00D9679F">
            <w:pPr>
              <w:pStyle w:val="BodyText"/>
              <w:spacing w:before="40" w:after="40" w:line="240" w:lineRule="auto"/>
              <w:rPr>
                <w:rFonts w:eastAsiaTheme="majorEastAsia" w:cstheme="minorHAnsi"/>
                <w:caps/>
                <w:sz w:val="20"/>
                <w:szCs w:val="20"/>
              </w:rPr>
            </w:pPr>
            <w:r w:rsidRPr="00B75163">
              <w:rPr>
                <w:rFonts w:asciiTheme="majorHAnsi" w:eastAsiaTheme="majorEastAsia" w:hAnsiTheme="majorHAnsi" w:cstheme="majorHAnsi"/>
                <w:caps/>
                <w:sz w:val="20"/>
                <w:szCs w:val="20"/>
              </w:rPr>
              <w:t>2.1</w:t>
            </w:r>
            <w:r w:rsidRPr="00AA303C">
              <w:rPr>
                <w:rFonts w:eastAsiaTheme="majorEastAsia" w:cstheme="minorHAnsi"/>
                <w:caps/>
                <w:sz w:val="20"/>
                <w:szCs w:val="20"/>
              </w:rPr>
              <w:t xml:space="preserve"> B</w:t>
            </w:r>
            <w:r w:rsidRPr="00AA303C">
              <w:rPr>
                <w:rFonts w:eastAsiaTheme="majorEastAsia" w:cstheme="minorHAnsi"/>
                <w:sz w:val="20"/>
                <w:szCs w:val="20"/>
              </w:rPr>
              <w:t>enchmarks relating to student achievement in mathematics in UNRWA schools were set (and measured) in the 2016-17 APPR. As UNRWA measures these in a standardised manner every three years, we will measure these again in 2019-20</w:t>
            </w:r>
            <w:r w:rsidRPr="00AA303C">
              <w:rPr>
                <w:rFonts w:eastAsiaTheme="majorEastAsia" w:cstheme="minorHAnsi"/>
                <w:caps/>
                <w:sz w:val="20"/>
                <w:szCs w:val="20"/>
              </w:rPr>
              <w:t>.</w:t>
            </w:r>
          </w:p>
          <w:p w14:paraId="23A121F3" w14:textId="77777777" w:rsidR="00B75163" w:rsidRPr="00AA303C" w:rsidRDefault="00B75163" w:rsidP="00D9679F">
            <w:pPr>
              <w:pStyle w:val="BodyText"/>
              <w:spacing w:before="40" w:after="40" w:line="240" w:lineRule="auto"/>
              <w:rPr>
                <w:rFonts w:eastAsiaTheme="majorEastAsia" w:cstheme="minorHAnsi"/>
                <w:caps/>
                <w:sz w:val="20"/>
                <w:szCs w:val="20"/>
              </w:rPr>
            </w:pPr>
            <w:r w:rsidRPr="00B75163">
              <w:rPr>
                <w:rFonts w:asciiTheme="majorHAnsi" w:eastAsiaTheme="majorEastAsia" w:hAnsiTheme="majorHAnsi" w:cstheme="majorHAnsi"/>
                <w:caps/>
                <w:sz w:val="20"/>
                <w:szCs w:val="20"/>
              </w:rPr>
              <w:t>2.2</w:t>
            </w:r>
            <w:r w:rsidRPr="00AA303C">
              <w:rPr>
                <w:rFonts w:eastAsiaTheme="majorEastAsia" w:cstheme="minorHAnsi"/>
                <w:caps/>
                <w:sz w:val="20"/>
                <w:szCs w:val="20"/>
              </w:rPr>
              <w:t xml:space="preserve"> a </w:t>
            </w:r>
            <w:r w:rsidRPr="00AA303C">
              <w:rPr>
                <w:rFonts w:eastAsiaTheme="majorEastAsia" w:cstheme="minorHAnsi"/>
                <w:sz w:val="20"/>
                <w:szCs w:val="20"/>
              </w:rPr>
              <w:t>reduction from the 2019 outcome of average daily medical consultations from UNRWA health clinics (inferring improved quality consultations rather than a higher volume) as well as better preventative health measures</w:t>
            </w:r>
          </w:p>
        </w:tc>
        <w:tc>
          <w:tcPr>
            <w:tcW w:w="6039" w:type="dxa"/>
          </w:tcPr>
          <w:p w14:paraId="77A021F2" w14:textId="77777777" w:rsidR="00B75163" w:rsidRDefault="00B75163" w:rsidP="00D9679F">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AA303C">
              <w:rPr>
                <w:rFonts w:eastAsiaTheme="majorEastAsia" w:cstheme="minorHAnsi"/>
                <w:sz w:val="20"/>
                <w:szCs w:val="20"/>
              </w:rPr>
              <w:t>The monitoring of learning and achievement (MLA) tests for grade 4 and grade 8 students in maths was scheduled to take place in April 2020 but due to the COVID-19 related closure of schools it has been postponed until spring 2021 (dependent on the schools having reopened).</w:t>
            </w:r>
          </w:p>
          <w:p w14:paraId="55432EDF" w14:textId="77777777" w:rsidR="00B75163" w:rsidRDefault="00B75163" w:rsidP="00D9679F">
            <w:pPr>
              <w:pStyle w:val="BodyText"/>
              <w:spacing w:before="40" w:after="40" w:line="240" w:lineRule="auto"/>
              <w:rPr>
                <w:rFonts w:eastAsiaTheme="majorEastAsia" w:cstheme="minorHAnsi"/>
                <w:sz w:val="20"/>
                <w:szCs w:val="20"/>
              </w:rPr>
            </w:pPr>
            <w:r>
              <w:rPr>
                <w:rFonts w:eastAsiaTheme="majorEastAsia" w:cstheme="minorHAnsi"/>
                <w:sz w:val="20"/>
                <w:szCs w:val="20"/>
              </w:rPr>
              <w:t xml:space="preserve">~ </w:t>
            </w:r>
            <w:r w:rsidRPr="00AA303C">
              <w:rPr>
                <w:rFonts w:eastAsiaTheme="majorEastAsia" w:cstheme="minorHAnsi"/>
                <w:sz w:val="20"/>
                <w:szCs w:val="20"/>
              </w:rPr>
              <w:t>Despite restrictions and instability in Gaza and the West Bank, conflict in Syria, and economic uncertainty in Lebanon, UNRWA met or surpassed most health indicators. The 2019 target for average daily medical consultations per doctor were met in four of five jurisdictions (Jordan excepted). Through e-health innovations, agency staff – observing confidentiality – collect, store, and communicate patient data. This reduced the number of medical consultations, allowing for longer doctor/patient consultation, improved quality of care, and reduced waiting times. These reforms led to an increase in the quality of services provided and clarity on patient tracking, eliminating duplicate records and cases that did not require the attention of medical staff.</w:t>
            </w:r>
          </w:p>
          <w:p w14:paraId="0D69FD1A" w14:textId="77777777" w:rsidR="00B75163" w:rsidRDefault="00B75163" w:rsidP="00D9679F">
            <w:pPr>
              <w:pStyle w:val="BodyText"/>
              <w:spacing w:before="40" w:after="40" w:line="240" w:lineRule="auto"/>
              <w:rPr>
                <w:rFonts w:eastAsiaTheme="majorEastAsia" w:cstheme="minorHAnsi"/>
                <w:sz w:val="20"/>
                <w:szCs w:val="20"/>
              </w:rPr>
            </w:pPr>
          </w:p>
          <w:p w14:paraId="361F8AFD" w14:textId="3C0B991F" w:rsidR="00B75163" w:rsidRPr="00AA303C" w:rsidRDefault="00B75163" w:rsidP="00D9679F">
            <w:pPr>
              <w:pStyle w:val="BodyText"/>
              <w:spacing w:before="40" w:after="40" w:line="240" w:lineRule="auto"/>
              <w:rPr>
                <w:rFonts w:eastAsiaTheme="majorEastAsia" w:cstheme="minorHAnsi"/>
                <w:caps/>
                <w:sz w:val="20"/>
                <w:szCs w:val="20"/>
                <w:highlight w:val="yellow"/>
              </w:rPr>
            </w:pPr>
          </w:p>
        </w:tc>
      </w:tr>
    </w:tbl>
    <w:p w14:paraId="38850360" w14:textId="7918F58B" w:rsidR="00B75163" w:rsidRPr="00B75163" w:rsidRDefault="00B75163" w:rsidP="00B75163">
      <w:r w:rsidRPr="00AA303C">
        <w:rPr>
          <w:rFonts w:eastAsiaTheme="majorEastAsia" w:cstheme="minorHAnsi"/>
          <w:i/>
          <w:sz w:val="20"/>
          <w:szCs w:val="20"/>
        </w:rPr>
        <w:t>The PTs aid program in 2019-2020 included grant agreements with the ICRC and UNOPS. However, performance indicators were not included for these organisations this financial year as the agreements were not programmed at the time of publication of the last annual Aid Investment Plan (AIP)</w:t>
      </w:r>
    </w:p>
    <w:p w14:paraId="28FFE4D5" w14:textId="3A7513CA" w:rsidR="00390828" w:rsidRPr="00B927C4" w:rsidRDefault="004C5598" w:rsidP="00153C96">
      <w:pPr>
        <w:pStyle w:val="Heading2"/>
        <w:spacing w:before="360" w:line="300" w:lineRule="exact"/>
        <w:contextualSpacing w:val="0"/>
        <w:rPr>
          <w:sz w:val="28"/>
          <w:szCs w:val="28"/>
        </w:rPr>
      </w:pPr>
      <w:r w:rsidRPr="002A51CA">
        <w:lastRenderedPageBreak/>
        <w:tab/>
      </w:r>
      <w:r w:rsidR="00390828" w:rsidRPr="00B927C4">
        <w:rPr>
          <w:sz w:val="28"/>
          <w:szCs w:val="28"/>
        </w:rPr>
        <w:t>ANNEX A: Program Quality</w:t>
      </w:r>
    </w:p>
    <w:p w14:paraId="7BFA91E9" w14:textId="77777777" w:rsidR="00390828" w:rsidRDefault="00B927C4" w:rsidP="00390828">
      <w:pPr>
        <w:pStyle w:val="Heading3"/>
      </w:pPr>
      <w:r>
        <w:t>Investment Monitoring Report</w:t>
      </w:r>
      <w:r w:rsidR="00390828">
        <w:t xml:space="preserve"> ratings</w:t>
      </w:r>
    </w:p>
    <w:tbl>
      <w:tblPr>
        <w:tblStyle w:val="APPR"/>
        <w:tblW w:w="4359" w:type="pct"/>
        <w:tblBorders>
          <w:top w:val="single" w:sz="4" w:space="0" w:color="auto"/>
          <w:bottom w:val="single" w:sz="4" w:space="0" w:color="auto"/>
          <w:insideH w:val="single" w:sz="2" w:space="0" w:color="65C5B4" w:themeColor="accent1"/>
        </w:tblBorders>
        <w:tblLook w:val="0020" w:firstRow="1" w:lastRow="0" w:firstColumn="0" w:lastColumn="0" w:noHBand="0" w:noVBand="0"/>
      </w:tblPr>
      <w:tblGrid>
        <w:gridCol w:w="4390"/>
        <w:gridCol w:w="1131"/>
        <w:gridCol w:w="996"/>
        <w:gridCol w:w="623"/>
        <w:gridCol w:w="623"/>
        <w:gridCol w:w="639"/>
      </w:tblGrid>
      <w:tr w:rsidR="00655C26" w:rsidRPr="00812509" w14:paraId="05EA3AE2" w14:textId="77777777" w:rsidTr="00D16F93">
        <w:trPr>
          <w:cnfStyle w:val="100000000000" w:firstRow="1" w:lastRow="0" w:firstColumn="0" w:lastColumn="0" w:oddVBand="0" w:evenVBand="0" w:oddHBand="0" w:evenHBand="0" w:firstRowFirstColumn="0" w:firstRowLastColumn="0" w:lastRowFirstColumn="0" w:lastRowLastColumn="0"/>
          <w:trHeight w:val="1413"/>
        </w:trPr>
        <w:tc>
          <w:tcPr>
            <w:tcW w:w="2589" w:type="pct"/>
          </w:tcPr>
          <w:p w14:paraId="56BC87A0" w14:textId="11C29ACF" w:rsidR="00655C26" w:rsidRPr="00812509" w:rsidRDefault="00655C26" w:rsidP="00390828">
            <w:pPr>
              <w:keepLines/>
              <w:spacing w:before="80" w:after="80" w:line="200" w:lineRule="atLeast"/>
              <w:rPr>
                <w:rFonts w:asciiTheme="minorHAnsi" w:eastAsia="Times New Roman" w:hAnsiTheme="minorHAnsi"/>
                <w:b w:val="0"/>
                <w:iCs/>
                <w:szCs w:val="17"/>
                <w:lang w:eastAsia="en-US"/>
              </w:rPr>
            </w:pPr>
            <w:r w:rsidRPr="00812509">
              <w:rPr>
                <w:rFonts w:eastAsia="Times New Roman"/>
                <w:iCs/>
                <w:noProof/>
                <w:szCs w:val="17"/>
                <w:lang w:val="en-AU"/>
              </w:rPr>
              <w:drawing>
                <wp:anchor distT="0" distB="0" distL="114300" distR="114300" simplePos="0" relativeHeight="251670528" behindDoc="0" locked="0" layoutInCell="1" allowOverlap="1" wp14:anchorId="7263A948" wp14:editId="3C46124B">
                  <wp:simplePos x="0" y="0"/>
                  <wp:positionH relativeFrom="column">
                    <wp:posOffset>0</wp:posOffset>
                  </wp:positionH>
                  <wp:positionV relativeFrom="paragraph">
                    <wp:posOffset>0</wp:posOffset>
                  </wp:positionV>
                  <wp:extent cx="1857375" cy="228600"/>
                  <wp:effectExtent l="0" t="0" r="9525" b="0"/>
                  <wp:wrapNone/>
                  <wp:docPr id="48" name="Picture 48" hidden="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hidden="1"/>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57375"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AA303C">
              <w:rPr>
                <w:rFonts w:asciiTheme="minorHAnsi" w:eastAsia="Times New Roman" w:hAnsiTheme="minorHAnsi"/>
                <w:iCs/>
                <w:szCs w:val="17"/>
                <w:lang w:eastAsia="en-US"/>
              </w:rPr>
              <w:t>Investment name</w:t>
            </w:r>
          </w:p>
        </w:tc>
        <w:tc>
          <w:tcPr>
            <w:tcW w:w="657" w:type="pct"/>
            <w:textDirection w:val="btLr"/>
          </w:tcPr>
          <w:p w14:paraId="19ABDD9E" w14:textId="77777777" w:rsidR="00655C26" w:rsidRPr="00812509" w:rsidRDefault="00655C2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Approved budget and duration</w:t>
            </w:r>
          </w:p>
        </w:tc>
        <w:tc>
          <w:tcPr>
            <w:tcW w:w="577" w:type="pct"/>
            <w:textDirection w:val="btLr"/>
          </w:tcPr>
          <w:p w14:paraId="7161BDBA" w14:textId="77777777" w:rsidR="00655C26" w:rsidRPr="00812509" w:rsidRDefault="00655C2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year on year</w:t>
            </w:r>
          </w:p>
        </w:tc>
        <w:tc>
          <w:tcPr>
            <w:tcW w:w="352" w:type="pct"/>
            <w:textDirection w:val="btLr"/>
          </w:tcPr>
          <w:p w14:paraId="4DB885C6" w14:textId="77777777" w:rsidR="00655C26" w:rsidRPr="00812509" w:rsidRDefault="00655C2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Effectiveness</w:t>
            </w:r>
          </w:p>
        </w:tc>
        <w:tc>
          <w:tcPr>
            <w:tcW w:w="352" w:type="pct"/>
            <w:textDirection w:val="btLr"/>
          </w:tcPr>
          <w:p w14:paraId="3AF0EADA" w14:textId="77777777" w:rsidR="00655C26" w:rsidRPr="00812509" w:rsidRDefault="00655C2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Efficiency</w:t>
            </w:r>
          </w:p>
        </w:tc>
        <w:tc>
          <w:tcPr>
            <w:tcW w:w="356" w:type="pct"/>
            <w:textDirection w:val="btLr"/>
          </w:tcPr>
          <w:p w14:paraId="476E7294" w14:textId="77777777" w:rsidR="00655C26" w:rsidRPr="00812509" w:rsidRDefault="00655C26" w:rsidP="00390828">
            <w:pPr>
              <w:keepLines/>
              <w:spacing w:before="80" w:after="80" w:line="200" w:lineRule="atLeast"/>
              <w:rPr>
                <w:rFonts w:asciiTheme="minorHAnsi" w:eastAsia="Times New Roman" w:hAnsiTheme="minorHAnsi"/>
                <w:b w:val="0"/>
                <w:iCs/>
                <w:szCs w:val="17"/>
                <w:lang w:eastAsia="en-US"/>
              </w:rPr>
            </w:pPr>
            <w:r w:rsidRPr="00812509">
              <w:rPr>
                <w:rFonts w:asciiTheme="minorHAnsi" w:eastAsia="Times New Roman" w:hAnsiTheme="minorHAnsi"/>
                <w:iCs/>
                <w:szCs w:val="17"/>
                <w:lang w:eastAsia="en-US"/>
              </w:rPr>
              <w:t>Gender equality</w:t>
            </w:r>
          </w:p>
        </w:tc>
      </w:tr>
      <w:tr w:rsidR="00655C26" w:rsidRPr="00812509" w14:paraId="03186DCC" w14:textId="77777777" w:rsidTr="00D05586">
        <w:trPr>
          <w:cnfStyle w:val="100000000000" w:firstRow="1" w:lastRow="0" w:firstColumn="0" w:lastColumn="0" w:oddVBand="0" w:evenVBand="0" w:oddHBand="0" w:evenHBand="0" w:firstRowFirstColumn="0" w:firstRowLastColumn="0" w:lastRowFirstColumn="0" w:lastRowLastColumn="0"/>
          <w:trHeight w:val="284"/>
        </w:trPr>
        <w:tc>
          <w:tcPr>
            <w:tcW w:w="2589" w:type="pct"/>
            <w:tcBorders>
              <w:top w:val="single" w:sz="2" w:space="0" w:color="65C5B4" w:themeColor="accent1"/>
            </w:tcBorders>
          </w:tcPr>
          <w:p w14:paraId="05E19DF6" w14:textId="77777777" w:rsidR="00655C26" w:rsidRPr="00812509" w:rsidRDefault="00655C26" w:rsidP="00D05734">
            <w:pPr>
              <w:keepLines/>
              <w:spacing w:before="40" w:after="40" w:line="200" w:lineRule="atLeast"/>
              <w:rPr>
                <w:rFonts w:asciiTheme="minorHAnsi" w:eastAsia="Times New Roman" w:hAnsiTheme="minorHAnsi"/>
                <w:iCs/>
                <w:szCs w:val="17"/>
                <w:lang w:eastAsia="en-US"/>
              </w:rPr>
            </w:pPr>
            <w:r>
              <w:rPr>
                <w:rFonts w:asciiTheme="minorHAnsi" w:eastAsia="Times New Roman" w:hAnsiTheme="minorHAnsi"/>
                <w:iCs/>
                <w:szCs w:val="17"/>
                <w:lang w:eastAsia="en-US"/>
              </w:rPr>
              <w:t>Palestinian Farmers Connecting to Markets (AMENCA 3)</w:t>
            </w:r>
          </w:p>
        </w:tc>
        <w:tc>
          <w:tcPr>
            <w:tcW w:w="657" w:type="pct"/>
            <w:tcBorders>
              <w:top w:val="single" w:sz="2" w:space="0" w:color="65C5B4" w:themeColor="accent1"/>
            </w:tcBorders>
          </w:tcPr>
          <w:p w14:paraId="2A8D3A47" w14:textId="312B6687" w:rsidR="00655C26" w:rsidRPr="00812509" w:rsidRDefault="00655C26" w:rsidP="00D05586">
            <w:pPr>
              <w:autoSpaceDE w:val="0"/>
              <w:autoSpaceDN w:val="0"/>
              <w:adjustRightInd w:val="0"/>
              <w:spacing w:before="40" w:after="40" w:line="240" w:lineRule="auto"/>
              <w:rPr>
                <w:rFonts w:asciiTheme="minorHAnsi" w:eastAsia="Times New Roman" w:hAnsiTheme="minorHAnsi"/>
                <w:iCs/>
                <w:szCs w:val="17"/>
                <w:lang w:eastAsia="en-US"/>
              </w:rPr>
            </w:pPr>
            <w:r w:rsidRPr="00812509">
              <w:rPr>
                <w:rFonts w:asciiTheme="minorHAnsi" w:hAnsiTheme="minorHAnsi" w:cs="Franklin Gothic Book"/>
                <w:color w:val="000000"/>
                <w:szCs w:val="17"/>
              </w:rPr>
              <w:t>$</w:t>
            </w:r>
            <w:r>
              <w:rPr>
                <w:rFonts w:asciiTheme="minorHAnsi" w:hAnsiTheme="minorHAnsi" w:cs="Franklin Gothic Book"/>
                <w:color w:val="000000"/>
                <w:szCs w:val="17"/>
              </w:rPr>
              <w:t>3</w:t>
            </w:r>
            <w:r w:rsidRPr="00812509">
              <w:rPr>
                <w:rFonts w:asciiTheme="minorHAnsi" w:hAnsiTheme="minorHAnsi" w:cs="Franklin Gothic Book"/>
                <w:color w:val="000000"/>
                <w:szCs w:val="17"/>
              </w:rPr>
              <w:t xml:space="preserve">1m </w:t>
            </w:r>
          </w:p>
        </w:tc>
        <w:tc>
          <w:tcPr>
            <w:tcW w:w="577" w:type="pct"/>
            <w:tcBorders>
              <w:top w:val="single" w:sz="2" w:space="0" w:color="65C5B4" w:themeColor="accent1"/>
            </w:tcBorders>
          </w:tcPr>
          <w:p w14:paraId="61BC4DD9" w14:textId="2CFF49BB" w:rsidR="00655C26" w:rsidRPr="00812509" w:rsidRDefault="00655C26" w:rsidP="00655C26">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 xml:space="preserve">19 </w:t>
            </w:r>
            <w:r w:rsidRPr="00812509">
              <w:rPr>
                <w:rFonts w:asciiTheme="minorHAnsi" w:eastAsia="Times New Roman" w:hAnsiTheme="minorHAnsi"/>
                <w:iCs/>
                <w:szCs w:val="17"/>
                <w:lang w:eastAsia="en-US"/>
              </w:rPr>
              <w:t>AQC</w:t>
            </w:r>
          </w:p>
        </w:tc>
        <w:tc>
          <w:tcPr>
            <w:tcW w:w="352" w:type="pct"/>
            <w:tcBorders>
              <w:top w:val="single" w:sz="2" w:space="0" w:color="65C5B4" w:themeColor="accent1"/>
            </w:tcBorders>
            <w:shd w:val="clear" w:color="auto" w:fill="auto"/>
            <w:noWrap/>
          </w:tcPr>
          <w:p w14:paraId="10037B0A" w14:textId="77777777" w:rsidR="00655C26" w:rsidRPr="00812509" w:rsidRDefault="00655C26"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2" w:type="pct"/>
            <w:tcBorders>
              <w:top w:val="single" w:sz="2" w:space="0" w:color="65C5B4" w:themeColor="accent1"/>
            </w:tcBorders>
            <w:shd w:val="clear" w:color="auto" w:fill="auto"/>
            <w:noWrap/>
          </w:tcPr>
          <w:p w14:paraId="7093F61D" w14:textId="39E6EDE4" w:rsidR="00655C26" w:rsidRPr="00812509" w:rsidRDefault="00655C26"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c>
          <w:tcPr>
            <w:tcW w:w="356" w:type="pct"/>
            <w:tcBorders>
              <w:top w:val="single" w:sz="2" w:space="0" w:color="65C5B4" w:themeColor="accent1"/>
            </w:tcBorders>
            <w:shd w:val="clear" w:color="auto" w:fill="auto"/>
            <w:noWrap/>
          </w:tcPr>
          <w:p w14:paraId="77559B50" w14:textId="3910FDD7" w:rsidR="00655C26" w:rsidRPr="00812509" w:rsidRDefault="00655C26" w:rsidP="00390828">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4</w:t>
            </w:r>
          </w:p>
        </w:tc>
      </w:tr>
      <w:tr w:rsidR="00655C26" w:rsidRPr="00812509" w14:paraId="5BB4BAE2" w14:textId="77777777" w:rsidTr="00D05586">
        <w:trPr>
          <w:cnfStyle w:val="100000000000" w:firstRow="1" w:lastRow="0" w:firstColumn="0" w:lastColumn="0" w:oddVBand="0" w:evenVBand="0" w:oddHBand="0" w:evenHBand="0" w:firstRowFirstColumn="0" w:firstRowLastColumn="0" w:lastRowFirstColumn="0" w:lastRowLastColumn="0"/>
          <w:trHeight w:val="284"/>
        </w:trPr>
        <w:tc>
          <w:tcPr>
            <w:tcW w:w="2589" w:type="pct"/>
            <w:tcBorders>
              <w:top w:val="nil"/>
            </w:tcBorders>
          </w:tcPr>
          <w:p w14:paraId="5B38D298" w14:textId="77777777" w:rsidR="00655C26" w:rsidRPr="00812509" w:rsidRDefault="00655C26" w:rsidP="00655C26">
            <w:pPr>
              <w:keepLines/>
              <w:spacing w:before="40" w:after="40" w:line="200" w:lineRule="atLeast"/>
              <w:rPr>
                <w:rFonts w:asciiTheme="minorHAnsi" w:eastAsia="Times New Roman" w:hAnsiTheme="minorHAnsi"/>
                <w:iCs/>
                <w:szCs w:val="17"/>
                <w:lang w:eastAsia="en-US"/>
              </w:rPr>
            </w:pPr>
          </w:p>
        </w:tc>
        <w:tc>
          <w:tcPr>
            <w:tcW w:w="657" w:type="pct"/>
            <w:tcBorders>
              <w:top w:val="nil"/>
            </w:tcBorders>
          </w:tcPr>
          <w:p w14:paraId="2DF406DC" w14:textId="1B51EE30" w:rsidR="00655C26" w:rsidRPr="00812509" w:rsidRDefault="00D05586" w:rsidP="00655C26">
            <w:pPr>
              <w:keepLines/>
              <w:spacing w:before="40" w:after="40" w:line="240" w:lineRule="auto"/>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201</w:t>
            </w:r>
            <w:r>
              <w:rPr>
                <w:rFonts w:asciiTheme="minorHAnsi" w:eastAsia="Times New Roman" w:hAnsiTheme="minorHAnsi"/>
                <w:iCs/>
                <w:szCs w:val="17"/>
                <w:lang w:eastAsia="en-US"/>
              </w:rPr>
              <w:t>6-2021</w:t>
            </w:r>
          </w:p>
        </w:tc>
        <w:tc>
          <w:tcPr>
            <w:tcW w:w="577" w:type="pct"/>
          </w:tcPr>
          <w:p w14:paraId="05B7F726" w14:textId="4D6A5D80" w:rsidR="00655C26" w:rsidRPr="00812509" w:rsidRDefault="00655C26" w:rsidP="00655C26">
            <w:pPr>
              <w:keepLines/>
              <w:spacing w:before="40" w:after="40" w:line="200" w:lineRule="atLeast"/>
              <w:rPr>
                <w:rFonts w:asciiTheme="minorHAnsi" w:eastAsia="Times New Roman" w:hAnsiTheme="minorHAnsi"/>
                <w:iCs/>
                <w:szCs w:val="17"/>
                <w:lang w:eastAsia="en-US"/>
              </w:rPr>
            </w:pPr>
            <w:r w:rsidRPr="00812509">
              <w:rPr>
                <w:rFonts w:asciiTheme="minorHAnsi" w:eastAsia="Times New Roman" w:hAnsiTheme="minorHAnsi"/>
                <w:iCs/>
                <w:szCs w:val="17"/>
                <w:lang w:eastAsia="en-US"/>
              </w:rPr>
              <w:t>20</w:t>
            </w:r>
            <w:r>
              <w:rPr>
                <w:rFonts w:asciiTheme="minorHAnsi" w:eastAsia="Times New Roman" w:hAnsiTheme="minorHAnsi"/>
                <w:iCs/>
                <w:szCs w:val="17"/>
                <w:lang w:eastAsia="en-US"/>
              </w:rPr>
              <w:t xml:space="preserve">20 </w:t>
            </w:r>
            <w:r w:rsidRPr="00812509">
              <w:rPr>
                <w:rFonts w:asciiTheme="minorHAnsi" w:eastAsia="Times New Roman" w:hAnsiTheme="minorHAnsi"/>
                <w:iCs/>
                <w:szCs w:val="17"/>
                <w:lang w:eastAsia="en-US"/>
              </w:rPr>
              <w:t>AQC</w:t>
            </w:r>
          </w:p>
        </w:tc>
        <w:tc>
          <w:tcPr>
            <w:tcW w:w="352" w:type="pct"/>
            <w:shd w:val="clear" w:color="auto" w:fill="auto"/>
            <w:noWrap/>
          </w:tcPr>
          <w:p w14:paraId="7D911C61" w14:textId="660BBFDF" w:rsidR="00655C26" w:rsidRPr="00812509" w:rsidRDefault="00655C26" w:rsidP="00655C2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2" w:type="pct"/>
            <w:shd w:val="clear" w:color="auto" w:fill="auto"/>
            <w:noWrap/>
          </w:tcPr>
          <w:p w14:paraId="42FAC28E" w14:textId="6BCCCBBD" w:rsidR="00655C26" w:rsidRPr="00812509" w:rsidRDefault="00655C26" w:rsidP="00655C2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c>
          <w:tcPr>
            <w:tcW w:w="356" w:type="pct"/>
            <w:shd w:val="clear" w:color="auto" w:fill="auto"/>
            <w:noWrap/>
          </w:tcPr>
          <w:p w14:paraId="29068B3E" w14:textId="2AB109EC" w:rsidR="00655C26" w:rsidRPr="00812509" w:rsidRDefault="00655C26" w:rsidP="00655C26">
            <w:pPr>
              <w:keepLines/>
              <w:spacing w:before="40" w:after="40" w:line="200" w:lineRule="atLeast"/>
              <w:jc w:val="center"/>
              <w:rPr>
                <w:rFonts w:asciiTheme="minorHAnsi" w:eastAsia="Times New Roman" w:hAnsiTheme="minorHAnsi"/>
                <w:iCs/>
                <w:szCs w:val="17"/>
                <w:lang w:eastAsia="en-US"/>
              </w:rPr>
            </w:pPr>
            <w:r>
              <w:rPr>
                <w:rFonts w:asciiTheme="minorHAnsi" w:eastAsia="Times New Roman" w:hAnsiTheme="minorHAnsi"/>
                <w:iCs/>
                <w:szCs w:val="17"/>
                <w:lang w:eastAsia="en-US"/>
              </w:rPr>
              <w:t>5</w:t>
            </w:r>
          </w:p>
        </w:tc>
      </w:tr>
      <w:tr w:rsidR="00655C26" w:rsidRPr="00812509" w14:paraId="50275787" w14:textId="77777777" w:rsidTr="00D16F93">
        <w:trPr>
          <w:cnfStyle w:val="100000000000" w:firstRow="1" w:lastRow="0" w:firstColumn="0" w:lastColumn="0" w:oddVBand="0" w:evenVBand="0" w:oddHBand="0" w:evenHBand="0" w:firstRowFirstColumn="0" w:firstRowLastColumn="0" w:lastRowFirstColumn="0" w:lastRowLastColumn="0"/>
          <w:trHeight w:val="66"/>
        </w:trPr>
        <w:tc>
          <w:tcPr>
            <w:tcW w:w="2589" w:type="pct"/>
          </w:tcPr>
          <w:p w14:paraId="3F725E9F" w14:textId="77777777" w:rsidR="00655C26" w:rsidRPr="00812509" w:rsidRDefault="00655C26" w:rsidP="00655C26">
            <w:pPr>
              <w:keepLines/>
              <w:spacing w:before="40" w:after="40" w:line="200" w:lineRule="atLeast"/>
              <w:rPr>
                <w:rFonts w:eastAsia="Times New Roman"/>
                <w:iCs/>
                <w:szCs w:val="17"/>
              </w:rPr>
            </w:pPr>
          </w:p>
        </w:tc>
        <w:tc>
          <w:tcPr>
            <w:tcW w:w="657" w:type="pct"/>
          </w:tcPr>
          <w:p w14:paraId="21A4D088" w14:textId="77777777" w:rsidR="00655C26" w:rsidRPr="00812509" w:rsidRDefault="00655C26" w:rsidP="00655C26">
            <w:pPr>
              <w:autoSpaceDE w:val="0"/>
              <w:autoSpaceDN w:val="0"/>
              <w:adjustRightInd w:val="0"/>
              <w:spacing w:before="40" w:after="40" w:line="240" w:lineRule="auto"/>
              <w:rPr>
                <w:rFonts w:cs="Franklin Gothic Book"/>
                <w:color w:val="000000"/>
                <w:szCs w:val="17"/>
              </w:rPr>
            </w:pPr>
          </w:p>
        </w:tc>
        <w:tc>
          <w:tcPr>
            <w:tcW w:w="577" w:type="pct"/>
          </w:tcPr>
          <w:p w14:paraId="4AE0B1EB" w14:textId="77777777" w:rsidR="00655C26" w:rsidRDefault="00655C26" w:rsidP="00655C26">
            <w:pPr>
              <w:keepLines/>
              <w:spacing w:before="40" w:after="40" w:line="200" w:lineRule="atLeast"/>
              <w:rPr>
                <w:rFonts w:eastAsia="Times New Roman"/>
                <w:iCs/>
                <w:szCs w:val="17"/>
              </w:rPr>
            </w:pPr>
          </w:p>
        </w:tc>
        <w:tc>
          <w:tcPr>
            <w:tcW w:w="352" w:type="pct"/>
            <w:shd w:val="clear" w:color="auto" w:fill="auto"/>
            <w:noWrap/>
          </w:tcPr>
          <w:p w14:paraId="29166D46" w14:textId="77777777" w:rsidR="00655C26" w:rsidRPr="00812509" w:rsidRDefault="00655C26" w:rsidP="00655C26">
            <w:pPr>
              <w:keepLines/>
              <w:spacing w:before="40" w:after="40" w:line="200" w:lineRule="atLeast"/>
              <w:jc w:val="center"/>
              <w:rPr>
                <w:rFonts w:eastAsia="Times New Roman"/>
                <w:iCs/>
                <w:szCs w:val="17"/>
              </w:rPr>
            </w:pPr>
          </w:p>
        </w:tc>
        <w:tc>
          <w:tcPr>
            <w:tcW w:w="352" w:type="pct"/>
            <w:shd w:val="clear" w:color="auto" w:fill="auto"/>
            <w:noWrap/>
          </w:tcPr>
          <w:p w14:paraId="5C6AD54B" w14:textId="77777777" w:rsidR="00655C26" w:rsidRPr="00812509" w:rsidRDefault="00655C26" w:rsidP="00655C26">
            <w:pPr>
              <w:keepLines/>
              <w:spacing w:before="40" w:after="40" w:line="200" w:lineRule="atLeast"/>
              <w:jc w:val="center"/>
              <w:rPr>
                <w:rFonts w:eastAsia="Times New Roman"/>
                <w:iCs/>
                <w:szCs w:val="17"/>
              </w:rPr>
            </w:pPr>
          </w:p>
        </w:tc>
        <w:tc>
          <w:tcPr>
            <w:tcW w:w="356" w:type="pct"/>
            <w:shd w:val="clear" w:color="auto" w:fill="auto"/>
            <w:noWrap/>
          </w:tcPr>
          <w:p w14:paraId="0985874D" w14:textId="77777777" w:rsidR="00655C26" w:rsidRPr="00812509" w:rsidRDefault="00655C26" w:rsidP="00655C26">
            <w:pPr>
              <w:keepLines/>
              <w:spacing w:before="40" w:after="40" w:line="200" w:lineRule="atLeast"/>
              <w:jc w:val="center"/>
              <w:rPr>
                <w:rFonts w:eastAsia="Times New Roman"/>
                <w:iCs/>
                <w:szCs w:val="17"/>
              </w:rPr>
            </w:pPr>
          </w:p>
        </w:tc>
      </w:tr>
    </w:tbl>
    <w:p w14:paraId="41B7D52E" w14:textId="77777777" w:rsidR="00D86CBA" w:rsidRDefault="00D86CBA" w:rsidP="00390828">
      <w:pPr>
        <w:spacing w:before="20" w:after="20" w:line="180" w:lineRule="atLeast"/>
        <w:jc w:val="both"/>
        <w:rPr>
          <w:rFonts w:eastAsia="Times New Roman"/>
          <w:b/>
          <w:sz w:val="16"/>
          <w:szCs w:val="14"/>
        </w:rPr>
      </w:pPr>
    </w:p>
    <w:p w14:paraId="62B5315B" w14:textId="12EDA3F6" w:rsidR="00390828" w:rsidRPr="00812509" w:rsidRDefault="00390828" w:rsidP="00390828">
      <w:pPr>
        <w:spacing w:before="20" w:after="20" w:line="180" w:lineRule="atLeast"/>
        <w:jc w:val="both"/>
        <w:rPr>
          <w:rFonts w:eastAsia="Times New Roman"/>
          <w:b/>
          <w:sz w:val="16"/>
          <w:szCs w:val="14"/>
        </w:rPr>
      </w:pPr>
      <w:r w:rsidRPr="00812509">
        <w:rPr>
          <w:rFonts w:eastAsia="Times New Roman"/>
          <w:b/>
          <w:sz w:val="16"/>
          <w:szCs w:val="14"/>
        </w:rPr>
        <w:t>Definitions of rating scale:</w:t>
      </w:r>
      <w:r w:rsidRPr="00812509">
        <w:rPr>
          <w:rFonts w:eastAsia="Times New Roman"/>
          <w:b/>
          <w:sz w:val="16"/>
          <w:szCs w:val="14"/>
        </w:rPr>
        <w:tab/>
      </w:r>
    </w:p>
    <w:p w14:paraId="5C334A1F" w14:textId="77777777" w:rsidR="00390828" w:rsidRPr="00B927C4" w:rsidRDefault="00390828" w:rsidP="00390828">
      <w:pPr>
        <w:spacing w:before="20" w:after="20" w:line="180" w:lineRule="atLeast"/>
        <w:jc w:val="both"/>
        <w:rPr>
          <w:rFonts w:eastAsia="Times New Roman"/>
          <w:b/>
          <w:sz w:val="16"/>
          <w:szCs w:val="14"/>
          <w:u w:val="single"/>
        </w:rPr>
      </w:pPr>
      <w:r w:rsidRPr="00B927C4">
        <w:rPr>
          <w:rFonts w:eastAsia="Times New Roman"/>
          <w:b/>
          <w:sz w:val="16"/>
          <w:szCs w:val="14"/>
          <w:u w:val="single"/>
        </w:rPr>
        <w:t>Satisfactory (4, 5 and 6)</w:t>
      </w:r>
    </w:p>
    <w:p w14:paraId="36AF794E"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6 = Very good; satisfies criteria in all areas.  5 = Good; satisfies criteria in almost all areas.</w:t>
      </w:r>
    </w:p>
    <w:p w14:paraId="04CD6A59"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sz w:val="16"/>
          <w:szCs w:val="14"/>
        </w:rPr>
        <w:t>4 = Adequate; on balance, satisfies criteria; does not fail in any major area.</w:t>
      </w:r>
    </w:p>
    <w:p w14:paraId="577596F9" w14:textId="77777777" w:rsidR="00390828" w:rsidRPr="00B927C4" w:rsidRDefault="00390828" w:rsidP="00390828">
      <w:pPr>
        <w:spacing w:before="20" w:after="20" w:line="180" w:lineRule="atLeast"/>
        <w:rPr>
          <w:rFonts w:eastAsia="Times New Roman"/>
          <w:b/>
          <w:sz w:val="16"/>
          <w:szCs w:val="14"/>
          <w:u w:val="single"/>
        </w:rPr>
      </w:pPr>
      <w:r w:rsidRPr="00B927C4">
        <w:rPr>
          <w:rFonts w:eastAsia="Times New Roman"/>
          <w:b/>
          <w:sz w:val="16"/>
          <w:szCs w:val="14"/>
          <w:u w:val="single"/>
        </w:rPr>
        <w:t>Less than satisfactory (1, 2 and 3)</w:t>
      </w:r>
    </w:p>
    <w:p w14:paraId="552DA29A" w14:textId="77777777" w:rsidR="00390828" w:rsidRPr="00812509" w:rsidRDefault="00390828" w:rsidP="00390828">
      <w:pPr>
        <w:spacing w:before="20" w:after="20" w:line="180" w:lineRule="atLeast"/>
        <w:rPr>
          <w:rFonts w:eastAsia="Times New Roman"/>
          <w:b/>
          <w:sz w:val="16"/>
          <w:szCs w:val="14"/>
        </w:rPr>
      </w:pPr>
      <w:r w:rsidRPr="00812509">
        <w:rPr>
          <w:rFonts w:eastAsia="Times New Roman"/>
          <w:b/>
          <w:color w:val="E36C0A"/>
          <w:sz w:val="16"/>
          <w:szCs w:val="14"/>
        </w:rPr>
        <w:t xml:space="preserve"> </w:t>
      </w:r>
      <w:r w:rsidRPr="00812509">
        <w:rPr>
          <w:rFonts w:eastAsia="Times New Roman"/>
          <w:b/>
          <w:sz w:val="16"/>
          <w:szCs w:val="14"/>
        </w:rPr>
        <w:t>3 = Less than adequate; on balance does not satisfy criteria and/or fails in at least one major area.</w:t>
      </w:r>
    </w:p>
    <w:p w14:paraId="52C3C71C" w14:textId="77777777" w:rsidR="00390828" w:rsidRPr="00812509" w:rsidRDefault="00390828" w:rsidP="00390828">
      <w:pPr>
        <w:spacing w:before="20" w:after="20" w:line="180" w:lineRule="atLeast"/>
        <w:rPr>
          <w:sz w:val="24"/>
        </w:rPr>
      </w:pPr>
      <w:r w:rsidRPr="00812509">
        <w:rPr>
          <w:rFonts w:eastAsia="Times New Roman"/>
          <w:b/>
          <w:sz w:val="16"/>
          <w:szCs w:val="14"/>
        </w:rPr>
        <w:t xml:space="preserve"> 2 = Poor; does not satisfy criteria in major areas.  1 = Very poor; does </w:t>
      </w:r>
      <w:bookmarkStart w:id="0" w:name="_GoBack"/>
      <w:bookmarkEnd w:id="0"/>
      <w:r w:rsidRPr="00812509">
        <w:rPr>
          <w:rFonts w:eastAsia="Times New Roman"/>
          <w:b/>
          <w:sz w:val="16"/>
          <w:szCs w:val="14"/>
        </w:rPr>
        <w:t>not satisfy criteria in many major area.</w:t>
      </w:r>
    </w:p>
    <w:sectPr w:rsidR="00390828" w:rsidRPr="00812509" w:rsidSect="00EC3C2D">
      <w:headerReference w:type="even" r:id="rId21"/>
      <w:headerReference w:type="default" r:id="rId22"/>
      <w:headerReference w:type="first" r:id="rId23"/>
      <w:footerReference w:type="first" r:id="rId24"/>
      <w:pgSz w:w="11906" w:h="16838" w:code="9"/>
      <w:pgMar w:top="1701" w:right="1134" w:bottom="1418" w:left="1134" w:header="425" w:footer="493" w:gutter="0"/>
      <w:cols w:space="39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B38D36" w14:textId="77777777" w:rsidR="0004636A" w:rsidRDefault="0004636A" w:rsidP="00D37B04">
      <w:r>
        <w:separator/>
      </w:r>
    </w:p>
  </w:endnote>
  <w:endnote w:type="continuationSeparator" w:id="0">
    <w:p w14:paraId="560E8DA2" w14:textId="77777777" w:rsidR="0004636A" w:rsidRDefault="0004636A" w:rsidP="00D37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C2E6F4" w14:textId="77777777" w:rsidR="00230777" w:rsidRPr="00FC322F" w:rsidRDefault="00230777" w:rsidP="00FC322F">
    <w:pPr>
      <w:pStyle w:val="Footer"/>
      <w:rPr>
        <w:b/>
      </w:rPr>
    </w:pPr>
    <w:r w:rsidRPr="00FC322F">
      <w:rPr>
        <w:b/>
        <w:noProof/>
        <w:lang w:val="en-AU" w:eastAsia="en-AU"/>
      </w:rPr>
      <w:drawing>
        <wp:inline distT="0" distB="0" distL="0" distR="0" wp14:anchorId="7A307E49" wp14:editId="3169AF74">
          <wp:extent cx="108000" cy="87480"/>
          <wp:effectExtent l="0" t="0" r="6350" b="8255"/>
          <wp:docPr id="9" name="Picture 9"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51938935"/>
      <w:docPartObj>
        <w:docPartGallery w:val="Page Numbers (Bottom of Page)"/>
        <w:docPartUnique/>
      </w:docPartObj>
    </w:sdtPr>
    <w:sdtEndPr>
      <w:rPr>
        <w:noProof/>
      </w:rPr>
    </w:sdtEndPr>
    <w:sdtContent>
      <w:p w14:paraId="1FE0B675" w14:textId="1CB9B96D" w:rsidR="000750D1" w:rsidRDefault="000750D1">
        <w:pPr>
          <w:pStyle w:val="Footer"/>
          <w:jc w:val="center"/>
        </w:pPr>
        <w:r>
          <w:fldChar w:fldCharType="begin"/>
        </w:r>
        <w:r>
          <w:instrText xml:space="preserve"> PAGE   \* MERGEFORMAT </w:instrText>
        </w:r>
        <w:r>
          <w:fldChar w:fldCharType="separate"/>
        </w:r>
        <w:r w:rsidR="00E07ADA">
          <w:rPr>
            <w:noProof/>
          </w:rPr>
          <w:t>1</w:t>
        </w:r>
        <w:r>
          <w:rPr>
            <w:noProof/>
          </w:rPr>
          <w:fldChar w:fldCharType="end"/>
        </w:r>
      </w:p>
    </w:sdtContent>
  </w:sdt>
  <w:p w14:paraId="3E12937F" w14:textId="7DC23E65" w:rsidR="00230777" w:rsidRPr="00FC322F" w:rsidRDefault="00230777" w:rsidP="00FC322F">
    <w:pPr>
      <w:pStyle w:val="Footer"/>
      <w:rPr>
        <w: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05597927"/>
      <w:docPartObj>
        <w:docPartGallery w:val="Page Numbers (Bottom of Page)"/>
        <w:docPartUnique/>
      </w:docPartObj>
    </w:sdtPr>
    <w:sdtEndPr>
      <w:rPr>
        <w:noProof/>
      </w:rPr>
    </w:sdtEndPr>
    <w:sdtContent>
      <w:p w14:paraId="790E8E80" w14:textId="31FD0FCA" w:rsidR="000750D1" w:rsidRDefault="000750D1">
        <w:pPr>
          <w:pStyle w:val="Footer"/>
          <w:jc w:val="center"/>
        </w:pPr>
        <w:r>
          <w:fldChar w:fldCharType="begin"/>
        </w:r>
        <w:r>
          <w:instrText xml:space="preserve"> PAGE   \* MERGEFORMAT </w:instrText>
        </w:r>
        <w:r>
          <w:fldChar w:fldCharType="separate"/>
        </w:r>
        <w:r w:rsidR="00E07ADA">
          <w:rPr>
            <w:noProof/>
          </w:rPr>
          <w:t>3</w:t>
        </w:r>
        <w:r>
          <w:rPr>
            <w:noProof/>
          </w:rPr>
          <w:fldChar w:fldCharType="end"/>
        </w:r>
      </w:p>
    </w:sdtContent>
  </w:sdt>
  <w:p w14:paraId="5D969A79" w14:textId="1F82D413" w:rsidR="00FC322F" w:rsidRPr="00FC322F" w:rsidRDefault="00FC322F" w:rsidP="00FC322F">
    <w:pPr>
      <w:pStyle w:val="Footer"/>
      <w:rPr>
        <w: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F61709" w14:textId="77777777" w:rsidR="00FC322F" w:rsidRPr="00FC322F" w:rsidRDefault="00FC322F" w:rsidP="00FC322F">
    <w:pPr>
      <w:pStyle w:val="Footer"/>
      <w:rPr>
        <w:b/>
      </w:rPr>
    </w:pPr>
    <w:r w:rsidRPr="00FC322F">
      <w:rPr>
        <w:b/>
        <w:noProof/>
        <w:lang w:val="en-AU" w:eastAsia="en-AU"/>
      </w:rPr>
      <w:drawing>
        <wp:inline distT="0" distB="0" distL="0" distR="0" wp14:anchorId="282863B9" wp14:editId="30868447">
          <wp:extent cx="108000" cy="87480"/>
          <wp:effectExtent l="0" t="0" r="6350" b="8255"/>
          <wp:docPr id="45" name="Picture 45" descr="Twitter" title="Twit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con-2-Twitter.png"/>
                  <pic:cNvPicPr/>
                </pic:nvPicPr>
                <pic:blipFill>
                  <a:blip r:embed="rId1">
                    <a:extLst>
                      <a:ext uri="{28A0092B-C50C-407E-A947-70E740481C1C}">
                        <a14:useLocalDpi xmlns:a14="http://schemas.microsoft.com/office/drawing/2010/main" val="0"/>
                      </a:ext>
                    </a:extLst>
                  </a:blip>
                  <a:stretch>
                    <a:fillRect/>
                  </a:stretch>
                </pic:blipFill>
                <pic:spPr>
                  <a:xfrm>
                    <a:off x="0" y="0"/>
                    <a:ext cx="108000" cy="87480"/>
                  </a:xfrm>
                  <a:prstGeom prst="rect">
                    <a:avLst/>
                  </a:prstGeom>
                </pic:spPr>
              </pic:pic>
            </a:graphicData>
          </a:graphic>
        </wp:inline>
      </w:drawing>
    </w:r>
    <w:r w:rsidRPr="00FC322F">
      <w:rPr>
        <w:b/>
      </w:rPr>
      <w:t xml:space="preserve">@DFAT  </w:t>
    </w:r>
    <w:r w:rsidRPr="00FC322F">
      <w:rPr>
        <w:rStyle w:val="Green"/>
        <w:b/>
      </w:rPr>
      <w:t>DFAT.GOV.AU</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88147822"/>
      <w:docPartObj>
        <w:docPartGallery w:val="Page Numbers (Bottom of Page)"/>
        <w:docPartUnique/>
      </w:docPartObj>
    </w:sdtPr>
    <w:sdtEndPr>
      <w:rPr>
        <w:noProof/>
      </w:rPr>
    </w:sdtEndPr>
    <w:sdtContent>
      <w:p w14:paraId="11177F8B" w14:textId="77E8BE98" w:rsidR="000750D1" w:rsidRDefault="000750D1">
        <w:pPr>
          <w:pStyle w:val="Footer"/>
          <w:jc w:val="center"/>
        </w:pPr>
        <w:r>
          <w:fldChar w:fldCharType="begin"/>
        </w:r>
        <w:r>
          <w:instrText xml:space="preserve"> PAGE   \* MERGEFORMAT </w:instrText>
        </w:r>
        <w:r>
          <w:fldChar w:fldCharType="separate"/>
        </w:r>
        <w:r w:rsidR="00E07ADA">
          <w:rPr>
            <w:noProof/>
          </w:rPr>
          <w:t>2</w:t>
        </w:r>
        <w:r>
          <w:rPr>
            <w:noProof/>
          </w:rPr>
          <w:fldChar w:fldCharType="end"/>
        </w:r>
      </w:p>
    </w:sdtContent>
  </w:sdt>
  <w:p w14:paraId="44461877" w14:textId="465DA1DD" w:rsidR="00B637DD" w:rsidRPr="00EC3C2D" w:rsidRDefault="00B637DD" w:rsidP="00EC3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A4BD01" w14:textId="77777777" w:rsidR="0004636A" w:rsidRPr="008C5A0E" w:rsidRDefault="0004636A" w:rsidP="00D37B04">
      <w:pPr>
        <w:pStyle w:val="Footer"/>
      </w:pPr>
    </w:p>
  </w:footnote>
  <w:footnote w:type="continuationSeparator" w:id="0">
    <w:p w14:paraId="2D397DE3" w14:textId="77777777" w:rsidR="0004636A" w:rsidRDefault="0004636A" w:rsidP="00D37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B2C82" w14:textId="77777777" w:rsidR="00230777" w:rsidRPr="000854FD" w:rsidRDefault="00230777" w:rsidP="002D5B25">
    <w:pPr>
      <w:pStyle w:val="Header"/>
    </w:pPr>
    <w:r w:rsidRPr="00943730">
      <w:rPr>
        <w:noProof/>
        <w:lang w:val="en-AU" w:eastAsia="en-AU"/>
      </w:rPr>
      <w:drawing>
        <wp:anchor distT="0" distB="0" distL="114300" distR="114300" simplePos="0" relativeHeight="251668480" behindDoc="1" locked="1" layoutInCell="1" allowOverlap="1" wp14:anchorId="6354DFE3" wp14:editId="6738A701">
          <wp:simplePos x="0" y="0"/>
          <wp:positionH relativeFrom="page">
            <wp:posOffset>12700</wp:posOffset>
          </wp:positionH>
          <wp:positionV relativeFrom="page">
            <wp:posOffset>0</wp:posOffset>
          </wp:positionV>
          <wp:extent cx="7559040" cy="1069276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4A9362" w14:textId="77777777" w:rsidR="00230777" w:rsidRPr="00943730" w:rsidRDefault="00230777" w:rsidP="0090092E">
    <w:pPr>
      <w:pStyle w:val="Header"/>
      <w:ind w:left="0"/>
    </w:pPr>
    <w:r w:rsidRPr="00252C04">
      <w:rPr>
        <w:noProof/>
        <w:lang w:val="en-AU" w:eastAsia="en-AU"/>
      </w:rPr>
      <w:drawing>
        <wp:anchor distT="0" distB="0" distL="114300" distR="114300" simplePos="0" relativeHeight="251669504" behindDoc="1" locked="1" layoutInCell="1" allowOverlap="1" wp14:anchorId="3E7CD593" wp14:editId="036BB074">
          <wp:simplePos x="0" y="0"/>
          <wp:positionH relativeFrom="page">
            <wp:posOffset>5699125</wp:posOffset>
          </wp:positionH>
          <wp:positionV relativeFrom="topMargin">
            <wp:align>bottom</wp:align>
          </wp:positionV>
          <wp:extent cx="1115060" cy="512445"/>
          <wp:effectExtent l="0" t="0" r="8890" b="1905"/>
          <wp:wrapNone/>
          <wp:docPr id="10" name="Pictur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7456" behindDoc="1" locked="1" layoutInCell="1" allowOverlap="1" wp14:anchorId="471BC554" wp14:editId="555CF282">
          <wp:simplePos x="0" y="0"/>
          <wp:positionH relativeFrom="page">
            <wp:posOffset>713740</wp:posOffset>
          </wp:positionH>
          <wp:positionV relativeFrom="topMargin">
            <wp:align>bottom</wp:align>
          </wp:positionV>
          <wp:extent cx="3166745" cy="554355"/>
          <wp:effectExtent l="0" t="0" r="0" b="0"/>
          <wp:wrapNone/>
          <wp:docPr id="11" name="Pictur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66432" behindDoc="1" locked="1" layoutInCell="1" allowOverlap="1" wp14:anchorId="07AA4F17" wp14:editId="69D0510C">
          <wp:simplePos x="0" y="0"/>
          <wp:positionH relativeFrom="page">
            <wp:posOffset>12700</wp:posOffset>
          </wp:positionH>
          <wp:positionV relativeFrom="page">
            <wp:posOffset>-68580</wp:posOffset>
          </wp:positionV>
          <wp:extent cx="7559040" cy="10692130"/>
          <wp:effectExtent l="0" t="0" r="3810" b="0"/>
          <wp:wrapNone/>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755904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A003A2" w14:textId="77777777" w:rsidR="002D5B25" w:rsidRPr="000854FD" w:rsidRDefault="002D5B25" w:rsidP="002D5B25">
    <w:pPr>
      <w:pStyle w:val="Header"/>
    </w:pPr>
    <w:r w:rsidRPr="00943730">
      <w:rPr>
        <w:noProof/>
        <w:lang w:val="en-AU" w:eastAsia="en-AU"/>
      </w:rPr>
      <w:drawing>
        <wp:anchor distT="0" distB="0" distL="114300" distR="114300" simplePos="0" relativeHeight="251662336" behindDoc="1" locked="1" layoutInCell="1" allowOverlap="1" wp14:anchorId="435EB67D" wp14:editId="77C221CE">
          <wp:simplePos x="0" y="0"/>
          <wp:positionH relativeFrom="page">
            <wp:posOffset>12700</wp:posOffset>
          </wp:positionH>
          <wp:positionV relativeFrom="page">
            <wp:posOffset>0</wp:posOffset>
          </wp:positionV>
          <wp:extent cx="7559040" cy="10692765"/>
          <wp:effectExtent l="0" t="0" r="3810" b="0"/>
          <wp:wrapNone/>
          <wp:docPr id="40" name="Picture 4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9040" cy="10692765"/>
                  </a:xfrm>
                  <a:prstGeom prst="rect">
                    <a:avLst/>
                  </a:prstGeom>
                </pic:spPr>
              </pic:pic>
            </a:graphicData>
          </a:graphic>
          <wp14:sizeRelH relativeFrom="margin">
            <wp14:pctWidth>0</wp14:pctWidth>
          </wp14:sizeRelH>
          <wp14:sizeRelV relativeFrom="margin">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E16E4D" w14:textId="508460C0" w:rsidR="00D37B04" w:rsidRPr="00943730" w:rsidRDefault="002D5B25" w:rsidP="00943730">
    <w:pPr>
      <w:pStyle w:val="Header"/>
    </w:pPr>
    <w:r w:rsidRPr="00943730">
      <w:fldChar w:fldCharType="begin"/>
    </w:r>
    <w:r w:rsidRPr="00943730">
      <w:instrText xml:space="preserve"> DATE  \@ "MMMM yyyy"  \* MERGEFORMAT </w:instrText>
    </w:r>
    <w:r w:rsidRPr="00943730">
      <w:fldChar w:fldCharType="separate"/>
    </w:r>
    <w:r w:rsidR="00D05586">
      <w:rPr>
        <w:noProof/>
      </w:rPr>
      <w:t>November 2020</w:t>
    </w:r>
    <w:r w:rsidRPr="00943730">
      <w:fldChar w:fldCharType="end"/>
    </w:r>
    <w:r w:rsidR="00252C04" w:rsidRPr="00252C04">
      <w:rPr>
        <w:noProof/>
        <w:lang w:val="en-AU" w:eastAsia="en-AU"/>
      </w:rPr>
      <w:drawing>
        <wp:anchor distT="0" distB="0" distL="114300" distR="114300" simplePos="0" relativeHeight="251664384" behindDoc="1" locked="1" layoutInCell="1" allowOverlap="1" wp14:anchorId="15320666" wp14:editId="6D97E3FA">
          <wp:simplePos x="0" y="0"/>
          <wp:positionH relativeFrom="page">
            <wp:posOffset>5724525</wp:posOffset>
          </wp:positionH>
          <wp:positionV relativeFrom="page">
            <wp:posOffset>720090</wp:posOffset>
          </wp:positionV>
          <wp:extent cx="1115060" cy="512445"/>
          <wp:effectExtent l="0" t="0" r="8890" b="1905"/>
          <wp:wrapNone/>
          <wp:docPr id="42" name="Picture 4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1">
                    <a:extLst>
                      <a:ext uri="{28A0092B-C50C-407E-A947-70E740481C1C}">
                        <a14:useLocalDpi xmlns:a14="http://schemas.microsoft.com/office/drawing/2010/main" val="0"/>
                      </a:ext>
                    </a:extLst>
                  </a:blip>
                  <a:stretch>
                    <a:fillRect/>
                  </a:stretch>
                </pic:blipFill>
                <pic:spPr>
                  <a:xfrm>
                    <a:off x="0" y="0"/>
                    <a:ext cx="1115060" cy="51244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7216" behindDoc="1" locked="1" layoutInCell="1" allowOverlap="1" wp14:anchorId="27997E64" wp14:editId="7711EFAB">
          <wp:simplePos x="0" y="0"/>
          <wp:positionH relativeFrom="page">
            <wp:posOffset>720090</wp:posOffset>
          </wp:positionH>
          <wp:positionV relativeFrom="page">
            <wp:posOffset>683895</wp:posOffset>
          </wp:positionV>
          <wp:extent cx="3166745" cy="554355"/>
          <wp:effectExtent l="0" t="0" r="0" b="0"/>
          <wp:wrapNone/>
          <wp:docPr id="43" name="Picture 4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FAT-corporate-grey.png"/>
                  <pic:cNvPicPr/>
                </pic:nvPicPr>
                <pic:blipFill>
                  <a:blip r:embed="rId2">
                    <a:extLst>
                      <a:ext uri="{28A0092B-C50C-407E-A947-70E740481C1C}">
                        <a14:useLocalDpi xmlns:a14="http://schemas.microsoft.com/office/drawing/2010/main" val="0"/>
                      </a:ext>
                    </a:extLst>
                  </a:blip>
                  <a:stretch>
                    <a:fillRect/>
                  </a:stretch>
                </pic:blipFill>
                <pic:spPr>
                  <a:xfrm>
                    <a:off x="0" y="0"/>
                    <a:ext cx="3166745" cy="554355"/>
                  </a:xfrm>
                  <a:prstGeom prst="rect">
                    <a:avLst/>
                  </a:prstGeom>
                </pic:spPr>
              </pic:pic>
            </a:graphicData>
          </a:graphic>
          <wp14:sizeRelH relativeFrom="margin">
            <wp14:pctWidth>0</wp14:pctWidth>
          </wp14:sizeRelH>
          <wp14:sizeRelV relativeFrom="margin">
            <wp14:pctHeight>0</wp14:pctHeight>
          </wp14:sizeRelV>
        </wp:anchor>
      </w:drawing>
    </w:r>
    <w:r w:rsidRPr="00943730">
      <w:rPr>
        <w:noProof/>
        <w:lang w:val="en-AU" w:eastAsia="en-AU"/>
      </w:rPr>
      <w:drawing>
        <wp:anchor distT="0" distB="0" distL="114300" distR="114300" simplePos="0" relativeHeight="251656192" behindDoc="1" locked="1" layoutInCell="1" allowOverlap="1" wp14:anchorId="7FE5C1A7" wp14:editId="06246B16">
          <wp:simplePos x="0" y="0"/>
          <wp:positionH relativeFrom="page">
            <wp:posOffset>12700</wp:posOffset>
          </wp:positionH>
          <wp:positionV relativeFrom="page">
            <wp:posOffset>-69850</wp:posOffset>
          </wp:positionV>
          <wp:extent cx="10585450" cy="10692130"/>
          <wp:effectExtent l="0" t="0" r="6350" b="0"/>
          <wp:wrapNone/>
          <wp:docPr id="44" name="Pictur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3">
                    <a:extLst>
                      <a:ext uri="{28A0092B-C50C-407E-A947-70E740481C1C}">
                        <a14:useLocalDpi xmlns:a14="http://schemas.microsoft.com/office/drawing/2010/main" val="0"/>
                      </a:ext>
                    </a:extLst>
                  </a:blip>
                  <a:stretch>
                    <a:fillRect/>
                  </a:stretch>
                </pic:blipFill>
                <pic:spPr>
                  <a:xfrm>
                    <a:off x="0" y="0"/>
                    <a:ext cx="10585450" cy="10692130"/>
                  </a:xfrm>
                  <a:prstGeom prst="rect">
                    <a:avLst/>
                  </a:prstGeom>
                </pic:spPr>
              </pic:pic>
            </a:graphicData>
          </a:graphic>
          <wp14:sizeRelH relativeFrom="margin">
            <wp14:pctWidth>0</wp14:pctWidth>
          </wp14:sizeRelH>
          <wp14:sizeRelV relativeFrom="margin">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C7E7CB" w14:textId="77777777" w:rsidR="00B637DD" w:rsidRDefault="00B637DD">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EECCC6" w14:textId="77777777" w:rsidR="00B637DD" w:rsidRPr="00333501" w:rsidRDefault="00B637DD" w:rsidP="008F56A8">
    <w:pPr>
      <w:pStyle w:val="Header"/>
    </w:pPr>
    <w:r>
      <w:rPr>
        <w:noProof/>
        <w:lang w:val="en-AU" w:eastAsia="en-AU"/>
      </w:rPr>
      <w:drawing>
        <wp:anchor distT="0" distB="0" distL="114300" distR="114300" simplePos="0" relativeHeight="251672576" behindDoc="1" locked="1" layoutInCell="1" allowOverlap="1" wp14:anchorId="338D69FE" wp14:editId="745A10B6">
          <wp:simplePos x="0" y="0"/>
          <wp:positionH relativeFrom="page">
            <wp:posOffset>52705</wp:posOffset>
          </wp:positionH>
          <wp:positionV relativeFrom="page">
            <wp:posOffset>158115</wp:posOffset>
          </wp:positionV>
          <wp:extent cx="7447280" cy="10480675"/>
          <wp:effectExtent l="0" t="0" r="1270" b="0"/>
          <wp:wrapNone/>
          <wp:docPr id="15" name="Picture 1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447280" cy="10480675"/>
                  </a:xfrm>
                  <a:prstGeom prst="rect">
                    <a:avLst/>
                  </a:prstGeom>
                </pic:spPr>
              </pic:pic>
            </a:graphicData>
          </a:graphic>
          <wp14:sizeRelH relativeFrom="margin">
            <wp14:pctWidth>0</wp14:pctWidth>
          </wp14:sizeRelH>
          <wp14:sizeRelV relativeFrom="margin">
            <wp14:pctHeight>0</wp14:pctHeight>
          </wp14:sizeRelV>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A58687" w14:textId="77777777" w:rsidR="00B637DD" w:rsidRPr="003D352D" w:rsidRDefault="00B637DD" w:rsidP="003D352D">
    <w:pPr>
      <w:pStyle w:val="Header"/>
    </w:pPr>
    <w:r>
      <w:rPr>
        <w:noProof/>
        <w:lang w:val="en-AU" w:eastAsia="en-AU"/>
      </w:rPr>
      <w:drawing>
        <wp:anchor distT="0" distB="0" distL="114300" distR="114300" simplePos="0" relativeHeight="251671552" behindDoc="1" locked="1" layoutInCell="1" allowOverlap="1" wp14:anchorId="3E972E39" wp14:editId="3E401A84">
          <wp:simplePos x="0" y="0"/>
          <wp:positionH relativeFrom="page">
            <wp:posOffset>46990</wp:posOffset>
          </wp:positionH>
          <wp:positionV relativeFrom="page">
            <wp:posOffset>5080</wp:posOffset>
          </wp:positionV>
          <wp:extent cx="7512050" cy="10639425"/>
          <wp:effectExtent l="0" t="0" r="0" b="9525"/>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 name="Report-Page-1-Gradient.png"/>
                  <pic:cNvPicPr preferRelativeResize="0"/>
                </pic:nvPicPr>
                <pic:blipFill>
                  <a:blip r:embed="rId1">
                    <a:extLst>
                      <a:ext uri="{28A0092B-C50C-407E-A947-70E740481C1C}">
                        <a14:useLocalDpi xmlns:a14="http://schemas.microsoft.com/office/drawing/2010/main" val="0"/>
                      </a:ext>
                    </a:extLst>
                  </a:blip>
                  <a:stretch>
                    <a:fillRect/>
                  </a:stretch>
                </pic:blipFill>
                <pic:spPr>
                  <a:xfrm>
                    <a:off x="0" y="0"/>
                    <a:ext cx="7512050" cy="106394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F67C3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A7A24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7CE239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A4C4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3A0089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00AF38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967D7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B1474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64C077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C48FE4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56AC2"/>
    <w:multiLevelType w:val="hybridMultilevel"/>
    <w:tmpl w:val="8D94D83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2" w15:restartNumberingAfterBreak="0">
    <w:nsid w:val="0C251A7E"/>
    <w:multiLevelType w:val="hybridMultilevel"/>
    <w:tmpl w:val="EC2C13CE"/>
    <w:lvl w:ilvl="0" w:tplc="1DEE82B6">
      <w:start w:val="37"/>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C5133A8"/>
    <w:multiLevelType w:val="hybridMultilevel"/>
    <w:tmpl w:val="C13A72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0E1B58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16" w15:restartNumberingAfterBreak="0">
    <w:nsid w:val="1E531538"/>
    <w:multiLevelType w:val="multilevel"/>
    <w:tmpl w:val="9A148B46"/>
    <w:lvl w:ilvl="0">
      <w:start w:val="2019"/>
      <w:numFmt w:val="decimal"/>
      <w:lvlText w:val="%1"/>
      <w:lvlJc w:val="left"/>
      <w:pPr>
        <w:ind w:left="495" w:hanging="495"/>
      </w:pPr>
      <w:rPr>
        <w:rFonts w:hint="default"/>
      </w:rPr>
    </w:lvl>
    <w:lvl w:ilvl="1">
      <w:start w:val="20"/>
      <w:numFmt w:val="decimal"/>
      <w:lvlText w:val="%1-%2"/>
      <w:lvlJc w:val="left"/>
      <w:pPr>
        <w:ind w:left="855" w:hanging="495"/>
      </w:pPr>
      <w:rPr>
        <w:rFonts w:hint="default"/>
      </w:rPr>
    </w:lvl>
    <w:lvl w:ilvl="2">
      <w:start w:val="1"/>
      <w:numFmt w:val="decimal"/>
      <w:lvlText w:val="%1-%2.%3"/>
      <w:lvlJc w:val="left"/>
      <w:pPr>
        <w:ind w:left="1215" w:hanging="495"/>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520" w:hanging="72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600" w:hanging="1080"/>
      </w:pPr>
      <w:rPr>
        <w:rFonts w:hint="default"/>
      </w:rPr>
    </w:lvl>
    <w:lvl w:ilvl="8">
      <w:start w:val="1"/>
      <w:numFmt w:val="decimal"/>
      <w:lvlText w:val="%1-%2.%3.%4.%5.%6.%7.%8.%9"/>
      <w:lvlJc w:val="left"/>
      <w:pPr>
        <w:ind w:left="3960" w:hanging="1080"/>
      </w:pPr>
      <w:rPr>
        <w:rFonts w:hint="default"/>
      </w:rPr>
    </w:lvl>
  </w:abstractNum>
  <w:abstractNum w:abstractNumId="17" w15:restartNumberingAfterBreak="0">
    <w:nsid w:val="279E1258"/>
    <w:multiLevelType w:val="hybridMultilevel"/>
    <w:tmpl w:val="5E3696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9B159F"/>
    <w:multiLevelType w:val="multilevel"/>
    <w:tmpl w:val="1F38FDB4"/>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9" w15:restartNumberingAfterBreak="0">
    <w:nsid w:val="402512C0"/>
    <w:multiLevelType w:val="hybridMultilevel"/>
    <w:tmpl w:val="0372A9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 w15:restartNumberingAfterBreak="0">
    <w:nsid w:val="42880FB8"/>
    <w:multiLevelType w:val="hybridMultilevel"/>
    <w:tmpl w:val="79C26264"/>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1" w15:restartNumberingAfterBreak="0">
    <w:nsid w:val="44483A55"/>
    <w:multiLevelType w:val="hybridMultilevel"/>
    <w:tmpl w:val="18CA7660"/>
    <w:lvl w:ilvl="0" w:tplc="9F5CFAB6">
      <w:start w:val="1"/>
      <w:numFmt w:val="bullet"/>
      <w:lvlText w:val="•"/>
      <w:lvlJc w:val="left"/>
      <w:pPr>
        <w:tabs>
          <w:tab w:val="num" w:pos="720"/>
        </w:tabs>
        <w:ind w:left="720" w:hanging="360"/>
      </w:pPr>
      <w:rPr>
        <w:rFonts w:ascii="Arial" w:hAnsi="Arial" w:hint="default"/>
      </w:rPr>
    </w:lvl>
    <w:lvl w:ilvl="1" w:tplc="B242FDEC" w:tentative="1">
      <w:start w:val="1"/>
      <w:numFmt w:val="bullet"/>
      <w:lvlText w:val="•"/>
      <w:lvlJc w:val="left"/>
      <w:pPr>
        <w:tabs>
          <w:tab w:val="num" w:pos="1440"/>
        </w:tabs>
        <w:ind w:left="1440" w:hanging="360"/>
      </w:pPr>
      <w:rPr>
        <w:rFonts w:ascii="Arial" w:hAnsi="Arial" w:hint="default"/>
      </w:rPr>
    </w:lvl>
    <w:lvl w:ilvl="2" w:tplc="E1D430AE" w:tentative="1">
      <w:start w:val="1"/>
      <w:numFmt w:val="bullet"/>
      <w:lvlText w:val="•"/>
      <w:lvlJc w:val="left"/>
      <w:pPr>
        <w:tabs>
          <w:tab w:val="num" w:pos="2160"/>
        </w:tabs>
        <w:ind w:left="2160" w:hanging="360"/>
      </w:pPr>
      <w:rPr>
        <w:rFonts w:ascii="Arial" w:hAnsi="Arial" w:hint="default"/>
      </w:rPr>
    </w:lvl>
    <w:lvl w:ilvl="3" w:tplc="0C8A4E22" w:tentative="1">
      <w:start w:val="1"/>
      <w:numFmt w:val="bullet"/>
      <w:lvlText w:val="•"/>
      <w:lvlJc w:val="left"/>
      <w:pPr>
        <w:tabs>
          <w:tab w:val="num" w:pos="2880"/>
        </w:tabs>
        <w:ind w:left="2880" w:hanging="360"/>
      </w:pPr>
      <w:rPr>
        <w:rFonts w:ascii="Arial" w:hAnsi="Arial" w:hint="default"/>
      </w:rPr>
    </w:lvl>
    <w:lvl w:ilvl="4" w:tplc="DFAC8E46" w:tentative="1">
      <w:start w:val="1"/>
      <w:numFmt w:val="bullet"/>
      <w:lvlText w:val="•"/>
      <w:lvlJc w:val="left"/>
      <w:pPr>
        <w:tabs>
          <w:tab w:val="num" w:pos="3600"/>
        </w:tabs>
        <w:ind w:left="3600" w:hanging="360"/>
      </w:pPr>
      <w:rPr>
        <w:rFonts w:ascii="Arial" w:hAnsi="Arial" w:hint="default"/>
      </w:rPr>
    </w:lvl>
    <w:lvl w:ilvl="5" w:tplc="783627A4" w:tentative="1">
      <w:start w:val="1"/>
      <w:numFmt w:val="bullet"/>
      <w:lvlText w:val="•"/>
      <w:lvlJc w:val="left"/>
      <w:pPr>
        <w:tabs>
          <w:tab w:val="num" w:pos="4320"/>
        </w:tabs>
        <w:ind w:left="4320" w:hanging="360"/>
      </w:pPr>
      <w:rPr>
        <w:rFonts w:ascii="Arial" w:hAnsi="Arial" w:hint="default"/>
      </w:rPr>
    </w:lvl>
    <w:lvl w:ilvl="6" w:tplc="0C4C2FDE" w:tentative="1">
      <w:start w:val="1"/>
      <w:numFmt w:val="bullet"/>
      <w:lvlText w:val="•"/>
      <w:lvlJc w:val="left"/>
      <w:pPr>
        <w:tabs>
          <w:tab w:val="num" w:pos="5040"/>
        </w:tabs>
        <w:ind w:left="5040" w:hanging="360"/>
      </w:pPr>
      <w:rPr>
        <w:rFonts w:ascii="Arial" w:hAnsi="Arial" w:hint="default"/>
      </w:rPr>
    </w:lvl>
    <w:lvl w:ilvl="7" w:tplc="AA30793E" w:tentative="1">
      <w:start w:val="1"/>
      <w:numFmt w:val="bullet"/>
      <w:lvlText w:val="•"/>
      <w:lvlJc w:val="left"/>
      <w:pPr>
        <w:tabs>
          <w:tab w:val="num" w:pos="5760"/>
        </w:tabs>
        <w:ind w:left="5760" w:hanging="360"/>
      </w:pPr>
      <w:rPr>
        <w:rFonts w:ascii="Arial" w:hAnsi="Arial" w:hint="default"/>
      </w:rPr>
    </w:lvl>
    <w:lvl w:ilvl="8" w:tplc="AB16E882"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474A148B"/>
    <w:multiLevelType w:val="hybridMultilevel"/>
    <w:tmpl w:val="FC90C7DA"/>
    <w:lvl w:ilvl="0" w:tplc="59463C12">
      <w:start w:val="6"/>
      <w:numFmt w:val="bullet"/>
      <w:lvlText w:val="-"/>
      <w:lvlJc w:val="left"/>
      <w:pPr>
        <w:ind w:left="360" w:hanging="360"/>
      </w:pPr>
      <w:rPr>
        <w:rFonts w:ascii="Calibri" w:eastAsiaTheme="minorHAnsi" w:hAnsi="Calibri" w:cs="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95464FD"/>
    <w:multiLevelType w:val="hybridMultilevel"/>
    <w:tmpl w:val="8224402C"/>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51741785"/>
    <w:multiLevelType w:val="multilevel"/>
    <w:tmpl w:val="1DA6A938"/>
    <w:lvl w:ilvl="0">
      <w:start w:val="2019"/>
      <w:numFmt w:val="decimal"/>
      <w:lvlText w:val="%1"/>
      <w:lvlJc w:val="left"/>
      <w:pPr>
        <w:ind w:left="495" w:hanging="495"/>
      </w:pPr>
      <w:rPr>
        <w:rFonts w:hint="default"/>
      </w:rPr>
    </w:lvl>
    <w:lvl w:ilvl="1">
      <w:start w:val="20"/>
      <w:numFmt w:val="decimal"/>
      <w:lvlText w:val="%1-%2"/>
      <w:lvlJc w:val="left"/>
      <w:pPr>
        <w:ind w:left="1350" w:hanging="495"/>
      </w:pPr>
      <w:rPr>
        <w:rFonts w:hint="default"/>
      </w:rPr>
    </w:lvl>
    <w:lvl w:ilvl="2">
      <w:start w:val="1"/>
      <w:numFmt w:val="decimal"/>
      <w:lvlText w:val="%1-%2.%3"/>
      <w:lvlJc w:val="left"/>
      <w:pPr>
        <w:ind w:left="2205" w:hanging="495"/>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140" w:hanging="720"/>
      </w:pPr>
      <w:rPr>
        <w:rFonts w:hint="default"/>
      </w:rPr>
    </w:lvl>
    <w:lvl w:ilvl="5">
      <w:start w:val="1"/>
      <w:numFmt w:val="decimal"/>
      <w:lvlText w:val="%1-%2.%3.%4.%5.%6"/>
      <w:lvlJc w:val="left"/>
      <w:pPr>
        <w:ind w:left="4995" w:hanging="720"/>
      </w:pPr>
      <w:rPr>
        <w:rFonts w:hint="default"/>
      </w:rPr>
    </w:lvl>
    <w:lvl w:ilvl="6">
      <w:start w:val="1"/>
      <w:numFmt w:val="decimal"/>
      <w:lvlText w:val="%1-%2.%3.%4.%5.%6.%7"/>
      <w:lvlJc w:val="left"/>
      <w:pPr>
        <w:ind w:left="6210" w:hanging="1080"/>
      </w:pPr>
      <w:rPr>
        <w:rFonts w:hint="default"/>
      </w:rPr>
    </w:lvl>
    <w:lvl w:ilvl="7">
      <w:start w:val="1"/>
      <w:numFmt w:val="decimal"/>
      <w:lvlText w:val="%1-%2.%3.%4.%5.%6.%7.%8"/>
      <w:lvlJc w:val="left"/>
      <w:pPr>
        <w:ind w:left="7065" w:hanging="1080"/>
      </w:pPr>
      <w:rPr>
        <w:rFonts w:hint="default"/>
      </w:rPr>
    </w:lvl>
    <w:lvl w:ilvl="8">
      <w:start w:val="1"/>
      <w:numFmt w:val="decimal"/>
      <w:lvlText w:val="%1-%2.%3.%4.%5.%6.%7.%8.%9"/>
      <w:lvlJc w:val="left"/>
      <w:pPr>
        <w:ind w:left="7920" w:hanging="1080"/>
      </w:pPr>
      <w:rPr>
        <w:rFonts w:hint="default"/>
      </w:rPr>
    </w:lvl>
  </w:abstractNum>
  <w:abstractNum w:abstractNumId="25" w15:restartNumberingAfterBreak="0">
    <w:nsid w:val="52553D9F"/>
    <w:multiLevelType w:val="multilevel"/>
    <w:tmpl w:val="A6FA45D0"/>
    <w:numStyleLink w:val="BulletsList"/>
  </w:abstractNum>
  <w:abstractNum w:abstractNumId="26"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7" w15:restartNumberingAfterBreak="0">
    <w:nsid w:val="5D3C1EA7"/>
    <w:multiLevelType w:val="multilevel"/>
    <w:tmpl w:val="A6FA45D0"/>
    <w:numStyleLink w:val="BulletsList"/>
  </w:abstractNum>
  <w:abstractNum w:abstractNumId="28"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29" w15:restartNumberingAfterBreak="0">
    <w:nsid w:val="6B683F31"/>
    <w:multiLevelType w:val="multilevel"/>
    <w:tmpl w:val="DEF059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0" w15:restartNumberingAfterBreak="0">
    <w:nsid w:val="73107305"/>
    <w:multiLevelType w:val="multilevel"/>
    <w:tmpl w:val="A6FA45D0"/>
    <w:styleLink w:val="BulletsList"/>
    <w:lvl w:ilvl="0">
      <w:start w:val="1"/>
      <w:numFmt w:val="bullet"/>
      <w:pStyle w:val="Bullet1"/>
      <w:lvlText w:val=""/>
      <w:lvlJc w:val="left"/>
      <w:pPr>
        <w:ind w:left="284" w:hanging="284"/>
      </w:pPr>
      <w:rPr>
        <w:rFonts w:ascii="Symbol" w:hAnsi="Symbol" w:hint="default"/>
      </w:rPr>
    </w:lvl>
    <w:lvl w:ilvl="1">
      <w:start w:val="1"/>
      <w:numFmt w:val="bullet"/>
      <w:pStyle w:val="Bullet2"/>
      <w:lvlText w:val="–"/>
      <w:lvlJc w:val="left"/>
      <w:pPr>
        <w:ind w:left="568" w:hanging="284"/>
      </w:pPr>
      <w:rPr>
        <w:rFonts w:ascii="Arial" w:hAnsi="Arial" w:hint="default"/>
      </w:rPr>
    </w:lvl>
    <w:lvl w:ilvl="2">
      <w:start w:val="1"/>
      <w:numFmt w:val="bullet"/>
      <w:pStyle w:val="Bullet3"/>
      <w:lvlText w:val="»"/>
      <w:lvlJc w:val="left"/>
      <w:pPr>
        <w:ind w:left="852" w:hanging="284"/>
      </w:pPr>
      <w:rPr>
        <w:rFonts w:ascii="Arial" w:hAnsi="Arial"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31" w15:restartNumberingAfterBreak="0">
    <w:nsid w:val="75615908"/>
    <w:multiLevelType w:val="hybridMultilevel"/>
    <w:tmpl w:val="8C6234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30"/>
  </w:num>
  <w:num w:numId="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num>
  <w:num w:numId="9">
    <w:abstractNumId w:val="26"/>
  </w:num>
  <w:num w:numId="10">
    <w:abstractNumId w:val="2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27"/>
  </w:num>
  <w:num w:numId="22">
    <w:abstractNumId w:val="18"/>
  </w:num>
  <w:num w:numId="23">
    <w:abstractNumId w:val="18"/>
  </w:num>
  <w:num w:numId="24">
    <w:abstractNumId w:val="27"/>
  </w:num>
  <w:num w:numId="25">
    <w:abstractNumId w:val="27"/>
  </w:num>
  <w:num w:numId="26">
    <w:abstractNumId w:val="27"/>
  </w:num>
  <w:num w:numId="27">
    <w:abstractNumId w:val="26"/>
  </w:num>
  <w:num w:numId="28">
    <w:abstractNumId w:val="11"/>
  </w:num>
  <w:num w:numId="29">
    <w:abstractNumId w:val="11"/>
  </w:num>
  <w:num w:numId="30">
    <w:abstractNumId w:val="11"/>
  </w:num>
  <w:num w:numId="31">
    <w:abstractNumId w:val="15"/>
  </w:num>
  <w:num w:numId="32">
    <w:abstractNumId w:val="32"/>
  </w:num>
  <w:num w:numId="33">
    <w:abstractNumId w:val="25"/>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0"/>
  </w:num>
  <w:num w:numId="36">
    <w:abstractNumId w:val="29"/>
  </w:num>
  <w:num w:numId="37">
    <w:abstractNumId w:val="23"/>
  </w:num>
  <w:num w:numId="38">
    <w:abstractNumId w:val="22"/>
  </w:num>
  <w:num w:numId="39">
    <w:abstractNumId w:val="17"/>
  </w:num>
  <w:num w:numId="40">
    <w:abstractNumId w:val="13"/>
  </w:num>
  <w:num w:numId="41">
    <w:abstractNumId w:val="19"/>
  </w:num>
  <w:num w:numId="42">
    <w:abstractNumId w:val="16"/>
  </w:num>
  <w:num w:numId="43">
    <w:abstractNumId w:val="24"/>
  </w:num>
  <w:num w:numId="44">
    <w:abstractNumId w:val="21"/>
  </w:num>
  <w:num w:numId="45">
    <w:abstractNumId w:val="31"/>
  </w:num>
  <w:num w:numId="4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cumentProtection w:formatting="1" w:enforcement="0"/>
  <w:defaultTabStop w:val="720"/>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96C"/>
    <w:rsid w:val="00001DA8"/>
    <w:rsid w:val="000020C1"/>
    <w:rsid w:val="00013E2C"/>
    <w:rsid w:val="00015783"/>
    <w:rsid w:val="0002080A"/>
    <w:rsid w:val="000249CE"/>
    <w:rsid w:val="0002782F"/>
    <w:rsid w:val="00035BBF"/>
    <w:rsid w:val="00040DF1"/>
    <w:rsid w:val="00045187"/>
    <w:rsid w:val="0004636A"/>
    <w:rsid w:val="00050806"/>
    <w:rsid w:val="000546D9"/>
    <w:rsid w:val="00054AAA"/>
    <w:rsid w:val="00054E4D"/>
    <w:rsid w:val="00060073"/>
    <w:rsid w:val="000601B9"/>
    <w:rsid w:val="000616C6"/>
    <w:rsid w:val="00071788"/>
    <w:rsid w:val="000750D1"/>
    <w:rsid w:val="000854FD"/>
    <w:rsid w:val="0008672B"/>
    <w:rsid w:val="000A1ADB"/>
    <w:rsid w:val="000A3256"/>
    <w:rsid w:val="000B37F5"/>
    <w:rsid w:val="000B607E"/>
    <w:rsid w:val="000C5205"/>
    <w:rsid w:val="000D000C"/>
    <w:rsid w:val="000D66D6"/>
    <w:rsid w:val="000D6D12"/>
    <w:rsid w:val="000E3224"/>
    <w:rsid w:val="000E355A"/>
    <w:rsid w:val="00101087"/>
    <w:rsid w:val="00110C81"/>
    <w:rsid w:val="00113288"/>
    <w:rsid w:val="001214BE"/>
    <w:rsid w:val="0013101C"/>
    <w:rsid w:val="00137415"/>
    <w:rsid w:val="001461D6"/>
    <w:rsid w:val="00153C96"/>
    <w:rsid w:val="001541EA"/>
    <w:rsid w:val="001616D0"/>
    <w:rsid w:val="0018091B"/>
    <w:rsid w:val="001907AA"/>
    <w:rsid w:val="001962F2"/>
    <w:rsid w:val="001A7ED5"/>
    <w:rsid w:val="001B2E0E"/>
    <w:rsid w:val="001C50B3"/>
    <w:rsid w:val="001D663E"/>
    <w:rsid w:val="001E1DC0"/>
    <w:rsid w:val="001E758C"/>
    <w:rsid w:val="00203277"/>
    <w:rsid w:val="00205B2E"/>
    <w:rsid w:val="002068B7"/>
    <w:rsid w:val="00213A46"/>
    <w:rsid w:val="00224D7E"/>
    <w:rsid w:val="0022631C"/>
    <w:rsid w:val="00230777"/>
    <w:rsid w:val="00234E91"/>
    <w:rsid w:val="00235EAB"/>
    <w:rsid w:val="00252C04"/>
    <w:rsid w:val="002646C3"/>
    <w:rsid w:val="00265DDB"/>
    <w:rsid w:val="00276A54"/>
    <w:rsid w:val="0028602A"/>
    <w:rsid w:val="00293CA0"/>
    <w:rsid w:val="0029548D"/>
    <w:rsid w:val="002A29E6"/>
    <w:rsid w:val="002A7F56"/>
    <w:rsid w:val="002B5E10"/>
    <w:rsid w:val="002C793D"/>
    <w:rsid w:val="002D5B25"/>
    <w:rsid w:val="002E4263"/>
    <w:rsid w:val="002F4F2B"/>
    <w:rsid w:val="002F784B"/>
    <w:rsid w:val="003002C0"/>
    <w:rsid w:val="00301144"/>
    <w:rsid w:val="003021F3"/>
    <w:rsid w:val="003031C6"/>
    <w:rsid w:val="00304984"/>
    <w:rsid w:val="00312A37"/>
    <w:rsid w:val="00312BF8"/>
    <w:rsid w:val="003148B7"/>
    <w:rsid w:val="003158C3"/>
    <w:rsid w:val="003233C4"/>
    <w:rsid w:val="00324882"/>
    <w:rsid w:val="003274CD"/>
    <w:rsid w:val="00330E12"/>
    <w:rsid w:val="00333501"/>
    <w:rsid w:val="003365E4"/>
    <w:rsid w:val="003457C4"/>
    <w:rsid w:val="003500CF"/>
    <w:rsid w:val="0035119D"/>
    <w:rsid w:val="0035161B"/>
    <w:rsid w:val="00365569"/>
    <w:rsid w:val="00372FC5"/>
    <w:rsid w:val="00374A70"/>
    <w:rsid w:val="003753EF"/>
    <w:rsid w:val="00384D40"/>
    <w:rsid w:val="00390828"/>
    <w:rsid w:val="0039344A"/>
    <w:rsid w:val="00395163"/>
    <w:rsid w:val="003B2F1B"/>
    <w:rsid w:val="003B4F12"/>
    <w:rsid w:val="003B73D9"/>
    <w:rsid w:val="003D4C6F"/>
    <w:rsid w:val="003E1F6C"/>
    <w:rsid w:val="003E48E2"/>
    <w:rsid w:val="003F2041"/>
    <w:rsid w:val="003F425E"/>
    <w:rsid w:val="003F65F4"/>
    <w:rsid w:val="004022AE"/>
    <w:rsid w:val="00402ACC"/>
    <w:rsid w:val="004120EC"/>
    <w:rsid w:val="00423F31"/>
    <w:rsid w:val="00431899"/>
    <w:rsid w:val="00441DF0"/>
    <w:rsid w:val="00442055"/>
    <w:rsid w:val="00452298"/>
    <w:rsid w:val="00456A05"/>
    <w:rsid w:val="00462A6C"/>
    <w:rsid w:val="00473629"/>
    <w:rsid w:val="00480B54"/>
    <w:rsid w:val="00482AE8"/>
    <w:rsid w:val="0048492D"/>
    <w:rsid w:val="00486804"/>
    <w:rsid w:val="00492AC5"/>
    <w:rsid w:val="004939C4"/>
    <w:rsid w:val="00494F98"/>
    <w:rsid w:val="004A258D"/>
    <w:rsid w:val="004A46C7"/>
    <w:rsid w:val="004B1618"/>
    <w:rsid w:val="004B3775"/>
    <w:rsid w:val="004C5598"/>
    <w:rsid w:val="004C6342"/>
    <w:rsid w:val="004D0BA0"/>
    <w:rsid w:val="004E058F"/>
    <w:rsid w:val="004E0B1D"/>
    <w:rsid w:val="004E3B87"/>
    <w:rsid w:val="004F74A9"/>
    <w:rsid w:val="00505577"/>
    <w:rsid w:val="00510921"/>
    <w:rsid w:val="00510AD3"/>
    <w:rsid w:val="00513348"/>
    <w:rsid w:val="00513AD8"/>
    <w:rsid w:val="005204D2"/>
    <w:rsid w:val="00522396"/>
    <w:rsid w:val="00533B5D"/>
    <w:rsid w:val="005674BF"/>
    <w:rsid w:val="00573B77"/>
    <w:rsid w:val="00587098"/>
    <w:rsid w:val="00591B5F"/>
    <w:rsid w:val="005A20F6"/>
    <w:rsid w:val="005B55E8"/>
    <w:rsid w:val="005D3655"/>
    <w:rsid w:val="005E192E"/>
    <w:rsid w:val="005E4830"/>
    <w:rsid w:val="005F42E6"/>
    <w:rsid w:val="00600588"/>
    <w:rsid w:val="00603F34"/>
    <w:rsid w:val="00622B86"/>
    <w:rsid w:val="00623BA1"/>
    <w:rsid w:val="00630816"/>
    <w:rsid w:val="006346BC"/>
    <w:rsid w:val="006356B4"/>
    <w:rsid w:val="00651213"/>
    <w:rsid w:val="00655C26"/>
    <w:rsid w:val="00660121"/>
    <w:rsid w:val="0066652A"/>
    <w:rsid w:val="00666E80"/>
    <w:rsid w:val="00667907"/>
    <w:rsid w:val="006719C3"/>
    <w:rsid w:val="0067788C"/>
    <w:rsid w:val="00680522"/>
    <w:rsid w:val="00682167"/>
    <w:rsid w:val="00697048"/>
    <w:rsid w:val="00697BC5"/>
    <w:rsid w:val="006A091F"/>
    <w:rsid w:val="006A25CA"/>
    <w:rsid w:val="006A2EFF"/>
    <w:rsid w:val="006C42AF"/>
    <w:rsid w:val="006D2285"/>
    <w:rsid w:val="006D7B41"/>
    <w:rsid w:val="006E2DCD"/>
    <w:rsid w:val="006E3FE3"/>
    <w:rsid w:val="006E716D"/>
    <w:rsid w:val="006F1FC8"/>
    <w:rsid w:val="006F5231"/>
    <w:rsid w:val="007031B5"/>
    <w:rsid w:val="00704D7B"/>
    <w:rsid w:val="00711163"/>
    <w:rsid w:val="00711D8E"/>
    <w:rsid w:val="00712672"/>
    <w:rsid w:val="00715351"/>
    <w:rsid w:val="00720E58"/>
    <w:rsid w:val="00721613"/>
    <w:rsid w:val="00734E3F"/>
    <w:rsid w:val="00736985"/>
    <w:rsid w:val="0074066B"/>
    <w:rsid w:val="00745DF5"/>
    <w:rsid w:val="0075317C"/>
    <w:rsid w:val="007623CE"/>
    <w:rsid w:val="0076250F"/>
    <w:rsid w:val="007706B8"/>
    <w:rsid w:val="00774EE4"/>
    <w:rsid w:val="0078029B"/>
    <w:rsid w:val="00780FA5"/>
    <w:rsid w:val="007841D5"/>
    <w:rsid w:val="00790171"/>
    <w:rsid w:val="00794315"/>
    <w:rsid w:val="00794D6B"/>
    <w:rsid w:val="007A5328"/>
    <w:rsid w:val="007A6663"/>
    <w:rsid w:val="007B06DC"/>
    <w:rsid w:val="007B59BC"/>
    <w:rsid w:val="007B6200"/>
    <w:rsid w:val="007C5CA1"/>
    <w:rsid w:val="007E3FF9"/>
    <w:rsid w:val="007E4969"/>
    <w:rsid w:val="007F241A"/>
    <w:rsid w:val="007F3395"/>
    <w:rsid w:val="00800B0C"/>
    <w:rsid w:val="00801B9F"/>
    <w:rsid w:val="0080204D"/>
    <w:rsid w:val="00805B9C"/>
    <w:rsid w:val="00810213"/>
    <w:rsid w:val="00810675"/>
    <w:rsid w:val="00817DE6"/>
    <w:rsid w:val="00823B7F"/>
    <w:rsid w:val="0082766C"/>
    <w:rsid w:val="00827C7B"/>
    <w:rsid w:val="0083052F"/>
    <w:rsid w:val="008475F0"/>
    <w:rsid w:val="00854659"/>
    <w:rsid w:val="008557A7"/>
    <w:rsid w:val="00870928"/>
    <w:rsid w:val="00880AFF"/>
    <w:rsid w:val="00881B89"/>
    <w:rsid w:val="00885A62"/>
    <w:rsid w:val="008860D9"/>
    <w:rsid w:val="0089405C"/>
    <w:rsid w:val="00897FA2"/>
    <w:rsid w:val="008A17F0"/>
    <w:rsid w:val="008A5AFE"/>
    <w:rsid w:val="008C48F9"/>
    <w:rsid w:val="008C4D3A"/>
    <w:rsid w:val="008C5A0E"/>
    <w:rsid w:val="008E3696"/>
    <w:rsid w:val="008E629D"/>
    <w:rsid w:val="008F0224"/>
    <w:rsid w:val="008F313E"/>
    <w:rsid w:val="008F5C63"/>
    <w:rsid w:val="0090461E"/>
    <w:rsid w:val="00927172"/>
    <w:rsid w:val="009278D2"/>
    <w:rsid w:val="00935ABC"/>
    <w:rsid w:val="00943730"/>
    <w:rsid w:val="0095053A"/>
    <w:rsid w:val="00957F6E"/>
    <w:rsid w:val="00961E72"/>
    <w:rsid w:val="00974A6A"/>
    <w:rsid w:val="00975CA5"/>
    <w:rsid w:val="00977676"/>
    <w:rsid w:val="00980574"/>
    <w:rsid w:val="00983AED"/>
    <w:rsid w:val="00986590"/>
    <w:rsid w:val="00992C76"/>
    <w:rsid w:val="009969D6"/>
    <w:rsid w:val="009A0908"/>
    <w:rsid w:val="009A3DD2"/>
    <w:rsid w:val="009B4D3B"/>
    <w:rsid w:val="009B7942"/>
    <w:rsid w:val="009C0CD0"/>
    <w:rsid w:val="009D57C0"/>
    <w:rsid w:val="009D7407"/>
    <w:rsid w:val="009E0866"/>
    <w:rsid w:val="009E273C"/>
    <w:rsid w:val="009F1350"/>
    <w:rsid w:val="009F263B"/>
    <w:rsid w:val="009F6423"/>
    <w:rsid w:val="009F713D"/>
    <w:rsid w:val="00A175B3"/>
    <w:rsid w:val="00A24A62"/>
    <w:rsid w:val="00A31C9F"/>
    <w:rsid w:val="00A35285"/>
    <w:rsid w:val="00A4144F"/>
    <w:rsid w:val="00A44518"/>
    <w:rsid w:val="00A4616E"/>
    <w:rsid w:val="00A61B4D"/>
    <w:rsid w:val="00A63917"/>
    <w:rsid w:val="00A64698"/>
    <w:rsid w:val="00A80F95"/>
    <w:rsid w:val="00A82234"/>
    <w:rsid w:val="00A91795"/>
    <w:rsid w:val="00A940CA"/>
    <w:rsid w:val="00A97BF1"/>
    <w:rsid w:val="00AA14F8"/>
    <w:rsid w:val="00AA1F6E"/>
    <w:rsid w:val="00AA298A"/>
    <w:rsid w:val="00AA303C"/>
    <w:rsid w:val="00AA315B"/>
    <w:rsid w:val="00AB376E"/>
    <w:rsid w:val="00AB4389"/>
    <w:rsid w:val="00AC164A"/>
    <w:rsid w:val="00AC587C"/>
    <w:rsid w:val="00AC68FC"/>
    <w:rsid w:val="00AD0B87"/>
    <w:rsid w:val="00AE448A"/>
    <w:rsid w:val="00AF2050"/>
    <w:rsid w:val="00B0385D"/>
    <w:rsid w:val="00B03CA8"/>
    <w:rsid w:val="00B0450F"/>
    <w:rsid w:val="00B05089"/>
    <w:rsid w:val="00B120ED"/>
    <w:rsid w:val="00B16FE3"/>
    <w:rsid w:val="00B32BE5"/>
    <w:rsid w:val="00B33C0A"/>
    <w:rsid w:val="00B446CC"/>
    <w:rsid w:val="00B55E19"/>
    <w:rsid w:val="00B637DD"/>
    <w:rsid w:val="00B6495A"/>
    <w:rsid w:val="00B66722"/>
    <w:rsid w:val="00B66A3C"/>
    <w:rsid w:val="00B70B50"/>
    <w:rsid w:val="00B75163"/>
    <w:rsid w:val="00B927C4"/>
    <w:rsid w:val="00B94758"/>
    <w:rsid w:val="00BA0538"/>
    <w:rsid w:val="00BA4B6D"/>
    <w:rsid w:val="00BB26C5"/>
    <w:rsid w:val="00BC31BD"/>
    <w:rsid w:val="00BD2CB3"/>
    <w:rsid w:val="00BF4DE6"/>
    <w:rsid w:val="00BF7E50"/>
    <w:rsid w:val="00C0587C"/>
    <w:rsid w:val="00C06B13"/>
    <w:rsid w:val="00C2439C"/>
    <w:rsid w:val="00C27D25"/>
    <w:rsid w:val="00C32299"/>
    <w:rsid w:val="00C42541"/>
    <w:rsid w:val="00C42CDE"/>
    <w:rsid w:val="00C515C0"/>
    <w:rsid w:val="00C5182A"/>
    <w:rsid w:val="00C63EE9"/>
    <w:rsid w:val="00C8135C"/>
    <w:rsid w:val="00C8492E"/>
    <w:rsid w:val="00C84D2B"/>
    <w:rsid w:val="00CA16F3"/>
    <w:rsid w:val="00CA37B1"/>
    <w:rsid w:val="00CB1959"/>
    <w:rsid w:val="00CB48A7"/>
    <w:rsid w:val="00CC741B"/>
    <w:rsid w:val="00CC791E"/>
    <w:rsid w:val="00CD0E4B"/>
    <w:rsid w:val="00CE4C89"/>
    <w:rsid w:val="00CF07BA"/>
    <w:rsid w:val="00CF6C83"/>
    <w:rsid w:val="00CF767B"/>
    <w:rsid w:val="00D00153"/>
    <w:rsid w:val="00D0296C"/>
    <w:rsid w:val="00D04C4D"/>
    <w:rsid w:val="00D05586"/>
    <w:rsid w:val="00D05734"/>
    <w:rsid w:val="00D07C62"/>
    <w:rsid w:val="00D1304B"/>
    <w:rsid w:val="00D16F93"/>
    <w:rsid w:val="00D32D6F"/>
    <w:rsid w:val="00D36D60"/>
    <w:rsid w:val="00D37560"/>
    <w:rsid w:val="00D37B04"/>
    <w:rsid w:val="00D47BFA"/>
    <w:rsid w:val="00D540C6"/>
    <w:rsid w:val="00D64742"/>
    <w:rsid w:val="00D64BD1"/>
    <w:rsid w:val="00D65749"/>
    <w:rsid w:val="00D75D4C"/>
    <w:rsid w:val="00D813DF"/>
    <w:rsid w:val="00D86CBA"/>
    <w:rsid w:val="00D92254"/>
    <w:rsid w:val="00D93BC6"/>
    <w:rsid w:val="00DA072E"/>
    <w:rsid w:val="00DA5E33"/>
    <w:rsid w:val="00DB2D4C"/>
    <w:rsid w:val="00DE084C"/>
    <w:rsid w:val="00E07ADA"/>
    <w:rsid w:val="00E14F51"/>
    <w:rsid w:val="00E20E0F"/>
    <w:rsid w:val="00E34D46"/>
    <w:rsid w:val="00E357B7"/>
    <w:rsid w:val="00E4110F"/>
    <w:rsid w:val="00E53800"/>
    <w:rsid w:val="00E6081F"/>
    <w:rsid w:val="00E61636"/>
    <w:rsid w:val="00E61733"/>
    <w:rsid w:val="00E655FE"/>
    <w:rsid w:val="00E71A09"/>
    <w:rsid w:val="00E8296D"/>
    <w:rsid w:val="00E8457B"/>
    <w:rsid w:val="00EA04B2"/>
    <w:rsid w:val="00EA20F3"/>
    <w:rsid w:val="00EB2EEC"/>
    <w:rsid w:val="00EB398C"/>
    <w:rsid w:val="00EB43D4"/>
    <w:rsid w:val="00EC1C0A"/>
    <w:rsid w:val="00EC2E48"/>
    <w:rsid w:val="00EC3C2D"/>
    <w:rsid w:val="00EC53BA"/>
    <w:rsid w:val="00ED2831"/>
    <w:rsid w:val="00ED43D1"/>
    <w:rsid w:val="00EE0E5C"/>
    <w:rsid w:val="00EE1027"/>
    <w:rsid w:val="00EE25F4"/>
    <w:rsid w:val="00EE3413"/>
    <w:rsid w:val="00EE381F"/>
    <w:rsid w:val="00EE4EE1"/>
    <w:rsid w:val="00EF06C9"/>
    <w:rsid w:val="00EF4574"/>
    <w:rsid w:val="00EF5FB3"/>
    <w:rsid w:val="00F011BC"/>
    <w:rsid w:val="00F06A5D"/>
    <w:rsid w:val="00F25A93"/>
    <w:rsid w:val="00F2684E"/>
    <w:rsid w:val="00F30087"/>
    <w:rsid w:val="00F33A69"/>
    <w:rsid w:val="00F34907"/>
    <w:rsid w:val="00F35E32"/>
    <w:rsid w:val="00F366DB"/>
    <w:rsid w:val="00F43F0A"/>
    <w:rsid w:val="00F46061"/>
    <w:rsid w:val="00F5404C"/>
    <w:rsid w:val="00F55154"/>
    <w:rsid w:val="00F57DEC"/>
    <w:rsid w:val="00F600F0"/>
    <w:rsid w:val="00F617F9"/>
    <w:rsid w:val="00F729EF"/>
    <w:rsid w:val="00F744A2"/>
    <w:rsid w:val="00F74546"/>
    <w:rsid w:val="00F77CAE"/>
    <w:rsid w:val="00F81370"/>
    <w:rsid w:val="00F82271"/>
    <w:rsid w:val="00F83428"/>
    <w:rsid w:val="00F950F7"/>
    <w:rsid w:val="00F96BB9"/>
    <w:rsid w:val="00FA69AF"/>
    <w:rsid w:val="00FA7833"/>
    <w:rsid w:val="00FB11D4"/>
    <w:rsid w:val="00FB61C7"/>
    <w:rsid w:val="00FB6D8C"/>
    <w:rsid w:val="00FC322F"/>
    <w:rsid w:val="00FC64BD"/>
    <w:rsid w:val="00FE2DFE"/>
    <w:rsid w:val="00FE49E6"/>
    <w:rsid w:val="00FE6D51"/>
    <w:rsid w:val="00FE6F2A"/>
    <w:rsid w:val="00FF228F"/>
    <w:rsid w:val="00FF3565"/>
    <w:rsid w:val="00FF499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155C979E"/>
  <w15:docId w15:val="{19BED66C-9F36-41BE-9162-E3444C680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unhideWhenUsed="1"/>
    <w:lsdException w:name="footnote text" w:locked="0" w:semiHidden="1" w:unhideWhenUsed="1" w:qFormat="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locked="0"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locked="0" w:semiHidden="1" w:unhideWhenUsed="1"/>
    <w:lsdException w:name="macro" w:semiHidden="1" w:unhideWhenUsed="1"/>
    <w:lsdException w:name="toa heading" w:locked="0"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locked="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0" w:qFormat="1"/>
    <w:lsdException w:name="Salutation" w:semiHidden="1" w:unhideWhenUsed="1"/>
    <w:lsdException w:name="Date" w:locked="0" w:semiHidden="1" w:unhideWhenUsed="1"/>
    <w:lsdException w:name="Body Text First Indent" w:locked="0" w:semiHidden="1" w:unhideWhenUsed="1"/>
    <w:lsdException w:name="Body Text First Indent 2" w:locked="0" w:semiHidden="1" w:unhideWhenUsed="1"/>
    <w:lsdException w:name="Note Heading" w:locked="0" w:semiHidden="1" w:unhideWhenUsed="1"/>
    <w:lsdException w:name="Body Text 2" w:locked="0" w:semiHidden="1" w:unhideWhenUsed="1"/>
    <w:lsdException w:name="Body Text 3" w:locked="0" w:semiHidden="1" w:unhideWhenUsed="1"/>
    <w:lsdException w:name="Body Text Indent 2" w:semiHidden="1" w:unhideWhenUsed="1"/>
    <w:lsdException w:name="Body Text Indent 3" w:semiHidden="1" w:unhideWhenUsed="1"/>
    <w:lsdException w:name="Block Text" w:locked="0"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locked="0" w:semiHidden="1" w:unhideWhenUsed="1"/>
    <w:lsdException w:name="Placeholder Text"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qFormat/>
    <w:rsid w:val="005B55E8"/>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7706B8"/>
    <w:pPr>
      <w:keepNext/>
      <w:keepLines/>
      <w:spacing w:before="0" w:after="18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983AED"/>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ED2831"/>
    <w:pPr>
      <w:spacing w:line="360" w:lineRule="atLeast"/>
      <w:outlineLvl w:val="2"/>
    </w:pPr>
    <w:rPr>
      <w:bCs/>
      <w:caps w:val="0"/>
      <w:sz w:val="30"/>
    </w:rPr>
  </w:style>
  <w:style w:type="paragraph" w:styleId="Heading4">
    <w:name w:val="heading 4"/>
    <w:basedOn w:val="Heading3"/>
    <w:next w:val="Normal"/>
    <w:link w:val="Heading4Char"/>
    <w:uiPriority w:val="9"/>
    <w:unhideWhenUsed/>
    <w:qFormat/>
    <w:rsid w:val="00A4144F"/>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7706B8"/>
    <w:pPr>
      <w:spacing w:line="200" w:lineRule="atLeast"/>
      <w:outlineLvl w:val="4"/>
    </w:pPr>
    <w:rPr>
      <w:b/>
      <w:sz w:val="22"/>
    </w:rPr>
  </w:style>
  <w:style w:type="paragraph" w:styleId="Heading6">
    <w:name w:val="heading 6"/>
    <w:basedOn w:val="Heading5"/>
    <w:next w:val="Normal"/>
    <w:link w:val="Heading6Char"/>
    <w:uiPriority w:val="9"/>
    <w:semiHidden/>
    <w:unhideWhenUsed/>
    <w:qFormat/>
    <w:rsid w:val="00486804"/>
    <w:pPr>
      <w:spacing w:before="40"/>
      <w:outlineLvl w:val="5"/>
    </w:pPr>
    <w:rPr>
      <w:color w:val="286B5F" w:themeColor="accent1" w:themeShade="7F"/>
    </w:rPr>
  </w:style>
  <w:style w:type="paragraph" w:styleId="Heading7">
    <w:name w:val="heading 7"/>
    <w:basedOn w:val="Heading6"/>
    <w:next w:val="Normal"/>
    <w:link w:val="Heading7Char"/>
    <w:uiPriority w:val="9"/>
    <w:semiHidden/>
    <w:unhideWhenUsed/>
    <w:qFormat/>
    <w:locked/>
    <w:rsid w:val="00486804"/>
    <w:pPr>
      <w:outlineLvl w:val="6"/>
    </w:pPr>
    <w:rPr>
      <w:i/>
      <w:iCs w:val="0"/>
    </w:rPr>
  </w:style>
  <w:style w:type="paragraph" w:styleId="Heading8">
    <w:name w:val="heading 8"/>
    <w:basedOn w:val="Heading7"/>
    <w:next w:val="Normal"/>
    <w:link w:val="Heading8Char"/>
    <w:uiPriority w:val="9"/>
    <w:semiHidden/>
    <w:unhideWhenUsed/>
    <w:qFormat/>
    <w:locked/>
    <w:rsid w:val="00486804"/>
    <w:pPr>
      <w:outlineLvl w:val="7"/>
    </w:pPr>
    <w:rPr>
      <w:color w:val="272727" w:themeColor="text1" w:themeTint="D8"/>
      <w:sz w:val="21"/>
      <w:szCs w:val="21"/>
    </w:rPr>
  </w:style>
  <w:style w:type="paragraph" w:styleId="Heading9">
    <w:name w:val="heading 9"/>
    <w:basedOn w:val="Heading8"/>
    <w:next w:val="Normal"/>
    <w:link w:val="Heading9Char"/>
    <w:uiPriority w:val="9"/>
    <w:semiHidden/>
    <w:unhideWhenUsed/>
    <w:qFormat/>
    <w:locked/>
    <w:rsid w:val="00486804"/>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06B8"/>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983AED"/>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ED2831"/>
    <w:rPr>
      <w:rFonts w:asciiTheme="majorHAnsi" w:eastAsiaTheme="majorEastAsia" w:hAnsiTheme="majorHAnsi" w:cstheme="majorBidi"/>
      <w:bCs/>
      <w:color w:val="495965" w:themeColor="text2"/>
      <w:sz w:val="30"/>
      <w:szCs w:val="26"/>
      <w:lang w:val="en-GB"/>
    </w:rPr>
  </w:style>
  <w:style w:type="paragraph" w:customStyle="1" w:styleId="NormalIndented">
    <w:name w:val="Normal Indented"/>
    <w:basedOn w:val="Normal"/>
    <w:qFormat/>
    <w:rsid w:val="00D0296C"/>
    <w:pPr>
      <w:ind w:left="284"/>
    </w:pPr>
  </w:style>
  <w:style w:type="paragraph" w:styleId="Title">
    <w:name w:val="Title"/>
    <w:basedOn w:val="Heading1"/>
    <w:next w:val="Normal"/>
    <w:link w:val="TitleChar"/>
    <w:uiPriority w:val="10"/>
    <w:qFormat/>
    <w:rsid w:val="00D64BD1"/>
    <w:pPr>
      <w:spacing w:after="0"/>
    </w:pPr>
    <w:rPr>
      <w:spacing w:val="-10"/>
      <w:kern w:val="28"/>
      <w:szCs w:val="52"/>
    </w:rPr>
  </w:style>
  <w:style w:type="character" w:customStyle="1" w:styleId="TitleChar">
    <w:name w:val="Title Char"/>
    <w:basedOn w:val="DefaultParagraphFont"/>
    <w:link w:val="Title"/>
    <w:uiPriority w:val="10"/>
    <w:rsid w:val="00D64BD1"/>
    <w:rPr>
      <w:rFonts w:asciiTheme="majorHAnsi" w:eastAsiaTheme="majorEastAsia" w:hAnsiTheme="majorHAnsi" w:cstheme="majorBidi"/>
      <w:b/>
      <w:bCs/>
      <w:caps/>
      <w:color w:val="495965" w:themeColor="text2"/>
      <w:spacing w:val="-10"/>
      <w:kern w:val="28"/>
      <w:sz w:val="38"/>
      <w:szCs w:val="52"/>
    </w:rPr>
  </w:style>
  <w:style w:type="paragraph" w:styleId="Subtitle">
    <w:name w:val="Subtitle"/>
    <w:basedOn w:val="Title"/>
    <w:next w:val="Normal"/>
    <w:link w:val="SubtitleChar"/>
    <w:qFormat/>
    <w:rsid w:val="00D64BD1"/>
    <w:pPr>
      <w:numPr>
        <w:ilvl w:val="1"/>
      </w:numPr>
      <w:spacing w:before="60" w:after="300"/>
    </w:pPr>
    <w:rPr>
      <w:rFonts w:asciiTheme="minorHAnsi" w:hAnsiTheme="minorHAnsi"/>
      <w:b w:val="0"/>
      <w:iCs/>
      <w:szCs w:val="24"/>
    </w:rPr>
  </w:style>
  <w:style w:type="character" w:customStyle="1" w:styleId="SubtitleChar">
    <w:name w:val="Subtitle Char"/>
    <w:basedOn w:val="DefaultParagraphFont"/>
    <w:link w:val="Subtitle"/>
    <w:rsid w:val="00D64BD1"/>
    <w:rPr>
      <w:rFonts w:eastAsiaTheme="majorEastAsia" w:cstheme="majorBidi"/>
      <w:bCs/>
      <w:iCs/>
      <w:caps/>
      <w:color w:val="495965" w:themeColor="text2"/>
      <w:spacing w:val="-10"/>
      <w:kern w:val="28"/>
      <w:sz w:val="38"/>
      <w:szCs w:val="24"/>
    </w:rPr>
  </w:style>
  <w:style w:type="paragraph" w:customStyle="1" w:styleId="Bullet1">
    <w:name w:val="Bullet 1"/>
    <w:basedOn w:val="Normal"/>
    <w:qFormat/>
    <w:rsid w:val="007706B8"/>
    <w:pPr>
      <w:numPr>
        <w:numId w:val="33"/>
      </w:numPr>
      <w:spacing w:before="0"/>
    </w:pPr>
  </w:style>
  <w:style w:type="paragraph" w:customStyle="1" w:styleId="Bullet2">
    <w:name w:val="Bullet 2"/>
    <w:basedOn w:val="Bullet1"/>
    <w:qFormat/>
    <w:rsid w:val="00F2684E"/>
    <w:pPr>
      <w:numPr>
        <w:ilvl w:val="1"/>
      </w:numPr>
    </w:pPr>
  </w:style>
  <w:style w:type="paragraph" w:customStyle="1" w:styleId="Bullet3">
    <w:name w:val="Bullet 3"/>
    <w:basedOn w:val="Bullet2"/>
    <w:qFormat/>
    <w:rsid w:val="00F2684E"/>
    <w:pPr>
      <w:numPr>
        <w:ilvl w:val="2"/>
      </w:numPr>
    </w:pPr>
  </w:style>
  <w:style w:type="paragraph" w:customStyle="1" w:styleId="NumberedList1">
    <w:name w:val="Numbered List 1"/>
    <w:basedOn w:val="Normal"/>
    <w:qFormat/>
    <w:rsid w:val="00F2684E"/>
    <w:pPr>
      <w:numPr>
        <w:numId w:val="30"/>
      </w:numPr>
      <w:spacing w:before="0"/>
    </w:pPr>
  </w:style>
  <w:style w:type="paragraph" w:customStyle="1" w:styleId="NumberedList2">
    <w:name w:val="Numbered List 2"/>
    <w:basedOn w:val="NumberedList1"/>
    <w:qFormat/>
    <w:rsid w:val="00F2684E"/>
    <w:pPr>
      <w:numPr>
        <w:ilvl w:val="1"/>
      </w:numPr>
    </w:pPr>
  </w:style>
  <w:style w:type="paragraph" w:customStyle="1" w:styleId="NumberedList3">
    <w:name w:val="Numbered List 3"/>
    <w:basedOn w:val="NumberedList2"/>
    <w:qFormat/>
    <w:rsid w:val="00F2684E"/>
    <w:pPr>
      <w:numPr>
        <w:ilvl w:val="2"/>
      </w:numPr>
    </w:pPr>
  </w:style>
  <w:style w:type="paragraph" w:customStyle="1" w:styleId="Heading1Numbered">
    <w:name w:val="Heading 1 Numbered"/>
    <w:basedOn w:val="Heading1"/>
    <w:next w:val="Normal"/>
    <w:qFormat/>
    <w:rsid w:val="001E1DC0"/>
    <w:pPr>
      <w:numPr>
        <w:numId w:val="23"/>
      </w:numPr>
    </w:pPr>
  </w:style>
  <w:style w:type="paragraph" w:customStyle="1" w:styleId="Heading2Numbered">
    <w:name w:val="Heading 2 Numbered"/>
    <w:basedOn w:val="Heading2"/>
    <w:next w:val="Normal"/>
    <w:qFormat/>
    <w:rsid w:val="00ED2831"/>
    <w:pPr>
      <w:numPr>
        <w:ilvl w:val="1"/>
        <w:numId w:val="23"/>
      </w:numPr>
      <w:spacing w:after="60"/>
    </w:pPr>
    <w:rPr>
      <w:bCs/>
    </w:rPr>
  </w:style>
  <w:style w:type="paragraph" w:customStyle="1" w:styleId="Heading3Numbered">
    <w:name w:val="Heading 3 Numbered"/>
    <w:basedOn w:val="Heading3"/>
    <w:next w:val="Normal"/>
    <w:qFormat/>
    <w:rsid w:val="00ED2831"/>
    <w:pPr>
      <w:numPr>
        <w:ilvl w:val="2"/>
        <w:numId w:val="23"/>
      </w:numPr>
      <w:spacing w:before="300" w:after="60"/>
    </w:pPr>
    <w:rPr>
      <w:szCs w:val="22"/>
    </w:rPr>
  </w:style>
  <w:style w:type="numbering" w:customStyle="1" w:styleId="BulletsList">
    <w:name w:val="Bullets List"/>
    <w:uiPriority w:val="99"/>
    <w:rsid w:val="007706B8"/>
    <w:pPr>
      <w:numPr>
        <w:numId w:val="1"/>
      </w:numPr>
    </w:pPr>
  </w:style>
  <w:style w:type="numbering" w:customStyle="1" w:styleId="Numberedlist">
    <w:name w:val="Numbered list"/>
    <w:uiPriority w:val="99"/>
    <w:rsid w:val="00F2684E"/>
    <w:pPr>
      <w:numPr>
        <w:numId w:val="3"/>
      </w:numPr>
    </w:pPr>
  </w:style>
  <w:style w:type="numbering" w:customStyle="1" w:styleId="HeadingsList">
    <w:name w:val="Headings List"/>
    <w:uiPriority w:val="99"/>
    <w:rsid w:val="001E1DC0"/>
    <w:pPr>
      <w:numPr>
        <w:numId w:val="5"/>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ED2831"/>
    <w:pPr>
      <w:suppressAutoHyphens w:val="0"/>
      <w:spacing w:after="600"/>
      <w:contextualSpacing w:val="0"/>
      <w:outlineLvl w:val="9"/>
    </w:pPr>
    <w:rPr>
      <w:bCs w:val="0"/>
      <w:szCs w:val="32"/>
    </w:rPr>
  </w:style>
  <w:style w:type="character" w:customStyle="1" w:styleId="Heading4Char">
    <w:name w:val="Heading 4 Char"/>
    <w:basedOn w:val="DefaultParagraphFont"/>
    <w:link w:val="Heading4"/>
    <w:uiPriority w:val="9"/>
    <w:rsid w:val="00A4144F"/>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ED2831"/>
    <w:pPr>
      <w:pBdr>
        <w:top w:val="single" w:sz="4" w:space="6" w:color="65C5B4" w:themeColor="accent1"/>
        <w:between w:val="single" w:sz="4" w:space="6" w:color="65C5B4" w:themeColor="accent1"/>
      </w:pBdr>
      <w:tabs>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ED2831"/>
    <w:pPr>
      <w:spacing w:after="100"/>
      <w:ind w:left="199" w:right="454"/>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D16F93"/>
    <w:pPr>
      <w:tabs>
        <w:tab w:val="center" w:pos="4513"/>
        <w:tab w:val="right" w:pos="9026"/>
      </w:tabs>
      <w:spacing w:before="0" w:after="0"/>
      <w:ind w:left="227"/>
    </w:pPr>
    <w:rPr>
      <w:b/>
      <w:caps/>
      <w:color w:val="auto"/>
      <w:sz w:val="20"/>
    </w:r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ED2831"/>
    <w:pPr>
      <w:numPr>
        <w:numId w:val="9"/>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7706B8"/>
    <w:pPr>
      <w:spacing w:before="400" w:after="400" w:line="280" w:lineRule="exact"/>
    </w:pPr>
    <w:rPr>
      <w:b/>
      <w:color w:val="ACD08C" w:themeColor="accent2"/>
      <w:sz w:val="28"/>
    </w:rPr>
  </w:style>
  <w:style w:type="table" w:styleId="TableGrid">
    <w:name w:val="Table Grid"/>
    <w:basedOn w:val="TableNormal"/>
    <w:uiPriority w:val="59"/>
    <w:locked/>
    <w:rsid w:val="00ED28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D16F93"/>
    <w:rPr>
      <w:b/>
      <w:caps/>
      <w:sz w:val="20"/>
      <w:lang w:val="en-GB"/>
    </w:rPr>
  </w:style>
  <w:style w:type="numbering" w:customStyle="1" w:styleId="FigureTitles">
    <w:name w:val="Figure Titles"/>
    <w:uiPriority w:val="99"/>
    <w:rsid w:val="006346BC"/>
    <w:pPr>
      <w:numPr>
        <w:numId w:val="10"/>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D32D6F"/>
    <w:rPr>
      <w:b/>
      <w:i/>
      <w:iCs/>
      <w:color w:val="495965" w:themeColor="text2"/>
    </w:rPr>
  </w:style>
  <w:style w:type="character" w:styleId="Strong">
    <w:name w:val="Strong"/>
    <w:basedOn w:val="DefaultParagraphFont"/>
    <w:uiPriority w:val="22"/>
    <w:qFormat/>
    <w:rsid w:val="00FE6D51"/>
    <w:rPr>
      <w:b/>
      <w:bCs/>
    </w:rPr>
  </w:style>
  <w:style w:type="character" w:styleId="Emphasis">
    <w:name w:val="Emphasis"/>
    <w:basedOn w:val="DefaultParagraphFont"/>
    <w:uiPriority w:val="20"/>
    <w:qFormat/>
    <w:rsid w:val="009D7407"/>
    <w:rPr>
      <w:i/>
      <w:iCs/>
    </w:rPr>
  </w:style>
  <w:style w:type="character" w:customStyle="1" w:styleId="Heading5Char">
    <w:name w:val="Heading 5 Char"/>
    <w:basedOn w:val="DefaultParagraphFont"/>
    <w:link w:val="Heading5"/>
    <w:uiPriority w:val="9"/>
    <w:rsid w:val="007706B8"/>
    <w:rPr>
      <w:rFonts w:asciiTheme="majorHAnsi" w:eastAsiaTheme="majorEastAsia" w:hAnsiTheme="majorHAnsi" w:cstheme="majorBidi"/>
      <w:b/>
      <w:bCs/>
      <w:iCs/>
      <w:color w:val="495965" w:themeColor="text2"/>
      <w:szCs w:val="26"/>
      <w:lang w:val="en-GB"/>
    </w:rPr>
  </w:style>
  <w:style w:type="paragraph" w:styleId="Caption">
    <w:name w:val="caption"/>
    <w:basedOn w:val="Normal"/>
    <w:next w:val="Normal"/>
    <w:uiPriority w:val="35"/>
    <w:unhideWhenUsed/>
    <w:qFormat/>
    <w:rsid w:val="001214BE"/>
    <w:pPr>
      <w:spacing w:before="240" w:after="180" w:line="240" w:lineRule="atLeast"/>
      <w:contextualSpacing/>
    </w:pPr>
    <w:rPr>
      <w:b/>
      <w:iCs/>
      <w:sz w:val="20"/>
      <w:szCs w:val="18"/>
    </w:rPr>
  </w:style>
  <w:style w:type="paragraph" w:styleId="Footer">
    <w:name w:val="footer"/>
    <w:basedOn w:val="Normal"/>
    <w:link w:val="FooterChar"/>
    <w:uiPriority w:val="99"/>
    <w:unhideWhenUsed/>
    <w:rsid w:val="00D16F93"/>
    <w:pPr>
      <w:spacing w:before="0" w:after="0" w:line="240" w:lineRule="exact"/>
      <w:ind w:left="284" w:right="284"/>
    </w:pPr>
    <w:rPr>
      <w:color w:val="auto"/>
    </w:rPr>
  </w:style>
  <w:style w:type="character" w:customStyle="1" w:styleId="FooterChar">
    <w:name w:val="Footer Char"/>
    <w:basedOn w:val="DefaultParagraphFont"/>
    <w:link w:val="Footer"/>
    <w:uiPriority w:val="99"/>
    <w:rsid w:val="00D16F93"/>
    <w:rPr>
      <w:lang w:val="en-GB"/>
    </w:rPr>
  </w:style>
  <w:style w:type="character" w:customStyle="1" w:styleId="Heading6Char">
    <w:name w:val="Heading 6 Char"/>
    <w:basedOn w:val="DefaultParagraphFont"/>
    <w:link w:val="Heading6"/>
    <w:uiPriority w:val="9"/>
    <w:semiHidden/>
    <w:rsid w:val="00486804"/>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semiHidden/>
    <w:rsid w:val="00486804"/>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semiHidden/>
    <w:rsid w:val="00486804"/>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semiHidden/>
    <w:rsid w:val="00486804"/>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rsid w:val="00ED2831"/>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D64BD1"/>
    <w:pPr>
      <w:spacing w:before="0" w:after="180" w:line="320" w:lineRule="atLeast"/>
    </w:pPr>
    <w:rPr>
      <w:iCs/>
      <w:sz w:val="28"/>
    </w:rPr>
  </w:style>
  <w:style w:type="character" w:customStyle="1" w:styleId="QuoteChar">
    <w:name w:val="Quote Char"/>
    <w:basedOn w:val="DefaultParagraphFont"/>
    <w:link w:val="Quote"/>
    <w:uiPriority w:val="29"/>
    <w:rsid w:val="00D64BD1"/>
    <w:rPr>
      <w:iCs/>
      <w:color w:val="495965" w:themeColor="text2"/>
      <w:sz w:val="28"/>
      <w:lang w:val="en-GB"/>
    </w:rPr>
  </w:style>
  <w:style w:type="paragraph" w:customStyle="1" w:styleId="QuoteHeading">
    <w:name w:val="Quote Heading"/>
    <w:basedOn w:val="Quote"/>
    <w:qFormat/>
    <w:locked/>
    <w:rsid w:val="00C5182A"/>
    <w:rPr>
      <w:b/>
      <w:sz w:val="20"/>
    </w:rPr>
  </w:style>
  <w:style w:type="paragraph" w:styleId="FootnoteText">
    <w:name w:val="footnote text"/>
    <w:aliases w:val="ft,fn,FOOTNOTES,single space,Footnote Text Char1 Char,Footnote Text Char Char Char,Footnote Text Char Char Char Char Char,Footnote Text Char Char Char Char Char Char Char Char Char Char,Nbpage Moens,(NECG) Footnote Text Char Char Char,f,A"/>
    <w:basedOn w:val="Normal"/>
    <w:link w:val="FootnoteTextChar"/>
    <w:uiPriority w:val="99"/>
    <w:unhideWhenUsed/>
    <w:qFormat/>
    <w:rsid w:val="008C5A0E"/>
    <w:pPr>
      <w:spacing w:before="60" w:after="0" w:line="140" w:lineRule="atLeast"/>
      <w:ind w:left="170" w:hanging="170"/>
    </w:pPr>
    <w:rPr>
      <w:sz w:val="12"/>
      <w:szCs w:val="20"/>
    </w:rPr>
  </w:style>
  <w:style w:type="character" w:customStyle="1" w:styleId="FootnoteTextChar">
    <w:name w:val="Footnote Text Char"/>
    <w:aliases w:val="ft Char,fn Char,FOOTNOTES Char,single space Char,Footnote Text Char1 Char Char,Footnote Text Char Char Char Char,Footnote Text Char Char Char Char Char Char,Footnote Text Char Char Char Char Char Char Char Char Char Char Char,f Char"/>
    <w:basedOn w:val="DefaultParagraphFont"/>
    <w:link w:val="FootnoteText"/>
    <w:uiPriority w:val="99"/>
    <w:rsid w:val="008C5A0E"/>
    <w:rPr>
      <w:color w:val="495965" w:themeColor="text2"/>
      <w:sz w:val="12"/>
      <w:szCs w:val="20"/>
    </w:rPr>
  </w:style>
  <w:style w:type="character" w:styleId="FootnoteReference">
    <w:name w:val="footnote reference"/>
    <w:basedOn w:val="DefaultParagraphFont"/>
    <w:uiPriority w:val="99"/>
    <w:semiHidden/>
    <w:unhideWhenUsed/>
    <w:rsid w:val="003002C0"/>
    <w:rPr>
      <w:vertAlign w:val="superscript"/>
    </w:rPr>
  </w:style>
  <w:style w:type="paragraph" w:customStyle="1" w:styleId="GreyRoundBoxText">
    <w:name w:val="Grey Round Box Text"/>
    <w:basedOn w:val="Normal"/>
    <w:qFormat/>
    <w:rsid w:val="000D66D6"/>
    <w:pPr>
      <w:spacing w:before="0"/>
    </w:pPr>
    <w:rPr>
      <w:b/>
      <w:caps/>
      <w:color w:val="FFFFFF" w:themeColor="background1"/>
      <w:sz w:val="18"/>
    </w:rPr>
  </w:style>
  <w:style w:type="character" w:customStyle="1" w:styleId="Green">
    <w:name w:val="Green"/>
    <w:basedOn w:val="DefaultParagraphFont"/>
    <w:uiPriority w:val="1"/>
    <w:qFormat/>
    <w:rsid w:val="00D16F93"/>
    <w:rPr>
      <w:color w:val="auto"/>
    </w:rPr>
  </w:style>
  <w:style w:type="paragraph" w:customStyle="1" w:styleId="PhotoMargins">
    <w:name w:val="Photo Margins"/>
    <w:basedOn w:val="Normal"/>
    <w:qFormat/>
    <w:rsid w:val="00992C76"/>
  </w:style>
  <w:style w:type="paragraph" w:customStyle="1" w:styleId="PhotoLeft">
    <w:name w:val="Photo Left"/>
    <w:basedOn w:val="PhotoMargins"/>
    <w:qFormat/>
    <w:rsid w:val="00F82271"/>
    <w:pPr>
      <w:ind w:left="-851"/>
    </w:pPr>
  </w:style>
  <w:style w:type="paragraph" w:customStyle="1" w:styleId="PhotoRight">
    <w:name w:val="Photo Right"/>
    <w:basedOn w:val="PhotoMargins"/>
    <w:qFormat/>
    <w:rsid w:val="00F82271"/>
    <w:pPr>
      <w:ind w:right="-851"/>
      <w:jc w:val="right"/>
    </w:pPr>
  </w:style>
  <w:style w:type="paragraph" w:customStyle="1" w:styleId="PhotoCaption">
    <w:name w:val="Photo Caption"/>
    <w:basedOn w:val="Normal"/>
    <w:qFormat/>
    <w:rsid w:val="00897FA2"/>
    <w:pPr>
      <w:spacing w:after="200" w:line="200" w:lineRule="atLeast"/>
      <w:jc w:val="right"/>
    </w:pPr>
    <w:rPr>
      <w:sz w:val="16"/>
    </w:rPr>
  </w:style>
  <w:style w:type="table" w:customStyle="1" w:styleId="DFATTable1">
    <w:name w:val="DFAT Table 1"/>
    <w:basedOn w:val="TableNormal"/>
    <w:uiPriority w:val="99"/>
    <w:rsid w:val="00C06B13"/>
    <w:pPr>
      <w:spacing w:before="60" w:after="60" w:line="260" w:lineRule="atLeast"/>
    </w:pPr>
    <w:rPr>
      <w:rFonts w:ascii="Calibri" w:hAnsi="Calibri"/>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FootnoteSeparator">
    <w:name w:val="Footnote Separator"/>
    <w:basedOn w:val="Footer"/>
    <w:qFormat/>
    <w:rsid w:val="00ED2831"/>
    <w:pPr>
      <w:pBdr>
        <w:top w:val="single" w:sz="4" w:space="1" w:color="495965" w:themeColor="text2"/>
      </w:pBdr>
      <w:tabs>
        <w:tab w:val="right" w:pos="9356"/>
        <w:tab w:val="center" w:pos="10036"/>
      </w:tabs>
      <w:spacing w:line="220" w:lineRule="atLeast"/>
      <w:ind w:right="0"/>
    </w:pPr>
    <w:rPr>
      <w:color w:val="495965" w:themeColor="text2"/>
      <w:sz w:val="14"/>
    </w:rPr>
  </w:style>
  <w:style w:type="paragraph" w:customStyle="1" w:styleId="Heading1smallspaceafter">
    <w:name w:val="Heading 1 small space after"/>
    <w:basedOn w:val="Heading1"/>
    <w:qFormat/>
    <w:rsid w:val="00F25A93"/>
    <w:pPr>
      <w:spacing w:after="600"/>
      <w:contextualSpacing w:val="0"/>
    </w:pPr>
  </w:style>
  <w:style w:type="paragraph" w:customStyle="1" w:styleId="TableBullet1">
    <w:name w:val="Table Bullet 1"/>
    <w:basedOn w:val="Bullet1"/>
    <w:qFormat/>
    <w:rsid w:val="00ED2831"/>
    <w:pPr>
      <w:numPr>
        <w:numId w:val="0"/>
      </w:numPr>
      <w:spacing w:before="60" w:line="220" w:lineRule="atLeast"/>
      <w:ind w:left="284" w:hanging="284"/>
    </w:pPr>
    <w:rPr>
      <w:rFonts w:ascii="Calibri" w:hAnsi="Calibri"/>
      <w:sz w:val="18"/>
    </w:rPr>
  </w:style>
  <w:style w:type="paragraph" w:customStyle="1" w:styleId="TableBullet2">
    <w:name w:val="Table Bullet 2"/>
    <w:basedOn w:val="Bullet2"/>
    <w:qFormat/>
    <w:rsid w:val="00ED2831"/>
    <w:pPr>
      <w:numPr>
        <w:ilvl w:val="0"/>
        <w:numId w:val="0"/>
      </w:numPr>
      <w:spacing w:before="60" w:line="220" w:lineRule="atLeast"/>
      <w:ind w:left="568" w:hanging="284"/>
    </w:pPr>
    <w:rPr>
      <w:rFonts w:ascii="Calibri" w:hAnsi="Calibri"/>
      <w:sz w:val="18"/>
    </w:rPr>
  </w:style>
  <w:style w:type="paragraph" w:customStyle="1" w:styleId="TableBullet3">
    <w:name w:val="Table Bullet 3"/>
    <w:basedOn w:val="Bullet3"/>
    <w:qFormat/>
    <w:rsid w:val="00ED2831"/>
    <w:pPr>
      <w:numPr>
        <w:ilvl w:val="0"/>
        <w:numId w:val="0"/>
      </w:numPr>
      <w:spacing w:before="60" w:line="220" w:lineRule="atLeast"/>
      <w:ind w:left="852" w:hanging="284"/>
    </w:pPr>
    <w:rPr>
      <w:rFonts w:ascii="Calibri" w:hAnsi="Calibri"/>
      <w:sz w:val="18"/>
    </w:rPr>
  </w:style>
  <w:style w:type="paragraph" w:customStyle="1" w:styleId="TableHeaderRow">
    <w:name w:val="Table Header Row"/>
    <w:basedOn w:val="Normal"/>
    <w:qFormat/>
    <w:rsid w:val="00C06B13"/>
    <w:pPr>
      <w:framePr w:hSpace="180" w:wrap="around" w:vAnchor="page" w:hAnchor="margin" w:y="5061"/>
      <w:spacing w:before="60"/>
    </w:pPr>
    <w:rPr>
      <w:rFonts w:ascii="Calibri" w:hAnsi="Calibri"/>
      <w:b/>
      <w:szCs w:val="21"/>
    </w:rPr>
  </w:style>
  <w:style w:type="paragraph" w:customStyle="1" w:styleId="TableNumberedList1">
    <w:name w:val="Table Numbered List 1"/>
    <w:basedOn w:val="NumberedList1"/>
    <w:qFormat/>
    <w:rsid w:val="00ED2831"/>
    <w:pPr>
      <w:spacing w:before="60" w:line="220" w:lineRule="atLeast"/>
    </w:pPr>
    <w:rPr>
      <w:rFonts w:ascii="Calibri" w:hAnsi="Calibri"/>
      <w:sz w:val="18"/>
    </w:rPr>
  </w:style>
  <w:style w:type="paragraph" w:customStyle="1" w:styleId="TableNumberedList2">
    <w:name w:val="Table Numbered List 2"/>
    <w:basedOn w:val="NumberedList2"/>
    <w:qFormat/>
    <w:rsid w:val="00ED2831"/>
    <w:pPr>
      <w:spacing w:before="60" w:line="220" w:lineRule="atLeast"/>
    </w:pPr>
    <w:rPr>
      <w:rFonts w:ascii="Calibri" w:hAnsi="Calibri"/>
      <w:sz w:val="18"/>
    </w:rPr>
  </w:style>
  <w:style w:type="paragraph" w:customStyle="1" w:styleId="TableNumberedList3">
    <w:name w:val="Table Numbered List 3"/>
    <w:basedOn w:val="NumberedList3"/>
    <w:qFormat/>
    <w:rsid w:val="00ED2831"/>
    <w:pPr>
      <w:spacing w:before="60" w:line="220" w:lineRule="atLeast"/>
      <w:ind w:left="851"/>
    </w:pPr>
    <w:rPr>
      <w:rFonts w:ascii="Calibri" w:hAnsi="Calibri"/>
      <w:sz w:val="18"/>
    </w:rPr>
  </w:style>
  <w:style w:type="paragraph" w:customStyle="1" w:styleId="TableSourceNotes">
    <w:name w:val="Table Source Notes"/>
    <w:basedOn w:val="Normal"/>
    <w:qFormat/>
    <w:rsid w:val="00ED2831"/>
    <w:pPr>
      <w:tabs>
        <w:tab w:val="left" w:pos="284"/>
      </w:tabs>
      <w:spacing w:line="160" w:lineRule="atLeast"/>
      <w:ind w:left="284" w:hanging="284"/>
      <w:contextualSpacing/>
    </w:pPr>
    <w:rPr>
      <w:sz w:val="12"/>
    </w:rPr>
  </w:style>
  <w:style w:type="paragraph" w:customStyle="1" w:styleId="TableTotalRow">
    <w:name w:val="Table Total Row"/>
    <w:basedOn w:val="Normal"/>
    <w:qFormat/>
    <w:rsid w:val="00CF07BA"/>
    <w:pPr>
      <w:spacing w:before="60"/>
    </w:pPr>
    <w:rPr>
      <w:rFonts w:ascii="Calibri" w:hAnsi="Calibri"/>
      <w:b/>
      <w:color w:val="FFFFFF" w:themeColor="background1"/>
    </w:rPr>
  </w:style>
  <w:style w:type="paragraph" w:customStyle="1" w:styleId="BoxHeading">
    <w:name w:val="Box Heading"/>
    <w:basedOn w:val="Heading3"/>
    <w:qFormat/>
    <w:locked/>
    <w:rsid w:val="00ED2831"/>
    <w:pPr>
      <w:spacing w:before="60"/>
    </w:pPr>
  </w:style>
  <w:style w:type="paragraph" w:customStyle="1" w:styleId="QuoteAuthor">
    <w:name w:val="Quote Author"/>
    <w:basedOn w:val="Quote"/>
    <w:qFormat/>
    <w:rsid w:val="00D64BD1"/>
    <w:pPr>
      <w:spacing w:after="60" w:line="200" w:lineRule="atLeast"/>
    </w:pPr>
    <w:rPr>
      <w:sz w:val="16"/>
    </w:rPr>
  </w:style>
  <w:style w:type="paragraph" w:customStyle="1" w:styleId="TableText">
    <w:name w:val="Table Text"/>
    <w:basedOn w:val="Normal"/>
    <w:qFormat/>
    <w:rsid w:val="0080204D"/>
    <w:pPr>
      <w:framePr w:hSpace="180" w:wrap="around" w:vAnchor="page" w:hAnchor="margin" w:y="5061"/>
      <w:spacing w:before="60"/>
    </w:pPr>
    <w:rPr>
      <w:rFonts w:ascii="Calibri" w:hAnsi="Calibri"/>
      <w:szCs w:val="21"/>
    </w:rPr>
  </w:style>
  <w:style w:type="paragraph" w:customStyle="1" w:styleId="PhotoCredit">
    <w:name w:val="Photo Credit"/>
    <w:basedOn w:val="Normal"/>
    <w:qFormat/>
    <w:rsid w:val="00A80F95"/>
    <w:pPr>
      <w:spacing w:after="200" w:line="160" w:lineRule="atLeast"/>
      <w:jc w:val="right"/>
    </w:pPr>
    <w:rPr>
      <w:sz w:val="12"/>
    </w:rPr>
  </w:style>
  <w:style w:type="paragraph" w:styleId="BalloonText">
    <w:name w:val="Balloon Text"/>
    <w:basedOn w:val="Normal"/>
    <w:link w:val="BalloonTextChar"/>
    <w:uiPriority w:val="99"/>
    <w:semiHidden/>
    <w:unhideWhenUsed/>
    <w:locked/>
    <w:rsid w:val="00A61B4D"/>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1B4D"/>
    <w:rPr>
      <w:rFonts w:ascii="Tahoma" w:hAnsi="Tahoma" w:cs="Tahoma"/>
      <w:color w:val="495965" w:themeColor="text2"/>
      <w:sz w:val="16"/>
      <w:szCs w:val="16"/>
      <w:lang w:val="en-GB"/>
    </w:rPr>
  </w:style>
  <w:style w:type="paragraph" w:customStyle="1" w:styleId="SpacebeforeTitle">
    <w:name w:val="Space before Title"/>
    <w:basedOn w:val="Normal"/>
    <w:qFormat/>
    <w:rsid w:val="00B33C0A"/>
    <w:pPr>
      <w:spacing w:after="900"/>
    </w:pPr>
  </w:style>
  <w:style w:type="paragraph" w:customStyle="1" w:styleId="Box1Text">
    <w:name w:val="Box 1 Text"/>
    <w:basedOn w:val="Normal"/>
    <w:qFormat/>
    <w:rsid w:val="00E8296D"/>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E8296D"/>
    <w:pPr>
      <w:keepNext/>
      <w:spacing w:line="300" w:lineRule="atLeast"/>
    </w:pPr>
    <w:rPr>
      <w:b/>
      <w:sz w:val="26"/>
    </w:rPr>
  </w:style>
  <w:style w:type="paragraph" w:customStyle="1" w:styleId="Box2Text">
    <w:name w:val="Box 2 Text"/>
    <w:basedOn w:val="Box1Text"/>
    <w:qFormat/>
    <w:rsid w:val="00522396"/>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E8296D"/>
    <w:pPr>
      <w:keepNext/>
      <w:spacing w:line="300" w:lineRule="atLeast"/>
    </w:pPr>
    <w:rPr>
      <w:b/>
      <w:sz w:val="26"/>
    </w:rPr>
  </w:style>
  <w:style w:type="paragraph" w:customStyle="1" w:styleId="Box1Bullet">
    <w:name w:val="Box 1 Bullet"/>
    <w:basedOn w:val="Box1Text"/>
    <w:qFormat/>
    <w:rsid w:val="00C42541"/>
    <w:pPr>
      <w:numPr>
        <w:numId w:val="31"/>
      </w:numPr>
      <w:ind w:left="454" w:hanging="170"/>
    </w:pPr>
  </w:style>
  <w:style w:type="paragraph" w:customStyle="1" w:styleId="Box2Bullet">
    <w:name w:val="Box 2 Bullet"/>
    <w:basedOn w:val="Box2Text"/>
    <w:qFormat/>
    <w:rsid w:val="00C42541"/>
    <w:pPr>
      <w:numPr>
        <w:numId w:val="32"/>
      </w:numPr>
      <w:ind w:left="454" w:hanging="170"/>
    </w:pPr>
  </w:style>
  <w:style w:type="paragraph" w:styleId="BodyText">
    <w:name w:val="Body Text"/>
    <w:basedOn w:val="Normal"/>
    <w:link w:val="BodyTextChar"/>
    <w:uiPriority w:val="99"/>
    <w:unhideWhenUsed/>
    <w:rsid w:val="000020C1"/>
  </w:style>
  <w:style w:type="character" w:customStyle="1" w:styleId="BodyTextChar">
    <w:name w:val="Body Text Char"/>
    <w:basedOn w:val="DefaultParagraphFont"/>
    <w:link w:val="BodyText"/>
    <w:uiPriority w:val="99"/>
    <w:rsid w:val="000020C1"/>
    <w:rPr>
      <w:color w:val="495965" w:themeColor="text2"/>
      <w:lang w:val="en-GB"/>
    </w:rPr>
  </w:style>
  <w:style w:type="paragraph" w:styleId="BodyText2">
    <w:name w:val="Body Text 2"/>
    <w:basedOn w:val="Normal"/>
    <w:link w:val="BodyText2Char"/>
    <w:uiPriority w:val="99"/>
    <w:semiHidden/>
    <w:unhideWhenUsed/>
    <w:locked/>
    <w:rsid w:val="000020C1"/>
    <w:pPr>
      <w:spacing w:line="480" w:lineRule="auto"/>
    </w:pPr>
  </w:style>
  <w:style w:type="character" w:customStyle="1" w:styleId="BodyText2Char">
    <w:name w:val="Body Text 2 Char"/>
    <w:basedOn w:val="DefaultParagraphFont"/>
    <w:link w:val="BodyText2"/>
    <w:uiPriority w:val="99"/>
    <w:semiHidden/>
    <w:rsid w:val="000020C1"/>
    <w:rPr>
      <w:color w:val="495965" w:themeColor="text2"/>
      <w:lang w:val="en-GB"/>
    </w:rPr>
  </w:style>
  <w:style w:type="paragraph" w:styleId="BodyText3">
    <w:name w:val="Body Text 3"/>
    <w:basedOn w:val="Normal"/>
    <w:link w:val="BodyText3Char"/>
    <w:uiPriority w:val="99"/>
    <w:semiHidden/>
    <w:unhideWhenUsed/>
    <w:locked/>
    <w:rsid w:val="000020C1"/>
    <w:rPr>
      <w:sz w:val="16"/>
      <w:szCs w:val="16"/>
    </w:rPr>
  </w:style>
  <w:style w:type="character" w:customStyle="1" w:styleId="BodyText3Char">
    <w:name w:val="Body Text 3 Char"/>
    <w:basedOn w:val="DefaultParagraphFont"/>
    <w:link w:val="BodyText3"/>
    <w:uiPriority w:val="99"/>
    <w:semiHidden/>
    <w:rsid w:val="000020C1"/>
    <w:rPr>
      <w:color w:val="495965" w:themeColor="text2"/>
      <w:sz w:val="16"/>
      <w:szCs w:val="16"/>
      <w:lang w:val="en-GB"/>
    </w:rPr>
  </w:style>
  <w:style w:type="paragraph" w:styleId="BodyTextFirstIndent">
    <w:name w:val="Body Text First Indent"/>
    <w:basedOn w:val="NormalIndented"/>
    <w:link w:val="BodyTextFirstIndentChar"/>
    <w:uiPriority w:val="99"/>
    <w:unhideWhenUsed/>
    <w:rsid w:val="000020C1"/>
  </w:style>
  <w:style w:type="character" w:customStyle="1" w:styleId="BodyTextFirstIndentChar">
    <w:name w:val="Body Text First Indent Char"/>
    <w:basedOn w:val="BodyTextChar"/>
    <w:link w:val="BodyTextFirstIndent"/>
    <w:uiPriority w:val="99"/>
    <w:rsid w:val="000020C1"/>
    <w:rPr>
      <w:color w:val="495965" w:themeColor="text2"/>
      <w:lang w:val="en-GB"/>
    </w:rPr>
  </w:style>
  <w:style w:type="paragraph" w:styleId="BodyTextIndent">
    <w:name w:val="Body Text Indent"/>
    <w:basedOn w:val="Normal"/>
    <w:link w:val="BodyTextIndentChar"/>
    <w:uiPriority w:val="99"/>
    <w:semiHidden/>
    <w:unhideWhenUsed/>
    <w:locked/>
    <w:rsid w:val="000020C1"/>
    <w:pPr>
      <w:spacing w:after="120"/>
      <w:ind w:left="283"/>
    </w:pPr>
  </w:style>
  <w:style w:type="character" w:customStyle="1" w:styleId="BodyTextIndentChar">
    <w:name w:val="Body Text Indent Char"/>
    <w:basedOn w:val="DefaultParagraphFont"/>
    <w:link w:val="BodyTextIndent"/>
    <w:uiPriority w:val="99"/>
    <w:semiHidden/>
    <w:rsid w:val="000020C1"/>
    <w:rPr>
      <w:color w:val="495965" w:themeColor="text2"/>
      <w:lang w:val="en-GB"/>
    </w:rPr>
  </w:style>
  <w:style w:type="paragraph" w:styleId="BodyTextFirstIndent2">
    <w:name w:val="Body Text First Indent 2"/>
    <w:basedOn w:val="BodyTextIndent"/>
    <w:link w:val="BodyTextFirstIndent2Char"/>
    <w:uiPriority w:val="99"/>
    <w:semiHidden/>
    <w:unhideWhenUsed/>
    <w:locked/>
    <w:rsid w:val="00E8457B"/>
    <w:pPr>
      <w:spacing w:after="60"/>
      <w:ind w:left="567"/>
    </w:pPr>
  </w:style>
  <w:style w:type="character" w:customStyle="1" w:styleId="BodyTextFirstIndent2Char">
    <w:name w:val="Body Text First Indent 2 Char"/>
    <w:basedOn w:val="BodyTextIndentChar"/>
    <w:link w:val="BodyTextFirstIndent2"/>
    <w:uiPriority w:val="99"/>
    <w:semiHidden/>
    <w:rsid w:val="00E8457B"/>
    <w:rPr>
      <w:color w:val="495965" w:themeColor="text2"/>
      <w:lang w:val="en-GB"/>
    </w:rPr>
  </w:style>
  <w:style w:type="paragraph" w:styleId="BlockText">
    <w:name w:val="Block Text"/>
    <w:basedOn w:val="Normal"/>
    <w:uiPriority w:val="99"/>
    <w:unhideWhenUsed/>
    <w:locked/>
    <w:rsid w:val="00E8457B"/>
    <w:pPr>
      <w:pBdr>
        <w:top w:val="single" w:sz="2" w:space="10" w:color="65C5B4" w:themeColor="accent1"/>
        <w:left w:val="single" w:sz="2" w:space="10" w:color="65C5B4" w:themeColor="accent1"/>
        <w:bottom w:val="single" w:sz="2" w:space="10" w:color="65C5B4" w:themeColor="accent1"/>
        <w:right w:val="single" w:sz="2" w:space="10" w:color="65C5B4" w:themeColor="accent1"/>
      </w:pBdr>
      <w:ind w:left="1152" w:right="1152"/>
    </w:pPr>
    <w:rPr>
      <w:rFonts w:eastAsiaTheme="minorEastAsia"/>
      <w:i/>
      <w:iCs/>
      <w:color w:val="65C5B4" w:themeColor="accent1"/>
    </w:rPr>
  </w:style>
  <w:style w:type="table" w:customStyle="1" w:styleId="DFATTable2">
    <w:name w:val="DFAT Table 2"/>
    <w:basedOn w:val="TableNormal"/>
    <w:uiPriority w:val="99"/>
    <w:rsid w:val="00482AE8"/>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style>
  <w:style w:type="character" w:styleId="CommentReference">
    <w:name w:val="annotation reference"/>
    <w:basedOn w:val="DefaultParagraphFont"/>
    <w:uiPriority w:val="99"/>
    <w:semiHidden/>
    <w:unhideWhenUsed/>
    <w:rsid w:val="005204D2"/>
    <w:rPr>
      <w:sz w:val="16"/>
      <w:szCs w:val="16"/>
    </w:rPr>
  </w:style>
  <w:style w:type="paragraph" w:styleId="CommentText">
    <w:name w:val="annotation text"/>
    <w:basedOn w:val="Normal"/>
    <w:link w:val="CommentTextChar"/>
    <w:uiPriority w:val="99"/>
    <w:semiHidden/>
    <w:unhideWhenUsed/>
    <w:rsid w:val="005204D2"/>
    <w:pPr>
      <w:spacing w:line="240" w:lineRule="auto"/>
    </w:pPr>
    <w:rPr>
      <w:sz w:val="20"/>
      <w:szCs w:val="20"/>
    </w:rPr>
  </w:style>
  <w:style w:type="character" w:customStyle="1" w:styleId="CommentTextChar">
    <w:name w:val="Comment Text Char"/>
    <w:basedOn w:val="DefaultParagraphFont"/>
    <w:link w:val="CommentText"/>
    <w:uiPriority w:val="99"/>
    <w:semiHidden/>
    <w:rsid w:val="005204D2"/>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5204D2"/>
    <w:rPr>
      <w:b/>
      <w:bCs/>
    </w:rPr>
  </w:style>
  <w:style w:type="character" w:customStyle="1" w:styleId="CommentSubjectChar">
    <w:name w:val="Comment Subject Char"/>
    <w:basedOn w:val="CommentTextChar"/>
    <w:link w:val="CommentSubject"/>
    <w:uiPriority w:val="99"/>
    <w:semiHidden/>
    <w:rsid w:val="005204D2"/>
    <w:rPr>
      <w:b/>
      <w:bCs/>
      <w:color w:val="495965" w:themeColor="text2"/>
      <w:sz w:val="20"/>
      <w:szCs w:val="20"/>
      <w:lang w:val="en-GB"/>
    </w:rPr>
  </w:style>
  <w:style w:type="character" w:customStyle="1" w:styleId="ColourAccent1">
    <w:name w:val="Colour Accent 1"/>
    <w:basedOn w:val="DefaultParagraphFont"/>
    <w:uiPriority w:val="1"/>
    <w:qFormat/>
    <w:locked/>
    <w:rsid w:val="001214BE"/>
    <w:rPr>
      <w:color w:val="65C5B4" w:themeColor="accent1"/>
    </w:rPr>
  </w:style>
  <w:style w:type="paragraph" w:styleId="ListParagraph">
    <w:name w:val="List Paragraph"/>
    <w:aliases w:val="List Paragraph1,Recommendation,List Paragraph11,L,F5 List Paragraph,Dot pt,CV text,Table text,List Paragraph111,Medium Grid 1 - Accent 21,Numbered Paragraph,List Paragraph2,Bulleted Para,NFP GP Bulleted List,FooterText,numbered,列出段落,列出段落1"/>
    <w:basedOn w:val="Normal"/>
    <w:link w:val="ListParagraphChar"/>
    <w:uiPriority w:val="34"/>
    <w:qFormat/>
    <w:locked/>
    <w:rsid w:val="007E4969"/>
    <w:pPr>
      <w:ind w:left="720"/>
      <w:contextualSpacing/>
    </w:pPr>
  </w:style>
  <w:style w:type="table" w:styleId="PlainTable3">
    <w:name w:val="Plain Table 3"/>
    <w:basedOn w:val="TableNormal"/>
    <w:uiPriority w:val="43"/>
    <w:locked/>
    <w:rsid w:val="009278D2"/>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ListParagraphChar">
    <w:name w:val="List Paragraph Char"/>
    <w:aliases w:val="List Paragraph1 Char,Recommendation Char,List Paragraph11 Char,L Char,F5 List Paragraph Char,Dot pt Char,CV text Char,Table text Char,List Paragraph111 Char,Medium Grid 1 - Accent 21 Char,Numbered Paragraph Char,List Paragraph2 Char"/>
    <w:link w:val="ListParagraph"/>
    <w:uiPriority w:val="34"/>
    <w:qFormat/>
    <w:locked/>
    <w:rsid w:val="00B05089"/>
    <w:rPr>
      <w:color w:val="495965" w:themeColor="text2"/>
      <w:lang w:val="en-GB"/>
    </w:rPr>
  </w:style>
  <w:style w:type="paragraph" w:styleId="NormalWeb">
    <w:name w:val="Normal (Web)"/>
    <w:basedOn w:val="Normal"/>
    <w:uiPriority w:val="99"/>
    <w:unhideWhenUsed/>
    <w:rsid w:val="007E3FF9"/>
    <w:pPr>
      <w:suppressAutoHyphens w:val="0"/>
      <w:spacing w:before="100" w:beforeAutospacing="1" w:after="100" w:afterAutospacing="1" w:line="240" w:lineRule="auto"/>
    </w:pPr>
    <w:rPr>
      <w:rFonts w:ascii="Times New Roman" w:eastAsia="Times New Roman" w:hAnsi="Times New Roman" w:cs="Times New Roman"/>
      <w:color w:val="auto"/>
      <w:sz w:val="24"/>
      <w:szCs w:val="24"/>
      <w:lang w:val="en-AU" w:eastAsia="en-AU"/>
    </w:rPr>
  </w:style>
  <w:style w:type="table" w:customStyle="1" w:styleId="APPR">
    <w:name w:val="APPR"/>
    <w:basedOn w:val="TableNormal"/>
    <w:uiPriority w:val="99"/>
    <w:rsid w:val="00390828"/>
    <w:pPr>
      <w:spacing w:after="0" w:line="240" w:lineRule="auto"/>
    </w:pPr>
    <w:rPr>
      <w:rFonts w:ascii="Franklin Gothic Book" w:hAnsi="Franklin Gothic Book"/>
      <w:sz w:val="17"/>
      <w:lang w:eastAsia="en-AU"/>
    </w:rPr>
    <w:tblPr>
      <w:tblStyleRowBandSize w:val="1"/>
      <w:tblCellSpacing w:w="14" w:type="dxa"/>
      <w:tblBorders>
        <w:top w:val="single" w:sz="12" w:space="0" w:color="000000" w:themeColor="text1"/>
        <w:bottom w:val="single" w:sz="12" w:space="0" w:color="000000" w:themeColor="text1"/>
      </w:tblBorders>
    </w:tblPr>
    <w:trPr>
      <w:tblHeader/>
      <w:tblCellSpacing w:w="14" w:type="dxa"/>
    </w:trPr>
    <w:tblStylePr w:type="firstRow">
      <w:pPr>
        <w:wordWrap/>
      </w:pPr>
      <w:rPr>
        <w:rFonts w:ascii="Franklin Gothic Medium" w:hAnsi="Franklin Gothic Medium"/>
        <w:b/>
        <w:sz w:val="17"/>
      </w:rPr>
      <w:tblPr/>
      <w:tcPr>
        <w:tcBorders>
          <w:top w:val="nil"/>
          <w:bottom w:val="nil"/>
        </w:tcBorders>
      </w:tcPr>
    </w:tblStylePr>
    <w:tblStylePr w:type="band2Horz">
      <w:tblPr/>
      <w:tcPr>
        <w:tcBorders>
          <w:top w:val="nil"/>
          <w:left w:val="nil"/>
          <w:bottom w:val="nil"/>
          <w:right w:val="nil"/>
          <w:insideH w:val="nil"/>
          <w:insideV w:val="nil"/>
          <w:tl2br w:val="nil"/>
          <w:tr2bl w:val="nil"/>
        </w:tcBorders>
      </w:tcPr>
    </w:tblStylePr>
  </w:style>
  <w:style w:type="paragraph" w:styleId="Revision">
    <w:name w:val="Revision"/>
    <w:hidden/>
    <w:uiPriority w:val="99"/>
    <w:semiHidden/>
    <w:rsid w:val="00660121"/>
    <w:pPr>
      <w:spacing w:after="0" w:line="240" w:lineRule="auto"/>
    </w:pPr>
    <w:rPr>
      <w:color w:val="495965" w:themeColor="text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94796">
      <w:bodyDiv w:val="1"/>
      <w:marLeft w:val="0"/>
      <w:marRight w:val="0"/>
      <w:marTop w:val="0"/>
      <w:marBottom w:val="0"/>
      <w:divBdr>
        <w:top w:val="none" w:sz="0" w:space="0" w:color="auto"/>
        <w:left w:val="none" w:sz="0" w:space="0" w:color="auto"/>
        <w:bottom w:val="none" w:sz="0" w:space="0" w:color="auto"/>
        <w:right w:val="none" w:sz="0" w:space="0" w:color="auto"/>
      </w:divBdr>
    </w:div>
    <w:div w:id="388267503">
      <w:bodyDiv w:val="1"/>
      <w:marLeft w:val="0"/>
      <w:marRight w:val="0"/>
      <w:marTop w:val="0"/>
      <w:marBottom w:val="0"/>
      <w:divBdr>
        <w:top w:val="none" w:sz="0" w:space="0" w:color="auto"/>
        <w:left w:val="none" w:sz="0" w:space="0" w:color="auto"/>
        <w:bottom w:val="none" w:sz="0" w:space="0" w:color="auto"/>
        <w:right w:val="none" w:sz="0" w:space="0" w:color="auto"/>
      </w:divBdr>
    </w:div>
    <w:div w:id="489640626">
      <w:bodyDiv w:val="1"/>
      <w:marLeft w:val="0"/>
      <w:marRight w:val="0"/>
      <w:marTop w:val="0"/>
      <w:marBottom w:val="0"/>
      <w:divBdr>
        <w:top w:val="none" w:sz="0" w:space="0" w:color="auto"/>
        <w:left w:val="none" w:sz="0" w:space="0" w:color="auto"/>
        <w:bottom w:val="none" w:sz="0" w:space="0" w:color="auto"/>
        <w:right w:val="none" w:sz="0" w:space="0" w:color="auto"/>
      </w:divBdr>
    </w:div>
    <w:div w:id="993988907">
      <w:bodyDiv w:val="1"/>
      <w:marLeft w:val="0"/>
      <w:marRight w:val="0"/>
      <w:marTop w:val="0"/>
      <w:marBottom w:val="0"/>
      <w:divBdr>
        <w:top w:val="none" w:sz="0" w:space="0" w:color="auto"/>
        <w:left w:val="none" w:sz="0" w:space="0" w:color="auto"/>
        <w:bottom w:val="none" w:sz="0" w:space="0" w:color="auto"/>
        <w:right w:val="none" w:sz="0" w:space="0" w:color="auto"/>
      </w:divBdr>
    </w:div>
    <w:div w:id="1161970788">
      <w:bodyDiv w:val="1"/>
      <w:marLeft w:val="0"/>
      <w:marRight w:val="0"/>
      <w:marTop w:val="0"/>
      <w:marBottom w:val="0"/>
      <w:divBdr>
        <w:top w:val="none" w:sz="0" w:space="0" w:color="auto"/>
        <w:left w:val="none" w:sz="0" w:space="0" w:color="auto"/>
        <w:bottom w:val="none" w:sz="0" w:space="0" w:color="auto"/>
        <w:right w:val="none" w:sz="0" w:space="0" w:color="auto"/>
      </w:divBdr>
    </w:div>
    <w:div w:id="1168977536">
      <w:bodyDiv w:val="1"/>
      <w:marLeft w:val="0"/>
      <w:marRight w:val="0"/>
      <w:marTop w:val="0"/>
      <w:marBottom w:val="0"/>
      <w:divBdr>
        <w:top w:val="none" w:sz="0" w:space="0" w:color="auto"/>
        <w:left w:val="none" w:sz="0" w:space="0" w:color="auto"/>
        <w:bottom w:val="none" w:sz="0" w:space="0" w:color="auto"/>
        <w:right w:val="none" w:sz="0" w:space="0" w:color="auto"/>
      </w:divBdr>
    </w:div>
    <w:div w:id="1180923512">
      <w:bodyDiv w:val="1"/>
      <w:marLeft w:val="0"/>
      <w:marRight w:val="0"/>
      <w:marTop w:val="0"/>
      <w:marBottom w:val="0"/>
      <w:divBdr>
        <w:top w:val="none" w:sz="0" w:space="0" w:color="auto"/>
        <w:left w:val="none" w:sz="0" w:space="0" w:color="auto"/>
        <w:bottom w:val="none" w:sz="0" w:space="0" w:color="auto"/>
        <w:right w:val="none" w:sz="0" w:space="0" w:color="auto"/>
      </w:divBdr>
    </w:div>
    <w:div w:id="1341353538">
      <w:bodyDiv w:val="1"/>
      <w:marLeft w:val="0"/>
      <w:marRight w:val="0"/>
      <w:marTop w:val="0"/>
      <w:marBottom w:val="0"/>
      <w:divBdr>
        <w:top w:val="none" w:sz="0" w:space="0" w:color="auto"/>
        <w:left w:val="none" w:sz="0" w:space="0" w:color="auto"/>
        <w:bottom w:val="none" w:sz="0" w:space="0" w:color="auto"/>
        <w:right w:val="none" w:sz="0" w:space="0" w:color="auto"/>
      </w:divBdr>
    </w:div>
    <w:div w:id="1731686273">
      <w:bodyDiv w:val="1"/>
      <w:marLeft w:val="0"/>
      <w:marRight w:val="0"/>
      <w:marTop w:val="0"/>
      <w:marBottom w:val="0"/>
      <w:divBdr>
        <w:top w:val="none" w:sz="0" w:space="0" w:color="auto"/>
        <w:left w:val="none" w:sz="0" w:space="0" w:color="auto"/>
        <w:bottom w:val="none" w:sz="0" w:space="0" w:color="auto"/>
        <w:right w:val="none" w:sz="0" w:space="0" w:color="auto"/>
      </w:divBdr>
      <w:divsChild>
        <w:div w:id="861240672">
          <w:marLeft w:val="274"/>
          <w:marRight w:val="0"/>
          <w:marTop w:val="120"/>
          <w:marBottom w:val="0"/>
          <w:divBdr>
            <w:top w:val="none" w:sz="0" w:space="0" w:color="auto"/>
            <w:left w:val="none" w:sz="0" w:space="0" w:color="auto"/>
            <w:bottom w:val="none" w:sz="0" w:space="0" w:color="auto"/>
            <w:right w:val="none" w:sz="0" w:space="0" w:color="auto"/>
          </w:divBdr>
        </w:div>
        <w:div w:id="104663363">
          <w:marLeft w:val="274"/>
          <w:marRight w:val="0"/>
          <w:marTop w:val="120"/>
          <w:marBottom w:val="0"/>
          <w:divBdr>
            <w:top w:val="none" w:sz="0" w:space="0" w:color="auto"/>
            <w:left w:val="none" w:sz="0" w:space="0" w:color="auto"/>
            <w:bottom w:val="none" w:sz="0" w:space="0" w:color="auto"/>
            <w:right w:val="none" w:sz="0" w:space="0" w:color="auto"/>
          </w:divBdr>
        </w:div>
      </w:divsChild>
    </w:div>
    <w:div w:id="2004385573">
      <w:bodyDiv w:val="1"/>
      <w:marLeft w:val="0"/>
      <w:marRight w:val="0"/>
      <w:marTop w:val="0"/>
      <w:marBottom w:val="0"/>
      <w:divBdr>
        <w:top w:val="none" w:sz="0" w:space="0" w:color="auto"/>
        <w:left w:val="none" w:sz="0" w:space="0" w:color="auto"/>
        <w:bottom w:val="none" w:sz="0" w:space="0" w:color="auto"/>
        <w:right w:val="none" w:sz="0" w:space="0" w:color="auto"/>
      </w:divBdr>
    </w:div>
    <w:div w:id="2025478766">
      <w:bodyDiv w:val="1"/>
      <w:marLeft w:val="0"/>
      <w:marRight w:val="0"/>
      <w:marTop w:val="0"/>
      <w:marBottom w:val="0"/>
      <w:divBdr>
        <w:top w:val="none" w:sz="0" w:space="0" w:color="auto"/>
        <w:left w:val="none" w:sz="0" w:space="0" w:color="auto"/>
        <w:bottom w:val="none" w:sz="0" w:space="0" w:color="auto"/>
        <w:right w:val="none" w:sz="0" w:space="0" w:color="auto"/>
      </w:divBdr>
    </w:div>
    <w:div w:id="2029672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6.wm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oter" Target="footer5.xml"/><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header" Target="header7.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eader" Target="header6.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4.png"/><Relationship Id="rId1" Type="http://schemas.openxmlformats.org/officeDocument/2006/relationships/image" Target="media/image3.png"/></Relationships>
</file>

<file path=word/_rels/header6.xml.rels><?xml version="1.0" encoding="UTF-8" standalone="yes"?>
<Relationships xmlns="http://schemas.openxmlformats.org/package/2006/relationships"><Relationship Id="rId1" Type="http://schemas.openxmlformats.org/officeDocument/2006/relationships/image" Target="media/image7.png"/></Relationships>
</file>

<file path=word/_rels/header7.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Format xmlns="6b894c73-1921-4299-aefc-49f5a4cb1310">3. Fact sheets - Aid</Format>
    <PageKeywords xmlns="349e11ad-1311-4134-818c-bb844dbfed54"/>
    <ExpiryDate xmlns="349e11ad-1311-4134-818c-bb844dbfed54" xsi:nil="true"/>
    <ItemActive xmlns="6b894c73-1921-4299-aefc-49f5a4cb1310">true</ItemActive>
    <OrganisationalUnit xmlns="349e11ad-1311-4134-818c-bb844dbfed54">502</OrganisationalUnit>
    <PageDescription xmlns="349e11ad-1311-4134-818c-bb844dbfed54" xsi:nil="true"/>
    <PageAuthor xmlns="349e11ad-1311-4134-818c-bb844dbfed54">
      <UserInfo>
        <DisplayName/>
        <AccountId xsi:nil="true"/>
        <AccountType/>
      </UserInfo>
    </PageAuthor>
    <ReviewDate xmlns="349e11ad-1311-4134-818c-bb844dbfed54" xsi:nil="true"/>
    <TRIMReferenceNumber xmlns="349e11ad-1311-4134-818c-bb844dbfed54" xsi:nil="true"/>
    <SecurityCategory xmlns="6b894c73-1921-4299-aefc-49f5a4cb1310" xsi:nil="true"/>
    <Template_x0020_group xmlns="6b894c73-1921-4299-aefc-49f5a4cb1310">Publication Templates</Template_x0020_group>
  </documentManagement>
</p:properties>
</file>

<file path=customXml/item2.xml><?xml version="1.0" encoding="utf-8"?>
<ct:contentTypeSchema xmlns:ct="http://schemas.microsoft.com/office/2006/metadata/contentType" xmlns:ma="http://schemas.microsoft.com/office/2006/metadata/properties/metaAttributes" ct:_="" ma:_="" ma:contentTypeName="Intranet Document" ma:contentTypeID="0x01010068D47A3238F547F295FC4399B890905A00EB5D4F438FF3914DA696AB2B9777A65B" ma:contentTypeVersion="14" ma:contentTypeDescription="Intranet document content" ma:contentTypeScope="" ma:versionID="27e3518c7386a69a74b4932400cee976">
  <xsd:schema xmlns:xsd="http://www.w3.org/2001/XMLSchema" xmlns:xs="http://www.w3.org/2001/XMLSchema" xmlns:p="http://schemas.microsoft.com/office/2006/metadata/properties" xmlns:ns2="349e11ad-1311-4134-818c-bb844dbfed54" xmlns:ns3="6b894c73-1921-4299-aefc-49f5a4cb1310" targetNamespace="http://schemas.microsoft.com/office/2006/metadata/properties" ma:root="true" ma:fieldsID="99b1acd6abdce66568d9eef49fbaa838" ns2:_="" ns3:_="">
    <xsd:import namespace="349e11ad-1311-4134-818c-bb844dbfed54"/>
    <xsd:import namespace="6b894c73-1921-4299-aefc-49f5a4cb1310"/>
    <xsd:element name="properties">
      <xsd:complexType>
        <xsd:sequence>
          <xsd:element name="documentManagement">
            <xsd:complexType>
              <xsd:all>
                <xsd:element ref="ns2:PageKeywords" minOccurs="0"/>
                <xsd:element ref="ns2:PageKeywordsID" minOccurs="0"/>
                <xsd:element ref="ns2:PageDescription" minOccurs="0"/>
                <xsd:element ref="ns3:ItemActive" minOccurs="0"/>
                <xsd:element ref="ns2:PageAuthor" minOccurs="0"/>
                <xsd:element ref="ns2:ReviewDate" minOccurs="0"/>
                <xsd:element ref="ns2:ExpiryDate" minOccurs="0"/>
                <xsd:element ref="ns2:TRIMReferenceNumber" minOccurs="0"/>
                <xsd:element ref="ns2:OrganisationalUnit" minOccurs="0"/>
                <xsd:element ref="ns2:OrgUnitAcronym" minOccurs="0"/>
                <xsd:element ref="ns2:OrgUnitHierarchy" minOccurs="0"/>
                <xsd:element ref="ns2:OrgUnitType" minOccurs="0"/>
                <xsd:element ref="ns3:Template_x0020_group" minOccurs="0"/>
                <xsd:element ref="ns3:SecurityCategory" minOccurs="0"/>
                <xsd:element ref="ns3:Forma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9e11ad-1311-4134-818c-bb844dbfed54" elementFormDefault="qualified">
    <xsd:import namespace="http://schemas.microsoft.com/office/2006/documentManagement/types"/>
    <xsd:import namespace="http://schemas.microsoft.com/office/infopath/2007/PartnerControls"/>
    <xsd:element name="PageKeywords" ma:index="8" nillable="true" ma:displayName="Document Keywords" ma:description="A list of keywords that describe or categorise this content." ma:list="{eab2c9c2-b0b6-4ae5-8920-98e40a79bc84}" ma:internalName="PageKeywords" ma:showField="Title"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KeywordsID" ma:index="9" nillable="true" ma:displayName="Document Keywords ID" ma:hidden="true" ma:list="{9c550a34-8561-4159-9314-549d682ef06c}" ma:internalName="PageKeywordsID" ma:readOnly="true" ma:showField="ID" ma:web="{349e11ad-1311-4134-818c-bb844dbfed54}">
      <xsd:complexType>
        <xsd:complexContent>
          <xsd:extension base="dms:MultiChoiceLookup">
            <xsd:sequence>
              <xsd:element name="Value" type="dms:Lookup" maxOccurs="unbounded" minOccurs="0" nillable="true"/>
            </xsd:sequence>
          </xsd:extension>
        </xsd:complexContent>
      </xsd:complexType>
    </xsd:element>
    <xsd:element name="PageDescription" ma:index="10" nillable="true" ma:displayName="Document Description" ma:description="A description of the page content." ma:internalName="PageDescription">
      <xsd:simpleType>
        <xsd:restriction base="dms:Note">
          <xsd:maxLength value="255"/>
        </xsd:restriction>
      </xsd:simpleType>
    </xsd:element>
    <xsd:element name="PageAuthor" ma:index="12" nillable="true" ma:displayName="Document Author" ma:list="UserInfo" ma:SharePointGroup="0" ma:internalName="PageAuthor"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viewDate" ma:index="13" nillable="true" ma:displayName="Review Date" ma:description="The date a content item is due to be reviewed." ma:format="DateOnly" ma:internalName="ReviewDate">
      <xsd:simpleType>
        <xsd:restriction base="dms:DateTime"/>
      </xsd:simpleType>
    </xsd:element>
    <xsd:element name="ExpiryDate" ma:index="14" nillable="true" ma:displayName="Expiry Date" ma:description="Identifies the date this content is due to expire." ma:format="DateOnly" ma:internalName="ExpiryDate">
      <xsd:simpleType>
        <xsd:restriction base="dms:DateTime"/>
      </xsd:simpleType>
    </xsd:element>
    <xsd:element name="TRIMReferenceNumber" ma:index="15" nillable="true" ma:displayName="TRIM Reference Number" ma:description="A TRIM document or container reference number." ma:internalName="TRIMReferenceNumber">
      <xsd:simpleType>
        <xsd:restriction base="dms:Text">
          <xsd:maxLength value="15"/>
        </xsd:restriction>
      </xsd:simpleType>
    </xsd:element>
    <xsd:element name="OrganisationalUnit" ma:index="16" nillable="true" ma:displayName="Organisational Unit" ma:description="Identifies the DFAT branch responsible for the associated content." ma:list="{1dbeb31a-adcd-4bd0-b7cd-7455aacb1af5}" ma:internalName="OrganisationalUnit" ma:showField="Title" ma:web="349e11ad-1311-4134-818c-bb844dbfed54">
      <xsd:simpleType>
        <xsd:restriction base="dms:Lookup"/>
      </xsd:simpleType>
    </xsd:element>
    <xsd:element name="OrgUnitAcronym" ma:index="17" nillable="true" ma:displayName="Organisational Unit:OrgUnitAcronym" ma:list="{473c9002-2f9a-44a9-9783-6a6e2cdff1ea}" ma:internalName="OrgUnitAcronym" ma:readOnly="true" ma:showField="DfatOrgUnitAcronym" ma:web="{349e11ad-1311-4134-818c-bb844dbfed54}">
      <xsd:simpleType>
        <xsd:restriction base="dms:Lookup"/>
      </xsd:simpleType>
    </xsd:element>
    <xsd:element name="OrgUnitHierarchy" ma:index="18" nillable="true" ma:displayName="Organisational Unit:OrgUnitHierarchy" ma:list="{473c9002-2f9a-44a9-9783-6a6e2cdff1ea}" ma:internalName="OrgUnitHierarchy" ma:readOnly="true" ma:showField="DfatOrgUnitHierarchy" ma:web="{349e11ad-1311-4134-818c-bb844dbfed54}">
      <xsd:simpleType>
        <xsd:restriction base="dms:Lookup"/>
      </xsd:simpleType>
    </xsd:element>
    <xsd:element name="OrgUnitType" ma:index="19" nillable="true" ma:displayName="Organisational Unit:OrgUnitType" ma:list="{473c9002-2f9a-44a9-9783-6a6e2cdff1ea}" ma:internalName="OrhUnitType" ma:readOnly="true" ma:showField="DfatOrgUnitType" ma:web="{349e11ad-1311-4134-818c-bb844dbfed54}">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6b894c73-1921-4299-aefc-49f5a4cb1310" elementFormDefault="qualified">
    <xsd:import namespace="http://schemas.microsoft.com/office/2006/documentManagement/types"/>
    <xsd:import namespace="http://schemas.microsoft.com/office/infopath/2007/PartnerControls"/>
    <xsd:element name="ItemActive" ma:index="11" nillable="true" ma:displayName="Document Active" ma:default="1" ma:description="Identifies whether this value is currently used within the site." ma:internalName="ItemActive">
      <xsd:simpleType>
        <xsd:restriction base="dms:Boolean"/>
      </xsd:simpleType>
    </xsd:element>
    <xsd:element name="Template_x0020_group" ma:index="20" nillable="true" ma:displayName="Template group" ma:format="Dropdown" ma:internalName="Template_x0020_group">
      <xsd:simpleType>
        <xsd:restriction base="dms:Choice">
          <xsd:enumeration value="Briefing"/>
          <xsd:enumeration value="Building Management"/>
          <xsd:enumeration value="Change and release"/>
          <xsd:enumeration value="Comcover"/>
          <xsd:enumeration value="Communications and media"/>
          <xsd:enumeration value="Conduct and Ethics"/>
          <xsd:enumeration value="Conferences"/>
          <xsd:enumeration value="Consular"/>
          <xsd:enumeration value="Contracts"/>
          <xsd:enumeration value="Departmental"/>
          <xsd:enumeration value="EMS"/>
          <xsd:enumeration value="Fax"/>
          <xsd:enumeration value="Finance"/>
          <xsd:enumeration value="Forms"/>
          <xsd:enumeration value="Functions"/>
          <xsd:enumeration value="Globals"/>
          <xsd:enumeration value="ICT Documents"/>
          <xsd:enumeration value="Invitations"/>
          <xsd:enumeration value="Labels"/>
          <xsd:enumeration value="Legal Advice"/>
          <xsd:enumeration value="Legislative Instrument"/>
          <xsd:enumeration value="Letters"/>
          <xsd:enumeration value="Long Term Posting"/>
          <xsd:enumeration value="Memorandum"/>
          <xsd:enumeration value="Ministerials"/>
          <xsd:enumeration value="Ministers' Letters"/>
          <xsd:enumeration value="Minutes"/>
          <xsd:enumeration value="Motor Vehicles"/>
          <xsd:enumeration value="Name Tags and Placecards"/>
          <xsd:enumeration value="Note for File"/>
          <xsd:enumeration value="OH&amp;S"/>
          <xsd:enumeration value="Overseas Property"/>
          <xsd:enumeration value="Passports"/>
          <xsd:enumeration value="Payroll Services"/>
          <xsd:enumeration value="Performance"/>
          <xsd:enumeration value="Personnel-Staffing"/>
          <xsd:enumeration value="PowerPoint"/>
          <xsd:enumeration value="Printing"/>
          <xsd:enumeration value="Publications"/>
          <xsd:enumeration value="Publication Templates"/>
          <xsd:enumeration value="Procurement"/>
          <xsd:enumeration value="Record of Conversation"/>
          <xsd:enumeration value="Records management"/>
          <xsd:enumeration value="Recruitment"/>
          <xsd:enumeration value="SAP-Peoplesoft"/>
          <xsd:enumeration value="Security and IT System Access"/>
          <xsd:enumeration value="Staffing"/>
          <xsd:enumeration value="Third Person Note"/>
          <xsd:enumeration value="Training"/>
          <xsd:enumeration value="Travel"/>
          <xsd:enumeration value="Vendor Forms"/>
          <xsd:enumeration value="Voice &amp; IT"/>
          <xsd:enumeration value="TV"/>
          <xsd:enumeration value="WHS"/>
          <xsd:enumeration value="WHS Templates"/>
        </xsd:restriction>
      </xsd:simpleType>
    </xsd:element>
    <xsd:element name="SecurityCategory" ma:index="22" nillable="true" ma:displayName="Security Category" ma:format="Dropdown" ma:internalName="SecurityCategory">
      <xsd:simpleType>
        <xsd:restriction base="dms:Choice">
          <xsd:enumeration value="IT System Access &amp; Toner Cartidges"/>
          <xsd:enumeration value="Risk Assessment and Approval for Travel"/>
          <xsd:enumeration value="Security Clearances &amp; Pass Requests"/>
          <xsd:enumeration value="Security Reporting"/>
          <xsd:enumeration value="Remote Access"/>
        </xsd:restriction>
      </xsd:simpleType>
    </xsd:element>
    <xsd:element name="Format" ma:index="24" ma:displayName="Format" ma:default="N/a" ma:format="Dropdown" ma:internalName="Format">
      <xsd:simpleType>
        <xsd:restriction base="dms:Choice">
          <xsd:enumeration value="N/a"/>
          <xsd:enumeration value="1. Examples of best practice"/>
          <xsd:enumeration value="2. Fact sheets"/>
          <xsd:enumeration value="3. Fact sheets - Aid"/>
          <xsd:enumeration value="4. Reports"/>
          <xsd:enumeration value="5. Reports - Aid"/>
          <xsd:enumeration value="6. PowerPoint"/>
          <xsd:enumeration value="7. Excel"/>
          <xsd:enumeration value="8. How-to guide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2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44B631-7640-4A17-8550-BEE8955DE750}">
  <ds:schemaRefs>
    <ds:schemaRef ds:uri="http://purl.org/dc/elements/1.1/"/>
    <ds:schemaRef ds:uri="http://schemas.microsoft.com/office/2006/metadata/properties"/>
    <ds:schemaRef ds:uri="349e11ad-1311-4134-818c-bb844dbfed54"/>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6b894c73-1921-4299-aefc-49f5a4cb1310"/>
    <ds:schemaRef ds:uri="http://www.w3.org/XML/1998/namespace"/>
  </ds:schemaRefs>
</ds:datastoreItem>
</file>

<file path=customXml/itemProps2.xml><?xml version="1.0" encoding="utf-8"?>
<ds:datastoreItem xmlns:ds="http://schemas.openxmlformats.org/officeDocument/2006/customXml" ds:itemID="{B49A6C26-75B3-47A7-9942-A2C9320751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9e11ad-1311-4134-818c-bb844dbfed54"/>
    <ds:schemaRef ds:uri="6b894c73-1921-4299-aefc-49f5a4cb1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8744F3-77A8-42E6-9FDA-A7B27B5C94ED}">
  <ds:schemaRefs>
    <ds:schemaRef ds:uri="http://schemas.microsoft.com/sharepoint/v3/contenttype/forms"/>
  </ds:schemaRefs>
</ds:datastoreItem>
</file>

<file path=customXml/itemProps4.xml><?xml version="1.0" encoding="utf-8"?>
<ds:datastoreItem xmlns:ds="http://schemas.openxmlformats.org/officeDocument/2006/customXml" ds:itemID="{94E9901B-E0EB-4373-B720-526EADA67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Aid Fact Sheet - aqua - single column</vt:lpstr>
    </vt:vector>
  </TitlesOfParts>
  <Company>Department of Foreign Affairs and Trade</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Aid Fact Sheet - aqua - single column</dc:title>
  <dc:creator>Ben</dc:creator>
  <cp:lastModifiedBy>Sydney Carpenter</cp:lastModifiedBy>
  <cp:revision>13</cp:revision>
  <cp:lastPrinted>2020-09-25T04:59:00Z</cp:lastPrinted>
  <dcterms:created xsi:type="dcterms:W3CDTF">2020-11-03T23:48:00Z</dcterms:created>
  <dcterms:modified xsi:type="dcterms:W3CDTF">2020-11-17T22:25:00Z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2abf8509-5235-4543-a965-725f284fe6dc</vt:lpwstr>
  </property>
  <property fmtid="{D5CDD505-2E9C-101B-9397-08002B2CF9AE}" pid="3" name="ContentTypeId">
    <vt:lpwstr>0x01010068D47A3238F547F295FC4399B890905A00EB5D4F438FF3914DA696AB2B9777A65B</vt:lpwstr>
  </property>
  <property fmtid="{D5CDD505-2E9C-101B-9397-08002B2CF9AE}" pid="4" name="SEC">
    <vt:lpwstr>OFFICIAL</vt:lpwstr>
  </property>
  <property fmtid="{D5CDD505-2E9C-101B-9397-08002B2CF9AE}" pid="5" name="DLM">
    <vt:lpwstr>No DLM</vt:lpwstr>
  </property>
</Properties>
</file>