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5726FD" w14:textId="10CF0704"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0E94DDD3">
            <wp:simplePos x="0" y="0"/>
            <wp:positionH relativeFrom="page">
              <wp:posOffset>-23495</wp:posOffset>
            </wp:positionH>
            <wp:positionV relativeFrom="page">
              <wp:posOffset>136525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r w:rsidR="000C2C88">
        <w:t xml:space="preserve">   </w:t>
      </w:r>
    </w:p>
    <w:p w14:paraId="2D7F9798" w14:textId="77777777" w:rsidR="003D352D" w:rsidRDefault="003D352D" w:rsidP="00D146A2"/>
    <w:p w14:paraId="12E77A56" w14:textId="77777777" w:rsidR="003D352D" w:rsidRDefault="003D352D" w:rsidP="00D146A2"/>
    <w:p w14:paraId="554D0018" w14:textId="77777777" w:rsidR="003D352D" w:rsidRDefault="003D352D" w:rsidP="00D146A2"/>
    <w:p w14:paraId="0609842B" w14:textId="77777777" w:rsidR="003D352D" w:rsidRDefault="003D352D" w:rsidP="00D146A2"/>
    <w:p w14:paraId="36202B3B" w14:textId="77777777" w:rsidR="003D352D" w:rsidRDefault="003D352D" w:rsidP="00D146A2"/>
    <w:p w14:paraId="0B274676" w14:textId="77777777" w:rsidR="003D352D" w:rsidRDefault="003D352D" w:rsidP="00D146A2"/>
    <w:p w14:paraId="7CC6D00A" w14:textId="77777777" w:rsidR="003D352D" w:rsidRDefault="003D352D" w:rsidP="00D146A2"/>
    <w:p w14:paraId="72281228" w14:textId="77777777" w:rsidR="003D352D" w:rsidRDefault="003D352D" w:rsidP="00D146A2"/>
    <w:p w14:paraId="064D728F" w14:textId="77777777" w:rsidR="003D352D" w:rsidRDefault="003D352D" w:rsidP="00D146A2"/>
    <w:p w14:paraId="64308C52" w14:textId="77777777" w:rsidR="003D352D" w:rsidRDefault="003D352D" w:rsidP="00D146A2"/>
    <w:p w14:paraId="358424B8" w14:textId="77777777" w:rsidR="003D352D" w:rsidRDefault="003D352D" w:rsidP="00D146A2"/>
    <w:p w14:paraId="29817525" w14:textId="77777777" w:rsidR="003D352D" w:rsidRDefault="003D352D" w:rsidP="00D146A2"/>
    <w:p w14:paraId="6677DF29" w14:textId="77777777" w:rsidR="003D352D" w:rsidRDefault="003D352D" w:rsidP="00D146A2"/>
    <w:p w14:paraId="1FB9161E" w14:textId="77777777" w:rsidR="003D352D" w:rsidRDefault="003D352D" w:rsidP="00D146A2"/>
    <w:p w14:paraId="1A9237CB" w14:textId="77777777" w:rsidR="003D352D" w:rsidRDefault="003D352D" w:rsidP="00D146A2"/>
    <w:p w14:paraId="767337BE" w14:textId="77777777" w:rsidR="003D352D" w:rsidRPr="0059146A" w:rsidRDefault="003D352D" w:rsidP="0059146A"/>
    <w:p w14:paraId="3D2E5B6D" w14:textId="77777777" w:rsidR="003D352D" w:rsidRPr="0059146A" w:rsidRDefault="003D352D" w:rsidP="0059146A"/>
    <w:p w14:paraId="3676318D" w14:textId="77777777" w:rsidR="003D352D" w:rsidRPr="0059146A" w:rsidRDefault="003D352D" w:rsidP="0059146A"/>
    <w:p w14:paraId="6F57B69A" w14:textId="77777777" w:rsidR="003D352D" w:rsidRPr="0059146A" w:rsidRDefault="003D352D" w:rsidP="0059146A"/>
    <w:p w14:paraId="13051D9F" w14:textId="77777777" w:rsidR="003D352D" w:rsidRPr="0059146A" w:rsidRDefault="003D352D" w:rsidP="0059146A"/>
    <w:p w14:paraId="464E10FD" w14:textId="77777777" w:rsidR="003D352D" w:rsidRPr="0059146A" w:rsidRDefault="003D352D" w:rsidP="0059146A"/>
    <w:p w14:paraId="3BEE848A" w14:textId="77777777" w:rsidR="00A56F14" w:rsidRPr="0059146A" w:rsidRDefault="00A56F14" w:rsidP="00A56F14"/>
    <w:p w14:paraId="485F78AD" w14:textId="77777777" w:rsidR="00A56F14" w:rsidRPr="0059146A" w:rsidRDefault="00A56F14" w:rsidP="0059146A"/>
    <w:p w14:paraId="11A556D3" w14:textId="77777777" w:rsidR="00A56F14" w:rsidRDefault="00A56F14" w:rsidP="0059146A"/>
    <w:p w14:paraId="0F008531" w14:textId="77777777" w:rsidR="0059146A" w:rsidRDefault="0059146A" w:rsidP="0059146A"/>
    <w:p w14:paraId="2202668B" w14:textId="77777777" w:rsidR="0059146A" w:rsidRDefault="0059146A" w:rsidP="0059146A"/>
    <w:p w14:paraId="5124AFBF" w14:textId="77777777" w:rsidR="0059146A" w:rsidRDefault="0059146A" w:rsidP="0059146A"/>
    <w:p w14:paraId="077716A5" w14:textId="77777777" w:rsidR="0059146A" w:rsidRPr="0059146A" w:rsidRDefault="0059146A" w:rsidP="0059146A"/>
    <w:p w14:paraId="7EAC6CC3" w14:textId="7A91717E"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550890">
        <w:rPr>
          <w:spacing w:val="-20"/>
          <w:sz w:val="60"/>
        </w:rPr>
        <w:t>8-19</w:t>
      </w:r>
    </w:p>
    <w:p w14:paraId="58C0A5FC" w14:textId="6A70C554" w:rsidR="0059146A" w:rsidRDefault="00A1707A" w:rsidP="00A56F14">
      <w:pPr>
        <w:rPr>
          <w:sz w:val="24"/>
        </w:rPr>
        <w:sectPr w:rsidR="0059146A" w:rsidSect="00D50D60">
          <w:headerReference w:type="even" r:id="rId10"/>
          <w:headerReference w:type="default" r:id="rId11"/>
          <w:footerReference w:type="even" r:id="rId12"/>
          <w:footerReference w:type="default" r:id="rId13"/>
          <w:headerReference w:type="first" r:id="rId14"/>
          <w:footerReference w:type="first" r:id="rId15"/>
          <w:pgSz w:w="11906" w:h="16838" w:code="9"/>
          <w:pgMar w:top="1950" w:right="1134" w:bottom="851" w:left="1134" w:header="1814" w:footer="567" w:gutter="0"/>
          <w:cols w:space="397"/>
          <w:titlePg/>
          <w:docGrid w:linePitch="360"/>
        </w:sectPr>
      </w:pPr>
      <w:r>
        <w:rPr>
          <w:sz w:val="40"/>
        </w:rPr>
        <w:t>Palestinian Territories</w:t>
      </w:r>
      <w:r w:rsidR="00482D19">
        <w:rPr>
          <w:sz w:val="40"/>
        </w:rPr>
        <w:t xml:space="preserve"> </w:t>
      </w:r>
      <w:r w:rsidR="0059146A">
        <w:rPr>
          <w:sz w:val="40"/>
        </w:rPr>
        <w:br/>
      </w:r>
      <w:r w:rsidR="0059146A" w:rsidRPr="0059146A">
        <w:rPr>
          <w:sz w:val="24"/>
        </w:rPr>
        <w:t>September 201</w:t>
      </w:r>
      <w:r w:rsidR="00550890">
        <w:rPr>
          <w:sz w:val="24"/>
        </w:rPr>
        <w:t>9</w:t>
      </w:r>
    </w:p>
    <w:p w14:paraId="4F552AFB" w14:textId="20111D45" w:rsidR="005B5769" w:rsidRPr="00BB648A" w:rsidRDefault="005B5769" w:rsidP="00482D19">
      <w:pPr>
        <w:pStyle w:val="Title"/>
        <w:spacing w:before="240" w:after="240" w:line="300" w:lineRule="exact"/>
        <w:contextualSpacing w:val="0"/>
        <w:rPr>
          <w:szCs w:val="38"/>
        </w:rPr>
      </w:pPr>
      <w:r w:rsidRPr="00BB648A">
        <w:rPr>
          <w:szCs w:val="38"/>
        </w:rPr>
        <w:lastRenderedPageBreak/>
        <w:t>Aid Program Performance Information 201</w:t>
      </w:r>
      <w:r w:rsidR="00272B5F">
        <w:rPr>
          <w:szCs w:val="38"/>
        </w:rPr>
        <w:t>8-19</w:t>
      </w:r>
    </w:p>
    <w:p w14:paraId="115ECE15" w14:textId="286F01D2" w:rsidR="005B5769" w:rsidRPr="00877607"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877607">
        <w:rPr>
          <w:rFonts w:asciiTheme="majorHAnsi" w:eastAsiaTheme="majorEastAsia" w:hAnsiTheme="majorHAnsi" w:cstheme="majorBidi"/>
          <w:caps/>
          <w:color w:val="495965" w:themeColor="text2"/>
          <w:sz w:val="38"/>
          <w:szCs w:val="38"/>
          <w:lang w:val="en-GB" w:eastAsia="en-US"/>
        </w:rPr>
        <w:t>Summary</w:t>
      </w:r>
    </w:p>
    <w:p w14:paraId="7D14A882" w14:textId="57726C1F" w:rsidR="00CD1652" w:rsidRDefault="00CD1652" w:rsidP="00E01C62">
      <w:pPr>
        <w:spacing w:after="120"/>
        <w:rPr>
          <w:color w:val="000000" w:themeColor="text1"/>
        </w:rPr>
      </w:pPr>
      <w:r>
        <w:rPr>
          <w:color w:val="auto"/>
        </w:rPr>
        <w:t>This</w:t>
      </w:r>
      <w:r w:rsidRPr="009F229A">
        <w:rPr>
          <w:color w:val="auto"/>
        </w:rPr>
        <w:t xml:space="preserve"> </w:t>
      </w:r>
      <w:r w:rsidRPr="00482D19">
        <w:rPr>
          <w:color w:val="000000" w:themeColor="text1"/>
        </w:rPr>
        <w:t xml:space="preserve">report summarises the performance of Australia’s aid program in </w:t>
      </w:r>
      <w:r w:rsidR="00482D19" w:rsidRPr="00482D19">
        <w:rPr>
          <w:color w:val="000000" w:themeColor="text1"/>
        </w:rPr>
        <w:t xml:space="preserve">the Palestinian Territories </w:t>
      </w:r>
      <w:r w:rsidR="00E36F44">
        <w:rPr>
          <w:color w:val="000000" w:themeColor="text1"/>
        </w:rPr>
        <w:t xml:space="preserve">(PTs) </w:t>
      </w:r>
      <w:r w:rsidRPr="00482D19">
        <w:rPr>
          <w:color w:val="000000" w:themeColor="text1"/>
        </w:rPr>
        <w:t>from July 201</w:t>
      </w:r>
      <w:r w:rsidR="006545B9" w:rsidRPr="00482D19">
        <w:rPr>
          <w:color w:val="000000" w:themeColor="text1"/>
        </w:rPr>
        <w:t>8</w:t>
      </w:r>
      <w:r w:rsidRPr="00482D19">
        <w:rPr>
          <w:color w:val="000000" w:themeColor="text1"/>
        </w:rPr>
        <w:t xml:space="preserve"> to June 201</w:t>
      </w:r>
      <w:r w:rsidR="006545B9" w:rsidRPr="00482D19">
        <w:rPr>
          <w:color w:val="000000" w:themeColor="text1"/>
        </w:rPr>
        <w:t>9</w:t>
      </w:r>
      <w:r w:rsidRPr="00482D19">
        <w:rPr>
          <w:color w:val="000000" w:themeColor="text1"/>
        </w:rPr>
        <w:t xml:space="preserve"> against the </w:t>
      </w:r>
      <w:r w:rsidR="00482D19" w:rsidRPr="00482D19">
        <w:rPr>
          <w:color w:val="000000" w:themeColor="text1"/>
        </w:rPr>
        <w:t xml:space="preserve">Aid Investment Plan </w:t>
      </w:r>
      <w:r w:rsidR="009C124D">
        <w:rPr>
          <w:color w:val="000000" w:themeColor="text1"/>
        </w:rPr>
        <w:t xml:space="preserve">(AIP) </w:t>
      </w:r>
      <w:r w:rsidR="00482D19" w:rsidRPr="00482D19">
        <w:rPr>
          <w:color w:val="000000" w:themeColor="text1"/>
        </w:rPr>
        <w:t>for the Palestinian Territories (</w:t>
      </w:r>
      <w:r w:rsidR="00A1707A">
        <w:rPr>
          <w:color w:val="000000" w:themeColor="text1"/>
        </w:rPr>
        <w:t>2015-2019</w:t>
      </w:r>
      <w:r w:rsidR="00482D19" w:rsidRPr="00482D19">
        <w:rPr>
          <w:color w:val="000000" w:themeColor="text1"/>
        </w:rPr>
        <w:t>)</w:t>
      </w:r>
      <w:r w:rsidR="006545B9" w:rsidRPr="00482D19">
        <w:rPr>
          <w:color w:val="000000" w:themeColor="text1"/>
        </w:rPr>
        <w:t>.</w:t>
      </w:r>
    </w:p>
    <w:p w14:paraId="65364D53" w14:textId="336AE3EA" w:rsidR="00A1707A" w:rsidRPr="008B70EF" w:rsidRDefault="00A1707A" w:rsidP="00E01C62">
      <w:pPr>
        <w:spacing w:after="120"/>
        <w:rPr>
          <w:color w:val="000000" w:themeColor="text1"/>
        </w:rPr>
      </w:pPr>
      <w:r>
        <w:rPr>
          <w:color w:val="000000" w:themeColor="text1"/>
        </w:rPr>
        <w:t xml:space="preserve">The PTs – consisting of the West Bank and the Gaza Strip – remain one of the poorest regions in the Middle East. Palestinian living standards continue to decline. </w:t>
      </w:r>
      <w:r w:rsidR="00DD2869">
        <w:rPr>
          <w:color w:val="000000" w:themeColor="text1"/>
        </w:rPr>
        <w:t xml:space="preserve"> </w:t>
      </w:r>
      <w:r>
        <w:rPr>
          <w:color w:val="000000" w:themeColor="text1"/>
        </w:rPr>
        <w:t xml:space="preserve">Economic growth continues to stall in both the West Bank and Gaza but conditions are most acute in Gaza, with </w:t>
      </w:r>
      <w:r w:rsidRPr="000C2C88">
        <w:rPr>
          <w:color w:val="000000" w:themeColor="text1"/>
        </w:rPr>
        <w:t xml:space="preserve">unemployment at </w:t>
      </w:r>
      <w:r w:rsidR="000C2C88" w:rsidRPr="000C2C88">
        <w:rPr>
          <w:color w:val="000000" w:themeColor="text1"/>
        </w:rPr>
        <w:t>52 per cent in 2018 (up from 44 per cent</w:t>
      </w:r>
      <w:r w:rsidRPr="000C2C88">
        <w:rPr>
          <w:color w:val="000000" w:themeColor="text1"/>
        </w:rPr>
        <w:t xml:space="preserve"> in 2017). Gaza has undergone ‘de-development’ over the last two decades, accompanied by a decline of real income per capita by a third since 1994. </w:t>
      </w:r>
      <w:r w:rsidR="003B0FD8">
        <w:rPr>
          <w:color w:val="000000" w:themeColor="text1"/>
        </w:rPr>
        <w:t xml:space="preserve">GDP in Gaza </w:t>
      </w:r>
      <w:r w:rsidR="00607CBC">
        <w:rPr>
          <w:color w:val="000000" w:themeColor="text1"/>
        </w:rPr>
        <w:t xml:space="preserve">declined by six per cent </w:t>
      </w:r>
      <w:r w:rsidR="003B0FD8">
        <w:rPr>
          <w:color w:val="000000" w:themeColor="text1"/>
        </w:rPr>
        <w:t>in 2018.</w:t>
      </w:r>
      <w:r w:rsidR="00DD2869">
        <w:rPr>
          <w:color w:val="000000" w:themeColor="text1"/>
        </w:rPr>
        <w:t xml:space="preserve"> </w:t>
      </w:r>
      <w:r w:rsidRPr="000C2C88">
        <w:rPr>
          <w:color w:val="000000" w:themeColor="text1"/>
        </w:rPr>
        <w:t xml:space="preserve">The restrictions on movement of people and goods in to and out of Gaza </w:t>
      </w:r>
      <w:r w:rsidR="0037650F">
        <w:rPr>
          <w:color w:val="000000" w:themeColor="text1"/>
        </w:rPr>
        <w:t xml:space="preserve">continued to </w:t>
      </w:r>
      <w:r w:rsidRPr="008B70EF">
        <w:rPr>
          <w:color w:val="000000" w:themeColor="text1"/>
        </w:rPr>
        <w:t>be a key factor in its economic deterioration.</w:t>
      </w:r>
      <w:r w:rsidR="00E87B99">
        <w:rPr>
          <w:color w:val="000000" w:themeColor="text1"/>
        </w:rPr>
        <w:t xml:space="preserve"> </w:t>
      </w:r>
      <w:r w:rsidR="0037650F">
        <w:rPr>
          <w:color w:val="000000" w:themeColor="text1"/>
        </w:rPr>
        <w:t xml:space="preserve">The </w:t>
      </w:r>
      <w:r w:rsidR="00E87B99">
        <w:rPr>
          <w:color w:val="000000" w:themeColor="text1"/>
        </w:rPr>
        <w:t>‘March of Return’ protests and intermittent escalations on the Gaza perimeter</w:t>
      </w:r>
      <w:r w:rsidR="0037650F">
        <w:rPr>
          <w:color w:val="000000" w:themeColor="text1"/>
        </w:rPr>
        <w:t xml:space="preserve"> </w:t>
      </w:r>
      <w:r w:rsidR="00E87B99">
        <w:rPr>
          <w:color w:val="000000" w:themeColor="text1"/>
        </w:rPr>
        <w:t>also contributed to a worsening of the humanitarian situation</w:t>
      </w:r>
      <w:r w:rsidR="00C64C35">
        <w:rPr>
          <w:color w:val="000000" w:themeColor="text1"/>
        </w:rPr>
        <w:t xml:space="preserve"> </w:t>
      </w:r>
      <w:r w:rsidR="0037650F">
        <w:rPr>
          <w:color w:val="000000" w:themeColor="text1"/>
        </w:rPr>
        <w:t>in 2018-19</w:t>
      </w:r>
      <w:r w:rsidR="00E87B99">
        <w:rPr>
          <w:color w:val="000000" w:themeColor="text1"/>
        </w:rPr>
        <w:t xml:space="preserve">. </w:t>
      </w:r>
      <w:r w:rsidRPr="008B70EF">
        <w:rPr>
          <w:color w:val="000000" w:themeColor="text1"/>
        </w:rPr>
        <w:t>The supply of water and electricity to Gaza continue</w:t>
      </w:r>
      <w:r w:rsidR="0037650F">
        <w:rPr>
          <w:color w:val="000000" w:themeColor="text1"/>
        </w:rPr>
        <w:t>d</w:t>
      </w:r>
      <w:r w:rsidRPr="008B70EF">
        <w:rPr>
          <w:color w:val="000000" w:themeColor="text1"/>
        </w:rPr>
        <w:t xml:space="preserve"> to be a major issue</w:t>
      </w:r>
      <w:r w:rsidR="000930B2">
        <w:rPr>
          <w:color w:val="000000" w:themeColor="text1"/>
        </w:rPr>
        <w:t xml:space="preserve"> and much of the</w:t>
      </w:r>
      <w:r w:rsidRPr="008B70EF">
        <w:rPr>
          <w:color w:val="000000" w:themeColor="text1"/>
        </w:rPr>
        <w:t xml:space="preserve"> water </w:t>
      </w:r>
      <w:r w:rsidR="000930B2">
        <w:rPr>
          <w:color w:val="000000" w:themeColor="text1"/>
        </w:rPr>
        <w:t xml:space="preserve">supply </w:t>
      </w:r>
      <w:r w:rsidRPr="008B70EF">
        <w:rPr>
          <w:color w:val="000000" w:themeColor="text1"/>
        </w:rPr>
        <w:t xml:space="preserve">in Gaza </w:t>
      </w:r>
      <w:r w:rsidR="00630807">
        <w:rPr>
          <w:color w:val="000000" w:themeColor="text1"/>
        </w:rPr>
        <w:t xml:space="preserve">remained </w:t>
      </w:r>
      <w:r w:rsidRPr="008B70EF">
        <w:rPr>
          <w:color w:val="000000" w:themeColor="text1"/>
        </w:rPr>
        <w:t>unfit for human consumption</w:t>
      </w:r>
      <w:r w:rsidR="000930B2">
        <w:rPr>
          <w:color w:val="000000" w:themeColor="text1"/>
        </w:rPr>
        <w:t>.</w:t>
      </w:r>
      <w:r w:rsidRPr="008B70EF">
        <w:rPr>
          <w:color w:val="000000" w:themeColor="text1"/>
        </w:rPr>
        <w:t xml:space="preserve"> </w:t>
      </w:r>
    </w:p>
    <w:p w14:paraId="23AD7AF3" w14:textId="6CAB6618" w:rsidR="00A1707A" w:rsidRPr="008B70EF" w:rsidRDefault="00A1707A" w:rsidP="00A1707A">
      <w:pPr>
        <w:spacing w:after="120"/>
        <w:rPr>
          <w:color w:val="auto"/>
        </w:rPr>
      </w:pPr>
      <w:r w:rsidRPr="008B70EF">
        <w:rPr>
          <w:color w:val="000000" w:themeColor="text1"/>
        </w:rPr>
        <w:t>The political dynamic between Israel and the Palestinian Authority (PA) and the political stalemate between the PA and Hamas continued to affect economic and social development in the PTs during 2018-19</w:t>
      </w:r>
      <w:r w:rsidR="00A61D9A" w:rsidRPr="008B70EF">
        <w:rPr>
          <w:color w:val="auto"/>
        </w:rPr>
        <w:t xml:space="preserve">. </w:t>
      </w:r>
      <w:r w:rsidR="008834ED" w:rsidRPr="008834ED">
        <w:rPr>
          <w:color w:val="auto"/>
        </w:rPr>
        <w:t xml:space="preserve"> </w:t>
      </w:r>
      <w:r w:rsidR="008834ED">
        <w:rPr>
          <w:color w:val="auto"/>
        </w:rPr>
        <w:t xml:space="preserve">The </w:t>
      </w:r>
      <w:r w:rsidR="0037650F">
        <w:rPr>
          <w:color w:val="auto"/>
        </w:rPr>
        <w:t>dispute</w:t>
      </w:r>
      <w:r w:rsidR="008834ED">
        <w:rPr>
          <w:color w:val="auto"/>
        </w:rPr>
        <w:t xml:space="preserve"> between the PA and Israel over tax revenue transfers </w:t>
      </w:r>
      <w:r w:rsidR="0037650F">
        <w:rPr>
          <w:color w:val="auto"/>
        </w:rPr>
        <w:t>had a significant impact on the PA’s budget in 2018-19</w:t>
      </w:r>
      <w:r w:rsidR="008834ED">
        <w:rPr>
          <w:color w:val="auto"/>
        </w:rPr>
        <w:t xml:space="preserve">.  </w:t>
      </w:r>
      <w:r w:rsidR="0059559B">
        <w:rPr>
          <w:color w:val="auto"/>
        </w:rPr>
        <w:t>T</w:t>
      </w:r>
      <w:r w:rsidR="0037650F">
        <w:rPr>
          <w:color w:val="auto"/>
        </w:rPr>
        <w:t>he continuing</w:t>
      </w:r>
      <w:r w:rsidR="00A61D9A">
        <w:rPr>
          <w:color w:val="auto"/>
        </w:rPr>
        <w:t xml:space="preserve"> decline in f</w:t>
      </w:r>
      <w:r w:rsidRPr="008B70EF">
        <w:rPr>
          <w:color w:val="000000" w:themeColor="text1"/>
        </w:rPr>
        <w:t>oreign aid to the PTs</w:t>
      </w:r>
      <w:r w:rsidR="0059559B">
        <w:rPr>
          <w:color w:val="000000" w:themeColor="text1"/>
        </w:rPr>
        <w:t xml:space="preserve"> also had an impact on the situation in the </w:t>
      </w:r>
      <w:proofErr w:type="spellStart"/>
      <w:r w:rsidR="0059559B">
        <w:rPr>
          <w:color w:val="000000" w:themeColor="text1"/>
        </w:rPr>
        <w:t>PTs.</w:t>
      </w:r>
      <w:proofErr w:type="spellEnd"/>
      <w:r w:rsidR="0059559B">
        <w:rPr>
          <w:color w:val="000000" w:themeColor="text1"/>
        </w:rPr>
        <w:t xml:space="preserve"> Shortfalls in funding for UNRWA, including due to the US ceasing its financial support in 2018, had an impact on the provision of healthcare and education for Palestinians across the </w:t>
      </w:r>
      <w:proofErr w:type="spellStart"/>
      <w:r w:rsidR="0059559B">
        <w:rPr>
          <w:color w:val="000000" w:themeColor="text1"/>
        </w:rPr>
        <w:t>PTs.</w:t>
      </w:r>
      <w:proofErr w:type="spellEnd"/>
      <w:r w:rsidR="0059559B">
        <w:rPr>
          <w:color w:val="000000" w:themeColor="text1"/>
        </w:rPr>
        <w:t xml:space="preserve"> </w:t>
      </w:r>
      <w:r w:rsidRPr="008B70EF">
        <w:rPr>
          <w:color w:val="000000" w:themeColor="text1"/>
        </w:rPr>
        <w:t xml:space="preserve"> </w:t>
      </w:r>
      <w:r w:rsidR="00DD2869">
        <w:rPr>
          <w:color w:val="auto"/>
        </w:rPr>
        <w:t xml:space="preserve"> </w:t>
      </w:r>
      <w:r w:rsidR="003B0FD8">
        <w:rPr>
          <w:color w:val="auto"/>
        </w:rPr>
        <w:t xml:space="preserve"> </w:t>
      </w:r>
    </w:p>
    <w:p w14:paraId="4474893F" w14:textId="5BE5AA41" w:rsidR="00A1707A" w:rsidRPr="00A1707A" w:rsidRDefault="00E87B99" w:rsidP="00A1707A">
      <w:pPr>
        <w:rPr>
          <w:color w:val="000000" w:themeColor="text1"/>
        </w:rPr>
      </w:pPr>
      <w:r>
        <w:rPr>
          <w:color w:val="000000" w:themeColor="text1"/>
        </w:rPr>
        <w:t>In December 2018, Australia reiterated its commitment to a two-state solution</w:t>
      </w:r>
      <w:r w:rsidR="00FC6395">
        <w:rPr>
          <w:color w:val="000000" w:themeColor="text1"/>
        </w:rPr>
        <w:t xml:space="preserve"> in which Israel and a future Palestinian state exist side –by-side, in peace and security, within internationally recognised borders.  Australia also </w:t>
      </w:r>
      <w:r>
        <w:rPr>
          <w:color w:val="000000" w:themeColor="text1"/>
        </w:rPr>
        <w:t>acknowledge</w:t>
      </w:r>
      <w:r w:rsidR="00FC6395">
        <w:rPr>
          <w:color w:val="000000" w:themeColor="text1"/>
        </w:rPr>
        <w:t>s</w:t>
      </w:r>
      <w:r>
        <w:rPr>
          <w:color w:val="000000" w:themeColor="text1"/>
        </w:rPr>
        <w:t xml:space="preserve"> the aspirations of the Palestinian people for a future state with its capital in East Jerusalem. </w:t>
      </w:r>
      <w:r w:rsidR="00A1707A" w:rsidRPr="008B70EF">
        <w:rPr>
          <w:color w:val="000000" w:themeColor="text1"/>
        </w:rPr>
        <w:t>Australia provided $3</w:t>
      </w:r>
      <w:r w:rsidR="0033413A">
        <w:rPr>
          <w:color w:val="000000" w:themeColor="text1"/>
        </w:rPr>
        <w:t>8</w:t>
      </w:r>
      <w:r w:rsidR="00A1707A" w:rsidRPr="008B70EF">
        <w:rPr>
          <w:color w:val="000000" w:themeColor="text1"/>
        </w:rPr>
        <w:t>.</w:t>
      </w:r>
      <w:r w:rsidR="00A16650">
        <w:rPr>
          <w:color w:val="000000" w:themeColor="text1"/>
        </w:rPr>
        <w:t>3</w:t>
      </w:r>
      <w:r w:rsidR="00A16650" w:rsidRPr="008B70EF">
        <w:rPr>
          <w:color w:val="000000" w:themeColor="text1"/>
        </w:rPr>
        <w:t xml:space="preserve"> </w:t>
      </w:r>
      <w:r w:rsidR="00A1707A" w:rsidRPr="008B70EF">
        <w:rPr>
          <w:color w:val="000000" w:themeColor="text1"/>
        </w:rPr>
        <w:t xml:space="preserve">million in humanitarian and development assistance to the PTs in 2018-19, </w:t>
      </w:r>
      <w:r>
        <w:rPr>
          <w:color w:val="000000" w:themeColor="text1"/>
        </w:rPr>
        <w:t xml:space="preserve">as a practical demonstration of </w:t>
      </w:r>
      <w:r w:rsidR="00A1707A" w:rsidRPr="008B70EF">
        <w:rPr>
          <w:color w:val="000000" w:themeColor="text1"/>
        </w:rPr>
        <w:t>our long-standing support for the Middle East peace process.</w:t>
      </w:r>
      <w:r w:rsidR="00A1707A" w:rsidRPr="008B70EF">
        <w:rPr>
          <w:rStyle w:val="FootnoteReference"/>
          <w:color w:val="000000" w:themeColor="text1"/>
        </w:rPr>
        <w:footnoteReference w:id="1"/>
      </w:r>
      <w:r w:rsidR="00DD2869">
        <w:rPr>
          <w:color w:val="000000" w:themeColor="text1"/>
        </w:rPr>
        <w:t xml:space="preserve"> </w:t>
      </w:r>
      <w:r w:rsidR="00A1707A" w:rsidRPr="008B70EF">
        <w:rPr>
          <w:color w:val="000000" w:themeColor="text1"/>
        </w:rPr>
        <w:t xml:space="preserve"> Australian aid equates to </w:t>
      </w:r>
      <w:r w:rsidR="008B70EF" w:rsidRPr="008B70EF">
        <w:rPr>
          <w:color w:val="000000" w:themeColor="text1"/>
        </w:rPr>
        <w:t>0.17</w:t>
      </w:r>
      <w:r w:rsidR="00A1707A" w:rsidRPr="008B70EF">
        <w:rPr>
          <w:color w:val="000000" w:themeColor="text1"/>
        </w:rPr>
        <w:t xml:space="preserve"> per cent of the PTs Gross Domestic Product (GDP)</w:t>
      </w:r>
      <w:r w:rsidR="00775B4F">
        <w:rPr>
          <w:color w:val="000000" w:themeColor="text1"/>
        </w:rPr>
        <w:t>.</w:t>
      </w:r>
      <w:r w:rsidR="00A1707A" w:rsidRPr="008B70EF">
        <w:rPr>
          <w:color w:val="000000" w:themeColor="text1"/>
        </w:rPr>
        <w:t xml:space="preserve"> </w:t>
      </w:r>
      <w:r w:rsidR="00DD2869">
        <w:rPr>
          <w:color w:val="000000" w:themeColor="text1"/>
        </w:rPr>
        <w:t xml:space="preserve"> </w:t>
      </w:r>
      <w:r w:rsidR="00A1707A" w:rsidRPr="008B70EF">
        <w:rPr>
          <w:color w:val="000000" w:themeColor="text1"/>
        </w:rPr>
        <w:t>In doing so, we have in place rigorous system</w:t>
      </w:r>
      <w:r w:rsidR="000B1B14">
        <w:rPr>
          <w:color w:val="000000" w:themeColor="text1"/>
        </w:rPr>
        <w:t>s</w:t>
      </w:r>
      <w:r w:rsidR="00A1707A" w:rsidRPr="008B70EF">
        <w:rPr>
          <w:color w:val="000000" w:themeColor="text1"/>
        </w:rPr>
        <w:t xml:space="preserve"> to ensure all activities in</w:t>
      </w:r>
      <w:r w:rsidR="00A1707A" w:rsidRPr="00A1707A">
        <w:rPr>
          <w:color w:val="000000" w:themeColor="text1"/>
        </w:rPr>
        <w:t xml:space="preserve"> the PTs are comprehensively monitored and pro-actively managed with a zero tolerance approach to fraud</w:t>
      </w:r>
      <w:r w:rsidR="00775B4F">
        <w:rPr>
          <w:color w:val="000000" w:themeColor="text1"/>
        </w:rPr>
        <w:t>,</w:t>
      </w:r>
      <w:r w:rsidR="00A1707A" w:rsidRPr="00A1707A">
        <w:rPr>
          <w:color w:val="000000" w:themeColor="text1"/>
        </w:rPr>
        <w:t xml:space="preserve"> mismanagement</w:t>
      </w:r>
      <w:r w:rsidR="00775B4F">
        <w:rPr>
          <w:color w:val="000000" w:themeColor="text1"/>
        </w:rPr>
        <w:t xml:space="preserve"> or links to terrorists and their activities</w:t>
      </w:r>
      <w:r w:rsidR="00A1707A" w:rsidRPr="00A1707A">
        <w:rPr>
          <w:color w:val="000000" w:themeColor="text1"/>
        </w:rPr>
        <w:t>.</w:t>
      </w:r>
    </w:p>
    <w:p w14:paraId="548A1BEB" w14:textId="216AAF5B" w:rsidR="00E01C51" w:rsidRDefault="00E01C51" w:rsidP="00E01C51">
      <w:pPr>
        <w:spacing w:after="120"/>
        <w:rPr>
          <w:color w:val="000000" w:themeColor="text1"/>
        </w:rPr>
      </w:pPr>
      <w:r w:rsidRPr="00E01C51">
        <w:rPr>
          <w:color w:val="000000" w:themeColor="text1"/>
        </w:rPr>
        <w:t xml:space="preserve">Australia’s objectives for its PTs aid program are described in its Aid Investment Plan (2015-19), which is available on the DFAT website.  The objectives are </w:t>
      </w:r>
      <w:r w:rsidR="00A168F1">
        <w:rPr>
          <w:color w:val="000000" w:themeColor="text1"/>
        </w:rPr>
        <w:t>(</w:t>
      </w:r>
      <w:proofErr w:type="spellStart"/>
      <w:r w:rsidR="00A168F1">
        <w:rPr>
          <w:color w:val="000000" w:themeColor="text1"/>
        </w:rPr>
        <w:t>i</w:t>
      </w:r>
      <w:proofErr w:type="spellEnd"/>
      <w:r w:rsidR="00A168F1">
        <w:rPr>
          <w:color w:val="000000" w:themeColor="text1"/>
        </w:rPr>
        <w:t xml:space="preserve">) </w:t>
      </w:r>
      <w:r w:rsidRPr="00E01C51">
        <w:rPr>
          <w:color w:val="000000" w:themeColor="text1"/>
        </w:rPr>
        <w:t xml:space="preserve">to support improved public financial management and a more competitive agricultural economy; and </w:t>
      </w:r>
      <w:r w:rsidR="00A168F1">
        <w:rPr>
          <w:color w:val="000000" w:themeColor="text1"/>
        </w:rPr>
        <w:t xml:space="preserve">(ii) </w:t>
      </w:r>
      <w:r w:rsidRPr="00E01C51">
        <w:rPr>
          <w:color w:val="000000" w:themeColor="text1"/>
        </w:rPr>
        <w:t xml:space="preserve">to support Palestinian refugees in the PTs and across the region to access quality basic services. </w:t>
      </w:r>
      <w:r w:rsidR="00DD2869">
        <w:rPr>
          <w:color w:val="000000" w:themeColor="text1"/>
        </w:rPr>
        <w:t xml:space="preserve"> </w:t>
      </w:r>
      <w:r w:rsidRPr="00E01C51">
        <w:rPr>
          <w:color w:val="000000" w:themeColor="text1"/>
        </w:rPr>
        <w:t>Australia implements these objectives through a number of investments.</w:t>
      </w:r>
    </w:p>
    <w:p w14:paraId="60C2E93F" w14:textId="77777777" w:rsidR="00630807" w:rsidRDefault="00A168F1" w:rsidP="00E01C51">
      <w:pPr>
        <w:spacing w:after="120"/>
        <w:rPr>
          <w:color w:val="000000" w:themeColor="text1"/>
        </w:rPr>
      </w:pPr>
      <w:r w:rsidRPr="00D50D60">
        <w:rPr>
          <w:i/>
          <w:color w:val="000000" w:themeColor="text1"/>
        </w:rPr>
        <w:t>Support Provided</w:t>
      </w:r>
      <w:r w:rsidR="0067254F" w:rsidRPr="00D50D60">
        <w:rPr>
          <w:color w:val="000000" w:themeColor="text1"/>
        </w:rPr>
        <w:t xml:space="preserve"> </w:t>
      </w:r>
    </w:p>
    <w:p w14:paraId="515DE022" w14:textId="2902855C" w:rsidR="00E01C51" w:rsidRDefault="00773596" w:rsidP="00E01C51">
      <w:pPr>
        <w:spacing w:after="120"/>
        <w:rPr>
          <w:color w:val="000000" w:themeColor="text1"/>
        </w:rPr>
      </w:pPr>
      <w:r w:rsidRPr="00D50D60">
        <w:rPr>
          <w:color w:val="000000" w:themeColor="text1"/>
        </w:rPr>
        <w:t>In</w:t>
      </w:r>
      <w:r w:rsidR="00E01C51" w:rsidRPr="00D50D60">
        <w:rPr>
          <w:color w:val="000000" w:themeColor="text1"/>
        </w:rPr>
        <w:t xml:space="preserve"> 2018-19, Australia provided $15 million to the United Nations Relief and Works Agency (UNRWA</w:t>
      </w:r>
      <w:r w:rsidR="00517BF6" w:rsidRPr="00D50D60">
        <w:rPr>
          <w:color w:val="000000" w:themeColor="text1"/>
        </w:rPr>
        <w:t>), in</w:t>
      </w:r>
      <w:r w:rsidRPr="00D50D60">
        <w:rPr>
          <w:color w:val="000000" w:themeColor="text1"/>
        </w:rPr>
        <w:t xml:space="preserve"> addition </w:t>
      </w:r>
      <w:r w:rsidR="00517BF6" w:rsidRPr="00D50D60">
        <w:rPr>
          <w:color w:val="000000" w:themeColor="text1"/>
        </w:rPr>
        <w:t>to a $</w:t>
      </w:r>
      <w:r w:rsidRPr="00D50D60">
        <w:rPr>
          <w:color w:val="000000" w:themeColor="text1"/>
        </w:rPr>
        <w:t xml:space="preserve">5 million </w:t>
      </w:r>
      <w:r w:rsidR="00CB244C" w:rsidRPr="00D50D60">
        <w:rPr>
          <w:color w:val="000000" w:themeColor="text1"/>
        </w:rPr>
        <w:t xml:space="preserve">payment </w:t>
      </w:r>
      <w:r w:rsidR="00517BF6" w:rsidRPr="00D50D60">
        <w:rPr>
          <w:color w:val="000000" w:themeColor="text1"/>
        </w:rPr>
        <w:t xml:space="preserve">advanced </w:t>
      </w:r>
      <w:r w:rsidR="00CB244C" w:rsidRPr="00D50D60">
        <w:rPr>
          <w:color w:val="000000" w:themeColor="text1"/>
        </w:rPr>
        <w:t xml:space="preserve">in </w:t>
      </w:r>
      <w:r w:rsidRPr="00D50D60">
        <w:rPr>
          <w:color w:val="000000" w:themeColor="text1"/>
        </w:rPr>
        <w:t>2017-18</w:t>
      </w:r>
      <w:r w:rsidR="00CB244C" w:rsidRPr="00D50D60">
        <w:rPr>
          <w:color w:val="000000" w:themeColor="text1"/>
        </w:rPr>
        <w:t xml:space="preserve">. </w:t>
      </w:r>
      <w:r w:rsidRPr="00D50D60">
        <w:rPr>
          <w:color w:val="000000" w:themeColor="text1"/>
        </w:rPr>
        <w:t xml:space="preserve">  </w:t>
      </w:r>
      <w:r w:rsidR="00DA767E" w:rsidRPr="00D50D60">
        <w:rPr>
          <w:color w:val="000000" w:themeColor="text1"/>
        </w:rPr>
        <w:t>Australia’s funding provides health, education and protection services to Palestinian refugees in the PTs, Syria, Jordan and Lebanon</w:t>
      </w:r>
      <w:r w:rsidR="00517BF6" w:rsidRPr="00D50D60">
        <w:rPr>
          <w:color w:val="000000" w:themeColor="text1"/>
        </w:rPr>
        <w:t>.</w:t>
      </w:r>
    </w:p>
    <w:p w14:paraId="7D1936A2" w14:textId="4CF5A777" w:rsidR="00E01C51" w:rsidRPr="00E01C51" w:rsidRDefault="00E01C51" w:rsidP="00E01C51">
      <w:pPr>
        <w:spacing w:after="120"/>
        <w:rPr>
          <w:color w:val="000000" w:themeColor="text1"/>
        </w:rPr>
      </w:pPr>
      <w:r w:rsidRPr="00E01C51">
        <w:rPr>
          <w:color w:val="000000" w:themeColor="text1"/>
        </w:rPr>
        <w:t xml:space="preserve">Australia </w:t>
      </w:r>
      <w:r w:rsidRPr="008B70EF">
        <w:rPr>
          <w:color w:val="000000" w:themeColor="text1"/>
        </w:rPr>
        <w:t xml:space="preserve">continued to implement the third phase of the Australian Middle East NGO Cooperation Agreement (AMENCA 3), providing </w:t>
      </w:r>
      <w:r w:rsidR="008B70EF">
        <w:rPr>
          <w:color w:val="000000" w:themeColor="text1"/>
        </w:rPr>
        <w:t xml:space="preserve">just </w:t>
      </w:r>
      <w:r w:rsidRPr="008B70EF">
        <w:rPr>
          <w:color w:val="000000" w:themeColor="text1"/>
        </w:rPr>
        <w:t>over $4.5 million in 2018-19.</w:t>
      </w:r>
      <w:r w:rsidRPr="00E01C51">
        <w:rPr>
          <w:color w:val="000000" w:themeColor="text1"/>
        </w:rPr>
        <w:t xml:space="preserve"> </w:t>
      </w:r>
      <w:r w:rsidR="00DD2869">
        <w:rPr>
          <w:color w:val="000000" w:themeColor="text1"/>
        </w:rPr>
        <w:t xml:space="preserve"> </w:t>
      </w:r>
      <w:r w:rsidR="008B70EF">
        <w:rPr>
          <w:color w:val="000000" w:themeColor="text1"/>
        </w:rPr>
        <w:t xml:space="preserve">This figure is lower than the $8.17 million initially budgeted for this year. </w:t>
      </w:r>
      <w:r w:rsidR="00DD2869">
        <w:rPr>
          <w:color w:val="000000" w:themeColor="text1"/>
        </w:rPr>
        <w:t xml:space="preserve"> </w:t>
      </w:r>
      <w:r w:rsidR="008B70EF">
        <w:rPr>
          <w:color w:val="000000" w:themeColor="text1"/>
        </w:rPr>
        <w:t>These shortfalls were due to DFAT</w:t>
      </w:r>
      <w:r w:rsidR="00953D28">
        <w:rPr>
          <w:color w:val="000000" w:themeColor="text1"/>
        </w:rPr>
        <w:t>’</w:t>
      </w:r>
      <w:r w:rsidR="008B70EF">
        <w:rPr>
          <w:color w:val="000000" w:themeColor="text1"/>
        </w:rPr>
        <w:t xml:space="preserve">s suspension of assistance to World Vision and APHEDA </w:t>
      </w:r>
      <w:r w:rsidR="000B1B14">
        <w:rPr>
          <w:color w:val="000000" w:themeColor="text1"/>
        </w:rPr>
        <w:t>(APHEDA’s suspension has since been lifted).</w:t>
      </w:r>
      <w:r w:rsidR="00DD2869">
        <w:rPr>
          <w:color w:val="000000" w:themeColor="text1"/>
        </w:rPr>
        <w:t xml:space="preserve"> </w:t>
      </w:r>
      <w:r w:rsidRPr="00E01C51">
        <w:rPr>
          <w:color w:val="000000" w:themeColor="text1"/>
        </w:rPr>
        <w:t xml:space="preserve">AMENCA 3 is working with Australian and Palestinian </w:t>
      </w:r>
      <w:r w:rsidRPr="00E01C51">
        <w:rPr>
          <w:color w:val="000000" w:themeColor="text1"/>
        </w:rPr>
        <w:lastRenderedPageBreak/>
        <w:t>non-government organisations and others to increase productivity, and facilitate links and private sector investment in the agriculture sector, with a focus on women and youth empowerment.</w:t>
      </w:r>
    </w:p>
    <w:p w14:paraId="03DF88F0" w14:textId="59351198" w:rsidR="00E01C51" w:rsidRPr="00E01C51" w:rsidRDefault="00E01C51" w:rsidP="00E01C51">
      <w:pPr>
        <w:spacing w:after="120"/>
        <w:rPr>
          <w:color w:val="auto"/>
        </w:rPr>
      </w:pPr>
      <w:r>
        <w:rPr>
          <w:color w:val="000000" w:themeColor="text1"/>
        </w:rPr>
        <w:t>In June 2019</w:t>
      </w:r>
      <w:r w:rsidRPr="00E01C51">
        <w:rPr>
          <w:color w:val="000000" w:themeColor="text1"/>
        </w:rPr>
        <w:t xml:space="preserve">, Australia provided $10 million to the </w:t>
      </w:r>
      <w:r>
        <w:rPr>
          <w:color w:val="000000" w:themeColor="text1"/>
        </w:rPr>
        <w:t>World Bank Multi-Donor Trust Fund to support the development of a desalinisation plant in the Gaza Strip; and $3.8 million</w:t>
      </w:r>
      <w:r w:rsidR="00467318">
        <w:rPr>
          <w:color w:val="000000" w:themeColor="text1"/>
        </w:rPr>
        <w:t xml:space="preserve"> in support</w:t>
      </w:r>
      <w:r>
        <w:rPr>
          <w:color w:val="000000" w:themeColor="text1"/>
        </w:rPr>
        <w:t xml:space="preserve"> </w:t>
      </w:r>
      <w:r w:rsidR="00CC0B16">
        <w:rPr>
          <w:color w:val="000000" w:themeColor="text1"/>
        </w:rPr>
        <w:t xml:space="preserve">of </w:t>
      </w:r>
      <w:r w:rsidR="002B6D60">
        <w:rPr>
          <w:color w:val="000000" w:themeColor="text1"/>
        </w:rPr>
        <w:t>international humanitarian organisation programs</w:t>
      </w:r>
      <w:r>
        <w:rPr>
          <w:color w:val="000000" w:themeColor="text1"/>
        </w:rPr>
        <w:t xml:space="preserve">. </w:t>
      </w:r>
      <w:r w:rsidR="00DD2869">
        <w:rPr>
          <w:color w:val="000000" w:themeColor="text1"/>
        </w:rPr>
        <w:t xml:space="preserve"> </w:t>
      </w:r>
      <w:r>
        <w:rPr>
          <w:color w:val="000000" w:themeColor="text1"/>
        </w:rPr>
        <w:t xml:space="preserve">A further $2 million was also </w:t>
      </w:r>
      <w:r w:rsidR="00CC0B16">
        <w:rPr>
          <w:color w:val="000000" w:themeColor="text1"/>
        </w:rPr>
        <w:t>allocated</w:t>
      </w:r>
      <w:r>
        <w:rPr>
          <w:color w:val="000000" w:themeColor="text1"/>
        </w:rPr>
        <w:t xml:space="preserve"> to </w:t>
      </w:r>
      <w:r w:rsidR="00953D28">
        <w:rPr>
          <w:color w:val="000000" w:themeColor="text1"/>
        </w:rPr>
        <w:t xml:space="preserve">the </w:t>
      </w:r>
      <w:r>
        <w:rPr>
          <w:color w:val="000000" w:themeColor="text1"/>
        </w:rPr>
        <w:t xml:space="preserve">UN Office for Project Services’ Access Coordination Unit </w:t>
      </w:r>
      <w:r w:rsidR="00CC0B16">
        <w:rPr>
          <w:color w:val="000000" w:themeColor="text1"/>
        </w:rPr>
        <w:t>and Pro</w:t>
      </w:r>
      <w:r w:rsidR="00BD26C9">
        <w:rPr>
          <w:color w:val="000000" w:themeColor="text1"/>
        </w:rPr>
        <w:t>ject</w:t>
      </w:r>
      <w:r w:rsidR="00CC0B16">
        <w:rPr>
          <w:color w:val="000000" w:themeColor="text1"/>
        </w:rPr>
        <w:t xml:space="preserve"> M</w:t>
      </w:r>
      <w:r w:rsidR="00BD26C9">
        <w:rPr>
          <w:color w:val="000000" w:themeColor="text1"/>
        </w:rPr>
        <w:t>anagement</w:t>
      </w:r>
      <w:r w:rsidR="00CC0B16">
        <w:rPr>
          <w:color w:val="000000" w:themeColor="text1"/>
        </w:rPr>
        <w:t xml:space="preserve"> Unit </w:t>
      </w:r>
      <w:r>
        <w:rPr>
          <w:color w:val="000000" w:themeColor="text1"/>
        </w:rPr>
        <w:t xml:space="preserve">to facilitate access for humanitarian actors across the PTs and </w:t>
      </w:r>
      <w:r w:rsidR="00CC0B16">
        <w:rPr>
          <w:color w:val="000000" w:themeColor="text1"/>
        </w:rPr>
        <w:t>material</w:t>
      </w:r>
      <w:r>
        <w:rPr>
          <w:color w:val="000000" w:themeColor="text1"/>
        </w:rPr>
        <w:t xml:space="preserve"> into Gaza</w:t>
      </w:r>
      <w:r w:rsidRPr="00E01C51">
        <w:rPr>
          <w:color w:val="000000" w:themeColor="text1"/>
        </w:rPr>
        <w:t xml:space="preserve"> </w:t>
      </w:r>
    </w:p>
    <w:p w14:paraId="1C0F7B92" w14:textId="7FD5B791" w:rsidR="00E01C51" w:rsidRPr="00E01C51" w:rsidRDefault="005834BB" w:rsidP="00E01C51">
      <w:pPr>
        <w:rPr>
          <w:color w:val="auto"/>
        </w:rPr>
      </w:pPr>
      <w:r w:rsidRPr="005834BB">
        <w:rPr>
          <w:color w:val="auto"/>
        </w:rPr>
        <w:t>T</w:t>
      </w:r>
      <w:r w:rsidR="0033413A">
        <w:rPr>
          <w:color w:val="auto"/>
        </w:rPr>
        <w:t>welve</w:t>
      </w:r>
      <w:r w:rsidR="00E01C51" w:rsidRPr="005834BB">
        <w:rPr>
          <w:color w:val="auto"/>
        </w:rPr>
        <w:t xml:space="preserve"> Australia Award schol</w:t>
      </w:r>
      <w:r w:rsidRPr="005834BB">
        <w:rPr>
          <w:color w:val="auto"/>
        </w:rPr>
        <w:t>arships</w:t>
      </w:r>
      <w:r>
        <w:rPr>
          <w:color w:val="auto"/>
        </w:rPr>
        <w:t xml:space="preserve"> were </w:t>
      </w:r>
      <w:r w:rsidR="002B6D60">
        <w:rPr>
          <w:color w:val="auto"/>
        </w:rPr>
        <w:t>awarded</w:t>
      </w:r>
      <w:r>
        <w:rPr>
          <w:color w:val="auto"/>
        </w:rPr>
        <w:t xml:space="preserve"> </w:t>
      </w:r>
      <w:r w:rsidR="00CC0B16">
        <w:rPr>
          <w:color w:val="auto"/>
        </w:rPr>
        <w:t>(with 11 taken</w:t>
      </w:r>
      <w:r w:rsidR="00630807">
        <w:rPr>
          <w:color w:val="auto"/>
        </w:rPr>
        <w:t xml:space="preserve"> </w:t>
      </w:r>
      <w:r w:rsidR="00CC0B16">
        <w:rPr>
          <w:color w:val="auto"/>
        </w:rPr>
        <w:t xml:space="preserve">up) </w:t>
      </w:r>
      <w:r>
        <w:rPr>
          <w:color w:val="auto"/>
        </w:rPr>
        <w:t>in 2018</w:t>
      </w:r>
      <w:r w:rsidR="0033413A">
        <w:rPr>
          <w:color w:val="auto"/>
        </w:rPr>
        <w:t>-19</w:t>
      </w:r>
      <w:r w:rsidR="00E01C51" w:rsidRPr="00E01C51">
        <w:rPr>
          <w:color w:val="auto"/>
        </w:rPr>
        <w:t xml:space="preserve"> to support future Palestinian leaders in the fields of </w:t>
      </w:r>
      <w:r w:rsidR="005F37B8">
        <w:rPr>
          <w:color w:val="auto"/>
        </w:rPr>
        <w:t xml:space="preserve">education, governance, and environment and natural resource management. </w:t>
      </w:r>
    </w:p>
    <w:p w14:paraId="470E751B" w14:textId="44F02565" w:rsidR="009B70A5" w:rsidRDefault="00C22977" w:rsidP="00AF061E">
      <w:r w:rsidRPr="009B70A5">
        <w:rPr>
          <w:color w:val="auto"/>
        </w:rPr>
        <w:t xml:space="preserve">In 2018-19, the Australian NGO </w:t>
      </w:r>
      <w:r w:rsidR="00450473" w:rsidRPr="009B70A5">
        <w:rPr>
          <w:color w:val="auto"/>
        </w:rPr>
        <w:t>Cooperation</w:t>
      </w:r>
      <w:r w:rsidRPr="009B70A5">
        <w:rPr>
          <w:color w:val="auto"/>
        </w:rPr>
        <w:t xml:space="preserve"> </w:t>
      </w:r>
      <w:r w:rsidR="00450473" w:rsidRPr="009B70A5">
        <w:rPr>
          <w:color w:val="auto"/>
        </w:rPr>
        <w:t>Program</w:t>
      </w:r>
      <w:r w:rsidRPr="009B70A5">
        <w:rPr>
          <w:color w:val="auto"/>
        </w:rPr>
        <w:t xml:space="preserve"> (ANCP) continued to support three Australian NGOs to deliver health, vocational training and women’s empowerment projects in both Gaza and the West </w:t>
      </w:r>
      <w:r w:rsidR="008828B1" w:rsidRPr="009B70A5">
        <w:rPr>
          <w:color w:val="auto"/>
        </w:rPr>
        <w:t>B</w:t>
      </w:r>
      <w:r w:rsidRPr="009B70A5">
        <w:rPr>
          <w:color w:val="auto"/>
        </w:rPr>
        <w:t>ank</w:t>
      </w:r>
      <w:r w:rsidR="00450473" w:rsidRPr="009B70A5">
        <w:rPr>
          <w:color w:val="auto"/>
        </w:rPr>
        <w:t xml:space="preserve">.  In Gaza one </w:t>
      </w:r>
      <w:r w:rsidR="00CC0B16">
        <w:rPr>
          <w:color w:val="auto"/>
        </w:rPr>
        <w:t xml:space="preserve">of </w:t>
      </w:r>
      <w:r w:rsidR="00D50D60" w:rsidRPr="009B70A5">
        <w:rPr>
          <w:color w:val="auto"/>
        </w:rPr>
        <w:t>the programs</w:t>
      </w:r>
      <w:r w:rsidR="00450473" w:rsidRPr="009B70A5">
        <w:rPr>
          <w:color w:val="auto"/>
        </w:rPr>
        <w:t xml:space="preserve"> provided health services for 25,900 women, children and youth through primary care and market linked vocational training services.  In the West Bank, another program has been supporting enhancing women’s status in both households and communities through development of women-led small and medium sized enterprises.</w:t>
      </w:r>
      <w:r w:rsidR="00450473" w:rsidRPr="009B70A5" w:rsidDel="00D91631">
        <w:rPr>
          <w:color w:val="auto"/>
        </w:rPr>
        <w:t xml:space="preserve"> </w:t>
      </w:r>
      <w:r w:rsidR="00450473" w:rsidRPr="009B70A5">
        <w:rPr>
          <w:rFonts w:cstheme="minorHAnsi"/>
          <w:color w:val="auto"/>
        </w:rPr>
        <w:t>The Direct AID Program (DAP) funded Palestinian organisations to support vulnerable communities and groups, including children, youth and women.  Projects were conducted across the West Bank, Gaza and East Jerusalem and reached a large number of communities.  Projects included surgical equipment to improve eye care services, mental health and psychological support for at-risk Bedouin children, training in coding for marginalised youth</w:t>
      </w:r>
      <w:r w:rsidR="00630807">
        <w:rPr>
          <w:rFonts w:cstheme="minorHAnsi"/>
          <w:color w:val="auto"/>
        </w:rPr>
        <w:t>,</w:t>
      </w:r>
      <w:r w:rsidR="00450473" w:rsidRPr="009B70A5">
        <w:rPr>
          <w:rFonts w:cstheme="minorHAnsi"/>
          <w:color w:val="auto"/>
        </w:rPr>
        <w:t xml:space="preserve"> and a safe playground for children with disabilities.</w:t>
      </w:r>
      <w:r w:rsidR="00450473">
        <w:rPr>
          <w:color w:val="auto"/>
        </w:rPr>
        <w:t xml:space="preserve">  </w:t>
      </w:r>
    </w:p>
    <w:p w14:paraId="656CED06" w14:textId="073994CF" w:rsidR="00184F1E" w:rsidRPr="00BB648A" w:rsidRDefault="00184F1E" w:rsidP="009B70A5">
      <w:pPr>
        <w:pStyle w:val="ListBullet"/>
        <w:tabs>
          <w:tab w:val="clear" w:pos="284"/>
        </w:tabs>
        <w:spacing w:before="360" w:line="240" w:lineRule="auto"/>
        <w:rPr>
          <w:rFonts w:asciiTheme="majorHAnsi" w:eastAsiaTheme="majorEastAsia" w:hAnsiTheme="majorHAnsi" w:cstheme="majorBidi"/>
          <w:caps/>
          <w:color w:val="495965" w:themeColor="text2"/>
          <w:sz w:val="38"/>
          <w:szCs w:val="38"/>
          <w:lang w:val="en-GB" w:eastAsia="en-US"/>
        </w:rPr>
      </w:pPr>
      <w:r w:rsidRPr="00BB648A">
        <w:rPr>
          <w:rFonts w:asciiTheme="majorHAnsi" w:eastAsiaTheme="majorEastAsia" w:hAnsiTheme="majorHAnsi" w:cstheme="majorBidi"/>
          <w:caps/>
          <w:color w:val="495965" w:themeColor="text2"/>
          <w:sz w:val="38"/>
          <w:szCs w:val="38"/>
          <w:lang w:val="en-GB" w:eastAsia="en-US"/>
        </w:rPr>
        <w:t>Expenditure</w:t>
      </w:r>
    </w:p>
    <w:p w14:paraId="292FAC9D" w14:textId="2BB79FFE"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774AF8">
        <w:rPr>
          <w:b/>
          <w:noProof/>
          <w:sz w:val="24"/>
        </w:rPr>
        <w:t>1</w:t>
      </w:r>
      <w:r w:rsidRPr="008C2F58">
        <w:rPr>
          <w:b/>
          <w:noProof/>
          <w:sz w:val="24"/>
        </w:rPr>
        <w:fldChar w:fldCharType="end"/>
      </w:r>
      <w:r w:rsidRPr="008C2F58">
        <w:rPr>
          <w:b/>
          <w:sz w:val="24"/>
        </w:rPr>
        <w:t xml:space="preserve"> Total ODA Expenditure in FY 201</w:t>
      </w:r>
      <w:r w:rsidR="00272B5F">
        <w:rPr>
          <w:b/>
          <w:sz w:val="24"/>
        </w:rPr>
        <w:t>8-19</w:t>
      </w:r>
      <w:r w:rsidR="009A6FD4">
        <w:rPr>
          <w:b/>
          <w:sz w:val="24"/>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4A54AAAF" w14:textId="77777777" w:rsidTr="00CD1652">
        <w:tc>
          <w:tcPr>
            <w:tcW w:w="6374" w:type="dxa"/>
          </w:tcPr>
          <w:p w14:paraId="24FDC4C0" w14:textId="77777777" w:rsidR="00CD1652" w:rsidRDefault="00CD1652" w:rsidP="00E01C62">
            <w:pPr>
              <w:spacing w:before="60"/>
              <w:rPr>
                <w:b/>
                <w:sz w:val="24"/>
              </w:rPr>
            </w:pPr>
            <w:r w:rsidRPr="00BE6C6D">
              <w:rPr>
                <w:sz w:val="20"/>
              </w:rPr>
              <w:t>Objective</w:t>
            </w:r>
          </w:p>
        </w:tc>
        <w:tc>
          <w:tcPr>
            <w:tcW w:w="1423" w:type="dxa"/>
          </w:tcPr>
          <w:p w14:paraId="3671B8B1" w14:textId="77777777" w:rsidR="00CD1652" w:rsidRDefault="00CD1652" w:rsidP="00E01C62">
            <w:pPr>
              <w:spacing w:before="60"/>
              <w:jc w:val="center"/>
              <w:rPr>
                <w:b/>
                <w:sz w:val="24"/>
              </w:rPr>
            </w:pPr>
            <w:r w:rsidRPr="00BE6C6D">
              <w:rPr>
                <w:sz w:val="20"/>
              </w:rPr>
              <w:t>A$ million</w:t>
            </w:r>
          </w:p>
        </w:tc>
        <w:tc>
          <w:tcPr>
            <w:tcW w:w="1417" w:type="dxa"/>
          </w:tcPr>
          <w:p w14:paraId="43C727F5" w14:textId="77777777" w:rsidR="00CD1652" w:rsidRDefault="00CD1652" w:rsidP="00E01C62">
            <w:pPr>
              <w:spacing w:before="60"/>
              <w:jc w:val="center"/>
              <w:rPr>
                <w:b/>
                <w:sz w:val="24"/>
              </w:rPr>
            </w:pPr>
            <w:r w:rsidRPr="00BE6C6D">
              <w:rPr>
                <w:sz w:val="20"/>
              </w:rPr>
              <w:t>% of total ODA</w:t>
            </w:r>
          </w:p>
        </w:tc>
      </w:tr>
      <w:tr w:rsidR="00CD1652" w14:paraId="2034EA9E" w14:textId="77777777" w:rsidTr="0037202A">
        <w:tc>
          <w:tcPr>
            <w:tcW w:w="6374" w:type="dxa"/>
          </w:tcPr>
          <w:p w14:paraId="2D24DCC2" w14:textId="0202EDAE" w:rsidR="00CD1652" w:rsidRDefault="00CD1652" w:rsidP="00E01C62">
            <w:pPr>
              <w:spacing w:before="60"/>
              <w:rPr>
                <w:b/>
                <w:sz w:val="24"/>
              </w:rPr>
            </w:pPr>
            <w:r w:rsidRPr="00BE6C6D">
              <w:rPr>
                <w:sz w:val="20"/>
              </w:rPr>
              <w:t>Objective 1</w:t>
            </w:r>
            <w:r w:rsidR="00E01C51">
              <w:rPr>
                <w:sz w:val="20"/>
              </w:rPr>
              <w:t xml:space="preserve"> – Improved public financial management and a more competitive agricultural economy in the PTs</w:t>
            </w:r>
          </w:p>
        </w:tc>
        <w:tc>
          <w:tcPr>
            <w:tcW w:w="1423" w:type="dxa"/>
            <w:tcBorders>
              <w:bottom w:val="nil"/>
            </w:tcBorders>
          </w:tcPr>
          <w:p w14:paraId="7A35C881" w14:textId="78AE95EB" w:rsidR="00CD1652" w:rsidRDefault="005F37B8" w:rsidP="00E01C62">
            <w:pPr>
              <w:spacing w:before="60"/>
              <w:rPr>
                <w:b/>
                <w:sz w:val="24"/>
              </w:rPr>
            </w:pPr>
            <w:r>
              <w:rPr>
                <w:b/>
                <w:sz w:val="24"/>
              </w:rPr>
              <w:t>4.6</w:t>
            </w:r>
          </w:p>
        </w:tc>
        <w:tc>
          <w:tcPr>
            <w:tcW w:w="1417" w:type="dxa"/>
          </w:tcPr>
          <w:p w14:paraId="7C59E862" w14:textId="1BCD4CE1" w:rsidR="00CD1652" w:rsidRDefault="00DD4EE7" w:rsidP="00E01C62">
            <w:pPr>
              <w:spacing w:before="60"/>
              <w:rPr>
                <w:b/>
                <w:sz w:val="24"/>
              </w:rPr>
            </w:pPr>
            <w:r>
              <w:rPr>
                <w:b/>
                <w:sz w:val="24"/>
              </w:rPr>
              <w:t>12.04</w:t>
            </w:r>
          </w:p>
        </w:tc>
      </w:tr>
      <w:tr w:rsidR="00CD1652" w14:paraId="60BEBF23" w14:textId="77777777" w:rsidTr="0037202A">
        <w:tc>
          <w:tcPr>
            <w:tcW w:w="6374" w:type="dxa"/>
          </w:tcPr>
          <w:p w14:paraId="29198259" w14:textId="6A3F5BC4" w:rsidR="00CD1652" w:rsidRDefault="00CD1652" w:rsidP="00E01C62">
            <w:pPr>
              <w:spacing w:before="60"/>
              <w:rPr>
                <w:b/>
                <w:sz w:val="24"/>
              </w:rPr>
            </w:pPr>
            <w:r w:rsidRPr="00BE6C6D">
              <w:rPr>
                <w:sz w:val="20"/>
              </w:rPr>
              <w:t>Objective 2</w:t>
            </w:r>
            <w:r w:rsidR="00E01C51">
              <w:rPr>
                <w:sz w:val="20"/>
              </w:rPr>
              <w:t xml:space="preserve"> – Palestinian refugees in the PTs and across the region are able to access quality basic services</w:t>
            </w:r>
          </w:p>
        </w:tc>
        <w:tc>
          <w:tcPr>
            <w:tcW w:w="1423" w:type="dxa"/>
            <w:tcBorders>
              <w:top w:val="nil"/>
              <w:bottom w:val="single" w:sz="4" w:space="0" w:color="auto"/>
            </w:tcBorders>
          </w:tcPr>
          <w:p w14:paraId="12C963F2" w14:textId="2FE5CF84" w:rsidR="00CD1652" w:rsidRDefault="005F37B8" w:rsidP="00E01C62">
            <w:pPr>
              <w:spacing w:before="60"/>
              <w:rPr>
                <w:b/>
                <w:sz w:val="24"/>
              </w:rPr>
            </w:pPr>
            <w:r>
              <w:rPr>
                <w:b/>
                <w:sz w:val="24"/>
              </w:rPr>
              <w:t>30.8</w:t>
            </w:r>
          </w:p>
          <w:p w14:paraId="650BDA10" w14:textId="77777777" w:rsidR="0037202A" w:rsidRDefault="0037202A" w:rsidP="00E01C62">
            <w:pPr>
              <w:spacing w:before="60"/>
              <w:rPr>
                <w:b/>
                <w:sz w:val="24"/>
              </w:rPr>
            </w:pPr>
          </w:p>
          <w:p w14:paraId="52AA46BB" w14:textId="4125DFEA" w:rsidR="0039555D" w:rsidRDefault="0039555D" w:rsidP="00E01C62">
            <w:pPr>
              <w:spacing w:before="60"/>
              <w:rPr>
                <w:b/>
                <w:sz w:val="24"/>
              </w:rPr>
            </w:pPr>
          </w:p>
        </w:tc>
        <w:tc>
          <w:tcPr>
            <w:tcW w:w="1417" w:type="dxa"/>
          </w:tcPr>
          <w:p w14:paraId="696848D3" w14:textId="445D84BC" w:rsidR="00CD1652" w:rsidRDefault="00DD4EE7" w:rsidP="00E01C62">
            <w:pPr>
              <w:spacing w:before="60"/>
              <w:rPr>
                <w:b/>
                <w:sz w:val="24"/>
              </w:rPr>
            </w:pPr>
            <w:r>
              <w:rPr>
                <w:b/>
                <w:sz w:val="24"/>
              </w:rPr>
              <w:t>80.63</w:t>
            </w:r>
          </w:p>
        </w:tc>
      </w:tr>
      <w:tr w:rsidR="00CD1652" w14:paraId="1791270E" w14:textId="77777777" w:rsidTr="0037202A">
        <w:tc>
          <w:tcPr>
            <w:tcW w:w="6374" w:type="dxa"/>
          </w:tcPr>
          <w:p w14:paraId="2AB7F664" w14:textId="77777777" w:rsidR="00CD1652" w:rsidRDefault="00CD1652" w:rsidP="00E01C62">
            <w:pPr>
              <w:spacing w:before="60"/>
              <w:rPr>
                <w:b/>
                <w:sz w:val="24"/>
              </w:rPr>
            </w:pPr>
            <w:r w:rsidRPr="00BE6C6D">
              <w:rPr>
                <w:sz w:val="20"/>
              </w:rPr>
              <w:t>Sub-Total Bilateral</w:t>
            </w:r>
          </w:p>
        </w:tc>
        <w:tc>
          <w:tcPr>
            <w:tcW w:w="1423" w:type="dxa"/>
            <w:tcBorders>
              <w:top w:val="single" w:sz="4" w:space="0" w:color="auto"/>
            </w:tcBorders>
          </w:tcPr>
          <w:p w14:paraId="6E7413B8" w14:textId="20CF26C8" w:rsidR="00CD1652" w:rsidRDefault="005F37B8" w:rsidP="00E01C62">
            <w:pPr>
              <w:spacing w:before="60"/>
              <w:rPr>
                <w:b/>
                <w:sz w:val="24"/>
              </w:rPr>
            </w:pPr>
            <w:r>
              <w:rPr>
                <w:b/>
                <w:sz w:val="24"/>
              </w:rPr>
              <w:t>35.4</w:t>
            </w:r>
          </w:p>
        </w:tc>
        <w:tc>
          <w:tcPr>
            <w:tcW w:w="1417" w:type="dxa"/>
          </w:tcPr>
          <w:p w14:paraId="76257F4A" w14:textId="77777777" w:rsidR="00CD1652" w:rsidRDefault="00CD1652" w:rsidP="00E01C62">
            <w:pPr>
              <w:spacing w:before="60"/>
              <w:rPr>
                <w:b/>
                <w:sz w:val="24"/>
              </w:rPr>
            </w:pPr>
          </w:p>
        </w:tc>
      </w:tr>
      <w:tr w:rsidR="00CD1652" w14:paraId="19BA3524" w14:textId="77777777" w:rsidTr="0039555D">
        <w:tc>
          <w:tcPr>
            <w:tcW w:w="6374" w:type="dxa"/>
          </w:tcPr>
          <w:p w14:paraId="36941097" w14:textId="77777777" w:rsidR="00CD1652" w:rsidRDefault="00CD1652" w:rsidP="00E01C62">
            <w:pPr>
              <w:spacing w:before="60"/>
              <w:rPr>
                <w:b/>
                <w:sz w:val="24"/>
              </w:rPr>
            </w:pPr>
            <w:r w:rsidRPr="00BE6C6D">
              <w:rPr>
                <w:sz w:val="20"/>
              </w:rPr>
              <w:t>Regional and Global</w:t>
            </w:r>
          </w:p>
        </w:tc>
        <w:tc>
          <w:tcPr>
            <w:tcW w:w="1423" w:type="dxa"/>
            <w:tcBorders>
              <w:bottom w:val="nil"/>
            </w:tcBorders>
          </w:tcPr>
          <w:p w14:paraId="694D35CA" w14:textId="62BB2074" w:rsidR="00CD1652" w:rsidRDefault="005F37B8" w:rsidP="00E01C62">
            <w:pPr>
              <w:spacing w:before="60"/>
              <w:rPr>
                <w:b/>
                <w:sz w:val="24"/>
              </w:rPr>
            </w:pPr>
            <w:r>
              <w:rPr>
                <w:b/>
                <w:sz w:val="24"/>
              </w:rPr>
              <w:t>2.8</w:t>
            </w:r>
          </w:p>
        </w:tc>
        <w:tc>
          <w:tcPr>
            <w:tcW w:w="1417" w:type="dxa"/>
          </w:tcPr>
          <w:p w14:paraId="5215646B" w14:textId="73DC2D52" w:rsidR="00CD1652" w:rsidRDefault="00DD4EE7" w:rsidP="00E01C62">
            <w:pPr>
              <w:spacing w:before="60"/>
              <w:rPr>
                <w:b/>
                <w:sz w:val="24"/>
              </w:rPr>
            </w:pPr>
            <w:r>
              <w:rPr>
                <w:b/>
                <w:sz w:val="24"/>
              </w:rPr>
              <w:t>7.32</w:t>
            </w:r>
          </w:p>
        </w:tc>
      </w:tr>
      <w:tr w:rsidR="00CD1652" w14:paraId="43EC8889" w14:textId="77777777" w:rsidTr="0039555D">
        <w:tc>
          <w:tcPr>
            <w:tcW w:w="6374" w:type="dxa"/>
          </w:tcPr>
          <w:p w14:paraId="17955882" w14:textId="77777777" w:rsidR="00CD1652" w:rsidRDefault="00CD1652" w:rsidP="00E01C62">
            <w:pPr>
              <w:spacing w:before="60"/>
              <w:rPr>
                <w:b/>
                <w:sz w:val="24"/>
              </w:rPr>
            </w:pPr>
            <w:r w:rsidRPr="00BE6C6D">
              <w:rPr>
                <w:sz w:val="20"/>
              </w:rPr>
              <w:t>Other Government Departments</w:t>
            </w:r>
          </w:p>
        </w:tc>
        <w:tc>
          <w:tcPr>
            <w:tcW w:w="1423" w:type="dxa"/>
            <w:tcBorders>
              <w:top w:val="nil"/>
              <w:bottom w:val="single" w:sz="4" w:space="0" w:color="auto"/>
            </w:tcBorders>
          </w:tcPr>
          <w:p w14:paraId="57713011" w14:textId="535FB29E" w:rsidR="00CD1652" w:rsidRDefault="00E01C51" w:rsidP="00E01C62">
            <w:pPr>
              <w:spacing w:before="60"/>
              <w:rPr>
                <w:b/>
                <w:sz w:val="24"/>
              </w:rPr>
            </w:pPr>
            <w:r>
              <w:rPr>
                <w:b/>
                <w:sz w:val="24"/>
              </w:rPr>
              <w:t>-</w:t>
            </w:r>
          </w:p>
        </w:tc>
        <w:tc>
          <w:tcPr>
            <w:tcW w:w="1417" w:type="dxa"/>
          </w:tcPr>
          <w:p w14:paraId="2C4DE8E6" w14:textId="77777777" w:rsidR="00CD1652" w:rsidRDefault="00CD1652" w:rsidP="00E01C62">
            <w:pPr>
              <w:spacing w:before="60"/>
              <w:rPr>
                <w:b/>
                <w:sz w:val="24"/>
              </w:rPr>
            </w:pPr>
          </w:p>
        </w:tc>
      </w:tr>
      <w:tr w:rsidR="00CD1652" w14:paraId="49F7E321" w14:textId="77777777" w:rsidTr="0039555D">
        <w:tc>
          <w:tcPr>
            <w:tcW w:w="6374" w:type="dxa"/>
          </w:tcPr>
          <w:p w14:paraId="643EC676" w14:textId="79CC3FC7" w:rsidR="00CD1652" w:rsidRDefault="00CD1652" w:rsidP="00E50EEB">
            <w:pPr>
              <w:spacing w:before="60"/>
              <w:rPr>
                <w:b/>
                <w:sz w:val="24"/>
              </w:rPr>
            </w:pPr>
            <w:r w:rsidRPr="00BE6C6D">
              <w:rPr>
                <w:sz w:val="20"/>
              </w:rPr>
              <w:t>Total ODA Expenditure</w:t>
            </w:r>
            <w:r w:rsidR="009A6FD4">
              <w:rPr>
                <w:sz w:val="20"/>
              </w:rPr>
              <w:t xml:space="preserve"> </w:t>
            </w:r>
          </w:p>
        </w:tc>
        <w:tc>
          <w:tcPr>
            <w:tcW w:w="1423" w:type="dxa"/>
            <w:tcBorders>
              <w:top w:val="single" w:sz="4" w:space="0" w:color="auto"/>
            </w:tcBorders>
          </w:tcPr>
          <w:p w14:paraId="57507CC6" w14:textId="54733BAC" w:rsidR="00CD1652" w:rsidRDefault="0039555D" w:rsidP="009A6FD4">
            <w:pPr>
              <w:spacing w:before="60"/>
              <w:rPr>
                <w:b/>
                <w:sz w:val="24"/>
              </w:rPr>
            </w:pPr>
            <w:r>
              <w:rPr>
                <w:b/>
                <w:sz w:val="24"/>
              </w:rPr>
              <w:t>38.</w:t>
            </w:r>
            <w:r w:rsidR="009A6FD4">
              <w:rPr>
                <w:b/>
                <w:sz w:val="24"/>
              </w:rPr>
              <w:t>3</w:t>
            </w:r>
          </w:p>
        </w:tc>
        <w:tc>
          <w:tcPr>
            <w:tcW w:w="1417" w:type="dxa"/>
          </w:tcPr>
          <w:p w14:paraId="45CFA4F3" w14:textId="77777777" w:rsidR="00CD1652" w:rsidRDefault="00CD1652" w:rsidP="00E01C62">
            <w:pPr>
              <w:spacing w:before="60"/>
              <w:rPr>
                <w:b/>
                <w:sz w:val="24"/>
              </w:rPr>
            </w:pPr>
          </w:p>
        </w:tc>
      </w:tr>
    </w:tbl>
    <w:p w14:paraId="45D1558F" w14:textId="653EC110" w:rsidR="005B5769" w:rsidRDefault="005B5769" w:rsidP="00323E53">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D29CD">
        <w:rPr>
          <w:rFonts w:asciiTheme="majorHAnsi" w:eastAsiaTheme="majorEastAsia" w:hAnsiTheme="majorHAnsi" w:cstheme="majorBidi"/>
          <w:caps/>
          <w:color w:val="495965" w:themeColor="text2"/>
          <w:sz w:val="38"/>
          <w:szCs w:val="38"/>
          <w:lang w:val="en-GB" w:eastAsia="en-US"/>
        </w:rPr>
        <w:t xml:space="preserve">Performance </w:t>
      </w:r>
      <w:r w:rsidR="006545B9" w:rsidRPr="00BD29CD">
        <w:rPr>
          <w:rFonts w:asciiTheme="majorHAnsi" w:eastAsiaTheme="majorEastAsia" w:hAnsiTheme="majorHAnsi" w:cstheme="majorBidi"/>
          <w:caps/>
          <w:color w:val="495965" w:themeColor="text2"/>
          <w:sz w:val="38"/>
          <w:szCs w:val="38"/>
          <w:lang w:val="en-GB" w:eastAsia="en-US"/>
        </w:rPr>
        <w:t xml:space="preserve">TOWARDS aip </w:t>
      </w:r>
      <w:r w:rsidRPr="00BD29CD">
        <w:rPr>
          <w:rFonts w:asciiTheme="majorHAnsi" w:eastAsiaTheme="majorEastAsia" w:hAnsiTheme="majorHAnsi" w:cstheme="majorBidi"/>
          <w:caps/>
          <w:color w:val="495965" w:themeColor="text2"/>
          <w:sz w:val="38"/>
          <w:szCs w:val="38"/>
          <w:lang w:val="en-GB" w:eastAsia="en-US"/>
        </w:rPr>
        <w:t>Objectives</w:t>
      </w:r>
    </w:p>
    <w:p w14:paraId="4D1894E5" w14:textId="4F5A5403"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774AF8">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1"/>
        <w:gridCol w:w="1419"/>
        <w:gridCol w:w="1419"/>
      </w:tblGrid>
      <w:tr w:rsidR="00436526" w:rsidRPr="00812509" w14:paraId="5DF95582" w14:textId="77777777" w:rsidTr="0039555D">
        <w:trPr>
          <w:cnfStyle w:val="000000010000" w:firstRow="0" w:lastRow="0" w:firstColumn="0" w:lastColumn="0" w:oddVBand="0" w:evenVBand="0" w:oddHBand="0" w:evenHBand="1" w:firstRowFirstColumn="0" w:firstRowLastColumn="0" w:lastRowFirstColumn="0" w:lastRowLastColumn="0"/>
          <w:trHeight w:val="651"/>
        </w:trPr>
        <w:tc>
          <w:tcPr>
            <w:tcW w:w="6619" w:type="dxa"/>
          </w:tcPr>
          <w:p w14:paraId="0ACC305C" w14:textId="77777777" w:rsidR="00436526" w:rsidRPr="00812509" w:rsidRDefault="00436526" w:rsidP="00436526">
            <w:pPr>
              <w:pStyle w:val="TableTextColumnHeading"/>
              <w:ind w:left="0"/>
            </w:pPr>
            <w:r w:rsidRPr="00812509">
              <w:rPr>
                <w:noProof/>
              </w:rPr>
              <w:lastRenderedPageBreak/>
              <w:drawing>
                <wp:anchor distT="0" distB="0" distL="114300" distR="114300" simplePos="0" relativeHeight="251680768"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91" w:type="dxa"/>
          </w:tcPr>
          <w:p w14:paraId="5667F1FE" w14:textId="77777777" w:rsidR="00436526" w:rsidRPr="00812509" w:rsidRDefault="00436526" w:rsidP="00E65105">
            <w:pPr>
              <w:pStyle w:val="TableTextColumnHeading"/>
            </w:pPr>
            <w:r w:rsidRPr="00812509">
              <w:t>Previous Rating</w:t>
            </w:r>
          </w:p>
        </w:tc>
        <w:tc>
          <w:tcPr>
            <w:tcW w:w="1377" w:type="dxa"/>
          </w:tcPr>
          <w:p w14:paraId="6FA17C06" w14:textId="77777777" w:rsidR="00436526" w:rsidRPr="00812509" w:rsidRDefault="00436526" w:rsidP="00E65105">
            <w:pPr>
              <w:pStyle w:val="TableTextColumnHeading"/>
            </w:pPr>
            <w:r w:rsidRPr="00812509">
              <w:t>Current Rating</w:t>
            </w:r>
          </w:p>
        </w:tc>
      </w:tr>
      <w:tr w:rsidR="0039555D" w:rsidRPr="00812509" w14:paraId="3579D8AB" w14:textId="70BE0B2E" w:rsidTr="00AE03BC">
        <w:trPr>
          <w:cnfStyle w:val="000000010000" w:firstRow="0" w:lastRow="0" w:firstColumn="0" w:lastColumn="0" w:oddVBand="0" w:evenVBand="0" w:oddHBand="0" w:evenHBand="1" w:firstRowFirstColumn="0" w:firstRowLastColumn="0" w:lastRowFirstColumn="0" w:lastRowLastColumn="0"/>
        </w:trPr>
        <w:tc>
          <w:tcPr>
            <w:tcW w:w="6619" w:type="dxa"/>
          </w:tcPr>
          <w:p w14:paraId="41523D55" w14:textId="1D17297E" w:rsidR="0039555D" w:rsidRPr="00812509" w:rsidRDefault="0039555D" w:rsidP="0039555D">
            <w:pPr>
              <w:pStyle w:val="TableTextEntries"/>
              <w:rPr>
                <w:rFonts w:asciiTheme="minorHAnsi" w:hAnsiTheme="minorHAnsi"/>
              </w:rPr>
            </w:pPr>
            <w:r w:rsidRPr="00812509">
              <w:rPr>
                <w:rFonts w:asciiTheme="minorHAnsi" w:hAnsiTheme="minorHAnsi"/>
              </w:rPr>
              <w:t>Objective 1</w:t>
            </w:r>
            <w:r>
              <w:rPr>
                <w:rFonts w:asciiTheme="minorHAnsi" w:hAnsiTheme="minorHAnsi"/>
              </w:rPr>
              <w:t xml:space="preserve"> – Improved public financial management and a more competitive agricultural economy in the PTs</w:t>
            </w:r>
          </w:p>
        </w:tc>
        <w:tc>
          <w:tcPr>
            <w:tcW w:w="1391" w:type="dxa"/>
            <w:shd w:val="clear" w:color="auto" w:fill="72AF2F"/>
            <w:noWrap/>
            <w:vAlign w:val="center"/>
          </w:tcPr>
          <w:p w14:paraId="0B07CF4E" w14:textId="32924B1C" w:rsidR="0039555D" w:rsidRPr="00812509" w:rsidRDefault="0039555D" w:rsidP="0039555D">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vAlign w:val="center"/>
          </w:tcPr>
          <w:p w14:paraId="45BFD095" w14:textId="2BBDC01A" w:rsidR="0039555D" w:rsidRPr="00812509" w:rsidRDefault="0039555D" w:rsidP="0039555D">
            <w:pPr>
              <w:suppressAutoHyphens w:val="0"/>
              <w:spacing w:before="0" w:after="0" w:line="240" w:lineRule="auto"/>
              <w:jc w:val="center"/>
            </w:pPr>
            <w:r w:rsidRPr="00812509">
              <w:rPr>
                <w:rFonts w:asciiTheme="minorHAnsi" w:hAnsiTheme="minorHAnsi"/>
                <w:color w:val="FFFFFF" w:themeColor="background1"/>
              </w:rPr>
              <w:t>Green</w:t>
            </w:r>
          </w:p>
        </w:tc>
      </w:tr>
      <w:tr w:rsidR="0039555D" w:rsidRPr="00812509" w14:paraId="3D2B297D" w14:textId="202E21BC" w:rsidTr="00AE03BC">
        <w:trPr>
          <w:cnfStyle w:val="000000010000" w:firstRow="0" w:lastRow="0" w:firstColumn="0" w:lastColumn="0" w:oddVBand="0" w:evenVBand="0" w:oddHBand="0" w:evenHBand="1" w:firstRowFirstColumn="0" w:firstRowLastColumn="0" w:lastRowFirstColumn="0" w:lastRowLastColumn="0"/>
        </w:trPr>
        <w:tc>
          <w:tcPr>
            <w:tcW w:w="6619" w:type="dxa"/>
          </w:tcPr>
          <w:p w14:paraId="1E79EEF7" w14:textId="7950AB55" w:rsidR="0039555D" w:rsidRPr="00812509" w:rsidRDefault="0039555D" w:rsidP="0039555D">
            <w:pPr>
              <w:pStyle w:val="TableTextEntries"/>
              <w:rPr>
                <w:rFonts w:asciiTheme="minorHAnsi" w:hAnsiTheme="minorHAnsi"/>
              </w:rPr>
            </w:pPr>
            <w:r w:rsidRPr="00812509">
              <w:rPr>
                <w:rFonts w:asciiTheme="minorHAnsi" w:hAnsiTheme="minorHAnsi"/>
              </w:rPr>
              <w:t>Objective 2</w:t>
            </w:r>
            <w:r>
              <w:rPr>
                <w:rFonts w:asciiTheme="minorHAnsi" w:hAnsiTheme="minorHAnsi"/>
              </w:rPr>
              <w:t xml:space="preserve"> – Palestinian refugees in the PTs and across the region are able to access quality services</w:t>
            </w:r>
          </w:p>
        </w:tc>
        <w:tc>
          <w:tcPr>
            <w:tcW w:w="1391" w:type="dxa"/>
            <w:shd w:val="clear" w:color="auto" w:fill="72AF2F"/>
            <w:noWrap/>
            <w:vAlign w:val="center"/>
          </w:tcPr>
          <w:p w14:paraId="256C9D4C" w14:textId="23A43F5E" w:rsidR="0039555D" w:rsidRPr="00812509" w:rsidRDefault="0039555D" w:rsidP="0039555D">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vAlign w:val="center"/>
          </w:tcPr>
          <w:p w14:paraId="24D0F6ED" w14:textId="168B9B83" w:rsidR="0039555D" w:rsidRPr="00812509" w:rsidRDefault="0039555D" w:rsidP="0039555D">
            <w:pPr>
              <w:suppressAutoHyphens w:val="0"/>
              <w:spacing w:before="0" w:after="0" w:line="240" w:lineRule="auto"/>
              <w:jc w:val="center"/>
            </w:pPr>
            <w:r w:rsidRPr="00812509">
              <w:rPr>
                <w:rFonts w:asciiTheme="minorHAnsi" w:hAnsiTheme="minorHAnsi"/>
                <w:color w:val="FFFFFF" w:themeColor="background1"/>
              </w:rPr>
              <w:t>Green</w:t>
            </w:r>
          </w:p>
        </w:tc>
      </w:tr>
    </w:tbl>
    <w:p w14:paraId="172E9639"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7145CEBA"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1E1898BE"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30A860C1"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2A6776A1" w14:textId="5DE0116C" w:rsidR="001E52EA" w:rsidRPr="001E52EA" w:rsidRDefault="005B5769" w:rsidP="0039555D">
      <w:pPr>
        <w:pStyle w:val="Note"/>
      </w:pPr>
      <w:r w:rsidRPr="00C4114C">
        <w:t xml:space="preserve">  </w:t>
      </w:r>
    </w:p>
    <w:p w14:paraId="089387F7" w14:textId="088E14C3" w:rsidR="00695730" w:rsidRPr="00877607" w:rsidRDefault="00695730"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sidR="00436526">
        <w:rPr>
          <w:rFonts w:asciiTheme="majorHAnsi" w:eastAsiaTheme="majorEastAsia" w:hAnsiTheme="majorHAnsi" w:cstheme="majorBidi"/>
          <w:caps/>
          <w:sz w:val="32"/>
          <w:szCs w:val="32"/>
        </w:rPr>
        <w:t xml:space="preserve"> </w:t>
      </w:r>
      <w:r w:rsidR="0039555D">
        <w:rPr>
          <w:rFonts w:asciiTheme="majorHAnsi" w:eastAsiaTheme="majorEastAsia" w:hAnsiTheme="majorHAnsi" w:cstheme="majorBidi"/>
          <w:caps/>
          <w:sz w:val="32"/>
          <w:szCs w:val="32"/>
        </w:rPr>
        <w:t>– Improved public financial management and a more compet</w:t>
      </w:r>
      <w:r w:rsidR="002B6D60">
        <w:rPr>
          <w:rFonts w:asciiTheme="majorHAnsi" w:eastAsiaTheme="majorEastAsia" w:hAnsiTheme="majorHAnsi" w:cstheme="majorBidi"/>
          <w:caps/>
          <w:sz w:val="32"/>
          <w:szCs w:val="32"/>
        </w:rPr>
        <w:t>E</w:t>
      </w:r>
      <w:r w:rsidR="0039555D">
        <w:rPr>
          <w:rFonts w:asciiTheme="majorHAnsi" w:eastAsiaTheme="majorEastAsia" w:hAnsiTheme="majorHAnsi" w:cstheme="majorBidi"/>
          <w:caps/>
          <w:sz w:val="32"/>
          <w:szCs w:val="32"/>
        </w:rPr>
        <w:t>tive agricultural economy in the palestinian territories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787"/>
        <w:gridCol w:w="1176"/>
        <w:gridCol w:w="1855"/>
        <w:gridCol w:w="2804"/>
      </w:tblGrid>
      <w:tr w:rsidR="002F6ED0" w14:paraId="05BD80A1" w14:textId="77777777" w:rsidTr="00AE03BC">
        <w:tc>
          <w:tcPr>
            <w:tcW w:w="2016" w:type="dxa"/>
            <w:hideMark/>
          </w:tcPr>
          <w:p w14:paraId="667303DB" w14:textId="2FC4E40B" w:rsidR="002F6ED0" w:rsidRDefault="002F6ED0">
            <w:pPr>
              <w:suppressAutoHyphens w:val="0"/>
              <w:spacing w:before="8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395F0ABE" wp14:editId="58EA4E26">
                  <wp:extent cx="1133475" cy="7239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787" w:type="dxa"/>
            <w:hideMark/>
          </w:tcPr>
          <w:p w14:paraId="6567D32E" w14:textId="34D02FEC" w:rsidR="002F6ED0" w:rsidRDefault="002F6ED0">
            <w:pPr>
              <w:suppressAutoHyphens w:val="0"/>
              <w:spacing w:before="16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0E2BDE3D" wp14:editId="122872FE">
                  <wp:extent cx="609600" cy="609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176" w:type="dxa"/>
            <w:hideMark/>
          </w:tcPr>
          <w:p w14:paraId="5B1D77C2" w14:textId="6064480F" w:rsidR="002F6ED0" w:rsidRDefault="002F6ED0">
            <w:pPr>
              <w:suppressAutoHyphens w:val="0"/>
              <w:spacing w:before="160" w:after="80" w:line="240" w:lineRule="auto"/>
              <w:jc w:val="center"/>
              <w:rPr>
                <w:rFonts w:asciiTheme="majorHAnsi" w:eastAsiaTheme="majorEastAsia" w:hAnsiTheme="majorHAnsi" w:cstheme="majorBidi"/>
                <w:caps/>
                <w:sz w:val="38"/>
                <w:szCs w:val="26"/>
              </w:rPr>
            </w:pPr>
            <w:r>
              <w:rPr>
                <w:rFonts w:ascii="Franklin Gothic Book" w:eastAsia="Times New Roman" w:hAnsi="Franklin Gothic Book" w:cs="Times New Roman"/>
                <w:noProof/>
                <w:color w:val="auto"/>
                <w:sz w:val="21"/>
                <w:szCs w:val="24"/>
                <w:lang w:val="en-AU" w:eastAsia="en-AU"/>
              </w:rPr>
              <w:drawing>
                <wp:inline distT="0" distB="0" distL="0" distR="0" wp14:anchorId="43F97B03" wp14:editId="1CF43A10">
                  <wp:extent cx="609600" cy="609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855" w:type="dxa"/>
            <w:hideMark/>
          </w:tcPr>
          <w:p w14:paraId="14882479" w14:textId="2364CAE1" w:rsidR="002F6ED0" w:rsidRDefault="002F6ED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4F10C6A" wp14:editId="3771CA25">
                  <wp:extent cx="600075" cy="6096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tc>
        <w:tc>
          <w:tcPr>
            <w:tcW w:w="2804" w:type="dxa"/>
            <w:hideMark/>
          </w:tcPr>
          <w:p w14:paraId="45EBE503" w14:textId="3AB3C6AE" w:rsidR="002F6ED0" w:rsidRDefault="002F6ED0">
            <w:pPr>
              <w:suppressAutoHyphens w:val="0"/>
              <w:spacing w:before="160" w:after="80" w:line="240" w:lineRule="auto"/>
              <w:rPr>
                <w:rFonts w:asciiTheme="majorHAnsi" w:eastAsiaTheme="majorEastAsia" w:hAnsiTheme="majorHAnsi" w:cstheme="majorBidi"/>
                <w:caps/>
                <w:sz w:val="38"/>
                <w:szCs w:val="26"/>
              </w:rPr>
            </w:pPr>
            <w:r>
              <w:rPr>
                <w:noProof/>
                <w:lang w:val="en-AU" w:eastAsia="en-AU"/>
              </w:rPr>
              <w:drawing>
                <wp:inline distT="0" distB="0" distL="0" distR="0" wp14:anchorId="3E760EAE" wp14:editId="02456156">
                  <wp:extent cx="609600" cy="609600"/>
                  <wp:effectExtent l="0" t="0" r="0" b="0"/>
                  <wp:docPr id="48" name="Picture 48"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DG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heme="majorHAnsi" w:eastAsiaTheme="majorEastAsia" w:hAnsiTheme="majorHAnsi" w:cstheme="majorBidi"/>
                <w:caps/>
                <w:sz w:val="38"/>
                <w:szCs w:val="26"/>
              </w:rPr>
              <w:t xml:space="preserve">    </w:t>
            </w:r>
            <w:r>
              <w:rPr>
                <w:rFonts w:asciiTheme="majorHAnsi" w:eastAsiaTheme="majorEastAsia" w:hAnsiTheme="majorHAnsi" w:cstheme="majorBidi"/>
                <w:caps/>
                <w:noProof/>
                <w:sz w:val="38"/>
                <w:szCs w:val="26"/>
                <w:lang w:val="en-AU" w:eastAsia="en-AU"/>
              </w:rPr>
              <w:drawing>
                <wp:inline distT="0" distB="0" distL="0" distR="0" wp14:anchorId="521E10B0" wp14:editId="0111294A">
                  <wp:extent cx="581025" cy="600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c>
      </w:tr>
    </w:tbl>
    <w:p w14:paraId="549B75AB" w14:textId="263A0160" w:rsidR="004265C7" w:rsidRDefault="004265C7" w:rsidP="00AE03BC">
      <w:r>
        <w:t xml:space="preserve">Over the 2018-19 period, two </w:t>
      </w:r>
      <w:r w:rsidR="009241B4">
        <w:t>programs</w:t>
      </w:r>
      <w:r>
        <w:t xml:space="preserve"> under this AIP contributed to a more competitive</w:t>
      </w:r>
      <w:r w:rsidR="00AE03BC">
        <w:t xml:space="preserve"> economy and improved financial man</w:t>
      </w:r>
      <w:r w:rsidR="00FE3B21">
        <w:t>agement in the PTs during 2018-19</w:t>
      </w:r>
      <w:r w:rsidR="00AE03BC">
        <w:t xml:space="preserve">. </w:t>
      </w:r>
      <w:r w:rsidR="00DD2869">
        <w:t xml:space="preserve"> </w:t>
      </w:r>
      <w:r>
        <w:t>These were:</w:t>
      </w:r>
    </w:p>
    <w:p w14:paraId="2FB4ECEE" w14:textId="17C18981" w:rsidR="004265C7" w:rsidRDefault="004265C7" w:rsidP="004265C7">
      <w:pPr>
        <w:pStyle w:val="ListParagraph"/>
        <w:numPr>
          <w:ilvl w:val="0"/>
          <w:numId w:val="38"/>
        </w:numPr>
      </w:pPr>
      <w:r>
        <w:t>The Australia Middle East NGO C</w:t>
      </w:r>
      <w:r w:rsidR="003325FD">
        <w:t>ooperation Agreement (AMENCA 3); and</w:t>
      </w:r>
    </w:p>
    <w:p w14:paraId="533EEE0A" w14:textId="3EF0BFF4" w:rsidR="004265C7" w:rsidRPr="004265C7" w:rsidRDefault="004265C7" w:rsidP="004265C7">
      <w:pPr>
        <w:pStyle w:val="ListParagraph"/>
        <w:numPr>
          <w:ilvl w:val="0"/>
          <w:numId w:val="38"/>
        </w:numPr>
      </w:pPr>
      <w:r>
        <w:t xml:space="preserve">Australia Award scholarships to </w:t>
      </w:r>
      <w:r w:rsidR="009241B4">
        <w:t>the Palestinian Territories.</w:t>
      </w:r>
    </w:p>
    <w:p w14:paraId="0680031B" w14:textId="5F853C24" w:rsidR="00AE03BC" w:rsidRDefault="00AE03BC" w:rsidP="00AE03BC">
      <w:r>
        <w:t xml:space="preserve">This objective is rated </w:t>
      </w:r>
      <w:r w:rsidR="00630807">
        <w:t>‘</w:t>
      </w:r>
      <w:r>
        <w:t>green</w:t>
      </w:r>
      <w:r w:rsidR="00630807">
        <w:t>’</w:t>
      </w:r>
      <w:r>
        <w:t xml:space="preserve"> because progress </w:t>
      </w:r>
      <w:r w:rsidR="009241B4">
        <w:t xml:space="preserve">is as expected, and in some cases has exceeded expectations, at this stage of implementation.  </w:t>
      </w:r>
    </w:p>
    <w:p w14:paraId="6774BF99" w14:textId="156ACFDA" w:rsidR="00E6530E" w:rsidRPr="00E6530E" w:rsidRDefault="00E6530E" w:rsidP="00AE03BC">
      <w:pPr>
        <w:rPr>
          <w:i/>
        </w:rPr>
      </w:pPr>
      <w:r>
        <w:rPr>
          <w:i/>
        </w:rPr>
        <w:t>AMENCA 3</w:t>
      </w:r>
    </w:p>
    <w:p w14:paraId="6168AEB6" w14:textId="167F3BCA" w:rsidR="009241B4" w:rsidRDefault="00FE3B21" w:rsidP="00AE03BC">
      <w:r>
        <w:t>In 2018-19, Australia provided approximately $4.5</w:t>
      </w:r>
      <w:r w:rsidR="00AE03BC">
        <w:t xml:space="preserve"> million to the third phase of </w:t>
      </w:r>
      <w:r w:rsidR="00DD4EE7">
        <w:t xml:space="preserve">the </w:t>
      </w:r>
      <w:r w:rsidR="00AE03BC">
        <w:rPr>
          <w:b/>
        </w:rPr>
        <w:t>Australia Middle East NGO Cooperation Agreement (AMENCA 3).</w:t>
      </w:r>
      <w:r w:rsidR="00AE03BC">
        <w:t xml:space="preserve"> </w:t>
      </w:r>
      <w:r w:rsidR="00DD2869">
        <w:t xml:space="preserve"> </w:t>
      </w:r>
      <w:r w:rsidR="00AE03BC">
        <w:t xml:space="preserve">AMENCA 3 uses a </w:t>
      </w:r>
      <w:r w:rsidR="00DD4EE7">
        <w:t xml:space="preserve">hybrid </w:t>
      </w:r>
      <w:r w:rsidR="00AE03BC">
        <w:t xml:space="preserve">‘Markets </w:t>
      </w:r>
      <w:r w:rsidR="00DD4EE7">
        <w:t>Systems Development</w:t>
      </w:r>
      <w:r w:rsidR="00AE03BC">
        <w:t>’ (M</w:t>
      </w:r>
      <w:r w:rsidR="00DD4EE7">
        <w:t>SD</w:t>
      </w:r>
      <w:r w:rsidR="00AE03BC">
        <w:t xml:space="preserve">) approach to facilitate agricultural development across the PTs, seeking to increase agricultural output, strengthen agricultural value chains and enhance economic opportunities for Palestinians, with a specific focus on women and youth. </w:t>
      </w:r>
      <w:r w:rsidR="00DD2869">
        <w:t xml:space="preserve"> </w:t>
      </w:r>
      <w:r w:rsidR="00AE03BC">
        <w:t>The program works with Australian NGOs and their Palestinian networks to identify barriers to participation in the sector, design activities to address these constraints and facilitate relationships that bring market actors together.</w:t>
      </w:r>
      <w:r w:rsidR="009241B4">
        <w:t xml:space="preserve"> </w:t>
      </w:r>
    </w:p>
    <w:p w14:paraId="33A9CA23" w14:textId="114A68C0" w:rsidR="003325FD" w:rsidRDefault="003325FD" w:rsidP="003325FD">
      <w:r>
        <w:t xml:space="preserve">There are considerable constraints to agricultural development including a lack of certainty over territorial borders and natural resources such as land and water, restrictions on the movement of goods, people, and the continued risk of conflict, all of which are particularly acute in Gaza. </w:t>
      </w:r>
      <w:r w:rsidR="00DD2869">
        <w:t xml:space="preserve"> </w:t>
      </w:r>
      <w:r>
        <w:t>The program</w:t>
      </w:r>
      <w:r w:rsidR="00630807">
        <w:t>’</w:t>
      </w:r>
      <w:r>
        <w:t>s anticipated outcomes acknowledge this challenging environment.</w:t>
      </w:r>
    </w:p>
    <w:p w14:paraId="38CF46F7" w14:textId="051BA156" w:rsidR="009241B4" w:rsidRDefault="009241B4" w:rsidP="00AE03BC">
      <w:r>
        <w:t>In 2018-19, the AMENCA 3 program worked with three Australian NGOs:</w:t>
      </w:r>
    </w:p>
    <w:p w14:paraId="10091E70" w14:textId="76C4D115" w:rsidR="009241B4" w:rsidRDefault="009241B4" w:rsidP="009241B4">
      <w:pPr>
        <w:pStyle w:val="ListParagraph"/>
        <w:numPr>
          <w:ilvl w:val="0"/>
          <w:numId w:val="39"/>
        </w:numPr>
      </w:pPr>
      <w:r>
        <w:t>CARE Australia</w:t>
      </w:r>
      <w:r w:rsidR="003325FD">
        <w:t>;</w:t>
      </w:r>
    </w:p>
    <w:p w14:paraId="6B58C19D" w14:textId="12BB6DC3" w:rsidR="009241B4" w:rsidRDefault="009241B4" w:rsidP="009241B4">
      <w:pPr>
        <w:pStyle w:val="ListParagraph"/>
        <w:numPr>
          <w:ilvl w:val="0"/>
          <w:numId w:val="39"/>
        </w:numPr>
      </w:pPr>
      <w:r>
        <w:t>Australian People for Health, Education and Development Abroad (APHEDA)</w:t>
      </w:r>
      <w:r w:rsidR="003325FD">
        <w:t>; and</w:t>
      </w:r>
    </w:p>
    <w:p w14:paraId="7CF0892D" w14:textId="3FF8E2F8" w:rsidR="009241B4" w:rsidRDefault="009241B4" w:rsidP="009241B4">
      <w:pPr>
        <w:pStyle w:val="ListParagraph"/>
        <w:numPr>
          <w:ilvl w:val="0"/>
          <w:numId w:val="39"/>
        </w:numPr>
      </w:pPr>
      <w:r>
        <w:t>Oxfam</w:t>
      </w:r>
    </w:p>
    <w:p w14:paraId="29041642" w14:textId="5CA8262F" w:rsidR="003325FD" w:rsidRDefault="00E60FC9" w:rsidP="003325FD">
      <w:pPr>
        <w:rPr>
          <w:color w:val="1F497D"/>
          <w:lang w:val="en-AU"/>
        </w:rPr>
      </w:pPr>
      <w:r>
        <w:lastRenderedPageBreak/>
        <w:t xml:space="preserve">Through AMENCA 3, 7,646 farmers were reported in 2018 to have adopted innovative agricultural practices (which was more than twice the target number at the beginning of the year).  </w:t>
      </w:r>
      <w:r w:rsidR="00FD1A25">
        <w:t>In addition, t</w:t>
      </w:r>
      <w:r w:rsidR="003325FD">
        <w:t>he AMENCA 3 program</w:t>
      </w:r>
      <w:r>
        <w:t xml:space="preserve"> performance reporting for 2018-19 </w:t>
      </w:r>
      <w:r w:rsidR="003325FD">
        <w:t>not</w:t>
      </w:r>
      <w:r>
        <w:t>es</w:t>
      </w:r>
      <w:r w:rsidR="003325FD">
        <w:t xml:space="preserve"> it exceeded targets for economic empowerment amongst women and girls for 2018 – to such an extent that youths reporting economic empowerment had already reached the proposed </w:t>
      </w:r>
      <w:r w:rsidR="00CC0B16">
        <w:t>end of program</w:t>
      </w:r>
      <w:r w:rsidR="003325FD">
        <w:t xml:space="preserve"> target.  </w:t>
      </w:r>
      <w:r w:rsidR="00FD1A25">
        <w:t>In 2018, 6</w:t>
      </w:r>
      <w:r w:rsidR="00AA5FA7">
        <w:t>,</w:t>
      </w:r>
      <w:r w:rsidR="00FD1A25">
        <w:t>461</w:t>
      </w:r>
      <w:r w:rsidR="00426270">
        <w:t xml:space="preserve"> </w:t>
      </w:r>
      <w:r w:rsidR="003325FD">
        <w:t>women report</w:t>
      </w:r>
      <w:r w:rsidR="00FD1A25">
        <w:t>ed increased incomes from AMENCA3 interventions</w:t>
      </w:r>
      <w:r w:rsidR="003325FD">
        <w:t xml:space="preserve"> (</w:t>
      </w:r>
      <w:r w:rsidR="00FD1A25">
        <w:t>3,188</w:t>
      </w:r>
      <w:r w:rsidR="003325FD">
        <w:t xml:space="preserve"> more than the </w:t>
      </w:r>
      <w:r w:rsidR="00FD1A25">
        <w:t>target for the year</w:t>
      </w:r>
      <w:r w:rsidR="003325FD">
        <w:t xml:space="preserve">), and more than 3,800 women reported active and equitable roles in agricultural value chains (1,600 more than the target).  </w:t>
      </w:r>
    </w:p>
    <w:p w14:paraId="333FFE0C" w14:textId="2825D505" w:rsidR="00FE3B21" w:rsidRDefault="00076255" w:rsidP="00AE03BC">
      <w:r>
        <w:t xml:space="preserve">AMENCA 3 has supported the Palestinian dairy sector </w:t>
      </w:r>
      <w:r w:rsidR="00630807">
        <w:t>by</w:t>
      </w:r>
      <w:r>
        <w:t xml:space="preserve"> connecting private sector dairy processors to milk collection hubs. </w:t>
      </w:r>
      <w:r w:rsidR="00DD2869">
        <w:t xml:space="preserve"> </w:t>
      </w:r>
      <w:r>
        <w:t>Agricultural innovations, such as drip irrigation and mono-fertilisers for vegetables ha</w:t>
      </w:r>
      <w:r w:rsidR="00630807">
        <w:t>ve</w:t>
      </w:r>
      <w:r>
        <w:t xml:space="preserve"> resulted in a 30 per cent drop in farming costs and a five per cent increase in yield. </w:t>
      </w:r>
      <w:r w:rsidR="00DD2869">
        <w:t xml:space="preserve"> </w:t>
      </w:r>
      <w:r>
        <w:t>Improvements to the dairy sector, through introducing better quality fodder, ha</w:t>
      </w:r>
      <w:r w:rsidR="00630807">
        <w:t>ve</w:t>
      </w:r>
      <w:r>
        <w:t xml:space="preserve"> increased milk production and the efficiency of the sector. </w:t>
      </w:r>
      <w:r w:rsidR="00DD2869">
        <w:t xml:space="preserve"> </w:t>
      </w:r>
      <w:r>
        <w:t xml:space="preserve">The result has been a more self-sufficient and more profitable agricultural sector, leveraging </w:t>
      </w:r>
      <w:r w:rsidR="00E26B6B">
        <w:t>considerable (</w:t>
      </w:r>
      <w:r>
        <w:t>AUD 7.88 million</w:t>
      </w:r>
      <w:r w:rsidR="00E26B6B">
        <w:t>)</w:t>
      </w:r>
      <w:r>
        <w:t xml:space="preserve"> private sector investment in 2018. </w:t>
      </w:r>
    </w:p>
    <w:p w14:paraId="2B1B1155" w14:textId="7FD13640" w:rsidR="00AE03BC" w:rsidRDefault="00AE03BC" w:rsidP="00AE03BC">
      <w:r>
        <w:t xml:space="preserve">AMENCA 3 has supported </w:t>
      </w:r>
      <w:r w:rsidR="00076255">
        <w:t>the construction of more than 25</w:t>
      </w:r>
      <w:r>
        <w:t xml:space="preserve"> kilometres of rural roads since the program’s inception in 2016.  This has reduced transportation costs and increased </w:t>
      </w:r>
      <w:r w:rsidR="00CC0B16">
        <w:t xml:space="preserve">farm </w:t>
      </w:r>
      <w:r>
        <w:t xml:space="preserve">profitability, with more than </w:t>
      </w:r>
      <w:r w:rsidR="00426270">
        <w:t>4,160</w:t>
      </w:r>
      <w:r>
        <w:t xml:space="preserve"> farmers reporting </w:t>
      </w:r>
      <w:r w:rsidR="00426270">
        <w:t xml:space="preserve">improved access to agricultural infrastructure, services, information and </w:t>
      </w:r>
      <w:r>
        <w:t xml:space="preserve">enhanced links with market actors. </w:t>
      </w:r>
    </w:p>
    <w:p w14:paraId="3FAB1C5D" w14:textId="7AF4FAA8" w:rsidR="00AE03BC" w:rsidRDefault="00AE03BC" w:rsidP="00AE03BC">
      <w:r>
        <w:t xml:space="preserve">In 2017-18, allegations </w:t>
      </w:r>
      <w:r w:rsidR="008834ED">
        <w:t xml:space="preserve">involving </w:t>
      </w:r>
      <w:r>
        <w:t>an AMENCA 3 implementing partner (APHEDA) led to its suspension from the program</w:t>
      </w:r>
      <w:r w:rsidR="00E6530E">
        <w:t xml:space="preserve"> (effective 29 June 2018)</w:t>
      </w:r>
      <w:r>
        <w:t>.</w:t>
      </w:r>
      <w:r w:rsidR="00F156D6">
        <w:t xml:space="preserve"> </w:t>
      </w:r>
      <w:r w:rsidR="00DD2869">
        <w:t xml:space="preserve"> </w:t>
      </w:r>
      <w:r w:rsidR="00F156D6">
        <w:t xml:space="preserve">This suspension was lifted in </w:t>
      </w:r>
      <w:r w:rsidR="00567465">
        <w:t>April</w:t>
      </w:r>
      <w:r w:rsidR="00F156D6">
        <w:t xml:space="preserve"> 2019 </w:t>
      </w:r>
      <w:r w:rsidR="00CC0B16">
        <w:t>after an independent audit</w:t>
      </w:r>
      <w:r w:rsidR="00FC6395">
        <w:t>; subsequently</w:t>
      </w:r>
      <w:r w:rsidR="00F156D6">
        <w:t xml:space="preserve"> APHEDA resumed </w:t>
      </w:r>
      <w:r w:rsidR="00953D28">
        <w:t xml:space="preserve">its </w:t>
      </w:r>
      <w:r w:rsidR="00F156D6">
        <w:t xml:space="preserve">activities. World Vision, another initial AMENCA 3 partner, </w:t>
      </w:r>
      <w:r w:rsidR="003F1399">
        <w:t>was</w:t>
      </w:r>
      <w:r w:rsidR="00F156D6">
        <w:t xml:space="preserve"> suspended from the program </w:t>
      </w:r>
      <w:r w:rsidR="003F1399">
        <w:t xml:space="preserve">in </w:t>
      </w:r>
      <w:r w:rsidR="00F156D6">
        <w:t xml:space="preserve">2016 </w:t>
      </w:r>
      <w:r w:rsidR="003F1399">
        <w:t xml:space="preserve">due to allegations that are still before the </w:t>
      </w:r>
      <w:r w:rsidR="00CC0B16">
        <w:t xml:space="preserve">Israeli </w:t>
      </w:r>
      <w:r w:rsidR="003F1399">
        <w:t xml:space="preserve">courts </w:t>
      </w:r>
      <w:r w:rsidR="00F156D6">
        <w:t xml:space="preserve">and </w:t>
      </w:r>
      <w:r w:rsidR="00DD4EE7">
        <w:t>its agreement under AMENCA 3</w:t>
      </w:r>
      <w:r w:rsidR="003F1399">
        <w:t xml:space="preserve"> </w:t>
      </w:r>
      <w:r w:rsidR="00DD4EE7">
        <w:t xml:space="preserve">has </w:t>
      </w:r>
      <w:r w:rsidR="003F1399">
        <w:t>since</w:t>
      </w:r>
      <w:r w:rsidR="00DD4EE7">
        <w:t xml:space="preserve"> expired</w:t>
      </w:r>
      <w:r w:rsidR="00F156D6">
        <w:t>.</w:t>
      </w:r>
      <w:r w:rsidR="00E6530E">
        <w:t xml:space="preserve"> </w:t>
      </w:r>
      <w:r w:rsidR="00DD2869">
        <w:t xml:space="preserve"> </w:t>
      </w:r>
      <w:r>
        <w:t xml:space="preserve">The remaining partners, Care and Oxfam, continue to deliver strong results however overall program performance </w:t>
      </w:r>
      <w:r w:rsidR="003F1399">
        <w:t xml:space="preserve">has been </w:t>
      </w:r>
      <w:r>
        <w:t xml:space="preserve">impacted by the suspensions. </w:t>
      </w:r>
      <w:r w:rsidR="00DD2869">
        <w:t xml:space="preserve"> </w:t>
      </w:r>
      <w:proofErr w:type="spellStart"/>
      <w:r>
        <w:t>Cardno</w:t>
      </w:r>
      <w:proofErr w:type="spellEnd"/>
      <w:r>
        <w:t xml:space="preserve"> Emerging Markets also continues to provide technical and operational support to AMENCA 3.</w:t>
      </w:r>
    </w:p>
    <w:p w14:paraId="1696D8DA" w14:textId="52B2FEF6" w:rsidR="009241B4" w:rsidRPr="009241B4" w:rsidRDefault="009241B4" w:rsidP="00AE03BC">
      <w:pPr>
        <w:rPr>
          <w:i/>
        </w:rPr>
      </w:pPr>
      <w:r>
        <w:rPr>
          <w:i/>
        </w:rPr>
        <w:t>Australia Award Scholarships</w:t>
      </w:r>
    </w:p>
    <w:p w14:paraId="10EC9CF9" w14:textId="2507D4DC" w:rsidR="005F37B8" w:rsidRPr="005F37B8" w:rsidRDefault="005F37B8" w:rsidP="005F37B8">
      <w:r w:rsidRPr="005F37B8">
        <w:t xml:space="preserve">During 2018-19, </w:t>
      </w:r>
      <w:r w:rsidR="00AA5FA7">
        <w:t>12</w:t>
      </w:r>
      <w:r w:rsidR="0033413A">
        <w:t xml:space="preserve"> </w:t>
      </w:r>
      <w:r w:rsidRPr="005F37B8">
        <w:t>Australia Award scholarships were a</w:t>
      </w:r>
      <w:r w:rsidR="00CC0B16">
        <w:t>warded</w:t>
      </w:r>
      <w:r w:rsidRPr="005F37B8">
        <w:t xml:space="preserve"> to Palestinians</w:t>
      </w:r>
      <w:r w:rsidR="00CC0B16">
        <w:t>, with 11 of these taken up</w:t>
      </w:r>
      <w:r w:rsidRPr="005F37B8">
        <w:t xml:space="preserve">. </w:t>
      </w:r>
      <w:r w:rsidR="006C70E0">
        <w:t xml:space="preserve"> </w:t>
      </w:r>
      <w:r>
        <w:t xml:space="preserve">The selected scholars studied education, governance and environmental and natural resource management. </w:t>
      </w:r>
      <w:r w:rsidR="006C70E0">
        <w:t xml:space="preserve"> </w:t>
      </w:r>
      <w:r w:rsidRPr="005F37B8">
        <w:t>The scholarships program helps to build public sector management skills</w:t>
      </w:r>
      <w:r w:rsidR="00630807">
        <w:t>.</w:t>
      </w:r>
      <w:r>
        <w:t xml:space="preserve"> </w:t>
      </w:r>
    </w:p>
    <w:p w14:paraId="62D5E30A" w14:textId="4AE3C1B7" w:rsidR="006545B9" w:rsidRPr="00877607" w:rsidRDefault="006545B9"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002F6ED0">
        <w:rPr>
          <w:rFonts w:asciiTheme="majorHAnsi" w:eastAsiaTheme="majorEastAsia" w:hAnsiTheme="majorHAnsi" w:cstheme="majorBidi"/>
          <w:caps/>
          <w:sz w:val="32"/>
          <w:szCs w:val="32"/>
        </w:rPr>
        <w:t xml:space="preserve"> – palestinian refugees in the pts and across the region are able to access quality basic services</w:t>
      </w: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45"/>
        <w:gridCol w:w="1185"/>
        <w:gridCol w:w="3286"/>
        <w:gridCol w:w="2191"/>
      </w:tblGrid>
      <w:tr w:rsidR="002F6ED0" w14:paraId="657AC18D" w14:textId="77777777" w:rsidTr="002F6ED0">
        <w:tc>
          <w:tcPr>
            <w:tcW w:w="2016" w:type="dxa"/>
            <w:hideMark/>
          </w:tcPr>
          <w:p w14:paraId="096E2CA5" w14:textId="2449FB6C" w:rsidR="002F6ED0" w:rsidRDefault="002F6ED0">
            <w:pPr>
              <w:suppressAutoHyphens w:val="0"/>
              <w:spacing w:before="8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33FD9EA1" wp14:editId="1F192FC2">
                  <wp:extent cx="1114425" cy="7143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1245" w:type="dxa"/>
            <w:hideMark/>
          </w:tcPr>
          <w:p w14:paraId="62B36C90" w14:textId="3354ADCE" w:rsidR="002F6ED0" w:rsidRDefault="002F6ED0">
            <w:pPr>
              <w:suppressAutoHyphens w:val="0"/>
              <w:spacing w:before="16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23BB4A73" wp14:editId="4D0426E3">
                  <wp:extent cx="619125" cy="609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1185" w:type="dxa"/>
            <w:hideMark/>
          </w:tcPr>
          <w:p w14:paraId="1858BA1D" w14:textId="642AA1C4" w:rsidR="002F6ED0" w:rsidRDefault="002F6ED0">
            <w:pPr>
              <w:suppressAutoHyphens w:val="0"/>
              <w:spacing w:before="160" w:after="80" w:line="240" w:lineRule="auto"/>
              <w:jc w:val="center"/>
              <w:rPr>
                <w:rFonts w:asciiTheme="majorHAnsi" w:eastAsiaTheme="majorEastAsia" w:hAnsiTheme="majorHAnsi" w:cstheme="majorBidi"/>
                <w:caps/>
                <w:sz w:val="38"/>
                <w:szCs w:val="26"/>
              </w:rPr>
            </w:pPr>
            <w:r>
              <w:rPr>
                <w:rFonts w:ascii="Franklin Gothic Book" w:eastAsia="Times New Roman" w:hAnsi="Franklin Gothic Book" w:cs="Times New Roman"/>
                <w:noProof/>
                <w:color w:val="auto"/>
                <w:sz w:val="21"/>
                <w:szCs w:val="24"/>
                <w:lang w:val="en-AU" w:eastAsia="en-AU"/>
              </w:rPr>
              <w:drawing>
                <wp:inline distT="0" distB="0" distL="0" distR="0" wp14:anchorId="6323EDF3" wp14:editId="10032838">
                  <wp:extent cx="571500" cy="609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tc>
        <w:tc>
          <w:tcPr>
            <w:tcW w:w="3286" w:type="dxa"/>
            <w:hideMark/>
          </w:tcPr>
          <w:p w14:paraId="1EE8B04C" w14:textId="7EECE0B2" w:rsidR="002F6ED0" w:rsidRDefault="002F6ED0">
            <w:pPr>
              <w:suppressAutoHyphens w:val="0"/>
              <w:spacing w:before="160" w:after="80" w:line="240" w:lineRule="auto"/>
              <w:rPr>
                <w:rFonts w:asciiTheme="majorHAnsi" w:eastAsiaTheme="majorEastAsia" w:hAnsiTheme="majorHAnsi" w:cstheme="majorBidi"/>
                <w:caps/>
                <w:sz w:val="38"/>
                <w:szCs w:val="26"/>
              </w:rPr>
            </w:pPr>
            <w:r>
              <w:rPr>
                <w:rFonts w:ascii="Franklin Gothic Book" w:eastAsia="Times New Roman" w:hAnsi="Franklin Gothic Book" w:cs="Times New Roman"/>
                <w:noProof/>
                <w:color w:val="auto"/>
                <w:sz w:val="21"/>
                <w:szCs w:val="24"/>
                <w:lang w:val="en-AU" w:eastAsia="en-AU"/>
              </w:rPr>
              <w:drawing>
                <wp:inline distT="0" distB="0" distL="0" distR="0" wp14:anchorId="746C6AC0" wp14:editId="3A7A3FC3">
                  <wp:extent cx="59055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Pr>
                <w:rFonts w:ascii="Franklin Gothic Book" w:eastAsia="Times New Roman" w:hAnsi="Franklin Gothic Book" w:cs="Times New Roman"/>
                <w:noProof/>
                <w:color w:val="auto"/>
                <w:sz w:val="21"/>
                <w:szCs w:val="24"/>
                <w:lang w:val="en-AU" w:eastAsia="en-AU"/>
              </w:rPr>
              <w:drawing>
                <wp:inline distT="0" distB="0" distL="0" distR="0" wp14:anchorId="7E484208" wp14:editId="541E9D62">
                  <wp:extent cx="619125" cy="6096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noProof/>
                <w:lang w:val="en-AU" w:eastAsia="en-AU"/>
              </w:rPr>
              <w:t xml:space="preserve">  </w:t>
            </w:r>
            <w:r>
              <w:rPr>
                <w:noProof/>
                <w:lang w:val="en-AU" w:eastAsia="en-AU"/>
              </w:rPr>
              <w:drawing>
                <wp:inline distT="0" distB="0" distL="0" distR="0" wp14:anchorId="351A1788" wp14:editId="17DCDDC6">
                  <wp:extent cx="609600" cy="609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191" w:type="dxa"/>
            <w:hideMark/>
          </w:tcPr>
          <w:p w14:paraId="5FC00B34" w14:textId="0A414E21" w:rsidR="002F6ED0" w:rsidRDefault="002F6ED0">
            <w:pPr>
              <w:suppressAutoHyphens w:val="0"/>
              <w:spacing w:before="160" w:after="80" w:line="240" w:lineRule="auto"/>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4505822A" wp14:editId="4E255BD8">
                  <wp:extent cx="533400" cy="609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r>
              <w:rPr>
                <w:rFonts w:asciiTheme="majorHAnsi" w:eastAsiaTheme="majorEastAsia" w:hAnsiTheme="majorHAnsi" w:cstheme="majorBidi"/>
                <w:caps/>
                <w:sz w:val="38"/>
                <w:szCs w:val="26"/>
              </w:rPr>
              <w:t xml:space="preserve">  </w:t>
            </w:r>
            <w:r>
              <w:rPr>
                <w:rFonts w:asciiTheme="majorHAnsi" w:eastAsiaTheme="majorEastAsia" w:hAnsiTheme="majorHAnsi" w:cstheme="majorBidi"/>
                <w:caps/>
                <w:noProof/>
                <w:sz w:val="38"/>
                <w:szCs w:val="26"/>
                <w:lang w:val="en-AU" w:eastAsia="en-AU"/>
              </w:rPr>
              <w:drawing>
                <wp:inline distT="0" distB="0" distL="0" distR="0" wp14:anchorId="7F5F6337" wp14:editId="7C430C39">
                  <wp:extent cx="609600" cy="609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heme="majorHAnsi" w:eastAsiaTheme="majorEastAsia" w:hAnsiTheme="majorHAnsi" w:cstheme="majorBidi"/>
                <w:caps/>
                <w:sz w:val="38"/>
                <w:szCs w:val="26"/>
              </w:rPr>
              <w:t xml:space="preserve">  </w:t>
            </w:r>
          </w:p>
        </w:tc>
      </w:tr>
    </w:tbl>
    <w:p w14:paraId="7015C04A" w14:textId="5AA736F5" w:rsidR="003325FD" w:rsidRDefault="003325FD" w:rsidP="003325FD">
      <w:r>
        <w:t xml:space="preserve">Over the 2018-19 period, Australia supported </w:t>
      </w:r>
      <w:r w:rsidR="008317B9">
        <w:t>four</w:t>
      </w:r>
      <w:r>
        <w:t xml:space="preserve"> investments that supported Palestinians both within the Palestinian Territories and across the region </w:t>
      </w:r>
      <w:r w:rsidR="00BD26C9">
        <w:t xml:space="preserve">to </w:t>
      </w:r>
      <w:r>
        <w:t>access quality basic services.</w:t>
      </w:r>
      <w:r w:rsidR="006C70E0">
        <w:t xml:space="preserve"> </w:t>
      </w:r>
      <w:r>
        <w:t xml:space="preserve"> These were:</w:t>
      </w:r>
    </w:p>
    <w:p w14:paraId="5287A159" w14:textId="3B6E9DAB" w:rsidR="003325FD" w:rsidRDefault="003325FD" w:rsidP="003325FD">
      <w:pPr>
        <w:pStyle w:val="ListParagraph"/>
        <w:numPr>
          <w:ilvl w:val="0"/>
          <w:numId w:val="40"/>
        </w:numPr>
      </w:pPr>
      <w:r>
        <w:t>The United Nations Relief and Works Agency (UNRWA);</w:t>
      </w:r>
    </w:p>
    <w:p w14:paraId="0B89B417" w14:textId="23DB74F0" w:rsidR="003325FD" w:rsidRDefault="003325FD" w:rsidP="003325FD">
      <w:pPr>
        <w:pStyle w:val="ListParagraph"/>
        <w:numPr>
          <w:ilvl w:val="0"/>
          <w:numId w:val="40"/>
        </w:numPr>
      </w:pPr>
      <w:r>
        <w:t>The World Bank Multi-Donor Trust Fund for the Gaza Central Desalinisation Plant and Associated Works Program (GCDP);</w:t>
      </w:r>
    </w:p>
    <w:p w14:paraId="2CA6B3AA" w14:textId="2E1C5CC4" w:rsidR="003325FD" w:rsidRDefault="003325FD" w:rsidP="003325FD">
      <w:pPr>
        <w:pStyle w:val="ListParagraph"/>
        <w:numPr>
          <w:ilvl w:val="0"/>
          <w:numId w:val="40"/>
        </w:numPr>
      </w:pPr>
      <w:r>
        <w:t xml:space="preserve">The United Nations Office for Project Services (UNOPS) Access Coordination Unit (ACU) and </w:t>
      </w:r>
      <w:r w:rsidR="00BD26C9">
        <w:t xml:space="preserve">Project </w:t>
      </w:r>
      <w:r w:rsidR="00FA65C3">
        <w:t>M</w:t>
      </w:r>
      <w:r w:rsidR="00BD26C9">
        <w:t>anagement</w:t>
      </w:r>
      <w:r>
        <w:t xml:space="preserve"> Unit (</w:t>
      </w:r>
      <w:r w:rsidR="00BD26C9">
        <w:t>P</w:t>
      </w:r>
      <w:r>
        <w:t>MU); and</w:t>
      </w:r>
    </w:p>
    <w:p w14:paraId="51F2422A" w14:textId="38A7D083" w:rsidR="003325FD" w:rsidRPr="00AA5FA7" w:rsidRDefault="00786859" w:rsidP="003325FD">
      <w:pPr>
        <w:pStyle w:val="ListParagraph"/>
        <w:numPr>
          <w:ilvl w:val="0"/>
          <w:numId w:val="40"/>
        </w:numPr>
      </w:pPr>
      <w:r>
        <w:t>The UN Office for the Coordination of Humanitarian Affairs (OCHA) managed Humanitarian Fund for humanitarian assistance.</w:t>
      </w:r>
    </w:p>
    <w:p w14:paraId="39680205" w14:textId="0D7EBF90" w:rsidR="003325FD" w:rsidRDefault="003325FD" w:rsidP="003325FD">
      <w:r w:rsidRPr="003325FD">
        <w:lastRenderedPageBreak/>
        <w:t>This objective was rated green because progress is as expected at this stage of implementation for each of the investments.</w:t>
      </w:r>
    </w:p>
    <w:p w14:paraId="4F5D3547" w14:textId="4214069D" w:rsidR="003325FD" w:rsidRPr="003325FD" w:rsidRDefault="003325FD" w:rsidP="003325FD">
      <w:pPr>
        <w:rPr>
          <w:i/>
        </w:rPr>
      </w:pPr>
      <w:r>
        <w:rPr>
          <w:i/>
        </w:rPr>
        <w:t>UNRWA</w:t>
      </w:r>
    </w:p>
    <w:p w14:paraId="1D0B542D" w14:textId="7D69898A" w:rsidR="003325FD" w:rsidRPr="003325FD" w:rsidRDefault="003325FD" w:rsidP="003325FD">
      <w:r w:rsidRPr="003325FD">
        <w:t>I</w:t>
      </w:r>
      <w:r w:rsidR="008317B9">
        <w:t>n 2018-19</w:t>
      </w:r>
      <w:r w:rsidRPr="003325FD">
        <w:t>, Australia provided</w:t>
      </w:r>
      <w:r w:rsidR="008317B9">
        <w:t xml:space="preserve"> $15</w:t>
      </w:r>
      <w:r w:rsidRPr="003325FD">
        <w:t xml:space="preserve"> million </w:t>
      </w:r>
      <w:r w:rsidRPr="003C38C9">
        <w:t>to the United Nations Relief and Works Agency (UNRWA).</w:t>
      </w:r>
      <w:r w:rsidR="006C70E0">
        <w:t xml:space="preserve"> </w:t>
      </w:r>
      <w:r w:rsidRPr="003C38C9">
        <w:t xml:space="preserve"> In September 2016, DFAT signed an $80 million multi-year Strategic Partnership Framework (2016-2020) which provides annual core funding of $20 million per year to the Agency</w:t>
      </w:r>
      <w:r w:rsidR="00EF2947" w:rsidRPr="003C38C9">
        <w:t xml:space="preserve">. </w:t>
      </w:r>
      <w:r w:rsidR="006C70E0">
        <w:t xml:space="preserve"> </w:t>
      </w:r>
      <w:r w:rsidRPr="003C38C9">
        <w:t>UNRWA plays a crucial role in maintaining a degree of social and economic stability for more than five million Palestinian</w:t>
      </w:r>
      <w:r w:rsidRPr="003325FD">
        <w:t xml:space="preserve"> refugees in Gaza, the West Bank, Jordan, Lebanon and Syria. </w:t>
      </w:r>
      <w:r w:rsidR="006C70E0">
        <w:t xml:space="preserve"> </w:t>
      </w:r>
      <w:r w:rsidRPr="003325FD">
        <w:t xml:space="preserve">It delivers high quality, cost-effective public services in education, health care, relief and social services, microfinance, infrastructure, emergency assistance and protection of refugees’ rights. </w:t>
      </w:r>
      <w:r w:rsidR="006C70E0">
        <w:t xml:space="preserve"> </w:t>
      </w:r>
      <w:r w:rsidRPr="003325FD">
        <w:t xml:space="preserve">The deterioration of security, political and economic conditions across the region has made refugees increasingly reliant on UNRWA for these services in recent years. </w:t>
      </w:r>
      <w:r w:rsidR="006C70E0">
        <w:t xml:space="preserve"> </w:t>
      </w:r>
      <w:r w:rsidR="00EF2947">
        <w:t xml:space="preserve">Further, the decision of the United States to </w:t>
      </w:r>
      <w:r w:rsidR="00630807">
        <w:t xml:space="preserve">stop funding </w:t>
      </w:r>
      <w:r w:rsidR="00B87585">
        <w:t xml:space="preserve">UNRWA </w:t>
      </w:r>
      <w:r w:rsidR="00EF2947">
        <w:t>put the agency under increased operational strain</w:t>
      </w:r>
      <w:r w:rsidR="00BA5EAF">
        <w:t>.</w:t>
      </w:r>
      <w:r w:rsidR="006C70E0">
        <w:t xml:space="preserve"> </w:t>
      </w:r>
      <w:r w:rsidR="00BA5EAF">
        <w:t xml:space="preserve"> </w:t>
      </w:r>
      <w:r w:rsidR="00630807">
        <w:t>S</w:t>
      </w:r>
      <w:r w:rsidR="00BA5EAF">
        <w:t>ome UNRWA activities were</w:t>
      </w:r>
      <w:r w:rsidR="00616B65">
        <w:t xml:space="preserve"> scaled back</w:t>
      </w:r>
      <w:r w:rsidR="00BA5EAF">
        <w:t xml:space="preserve"> </w:t>
      </w:r>
      <w:r w:rsidR="00630807">
        <w:t xml:space="preserve">as a result </w:t>
      </w:r>
      <w:r w:rsidR="00BA5EAF">
        <w:t>(including mental health and psychosocial support)</w:t>
      </w:r>
      <w:r w:rsidR="00EF2947">
        <w:t xml:space="preserve">. </w:t>
      </w:r>
      <w:r w:rsidRPr="003325FD">
        <w:t xml:space="preserve"> </w:t>
      </w:r>
    </w:p>
    <w:p w14:paraId="56A8F586" w14:textId="54CE7EB9" w:rsidR="003325FD" w:rsidRPr="003325FD" w:rsidRDefault="003325FD" w:rsidP="003325FD">
      <w:r w:rsidRPr="00D50D60">
        <w:t>Aus</w:t>
      </w:r>
      <w:r w:rsidR="000A4B4E" w:rsidRPr="00D50D60">
        <w:t xml:space="preserve">tralian funding contributed to </w:t>
      </w:r>
      <w:r w:rsidR="00ED66F4" w:rsidRPr="00D50D60">
        <w:t>over 8.5 million primary health care (PHC) consultations, education for 532,857 children (2018/19), social safety net assistance (including cash and food) for over 255,000 individuals, technical and vocational education and training (TVET) for 7,564 youth</w:t>
      </w:r>
      <w:r w:rsidR="00630807">
        <w:t>,</w:t>
      </w:r>
      <w:r w:rsidR="00ED66F4" w:rsidRPr="00D50D60">
        <w:t xml:space="preserve"> and microfinance loans for 38,183 people, including 13,052 Palestine refugees; UNRWA also provided temporary cash for work (</w:t>
      </w:r>
      <w:proofErr w:type="spellStart"/>
      <w:r w:rsidR="00ED66F4" w:rsidRPr="00D50D60">
        <w:t>CfW</w:t>
      </w:r>
      <w:proofErr w:type="spellEnd"/>
      <w:r w:rsidR="00ED66F4" w:rsidRPr="00D50D60">
        <w:t xml:space="preserve">) opportunities for over 10,000 refugees, including 3,633 women.  </w:t>
      </w:r>
      <w:r w:rsidR="000A4B4E" w:rsidRPr="00D50D60">
        <w:t>In total, over the 2018 calendar year, UNRWA provided humanitarian assistance to over 1.4 million people.</w:t>
      </w:r>
      <w:r w:rsidR="000A4B4E" w:rsidRPr="000A4B4E">
        <w:t xml:space="preserve"> </w:t>
      </w:r>
      <w:r w:rsidRPr="000A4B4E">
        <w:t xml:space="preserve"> </w:t>
      </w:r>
    </w:p>
    <w:p w14:paraId="408A0828" w14:textId="055DAA44" w:rsidR="000A4B4E" w:rsidRPr="003325FD" w:rsidRDefault="000A4B4E" w:rsidP="000A4B4E">
      <w:r w:rsidRPr="003325FD">
        <w:t xml:space="preserve">A component of Australia’s annual core funding to UNRWA (20 per cent; $4 million) is subject to an assessment of its performance against pre-agreed targets.  DFAT assessed UNRWA in </w:t>
      </w:r>
      <w:r w:rsidR="00BA5EAF">
        <w:t>April 2019</w:t>
      </w:r>
      <w:r w:rsidRPr="003325FD">
        <w:t xml:space="preserve"> and found UNRWA had achieved results against the targets</w:t>
      </w:r>
      <w:r w:rsidR="00A62530">
        <w:t xml:space="preserve">, which </w:t>
      </w:r>
      <w:r w:rsidR="00FC6395">
        <w:t>include</w:t>
      </w:r>
      <w:r w:rsidR="00A62530">
        <w:t>d</w:t>
      </w:r>
      <w:r w:rsidR="00FC6395">
        <w:t xml:space="preserve"> </w:t>
      </w:r>
      <w:r w:rsidR="00AA5FA7" w:rsidRPr="00AA5FA7">
        <w:t>performance against UNRWA’s Medium Term Strategy</w:t>
      </w:r>
      <w:r w:rsidR="00AA5FA7" w:rsidRPr="00AA5FA7" w:rsidDel="00AA5FA7">
        <w:t xml:space="preserve"> </w:t>
      </w:r>
      <w:r w:rsidR="00A62530">
        <w:t>(</w:t>
      </w:r>
      <w:r w:rsidR="00AA5FA7">
        <w:t xml:space="preserve">delivering services </w:t>
      </w:r>
      <w:r w:rsidR="00A62530">
        <w:t xml:space="preserve">such as </w:t>
      </w:r>
      <w:r w:rsidR="00FC6395">
        <w:t xml:space="preserve">health, education and </w:t>
      </w:r>
      <w:r w:rsidR="00AA5FA7">
        <w:t>technical and vocational training</w:t>
      </w:r>
      <w:r w:rsidR="00A62530">
        <w:t>);</w:t>
      </w:r>
      <w:r w:rsidR="00FC6395">
        <w:t xml:space="preserve"> demonstrating attention to protection risks among refugee populations (such as identifying and responding to gender based violence); and responsiveness to donors (for example, assisting </w:t>
      </w:r>
      <w:r w:rsidR="00AA5FA7">
        <w:t xml:space="preserve">in </w:t>
      </w:r>
      <w:r w:rsidR="00FC6395">
        <w:t>monitoring</w:t>
      </w:r>
      <w:r w:rsidR="00AA5FA7">
        <w:t xml:space="preserve"> visits,</w:t>
      </w:r>
      <w:r w:rsidR="00FC6395">
        <w:t xml:space="preserve"> reporting).</w:t>
      </w:r>
    </w:p>
    <w:p w14:paraId="0A67B97B" w14:textId="2AF9BDE9" w:rsidR="000A4B4E" w:rsidRDefault="000A4B4E" w:rsidP="000A4B4E">
      <w:r w:rsidRPr="003325FD">
        <w:t xml:space="preserve">UNRWA developed its Gender Equality Strategy (2016-21) and is working towards meeting the UN system-wide Action Plan on Gender Equality indicators. </w:t>
      </w:r>
      <w:r w:rsidR="006C70E0">
        <w:t xml:space="preserve"> </w:t>
      </w:r>
      <w:r w:rsidRPr="003325FD">
        <w:t>In 2017, UNRWA ensured each of its five country/regional offices had developed its own gender equality action plans.</w:t>
      </w:r>
    </w:p>
    <w:p w14:paraId="4D19CF06" w14:textId="77777777" w:rsidR="005B5631" w:rsidRPr="000A4B4E" w:rsidRDefault="005B5631" w:rsidP="005B5631">
      <w:pPr>
        <w:rPr>
          <w:i/>
        </w:rPr>
      </w:pPr>
      <w:r>
        <w:rPr>
          <w:i/>
        </w:rPr>
        <w:t>UNRWA 2018 Emergency Appeal</w:t>
      </w:r>
    </w:p>
    <w:p w14:paraId="72280440" w14:textId="77777777" w:rsidR="005B5631" w:rsidRPr="003325FD" w:rsidRDefault="005B5631" w:rsidP="005B5631">
      <w:r>
        <w:t xml:space="preserve">Over the 2017-18 financial year, </w:t>
      </w:r>
      <w:r w:rsidRPr="003325FD">
        <w:t xml:space="preserve">DFAT </w:t>
      </w:r>
      <w:r>
        <w:t xml:space="preserve">provided </w:t>
      </w:r>
      <w:r w:rsidRPr="003325FD">
        <w:t>$1.5 million to UNRWA’s ‘Emergenc</w:t>
      </w:r>
      <w:r>
        <w:t xml:space="preserve">y Appeal for the PTs for 2018’. Outcomes for this Appeal were not available for the 2017-18 financial year, and so are reported here.  Of the US$398.8 million requested for the 2018 UNWRA Emergency Appeal, $101.7 million was received, of which Australian funding constituted one per cent. </w:t>
      </w:r>
    </w:p>
    <w:p w14:paraId="09017EA4" w14:textId="77777777" w:rsidR="00494CC9" w:rsidRDefault="005B5631" w:rsidP="003325FD">
      <w:r>
        <w:t xml:space="preserve">In 2018, the provision of food assistance was prioritised.  With emergency funds, UNRWA supported almost 934,000 Palestinians in Gaza (including 18,116 female-headed households); provided cash for work opportunities to 10,000 people (36 per cent female); provided educational supplies to 271,900 students; and funding to support the Gazan healthcare system. In the West Bank, food assistance through e-vouchers was provided to almost 46,000 people (almost 50 per cent female); in-kind food assistance to 37,000 Bedouins; and provided cash-for work opportunities to 5,900 food-insecure households. Through UNRWA mobile health clinics, almost 79,000 people had improved access to primary health care. </w:t>
      </w:r>
    </w:p>
    <w:p w14:paraId="387BC3F3" w14:textId="755996F7" w:rsidR="00F23611" w:rsidRDefault="00F23611" w:rsidP="003325FD">
      <w:pPr>
        <w:rPr>
          <w:i/>
        </w:rPr>
      </w:pPr>
      <w:r>
        <w:rPr>
          <w:i/>
        </w:rPr>
        <w:t xml:space="preserve">UNOPS ACU and </w:t>
      </w:r>
      <w:r w:rsidR="00491872">
        <w:rPr>
          <w:i/>
        </w:rPr>
        <w:t>P</w:t>
      </w:r>
      <w:r>
        <w:rPr>
          <w:i/>
        </w:rPr>
        <w:t>MU</w:t>
      </w:r>
    </w:p>
    <w:p w14:paraId="23FD325D" w14:textId="779A1266" w:rsidR="00F23611" w:rsidRPr="003325FD" w:rsidRDefault="00F23611" w:rsidP="00F23611">
      <w:r>
        <w:t xml:space="preserve">In 2018-19, Australia provided $2 million to UNOPS </w:t>
      </w:r>
      <w:r w:rsidRPr="003325FD">
        <w:t xml:space="preserve">to support the Access Coordination Unit (ACU) and the </w:t>
      </w:r>
      <w:r w:rsidR="00491872">
        <w:t>Project Management</w:t>
      </w:r>
      <w:r w:rsidRPr="003325FD">
        <w:t xml:space="preserve"> (</w:t>
      </w:r>
      <w:r w:rsidR="00491872">
        <w:t>P</w:t>
      </w:r>
      <w:r w:rsidRPr="003325FD">
        <w:t xml:space="preserve">MU). </w:t>
      </w:r>
      <w:r w:rsidR="006C70E0">
        <w:t xml:space="preserve"> </w:t>
      </w:r>
      <w:r w:rsidRPr="003325FD">
        <w:t xml:space="preserve">The ACU facilitates access for </w:t>
      </w:r>
      <w:r w:rsidR="00AA5FA7">
        <w:t xml:space="preserve">development and </w:t>
      </w:r>
      <w:r w:rsidRPr="003325FD">
        <w:t xml:space="preserve">humanitarian staff and </w:t>
      </w:r>
      <w:r w:rsidRPr="003325FD">
        <w:lastRenderedPageBreak/>
        <w:t>supplies across the PTs, including through providing immediate information on access and movement restrictions to personnel through a user-friendly mobile application.</w:t>
      </w:r>
    </w:p>
    <w:p w14:paraId="7E1E8301" w14:textId="0FD92F91" w:rsidR="00F23611" w:rsidRDefault="00F23611" w:rsidP="00F23611">
      <w:r w:rsidRPr="003325FD">
        <w:t>The M</w:t>
      </w:r>
      <w:r w:rsidR="00155E88">
        <w:t xml:space="preserve">aterials </w:t>
      </w:r>
      <w:r w:rsidR="00155E88" w:rsidRPr="003325FD">
        <w:t>M</w:t>
      </w:r>
      <w:r w:rsidR="00155E88">
        <w:t xml:space="preserve">onitoring </w:t>
      </w:r>
      <w:r w:rsidRPr="003325FD">
        <w:t>U</w:t>
      </w:r>
      <w:r w:rsidR="00155E88">
        <w:t>nit (MMU)</w:t>
      </w:r>
      <w:r w:rsidRPr="003325FD">
        <w:t xml:space="preserve"> was formed to facilitate the Gaza Reconstruction Mechanism (GRM) - an agreement between the Government of Israel, </w:t>
      </w:r>
      <w:r w:rsidR="000E1EBF">
        <w:t xml:space="preserve">the </w:t>
      </w:r>
      <w:r w:rsidRPr="003325FD">
        <w:t>PA and the UN - to monitor entry, supply and use of ‘dual-use’ materials into Gaza to support reconstruction.</w:t>
      </w:r>
      <w:r>
        <w:t xml:space="preserve"> </w:t>
      </w:r>
      <w:r w:rsidR="00491872">
        <w:t xml:space="preserve"> In 2019 the name of the MMU changed to the PMU, reflecting its increased role in facilitating projects in Gaza. </w:t>
      </w:r>
    </w:p>
    <w:p w14:paraId="28E65BB4" w14:textId="7516EA7C" w:rsidR="00F23611" w:rsidRDefault="00F23611" w:rsidP="003325FD">
      <w:pPr>
        <w:rPr>
          <w:i/>
        </w:rPr>
      </w:pPr>
      <w:r>
        <w:t xml:space="preserve">As Australian funding to the ACU and </w:t>
      </w:r>
      <w:r w:rsidR="00491872">
        <w:t>P</w:t>
      </w:r>
      <w:r>
        <w:t xml:space="preserve">MU </w:t>
      </w:r>
      <w:r w:rsidR="000B1B14">
        <w:t xml:space="preserve">was provided </w:t>
      </w:r>
      <w:r>
        <w:t xml:space="preserve">in the second half of 2019, outcomes will be reported in next year’s Aid Program Performance Report (APPR).  </w:t>
      </w:r>
    </w:p>
    <w:p w14:paraId="3E0D8A5C" w14:textId="77777777" w:rsidR="000C364F" w:rsidRDefault="000C364F" w:rsidP="003325FD">
      <w:pPr>
        <w:rPr>
          <w:i/>
        </w:rPr>
      </w:pPr>
    </w:p>
    <w:p w14:paraId="6BB066A4" w14:textId="2881C21E" w:rsidR="00F23611" w:rsidRPr="00567465" w:rsidRDefault="00F23611" w:rsidP="003325FD">
      <w:pPr>
        <w:rPr>
          <w:i/>
        </w:rPr>
      </w:pPr>
      <w:r>
        <w:rPr>
          <w:i/>
        </w:rPr>
        <w:t xml:space="preserve">World Bank Multi-Donor Trust Fund to Support the Gaza Central Desalinisation Plant </w:t>
      </w:r>
      <w:r w:rsidRPr="00567465">
        <w:rPr>
          <w:i/>
        </w:rPr>
        <w:t xml:space="preserve">and </w:t>
      </w:r>
      <w:r w:rsidR="00567465" w:rsidRPr="000C364F">
        <w:rPr>
          <w:i/>
        </w:rPr>
        <w:t>international</w:t>
      </w:r>
      <w:r w:rsidR="00567465" w:rsidRPr="009B70A5">
        <w:rPr>
          <w:i/>
          <w:color w:val="000000" w:themeColor="text1"/>
        </w:rPr>
        <w:t xml:space="preserve"> </w:t>
      </w:r>
      <w:r w:rsidR="00567465" w:rsidRPr="000C364F">
        <w:rPr>
          <w:i/>
        </w:rPr>
        <w:t>humanitarian</w:t>
      </w:r>
      <w:r w:rsidR="00567465" w:rsidRPr="009B70A5">
        <w:rPr>
          <w:i/>
          <w:color w:val="000000" w:themeColor="text1"/>
        </w:rPr>
        <w:t xml:space="preserve"> </w:t>
      </w:r>
      <w:r w:rsidR="00567465" w:rsidRPr="000C364F">
        <w:rPr>
          <w:i/>
        </w:rPr>
        <w:t>organisation</w:t>
      </w:r>
      <w:r w:rsidR="00567465" w:rsidRPr="009B70A5">
        <w:rPr>
          <w:i/>
          <w:color w:val="000000" w:themeColor="text1"/>
        </w:rPr>
        <w:t xml:space="preserve"> </w:t>
      </w:r>
      <w:r w:rsidR="00567465" w:rsidRPr="000C364F">
        <w:rPr>
          <w:i/>
        </w:rPr>
        <w:t>programs</w:t>
      </w:r>
    </w:p>
    <w:p w14:paraId="2D3CDADD" w14:textId="796A6254" w:rsidR="00F23611" w:rsidRPr="00912633" w:rsidRDefault="00B87585" w:rsidP="003325FD">
      <w:pPr>
        <w:rPr>
          <w:rFonts w:cstheme="minorHAnsi"/>
        </w:rPr>
      </w:pPr>
      <w:r w:rsidRPr="00912633">
        <w:rPr>
          <w:rFonts w:cstheme="minorHAnsi"/>
        </w:rPr>
        <w:t>In 2019</w:t>
      </w:r>
      <w:r w:rsidR="00F23611" w:rsidRPr="00912633">
        <w:rPr>
          <w:rFonts w:cstheme="minorHAnsi"/>
        </w:rPr>
        <w:t xml:space="preserve"> Australia </w:t>
      </w:r>
      <w:r w:rsidRPr="00912633">
        <w:rPr>
          <w:rFonts w:cstheme="minorHAnsi"/>
        </w:rPr>
        <w:t xml:space="preserve">contributed </w:t>
      </w:r>
      <w:r w:rsidR="00F23611" w:rsidRPr="00912633">
        <w:rPr>
          <w:rFonts w:cstheme="minorHAnsi"/>
        </w:rPr>
        <w:t xml:space="preserve">$3.8 million to </w:t>
      </w:r>
      <w:r w:rsidR="00567465" w:rsidRPr="00912633">
        <w:rPr>
          <w:rFonts w:cstheme="minorHAnsi"/>
        </w:rPr>
        <w:t>international humanitarian organisation programs</w:t>
      </w:r>
      <w:r w:rsidR="00D6147B" w:rsidRPr="00912633">
        <w:rPr>
          <w:rFonts w:cstheme="minorHAnsi"/>
        </w:rPr>
        <w:t>,</w:t>
      </w:r>
      <w:r w:rsidR="00EF1BF5" w:rsidRPr="00912633">
        <w:rPr>
          <w:rFonts w:cstheme="minorHAnsi"/>
        </w:rPr>
        <w:t xml:space="preserve"> </w:t>
      </w:r>
      <w:r w:rsidR="00170ABD" w:rsidRPr="00912633">
        <w:rPr>
          <w:rFonts w:cstheme="minorHAnsi"/>
        </w:rPr>
        <w:t xml:space="preserve">including essential services in health, education, water and electricity; </w:t>
      </w:r>
      <w:r w:rsidR="00F23611" w:rsidRPr="00912633">
        <w:rPr>
          <w:rFonts w:cstheme="minorHAnsi"/>
        </w:rPr>
        <w:t>and $10 million to the World Bank to support the Gaza Central Desalinisation Plan</w:t>
      </w:r>
      <w:r w:rsidR="00AA5FA7">
        <w:rPr>
          <w:rFonts w:cstheme="minorHAnsi"/>
        </w:rPr>
        <w:t>t</w:t>
      </w:r>
      <w:r w:rsidR="00F23611" w:rsidRPr="00912633">
        <w:rPr>
          <w:rFonts w:cstheme="minorHAnsi"/>
        </w:rPr>
        <w:t xml:space="preserve"> Associated Works Program (GCDP)</w:t>
      </w:r>
      <w:r w:rsidRPr="00912633">
        <w:rPr>
          <w:rFonts w:cstheme="minorHAnsi"/>
        </w:rPr>
        <w:t xml:space="preserve"> with </w:t>
      </w:r>
      <w:r w:rsidR="00F23611" w:rsidRPr="00912633">
        <w:rPr>
          <w:rFonts w:cstheme="minorHAnsi"/>
        </w:rPr>
        <w:t xml:space="preserve">outcomes </w:t>
      </w:r>
      <w:r w:rsidRPr="00912633">
        <w:rPr>
          <w:rFonts w:cstheme="minorHAnsi"/>
        </w:rPr>
        <w:t xml:space="preserve">to </w:t>
      </w:r>
      <w:r w:rsidR="00F23611" w:rsidRPr="00912633">
        <w:rPr>
          <w:rFonts w:cstheme="minorHAnsi"/>
        </w:rPr>
        <w:t xml:space="preserve">be reported in next year’s Aid Program Performance Report (APPR).  </w:t>
      </w:r>
    </w:p>
    <w:p w14:paraId="585D591A" w14:textId="13FAD930" w:rsidR="003325FD" w:rsidRPr="00BA5EAF" w:rsidRDefault="00BA5EAF" w:rsidP="003325FD">
      <w:pPr>
        <w:rPr>
          <w:i/>
        </w:rPr>
      </w:pPr>
      <w:r>
        <w:rPr>
          <w:i/>
        </w:rPr>
        <w:t>UN</w:t>
      </w:r>
      <w:r w:rsidR="00786859">
        <w:rPr>
          <w:i/>
        </w:rPr>
        <w:t xml:space="preserve"> OCHA</w:t>
      </w:r>
      <w:r w:rsidR="00491872">
        <w:rPr>
          <w:i/>
        </w:rPr>
        <w:t xml:space="preserve"> Humanitarian</w:t>
      </w:r>
      <w:r>
        <w:rPr>
          <w:i/>
        </w:rPr>
        <w:t xml:space="preserve"> Fund </w:t>
      </w:r>
    </w:p>
    <w:p w14:paraId="10302AEA" w14:textId="660B0079" w:rsidR="003325FD" w:rsidRDefault="00155E88" w:rsidP="003325FD">
      <w:r>
        <w:t>I</w:t>
      </w:r>
      <w:r w:rsidR="00BA5EAF">
        <w:t xml:space="preserve">n the 2017-18 financial year, $10 million in Australian support was redirected from the World Bank PDRP Trust Fund, which assisted the Palestinian Authority, to </w:t>
      </w:r>
      <w:r w:rsidR="00491872">
        <w:t xml:space="preserve">the </w:t>
      </w:r>
      <w:r w:rsidR="00BA5EAF">
        <w:t xml:space="preserve">UN </w:t>
      </w:r>
      <w:r w:rsidR="0024422C">
        <w:t xml:space="preserve">OCHA </w:t>
      </w:r>
      <w:r w:rsidR="00BA5EAF">
        <w:t>Humanitarian Fund (HF) for the Palestinian Territories</w:t>
      </w:r>
      <w:r w:rsidR="00491872">
        <w:t>, administered by OCHA</w:t>
      </w:r>
      <w:r w:rsidR="00BA5EAF">
        <w:t xml:space="preserve">. </w:t>
      </w:r>
      <w:r w:rsidR="0062382F">
        <w:t xml:space="preserve"> </w:t>
      </w:r>
      <w:r w:rsidR="00BA5EAF">
        <w:t xml:space="preserve">While the achievements of this funding </w:t>
      </w:r>
      <w:r w:rsidR="00567465">
        <w:t>are</w:t>
      </w:r>
      <w:r w:rsidR="00BA5EAF">
        <w:t xml:space="preserve"> attributable to the 2017-18 financial year, as this funding was provided in the second half of 2018, its achievements will be reported here.  </w:t>
      </w:r>
    </w:p>
    <w:p w14:paraId="0EE8C13D" w14:textId="5BEB63E1" w:rsidR="00BA5EAF" w:rsidRDefault="00BA5EAF" w:rsidP="00BA5EAF">
      <w:r>
        <w:t xml:space="preserve">In 2018, the HF supported </w:t>
      </w:r>
      <w:r w:rsidRPr="00080696">
        <w:t>UN agencies, international and local non-g</w:t>
      </w:r>
      <w:r>
        <w:t>overnmental organi</w:t>
      </w:r>
      <w:r w:rsidR="00B87585">
        <w:t>s</w:t>
      </w:r>
      <w:r>
        <w:t>ations in response to underfunded and emerging needs across the PTs</w:t>
      </w:r>
      <w:r w:rsidR="00D6147B">
        <w:t>,</w:t>
      </w:r>
      <w:r w:rsidR="00B87585">
        <w:t xml:space="preserve"> assisting </w:t>
      </w:r>
      <w:r>
        <w:t xml:space="preserve">1.9 million people. </w:t>
      </w:r>
      <w:r w:rsidR="0062382F">
        <w:t xml:space="preserve"> </w:t>
      </w:r>
      <w:r>
        <w:t xml:space="preserve">Australian funding was directed to UNRWA for the purchase of emergency fuel in Gaza, and to UNICEF and other NGOs to support humanitarian projects across the region. </w:t>
      </w:r>
    </w:p>
    <w:p w14:paraId="0DC8C75F" w14:textId="038B0A07"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174136F4" w14:textId="758338F7" w:rsidR="00BB4027" w:rsidRDefault="00BB4027" w:rsidP="00BB4027">
      <w:r>
        <w:t>D</w:t>
      </w:r>
      <w:r w:rsidR="003C6D4E">
        <w:t>uring 2018-19</w:t>
      </w:r>
      <w:r>
        <w:t>, DFAT participated in two meetings of the Ad Hoc Liaison Committee</w:t>
      </w:r>
      <w:r w:rsidR="00B87585">
        <w:t xml:space="preserve"> (AHLC)</w:t>
      </w:r>
      <w:r w:rsidR="00155E88">
        <w:t>,</w:t>
      </w:r>
      <w:r w:rsidR="003C6D4E">
        <w:t xml:space="preserve"> in New York in September 2018</w:t>
      </w:r>
      <w:r>
        <w:t xml:space="preserve"> and </w:t>
      </w:r>
      <w:r w:rsidRPr="00F10BE7">
        <w:t xml:space="preserve">Brussels in </w:t>
      </w:r>
      <w:r w:rsidR="003C6D4E">
        <w:t>April 2019</w:t>
      </w:r>
      <w:r w:rsidR="00D6147B">
        <w:t>,</w:t>
      </w:r>
      <w:r w:rsidR="000E1EBF">
        <w:t xml:space="preserve"> to coordinate policy among donors </w:t>
      </w:r>
      <w:r>
        <w:t xml:space="preserve">providing assistance in the </w:t>
      </w:r>
      <w:proofErr w:type="spellStart"/>
      <w:r>
        <w:t>PTs.</w:t>
      </w:r>
      <w:proofErr w:type="spellEnd"/>
    </w:p>
    <w:p w14:paraId="1078E8EB" w14:textId="0C26D823" w:rsidR="00BB4027" w:rsidRDefault="00BB4027" w:rsidP="00BB4027">
      <w:r>
        <w:t>Australia has a set of structured and informal eng</w:t>
      </w:r>
      <w:r w:rsidR="00C76D2D">
        <w:t>agements with UNRWA.  In 2018-19</w:t>
      </w:r>
      <w:r>
        <w:t xml:space="preserve">, we participated in UNRWA Advisory Commission </w:t>
      </w:r>
      <w:r w:rsidR="000B1B14">
        <w:t xml:space="preserve">meetings </w:t>
      </w:r>
      <w:r>
        <w:t xml:space="preserve">in </w:t>
      </w:r>
      <w:r w:rsidR="00567465">
        <w:t xml:space="preserve">November 2018 and </w:t>
      </w:r>
      <w:r w:rsidR="002A13C0">
        <w:t>June</w:t>
      </w:r>
      <w:r w:rsidR="00567465">
        <w:t xml:space="preserve"> </w:t>
      </w:r>
      <w:r w:rsidR="00C76D2D">
        <w:t>2019</w:t>
      </w:r>
      <w:r>
        <w:t xml:space="preserve">, UNRWA Sub-Committee meetings in </w:t>
      </w:r>
      <w:r w:rsidR="002A13C0">
        <w:t xml:space="preserve">October </w:t>
      </w:r>
      <w:r w:rsidR="00491872">
        <w:t xml:space="preserve">and November </w:t>
      </w:r>
      <w:r w:rsidR="002A13C0">
        <w:t xml:space="preserve">2018 and </w:t>
      </w:r>
      <w:r w:rsidR="00C76D2D">
        <w:t xml:space="preserve">March </w:t>
      </w:r>
      <w:r w:rsidR="00491872">
        <w:t xml:space="preserve">and April </w:t>
      </w:r>
      <w:r w:rsidR="00C76D2D">
        <w:t>2019</w:t>
      </w:r>
      <w:r w:rsidR="00D6147B">
        <w:t>,</w:t>
      </w:r>
      <w:r w:rsidR="00C76D2D">
        <w:t xml:space="preserve"> </w:t>
      </w:r>
      <w:r>
        <w:t>and several working group</w:t>
      </w:r>
      <w:r w:rsidR="00155E88">
        <w:t xml:space="preserve"> meeting</w:t>
      </w:r>
      <w:r>
        <w:t xml:space="preserve">s. </w:t>
      </w:r>
      <w:r w:rsidR="006C70E0">
        <w:t xml:space="preserve"> </w:t>
      </w:r>
      <w:r>
        <w:t>DFAT also engaged regularly on a range of issues, including on neutrality, reform and budget issues, operations and the annual performance-linked assessment process.</w:t>
      </w:r>
    </w:p>
    <w:p w14:paraId="72480277" w14:textId="724058F6"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63B29D32" w14:textId="31C63C57" w:rsidR="00BB4027" w:rsidRDefault="00BB4027" w:rsidP="00BB4027">
      <w:r>
        <w:t xml:space="preserve">In the </w:t>
      </w:r>
      <w:r w:rsidR="003C38C9">
        <w:t>2018-19</w:t>
      </w:r>
      <w:r>
        <w:t xml:space="preserve"> Investment Quality Reporting process, Aid Quality Checks were completed for AMEN</w:t>
      </w:r>
      <w:r w:rsidR="003C38C9">
        <w:t>CA 3, UNOCHA and the World Bank P</w:t>
      </w:r>
      <w:r w:rsidR="00155E88">
        <w:t>alestinian Recovery and Development Trust Fund (PD</w:t>
      </w:r>
      <w:r w:rsidR="003C38C9">
        <w:t>RP</w:t>
      </w:r>
      <w:r w:rsidR="00155E88">
        <w:t>)</w:t>
      </w:r>
      <w:r>
        <w:t xml:space="preserve">. </w:t>
      </w:r>
      <w:r w:rsidR="006C70E0">
        <w:t xml:space="preserve"> </w:t>
      </w:r>
      <w:r>
        <w:t xml:space="preserve">AMENCA 3 was rated </w:t>
      </w:r>
      <w:r w:rsidR="00155E88">
        <w:t>well in this assessment</w:t>
      </w:r>
      <w:r>
        <w:t xml:space="preserve">. </w:t>
      </w:r>
      <w:r w:rsidR="006C70E0">
        <w:t xml:space="preserve"> </w:t>
      </w:r>
      <w:r w:rsidR="00C6752E">
        <w:t xml:space="preserve">In the </w:t>
      </w:r>
      <w:r w:rsidR="003C38C9">
        <w:t xml:space="preserve">Final Aid Quality Check </w:t>
      </w:r>
      <w:r w:rsidR="00C6752E">
        <w:t xml:space="preserve">for the </w:t>
      </w:r>
      <w:r w:rsidR="003C38C9">
        <w:t>PDRP</w:t>
      </w:r>
      <w:r w:rsidR="00C6752E">
        <w:t>, it</w:t>
      </w:r>
      <w:r w:rsidR="003C38C9">
        <w:t xml:space="preserve"> was rated </w:t>
      </w:r>
      <w:r w:rsidR="00C6752E">
        <w:t>4</w:t>
      </w:r>
      <w:r>
        <w:t xml:space="preserve"> across all criteria, except sustainability, wh</w:t>
      </w:r>
      <w:r w:rsidR="00C6752E">
        <w:t xml:space="preserve">ere it </w:t>
      </w:r>
      <w:r>
        <w:t>was rated 3 (less than adequate) because of the deterioration of the operating environment</w:t>
      </w:r>
      <w:r w:rsidR="003C38C9">
        <w:t xml:space="preserve">, and gender, </w:t>
      </w:r>
      <w:r w:rsidR="00C6752E">
        <w:t xml:space="preserve">where it </w:t>
      </w:r>
      <w:r w:rsidR="003C38C9">
        <w:t>was rated 1 (very poor)</w:t>
      </w:r>
      <w:r w:rsidR="00C6752E">
        <w:t>,</w:t>
      </w:r>
      <w:r w:rsidR="00146402">
        <w:t xml:space="preserve"> though </w:t>
      </w:r>
      <w:r w:rsidR="00C6752E">
        <w:t>gender was</w:t>
      </w:r>
      <w:r w:rsidR="00146402">
        <w:t xml:space="preserve"> not </w:t>
      </w:r>
      <w:r w:rsidR="003C38C9">
        <w:t>an objective of this investment</w:t>
      </w:r>
      <w:r>
        <w:t>.</w:t>
      </w:r>
      <w:r w:rsidR="006C70E0">
        <w:t xml:space="preserve"> </w:t>
      </w:r>
      <w:r>
        <w:t xml:space="preserve"> </w:t>
      </w:r>
      <w:r w:rsidR="003C38C9">
        <w:t xml:space="preserve">The UN pooled humanitarian fund was rated as adequate (4), except for relevance, which was </w:t>
      </w:r>
      <w:r w:rsidR="003C38C9">
        <w:lastRenderedPageBreak/>
        <w:t xml:space="preserve">rated as a 5 (good). </w:t>
      </w:r>
      <w:r>
        <w:t xml:space="preserve">Partner Performance Assessments were undertaken for all active AMENCA 3 partners (Care, Oxfam, APHEDA and </w:t>
      </w:r>
      <w:proofErr w:type="spellStart"/>
      <w:r>
        <w:t>Cardno</w:t>
      </w:r>
      <w:proofErr w:type="spellEnd"/>
      <w:r>
        <w:t xml:space="preserve"> Emerging Markets) and UNRWA. </w:t>
      </w:r>
    </w:p>
    <w:p w14:paraId="1D4405B3" w14:textId="543EA000" w:rsidR="003C38C9" w:rsidRDefault="00BB4027" w:rsidP="00BB4027">
      <w:r w:rsidRPr="0059103B">
        <w:t xml:space="preserve">AMENCA 3 performed </w:t>
      </w:r>
      <w:r w:rsidR="003C38C9">
        <w:t>adequately</w:t>
      </w:r>
      <w:r w:rsidRPr="0059103B">
        <w:t xml:space="preserve"> on gender equality and empowerment of women and girls</w:t>
      </w:r>
      <w:r w:rsidR="003C38C9">
        <w:t xml:space="preserve"> (rating of 4</w:t>
      </w:r>
      <w:r w:rsidRPr="0059103B">
        <w:t>).</w:t>
      </w:r>
      <w:r w:rsidR="003C38C9">
        <w:t xml:space="preserve"> </w:t>
      </w:r>
      <w:r w:rsidR="00A6448C">
        <w:t xml:space="preserve"> </w:t>
      </w:r>
      <w:r w:rsidR="003C38C9">
        <w:t xml:space="preserve">This is a decrease from 2017-18, where it was rated a 5 (good). </w:t>
      </w:r>
      <w:r w:rsidR="00A6448C">
        <w:t xml:space="preserve"> </w:t>
      </w:r>
      <w:r w:rsidR="003C38C9">
        <w:t xml:space="preserve">The </w:t>
      </w:r>
      <w:r w:rsidR="000B1B14">
        <w:t xml:space="preserve">lower </w:t>
      </w:r>
      <w:r w:rsidR="00146402">
        <w:t>rating</w:t>
      </w:r>
      <w:r w:rsidR="003C38C9">
        <w:t xml:space="preserve"> can be attributed to the suspension of APHEDA activities</w:t>
      </w:r>
      <w:r w:rsidR="00146402">
        <w:t xml:space="preserve"> reducing </w:t>
      </w:r>
      <w:r w:rsidR="000B1B14">
        <w:t xml:space="preserve">the </w:t>
      </w:r>
      <w:r w:rsidR="00146402">
        <w:t>number of beneficiaries engaged.</w:t>
      </w:r>
      <w:r w:rsidR="003C38C9">
        <w:t xml:space="preserve"> </w:t>
      </w:r>
      <w:r w:rsidR="00146402">
        <w:t>Nonetheless p</w:t>
      </w:r>
      <w:r w:rsidR="003C38C9">
        <w:t xml:space="preserve">rogress in this field remained strong with </w:t>
      </w:r>
      <w:r w:rsidR="000B1B14">
        <w:t xml:space="preserve">the number of </w:t>
      </w:r>
      <w:r w:rsidR="00155E88">
        <w:t xml:space="preserve">female </w:t>
      </w:r>
      <w:r w:rsidR="003C38C9">
        <w:t xml:space="preserve">beneficiaries exceeding </w:t>
      </w:r>
      <w:r w:rsidR="00A14D6B">
        <w:t xml:space="preserve">the revised </w:t>
      </w:r>
      <w:r w:rsidR="003C38C9">
        <w:t>targets.</w:t>
      </w:r>
      <w:r w:rsidRPr="0059103B">
        <w:t xml:space="preserve"> </w:t>
      </w:r>
    </w:p>
    <w:p w14:paraId="56458172" w14:textId="00E3A6F7" w:rsidR="00BB4027" w:rsidRDefault="00BB4027" w:rsidP="00BB4027">
      <w:r w:rsidRPr="0059103B">
        <w:t xml:space="preserve">Structural barriers on gender roles and cultural perceptions </w:t>
      </w:r>
      <w:r>
        <w:t>(</w:t>
      </w:r>
      <w:r w:rsidRPr="0059103B">
        <w:t>that investing in women is high risk</w:t>
      </w:r>
      <w:r>
        <w:t>)</w:t>
      </w:r>
      <w:r w:rsidRPr="0059103B">
        <w:t xml:space="preserve"> continue to challenge women’s economic empowerment.  </w:t>
      </w:r>
      <w:r w:rsidR="002A13C0">
        <w:t>B</w:t>
      </w:r>
      <w:r w:rsidRPr="0059103B">
        <w:t xml:space="preserve">y training women with the skills to influence decisions and adopt transformative business models, </w:t>
      </w:r>
      <w:r w:rsidR="002A13C0">
        <w:t xml:space="preserve">however, </w:t>
      </w:r>
      <w:r w:rsidRPr="0059103B">
        <w:t>family behaviours towards women working in the agriculture sector are changing.  </w:t>
      </w:r>
      <w:r w:rsidR="00A6448C">
        <w:t xml:space="preserve"> </w:t>
      </w:r>
      <w:r>
        <w:t xml:space="preserve">AMENCA 3 </w:t>
      </w:r>
      <w:r w:rsidR="00A6448C">
        <w:t xml:space="preserve">includes social inclusion </w:t>
      </w:r>
      <w:r w:rsidR="00155E88">
        <w:t>technical assistance to support program par</w:t>
      </w:r>
      <w:r>
        <w:t>tners</w:t>
      </w:r>
      <w:r w:rsidR="00155E88">
        <w:t xml:space="preserve"> to address these barriers.</w:t>
      </w:r>
    </w:p>
    <w:p w14:paraId="78084C97" w14:textId="7E003BE5" w:rsidR="00BB4027" w:rsidRDefault="00BB4027" w:rsidP="00BB4027">
      <w:r>
        <w:t xml:space="preserve">DFAT monitors UNRWA’s performance through </w:t>
      </w:r>
      <w:r w:rsidR="005F7B6F">
        <w:t>an</w:t>
      </w:r>
      <w:r>
        <w:t xml:space="preserve"> annual performance-linked assessment. </w:t>
      </w:r>
      <w:r w:rsidR="006C70E0">
        <w:t xml:space="preserve"> </w:t>
      </w:r>
      <w:r>
        <w:t xml:space="preserve">As a multilateral agency, UNRWA is not subject to an Aid Quality Check, but a performance-linked assessment </w:t>
      </w:r>
      <w:r w:rsidR="005F7B6F">
        <w:t xml:space="preserve">conducted by DFAT </w:t>
      </w:r>
      <w:r>
        <w:t xml:space="preserve">determines whether agreed targets have been met and whether the second </w:t>
      </w:r>
      <w:r w:rsidR="005F7B6F">
        <w:t>tranche</w:t>
      </w:r>
      <w:r>
        <w:t xml:space="preserve"> payment of $4 million is made. </w:t>
      </w:r>
      <w:r w:rsidR="00BC6980">
        <w:t xml:space="preserve"> </w:t>
      </w:r>
      <w:r w:rsidR="00155E88">
        <w:t>The next assessment will be in 2020.</w:t>
      </w:r>
    </w:p>
    <w:p w14:paraId="69DE737C" w14:textId="77777777"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6BA4B3D1" w14:textId="79982E47" w:rsidR="00BB4027" w:rsidRDefault="00BB4027" w:rsidP="00BB4027">
      <w:r>
        <w:t xml:space="preserve">DFAT’s current Aid Investment Plan (AIP) for the PTs will </w:t>
      </w:r>
      <w:r w:rsidR="00BC6980">
        <w:t>end</w:t>
      </w:r>
      <w:r>
        <w:t xml:space="preserve"> in 2019 and </w:t>
      </w:r>
      <w:r w:rsidR="006A522B">
        <w:t xml:space="preserve">DFAT </w:t>
      </w:r>
      <w:r w:rsidR="002A13C0">
        <w:t xml:space="preserve">intends to </w:t>
      </w:r>
      <w:r w:rsidR="00BC6980">
        <w:t>put in place a new plan</w:t>
      </w:r>
      <w:r w:rsidR="006A522B">
        <w:t xml:space="preserve"> by the end of 2019</w:t>
      </w:r>
      <w:r>
        <w:t xml:space="preserve">.  </w:t>
      </w:r>
      <w:r w:rsidR="00170ABD">
        <w:t xml:space="preserve">A key issue </w:t>
      </w:r>
      <w:r>
        <w:t xml:space="preserve">for consideration will be the continuing deterioration of </w:t>
      </w:r>
      <w:r w:rsidR="00BC6980">
        <w:t>the situation</w:t>
      </w:r>
      <w:r>
        <w:t xml:space="preserve"> in Gaza</w:t>
      </w:r>
      <w:r w:rsidR="00170ABD">
        <w:t>.</w:t>
      </w:r>
    </w:p>
    <w:p w14:paraId="37CC38F1" w14:textId="20AD102C" w:rsidR="00BB4027" w:rsidRDefault="00BB4027" w:rsidP="00BB4027">
      <w:r>
        <w:t xml:space="preserve">In </w:t>
      </w:r>
      <w:r w:rsidR="003C38C9">
        <w:t>2019-20</w:t>
      </w:r>
      <w:r>
        <w:t xml:space="preserve">, UNRWA will continue to face budget pressures as a result of increased need and </w:t>
      </w:r>
      <w:r w:rsidR="00F156D6">
        <w:t xml:space="preserve">the uncertain donor landscape. </w:t>
      </w:r>
      <w:r w:rsidR="00A6448C">
        <w:t xml:space="preserve"> </w:t>
      </w:r>
      <w:r w:rsidR="00155E88">
        <w:t xml:space="preserve">Should we continue </w:t>
      </w:r>
      <w:r w:rsidR="005E2D1D">
        <w:t xml:space="preserve">to fund UNRWA, </w:t>
      </w:r>
      <w:r>
        <w:t xml:space="preserve">DFAT </w:t>
      </w:r>
      <w:r w:rsidRPr="00D50D60">
        <w:t>will</w:t>
      </w:r>
      <w:r w:rsidR="00F937EC" w:rsidRPr="00D50D60">
        <w:t xml:space="preserve"> </w:t>
      </w:r>
      <w:r w:rsidR="005E2D1D">
        <w:t xml:space="preserve">continue to </w:t>
      </w:r>
      <w:r w:rsidR="00F937EC" w:rsidRPr="00D50D60">
        <w:t>focus</w:t>
      </w:r>
      <w:r w:rsidRPr="00D50D60">
        <w:t xml:space="preserve"> </w:t>
      </w:r>
      <w:r w:rsidR="006A522B" w:rsidRPr="00D50D60">
        <w:t xml:space="preserve">its </w:t>
      </w:r>
      <w:r w:rsidRPr="00D50D60">
        <w:t>advocacy efforts with UNRWA on organisational reform, budget savings</w:t>
      </w:r>
      <w:r w:rsidR="00F937EC" w:rsidRPr="00D50D60">
        <w:t xml:space="preserve">, governance structure </w:t>
      </w:r>
      <w:r w:rsidRPr="00D50D60">
        <w:t>and neutrality</w:t>
      </w:r>
      <w:r w:rsidR="00F156D6">
        <w:t xml:space="preserve">. </w:t>
      </w:r>
    </w:p>
    <w:p w14:paraId="1A2344D3" w14:textId="2CA67136" w:rsidR="00BB4027" w:rsidRDefault="00F156D6" w:rsidP="00BB4027">
      <w:r w:rsidRPr="009B70A5">
        <w:t>In 2019-20</w:t>
      </w:r>
      <w:r w:rsidR="00BB4027" w:rsidRPr="009B70A5">
        <w:t xml:space="preserve">, DFAT will undertake third party monitoring of </w:t>
      </w:r>
      <w:r w:rsidR="00D50D60" w:rsidRPr="009B70A5">
        <w:t>some DAP</w:t>
      </w:r>
      <w:r w:rsidR="00BB4027" w:rsidRPr="009B70A5">
        <w:t xml:space="preserve"> projects in the </w:t>
      </w:r>
      <w:proofErr w:type="spellStart"/>
      <w:r w:rsidR="00BB4027" w:rsidRPr="009B70A5">
        <w:t>PTs.</w:t>
      </w:r>
      <w:proofErr w:type="spellEnd"/>
      <w:r w:rsidR="00BB4027" w:rsidRPr="009B70A5">
        <w:t xml:space="preserve">  </w:t>
      </w:r>
    </w:p>
    <w:p w14:paraId="561422AD" w14:textId="02DE9097" w:rsidR="00BB4027" w:rsidRDefault="00BB4027" w:rsidP="00BB4027">
      <w:r>
        <w:t xml:space="preserve">In </w:t>
      </w:r>
      <w:r w:rsidR="00F156D6">
        <w:t>2019-20</w:t>
      </w:r>
      <w:r>
        <w:t xml:space="preserve">, DFAT will continue to implement its risk management framework as initiated and implemented in November 2016. </w:t>
      </w:r>
      <w:r w:rsidR="006C70E0">
        <w:t xml:space="preserve"> </w:t>
      </w:r>
      <w:r>
        <w:t xml:space="preserve">This includes both Post </w:t>
      </w:r>
      <w:r w:rsidR="00D6147B">
        <w:t xml:space="preserve">(Ramallah) </w:t>
      </w:r>
      <w:r>
        <w:t xml:space="preserve">and </w:t>
      </w:r>
      <w:r w:rsidR="005E2D1D">
        <w:t xml:space="preserve">Canberra </w:t>
      </w:r>
      <w:r>
        <w:t xml:space="preserve">reviewing on a quarterly basis the operating environment for the aid program and implications for specific </w:t>
      </w:r>
      <w:r w:rsidR="00BC6980">
        <w:t>investments</w:t>
      </w:r>
      <w:r>
        <w:t>.</w:t>
      </w:r>
    </w:p>
    <w:p w14:paraId="7A4379AB" w14:textId="099F8524" w:rsidR="00F156D6" w:rsidRDefault="00F156D6" w:rsidP="00BB4027"/>
    <w:p w14:paraId="4284D783" w14:textId="7D4CA137" w:rsidR="00F156D6" w:rsidRDefault="00F156D6" w:rsidP="00BB4027"/>
    <w:p w14:paraId="7FD1B902" w14:textId="77777777" w:rsidR="00F156D6" w:rsidRDefault="00F156D6" w:rsidP="00BB4027">
      <w:pPr>
        <w:sectPr w:rsidR="00F156D6" w:rsidSect="00CA50EF">
          <w:headerReference w:type="default" r:id="rId28"/>
          <w:footerReference w:type="default" r:id="rId29"/>
          <w:pgSz w:w="11906" w:h="16838" w:code="9"/>
          <w:pgMar w:top="1811" w:right="1134" w:bottom="851" w:left="1134" w:header="1565" w:footer="342" w:gutter="0"/>
          <w:cols w:space="397"/>
          <w:docGrid w:linePitch="360"/>
        </w:sectPr>
      </w:pPr>
    </w:p>
    <w:p w14:paraId="0D5A8185" w14:textId="0EB6B873" w:rsidR="00AF1B85" w:rsidRPr="006A1B49" w:rsidRDefault="00AF1B85" w:rsidP="006A1B49">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A - Progress in Addressing Management Responses</w:t>
      </w:r>
    </w:p>
    <w:tbl>
      <w:tblPr>
        <w:tblStyle w:val="APPR"/>
        <w:tblpPr w:leftFromText="180" w:rightFromText="180" w:vertAnchor="text" w:tblpY="1"/>
        <w:tblW w:w="5074" w:type="pct"/>
        <w:tblBorders>
          <w:top w:val="none" w:sz="0" w:space="0" w:color="auto"/>
          <w:bottom w:val="none" w:sz="0" w:space="0" w:color="auto"/>
        </w:tblBorders>
        <w:tblLayout w:type="fixed"/>
        <w:tblLook w:val="0000" w:firstRow="0" w:lastRow="0" w:firstColumn="0" w:lastColumn="0" w:noHBand="0" w:noVBand="0"/>
      </w:tblPr>
      <w:tblGrid>
        <w:gridCol w:w="6325"/>
        <w:gridCol w:w="1180"/>
        <w:gridCol w:w="6738"/>
      </w:tblGrid>
      <w:tr w:rsidR="00AF1B85" w:rsidRPr="00812509" w14:paraId="6E89016F" w14:textId="77777777" w:rsidTr="00D50D60">
        <w:trPr>
          <w:cnfStyle w:val="000000010000" w:firstRow="0" w:lastRow="0" w:firstColumn="0" w:lastColumn="0" w:oddVBand="0" w:evenVBand="0" w:oddHBand="0" w:evenHBand="1" w:firstRowFirstColumn="0" w:firstRowLastColumn="0" w:lastRowFirstColumn="0" w:lastRowLastColumn="0"/>
        </w:trPr>
        <w:tc>
          <w:tcPr>
            <w:tcW w:w="6283"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14:paraId="64278622" w14:textId="5E47560A" w:rsidR="00AF1B85" w:rsidRPr="00812509" w:rsidRDefault="00AF1B85" w:rsidP="005D57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sidR="005D5723">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2"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14:paraId="5B51B6BE"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14:paraId="68DC828B" w14:textId="73E489EE" w:rsidR="00AF1B85" w:rsidRPr="00812509" w:rsidRDefault="00AF1B85" w:rsidP="005D5723">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D5723">
              <w:rPr>
                <w:rFonts w:asciiTheme="minorHAnsi" w:eastAsia="Times New Roman" w:hAnsiTheme="minorHAnsi"/>
                <w:b/>
                <w:iCs/>
                <w:szCs w:val="17"/>
                <w:lang w:eastAsia="en-US"/>
              </w:rPr>
              <w:t>8-19</w:t>
            </w:r>
          </w:p>
        </w:tc>
      </w:tr>
      <w:tr w:rsidR="000B19C1" w:rsidRPr="00812509" w14:paraId="5414D569" w14:textId="77777777" w:rsidTr="00D50D60">
        <w:trPr>
          <w:cnfStyle w:val="000000010000" w:firstRow="0" w:lastRow="0" w:firstColumn="0" w:lastColumn="0" w:oddVBand="0" w:evenVBand="0" w:oddHBand="0" w:evenHBand="1" w:firstRowFirstColumn="0" w:firstRowLastColumn="0" w:lastRowFirstColumn="0" w:lastRowLastColumn="0"/>
        </w:trPr>
        <w:tc>
          <w:tcPr>
            <w:tcW w:w="62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08F198" w14:textId="23A7F8C7" w:rsidR="000B19C1" w:rsidRPr="000B19C1" w:rsidRDefault="000B19C1" w:rsidP="00BC6980">
            <w:pPr>
              <w:keepLines/>
              <w:spacing w:before="40" w:after="40" w:line="200" w:lineRule="atLeast"/>
              <w:rPr>
                <w:rFonts w:asciiTheme="minorHAnsi" w:eastAsia="Times New Roman" w:hAnsiTheme="minorHAnsi"/>
                <w:iCs/>
                <w:color w:val="auto"/>
                <w:szCs w:val="17"/>
                <w:lang w:eastAsia="en-US"/>
              </w:rPr>
            </w:pPr>
            <w:r w:rsidRPr="000B19C1">
              <w:rPr>
                <w:rFonts w:asciiTheme="minorHAnsi" w:eastAsia="Times New Roman" w:hAnsiTheme="minorHAnsi"/>
                <w:iCs/>
                <w:color w:val="auto"/>
                <w:szCs w:val="17"/>
                <w:lang w:eastAsia="en-US"/>
              </w:rPr>
              <w:t xml:space="preserve">The current Aid Investment Plan for the PTs will </w:t>
            </w:r>
            <w:r w:rsidR="00BC6980">
              <w:rPr>
                <w:rFonts w:asciiTheme="minorHAnsi" w:eastAsia="Times New Roman" w:hAnsiTheme="minorHAnsi"/>
                <w:iCs/>
                <w:color w:val="auto"/>
                <w:szCs w:val="17"/>
                <w:lang w:eastAsia="en-US"/>
              </w:rPr>
              <w:t>end</w:t>
            </w:r>
            <w:r w:rsidRPr="000B19C1">
              <w:rPr>
                <w:rFonts w:asciiTheme="minorHAnsi" w:eastAsia="Times New Roman" w:hAnsiTheme="minorHAnsi"/>
                <w:iCs/>
                <w:color w:val="auto"/>
                <w:szCs w:val="17"/>
                <w:lang w:eastAsia="en-US"/>
              </w:rPr>
              <w:t xml:space="preserve"> in 2019. Action should be taken to begin to update it. Consideration for the deteriorating situation in Gaza and the shift away from the World Bank Trust Fund should be taken. </w:t>
            </w:r>
          </w:p>
        </w:tc>
        <w:tc>
          <w:tcPr>
            <w:tcW w:w="11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072907D9" w14:textId="01DE168F" w:rsidR="000B19C1" w:rsidRPr="00812509" w:rsidRDefault="000B19C1" w:rsidP="000B19C1">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B0F35E" w14:textId="0EAFC1EC" w:rsidR="000B19C1" w:rsidRDefault="000B19C1" w:rsidP="000B19C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Consideration for the deterioration of the situation in Gaza was taken into account with the decision to devote $1.5 million to the UNRWA emergency appeal and to redirect $10 million from the WB PDRP trust fund to the UN pooled humanitarian fund. </w:t>
            </w:r>
            <w:r w:rsidR="00786859">
              <w:rPr>
                <w:rFonts w:asciiTheme="minorHAnsi" w:eastAsia="Times New Roman" w:hAnsiTheme="minorHAnsi"/>
                <w:iCs/>
                <w:color w:val="auto"/>
                <w:szCs w:val="17"/>
                <w:lang w:eastAsia="en-US"/>
              </w:rPr>
              <w:t xml:space="preserve">Flexibility in Australia’s funding allowed partners to address emerging humanitarian needs. </w:t>
            </w:r>
          </w:p>
          <w:p w14:paraId="4C1EC914" w14:textId="75EE6553" w:rsidR="000B19C1" w:rsidRPr="000B19C1" w:rsidRDefault="000B19C1" w:rsidP="000B19C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Consideration for what form the new AIP for the PTs should take was undertaken, but the decision was made to defer design to the 2019-20 Financial Year. </w:t>
            </w:r>
          </w:p>
        </w:tc>
      </w:tr>
      <w:tr w:rsidR="00AF1B85" w:rsidRPr="00812509" w14:paraId="02B8E8F1" w14:textId="77777777" w:rsidTr="00D50D60">
        <w:trPr>
          <w:cnfStyle w:val="000000010000" w:firstRow="0" w:lastRow="0" w:firstColumn="0" w:lastColumn="0" w:oddVBand="0" w:evenVBand="0" w:oddHBand="0" w:evenHBand="1" w:firstRowFirstColumn="0" w:firstRowLastColumn="0" w:lastRowFirstColumn="0" w:lastRowLastColumn="0"/>
        </w:trPr>
        <w:tc>
          <w:tcPr>
            <w:tcW w:w="62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4C127C" w14:textId="7D010B2A" w:rsidR="00AF1B85" w:rsidRPr="000B19C1" w:rsidRDefault="000B19C1" w:rsidP="00D15A00">
            <w:pPr>
              <w:keepLines/>
              <w:spacing w:before="40" w:after="40" w:line="200" w:lineRule="atLeast"/>
              <w:rPr>
                <w:rFonts w:asciiTheme="minorHAnsi" w:eastAsia="Times New Roman" w:hAnsiTheme="minorHAnsi"/>
                <w:iCs/>
                <w:color w:val="auto"/>
                <w:szCs w:val="17"/>
                <w:lang w:eastAsia="en-US"/>
              </w:rPr>
            </w:pPr>
            <w:r w:rsidRPr="000B19C1">
              <w:rPr>
                <w:rFonts w:asciiTheme="minorHAnsi" w:eastAsia="Times New Roman" w:hAnsiTheme="minorHAnsi"/>
                <w:iCs/>
                <w:color w:val="auto"/>
                <w:szCs w:val="17"/>
                <w:lang w:eastAsia="en-US"/>
              </w:rPr>
              <w:t>Risk management processes for the aid program and for partners strengthened.</w:t>
            </w:r>
          </w:p>
        </w:tc>
        <w:tc>
          <w:tcPr>
            <w:tcW w:w="11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076DE3C3"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C7529C" w14:textId="781F5F54" w:rsidR="00AF1B85" w:rsidRPr="000B19C1" w:rsidRDefault="000B19C1" w:rsidP="005B5631">
            <w:pPr>
              <w:keepLines/>
              <w:spacing w:before="40" w:after="40" w:line="200" w:lineRule="atLeast"/>
              <w:rPr>
                <w:rFonts w:asciiTheme="minorHAnsi" w:eastAsia="Times New Roman" w:hAnsiTheme="minorHAnsi"/>
                <w:iCs/>
                <w:color w:val="auto"/>
                <w:szCs w:val="17"/>
                <w:lang w:eastAsia="en-US"/>
              </w:rPr>
            </w:pPr>
            <w:r w:rsidRPr="000B19C1">
              <w:rPr>
                <w:rFonts w:asciiTheme="minorHAnsi" w:eastAsia="Times New Roman" w:hAnsiTheme="minorHAnsi"/>
                <w:iCs/>
                <w:color w:val="auto"/>
                <w:szCs w:val="17"/>
                <w:lang w:eastAsia="en-US"/>
              </w:rPr>
              <w:t>Ramallah Post and Middle East Branch undertake quarterly teleconferences to discuss risks to the program and provide minutes of these meetings to relevant SES officers.</w:t>
            </w:r>
            <w:r w:rsidR="001716CD">
              <w:rPr>
                <w:rFonts w:asciiTheme="minorHAnsi" w:eastAsia="Times New Roman" w:hAnsiTheme="minorHAnsi"/>
                <w:iCs/>
                <w:color w:val="auto"/>
                <w:szCs w:val="17"/>
                <w:lang w:eastAsia="en-US"/>
              </w:rPr>
              <w:t xml:space="preserve">  The compliance checks introduced in </w:t>
            </w:r>
            <w:r w:rsidR="00170ABD">
              <w:rPr>
                <w:rFonts w:asciiTheme="minorHAnsi" w:eastAsia="Times New Roman" w:hAnsiTheme="minorHAnsi"/>
                <w:iCs/>
                <w:color w:val="auto"/>
                <w:szCs w:val="17"/>
                <w:lang w:eastAsia="en-US"/>
              </w:rPr>
              <w:t>2018/</w:t>
            </w:r>
            <w:r w:rsidR="001716CD">
              <w:rPr>
                <w:rFonts w:asciiTheme="minorHAnsi" w:eastAsia="Times New Roman" w:hAnsiTheme="minorHAnsi"/>
                <w:iCs/>
                <w:color w:val="auto"/>
                <w:szCs w:val="17"/>
                <w:lang w:eastAsia="en-US"/>
              </w:rPr>
              <w:t>2019 for the three participating NGOs will be continued during an</w:t>
            </w:r>
            <w:r w:rsidR="00A14D6B">
              <w:rPr>
                <w:rFonts w:asciiTheme="minorHAnsi" w:eastAsia="Times New Roman" w:hAnsiTheme="minorHAnsi"/>
                <w:iCs/>
                <w:color w:val="auto"/>
                <w:szCs w:val="17"/>
                <w:lang w:eastAsia="en-US"/>
              </w:rPr>
              <w:t>y</w:t>
            </w:r>
            <w:r w:rsidR="001716CD">
              <w:rPr>
                <w:rFonts w:asciiTheme="minorHAnsi" w:eastAsia="Times New Roman" w:hAnsiTheme="minorHAnsi"/>
                <w:iCs/>
                <w:color w:val="auto"/>
                <w:szCs w:val="17"/>
                <w:lang w:eastAsia="en-US"/>
              </w:rPr>
              <w:t xml:space="preserve"> extension period.</w:t>
            </w:r>
            <w:r w:rsidRPr="000B19C1">
              <w:rPr>
                <w:rFonts w:asciiTheme="minorHAnsi" w:eastAsia="Times New Roman" w:hAnsiTheme="minorHAnsi"/>
                <w:iCs/>
                <w:color w:val="auto"/>
                <w:szCs w:val="17"/>
                <w:lang w:eastAsia="en-US"/>
              </w:rPr>
              <w:t xml:space="preserve"> </w:t>
            </w:r>
          </w:p>
        </w:tc>
      </w:tr>
      <w:tr w:rsidR="00AF1B85" w:rsidRPr="00812509" w14:paraId="604E3737" w14:textId="77777777" w:rsidTr="00D50D60">
        <w:trPr>
          <w:cnfStyle w:val="000000010000" w:firstRow="0" w:lastRow="0" w:firstColumn="0" w:lastColumn="0" w:oddVBand="0" w:evenVBand="0" w:oddHBand="0" w:evenHBand="1" w:firstRowFirstColumn="0" w:firstRowLastColumn="0" w:lastRowFirstColumn="0" w:lastRowLastColumn="0"/>
        </w:trPr>
        <w:tc>
          <w:tcPr>
            <w:tcW w:w="62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CD16DB" w14:textId="6ED54549" w:rsidR="00AF1B85" w:rsidRPr="000B19C1" w:rsidRDefault="000B19C1" w:rsidP="00D15A00">
            <w:pPr>
              <w:keepLines/>
              <w:spacing w:before="40" w:after="40" w:line="200" w:lineRule="atLeast"/>
              <w:rPr>
                <w:rFonts w:asciiTheme="minorHAnsi" w:eastAsia="Times New Roman" w:hAnsiTheme="minorHAnsi"/>
                <w:iCs/>
                <w:color w:val="auto"/>
                <w:szCs w:val="17"/>
                <w:lang w:eastAsia="en-US"/>
              </w:rPr>
            </w:pPr>
            <w:r w:rsidRPr="000B19C1">
              <w:rPr>
                <w:rFonts w:asciiTheme="minorHAnsi" w:eastAsia="Times New Roman" w:hAnsiTheme="minorHAnsi"/>
                <w:iCs/>
                <w:color w:val="auto"/>
                <w:szCs w:val="17"/>
                <w:lang w:eastAsia="en-US"/>
              </w:rPr>
              <w:t>Mid-term review of the AMENCA 3 program commissioned and the findings used to determine whether future funding will be provided.</w:t>
            </w:r>
          </w:p>
        </w:tc>
        <w:tc>
          <w:tcPr>
            <w:tcW w:w="11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78F296F7"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96768A" w14:textId="4C684C92" w:rsidR="00AF1B85" w:rsidRPr="000B19C1" w:rsidRDefault="000B19C1" w:rsidP="00A14D6B">
            <w:pPr>
              <w:keepLines/>
              <w:spacing w:before="40" w:after="40" w:line="200" w:lineRule="atLeast"/>
              <w:rPr>
                <w:rFonts w:asciiTheme="minorHAnsi" w:eastAsia="Times New Roman" w:hAnsiTheme="minorHAnsi"/>
                <w:iCs/>
                <w:color w:val="auto"/>
                <w:szCs w:val="17"/>
                <w:lang w:eastAsia="en-US"/>
              </w:rPr>
            </w:pPr>
            <w:r w:rsidRPr="000B19C1">
              <w:rPr>
                <w:rFonts w:asciiTheme="minorHAnsi" w:eastAsia="Times New Roman" w:hAnsiTheme="minorHAnsi"/>
                <w:iCs/>
                <w:color w:val="auto"/>
                <w:szCs w:val="17"/>
                <w:lang w:eastAsia="en-US"/>
              </w:rPr>
              <w:t xml:space="preserve">The mid-term review has been completed and </w:t>
            </w:r>
            <w:r w:rsidR="00A14D6B">
              <w:rPr>
                <w:rFonts w:asciiTheme="minorHAnsi" w:eastAsia="Times New Roman" w:hAnsiTheme="minorHAnsi"/>
                <w:iCs/>
                <w:color w:val="auto"/>
                <w:szCs w:val="17"/>
                <w:lang w:eastAsia="en-US"/>
              </w:rPr>
              <w:t>consideration is currently being given to a possible continuation of the AMENCA 3 program.</w:t>
            </w:r>
          </w:p>
        </w:tc>
      </w:tr>
      <w:tr w:rsidR="000B19C1" w:rsidRPr="00812509" w14:paraId="5D83DC2D" w14:textId="77777777" w:rsidTr="00D50D60">
        <w:trPr>
          <w:cnfStyle w:val="000000010000" w:firstRow="0" w:lastRow="0" w:firstColumn="0" w:lastColumn="0" w:oddVBand="0" w:evenVBand="0" w:oddHBand="0" w:evenHBand="1" w:firstRowFirstColumn="0" w:firstRowLastColumn="0" w:lastRowFirstColumn="0" w:lastRowLastColumn="0"/>
        </w:trPr>
        <w:tc>
          <w:tcPr>
            <w:tcW w:w="6283"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27CE22E8" w14:textId="472E16DA" w:rsidR="000B19C1" w:rsidRPr="000B19C1" w:rsidRDefault="000B19C1" w:rsidP="000B19C1">
            <w:pPr>
              <w:keepLines/>
              <w:spacing w:before="40" w:after="40" w:line="200" w:lineRule="atLeast"/>
              <w:rPr>
                <w:rFonts w:asciiTheme="minorHAnsi" w:eastAsia="Times New Roman" w:hAnsiTheme="minorHAnsi"/>
                <w:iCs/>
                <w:color w:val="auto"/>
                <w:szCs w:val="17"/>
                <w:lang w:eastAsia="en-US"/>
              </w:rPr>
            </w:pPr>
            <w:r w:rsidRPr="000B19C1">
              <w:rPr>
                <w:rFonts w:asciiTheme="minorHAnsi" w:eastAsia="Times New Roman" w:hAnsiTheme="minorHAnsi"/>
                <w:iCs/>
                <w:color w:val="auto"/>
                <w:szCs w:val="17"/>
                <w:lang w:eastAsia="en-US"/>
              </w:rPr>
              <w:t xml:space="preserve">Third Party Monitors continue to be used to monitor ANCP and DAP projects. </w:t>
            </w:r>
          </w:p>
        </w:tc>
        <w:tc>
          <w:tcPr>
            <w:tcW w:w="1152"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72AF2F"/>
          </w:tcPr>
          <w:p w14:paraId="2A1DED2F" w14:textId="6D8D230F" w:rsidR="000B19C1" w:rsidRPr="00812509" w:rsidRDefault="000B19C1" w:rsidP="000B19C1">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6"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5920E1D0" w14:textId="5A42C32D" w:rsidR="000B19C1" w:rsidRPr="000B19C1" w:rsidRDefault="000B19C1" w:rsidP="00170ABD">
            <w:pPr>
              <w:keepLines/>
              <w:spacing w:before="40" w:after="40" w:line="200" w:lineRule="atLeast"/>
              <w:rPr>
                <w:rFonts w:asciiTheme="minorHAnsi" w:eastAsia="Times New Roman" w:hAnsiTheme="minorHAnsi"/>
                <w:iCs/>
                <w:color w:val="auto"/>
                <w:szCs w:val="17"/>
                <w:lang w:eastAsia="en-US"/>
              </w:rPr>
            </w:pPr>
            <w:r w:rsidRPr="000B19C1">
              <w:rPr>
                <w:rFonts w:asciiTheme="minorHAnsi" w:eastAsia="Times New Roman" w:hAnsiTheme="minorHAnsi"/>
                <w:iCs/>
                <w:color w:val="auto"/>
                <w:szCs w:val="17"/>
                <w:lang w:eastAsia="en-US"/>
              </w:rPr>
              <w:t>Third party monitor</w:t>
            </w:r>
            <w:r w:rsidR="00170ABD">
              <w:rPr>
                <w:rFonts w:asciiTheme="minorHAnsi" w:eastAsia="Times New Roman" w:hAnsiTheme="minorHAnsi"/>
                <w:iCs/>
                <w:color w:val="auto"/>
                <w:szCs w:val="17"/>
                <w:lang w:eastAsia="en-US"/>
              </w:rPr>
              <w:t>ing</w:t>
            </w:r>
            <w:r w:rsidR="001716CD">
              <w:rPr>
                <w:rFonts w:asciiTheme="minorHAnsi" w:eastAsia="Times New Roman" w:hAnsiTheme="minorHAnsi"/>
                <w:iCs/>
                <w:color w:val="auto"/>
                <w:szCs w:val="17"/>
                <w:lang w:eastAsia="en-US"/>
              </w:rPr>
              <w:t xml:space="preserve"> </w:t>
            </w:r>
            <w:r w:rsidR="00BC6980">
              <w:rPr>
                <w:rFonts w:asciiTheme="minorHAnsi" w:eastAsia="Times New Roman" w:hAnsiTheme="minorHAnsi"/>
                <w:iCs/>
                <w:color w:val="auto"/>
                <w:szCs w:val="17"/>
                <w:lang w:eastAsia="en-US"/>
              </w:rPr>
              <w:t>was undertaken in 2018-19</w:t>
            </w:r>
            <w:r w:rsidRPr="000B19C1">
              <w:rPr>
                <w:rFonts w:asciiTheme="minorHAnsi" w:eastAsia="Times New Roman" w:hAnsiTheme="minorHAnsi"/>
                <w:iCs/>
                <w:color w:val="auto"/>
                <w:szCs w:val="17"/>
                <w:lang w:eastAsia="en-US"/>
              </w:rPr>
              <w:t xml:space="preserve"> to monitor ANCP and DAP projects. </w:t>
            </w:r>
          </w:p>
        </w:tc>
      </w:tr>
    </w:tbl>
    <w:p w14:paraId="26A28E9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45458522"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1711455E"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0C9EDCB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E4D4667" w14:textId="77777777" w:rsidR="00D00802" w:rsidRDefault="00D00802" w:rsidP="005B5769">
      <w:pPr>
        <w:pStyle w:val="ListBullet"/>
        <w:tabs>
          <w:tab w:val="clear" w:pos="284"/>
        </w:tabs>
        <w:sectPr w:rsidR="00D00802" w:rsidSect="00CA50EF">
          <w:headerReference w:type="first" r:id="rId30"/>
          <w:pgSz w:w="16838" w:h="11906" w:orient="landscape" w:code="9"/>
          <w:pgMar w:top="1134" w:right="1952" w:bottom="1134" w:left="851" w:header="1107" w:footer="567" w:gutter="0"/>
          <w:cols w:space="397"/>
          <w:titlePg/>
          <w:docGrid w:linePitch="360"/>
        </w:sectPr>
      </w:pPr>
    </w:p>
    <w:p w14:paraId="3592B9A8" w14:textId="77777777"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14:paraId="045D6633" w14:textId="4DCF2C6E" w:rsidR="00184F1E" w:rsidRPr="00F44089" w:rsidRDefault="00F8189A" w:rsidP="00F44089">
      <w:pPr>
        <w:rPr>
          <w:rFonts w:eastAsia="Times New Roman" w:cstheme="minorHAnsi"/>
          <w:sz w:val="32"/>
          <w:szCs w:val="32"/>
        </w:rPr>
      </w:pPr>
      <w:r>
        <w:rPr>
          <w:rFonts w:eastAsia="Times New Roman" w:cstheme="minorHAnsi"/>
          <w:sz w:val="32"/>
          <w:szCs w:val="32"/>
        </w:rPr>
        <w:t xml:space="preserve">1 </w:t>
      </w:r>
      <w:r w:rsidR="00184F1E" w:rsidRPr="00F8189A">
        <w:rPr>
          <w:rFonts w:eastAsia="Times New Roman" w:cstheme="minorHAnsi"/>
          <w:sz w:val="32"/>
          <w:szCs w:val="32"/>
        </w:rPr>
        <w:t>Progress towards Performance Benchmarks in 201</w:t>
      </w:r>
      <w:r w:rsidRPr="00F8189A">
        <w:rPr>
          <w:rFonts w:eastAsia="Times New Roman" w:cstheme="minorHAnsi"/>
          <w:sz w:val="32"/>
          <w:szCs w:val="32"/>
        </w:rPr>
        <w:t>8-19</w:t>
      </w:r>
    </w:p>
    <w:tbl>
      <w:tblPr>
        <w:tblStyle w:val="DFATTable"/>
        <w:tblW w:w="5000" w:type="pct"/>
        <w:tblBorders>
          <w:top w:val="none" w:sz="0" w:space="0" w:color="auto"/>
          <w:bottom w:val="none" w:sz="0" w:space="0" w:color="auto"/>
        </w:tblBorders>
        <w:tblLook w:val="04A0" w:firstRow="1" w:lastRow="0" w:firstColumn="1" w:lastColumn="0" w:noHBand="0" w:noVBand="1"/>
      </w:tblPr>
      <w:tblGrid>
        <w:gridCol w:w="2125"/>
        <w:gridCol w:w="3402"/>
        <w:gridCol w:w="1137"/>
        <w:gridCol w:w="7371"/>
      </w:tblGrid>
      <w:tr w:rsidR="00184F1E" w:rsidRPr="00C61187" w14:paraId="060B423F" w14:textId="77777777" w:rsidTr="00F44089">
        <w:trPr>
          <w:tblHeader/>
        </w:trPr>
        <w:tc>
          <w:tcPr>
            <w:tcW w:w="757" w:type="pct"/>
            <w:tcBorders>
              <w:top w:val="single" w:sz="4" w:space="0" w:color="auto"/>
            </w:tcBorders>
            <w:tcMar>
              <w:top w:w="57" w:type="dxa"/>
              <w:bottom w:w="57" w:type="dxa"/>
            </w:tcMar>
          </w:tcPr>
          <w:p w14:paraId="72326563" w14:textId="77777777" w:rsidR="00184F1E" w:rsidRPr="00880004" w:rsidRDefault="00184F1E" w:rsidP="00A1707A">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212" w:type="pct"/>
            <w:tcBorders>
              <w:top w:val="single" w:sz="4" w:space="0" w:color="auto"/>
            </w:tcBorders>
          </w:tcPr>
          <w:p w14:paraId="1268721E" w14:textId="77777777" w:rsidR="00184F1E" w:rsidRPr="00880004" w:rsidRDefault="00184F1E" w:rsidP="00A1707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05" w:type="pct"/>
            <w:tcBorders>
              <w:top w:val="single" w:sz="4" w:space="0" w:color="auto"/>
            </w:tcBorders>
          </w:tcPr>
          <w:p w14:paraId="4BEE92C8" w14:textId="77777777" w:rsidR="00184F1E" w:rsidRPr="00880004" w:rsidRDefault="00184F1E" w:rsidP="00A1707A">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626" w:type="pct"/>
            <w:tcBorders>
              <w:top w:val="single" w:sz="4" w:space="0" w:color="auto"/>
            </w:tcBorders>
          </w:tcPr>
          <w:p w14:paraId="1A81F11A" w14:textId="41ED38B8" w:rsidR="00184F1E" w:rsidRPr="00880004" w:rsidRDefault="00184F1E" w:rsidP="000847A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0847AD">
              <w:rPr>
                <w:rFonts w:asciiTheme="minorHAnsi" w:eastAsia="Times New Roman" w:hAnsiTheme="minorHAnsi"/>
                <w:b/>
                <w:iCs/>
                <w:szCs w:val="17"/>
                <w:lang w:eastAsia="en-US"/>
              </w:rPr>
              <w:t>8-19</w:t>
            </w:r>
          </w:p>
        </w:tc>
      </w:tr>
      <w:tr w:rsidR="00F8189A" w:rsidRPr="00C61187" w14:paraId="2D349504" w14:textId="77777777" w:rsidTr="00F44089">
        <w:tc>
          <w:tcPr>
            <w:tcW w:w="757" w:type="pct"/>
            <w:tcMar>
              <w:top w:w="57" w:type="dxa"/>
              <w:bottom w:w="57" w:type="dxa"/>
            </w:tcMar>
          </w:tcPr>
          <w:p w14:paraId="78F92F85" w14:textId="2AB0177D" w:rsidR="00F8189A" w:rsidRPr="00085E5F" w:rsidRDefault="000B19C1" w:rsidP="00F8189A">
            <w:pPr>
              <w:keepLines/>
              <w:spacing w:before="40" w:after="40" w:line="200" w:lineRule="atLeast"/>
              <w:rPr>
                <w:rFonts w:asciiTheme="minorHAnsi" w:eastAsia="Times New Roman" w:hAnsiTheme="minorHAnsi"/>
                <w:iCs/>
                <w:color w:val="FF0000"/>
                <w:szCs w:val="17"/>
                <w:lang w:eastAsia="en-US"/>
              </w:rPr>
            </w:pPr>
            <w:r w:rsidRPr="00F92447">
              <w:rPr>
                <w:rFonts w:ascii="Franklin Gothic Book" w:eastAsia="Times New Roman" w:hAnsi="Franklin Gothic Book"/>
                <w:iCs/>
                <w:szCs w:val="17"/>
                <w:lang w:eastAsia="en-US"/>
              </w:rPr>
              <w:t>Improved public financial management and a more competitive agricultural economy in the PTs</w:t>
            </w:r>
          </w:p>
        </w:tc>
        <w:tc>
          <w:tcPr>
            <w:tcW w:w="1212" w:type="pct"/>
          </w:tcPr>
          <w:p w14:paraId="39932BD8" w14:textId="4AB36615" w:rsidR="00F92447" w:rsidRDefault="00F92447" w:rsidP="00F44089">
            <w:pPr>
              <w:pStyle w:val="ListParagraph"/>
              <w:keepLines/>
              <w:numPr>
                <w:ilvl w:val="0"/>
                <w:numId w:val="41"/>
              </w:numPr>
              <w:spacing w:before="40" w:after="40" w:line="200" w:lineRule="atLeast"/>
              <w:rPr>
                <w:rFonts w:ascii="Franklin Gothic Book" w:eastAsia="Times New Roman" w:hAnsi="Franklin Gothic Book"/>
                <w:iCs/>
                <w:szCs w:val="17"/>
                <w:lang w:eastAsia="en-US"/>
              </w:rPr>
            </w:pPr>
            <w:r w:rsidRPr="00996D10">
              <w:rPr>
                <w:rFonts w:ascii="Franklin Gothic Book" w:eastAsia="Times New Roman" w:hAnsi="Franklin Gothic Book"/>
                <w:iCs/>
                <w:szCs w:val="17"/>
                <w:lang w:eastAsia="en-US"/>
              </w:rPr>
              <w:t xml:space="preserve">The stock of income tax debt </w:t>
            </w:r>
            <w:r>
              <w:rPr>
                <w:rFonts w:ascii="Franklin Gothic Book" w:eastAsia="Times New Roman" w:hAnsi="Franklin Gothic Book"/>
                <w:iCs/>
                <w:szCs w:val="17"/>
                <w:lang w:eastAsia="en-US"/>
              </w:rPr>
              <w:t>is lower in 2018 than it was in October 2017</w:t>
            </w:r>
            <w:r w:rsidRPr="00996D10">
              <w:rPr>
                <w:rFonts w:ascii="Franklin Gothic Book" w:eastAsia="Times New Roman" w:hAnsi="Franklin Gothic Book"/>
                <w:iCs/>
                <w:szCs w:val="17"/>
                <w:lang w:eastAsia="en-US"/>
              </w:rPr>
              <w:t>.</w:t>
            </w:r>
          </w:p>
          <w:p w14:paraId="1D61AE91" w14:textId="263BC897" w:rsidR="00F92447" w:rsidRDefault="00F92447" w:rsidP="00F44089">
            <w:pPr>
              <w:pStyle w:val="ListParagraph"/>
              <w:keepLines/>
              <w:spacing w:before="40" w:after="40" w:line="200" w:lineRule="atLeast"/>
              <w:ind w:left="360"/>
              <w:rPr>
                <w:rFonts w:ascii="Franklin Gothic Book" w:eastAsia="Times New Roman" w:hAnsi="Franklin Gothic Book"/>
                <w:iCs/>
                <w:szCs w:val="17"/>
                <w:lang w:eastAsia="en-US"/>
              </w:rPr>
            </w:pPr>
          </w:p>
          <w:p w14:paraId="2B44E59E" w14:textId="4421A0F1" w:rsidR="00F92447" w:rsidRPr="00F92447" w:rsidRDefault="00F92447" w:rsidP="00F44089">
            <w:pPr>
              <w:keepLines/>
              <w:spacing w:before="40" w:after="40" w:line="200" w:lineRule="atLeast"/>
              <w:rPr>
                <w:rFonts w:ascii="Franklin Gothic Book" w:eastAsia="Times New Roman" w:hAnsi="Franklin Gothic Book"/>
                <w:iCs/>
                <w:szCs w:val="17"/>
                <w:lang w:eastAsia="en-US"/>
              </w:rPr>
            </w:pPr>
          </w:p>
          <w:p w14:paraId="0AA0E9D8" w14:textId="4A69D7E7" w:rsidR="00F92447" w:rsidRPr="00B57272" w:rsidRDefault="00F92447" w:rsidP="00F44089">
            <w:pPr>
              <w:pStyle w:val="ListParagraph"/>
              <w:keepLines/>
              <w:numPr>
                <w:ilvl w:val="0"/>
                <w:numId w:val="41"/>
              </w:numPr>
              <w:spacing w:before="40" w:after="40" w:line="200" w:lineRule="atLeast"/>
              <w:rPr>
                <w:rFonts w:ascii="Franklin Gothic Book" w:eastAsia="Times New Roman" w:hAnsi="Franklin Gothic Book"/>
                <w:iCs/>
                <w:szCs w:val="17"/>
                <w:lang w:eastAsia="en-US"/>
              </w:rPr>
            </w:pPr>
            <w:r w:rsidRPr="00F92447">
              <w:rPr>
                <w:rFonts w:ascii="Franklin Gothic Book" w:eastAsia="Times New Roman" w:hAnsi="Franklin Gothic Book"/>
                <w:iCs/>
                <w:szCs w:val="17"/>
                <w:lang w:eastAsia="en-US"/>
              </w:rPr>
              <w:t>Farmers report increased income from better functioning value chains supported by AMENCA 3.</w:t>
            </w:r>
          </w:p>
        </w:tc>
        <w:tc>
          <w:tcPr>
            <w:tcW w:w="405" w:type="pct"/>
            <w:shd w:val="clear" w:color="auto" w:fill="92D050"/>
          </w:tcPr>
          <w:p w14:paraId="5A37C5EE" w14:textId="77777777" w:rsidR="00F8189A" w:rsidRPr="00880004" w:rsidRDefault="00F8189A" w:rsidP="00F8189A">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626" w:type="pct"/>
          </w:tcPr>
          <w:p w14:paraId="445964E4" w14:textId="52D7C427" w:rsidR="00F92447" w:rsidRDefault="00F92447" w:rsidP="00F92447">
            <w:pPr>
              <w:keepNext/>
              <w:keepLines/>
              <w:numPr>
                <w:ilvl w:val="0"/>
                <w:numId w:val="43"/>
              </w:numPr>
              <w:suppressAutoHyphens w:val="0"/>
              <w:spacing w:before="40" w:after="40" w:line="200" w:lineRule="atLeast"/>
              <w:rPr>
                <w:rFonts w:ascii="Franklin Gothic Book" w:eastAsia="Times New Roman" w:hAnsi="Franklin Gothic Book"/>
                <w:iCs/>
                <w:szCs w:val="17"/>
                <w:lang w:eastAsia="en-US"/>
              </w:rPr>
            </w:pPr>
            <w:r w:rsidRPr="00F92447">
              <w:rPr>
                <w:rFonts w:ascii="Franklin Gothic Book" w:eastAsia="Times New Roman" w:hAnsi="Franklin Gothic Book"/>
                <w:iCs/>
                <w:szCs w:val="17"/>
                <w:lang w:eastAsia="en-US"/>
              </w:rPr>
              <w:t>The total PTs deficit sto</w:t>
            </w:r>
            <w:r w:rsidR="003A19B7">
              <w:rPr>
                <w:rFonts w:ascii="Franklin Gothic Book" w:eastAsia="Times New Roman" w:hAnsi="Franklin Gothic Book"/>
                <w:iCs/>
                <w:szCs w:val="17"/>
                <w:lang w:eastAsia="en-US"/>
              </w:rPr>
              <w:t>od at 7.7</w:t>
            </w:r>
            <w:r>
              <w:rPr>
                <w:rFonts w:ascii="Franklin Gothic Book" w:eastAsia="Times New Roman" w:hAnsi="Franklin Gothic Book"/>
                <w:iCs/>
                <w:szCs w:val="17"/>
                <w:lang w:eastAsia="en-US"/>
              </w:rPr>
              <w:t xml:space="preserve"> per</w:t>
            </w:r>
            <w:r w:rsidR="00B57272">
              <w:rPr>
                <w:rFonts w:ascii="Franklin Gothic Book" w:eastAsia="Times New Roman" w:hAnsi="Franklin Gothic Book"/>
                <w:iCs/>
                <w:szCs w:val="17"/>
                <w:lang w:eastAsia="en-US"/>
              </w:rPr>
              <w:t xml:space="preserve"> </w:t>
            </w:r>
            <w:r>
              <w:rPr>
                <w:rFonts w:ascii="Franklin Gothic Book" w:eastAsia="Times New Roman" w:hAnsi="Franklin Gothic Book"/>
                <w:iCs/>
                <w:szCs w:val="17"/>
                <w:lang w:eastAsia="en-US"/>
              </w:rPr>
              <w:t>cent of GDP in 2018</w:t>
            </w:r>
            <w:r w:rsidR="00A14D6B">
              <w:rPr>
                <w:rFonts w:ascii="Franklin Gothic Book" w:eastAsia="Times New Roman" w:hAnsi="Franklin Gothic Book"/>
                <w:iCs/>
                <w:szCs w:val="17"/>
                <w:lang w:eastAsia="en-US"/>
              </w:rPr>
              <w:t>,</w:t>
            </w:r>
            <w:r w:rsidRPr="00F92447">
              <w:rPr>
                <w:rFonts w:ascii="Franklin Gothic Book" w:eastAsia="Times New Roman" w:hAnsi="Franklin Gothic Book"/>
                <w:iCs/>
                <w:szCs w:val="17"/>
                <w:lang w:eastAsia="en-US"/>
              </w:rPr>
              <w:t xml:space="preserve"> </w:t>
            </w:r>
            <w:r w:rsidR="00B57272">
              <w:rPr>
                <w:rFonts w:ascii="Franklin Gothic Book" w:eastAsia="Times New Roman" w:hAnsi="Franklin Gothic Book"/>
                <w:iCs/>
                <w:szCs w:val="17"/>
                <w:lang w:eastAsia="en-US"/>
              </w:rPr>
              <w:t>a slight decrease from 8.1 per cent</w:t>
            </w:r>
            <w:r>
              <w:rPr>
                <w:rFonts w:ascii="Franklin Gothic Book" w:eastAsia="Times New Roman" w:hAnsi="Franklin Gothic Book"/>
                <w:iCs/>
                <w:szCs w:val="17"/>
                <w:lang w:eastAsia="en-US"/>
              </w:rPr>
              <w:t xml:space="preserve"> 2017</w:t>
            </w:r>
            <w:r w:rsidRPr="00F92447">
              <w:rPr>
                <w:rFonts w:ascii="Franklin Gothic Book" w:eastAsia="Times New Roman" w:hAnsi="Franklin Gothic Book"/>
                <w:iCs/>
                <w:szCs w:val="17"/>
                <w:lang w:eastAsia="en-US"/>
              </w:rPr>
              <w:t xml:space="preserve"> (and 30 per cent in 2006) due to an increase in tax receipts resulting from PA reform efforts including expenditure reductions.</w:t>
            </w:r>
          </w:p>
          <w:p w14:paraId="3E3C314A" w14:textId="77777777" w:rsidR="00F92447" w:rsidRPr="00F92447" w:rsidRDefault="00F92447" w:rsidP="00F92447">
            <w:pPr>
              <w:keepNext/>
              <w:keepLines/>
              <w:suppressAutoHyphens w:val="0"/>
              <w:spacing w:before="40" w:after="40" w:line="200" w:lineRule="atLeast"/>
              <w:ind w:left="360"/>
              <w:rPr>
                <w:rFonts w:ascii="Franklin Gothic Book" w:eastAsia="Times New Roman" w:hAnsi="Franklin Gothic Book"/>
                <w:iCs/>
                <w:szCs w:val="17"/>
                <w:lang w:eastAsia="en-US"/>
              </w:rPr>
            </w:pPr>
          </w:p>
          <w:p w14:paraId="28B119B9" w14:textId="01D5B968" w:rsidR="00B57272" w:rsidRPr="00B57272" w:rsidRDefault="00B57272" w:rsidP="00B57272">
            <w:pPr>
              <w:keepNext/>
              <w:keepLines/>
              <w:numPr>
                <w:ilvl w:val="0"/>
                <w:numId w:val="43"/>
              </w:numPr>
              <w:suppressAutoHyphens w:val="0"/>
              <w:spacing w:before="40" w:after="40" w:line="200" w:lineRule="atLeast"/>
              <w:rPr>
                <w:rFonts w:ascii="Franklin Gothic Book" w:eastAsia="Times New Roman" w:hAnsi="Franklin Gothic Book"/>
                <w:iCs/>
                <w:szCs w:val="17"/>
                <w:lang w:eastAsia="en-US"/>
              </w:rPr>
            </w:pPr>
            <w:r w:rsidRPr="00B57272">
              <w:rPr>
                <w:rFonts w:ascii="Franklin Gothic Book" w:eastAsia="Times New Roman" w:hAnsi="Franklin Gothic Book"/>
                <w:iCs/>
                <w:szCs w:val="17"/>
                <w:lang w:eastAsia="en-US"/>
              </w:rPr>
              <w:t>Agricultural innovations resulted in a 3</w:t>
            </w:r>
            <w:r>
              <w:rPr>
                <w:rFonts w:ascii="Franklin Gothic Book" w:eastAsia="Times New Roman" w:hAnsi="Franklin Gothic Book"/>
                <w:iCs/>
                <w:szCs w:val="17"/>
                <w:lang w:eastAsia="en-US"/>
              </w:rPr>
              <w:t xml:space="preserve">0 per cent drop in faming costs, </w:t>
            </w:r>
            <w:r w:rsidRPr="00B57272">
              <w:rPr>
                <w:rFonts w:ascii="Franklin Gothic Book" w:eastAsia="Times New Roman" w:hAnsi="Franklin Gothic Book"/>
                <w:iCs/>
                <w:szCs w:val="17"/>
                <w:lang w:eastAsia="en-US"/>
              </w:rPr>
              <w:t>a five per cent increase in yield</w:t>
            </w:r>
            <w:r>
              <w:rPr>
                <w:rFonts w:ascii="Franklin Gothic Book" w:eastAsia="Times New Roman" w:hAnsi="Franklin Gothic Book"/>
                <w:iCs/>
                <w:szCs w:val="17"/>
                <w:lang w:eastAsia="en-US"/>
              </w:rPr>
              <w:t>, and 1,646 farmers receiving improved access to water</w:t>
            </w:r>
            <w:r w:rsidRPr="00B57272">
              <w:rPr>
                <w:rFonts w:ascii="Franklin Gothic Book" w:eastAsia="Times New Roman" w:hAnsi="Franklin Gothic Book"/>
                <w:iCs/>
                <w:szCs w:val="17"/>
                <w:lang w:eastAsia="en-US"/>
              </w:rPr>
              <w:t>.</w:t>
            </w:r>
            <w:r>
              <w:rPr>
                <w:rFonts w:ascii="Franklin Gothic Book" w:eastAsia="Times New Roman" w:hAnsi="Franklin Gothic Book"/>
                <w:iCs/>
                <w:szCs w:val="17"/>
                <w:lang w:eastAsia="en-US"/>
              </w:rPr>
              <w:t xml:space="preserve"> </w:t>
            </w:r>
            <w:r w:rsidR="006C70E0">
              <w:rPr>
                <w:rFonts w:ascii="Franklin Gothic Book" w:eastAsia="Times New Roman" w:hAnsi="Franklin Gothic Book"/>
                <w:iCs/>
                <w:szCs w:val="17"/>
                <w:lang w:eastAsia="en-US"/>
              </w:rPr>
              <w:t xml:space="preserve"> </w:t>
            </w:r>
            <w:r>
              <w:rPr>
                <w:rFonts w:ascii="Franklin Gothic Book" w:eastAsia="Times New Roman" w:hAnsi="Franklin Gothic Book"/>
                <w:iCs/>
                <w:szCs w:val="17"/>
                <w:lang w:eastAsia="en-US"/>
              </w:rPr>
              <w:t>More than</w:t>
            </w:r>
            <w:r w:rsidRPr="00B57272">
              <w:rPr>
                <w:rFonts w:ascii="Franklin Gothic Book" w:eastAsia="Times New Roman" w:hAnsi="Franklin Gothic Book"/>
                <w:iCs/>
                <w:szCs w:val="17"/>
                <w:lang w:eastAsia="en-US"/>
              </w:rPr>
              <w:t xml:space="preserve"> </w:t>
            </w:r>
            <w:r>
              <w:rPr>
                <w:rFonts w:ascii="Franklin Gothic Book" w:eastAsia="Times New Roman" w:hAnsi="Franklin Gothic Book"/>
                <w:iCs/>
                <w:szCs w:val="17"/>
                <w:lang w:eastAsia="en-US"/>
              </w:rPr>
              <w:t>8.500 farmers reported increasing their income by at least 10 per cent (including 3,259 women and 1,977 youths).</w:t>
            </w:r>
            <w:r w:rsidR="006C70E0">
              <w:rPr>
                <w:rFonts w:ascii="Franklin Gothic Book" w:eastAsia="Times New Roman" w:hAnsi="Franklin Gothic Book"/>
                <w:iCs/>
                <w:szCs w:val="17"/>
                <w:lang w:eastAsia="en-US"/>
              </w:rPr>
              <w:t xml:space="preserve"> </w:t>
            </w:r>
            <w:r>
              <w:rPr>
                <w:rFonts w:ascii="Franklin Gothic Book" w:eastAsia="Times New Roman" w:hAnsi="Franklin Gothic Book"/>
                <w:iCs/>
                <w:szCs w:val="17"/>
                <w:lang w:eastAsia="en-US"/>
              </w:rPr>
              <w:t xml:space="preserve"> </w:t>
            </w:r>
            <w:r w:rsidR="00B71E4D">
              <w:rPr>
                <w:rFonts w:ascii="Franklin Gothic Book" w:eastAsia="Times New Roman" w:hAnsi="Franklin Gothic Book"/>
                <w:iCs/>
                <w:szCs w:val="17"/>
                <w:lang w:eastAsia="en-US"/>
              </w:rPr>
              <w:t xml:space="preserve">Over </w:t>
            </w:r>
            <w:r w:rsidRPr="00B57272">
              <w:rPr>
                <w:rFonts w:ascii="Franklin Gothic Book" w:eastAsia="Times New Roman" w:hAnsi="Franklin Gothic Book"/>
                <w:iCs/>
                <w:szCs w:val="17"/>
                <w:lang w:eastAsia="en-US"/>
              </w:rPr>
              <w:t xml:space="preserve">4,600 women reported economic empowerment and 3,800 active and equitable roles in agricultural value chains. </w:t>
            </w:r>
          </w:p>
        </w:tc>
      </w:tr>
      <w:tr w:rsidR="00F8189A" w:rsidRPr="00C61187" w14:paraId="5135F5E1" w14:textId="77777777" w:rsidTr="00F44089">
        <w:tc>
          <w:tcPr>
            <w:tcW w:w="757" w:type="pct"/>
            <w:tcBorders>
              <w:bottom w:val="single" w:sz="4" w:space="0" w:color="auto"/>
            </w:tcBorders>
            <w:tcMar>
              <w:top w:w="57" w:type="dxa"/>
              <w:bottom w:w="57" w:type="dxa"/>
            </w:tcMar>
          </w:tcPr>
          <w:p w14:paraId="554586E1" w14:textId="022341BE" w:rsidR="00F8189A" w:rsidRPr="00085E5F" w:rsidRDefault="00F92447" w:rsidP="00F8189A">
            <w:pPr>
              <w:keepLines/>
              <w:spacing w:before="40" w:after="40" w:line="200" w:lineRule="atLeast"/>
              <w:rPr>
                <w:rFonts w:asciiTheme="minorHAnsi" w:eastAsia="Times New Roman" w:hAnsiTheme="minorHAnsi"/>
                <w:iCs/>
                <w:color w:val="FF0000"/>
                <w:szCs w:val="17"/>
                <w:lang w:eastAsia="en-US"/>
              </w:rPr>
            </w:pPr>
            <w:r w:rsidRPr="00F92447">
              <w:rPr>
                <w:rFonts w:ascii="Franklin Gothic Book" w:eastAsia="Times New Roman" w:hAnsi="Franklin Gothic Book"/>
                <w:iCs/>
                <w:szCs w:val="17"/>
                <w:lang w:eastAsia="en-US"/>
              </w:rPr>
              <w:t>Palestinian refugees in the PTs and across the region are able to access quality basic services</w:t>
            </w:r>
            <w:r>
              <w:rPr>
                <w:rFonts w:asciiTheme="minorHAnsi" w:eastAsia="Times New Roman" w:hAnsiTheme="minorHAnsi"/>
                <w:iCs/>
                <w:color w:val="FF0000"/>
                <w:szCs w:val="17"/>
                <w:lang w:eastAsia="en-US"/>
              </w:rPr>
              <w:t xml:space="preserve"> </w:t>
            </w:r>
          </w:p>
        </w:tc>
        <w:tc>
          <w:tcPr>
            <w:tcW w:w="1212" w:type="pct"/>
            <w:tcBorders>
              <w:bottom w:val="single" w:sz="4" w:space="0" w:color="auto"/>
            </w:tcBorders>
          </w:tcPr>
          <w:p w14:paraId="03AD1653" w14:textId="1931E864" w:rsidR="00F92447" w:rsidRDefault="00F92447" w:rsidP="00F44089">
            <w:pPr>
              <w:pStyle w:val="ListParagraph"/>
              <w:keepLines/>
              <w:numPr>
                <w:ilvl w:val="0"/>
                <w:numId w:val="42"/>
              </w:numPr>
              <w:spacing w:before="40" w:after="40" w:line="200" w:lineRule="atLeast"/>
              <w:rPr>
                <w:rFonts w:ascii="Franklin Gothic Book" w:eastAsia="Times New Roman" w:hAnsi="Franklin Gothic Book"/>
                <w:iCs/>
                <w:szCs w:val="17"/>
                <w:lang w:eastAsia="en-US"/>
              </w:rPr>
            </w:pPr>
            <w:r>
              <w:rPr>
                <w:rFonts w:ascii="Franklin Gothic Book" w:eastAsia="Times New Roman" w:hAnsi="Franklin Gothic Book"/>
                <w:iCs/>
                <w:szCs w:val="17"/>
                <w:lang w:eastAsia="en-US"/>
              </w:rPr>
              <w:t xml:space="preserve">Benchmarks relating to student achievement in mathematics in UNRWA schools were set (and measured) in the 2016-17 APPR.  However as UNRWA only measures these in a </w:t>
            </w:r>
            <w:r w:rsidRPr="00996D10">
              <w:rPr>
                <w:rFonts w:ascii="Franklin Gothic Book" w:eastAsia="Times New Roman" w:hAnsi="Franklin Gothic Book"/>
                <w:iCs/>
                <w:szCs w:val="17"/>
                <w:lang w:eastAsia="en-US"/>
              </w:rPr>
              <w:t>stan</w:t>
            </w:r>
            <w:r>
              <w:rPr>
                <w:rFonts w:ascii="Franklin Gothic Book" w:eastAsia="Times New Roman" w:hAnsi="Franklin Gothic Book"/>
                <w:iCs/>
                <w:szCs w:val="17"/>
                <w:lang w:eastAsia="en-US"/>
              </w:rPr>
              <w:t>dardised manner</w:t>
            </w:r>
            <w:r w:rsidRPr="00996D10">
              <w:rPr>
                <w:rFonts w:ascii="Franklin Gothic Book" w:eastAsia="Times New Roman" w:hAnsi="Franklin Gothic Book"/>
                <w:iCs/>
                <w:szCs w:val="17"/>
                <w:lang w:eastAsia="en-US"/>
              </w:rPr>
              <w:t xml:space="preserve"> every three years,</w:t>
            </w:r>
            <w:r>
              <w:rPr>
                <w:rFonts w:ascii="Franklin Gothic Book" w:eastAsia="Times New Roman" w:hAnsi="Franklin Gothic Book"/>
                <w:iCs/>
                <w:szCs w:val="17"/>
                <w:lang w:eastAsia="en-US"/>
              </w:rPr>
              <w:t xml:space="preserve"> we </w:t>
            </w:r>
            <w:r w:rsidR="00D56346">
              <w:rPr>
                <w:rFonts w:ascii="Franklin Gothic Book" w:eastAsia="Times New Roman" w:hAnsi="Franklin Gothic Book"/>
                <w:iCs/>
                <w:szCs w:val="17"/>
                <w:lang w:eastAsia="en-US"/>
              </w:rPr>
              <w:t xml:space="preserve">will report on this benchmark in next year’s APPR and have </w:t>
            </w:r>
            <w:r>
              <w:rPr>
                <w:rFonts w:ascii="Franklin Gothic Book" w:eastAsia="Times New Roman" w:hAnsi="Franklin Gothic Book"/>
                <w:iCs/>
                <w:szCs w:val="17"/>
                <w:lang w:eastAsia="en-US"/>
              </w:rPr>
              <w:t xml:space="preserve">selected another indicator </w:t>
            </w:r>
            <w:r w:rsidR="00D56346">
              <w:rPr>
                <w:rFonts w:ascii="Franklin Gothic Book" w:eastAsia="Times New Roman" w:hAnsi="Franklin Gothic Book"/>
                <w:iCs/>
                <w:szCs w:val="17"/>
                <w:lang w:eastAsia="en-US"/>
              </w:rPr>
              <w:t xml:space="preserve">(student drop-out rates) </w:t>
            </w:r>
            <w:r>
              <w:rPr>
                <w:rFonts w:ascii="Franklin Gothic Book" w:eastAsia="Times New Roman" w:hAnsi="Franklin Gothic Book"/>
                <w:iCs/>
                <w:szCs w:val="17"/>
                <w:lang w:eastAsia="en-US"/>
              </w:rPr>
              <w:t>for this year’s APPR.</w:t>
            </w:r>
          </w:p>
          <w:p w14:paraId="458E6FCB" w14:textId="0FD3D94B" w:rsidR="00F92447" w:rsidRPr="00F44089" w:rsidRDefault="00F92447" w:rsidP="00F44089">
            <w:pPr>
              <w:keepLines/>
              <w:spacing w:before="40" w:after="40" w:line="200" w:lineRule="atLeast"/>
              <w:rPr>
                <w:rFonts w:ascii="Franklin Gothic Book" w:eastAsia="Times New Roman" w:hAnsi="Franklin Gothic Book"/>
                <w:iCs/>
                <w:szCs w:val="17"/>
                <w:lang w:eastAsia="en-US"/>
              </w:rPr>
            </w:pPr>
          </w:p>
          <w:p w14:paraId="67544A11" w14:textId="6BE0C77D" w:rsidR="00F8189A" w:rsidRPr="00F92447" w:rsidRDefault="00F92447" w:rsidP="00F44089">
            <w:pPr>
              <w:pStyle w:val="ListParagraph"/>
              <w:keepLines/>
              <w:numPr>
                <w:ilvl w:val="0"/>
                <w:numId w:val="42"/>
              </w:numPr>
              <w:spacing w:before="40" w:after="40" w:line="200" w:lineRule="atLeast"/>
              <w:rPr>
                <w:rFonts w:ascii="Franklin Gothic Book" w:eastAsia="Times New Roman" w:hAnsi="Franklin Gothic Book"/>
                <w:iCs/>
                <w:szCs w:val="17"/>
                <w:lang w:eastAsia="en-US"/>
              </w:rPr>
            </w:pPr>
            <w:r w:rsidRPr="00F92447">
              <w:rPr>
                <w:rFonts w:ascii="Franklin Gothic Book" w:eastAsia="Times New Roman" w:hAnsi="Franklin Gothic Book"/>
                <w:iCs/>
                <w:szCs w:val="17"/>
                <w:lang w:eastAsia="en-US"/>
              </w:rPr>
              <w:t>A redu</w:t>
            </w:r>
            <w:r>
              <w:rPr>
                <w:rFonts w:ascii="Franklin Gothic Book" w:eastAsia="Times New Roman" w:hAnsi="Franklin Gothic Book"/>
                <w:iCs/>
                <w:szCs w:val="17"/>
                <w:lang w:eastAsia="en-US"/>
              </w:rPr>
              <w:t>ction from the 2018</w:t>
            </w:r>
            <w:r w:rsidRPr="00F92447">
              <w:rPr>
                <w:rFonts w:ascii="Franklin Gothic Book" w:eastAsia="Times New Roman" w:hAnsi="Franklin Gothic Book"/>
                <w:iCs/>
                <w:szCs w:val="17"/>
                <w:lang w:eastAsia="en-US"/>
              </w:rPr>
              <w:t xml:space="preserve"> outcome of average daily medical consultations from UNRWA health clinics (inferring improved quality consultations rather than a higher volume) as well as better preventative health measures.</w:t>
            </w:r>
          </w:p>
        </w:tc>
        <w:tc>
          <w:tcPr>
            <w:tcW w:w="405" w:type="pct"/>
            <w:tcBorders>
              <w:bottom w:val="single" w:sz="4" w:space="0" w:color="auto"/>
            </w:tcBorders>
            <w:shd w:val="clear" w:color="auto" w:fill="F7AA32"/>
          </w:tcPr>
          <w:p w14:paraId="27AA5055" w14:textId="77777777" w:rsidR="00F8189A" w:rsidRPr="00880004" w:rsidRDefault="00F8189A" w:rsidP="00F8189A">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Partly achieved</w:t>
            </w:r>
          </w:p>
        </w:tc>
        <w:tc>
          <w:tcPr>
            <w:tcW w:w="2626" w:type="pct"/>
            <w:tcBorders>
              <w:bottom w:val="single" w:sz="4" w:space="0" w:color="auto"/>
            </w:tcBorders>
          </w:tcPr>
          <w:p w14:paraId="74CB7E74" w14:textId="48B49B4E" w:rsidR="00B71E4D" w:rsidRDefault="00B71E4D" w:rsidP="00B71E4D">
            <w:pPr>
              <w:pStyle w:val="TableTextEntries"/>
              <w:keepNext/>
              <w:numPr>
                <w:ilvl w:val="0"/>
                <w:numId w:val="44"/>
              </w:numPr>
              <w:rPr>
                <w:rFonts w:cstheme="minorBidi"/>
                <w:color w:val="495965" w:themeColor="text2"/>
                <w:lang w:val="en-GB" w:eastAsia="en-US"/>
              </w:rPr>
            </w:pPr>
            <w:r w:rsidRPr="00F44089">
              <w:rPr>
                <w:rFonts w:cstheme="minorBidi"/>
                <w:color w:val="495965" w:themeColor="text2"/>
                <w:lang w:val="en-GB" w:eastAsia="en-US"/>
              </w:rPr>
              <w:t>UNRWA achieved a decrease in student drop-out rates in its schools in 2018, demonstrating that its strategy of identifying warning signs before students leave school prematurely is resulting in improved educational outcomes.</w:t>
            </w:r>
          </w:p>
          <w:p w14:paraId="53B6E4B7" w14:textId="2A71111B" w:rsidR="00F654C0" w:rsidRDefault="00F654C0" w:rsidP="005C597B">
            <w:pPr>
              <w:pStyle w:val="TableTextEntries"/>
              <w:keepNext/>
              <w:rPr>
                <w:rFonts w:cstheme="minorBidi"/>
                <w:color w:val="495965" w:themeColor="text2"/>
                <w:lang w:val="en-GB" w:eastAsia="en-US"/>
              </w:rPr>
            </w:pPr>
          </w:p>
          <w:p w14:paraId="4EA9FD5E" w14:textId="77777777" w:rsidR="00F654C0" w:rsidRPr="00F44089" w:rsidRDefault="00F654C0" w:rsidP="005C597B">
            <w:pPr>
              <w:pStyle w:val="TableTextEntries"/>
              <w:keepNext/>
              <w:rPr>
                <w:rFonts w:cstheme="minorBidi"/>
                <w:color w:val="495965" w:themeColor="text2"/>
                <w:lang w:val="en-GB" w:eastAsia="en-US"/>
              </w:rPr>
            </w:pPr>
          </w:p>
          <w:p w14:paraId="3DBF2AF7" w14:textId="77777777" w:rsidR="00B71E4D" w:rsidRDefault="00B71E4D" w:rsidP="00B71E4D">
            <w:pPr>
              <w:keepLines/>
              <w:spacing w:before="40" w:after="40" w:line="200" w:lineRule="atLeast"/>
              <w:rPr>
                <w:rFonts w:asciiTheme="minorHAnsi" w:eastAsia="Times New Roman" w:hAnsiTheme="minorHAnsi"/>
                <w:iCs/>
                <w:szCs w:val="17"/>
                <w:lang w:eastAsia="en-US"/>
              </w:rPr>
            </w:pPr>
          </w:p>
          <w:p w14:paraId="68DF2762" w14:textId="53F6C14A" w:rsidR="00F44089" w:rsidRDefault="00F44089" w:rsidP="00B71E4D">
            <w:pPr>
              <w:keepLines/>
              <w:spacing w:before="40" w:after="40" w:line="200" w:lineRule="atLeast"/>
              <w:rPr>
                <w:lang w:eastAsia="en-US"/>
              </w:rPr>
            </w:pPr>
          </w:p>
          <w:p w14:paraId="005D85D7" w14:textId="5E251BD4" w:rsidR="00F44089" w:rsidRDefault="00F44089" w:rsidP="00B71E4D">
            <w:pPr>
              <w:keepLines/>
              <w:spacing w:before="40" w:after="40" w:line="200" w:lineRule="atLeast"/>
              <w:rPr>
                <w:lang w:eastAsia="en-US"/>
              </w:rPr>
            </w:pPr>
          </w:p>
          <w:p w14:paraId="3435E863" w14:textId="77777777" w:rsidR="00F44089" w:rsidRDefault="00F44089" w:rsidP="00B71E4D">
            <w:pPr>
              <w:keepLines/>
              <w:spacing w:before="40" w:after="40" w:line="200" w:lineRule="atLeast"/>
              <w:rPr>
                <w:lang w:eastAsia="en-US"/>
              </w:rPr>
            </w:pPr>
          </w:p>
          <w:p w14:paraId="6F2095ED" w14:textId="77777777" w:rsidR="00F44089" w:rsidRDefault="00F44089" w:rsidP="00B71E4D">
            <w:pPr>
              <w:keepLines/>
              <w:spacing w:before="40" w:after="40" w:line="200" w:lineRule="atLeast"/>
              <w:rPr>
                <w:lang w:eastAsia="en-US"/>
              </w:rPr>
            </w:pPr>
          </w:p>
          <w:p w14:paraId="1A2CC266" w14:textId="4AA274E0" w:rsidR="00B71E4D" w:rsidRPr="00F44089" w:rsidRDefault="00B71E4D" w:rsidP="00F44089">
            <w:pPr>
              <w:pStyle w:val="ListParagraph"/>
              <w:keepLines/>
              <w:numPr>
                <w:ilvl w:val="0"/>
                <w:numId w:val="44"/>
              </w:numPr>
              <w:spacing w:before="40" w:after="40" w:line="200" w:lineRule="atLeast"/>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 xml:space="preserve">In 2018, UNRWA’s performance in the health sector remained strong. </w:t>
            </w:r>
            <w:r w:rsidR="00F44089" w:rsidRPr="00F44089">
              <w:rPr>
                <w:rFonts w:ascii="Franklin Gothic Book" w:eastAsia="Times New Roman" w:hAnsi="Franklin Gothic Book"/>
                <w:iCs/>
                <w:szCs w:val="17"/>
                <w:lang w:eastAsia="en-US"/>
              </w:rPr>
              <w:t>However, the average daily medical consultations per doctor increased slightly against the target (82 consultations, compared</w:t>
            </w:r>
            <w:r w:rsidR="00A31BF1">
              <w:rPr>
                <w:rFonts w:ascii="Franklin Gothic Book" w:eastAsia="Times New Roman" w:hAnsi="Franklin Gothic Book"/>
                <w:iCs/>
                <w:szCs w:val="17"/>
                <w:lang w:eastAsia="en-US"/>
              </w:rPr>
              <w:t xml:space="preserve"> with </w:t>
            </w:r>
            <w:r w:rsidR="00F44089" w:rsidRPr="00F44089">
              <w:rPr>
                <w:rFonts w:ascii="Franklin Gothic Book" w:eastAsia="Times New Roman" w:hAnsi="Franklin Gothic Book"/>
                <w:iCs/>
                <w:szCs w:val="17"/>
                <w:lang w:eastAsia="en-US"/>
              </w:rPr>
              <w:t>o a target of 77.6)</w:t>
            </w:r>
            <w:r w:rsidR="00FA65C3">
              <w:rPr>
                <w:rFonts w:ascii="Franklin Gothic Book" w:eastAsia="Times New Roman" w:hAnsi="Franklin Gothic Book"/>
                <w:iCs/>
                <w:szCs w:val="17"/>
                <w:lang w:eastAsia="en-US"/>
              </w:rPr>
              <w:t xml:space="preserve"> indicating that the objective of increasing time of consultations to enhance quality did not improve</w:t>
            </w:r>
            <w:r w:rsidRPr="00F44089">
              <w:rPr>
                <w:rFonts w:ascii="Franklin Gothic Book" w:eastAsia="Times New Roman" w:hAnsi="Franklin Gothic Book"/>
                <w:iCs/>
                <w:szCs w:val="17"/>
                <w:lang w:eastAsia="en-US"/>
              </w:rPr>
              <w:t>.</w:t>
            </w:r>
            <w:r w:rsidR="00183F50">
              <w:rPr>
                <w:rFonts w:ascii="Franklin Gothic Book" w:eastAsia="Times New Roman" w:hAnsi="Franklin Gothic Book"/>
                <w:iCs/>
                <w:szCs w:val="17"/>
                <w:lang w:eastAsia="en-US"/>
              </w:rPr>
              <w:t xml:space="preserve"> </w:t>
            </w:r>
            <w:r w:rsidR="00BA3DAD">
              <w:rPr>
                <w:rFonts w:ascii="Franklin Gothic Book" w:eastAsia="Times New Roman" w:hAnsi="Franklin Gothic Book"/>
                <w:iCs/>
                <w:szCs w:val="17"/>
                <w:lang w:eastAsia="en-US"/>
              </w:rPr>
              <w:t xml:space="preserve">This is in at least part due to funding shortages which </w:t>
            </w:r>
            <w:r w:rsidR="00FA65C3">
              <w:rPr>
                <w:rFonts w:ascii="Franklin Gothic Book" w:eastAsia="Times New Roman" w:hAnsi="Franklin Gothic Book"/>
                <w:iCs/>
                <w:szCs w:val="17"/>
                <w:lang w:eastAsia="en-US"/>
              </w:rPr>
              <w:t xml:space="preserve">has </w:t>
            </w:r>
            <w:r w:rsidR="00BA3DAD">
              <w:rPr>
                <w:rFonts w:ascii="Franklin Gothic Book" w:eastAsia="Times New Roman" w:hAnsi="Franklin Gothic Book"/>
                <w:iCs/>
                <w:szCs w:val="17"/>
                <w:lang w:eastAsia="en-US"/>
              </w:rPr>
              <w:t xml:space="preserve">led to </w:t>
            </w:r>
            <w:r w:rsidR="00170ABD">
              <w:rPr>
                <w:rFonts w:ascii="Franklin Gothic Book" w:eastAsia="Times New Roman" w:hAnsi="Franklin Gothic Book"/>
                <w:iCs/>
                <w:szCs w:val="17"/>
                <w:lang w:eastAsia="en-US"/>
              </w:rPr>
              <w:t xml:space="preserve">freezes on hiring </w:t>
            </w:r>
            <w:r w:rsidR="00BA3DAD">
              <w:rPr>
                <w:rFonts w:ascii="Franklin Gothic Book" w:eastAsia="Times New Roman" w:hAnsi="Franklin Gothic Book"/>
                <w:iCs/>
                <w:szCs w:val="17"/>
                <w:lang w:eastAsia="en-US"/>
              </w:rPr>
              <w:t xml:space="preserve">staff. </w:t>
            </w:r>
          </w:p>
          <w:p w14:paraId="4BD8A4C5" w14:textId="40E7EB23" w:rsidR="00B71E4D" w:rsidRPr="00085E5F" w:rsidRDefault="00B71E4D" w:rsidP="00F44089">
            <w:pPr>
              <w:keepLines/>
              <w:spacing w:before="40" w:after="40" w:line="200" w:lineRule="atLeast"/>
              <w:rPr>
                <w:rFonts w:asciiTheme="minorHAnsi" w:eastAsia="Times New Roman" w:hAnsiTheme="minorHAnsi"/>
                <w:iCs/>
                <w:color w:val="FF0000"/>
                <w:szCs w:val="17"/>
                <w:lang w:eastAsia="en-US"/>
              </w:rPr>
            </w:pPr>
          </w:p>
        </w:tc>
      </w:tr>
    </w:tbl>
    <w:p w14:paraId="327F8767"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17A3828"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28C94A26"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4D2E51B2"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6229C882" w14:textId="59543D8C" w:rsidR="00BE1BEB" w:rsidRDefault="00BE1BEB" w:rsidP="00184F1E">
      <w:pPr>
        <w:rPr>
          <w:rFonts w:ascii="Franklin Gothic Book" w:eastAsia="Times New Roman" w:hAnsi="Franklin Gothic Book"/>
          <w:b/>
          <w:sz w:val="24"/>
          <w:szCs w:val="24"/>
        </w:rPr>
      </w:pPr>
    </w:p>
    <w:p w14:paraId="0FCA01F9" w14:textId="77777777" w:rsidR="00F44089" w:rsidRDefault="00F44089" w:rsidP="00184F1E">
      <w:pPr>
        <w:rPr>
          <w:rFonts w:ascii="Franklin Gothic Book" w:eastAsia="Times New Roman" w:hAnsi="Franklin Gothic Book"/>
          <w:b/>
          <w:sz w:val="24"/>
          <w:szCs w:val="24"/>
        </w:rPr>
      </w:pPr>
    </w:p>
    <w:p w14:paraId="10BE2B36" w14:textId="240C1BAD" w:rsidR="00184F1E" w:rsidRPr="00F8189A" w:rsidRDefault="00F8189A" w:rsidP="00184F1E">
      <w:pPr>
        <w:rPr>
          <w:rFonts w:eastAsia="Times New Roman" w:cstheme="minorHAnsi"/>
          <w:sz w:val="32"/>
          <w:szCs w:val="32"/>
        </w:rPr>
      </w:pPr>
      <w:r w:rsidRPr="00F8189A">
        <w:rPr>
          <w:rFonts w:eastAsia="Times New Roman" w:cstheme="minorHAnsi"/>
          <w:sz w:val="32"/>
          <w:szCs w:val="32"/>
        </w:rPr>
        <w:t xml:space="preserve">2 </w:t>
      </w:r>
      <w:r w:rsidR="00184F1E" w:rsidRPr="00F8189A">
        <w:rPr>
          <w:rFonts w:eastAsia="Times New Roman" w:cstheme="minorHAnsi"/>
          <w:sz w:val="32"/>
          <w:szCs w:val="32"/>
        </w:rPr>
        <w:t xml:space="preserve">Performance Benchmarks for </w:t>
      </w:r>
      <w:r>
        <w:rPr>
          <w:rFonts w:eastAsia="Times New Roman" w:cstheme="minorHAnsi"/>
          <w:sz w:val="32"/>
          <w:szCs w:val="32"/>
        </w:rPr>
        <w:t>2019-20</w:t>
      </w:r>
    </w:p>
    <w:tbl>
      <w:tblPr>
        <w:tblStyle w:val="DFATTable"/>
        <w:tblW w:w="5000" w:type="pct"/>
        <w:tblBorders>
          <w:top w:val="none" w:sz="0" w:space="0" w:color="auto"/>
          <w:bottom w:val="none" w:sz="0" w:space="0" w:color="auto"/>
        </w:tblBorders>
        <w:tblLook w:val="04A0" w:firstRow="1" w:lastRow="0" w:firstColumn="1" w:lastColumn="0" w:noHBand="0" w:noVBand="1"/>
      </w:tblPr>
      <w:tblGrid>
        <w:gridCol w:w="2242"/>
        <w:gridCol w:w="4225"/>
        <w:gridCol w:w="2240"/>
        <w:gridCol w:w="5328"/>
      </w:tblGrid>
      <w:tr w:rsidR="005B027B" w14:paraId="5E79E8EA" w14:textId="77777777" w:rsidTr="00F44089">
        <w:trPr>
          <w:trHeight w:val="245"/>
        </w:trPr>
        <w:tc>
          <w:tcPr>
            <w:tcW w:w="799" w:type="pct"/>
            <w:tcBorders>
              <w:top w:val="single" w:sz="4" w:space="0" w:color="auto"/>
            </w:tcBorders>
          </w:tcPr>
          <w:p w14:paraId="281F68C5" w14:textId="77777777" w:rsidR="005B027B" w:rsidRPr="00BE6C6D" w:rsidRDefault="005B027B" w:rsidP="00A1707A">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5" w:type="pct"/>
            <w:tcBorders>
              <w:top w:val="single" w:sz="4" w:space="0" w:color="auto"/>
            </w:tcBorders>
          </w:tcPr>
          <w:p w14:paraId="580326A8" w14:textId="77777777" w:rsidR="005B027B" w:rsidRPr="00BE6C6D" w:rsidRDefault="005B027B" w:rsidP="00A1707A">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798" w:type="pct"/>
            <w:tcBorders>
              <w:top w:val="single" w:sz="4" w:space="0" w:color="auto"/>
            </w:tcBorders>
            <w:hideMark/>
          </w:tcPr>
          <w:p w14:paraId="0BEED3C0" w14:textId="3C7064BF" w:rsidR="005B027B" w:rsidRPr="00BE6C6D" w:rsidRDefault="005B027B" w:rsidP="00A1707A">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898" w:type="pct"/>
            <w:tcBorders>
              <w:top w:val="single" w:sz="4" w:space="0" w:color="auto"/>
            </w:tcBorders>
            <w:hideMark/>
          </w:tcPr>
          <w:p w14:paraId="643E229F" w14:textId="2EBE83AA" w:rsidR="005B027B" w:rsidRPr="00BE6C6D" w:rsidRDefault="005B027B" w:rsidP="00A1707A">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F44089" w14:paraId="5D7D2B41" w14:textId="77777777" w:rsidTr="00F44089">
        <w:trPr>
          <w:trHeight w:val="730"/>
        </w:trPr>
        <w:tc>
          <w:tcPr>
            <w:tcW w:w="799" w:type="pct"/>
          </w:tcPr>
          <w:p w14:paraId="48CD52DA" w14:textId="3386A6E4" w:rsidR="00F44089" w:rsidRPr="00F44089" w:rsidRDefault="00F44089" w:rsidP="00F44089">
            <w:pPr>
              <w:pStyle w:val="NormalIndented"/>
              <w:ind w:left="0"/>
              <w:rPr>
                <w:rFonts w:ascii="Franklin Gothic Book" w:eastAsia="Times New Roman" w:hAnsi="Franklin Gothic Book"/>
                <w:iCs/>
                <w:szCs w:val="17"/>
                <w:lang w:eastAsia="en-US"/>
              </w:rPr>
            </w:pPr>
            <w:r w:rsidRPr="00F92447">
              <w:rPr>
                <w:rFonts w:ascii="Franklin Gothic Book" w:eastAsia="Times New Roman" w:hAnsi="Franklin Gothic Book"/>
                <w:iCs/>
                <w:szCs w:val="17"/>
                <w:lang w:eastAsia="en-US"/>
              </w:rPr>
              <w:t>Improved public financial management and a more competitive agricultural economy in the PTs</w:t>
            </w:r>
          </w:p>
        </w:tc>
        <w:tc>
          <w:tcPr>
            <w:tcW w:w="1505" w:type="pct"/>
          </w:tcPr>
          <w:p w14:paraId="02D421C0" w14:textId="77777777" w:rsidR="00F44089"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 xml:space="preserve">The stock of income tax debt is </w:t>
            </w:r>
            <w:r>
              <w:rPr>
                <w:rFonts w:ascii="Franklin Gothic Book" w:eastAsia="Times New Roman" w:hAnsi="Franklin Gothic Book"/>
                <w:iCs/>
                <w:szCs w:val="17"/>
                <w:lang w:eastAsia="en-US"/>
              </w:rPr>
              <w:t>lower in 2019 than it was in October 2018</w:t>
            </w:r>
            <w:r w:rsidRPr="00F44089">
              <w:rPr>
                <w:rFonts w:ascii="Franklin Gothic Book" w:eastAsia="Times New Roman" w:hAnsi="Franklin Gothic Book"/>
                <w:iCs/>
                <w:szCs w:val="17"/>
                <w:lang w:eastAsia="en-US"/>
              </w:rPr>
              <w:t>.</w:t>
            </w:r>
          </w:p>
          <w:p w14:paraId="152CBF11" w14:textId="77777777" w:rsidR="00F44089" w:rsidRDefault="00F44089" w:rsidP="00F44089">
            <w:pPr>
              <w:pStyle w:val="NormalIndented"/>
              <w:ind w:left="0"/>
              <w:rPr>
                <w:rFonts w:ascii="Franklin Gothic Book" w:eastAsia="Times New Roman" w:hAnsi="Franklin Gothic Book"/>
                <w:iCs/>
                <w:szCs w:val="17"/>
                <w:lang w:eastAsia="en-US"/>
              </w:rPr>
            </w:pPr>
          </w:p>
          <w:p w14:paraId="3BAA2C56" w14:textId="77777777" w:rsidR="00A31BF1" w:rsidRDefault="00A31BF1" w:rsidP="00F44089">
            <w:pPr>
              <w:pStyle w:val="NormalIndented"/>
              <w:ind w:left="0"/>
              <w:rPr>
                <w:rFonts w:ascii="Franklin Gothic Book" w:eastAsia="Times New Roman" w:hAnsi="Franklin Gothic Book"/>
                <w:iCs/>
                <w:szCs w:val="17"/>
                <w:lang w:eastAsia="en-US"/>
              </w:rPr>
            </w:pPr>
          </w:p>
          <w:p w14:paraId="13EC53AD" w14:textId="77777777" w:rsidR="00A31BF1" w:rsidRDefault="00A31BF1" w:rsidP="00F44089">
            <w:pPr>
              <w:pStyle w:val="NormalIndented"/>
              <w:ind w:left="0"/>
              <w:rPr>
                <w:rFonts w:ascii="Franklin Gothic Book" w:eastAsia="Times New Roman" w:hAnsi="Franklin Gothic Book"/>
                <w:iCs/>
                <w:szCs w:val="17"/>
                <w:lang w:eastAsia="en-US"/>
              </w:rPr>
            </w:pPr>
          </w:p>
          <w:p w14:paraId="07F055C8" w14:textId="6C52CB98" w:rsidR="00F44089" w:rsidRPr="00F44089"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Farmers report increased income from better functioning value chains supported by AMENCA 3.</w:t>
            </w:r>
          </w:p>
        </w:tc>
        <w:tc>
          <w:tcPr>
            <w:tcW w:w="798" w:type="pct"/>
            <w:tcBorders>
              <w:top w:val="nil"/>
              <w:left w:val="nil"/>
              <w:bottom w:val="nil"/>
              <w:right w:val="nil"/>
            </w:tcBorders>
          </w:tcPr>
          <w:p w14:paraId="2DA76B68" w14:textId="1F64637F" w:rsidR="00F44089" w:rsidRPr="00F44089"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Funding to the activity that contributed to this benchmark has been discontinued</w:t>
            </w:r>
          </w:p>
          <w:p w14:paraId="08BF4EBB" w14:textId="77777777" w:rsidR="006F3A86" w:rsidRDefault="006F3A86" w:rsidP="00F44089">
            <w:pPr>
              <w:pStyle w:val="NormalIndented"/>
              <w:ind w:left="33"/>
              <w:rPr>
                <w:rFonts w:ascii="Franklin Gothic Book" w:eastAsia="Times New Roman" w:hAnsi="Franklin Gothic Book"/>
                <w:iCs/>
                <w:szCs w:val="17"/>
                <w:lang w:eastAsia="en-US"/>
              </w:rPr>
            </w:pPr>
          </w:p>
          <w:p w14:paraId="578B79F1" w14:textId="77777777" w:rsidR="006F3A86" w:rsidRDefault="006F3A86" w:rsidP="00F44089">
            <w:pPr>
              <w:pStyle w:val="NormalIndented"/>
              <w:ind w:left="33"/>
              <w:rPr>
                <w:rFonts w:ascii="Franklin Gothic Book" w:eastAsia="Times New Roman" w:hAnsi="Franklin Gothic Book"/>
                <w:iCs/>
                <w:szCs w:val="17"/>
                <w:lang w:eastAsia="en-US"/>
              </w:rPr>
            </w:pPr>
          </w:p>
          <w:p w14:paraId="4DF4F552" w14:textId="47E5D790" w:rsidR="00F44089" w:rsidRPr="00F44089" w:rsidRDefault="00D56346" w:rsidP="00F44089">
            <w:pPr>
              <w:pStyle w:val="NormalIndented"/>
              <w:ind w:left="33"/>
              <w:rPr>
                <w:rFonts w:ascii="Franklin Gothic Book" w:eastAsia="Times New Roman" w:hAnsi="Franklin Gothic Book"/>
                <w:iCs/>
                <w:szCs w:val="17"/>
                <w:lang w:eastAsia="en-US"/>
              </w:rPr>
            </w:pPr>
            <w:r>
              <w:rPr>
                <w:rFonts w:ascii="Franklin Gothic Book" w:eastAsia="Times New Roman" w:hAnsi="Franklin Gothic Book"/>
                <w:iCs/>
                <w:szCs w:val="17"/>
                <w:lang w:eastAsia="en-US"/>
              </w:rPr>
              <w:t xml:space="preserve">Approximately </w:t>
            </w:r>
            <w:r w:rsidR="00F44089" w:rsidRPr="00F44089">
              <w:rPr>
                <w:rFonts w:ascii="Franklin Gothic Book" w:eastAsia="Times New Roman" w:hAnsi="Franklin Gothic Book"/>
                <w:iCs/>
                <w:szCs w:val="17"/>
                <w:lang w:eastAsia="en-US"/>
              </w:rPr>
              <w:t>7,000 farmers report increased income.</w:t>
            </w:r>
          </w:p>
          <w:p w14:paraId="2A17924E" w14:textId="6799E3E6" w:rsidR="00F44089" w:rsidRPr="00F44089" w:rsidRDefault="00F44089" w:rsidP="00F44089">
            <w:pPr>
              <w:pStyle w:val="NormalIndented"/>
              <w:ind w:left="33"/>
              <w:rPr>
                <w:rFonts w:ascii="Franklin Gothic Book" w:eastAsia="Times New Roman" w:hAnsi="Franklin Gothic Book"/>
                <w:iCs/>
                <w:szCs w:val="17"/>
                <w:lang w:eastAsia="en-US"/>
              </w:rPr>
            </w:pPr>
          </w:p>
        </w:tc>
        <w:tc>
          <w:tcPr>
            <w:tcW w:w="1898" w:type="pct"/>
          </w:tcPr>
          <w:p w14:paraId="6B552A9F" w14:textId="7CA02400" w:rsidR="00F44089" w:rsidRPr="00F44089" w:rsidRDefault="00F44089" w:rsidP="00F44089">
            <w:pPr>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 xml:space="preserve">Funding to the activity that contributed to this benchmark has been discontinued. </w:t>
            </w:r>
            <w:r w:rsidR="006C70E0">
              <w:rPr>
                <w:rFonts w:ascii="Franklin Gothic Book" w:eastAsia="Times New Roman" w:hAnsi="Franklin Gothic Book"/>
                <w:iCs/>
                <w:szCs w:val="17"/>
                <w:lang w:eastAsia="en-US"/>
              </w:rPr>
              <w:t xml:space="preserve"> </w:t>
            </w:r>
          </w:p>
          <w:p w14:paraId="734361F5" w14:textId="77777777" w:rsidR="00F44089" w:rsidRDefault="00F44089" w:rsidP="00F44089">
            <w:pPr>
              <w:rPr>
                <w:rFonts w:ascii="Franklin Gothic Book" w:eastAsia="Times New Roman" w:hAnsi="Franklin Gothic Book"/>
                <w:iCs/>
                <w:szCs w:val="17"/>
                <w:lang w:eastAsia="en-US"/>
              </w:rPr>
            </w:pPr>
          </w:p>
          <w:p w14:paraId="77CA49EA" w14:textId="77777777" w:rsidR="00F44089" w:rsidRDefault="00F44089" w:rsidP="00F44089">
            <w:pPr>
              <w:rPr>
                <w:rFonts w:ascii="Franklin Gothic Book" w:eastAsia="Times New Roman" w:hAnsi="Franklin Gothic Book"/>
                <w:iCs/>
                <w:szCs w:val="17"/>
                <w:lang w:eastAsia="en-US"/>
              </w:rPr>
            </w:pPr>
          </w:p>
          <w:p w14:paraId="7BCC1BB9" w14:textId="77777777" w:rsidR="00F44089" w:rsidRDefault="00F44089" w:rsidP="00F44089">
            <w:pPr>
              <w:rPr>
                <w:rFonts w:ascii="Franklin Gothic Book" w:eastAsia="Times New Roman" w:hAnsi="Franklin Gothic Book"/>
                <w:iCs/>
                <w:szCs w:val="17"/>
                <w:lang w:eastAsia="en-US"/>
              </w:rPr>
            </w:pPr>
          </w:p>
          <w:p w14:paraId="153385BC" w14:textId="64C75737" w:rsidR="00F44089" w:rsidRPr="00F44089" w:rsidRDefault="002A13C0" w:rsidP="00F44089">
            <w:pPr>
              <w:rPr>
                <w:rFonts w:ascii="Franklin Gothic Book" w:eastAsia="Times New Roman" w:hAnsi="Franklin Gothic Book"/>
                <w:iCs/>
                <w:szCs w:val="17"/>
                <w:lang w:eastAsia="en-US"/>
              </w:rPr>
            </w:pPr>
            <w:r>
              <w:rPr>
                <w:rFonts w:ascii="Franklin Gothic Book" w:eastAsia="Times New Roman" w:hAnsi="Franklin Gothic Book"/>
                <w:iCs/>
                <w:szCs w:val="17"/>
                <w:lang w:eastAsia="en-US"/>
              </w:rPr>
              <w:t>Should the</w:t>
            </w:r>
            <w:r w:rsidR="008471A6">
              <w:rPr>
                <w:rFonts w:ascii="Franklin Gothic Book" w:eastAsia="Times New Roman" w:hAnsi="Franklin Gothic Book"/>
                <w:iCs/>
                <w:szCs w:val="17"/>
                <w:lang w:eastAsia="en-US"/>
              </w:rPr>
              <w:t xml:space="preserve"> </w:t>
            </w:r>
            <w:r w:rsidR="00F44089" w:rsidRPr="00F44089">
              <w:rPr>
                <w:rFonts w:ascii="Franklin Gothic Book" w:eastAsia="Times New Roman" w:hAnsi="Franklin Gothic Book"/>
                <w:iCs/>
                <w:szCs w:val="17"/>
                <w:lang w:eastAsia="en-US"/>
              </w:rPr>
              <w:t xml:space="preserve">AMENCA 3 </w:t>
            </w:r>
            <w:r>
              <w:rPr>
                <w:rFonts w:ascii="Franklin Gothic Book" w:eastAsia="Times New Roman" w:hAnsi="Franklin Gothic Book"/>
                <w:iCs/>
                <w:szCs w:val="17"/>
                <w:lang w:eastAsia="en-US"/>
              </w:rPr>
              <w:t>program</w:t>
            </w:r>
            <w:r w:rsidR="00F44089" w:rsidRPr="00F44089">
              <w:rPr>
                <w:rFonts w:ascii="Franklin Gothic Book" w:eastAsia="Times New Roman" w:hAnsi="Franklin Gothic Book"/>
                <w:iCs/>
                <w:szCs w:val="17"/>
                <w:lang w:eastAsia="en-US"/>
              </w:rPr>
              <w:t xml:space="preserve"> continue</w:t>
            </w:r>
            <w:r>
              <w:rPr>
                <w:rFonts w:ascii="Franklin Gothic Book" w:eastAsia="Times New Roman" w:hAnsi="Franklin Gothic Book"/>
                <w:iCs/>
                <w:szCs w:val="17"/>
                <w:lang w:eastAsia="en-US"/>
              </w:rPr>
              <w:t xml:space="preserve">, </w:t>
            </w:r>
            <w:r w:rsidR="008A5EF0">
              <w:rPr>
                <w:rFonts w:ascii="Franklin Gothic Book" w:eastAsia="Times New Roman" w:hAnsi="Franklin Gothic Book"/>
                <w:iCs/>
                <w:szCs w:val="17"/>
                <w:lang w:eastAsia="en-US"/>
              </w:rPr>
              <w:t>we will measure the increased income of farmers from better functioning value chains</w:t>
            </w:r>
            <w:r w:rsidR="006F3A86">
              <w:rPr>
                <w:rFonts w:ascii="Franklin Gothic Book" w:eastAsia="Times New Roman" w:hAnsi="Franklin Gothic Book"/>
                <w:iCs/>
                <w:szCs w:val="17"/>
                <w:lang w:eastAsia="en-US"/>
              </w:rPr>
              <w:t xml:space="preserve"> supported by AMENCA 3.</w:t>
            </w:r>
          </w:p>
          <w:p w14:paraId="65547A19" w14:textId="2BEABE79" w:rsidR="00F44089" w:rsidRPr="00F44089" w:rsidRDefault="00F44089" w:rsidP="00F44089">
            <w:pPr>
              <w:rPr>
                <w:rFonts w:ascii="Franklin Gothic Book" w:eastAsia="Times New Roman" w:hAnsi="Franklin Gothic Book"/>
                <w:iCs/>
                <w:szCs w:val="17"/>
                <w:lang w:eastAsia="en-US"/>
              </w:rPr>
            </w:pPr>
          </w:p>
        </w:tc>
      </w:tr>
      <w:tr w:rsidR="00F44089" w:rsidRPr="00F44089" w14:paraId="260A8DBB" w14:textId="77777777" w:rsidTr="00F44089">
        <w:trPr>
          <w:trHeight w:val="455"/>
        </w:trPr>
        <w:tc>
          <w:tcPr>
            <w:tcW w:w="799" w:type="pct"/>
            <w:tcBorders>
              <w:bottom w:val="single" w:sz="4" w:space="0" w:color="auto"/>
            </w:tcBorders>
          </w:tcPr>
          <w:p w14:paraId="25F141FE" w14:textId="663A5D2E" w:rsidR="00F44089" w:rsidRPr="00F44089" w:rsidRDefault="00F44089" w:rsidP="00F44089">
            <w:pPr>
              <w:pStyle w:val="NormalIndented"/>
              <w:ind w:left="0"/>
              <w:rPr>
                <w:rFonts w:ascii="Franklin Gothic Book" w:eastAsia="Times New Roman" w:hAnsi="Franklin Gothic Book"/>
                <w:iCs/>
                <w:szCs w:val="17"/>
                <w:lang w:eastAsia="en-US"/>
              </w:rPr>
            </w:pPr>
            <w:r w:rsidRPr="00F92447">
              <w:rPr>
                <w:rFonts w:ascii="Franklin Gothic Book" w:eastAsia="Times New Roman" w:hAnsi="Franklin Gothic Book"/>
                <w:iCs/>
                <w:szCs w:val="17"/>
                <w:lang w:eastAsia="en-US"/>
              </w:rPr>
              <w:t>Palestinian refugees in the PTs and across the region are able to access quality basic services</w:t>
            </w:r>
            <w:r w:rsidRPr="00F44089">
              <w:rPr>
                <w:rFonts w:ascii="Franklin Gothic Book" w:eastAsia="Times New Roman" w:hAnsi="Franklin Gothic Book"/>
                <w:iCs/>
                <w:szCs w:val="17"/>
                <w:lang w:eastAsia="en-US"/>
              </w:rPr>
              <w:t xml:space="preserve"> </w:t>
            </w:r>
          </w:p>
        </w:tc>
        <w:tc>
          <w:tcPr>
            <w:tcW w:w="1505" w:type="pct"/>
            <w:tcBorders>
              <w:bottom w:val="single" w:sz="4" w:space="0" w:color="auto"/>
            </w:tcBorders>
          </w:tcPr>
          <w:p w14:paraId="21AC887B" w14:textId="43CBBABA" w:rsidR="00F44089"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 xml:space="preserve">Benchmarks relating to student achievement in mathematics in UNRWA schools were set (and measured) in the 2016-17 APPR.  </w:t>
            </w:r>
            <w:r w:rsidR="008A5EF0">
              <w:rPr>
                <w:rFonts w:ascii="Franklin Gothic Book" w:eastAsia="Times New Roman" w:hAnsi="Franklin Gothic Book"/>
                <w:iCs/>
                <w:szCs w:val="17"/>
                <w:lang w:eastAsia="en-US"/>
              </w:rPr>
              <w:t>A</w:t>
            </w:r>
            <w:r w:rsidR="005C597B">
              <w:rPr>
                <w:rFonts w:ascii="Franklin Gothic Book" w:eastAsia="Times New Roman" w:hAnsi="Franklin Gothic Book"/>
                <w:iCs/>
                <w:szCs w:val="17"/>
                <w:lang w:eastAsia="en-US"/>
              </w:rPr>
              <w:t>s UNRWA</w:t>
            </w:r>
            <w:r w:rsidR="008A5EF0">
              <w:rPr>
                <w:rFonts w:ascii="Franklin Gothic Book" w:eastAsia="Times New Roman" w:hAnsi="Franklin Gothic Book"/>
                <w:iCs/>
                <w:szCs w:val="17"/>
                <w:lang w:eastAsia="en-US"/>
              </w:rPr>
              <w:t xml:space="preserve"> measures these in a </w:t>
            </w:r>
            <w:r w:rsidR="008A5EF0" w:rsidRPr="00996D10">
              <w:rPr>
                <w:rFonts w:ascii="Franklin Gothic Book" w:eastAsia="Times New Roman" w:hAnsi="Franklin Gothic Book"/>
                <w:iCs/>
                <w:szCs w:val="17"/>
                <w:lang w:eastAsia="en-US"/>
              </w:rPr>
              <w:t>stan</w:t>
            </w:r>
            <w:r w:rsidR="008A5EF0">
              <w:rPr>
                <w:rFonts w:ascii="Franklin Gothic Book" w:eastAsia="Times New Roman" w:hAnsi="Franklin Gothic Book"/>
                <w:iCs/>
                <w:szCs w:val="17"/>
                <w:lang w:eastAsia="en-US"/>
              </w:rPr>
              <w:t>dardised manner</w:t>
            </w:r>
            <w:r w:rsidR="008A5EF0" w:rsidRPr="00996D10">
              <w:rPr>
                <w:rFonts w:ascii="Franklin Gothic Book" w:eastAsia="Times New Roman" w:hAnsi="Franklin Gothic Book"/>
                <w:iCs/>
                <w:szCs w:val="17"/>
                <w:lang w:eastAsia="en-US"/>
              </w:rPr>
              <w:t xml:space="preserve"> every three years,</w:t>
            </w:r>
            <w:r w:rsidR="008A5EF0">
              <w:rPr>
                <w:rFonts w:ascii="Franklin Gothic Book" w:eastAsia="Times New Roman" w:hAnsi="Franklin Gothic Book"/>
                <w:iCs/>
                <w:szCs w:val="17"/>
                <w:lang w:eastAsia="en-US"/>
              </w:rPr>
              <w:t xml:space="preserve"> we will measure these again in 2019-20. </w:t>
            </w:r>
          </w:p>
          <w:p w14:paraId="60CDF037" w14:textId="77777777" w:rsidR="00F44089" w:rsidRDefault="00F44089" w:rsidP="00F44089">
            <w:pPr>
              <w:pStyle w:val="NormalIndented"/>
              <w:ind w:left="0"/>
              <w:rPr>
                <w:rFonts w:ascii="Franklin Gothic Book" w:eastAsia="Times New Roman" w:hAnsi="Franklin Gothic Book"/>
                <w:iCs/>
                <w:szCs w:val="17"/>
                <w:lang w:eastAsia="en-US"/>
              </w:rPr>
            </w:pPr>
          </w:p>
          <w:p w14:paraId="337D7DE6" w14:textId="3E4AE814" w:rsidR="00F44089" w:rsidRPr="00F44089"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A redu</w:t>
            </w:r>
            <w:r>
              <w:rPr>
                <w:rFonts w:ascii="Franklin Gothic Book" w:eastAsia="Times New Roman" w:hAnsi="Franklin Gothic Book"/>
                <w:iCs/>
                <w:szCs w:val="17"/>
                <w:lang w:eastAsia="en-US"/>
              </w:rPr>
              <w:t>ction from the 2019</w:t>
            </w:r>
            <w:r w:rsidRPr="00F44089">
              <w:rPr>
                <w:rFonts w:ascii="Franklin Gothic Book" w:eastAsia="Times New Roman" w:hAnsi="Franklin Gothic Book"/>
                <w:iCs/>
                <w:szCs w:val="17"/>
                <w:lang w:eastAsia="en-US"/>
              </w:rPr>
              <w:t xml:space="preserve"> outcome of average daily medical consultations from UNRWA health clinics (inferring improved quality consultations rather than a higher volume) as well as better preventative health measures.</w:t>
            </w:r>
          </w:p>
        </w:tc>
        <w:tc>
          <w:tcPr>
            <w:tcW w:w="798" w:type="pct"/>
            <w:tcBorders>
              <w:bottom w:val="single" w:sz="4" w:space="0" w:color="auto"/>
            </w:tcBorders>
          </w:tcPr>
          <w:p w14:paraId="6947528E" w14:textId="686DF99D" w:rsidR="008A5EF0" w:rsidRPr="008A5EF0" w:rsidRDefault="008A5EF0" w:rsidP="008A5EF0">
            <w:pPr>
              <w:rPr>
                <w:rFonts w:ascii="Franklin Gothic Book" w:eastAsia="Times New Roman" w:hAnsi="Franklin Gothic Book"/>
                <w:iCs/>
                <w:szCs w:val="17"/>
              </w:rPr>
            </w:pPr>
            <w:r w:rsidRPr="008A5EF0">
              <w:rPr>
                <w:rFonts w:ascii="Franklin Gothic Book" w:eastAsia="Times New Roman" w:hAnsi="Franklin Gothic Book"/>
                <w:iCs/>
                <w:szCs w:val="17"/>
              </w:rPr>
              <w:t>UNRWA achieved a decrease in student drop-out rates in its schools in 2018</w:t>
            </w:r>
          </w:p>
          <w:p w14:paraId="50C9E5F3" w14:textId="77777777" w:rsidR="00F44089" w:rsidRPr="00F44089" w:rsidRDefault="00F44089" w:rsidP="00F44089">
            <w:pPr>
              <w:pStyle w:val="NormalIndented"/>
              <w:ind w:left="0"/>
              <w:rPr>
                <w:rFonts w:ascii="Franklin Gothic Book" w:eastAsia="Times New Roman" w:hAnsi="Franklin Gothic Book"/>
                <w:iCs/>
                <w:szCs w:val="17"/>
                <w:lang w:eastAsia="en-US"/>
              </w:rPr>
            </w:pPr>
          </w:p>
          <w:p w14:paraId="17E2E742" w14:textId="77777777" w:rsidR="00F654C0" w:rsidRDefault="00F654C0" w:rsidP="00F44089">
            <w:pPr>
              <w:pStyle w:val="NormalIndented"/>
              <w:ind w:left="0"/>
              <w:rPr>
                <w:rFonts w:ascii="Franklin Gothic Book" w:eastAsia="Times New Roman" w:hAnsi="Franklin Gothic Book"/>
                <w:iCs/>
                <w:szCs w:val="17"/>
                <w:lang w:eastAsia="en-US"/>
              </w:rPr>
            </w:pPr>
          </w:p>
          <w:p w14:paraId="6C878141" w14:textId="23FF656E" w:rsidR="00F44089" w:rsidRPr="00F44089"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A reduction from 2017-18 outcomes.</w:t>
            </w:r>
          </w:p>
          <w:p w14:paraId="7053A51D" w14:textId="548887AC" w:rsidR="00F44089" w:rsidRPr="00F44089" w:rsidRDefault="00F44089" w:rsidP="00F44089">
            <w:pPr>
              <w:pStyle w:val="NormalIndented"/>
              <w:ind w:left="0"/>
              <w:rPr>
                <w:rFonts w:ascii="Franklin Gothic Book" w:eastAsia="Times New Roman" w:hAnsi="Franklin Gothic Book"/>
                <w:iCs/>
                <w:szCs w:val="17"/>
                <w:lang w:eastAsia="en-US"/>
              </w:rPr>
            </w:pPr>
          </w:p>
        </w:tc>
        <w:tc>
          <w:tcPr>
            <w:tcW w:w="1898" w:type="pct"/>
            <w:tcBorders>
              <w:bottom w:val="single" w:sz="4" w:space="0" w:color="auto"/>
            </w:tcBorders>
          </w:tcPr>
          <w:p w14:paraId="587EC917" w14:textId="77777777" w:rsidR="00004CB8"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The number of Grade 4 students in UNRWA schools performing at or above the expected level in mathematics (from 2013 baselines).</w:t>
            </w:r>
          </w:p>
          <w:p w14:paraId="6AF8FD26" w14:textId="77777777" w:rsidR="00004CB8" w:rsidRDefault="00004CB8" w:rsidP="00F44089">
            <w:pPr>
              <w:pStyle w:val="NormalIndented"/>
              <w:ind w:left="0"/>
              <w:rPr>
                <w:rFonts w:ascii="Franklin Gothic Book" w:eastAsia="Times New Roman" w:hAnsi="Franklin Gothic Book"/>
                <w:iCs/>
                <w:szCs w:val="17"/>
                <w:lang w:eastAsia="en-US"/>
              </w:rPr>
            </w:pPr>
          </w:p>
          <w:p w14:paraId="48A5A367" w14:textId="77777777" w:rsidR="00004CB8" w:rsidRDefault="00004CB8" w:rsidP="00F44089">
            <w:pPr>
              <w:pStyle w:val="NormalIndented"/>
              <w:ind w:left="0"/>
              <w:rPr>
                <w:rFonts w:ascii="Franklin Gothic Book" w:eastAsia="Times New Roman" w:hAnsi="Franklin Gothic Book"/>
                <w:iCs/>
                <w:szCs w:val="17"/>
                <w:lang w:eastAsia="en-US"/>
              </w:rPr>
            </w:pPr>
          </w:p>
          <w:p w14:paraId="1A829407" w14:textId="77777777" w:rsidR="00004CB8" w:rsidRDefault="00004CB8" w:rsidP="00F44089">
            <w:pPr>
              <w:pStyle w:val="NormalIndented"/>
              <w:ind w:left="0"/>
              <w:rPr>
                <w:rFonts w:ascii="Franklin Gothic Book" w:eastAsia="Times New Roman" w:hAnsi="Franklin Gothic Book"/>
                <w:iCs/>
                <w:szCs w:val="17"/>
                <w:lang w:eastAsia="en-US"/>
              </w:rPr>
            </w:pPr>
          </w:p>
          <w:p w14:paraId="0D3E8D66" w14:textId="157A93BE" w:rsidR="00F44089" w:rsidRPr="00F44089" w:rsidRDefault="00F44089" w:rsidP="00F44089">
            <w:pPr>
              <w:pStyle w:val="NormalIndented"/>
              <w:ind w:left="0"/>
              <w:rPr>
                <w:rFonts w:ascii="Franklin Gothic Book" w:eastAsia="Times New Roman" w:hAnsi="Franklin Gothic Book"/>
                <w:iCs/>
                <w:szCs w:val="17"/>
                <w:lang w:eastAsia="en-US"/>
              </w:rPr>
            </w:pPr>
            <w:r w:rsidRPr="00F44089">
              <w:rPr>
                <w:rFonts w:ascii="Franklin Gothic Book" w:eastAsia="Times New Roman" w:hAnsi="Franklin Gothic Book"/>
                <w:iCs/>
                <w:szCs w:val="17"/>
                <w:lang w:eastAsia="en-US"/>
              </w:rPr>
              <w:t>A</w:t>
            </w:r>
            <w:r w:rsidR="00C057CD">
              <w:rPr>
                <w:rFonts w:ascii="Franklin Gothic Book" w:eastAsia="Times New Roman" w:hAnsi="Franklin Gothic Book"/>
                <w:iCs/>
                <w:szCs w:val="17"/>
                <w:lang w:eastAsia="en-US"/>
              </w:rPr>
              <w:t>n improvement in the quality of medical services , measured by doctors undertaking fewer (but higher quality) consultations</w:t>
            </w:r>
          </w:p>
          <w:p w14:paraId="53F22B17" w14:textId="15C8D463" w:rsidR="00F44089" w:rsidRPr="00F44089" w:rsidRDefault="00F44089" w:rsidP="00F44089">
            <w:pPr>
              <w:pStyle w:val="NormalIndented"/>
              <w:ind w:left="0"/>
              <w:rPr>
                <w:rFonts w:ascii="Franklin Gothic Book" w:eastAsia="Times New Roman" w:hAnsi="Franklin Gothic Book"/>
                <w:iCs/>
                <w:szCs w:val="17"/>
                <w:lang w:eastAsia="en-US"/>
              </w:rPr>
            </w:pPr>
          </w:p>
        </w:tc>
      </w:tr>
    </w:tbl>
    <w:p w14:paraId="0027CEFC" w14:textId="6BC16E30" w:rsidR="00AF1B85" w:rsidRPr="00EF26B5" w:rsidRDefault="00184F1E" w:rsidP="00BB648A">
      <w:pPr>
        <w:pStyle w:val="Subtitle"/>
        <w:spacing w:before="36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14:paraId="123C5258" w14:textId="4D890578"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1 </w:t>
      </w:r>
      <w:r w:rsidR="00AF1B85" w:rsidRPr="00EF26B5">
        <w:rPr>
          <w:rFonts w:eastAsiaTheme="majorEastAsia" w:cstheme="minorHAnsi"/>
          <w:caps/>
          <w:sz w:val="36"/>
          <w:szCs w:val="36"/>
        </w:rPr>
        <w:t xml:space="preserve">List of evaluations completed in the reporting period </w:t>
      </w:r>
    </w:p>
    <w:tbl>
      <w:tblPr>
        <w:tblStyle w:val="APPR"/>
        <w:tblW w:w="14311" w:type="dxa"/>
        <w:tblBorders>
          <w:top w:val="none" w:sz="0" w:space="0" w:color="auto"/>
          <w:bottom w:val="none" w:sz="0"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14:paraId="10048F22" w14:textId="77777777" w:rsidTr="00F44089">
        <w:trPr>
          <w:cnfStyle w:val="100000000000" w:firstRow="1" w:lastRow="0" w:firstColumn="0" w:lastColumn="0" w:oddVBand="0" w:evenVBand="0" w:oddHBand="0" w:evenHBand="0" w:firstRowFirstColumn="0" w:firstRowLastColumn="0" w:lastRowFirstColumn="0" w:lastRowLastColumn="0"/>
        </w:trPr>
        <w:tc>
          <w:tcPr>
            <w:tcW w:w="3064" w:type="dxa"/>
            <w:tcBorders>
              <w:top w:val="single" w:sz="4" w:space="0" w:color="auto"/>
              <w:bottom w:val="none" w:sz="0" w:space="0" w:color="auto"/>
            </w:tcBorders>
          </w:tcPr>
          <w:p w14:paraId="2F2FC7A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570BE130"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single" w:sz="4" w:space="0" w:color="auto"/>
              <w:bottom w:val="none" w:sz="0" w:space="0" w:color="auto"/>
            </w:tcBorders>
          </w:tcPr>
          <w:p w14:paraId="7DCADA5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single" w:sz="4" w:space="0" w:color="auto"/>
              <w:bottom w:val="none" w:sz="0" w:space="0" w:color="auto"/>
            </w:tcBorders>
          </w:tcPr>
          <w:p w14:paraId="6A26DE4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single" w:sz="4" w:space="0" w:color="auto"/>
              <w:bottom w:val="none" w:sz="0" w:space="0" w:color="auto"/>
            </w:tcBorders>
          </w:tcPr>
          <w:p w14:paraId="702AE75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Date Evaluation report Uploaded into </w:t>
            </w:r>
            <w:proofErr w:type="spellStart"/>
            <w:r w:rsidRPr="00812509">
              <w:rPr>
                <w:rFonts w:asciiTheme="minorHAnsi" w:eastAsia="Times New Roman" w:hAnsiTheme="minorHAnsi"/>
                <w:iCs/>
                <w:szCs w:val="17"/>
                <w:lang w:eastAsia="en-US"/>
              </w:rPr>
              <w:t>AidWorks</w:t>
            </w:r>
            <w:proofErr w:type="spellEnd"/>
          </w:p>
        </w:tc>
        <w:tc>
          <w:tcPr>
            <w:tcW w:w="1671" w:type="dxa"/>
            <w:tcBorders>
              <w:top w:val="single" w:sz="4" w:space="0" w:color="auto"/>
              <w:bottom w:val="none" w:sz="0" w:space="0" w:color="auto"/>
            </w:tcBorders>
          </w:tcPr>
          <w:p w14:paraId="38F9FDB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Date Management response uploaded into </w:t>
            </w:r>
            <w:proofErr w:type="spellStart"/>
            <w:r w:rsidRPr="00812509">
              <w:rPr>
                <w:rFonts w:asciiTheme="minorHAnsi" w:eastAsia="Times New Roman" w:hAnsiTheme="minorHAnsi"/>
                <w:iCs/>
                <w:szCs w:val="17"/>
                <w:lang w:eastAsia="en-US"/>
              </w:rPr>
              <w:t>AidWorks</w:t>
            </w:r>
            <w:proofErr w:type="spellEnd"/>
          </w:p>
        </w:tc>
        <w:tc>
          <w:tcPr>
            <w:tcW w:w="2365" w:type="dxa"/>
            <w:tcBorders>
              <w:top w:val="single" w:sz="4" w:space="0" w:color="auto"/>
              <w:bottom w:val="none" w:sz="0" w:space="0" w:color="auto"/>
            </w:tcBorders>
          </w:tcPr>
          <w:p w14:paraId="69878BA1"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7C909DEB" w14:textId="77777777" w:rsidTr="00F44089">
        <w:trPr>
          <w:cnfStyle w:val="100000000000" w:firstRow="1" w:lastRow="0" w:firstColumn="0" w:lastColumn="0" w:oddVBand="0" w:evenVBand="0" w:oddHBand="0" w:evenHBand="0" w:firstRowFirstColumn="0" w:firstRowLastColumn="0" w:lastRowFirstColumn="0" w:lastRowLastColumn="0"/>
        </w:trPr>
        <w:tc>
          <w:tcPr>
            <w:tcW w:w="3064" w:type="dxa"/>
            <w:tcBorders>
              <w:bottom w:val="single" w:sz="4" w:space="0" w:color="auto"/>
            </w:tcBorders>
          </w:tcPr>
          <w:p w14:paraId="19F3D78E" w14:textId="1795729A" w:rsidR="00AF1B85" w:rsidRPr="00F44089" w:rsidRDefault="002D6929"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INL608</w:t>
            </w:r>
          </w:p>
        </w:tc>
        <w:tc>
          <w:tcPr>
            <w:tcW w:w="3665" w:type="dxa"/>
            <w:tcBorders>
              <w:bottom w:val="single" w:sz="4" w:space="0" w:color="auto"/>
            </w:tcBorders>
          </w:tcPr>
          <w:p w14:paraId="3AA13203" w14:textId="2BACF886" w:rsidR="00AF1B85" w:rsidRPr="00F44089" w:rsidRDefault="00BA3DAD"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 xml:space="preserve">Independent </w:t>
            </w:r>
            <w:r w:rsidR="002D6929">
              <w:rPr>
                <w:rFonts w:asciiTheme="minorHAnsi" w:eastAsia="Times New Roman" w:hAnsiTheme="minorHAnsi"/>
                <w:b w:val="0"/>
                <w:iCs/>
                <w:color w:val="auto"/>
                <w:szCs w:val="17"/>
                <w:lang w:eastAsia="en-US"/>
              </w:rPr>
              <w:t>AMENCA 3 Mid-Term Review</w:t>
            </w:r>
            <w:r w:rsidR="002D6929" w:rsidRPr="00F44089">
              <w:rPr>
                <w:rFonts w:asciiTheme="minorHAnsi" w:eastAsia="Times New Roman" w:hAnsiTheme="minorHAnsi"/>
                <w:b w:val="0"/>
                <w:iCs/>
                <w:color w:val="auto"/>
                <w:szCs w:val="17"/>
                <w:lang w:eastAsia="en-US"/>
              </w:rPr>
              <w:t xml:space="preserve"> </w:t>
            </w:r>
          </w:p>
        </w:tc>
        <w:tc>
          <w:tcPr>
            <w:tcW w:w="1397" w:type="dxa"/>
            <w:tcBorders>
              <w:bottom w:val="single" w:sz="4" w:space="0" w:color="auto"/>
            </w:tcBorders>
          </w:tcPr>
          <w:p w14:paraId="5508653F" w14:textId="27B851AD" w:rsidR="00AF1B85" w:rsidRPr="00F44089" w:rsidRDefault="006130E8"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10</w:t>
            </w:r>
            <w:r w:rsidR="002D6929">
              <w:rPr>
                <w:rFonts w:asciiTheme="minorHAnsi" w:eastAsia="Times New Roman" w:hAnsiTheme="minorHAnsi"/>
                <w:b w:val="0"/>
                <w:iCs/>
                <w:color w:val="auto"/>
                <w:szCs w:val="17"/>
                <w:lang w:eastAsia="en-US"/>
              </w:rPr>
              <w:t>/07/2019</w:t>
            </w:r>
          </w:p>
        </w:tc>
        <w:tc>
          <w:tcPr>
            <w:tcW w:w="1953" w:type="dxa"/>
            <w:tcBorders>
              <w:bottom w:val="single" w:sz="4" w:space="0" w:color="auto"/>
            </w:tcBorders>
          </w:tcPr>
          <w:p w14:paraId="3E20F8A7" w14:textId="0CAAC528" w:rsidR="00AF1B85" w:rsidRPr="00F44089" w:rsidRDefault="00AA56A8" w:rsidP="00AA56A8">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TBC</w:t>
            </w:r>
          </w:p>
        </w:tc>
        <w:tc>
          <w:tcPr>
            <w:tcW w:w="1671" w:type="dxa"/>
            <w:tcBorders>
              <w:bottom w:val="single" w:sz="4" w:space="0" w:color="auto"/>
            </w:tcBorders>
          </w:tcPr>
          <w:p w14:paraId="11F0058C" w14:textId="589B97DF" w:rsidR="00AF1B85" w:rsidRPr="00F44089" w:rsidRDefault="00AA56A8" w:rsidP="00D6147B">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TBC</w:t>
            </w:r>
          </w:p>
        </w:tc>
        <w:tc>
          <w:tcPr>
            <w:tcW w:w="2365" w:type="dxa"/>
            <w:tcBorders>
              <w:bottom w:val="single" w:sz="4" w:space="0" w:color="auto"/>
            </w:tcBorders>
          </w:tcPr>
          <w:p w14:paraId="40118E65" w14:textId="3ABD7363" w:rsidR="00AF1B85" w:rsidRPr="00F44089" w:rsidRDefault="00AA56A8" w:rsidP="00AA56A8">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TBC</w:t>
            </w:r>
          </w:p>
        </w:tc>
      </w:tr>
    </w:tbl>
    <w:p w14:paraId="5307296B" w14:textId="4CC4A70A"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2 </w:t>
      </w:r>
      <w:r w:rsidR="00AF1B85" w:rsidRPr="00EF26B5">
        <w:rPr>
          <w:rFonts w:eastAsiaTheme="majorEastAsia" w:cstheme="minorHAnsi"/>
          <w:caps/>
          <w:sz w:val="36"/>
          <w:szCs w:val="36"/>
        </w:rPr>
        <w:t xml:space="preserve">List of program prioritised evaluations planned for the next 12 months </w:t>
      </w:r>
    </w:p>
    <w:tbl>
      <w:tblPr>
        <w:tblStyle w:val="APPR"/>
        <w:tblW w:w="14311" w:type="dxa"/>
        <w:tblBorders>
          <w:top w:val="none" w:sz="0" w:space="0" w:color="auto"/>
          <w:bottom w:val="none" w:sz="0" w:space="0" w:color="auto"/>
        </w:tblBorders>
        <w:tblLook w:val="0600" w:firstRow="0" w:lastRow="0" w:firstColumn="0" w:lastColumn="0" w:noHBand="1" w:noVBand="1"/>
      </w:tblPr>
      <w:tblGrid>
        <w:gridCol w:w="2486"/>
        <w:gridCol w:w="1909"/>
        <w:gridCol w:w="1559"/>
        <w:gridCol w:w="1843"/>
        <w:gridCol w:w="3732"/>
        <w:gridCol w:w="2782"/>
      </w:tblGrid>
      <w:tr w:rsidR="00AF1B85" w:rsidRPr="00C61187" w14:paraId="17367D7C" w14:textId="77777777" w:rsidTr="008C1957">
        <w:tc>
          <w:tcPr>
            <w:tcW w:w="2444" w:type="dxa"/>
            <w:tcBorders>
              <w:top w:val="single" w:sz="4" w:space="0" w:color="auto"/>
            </w:tcBorders>
          </w:tcPr>
          <w:p w14:paraId="54CCE12F"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1881" w:type="dxa"/>
            <w:tcBorders>
              <w:top w:val="single" w:sz="4" w:space="0" w:color="auto"/>
            </w:tcBorders>
          </w:tcPr>
          <w:p w14:paraId="52E7B6D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1531" w:type="dxa"/>
            <w:tcBorders>
              <w:top w:val="single" w:sz="4" w:space="0" w:color="auto"/>
            </w:tcBorders>
          </w:tcPr>
          <w:p w14:paraId="1E5D5B9A"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1815" w:type="dxa"/>
            <w:tcBorders>
              <w:top w:val="single" w:sz="4" w:space="0" w:color="auto"/>
            </w:tcBorders>
          </w:tcPr>
          <w:p w14:paraId="7E8FD718"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3704" w:type="dxa"/>
            <w:tcBorders>
              <w:top w:val="single" w:sz="4" w:space="0" w:color="auto"/>
            </w:tcBorders>
          </w:tcPr>
          <w:p w14:paraId="6F3B9DBD"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Borders>
              <w:top w:val="single" w:sz="4" w:space="0" w:color="auto"/>
            </w:tcBorders>
          </w:tcPr>
          <w:p w14:paraId="5D1F5CC3"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2CE5EECC" w14:textId="77777777" w:rsidTr="008C1957">
        <w:tc>
          <w:tcPr>
            <w:tcW w:w="2444" w:type="dxa"/>
          </w:tcPr>
          <w:p w14:paraId="2078ACF4" w14:textId="0767403C" w:rsidR="00AF1B85" w:rsidRPr="00D50D60" w:rsidRDefault="006130E8" w:rsidP="00F937EC">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Palestinian Territories Aid  Review</w:t>
            </w:r>
            <w:r w:rsidR="00AF1B85" w:rsidRPr="00D50D60">
              <w:rPr>
                <w:rFonts w:eastAsia="Times New Roman"/>
                <w:iCs/>
                <w:color w:val="auto"/>
                <w:szCs w:val="17"/>
              </w:rPr>
              <w:t xml:space="preserve"> </w:t>
            </w:r>
          </w:p>
        </w:tc>
        <w:tc>
          <w:tcPr>
            <w:tcW w:w="1881" w:type="dxa"/>
          </w:tcPr>
          <w:p w14:paraId="39DAA1C1" w14:textId="1D9B536C" w:rsidR="00AF1B85" w:rsidRPr="00D50D60" w:rsidRDefault="006130E8" w:rsidP="00D15A00">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N/A</w:t>
            </w:r>
          </w:p>
        </w:tc>
        <w:tc>
          <w:tcPr>
            <w:tcW w:w="1531" w:type="dxa"/>
          </w:tcPr>
          <w:p w14:paraId="137C46DA" w14:textId="1F17F865" w:rsidR="00AF1B85" w:rsidRPr="00D50D60" w:rsidRDefault="00F937EC" w:rsidP="00D15A00">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06</w:t>
            </w:r>
            <w:r w:rsidR="006130E8" w:rsidRPr="00D50D60">
              <w:rPr>
                <w:rFonts w:eastAsia="Times New Roman"/>
                <w:iCs/>
                <w:color w:val="auto"/>
                <w:szCs w:val="17"/>
              </w:rPr>
              <w:t>/2019</w:t>
            </w:r>
          </w:p>
        </w:tc>
        <w:tc>
          <w:tcPr>
            <w:tcW w:w="1815" w:type="dxa"/>
          </w:tcPr>
          <w:p w14:paraId="21B6D597" w14:textId="75A0EFD0" w:rsidR="00AF1B85" w:rsidRPr="00D50D60" w:rsidRDefault="006130E8" w:rsidP="00D15A00">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1</w:t>
            </w:r>
            <w:r w:rsidR="00F937EC" w:rsidRPr="00D50D60">
              <w:rPr>
                <w:rFonts w:eastAsia="Times New Roman"/>
                <w:iCs/>
                <w:color w:val="auto"/>
                <w:szCs w:val="17"/>
              </w:rPr>
              <w:t>0</w:t>
            </w:r>
            <w:r w:rsidRPr="00D50D60">
              <w:rPr>
                <w:rFonts w:eastAsia="Times New Roman"/>
                <w:iCs/>
                <w:color w:val="auto"/>
                <w:szCs w:val="17"/>
              </w:rPr>
              <w:t>/2019</w:t>
            </w:r>
          </w:p>
        </w:tc>
        <w:tc>
          <w:tcPr>
            <w:tcW w:w="3704" w:type="dxa"/>
          </w:tcPr>
          <w:p w14:paraId="45867A13" w14:textId="2EA78E56" w:rsidR="00F937EC" w:rsidRPr="00D50D60" w:rsidRDefault="00F937EC" w:rsidP="00F937EC">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Assess the PTs aid program, including lessons learned and recommendations for a future program</w:t>
            </w:r>
          </w:p>
          <w:p w14:paraId="53060D82" w14:textId="2320714E" w:rsidR="00F937EC" w:rsidRPr="00D50D60" w:rsidRDefault="00F937EC" w:rsidP="00F937EC">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 xml:space="preserve">- </w:t>
            </w:r>
            <w:r w:rsidR="000930B2">
              <w:rPr>
                <w:rFonts w:eastAsia="Times New Roman"/>
                <w:iCs/>
                <w:color w:val="auto"/>
                <w:szCs w:val="17"/>
              </w:rPr>
              <w:t>i</w:t>
            </w:r>
            <w:r w:rsidRPr="00D50D60">
              <w:rPr>
                <w:rFonts w:eastAsia="Times New Roman"/>
                <w:iCs/>
                <w:color w:val="auto"/>
                <w:szCs w:val="17"/>
              </w:rPr>
              <w:t>dentify trends that are likely to continue, including development and governance issues</w:t>
            </w:r>
          </w:p>
          <w:p w14:paraId="2A410F91" w14:textId="77777777" w:rsidR="00F937EC" w:rsidRPr="00D50D60" w:rsidRDefault="00F937EC" w:rsidP="00F937EC">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 consider the effectiveness, efficiency and relevance of current investments, and make recommendations for future investments which could have a bigger impact</w:t>
            </w:r>
          </w:p>
          <w:p w14:paraId="67E2E11D" w14:textId="7E2F9DB6" w:rsidR="00AF1B85" w:rsidRPr="00D50D60" w:rsidRDefault="00AF1B85" w:rsidP="006130E8">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 xml:space="preserve"> </w:t>
            </w:r>
          </w:p>
        </w:tc>
        <w:tc>
          <w:tcPr>
            <w:tcW w:w="2740" w:type="dxa"/>
          </w:tcPr>
          <w:p w14:paraId="2957EB2D" w14:textId="1A295D89" w:rsidR="00AF1B85" w:rsidRPr="00D50D60" w:rsidRDefault="00AF1B85" w:rsidP="00BA3DAD">
            <w:pPr>
              <w:keepLines/>
              <w:spacing w:before="40" w:after="40" w:line="200" w:lineRule="atLeast"/>
              <w:rPr>
                <w:rFonts w:asciiTheme="minorHAnsi" w:eastAsia="Times New Roman" w:hAnsiTheme="minorHAnsi"/>
                <w:iCs/>
                <w:color w:val="auto"/>
                <w:szCs w:val="17"/>
                <w:lang w:eastAsia="en-US"/>
              </w:rPr>
            </w:pPr>
            <w:r w:rsidRPr="00D50D60">
              <w:rPr>
                <w:rFonts w:eastAsia="Times New Roman"/>
                <w:iCs/>
                <w:color w:val="auto"/>
                <w:szCs w:val="17"/>
              </w:rPr>
              <w:t xml:space="preserve">-  </w:t>
            </w:r>
            <w:r w:rsidR="00D50D60" w:rsidRPr="00D50D60">
              <w:rPr>
                <w:rFonts w:eastAsia="Times New Roman"/>
                <w:iCs/>
                <w:color w:val="auto"/>
                <w:szCs w:val="17"/>
              </w:rPr>
              <w:t>Independent</w:t>
            </w:r>
            <w:r w:rsidRPr="00D50D60">
              <w:rPr>
                <w:rFonts w:eastAsia="Times New Roman"/>
                <w:iCs/>
                <w:color w:val="auto"/>
                <w:szCs w:val="17"/>
              </w:rPr>
              <w:t xml:space="preserve"> </w:t>
            </w:r>
            <w:r w:rsidR="00F937EC" w:rsidRPr="00D50D60">
              <w:rPr>
                <w:rFonts w:eastAsia="Times New Roman"/>
                <w:iCs/>
                <w:color w:val="auto"/>
                <w:szCs w:val="17"/>
              </w:rPr>
              <w:t>consultant</w:t>
            </w:r>
          </w:p>
        </w:tc>
      </w:tr>
      <w:tr w:rsidR="006130E8" w:rsidRPr="00C61187" w14:paraId="481B987D" w14:textId="77777777" w:rsidTr="008C1957">
        <w:tc>
          <w:tcPr>
            <w:tcW w:w="2444" w:type="dxa"/>
            <w:tcBorders>
              <w:bottom w:val="single" w:sz="4" w:space="0" w:color="auto"/>
            </w:tcBorders>
          </w:tcPr>
          <w:p w14:paraId="4486DE5D" w14:textId="35BC715F" w:rsidR="006130E8" w:rsidRPr="006130E8" w:rsidRDefault="006130E8" w:rsidP="00D15A00">
            <w:pPr>
              <w:keepLines/>
              <w:spacing w:before="40" w:after="40" w:line="200" w:lineRule="atLeast"/>
              <w:rPr>
                <w:rFonts w:asciiTheme="minorHAnsi" w:eastAsia="Times New Roman" w:hAnsiTheme="minorHAnsi"/>
                <w:iCs/>
                <w:color w:val="auto"/>
                <w:szCs w:val="17"/>
                <w:lang w:eastAsia="en-US"/>
              </w:rPr>
            </w:pPr>
          </w:p>
        </w:tc>
        <w:tc>
          <w:tcPr>
            <w:tcW w:w="1881" w:type="dxa"/>
            <w:tcBorders>
              <w:bottom w:val="single" w:sz="4" w:space="0" w:color="auto"/>
            </w:tcBorders>
          </w:tcPr>
          <w:p w14:paraId="050D7C11" w14:textId="19561E68" w:rsidR="006130E8" w:rsidRPr="006130E8" w:rsidRDefault="006130E8" w:rsidP="00D15A00">
            <w:pPr>
              <w:keepLines/>
              <w:spacing w:before="40" w:after="40" w:line="200" w:lineRule="atLeast"/>
              <w:rPr>
                <w:rFonts w:asciiTheme="minorHAnsi" w:eastAsia="Times New Roman" w:hAnsiTheme="minorHAnsi"/>
                <w:iCs/>
                <w:color w:val="auto"/>
                <w:szCs w:val="17"/>
                <w:lang w:eastAsia="en-US"/>
              </w:rPr>
            </w:pPr>
          </w:p>
        </w:tc>
        <w:tc>
          <w:tcPr>
            <w:tcW w:w="1531" w:type="dxa"/>
            <w:tcBorders>
              <w:bottom w:val="single" w:sz="4" w:space="0" w:color="auto"/>
            </w:tcBorders>
          </w:tcPr>
          <w:p w14:paraId="715D4953" w14:textId="17D94DE8" w:rsidR="006130E8" w:rsidRPr="006130E8" w:rsidRDefault="006130E8" w:rsidP="00D15A00">
            <w:pPr>
              <w:keepLines/>
              <w:spacing w:before="40" w:after="40" w:line="200" w:lineRule="atLeast"/>
              <w:rPr>
                <w:rFonts w:asciiTheme="minorHAnsi" w:eastAsia="Times New Roman" w:hAnsiTheme="minorHAnsi"/>
                <w:iCs/>
                <w:color w:val="auto"/>
                <w:szCs w:val="17"/>
                <w:lang w:eastAsia="en-US"/>
              </w:rPr>
            </w:pPr>
          </w:p>
        </w:tc>
        <w:tc>
          <w:tcPr>
            <w:tcW w:w="1815" w:type="dxa"/>
            <w:tcBorders>
              <w:bottom w:val="single" w:sz="4" w:space="0" w:color="auto"/>
            </w:tcBorders>
          </w:tcPr>
          <w:p w14:paraId="22D2FB5A" w14:textId="068E73C2" w:rsidR="006130E8" w:rsidRPr="006130E8" w:rsidRDefault="006130E8" w:rsidP="00D15A00">
            <w:pPr>
              <w:keepLines/>
              <w:spacing w:before="40" w:after="40" w:line="200" w:lineRule="atLeast"/>
              <w:rPr>
                <w:rFonts w:asciiTheme="minorHAnsi" w:eastAsia="Times New Roman" w:hAnsiTheme="minorHAnsi"/>
                <w:iCs/>
                <w:color w:val="auto"/>
                <w:szCs w:val="17"/>
                <w:lang w:eastAsia="en-US"/>
              </w:rPr>
            </w:pPr>
          </w:p>
        </w:tc>
        <w:tc>
          <w:tcPr>
            <w:tcW w:w="3704" w:type="dxa"/>
            <w:tcBorders>
              <w:bottom w:val="single" w:sz="4" w:space="0" w:color="auto"/>
            </w:tcBorders>
          </w:tcPr>
          <w:p w14:paraId="13016B76" w14:textId="51830BCB" w:rsidR="006130E8" w:rsidRPr="006130E8" w:rsidRDefault="006130E8" w:rsidP="00D15A00">
            <w:pPr>
              <w:keepLines/>
              <w:spacing w:before="40" w:after="40" w:line="200" w:lineRule="atLeast"/>
              <w:rPr>
                <w:rFonts w:asciiTheme="minorHAnsi" w:eastAsia="Times New Roman" w:hAnsiTheme="minorHAnsi"/>
                <w:iCs/>
                <w:color w:val="auto"/>
                <w:szCs w:val="17"/>
                <w:lang w:eastAsia="en-US"/>
              </w:rPr>
            </w:pPr>
          </w:p>
        </w:tc>
        <w:tc>
          <w:tcPr>
            <w:tcW w:w="2740" w:type="dxa"/>
            <w:tcBorders>
              <w:bottom w:val="single" w:sz="4" w:space="0" w:color="auto"/>
            </w:tcBorders>
          </w:tcPr>
          <w:p w14:paraId="38845773" w14:textId="316AE691" w:rsidR="006130E8" w:rsidRPr="006130E8" w:rsidRDefault="006130E8" w:rsidP="006130E8">
            <w:pPr>
              <w:keepLines/>
              <w:spacing w:before="40" w:after="40" w:line="200" w:lineRule="atLeast"/>
              <w:rPr>
                <w:rFonts w:asciiTheme="minorHAnsi" w:eastAsia="Times New Roman" w:hAnsiTheme="minorHAnsi"/>
                <w:iCs/>
                <w:color w:val="auto"/>
                <w:szCs w:val="17"/>
                <w:lang w:eastAsia="en-US"/>
              </w:rPr>
            </w:pPr>
          </w:p>
        </w:tc>
      </w:tr>
    </w:tbl>
    <w:p w14:paraId="0C06CC99" w14:textId="77777777" w:rsidR="0059146A" w:rsidRPr="0059146A" w:rsidRDefault="0059146A" w:rsidP="005B5769">
      <w:pPr>
        <w:pStyle w:val="ListBullet"/>
        <w:tabs>
          <w:tab w:val="clear" w:pos="284"/>
        </w:tabs>
      </w:pPr>
    </w:p>
    <w:p w14:paraId="7BE3BDCE" w14:textId="77777777" w:rsidR="0059146A" w:rsidRDefault="0059146A" w:rsidP="005B5769">
      <w:pPr>
        <w:pStyle w:val="ListBullet"/>
        <w:tabs>
          <w:tab w:val="clear" w:pos="284"/>
        </w:tabs>
      </w:pPr>
    </w:p>
    <w:p w14:paraId="5F8006D8" w14:textId="77777777" w:rsidR="005E606B" w:rsidRDefault="005E606B" w:rsidP="005B5769">
      <w:pPr>
        <w:pStyle w:val="ListBullet"/>
        <w:tabs>
          <w:tab w:val="clear" w:pos="284"/>
        </w:tabs>
        <w:sectPr w:rsidR="005E606B" w:rsidSect="00CA50EF">
          <w:headerReference w:type="default" r:id="rId31"/>
          <w:headerReference w:type="first" r:id="rId32"/>
          <w:pgSz w:w="16838" w:h="11906" w:orient="landscape" w:code="9"/>
          <w:pgMar w:top="1134" w:right="1952" w:bottom="1134" w:left="851" w:header="1107" w:footer="567" w:gutter="0"/>
          <w:cols w:space="397"/>
          <w:docGrid w:linePitch="360"/>
        </w:sectPr>
      </w:pPr>
    </w:p>
    <w:p w14:paraId="4D938075" w14:textId="77777777" w:rsidR="0059146A" w:rsidRDefault="0059146A" w:rsidP="005B5769">
      <w:pPr>
        <w:pStyle w:val="ListBullet"/>
        <w:tabs>
          <w:tab w:val="clear" w:pos="284"/>
        </w:tabs>
      </w:pPr>
    </w:p>
    <w:p w14:paraId="2EB3E93D" w14:textId="77777777"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14:paraId="47078FBE" w14:textId="20B5C500" w:rsidR="005E606B" w:rsidRPr="00EF26B5" w:rsidRDefault="00212FB7" w:rsidP="00A8197B">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 xml:space="preserve">1 </w:t>
      </w:r>
      <w:r w:rsidR="005E606B" w:rsidRPr="00EF26B5">
        <w:rPr>
          <w:rFonts w:asciiTheme="minorHAnsi" w:eastAsiaTheme="majorEastAsia" w:hAnsiTheme="minorHAnsi" w:cstheme="minorHAnsi"/>
          <w:caps/>
          <w:color w:val="495965" w:themeColor="text2"/>
          <w:sz w:val="36"/>
          <w:szCs w:val="36"/>
          <w:lang w:val="en-GB" w:eastAsia="en-US"/>
        </w:rPr>
        <w:t>AQC ratings</w:t>
      </w:r>
    </w:p>
    <w:tbl>
      <w:tblPr>
        <w:tblStyle w:val="AP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0"/>
        <w:gridCol w:w="789"/>
        <w:gridCol w:w="619"/>
        <w:gridCol w:w="619"/>
        <w:gridCol w:w="618"/>
        <w:gridCol w:w="618"/>
        <w:gridCol w:w="618"/>
        <w:gridCol w:w="695"/>
        <w:gridCol w:w="707"/>
        <w:gridCol w:w="849"/>
      </w:tblGrid>
      <w:tr w:rsidR="00CA50EF" w:rsidRPr="00C61187" w14:paraId="524801CB" w14:textId="77777777" w:rsidTr="002C6FAB">
        <w:trPr>
          <w:cnfStyle w:val="000000010000" w:firstRow="0" w:lastRow="0" w:firstColumn="0" w:lastColumn="0" w:oddVBand="0" w:evenVBand="0" w:oddHBand="0" w:evenHBand="1" w:firstRowFirstColumn="0" w:firstRowLastColumn="0" w:lastRowFirstColumn="0" w:lastRowLastColumn="0"/>
          <w:trHeight w:val="1413"/>
        </w:trPr>
        <w:tc>
          <w:tcPr>
            <w:tcW w:w="1593" w:type="pct"/>
          </w:tcPr>
          <w:p w14:paraId="267A39FA"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256A7D01" wp14:editId="014A5DAB">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419" w:type="pct"/>
            <w:textDirection w:val="btLr"/>
          </w:tcPr>
          <w:p w14:paraId="3A0EE67D"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26" w:type="pct"/>
            <w:textDirection w:val="btLr"/>
          </w:tcPr>
          <w:p w14:paraId="68AD2BDD"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26" w:type="pct"/>
            <w:textDirection w:val="btLr"/>
          </w:tcPr>
          <w:p w14:paraId="5678B10C"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6" w:type="pct"/>
            <w:textDirection w:val="btLr"/>
          </w:tcPr>
          <w:p w14:paraId="6F2D0B8C"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6" w:type="pct"/>
            <w:textDirection w:val="btLr"/>
          </w:tcPr>
          <w:p w14:paraId="2E20F32B"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26" w:type="pct"/>
            <w:textDirection w:val="btLr"/>
          </w:tcPr>
          <w:p w14:paraId="411D9575"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68" w:type="pct"/>
            <w:textDirection w:val="btLr"/>
          </w:tcPr>
          <w:p w14:paraId="26FB855E"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75" w:type="pct"/>
            <w:textDirection w:val="btLr"/>
          </w:tcPr>
          <w:p w14:paraId="1A383527"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45" w:type="pct"/>
            <w:textDirection w:val="btLr"/>
          </w:tcPr>
          <w:p w14:paraId="795BD003"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CA50EF" w:rsidRPr="00C61187" w14:paraId="1E807E6A" w14:textId="77777777" w:rsidTr="002C6FAB">
        <w:trPr>
          <w:cnfStyle w:val="000000010000" w:firstRow="0" w:lastRow="0" w:firstColumn="0" w:lastColumn="0" w:oddVBand="0" w:evenVBand="0" w:oddHBand="0" w:evenHBand="1" w:firstRowFirstColumn="0" w:firstRowLastColumn="0" w:lastRowFirstColumn="0" w:lastRowLastColumn="0"/>
          <w:trHeight w:val="284"/>
        </w:trPr>
        <w:tc>
          <w:tcPr>
            <w:tcW w:w="1593" w:type="pct"/>
            <w:vMerge w:val="restart"/>
          </w:tcPr>
          <w:p w14:paraId="2F79A895" w14:textId="5B23CE05" w:rsidR="00CA50EF" w:rsidRPr="00812509" w:rsidRDefault="00CA50EF" w:rsidP="00CA50E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INL606: Palestinian Farmers Connecting to Market (AMENCA 3)</w:t>
            </w:r>
          </w:p>
        </w:tc>
        <w:tc>
          <w:tcPr>
            <w:tcW w:w="419" w:type="pct"/>
            <w:vMerge w:val="restart"/>
          </w:tcPr>
          <w:p w14:paraId="69451BD1" w14:textId="3FE40A87" w:rsidR="00CA50EF" w:rsidRPr="00812509" w:rsidRDefault="00CA50EF" w:rsidP="00CA50EF">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$26</w:t>
            </w:r>
            <w:r w:rsidRPr="00812509">
              <w:rPr>
                <w:rFonts w:asciiTheme="minorHAnsi" w:hAnsiTheme="minorHAnsi" w:cs="Franklin Gothic Book"/>
                <w:color w:val="000000"/>
                <w:szCs w:val="17"/>
              </w:rPr>
              <w:t xml:space="preserve">m </w:t>
            </w:r>
          </w:p>
          <w:p w14:paraId="1B4909E7" w14:textId="212D06F4" w:rsidR="00CA50EF" w:rsidRPr="00812509" w:rsidRDefault="00CA50EF" w:rsidP="00CA50E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6-20</w:t>
            </w:r>
            <w:r w:rsidRPr="00812509">
              <w:rPr>
                <w:rFonts w:asciiTheme="minorHAnsi" w:eastAsia="Times New Roman" w:hAnsiTheme="minorHAnsi"/>
                <w:iCs/>
                <w:szCs w:val="17"/>
                <w:lang w:eastAsia="en-US"/>
              </w:rPr>
              <w:t xml:space="preserve"> </w:t>
            </w:r>
          </w:p>
        </w:tc>
        <w:tc>
          <w:tcPr>
            <w:tcW w:w="326" w:type="pct"/>
          </w:tcPr>
          <w:p w14:paraId="5C0DA8C0" w14:textId="78D880B3" w:rsidR="00CA50EF" w:rsidRPr="00812509" w:rsidRDefault="00CA50EF" w:rsidP="00CA50E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6" w:type="pct"/>
            <w:shd w:val="clear" w:color="auto" w:fill="auto"/>
            <w:noWrap/>
          </w:tcPr>
          <w:p w14:paraId="130FB2AE" w14:textId="672D6EF7" w:rsidR="00CA50EF" w:rsidRPr="00CA50EF" w:rsidRDefault="00AA56A8" w:rsidP="00CA50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r w:rsidR="00A14D6B">
              <w:rPr>
                <w:rFonts w:asciiTheme="minorHAnsi" w:eastAsia="Times New Roman" w:hAnsiTheme="minorHAnsi"/>
                <w:iCs/>
                <w:szCs w:val="17"/>
                <w:lang w:eastAsia="en-US"/>
              </w:rPr>
              <w:t>*</w:t>
            </w:r>
          </w:p>
        </w:tc>
        <w:tc>
          <w:tcPr>
            <w:tcW w:w="326" w:type="pct"/>
            <w:shd w:val="clear" w:color="auto" w:fill="92D050"/>
            <w:noWrap/>
          </w:tcPr>
          <w:p w14:paraId="5C468A63" w14:textId="60AB567A"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6" w:type="pct"/>
            <w:shd w:val="clear" w:color="auto" w:fill="FFFF00"/>
            <w:noWrap/>
          </w:tcPr>
          <w:p w14:paraId="1937D541" w14:textId="77777777"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6" w:type="pct"/>
            <w:shd w:val="clear" w:color="auto" w:fill="auto"/>
            <w:noWrap/>
          </w:tcPr>
          <w:p w14:paraId="0DFCD790" w14:textId="5506F057" w:rsidR="00CA50EF" w:rsidRPr="00812509" w:rsidRDefault="00AA56A8" w:rsidP="00CA50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r w:rsidR="00A14D6B">
              <w:rPr>
                <w:rFonts w:asciiTheme="minorHAnsi" w:eastAsia="Times New Roman" w:hAnsiTheme="minorHAnsi"/>
                <w:iCs/>
                <w:szCs w:val="17"/>
                <w:lang w:eastAsia="en-US"/>
              </w:rPr>
              <w:t>*</w:t>
            </w:r>
          </w:p>
        </w:tc>
        <w:tc>
          <w:tcPr>
            <w:tcW w:w="368" w:type="pct"/>
            <w:shd w:val="clear" w:color="auto" w:fill="auto"/>
            <w:noWrap/>
          </w:tcPr>
          <w:p w14:paraId="37E66496" w14:textId="063F280E" w:rsidR="00CA50EF" w:rsidRPr="00812509" w:rsidRDefault="00AA56A8" w:rsidP="00CA50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r w:rsidR="00A14D6B">
              <w:rPr>
                <w:rFonts w:asciiTheme="minorHAnsi" w:eastAsia="Times New Roman" w:hAnsiTheme="minorHAnsi"/>
                <w:iCs/>
                <w:szCs w:val="17"/>
                <w:lang w:eastAsia="en-US"/>
              </w:rPr>
              <w:t>*</w:t>
            </w:r>
          </w:p>
        </w:tc>
        <w:tc>
          <w:tcPr>
            <w:tcW w:w="375" w:type="pct"/>
            <w:shd w:val="clear" w:color="auto" w:fill="FFFF00"/>
            <w:noWrap/>
          </w:tcPr>
          <w:p w14:paraId="1CADADF4" w14:textId="6C6B9E5A"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45" w:type="pct"/>
            <w:shd w:val="clear" w:color="auto" w:fill="auto"/>
          </w:tcPr>
          <w:p w14:paraId="4DF72CDA" w14:textId="03E0BBA5" w:rsidR="00CA50EF" w:rsidRPr="00812509" w:rsidRDefault="00AA56A8" w:rsidP="00CA50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Y</w:t>
            </w:r>
          </w:p>
        </w:tc>
      </w:tr>
      <w:tr w:rsidR="00CA50EF" w:rsidRPr="00C61187" w14:paraId="08D406C1" w14:textId="77777777" w:rsidTr="002C6FAB">
        <w:trPr>
          <w:cnfStyle w:val="000000010000" w:firstRow="0" w:lastRow="0" w:firstColumn="0" w:lastColumn="0" w:oddVBand="0" w:evenVBand="0" w:oddHBand="0" w:evenHBand="1" w:firstRowFirstColumn="0" w:firstRowLastColumn="0" w:lastRowFirstColumn="0" w:lastRowLastColumn="0"/>
          <w:trHeight w:val="284"/>
        </w:trPr>
        <w:tc>
          <w:tcPr>
            <w:tcW w:w="1593" w:type="pct"/>
            <w:vMerge/>
          </w:tcPr>
          <w:p w14:paraId="427E6C78" w14:textId="77777777" w:rsidR="00CA50EF" w:rsidRPr="00812509" w:rsidRDefault="00CA50EF" w:rsidP="00CA50EF">
            <w:pPr>
              <w:keepLines/>
              <w:spacing w:before="40" w:after="40" w:line="200" w:lineRule="atLeast"/>
              <w:rPr>
                <w:rFonts w:asciiTheme="minorHAnsi" w:eastAsia="Times New Roman" w:hAnsiTheme="minorHAnsi"/>
                <w:iCs/>
                <w:szCs w:val="17"/>
                <w:lang w:eastAsia="en-US"/>
              </w:rPr>
            </w:pPr>
          </w:p>
        </w:tc>
        <w:tc>
          <w:tcPr>
            <w:tcW w:w="419" w:type="pct"/>
            <w:vMerge/>
          </w:tcPr>
          <w:p w14:paraId="071407C5" w14:textId="77777777" w:rsidR="00CA50EF" w:rsidRPr="00812509" w:rsidRDefault="00CA50EF" w:rsidP="00CA50EF">
            <w:pPr>
              <w:keepLines/>
              <w:spacing w:before="40" w:after="40" w:line="200" w:lineRule="atLeast"/>
              <w:rPr>
                <w:rFonts w:asciiTheme="minorHAnsi" w:eastAsia="Times New Roman" w:hAnsiTheme="minorHAnsi"/>
                <w:iCs/>
                <w:szCs w:val="17"/>
                <w:lang w:eastAsia="en-US"/>
              </w:rPr>
            </w:pPr>
          </w:p>
        </w:tc>
        <w:tc>
          <w:tcPr>
            <w:tcW w:w="326" w:type="pct"/>
          </w:tcPr>
          <w:p w14:paraId="267AD1AE" w14:textId="1878E5E9" w:rsidR="00CA50EF" w:rsidRPr="00812509" w:rsidRDefault="00CA50EF" w:rsidP="00CA50E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26" w:type="pct"/>
            <w:shd w:val="clear" w:color="auto" w:fill="92D050"/>
            <w:noWrap/>
          </w:tcPr>
          <w:p w14:paraId="50CAD421" w14:textId="21E2E91D"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6" w:type="pct"/>
            <w:shd w:val="clear" w:color="auto" w:fill="FFFF00"/>
            <w:noWrap/>
          </w:tcPr>
          <w:p w14:paraId="1038E09D" w14:textId="37CC5F8E"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6" w:type="pct"/>
            <w:shd w:val="clear" w:color="auto" w:fill="FFFF00"/>
            <w:noWrap/>
          </w:tcPr>
          <w:p w14:paraId="710DACB7" w14:textId="77777777"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6" w:type="pct"/>
            <w:shd w:val="clear" w:color="auto" w:fill="92D050"/>
            <w:noWrap/>
          </w:tcPr>
          <w:p w14:paraId="34A7E5D6" w14:textId="13FE3F9D"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68" w:type="pct"/>
            <w:shd w:val="clear" w:color="auto" w:fill="FFFF00"/>
            <w:noWrap/>
          </w:tcPr>
          <w:p w14:paraId="2829183D" w14:textId="3A551DE3"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75" w:type="pct"/>
            <w:shd w:val="clear" w:color="auto" w:fill="92D050"/>
            <w:noWrap/>
          </w:tcPr>
          <w:p w14:paraId="4B93994D" w14:textId="71A0BDB8" w:rsidR="00CA50EF" w:rsidRPr="00812509" w:rsidRDefault="00CA50EF" w:rsidP="00CA50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45" w:type="pct"/>
            <w:shd w:val="clear" w:color="auto" w:fill="auto"/>
          </w:tcPr>
          <w:p w14:paraId="786D0133" w14:textId="5F8B5FA3" w:rsidR="00CA50EF" w:rsidRPr="00812509" w:rsidRDefault="00AA56A8" w:rsidP="00CA50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Y</w:t>
            </w:r>
          </w:p>
        </w:tc>
      </w:tr>
      <w:tr w:rsidR="00CA50EF" w:rsidRPr="00C61187" w14:paraId="79EF800C" w14:textId="77777777" w:rsidTr="002C6FAB">
        <w:trPr>
          <w:cnfStyle w:val="000000010000" w:firstRow="0" w:lastRow="0" w:firstColumn="0" w:lastColumn="0" w:oddVBand="0" w:evenVBand="0" w:oddHBand="0" w:evenHBand="1" w:firstRowFirstColumn="0" w:firstRowLastColumn="0" w:lastRowFirstColumn="0" w:lastRowLastColumn="0"/>
          <w:trHeight w:val="284"/>
        </w:trPr>
        <w:tc>
          <w:tcPr>
            <w:tcW w:w="1593" w:type="pct"/>
          </w:tcPr>
          <w:p w14:paraId="2BE18896" w14:textId="77777777" w:rsidR="00CA50EF" w:rsidRPr="00812509" w:rsidRDefault="00CA50EF" w:rsidP="00CA50EF">
            <w:pPr>
              <w:keepLines/>
              <w:spacing w:before="40" w:after="40" w:line="200" w:lineRule="atLeast"/>
              <w:rPr>
                <w:rFonts w:eastAsia="Times New Roman"/>
                <w:iCs/>
                <w:szCs w:val="17"/>
              </w:rPr>
            </w:pPr>
          </w:p>
        </w:tc>
        <w:tc>
          <w:tcPr>
            <w:tcW w:w="419" w:type="pct"/>
          </w:tcPr>
          <w:p w14:paraId="0641BFC8" w14:textId="77777777" w:rsidR="00CA50EF" w:rsidRPr="00812509" w:rsidRDefault="00CA50EF" w:rsidP="00CA50EF">
            <w:pPr>
              <w:keepLines/>
              <w:spacing w:before="40" w:after="40" w:line="200" w:lineRule="atLeast"/>
              <w:rPr>
                <w:rFonts w:eastAsia="Times New Roman"/>
                <w:iCs/>
                <w:szCs w:val="17"/>
              </w:rPr>
            </w:pPr>
          </w:p>
        </w:tc>
        <w:tc>
          <w:tcPr>
            <w:tcW w:w="326" w:type="pct"/>
          </w:tcPr>
          <w:p w14:paraId="2367149B" w14:textId="77777777" w:rsidR="00CA50EF" w:rsidRPr="00812509" w:rsidRDefault="00CA50EF" w:rsidP="00CA50EF">
            <w:pPr>
              <w:keepLines/>
              <w:spacing w:before="40" w:after="40" w:line="200" w:lineRule="atLeast"/>
              <w:rPr>
                <w:rFonts w:eastAsia="Times New Roman"/>
                <w:iCs/>
                <w:szCs w:val="17"/>
              </w:rPr>
            </w:pPr>
          </w:p>
        </w:tc>
        <w:tc>
          <w:tcPr>
            <w:tcW w:w="326" w:type="pct"/>
            <w:shd w:val="clear" w:color="auto" w:fill="FFFFFF" w:themeFill="background1"/>
            <w:noWrap/>
          </w:tcPr>
          <w:p w14:paraId="448E3395" w14:textId="77777777" w:rsidR="00CA50EF" w:rsidRPr="00812509" w:rsidRDefault="00CA50EF" w:rsidP="00CA50EF">
            <w:pPr>
              <w:keepLines/>
              <w:spacing w:before="40" w:after="40" w:line="200" w:lineRule="atLeast"/>
              <w:jc w:val="center"/>
              <w:rPr>
                <w:rFonts w:eastAsia="Times New Roman"/>
                <w:iCs/>
                <w:szCs w:val="17"/>
              </w:rPr>
            </w:pPr>
          </w:p>
        </w:tc>
        <w:tc>
          <w:tcPr>
            <w:tcW w:w="326" w:type="pct"/>
            <w:shd w:val="clear" w:color="auto" w:fill="FFFFFF" w:themeFill="background1"/>
            <w:noWrap/>
          </w:tcPr>
          <w:p w14:paraId="1E5DBA97" w14:textId="77777777" w:rsidR="00CA50EF" w:rsidRPr="00812509" w:rsidRDefault="00CA50EF" w:rsidP="00CA50EF">
            <w:pPr>
              <w:keepLines/>
              <w:spacing w:before="40" w:after="40" w:line="200" w:lineRule="atLeast"/>
              <w:jc w:val="center"/>
              <w:rPr>
                <w:rFonts w:eastAsia="Times New Roman"/>
                <w:iCs/>
                <w:szCs w:val="17"/>
              </w:rPr>
            </w:pPr>
          </w:p>
        </w:tc>
        <w:tc>
          <w:tcPr>
            <w:tcW w:w="326" w:type="pct"/>
            <w:shd w:val="clear" w:color="auto" w:fill="FFFFFF" w:themeFill="background1"/>
            <w:noWrap/>
          </w:tcPr>
          <w:p w14:paraId="0CCBF612" w14:textId="77777777" w:rsidR="00CA50EF" w:rsidRPr="00812509" w:rsidRDefault="00CA50EF" w:rsidP="00CA50EF">
            <w:pPr>
              <w:keepLines/>
              <w:spacing w:before="40" w:after="40" w:line="200" w:lineRule="atLeast"/>
              <w:jc w:val="center"/>
              <w:rPr>
                <w:rFonts w:eastAsia="Times New Roman"/>
                <w:iCs/>
                <w:szCs w:val="17"/>
              </w:rPr>
            </w:pPr>
          </w:p>
        </w:tc>
        <w:tc>
          <w:tcPr>
            <w:tcW w:w="326" w:type="pct"/>
            <w:shd w:val="clear" w:color="auto" w:fill="FFFFFF" w:themeFill="background1"/>
            <w:noWrap/>
          </w:tcPr>
          <w:p w14:paraId="07ABC165" w14:textId="77777777" w:rsidR="00CA50EF" w:rsidRPr="00812509" w:rsidRDefault="00CA50EF" w:rsidP="00CA50EF">
            <w:pPr>
              <w:keepLines/>
              <w:spacing w:before="40" w:after="40" w:line="200" w:lineRule="atLeast"/>
              <w:jc w:val="center"/>
              <w:rPr>
                <w:rFonts w:eastAsia="Times New Roman"/>
                <w:iCs/>
                <w:szCs w:val="17"/>
              </w:rPr>
            </w:pPr>
          </w:p>
        </w:tc>
        <w:tc>
          <w:tcPr>
            <w:tcW w:w="368" w:type="pct"/>
            <w:shd w:val="clear" w:color="auto" w:fill="FFFFFF" w:themeFill="background1"/>
            <w:noWrap/>
          </w:tcPr>
          <w:p w14:paraId="632703A6" w14:textId="77777777" w:rsidR="00CA50EF" w:rsidRPr="00812509" w:rsidRDefault="00CA50EF" w:rsidP="00CA50EF">
            <w:pPr>
              <w:keepLines/>
              <w:spacing w:before="40" w:after="40" w:line="200" w:lineRule="atLeast"/>
              <w:jc w:val="center"/>
              <w:rPr>
                <w:rFonts w:eastAsia="Times New Roman"/>
                <w:iCs/>
                <w:szCs w:val="17"/>
              </w:rPr>
            </w:pPr>
          </w:p>
        </w:tc>
        <w:tc>
          <w:tcPr>
            <w:tcW w:w="375" w:type="pct"/>
            <w:shd w:val="clear" w:color="auto" w:fill="FFFFFF" w:themeFill="background1"/>
            <w:noWrap/>
          </w:tcPr>
          <w:p w14:paraId="6AC3EDD7" w14:textId="77777777" w:rsidR="00CA50EF" w:rsidRPr="00812509" w:rsidRDefault="00CA50EF" w:rsidP="00CA50EF">
            <w:pPr>
              <w:keepLines/>
              <w:spacing w:before="40" w:after="40" w:line="200" w:lineRule="atLeast"/>
              <w:jc w:val="center"/>
              <w:rPr>
                <w:rFonts w:eastAsia="Times New Roman"/>
                <w:iCs/>
                <w:szCs w:val="17"/>
              </w:rPr>
            </w:pPr>
          </w:p>
        </w:tc>
        <w:tc>
          <w:tcPr>
            <w:tcW w:w="445" w:type="pct"/>
            <w:shd w:val="clear" w:color="auto" w:fill="FFFFFF" w:themeFill="background1"/>
          </w:tcPr>
          <w:p w14:paraId="79883894" w14:textId="77777777" w:rsidR="00CA50EF" w:rsidRPr="00812509" w:rsidRDefault="00CA50EF" w:rsidP="00CA50EF">
            <w:pPr>
              <w:keepLines/>
              <w:spacing w:before="40" w:after="40" w:line="200" w:lineRule="atLeast"/>
              <w:jc w:val="center"/>
              <w:rPr>
                <w:rFonts w:eastAsia="Times New Roman"/>
                <w:iCs/>
                <w:szCs w:val="17"/>
              </w:rPr>
            </w:pPr>
          </w:p>
        </w:tc>
      </w:tr>
      <w:tr w:rsidR="002C6FAB" w:rsidRPr="00C61187" w14:paraId="7C5D8162" w14:textId="77777777" w:rsidTr="002C6FAB">
        <w:trPr>
          <w:cnfStyle w:val="000000010000" w:firstRow="0" w:lastRow="0" w:firstColumn="0" w:lastColumn="0" w:oddVBand="0" w:evenVBand="0" w:oddHBand="0" w:evenHBand="1" w:firstRowFirstColumn="0" w:firstRowLastColumn="0" w:lastRowFirstColumn="0" w:lastRowLastColumn="0"/>
          <w:trHeight w:val="284"/>
        </w:trPr>
        <w:tc>
          <w:tcPr>
            <w:tcW w:w="1593" w:type="pct"/>
            <w:vMerge w:val="restart"/>
          </w:tcPr>
          <w:p w14:paraId="4913CC17" w14:textId="73C7C032" w:rsidR="002C6FAB" w:rsidRPr="00812509" w:rsidRDefault="002C6FAB" w:rsidP="002C6FA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INM584: Palestinian Territories Humanitarian Investments</w:t>
            </w:r>
          </w:p>
        </w:tc>
        <w:tc>
          <w:tcPr>
            <w:tcW w:w="419" w:type="pct"/>
            <w:vMerge w:val="restart"/>
          </w:tcPr>
          <w:p w14:paraId="17896E1E" w14:textId="35F75D7A" w:rsidR="002C6FAB" w:rsidRPr="00812509" w:rsidRDefault="002C6FAB" w:rsidP="002C6FAB">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$13.8</w:t>
            </w:r>
            <w:r w:rsidRPr="00812509">
              <w:rPr>
                <w:rFonts w:asciiTheme="minorHAnsi" w:hAnsiTheme="minorHAnsi" w:cs="Franklin Gothic Book"/>
                <w:color w:val="000000"/>
                <w:szCs w:val="17"/>
              </w:rPr>
              <w:t xml:space="preserve">m </w:t>
            </w:r>
          </w:p>
          <w:p w14:paraId="0E522D9F" w14:textId="14679B5E" w:rsidR="002C6FAB" w:rsidRPr="00812509" w:rsidRDefault="002C6FAB" w:rsidP="002C6FAB">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8-20</w:t>
            </w:r>
          </w:p>
        </w:tc>
        <w:tc>
          <w:tcPr>
            <w:tcW w:w="326" w:type="pct"/>
          </w:tcPr>
          <w:p w14:paraId="01ACF380" w14:textId="610DBB94" w:rsidR="002C6FAB" w:rsidRPr="00812509" w:rsidRDefault="002C6FAB" w:rsidP="002C6FAB">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6" w:type="pct"/>
            <w:shd w:val="clear" w:color="auto" w:fill="92D050"/>
            <w:noWrap/>
          </w:tcPr>
          <w:p w14:paraId="63061498" w14:textId="77777777"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6" w:type="pct"/>
            <w:shd w:val="clear" w:color="auto" w:fill="FFFF00"/>
            <w:noWrap/>
          </w:tcPr>
          <w:p w14:paraId="7B50F3AB" w14:textId="0466576B"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6" w:type="pct"/>
            <w:shd w:val="clear" w:color="auto" w:fill="FFFF00"/>
            <w:noWrap/>
          </w:tcPr>
          <w:p w14:paraId="6BA0DFE7" w14:textId="77777777"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6" w:type="pct"/>
            <w:shd w:val="clear" w:color="auto" w:fill="FFFF00"/>
            <w:noWrap/>
          </w:tcPr>
          <w:p w14:paraId="15BA99A1" w14:textId="799016AE"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68" w:type="pct"/>
            <w:shd w:val="clear" w:color="auto" w:fill="FFFF00"/>
            <w:noWrap/>
          </w:tcPr>
          <w:p w14:paraId="32A480F1" w14:textId="409C2F79"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75" w:type="pct"/>
            <w:shd w:val="clear" w:color="auto" w:fill="FFFF00"/>
            <w:noWrap/>
          </w:tcPr>
          <w:p w14:paraId="6BF37404" w14:textId="66FBB2E2"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45" w:type="pct"/>
            <w:shd w:val="clear" w:color="auto" w:fill="auto"/>
          </w:tcPr>
          <w:p w14:paraId="75B6AED1" w14:textId="00E0E0FC" w:rsidR="002C6FAB" w:rsidRPr="00812509" w:rsidRDefault="00AA56A8" w:rsidP="002C6FA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Y</w:t>
            </w:r>
          </w:p>
        </w:tc>
      </w:tr>
      <w:tr w:rsidR="00CA50EF" w:rsidRPr="00C61187" w14:paraId="03B3F20D" w14:textId="77777777" w:rsidTr="002C6FAB">
        <w:trPr>
          <w:cnfStyle w:val="000000010000" w:firstRow="0" w:lastRow="0" w:firstColumn="0" w:lastColumn="0" w:oddVBand="0" w:evenVBand="0" w:oddHBand="0" w:evenHBand="1" w:firstRowFirstColumn="0" w:firstRowLastColumn="0" w:lastRowFirstColumn="0" w:lastRowLastColumn="0"/>
          <w:trHeight w:val="284"/>
        </w:trPr>
        <w:tc>
          <w:tcPr>
            <w:tcW w:w="1593" w:type="pct"/>
            <w:vMerge/>
          </w:tcPr>
          <w:p w14:paraId="2A397760"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9" w:type="pct"/>
            <w:vMerge/>
          </w:tcPr>
          <w:p w14:paraId="79A57191"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326" w:type="pct"/>
          </w:tcPr>
          <w:p w14:paraId="5B02C3C1" w14:textId="06202596"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26" w:type="pct"/>
            <w:shd w:val="clear" w:color="auto" w:fill="auto"/>
            <w:noWrap/>
          </w:tcPr>
          <w:p w14:paraId="141CBB8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6" w:type="pct"/>
            <w:shd w:val="clear" w:color="auto" w:fill="auto"/>
            <w:noWrap/>
          </w:tcPr>
          <w:p w14:paraId="2D52D98D"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6" w:type="pct"/>
            <w:shd w:val="clear" w:color="auto" w:fill="auto"/>
            <w:noWrap/>
          </w:tcPr>
          <w:p w14:paraId="5E70AFD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6" w:type="pct"/>
            <w:shd w:val="clear" w:color="auto" w:fill="auto"/>
            <w:noWrap/>
          </w:tcPr>
          <w:p w14:paraId="2416BF19"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68" w:type="pct"/>
            <w:shd w:val="clear" w:color="auto" w:fill="auto"/>
            <w:noWrap/>
          </w:tcPr>
          <w:p w14:paraId="17ADDC74" w14:textId="77449D32"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75" w:type="pct"/>
            <w:shd w:val="clear" w:color="auto" w:fill="auto"/>
            <w:noWrap/>
          </w:tcPr>
          <w:p w14:paraId="03EF14BA"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445" w:type="pct"/>
            <w:shd w:val="clear" w:color="auto" w:fill="auto"/>
          </w:tcPr>
          <w:p w14:paraId="05FADB19" w14:textId="4E23E52F" w:rsidR="005E606B" w:rsidRPr="00812509" w:rsidRDefault="00AA56A8"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Y</w:t>
            </w:r>
          </w:p>
        </w:tc>
      </w:tr>
    </w:tbl>
    <w:p w14:paraId="42419201" w14:textId="1749B92A" w:rsidR="0059146A" w:rsidRDefault="00A14D6B" w:rsidP="009B70A5">
      <w:pPr>
        <w:pStyle w:val="ListBullet"/>
        <w:tabs>
          <w:tab w:val="clear" w:pos="284"/>
        </w:tabs>
        <w:ind w:left="720"/>
      </w:pPr>
      <w:r>
        <w:t>* These criteria have been removed from the AQC template from 2019.</w:t>
      </w:r>
    </w:p>
    <w:p w14:paraId="688B02C8" w14:textId="0007B7FF" w:rsidR="00A8197B" w:rsidRPr="00A8197B" w:rsidRDefault="00212FB7"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t xml:space="preserve">3 </w:t>
      </w:r>
      <w:r w:rsidR="00A8197B" w:rsidRPr="00EF26B5">
        <w:rPr>
          <w:rFonts w:asciiTheme="minorHAnsi" w:eastAsiaTheme="majorEastAsia" w:hAnsiTheme="minorHAnsi" w:cstheme="minorHAnsi"/>
          <w:caps/>
          <w:color w:val="495965" w:themeColor="text2"/>
          <w:sz w:val="36"/>
          <w:szCs w:val="36"/>
          <w:lang w:val="en-GB" w:eastAsia="en-US"/>
        </w:rPr>
        <w:t>FAQC ratings</w:t>
      </w:r>
      <w:r w:rsidR="00A8197B"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1099"/>
        <w:gridCol w:w="619"/>
        <w:gridCol w:w="637"/>
        <w:gridCol w:w="628"/>
        <w:gridCol w:w="657"/>
        <w:gridCol w:w="717"/>
        <w:gridCol w:w="655"/>
        <w:gridCol w:w="710"/>
        <w:gridCol w:w="706"/>
      </w:tblGrid>
      <w:tr w:rsidR="00D061BB" w:rsidRPr="00812509" w14:paraId="3F4754CA" w14:textId="77777777" w:rsidTr="00CA50EF">
        <w:trPr>
          <w:cnfStyle w:val="000000010000" w:firstRow="0" w:lastRow="0" w:firstColumn="0" w:lastColumn="0" w:oddVBand="0" w:evenVBand="0" w:oddHBand="0" w:evenHBand="1" w:firstRowFirstColumn="0" w:firstRowLastColumn="0" w:lastRowFirstColumn="0" w:lastRowLastColumn="0"/>
          <w:trHeight w:val="1505"/>
        </w:trPr>
        <w:tc>
          <w:tcPr>
            <w:tcW w:w="1507" w:type="pct"/>
          </w:tcPr>
          <w:p w14:paraId="0D19008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78" w:type="pct"/>
            <w:textDirection w:val="btLr"/>
          </w:tcPr>
          <w:p w14:paraId="13360A8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9" w:type="pct"/>
            <w:noWrap/>
            <w:textDirection w:val="btLr"/>
          </w:tcPr>
          <w:p w14:paraId="1B3F459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29" w:type="pct"/>
            <w:noWrap/>
            <w:textDirection w:val="btLr"/>
          </w:tcPr>
          <w:p w14:paraId="655EB76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4" w:type="pct"/>
            <w:noWrap/>
            <w:textDirection w:val="btLr"/>
          </w:tcPr>
          <w:p w14:paraId="7DAEF80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9" w:type="pct"/>
            <w:noWrap/>
            <w:textDirection w:val="btLr"/>
          </w:tcPr>
          <w:p w14:paraId="3C6E304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72" w:type="pct"/>
            <w:noWrap/>
            <w:textDirection w:val="btLr"/>
          </w:tcPr>
          <w:p w14:paraId="6A3F313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8" w:type="pct"/>
            <w:noWrap/>
            <w:textDirection w:val="btLr"/>
          </w:tcPr>
          <w:p w14:paraId="154FFCE0"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8" w:type="pct"/>
            <w:textDirection w:val="btLr"/>
          </w:tcPr>
          <w:p w14:paraId="38A4D47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9" w:type="pct"/>
            <w:textDirection w:val="btLr"/>
          </w:tcPr>
          <w:p w14:paraId="267706A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2C6FAB" w:rsidRPr="00812509" w14:paraId="68EB55B4" w14:textId="77777777" w:rsidTr="00DD2869">
        <w:trPr>
          <w:cnfStyle w:val="000000010000" w:firstRow="0" w:lastRow="0" w:firstColumn="0" w:lastColumn="0" w:oddVBand="0" w:evenVBand="0" w:oddHBand="0" w:evenHBand="1" w:firstRowFirstColumn="0" w:firstRowLastColumn="0" w:lastRowFirstColumn="0" w:lastRowLastColumn="0"/>
          <w:trHeight w:val="284"/>
        </w:trPr>
        <w:tc>
          <w:tcPr>
            <w:tcW w:w="1507" w:type="pct"/>
          </w:tcPr>
          <w:p w14:paraId="2E8CA998" w14:textId="56E2ACF2" w:rsidR="002C6FAB" w:rsidRPr="00812509" w:rsidRDefault="002C6FAB" w:rsidP="002C6FA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INM230: Funding to Palestinian Authority through the WB Trust Fund</w:t>
            </w:r>
          </w:p>
        </w:tc>
        <w:tc>
          <w:tcPr>
            <w:tcW w:w="578" w:type="pct"/>
          </w:tcPr>
          <w:p w14:paraId="4AF66A9A" w14:textId="77777777" w:rsidR="002C6FAB" w:rsidRDefault="002C6FAB" w:rsidP="002C6FAB">
            <w:pPr>
              <w:keepLines/>
              <w:spacing w:before="40" w:after="40" w:line="200" w:lineRule="atLeast"/>
              <w:rPr>
                <w:rFonts w:asciiTheme="minorHAnsi" w:hAnsiTheme="minorHAnsi" w:cs="Franklin Gothic Book"/>
                <w:color w:val="000000"/>
                <w:szCs w:val="17"/>
              </w:rPr>
            </w:pPr>
            <w:r>
              <w:rPr>
                <w:rFonts w:asciiTheme="minorHAnsi" w:hAnsiTheme="minorHAnsi" w:cs="Franklin Gothic Book"/>
                <w:color w:val="000000"/>
                <w:szCs w:val="17"/>
              </w:rPr>
              <w:t>$10m</w:t>
            </w:r>
          </w:p>
          <w:p w14:paraId="38A9F256" w14:textId="45A9657F" w:rsidR="002C6FAB" w:rsidRPr="00812509" w:rsidRDefault="002C6FAB" w:rsidP="002C6FAB">
            <w:pPr>
              <w:keepLines/>
              <w:spacing w:before="40" w:after="40" w:line="200" w:lineRule="atLeast"/>
              <w:rPr>
                <w:rFonts w:asciiTheme="minorHAnsi" w:eastAsia="Times New Roman" w:hAnsiTheme="minorHAnsi"/>
                <w:iCs/>
                <w:szCs w:val="17"/>
                <w:lang w:eastAsia="en-US"/>
              </w:rPr>
            </w:pPr>
            <w:r>
              <w:rPr>
                <w:rFonts w:asciiTheme="minorHAnsi" w:hAnsiTheme="minorHAnsi" w:cs="Franklin Gothic Book"/>
                <w:color w:val="000000"/>
                <w:szCs w:val="17"/>
              </w:rPr>
              <w:t>2017-20</w:t>
            </w:r>
          </w:p>
        </w:tc>
        <w:tc>
          <w:tcPr>
            <w:tcW w:w="319" w:type="pct"/>
            <w:shd w:val="clear" w:color="auto" w:fill="FFFF00"/>
            <w:noWrap/>
          </w:tcPr>
          <w:p w14:paraId="6AC294F2" w14:textId="77777777"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9" w:type="pct"/>
            <w:shd w:val="clear" w:color="auto" w:fill="FFFF00"/>
            <w:noWrap/>
          </w:tcPr>
          <w:p w14:paraId="45D90199" w14:textId="5D06B247"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4" w:type="pct"/>
            <w:shd w:val="clear" w:color="auto" w:fill="FFFF00"/>
            <w:noWrap/>
          </w:tcPr>
          <w:p w14:paraId="311F23D3" w14:textId="77777777"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9" w:type="pct"/>
            <w:shd w:val="clear" w:color="auto" w:fill="FFFF00"/>
            <w:noWrap/>
          </w:tcPr>
          <w:p w14:paraId="12AE15F2" w14:textId="53825AD7"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72" w:type="pct"/>
            <w:shd w:val="clear" w:color="auto" w:fill="FFFF00"/>
            <w:noWrap/>
          </w:tcPr>
          <w:p w14:paraId="3B8C928C" w14:textId="16E1D65F"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8" w:type="pct"/>
            <w:shd w:val="clear" w:color="auto" w:fill="FFC000"/>
            <w:noWrap/>
          </w:tcPr>
          <w:p w14:paraId="1ADED017" w14:textId="6C410E9F"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68" w:type="pct"/>
            <w:shd w:val="clear" w:color="auto" w:fill="FF0000"/>
          </w:tcPr>
          <w:p w14:paraId="70E1C3EA" w14:textId="5FDE249A"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359" w:type="pct"/>
            <w:shd w:val="clear" w:color="auto" w:fill="auto"/>
          </w:tcPr>
          <w:p w14:paraId="2025E5BD" w14:textId="2A67239F" w:rsidR="002C6FAB" w:rsidRPr="00812509" w:rsidRDefault="002C6FAB" w:rsidP="002C6FAB">
            <w:pPr>
              <w:keepLines/>
              <w:spacing w:before="40" w:after="40" w:line="200" w:lineRule="atLeast"/>
              <w:jc w:val="center"/>
              <w:rPr>
                <w:rFonts w:asciiTheme="minorHAnsi" w:eastAsia="Times New Roman" w:hAnsiTheme="minorHAnsi"/>
                <w:iCs/>
                <w:szCs w:val="17"/>
                <w:lang w:eastAsia="en-US"/>
              </w:rPr>
            </w:pPr>
          </w:p>
        </w:tc>
      </w:tr>
    </w:tbl>
    <w:p w14:paraId="2743D6A0" w14:textId="77777777" w:rsidR="00A8197B" w:rsidRPr="00812509" w:rsidRDefault="00A8197B" w:rsidP="00A8197B">
      <w:pPr>
        <w:spacing w:before="20" w:after="20" w:line="180" w:lineRule="atLeast"/>
        <w:jc w:val="both"/>
        <w:rPr>
          <w:rFonts w:eastAsia="Times New Roman"/>
          <w:b/>
          <w:sz w:val="14"/>
          <w:szCs w:val="14"/>
        </w:rPr>
      </w:pPr>
    </w:p>
    <w:p w14:paraId="708D71BE"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D517A02"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9C2A5D3"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B60564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9DBF98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70182F2"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00946E6" w14:textId="7777777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1EF195E3" w14:textId="77777777" w:rsidR="00A8197B" w:rsidRDefault="00A8197B" w:rsidP="00A8197B">
      <w:pPr>
        <w:pStyle w:val="ListBullet"/>
        <w:tabs>
          <w:tab w:val="clear" w:pos="284"/>
        </w:tabs>
      </w:pPr>
    </w:p>
    <w:p w14:paraId="3CEB3CBF" w14:textId="6B9CA597"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184F1E" w:rsidSect="00CA50EF">
      <w:headerReference w:type="default" r:id="rId33"/>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81CC" w14:textId="77777777" w:rsidR="00F148DC" w:rsidRDefault="00F148DC" w:rsidP="00EF4574">
      <w:pPr>
        <w:spacing w:before="0" w:after="0" w:line="240" w:lineRule="auto"/>
      </w:pPr>
      <w:r>
        <w:separator/>
      </w:r>
    </w:p>
  </w:endnote>
  <w:endnote w:type="continuationSeparator" w:id="0">
    <w:p w14:paraId="4B89207D" w14:textId="77777777" w:rsidR="00F148DC" w:rsidRDefault="00F148DC"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79B2" w14:textId="77777777" w:rsidR="007F0422" w:rsidRDefault="007F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C315" w14:textId="77777777" w:rsidR="00F148DC" w:rsidRDefault="00F148DC" w:rsidP="004839E3">
    <w:pPr>
      <w:pStyle w:val="Footer"/>
      <w:rPr>
        <w:lang w:val="en-AU"/>
      </w:rPr>
    </w:pPr>
  </w:p>
  <w:p w14:paraId="6E63B07A" w14:textId="77777777" w:rsidR="00F148DC" w:rsidRDefault="00F148DC" w:rsidP="004839E3">
    <w:pPr>
      <w:pStyle w:val="Footer"/>
    </w:pPr>
  </w:p>
  <w:p w14:paraId="01762CD7" w14:textId="77777777" w:rsidR="00F148DC" w:rsidRPr="00CD0E4B" w:rsidRDefault="00F148DC"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A2D29A" w14:textId="77777777" w:rsidR="00F148DC" w:rsidRPr="00CD0E4B" w:rsidRDefault="00F148DC" w:rsidP="004839E3">
    <w:pPr>
      <w:pStyle w:val="Footer"/>
      <w:rPr>
        <w:color w:val="ACD08C" w:themeColor="accent3"/>
      </w:rPr>
    </w:pPr>
    <w:r w:rsidRPr="00CD0E4B">
      <w:rPr>
        <w:color w:val="ACD08C" w:themeColor="accent3"/>
      </w:rPr>
      <w:t>DFAT.GOV.AU</w:t>
    </w:r>
  </w:p>
  <w:p w14:paraId="5A763503" w14:textId="77777777" w:rsidR="00F148DC" w:rsidRPr="004839E3" w:rsidRDefault="00F148DC"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E437" w14:textId="77777777" w:rsidR="00F148DC" w:rsidRPr="004839E3" w:rsidRDefault="00F148DC"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5B2D5CB" w14:textId="77777777" w:rsidR="00F148DC" w:rsidRDefault="00F148DC"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0D0B" w14:textId="77777777" w:rsidR="00F148DC" w:rsidRDefault="00F148DC" w:rsidP="004839E3">
    <w:pPr>
      <w:pStyle w:val="Footer"/>
      <w:rPr>
        <w:lang w:val="en-AU"/>
      </w:rPr>
    </w:pPr>
  </w:p>
  <w:p w14:paraId="407C2E45" w14:textId="77777777" w:rsidR="00F148DC" w:rsidRDefault="00F148DC" w:rsidP="004839E3">
    <w:pPr>
      <w:pStyle w:val="Footer"/>
    </w:pPr>
  </w:p>
  <w:p w14:paraId="7707EDA5" w14:textId="77777777" w:rsidR="00F148DC" w:rsidRPr="00CD0E4B" w:rsidRDefault="00F148DC" w:rsidP="004839E3">
    <w:pPr>
      <w:pStyle w:val="Footer"/>
    </w:pPr>
    <w:r w:rsidRPr="00CD0E4B">
      <w:rPr>
        <w:noProof/>
        <w:lang w:val="en-AU" w:eastAsia="en-AU"/>
      </w:rPr>
      <w:drawing>
        <wp:inline distT="0" distB="0" distL="0" distR="0" wp14:anchorId="629D54FA" wp14:editId="48D1EF42">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0634D851" w14:textId="77777777" w:rsidR="00F148DC" w:rsidRPr="00CD0E4B" w:rsidRDefault="00F148DC" w:rsidP="004839E3">
    <w:pPr>
      <w:pStyle w:val="Footer"/>
      <w:rPr>
        <w:color w:val="ACD08C" w:themeColor="accent3"/>
      </w:rPr>
    </w:pPr>
    <w:r w:rsidRPr="00CD0E4B">
      <w:rPr>
        <w:color w:val="ACD08C" w:themeColor="accent3"/>
      </w:rPr>
      <w:t>DFAT.GOV.AU</w:t>
    </w:r>
  </w:p>
  <w:p w14:paraId="345B5B31" w14:textId="77777777" w:rsidR="00F148DC" w:rsidRPr="004839E3" w:rsidRDefault="00F148DC"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0E17F" w14:textId="77777777" w:rsidR="00F148DC" w:rsidRPr="008C5A0E" w:rsidRDefault="00F148DC" w:rsidP="001D663E">
      <w:pPr>
        <w:pStyle w:val="Footer"/>
        <w:pBdr>
          <w:top w:val="single" w:sz="4" w:space="1" w:color="495965" w:themeColor="text2"/>
        </w:pBdr>
      </w:pPr>
    </w:p>
  </w:footnote>
  <w:footnote w:type="continuationSeparator" w:id="0">
    <w:p w14:paraId="54279C21" w14:textId="77777777" w:rsidR="00F148DC" w:rsidRDefault="00F148DC" w:rsidP="00EF4574">
      <w:pPr>
        <w:spacing w:before="0" w:after="0" w:line="240" w:lineRule="auto"/>
      </w:pPr>
      <w:r>
        <w:continuationSeparator/>
      </w:r>
    </w:p>
  </w:footnote>
  <w:footnote w:id="1">
    <w:p w14:paraId="2C1FC140" w14:textId="0993C7BC" w:rsidR="00F148DC" w:rsidRPr="00A1707A" w:rsidRDefault="00F148DC">
      <w:pPr>
        <w:pStyle w:val="FootnoteText"/>
        <w:rPr>
          <w:lang w:val="en-AU"/>
        </w:rPr>
      </w:pPr>
      <w:r w:rsidRPr="00A1707A">
        <w:rPr>
          <w:rStyle w:val="FootnoteReference"/>
          <w:sz w:val="16"/>
        </w:rPr>
        <w:footnoteRef/>
      </w:r>
      <w:r w:rsidRPr="00A1707A">
        <w:rPr>
          <w:sz w:val="16"/>
        </w:rPr>
        <w:t xml:space="preserve"> </w:t>
      </w:r>
      <w:r w:rsidRPr="00A1707A">
        <w:rPr>
          <w:color w:val="auto"/>
          <w:sz w:val="16"/>
          <w:lang w:val="en-AU"/>
        </w:rPr>
        <w:t>While Australia’s overall budget for the 2018-19 FY in the PTs was $</w:t>
      </w:r>
      <w:r w:rsidR="00A16650">
        <w:rPr>
          <w:color w:val="auto"/>
          <w:sz w:val="16"/>
          <w:lang w:val="en-AU"/>
        </w:rPr>
        <w:t>43.3</w:t>
      </w:r>
      <w:r w:rsidRPr="00A1707A">
        <w:rPr>
          <w:color w:val="auto"/>
          <w:sz w:val="16"/>
          <w:lang w:val="en-AU"/>
        </w:rPr>
        <w:t xml:space="preserve"> million, $5 million was brought forward from FY18-19 to FY17-18.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24C2" w14:textId="77777777" w:rsidR="007F0422" w:rsidRDefault="007F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2B3" w14:textId="77777777" w:rsidR="00F148DC" w:rsidRPr="00333501" w:rsidRDefault="00F148DC"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EC" w14:textId="77777777" w:rsidR="00F148DC" w:rsidRPr="003D352D" w:rsidRDefault="00F148DC"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F4CA" w14:textId="77777777" w:rsidR="00F148DC" w:rsidRPr="00333501" w:rsidRDefault="00F148DC"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E970" w14:textId="77777777" w:rsidR="00F148DC" w:rsidRPr="003D352D" w:rsidRDefault="00F148DC"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338E" w14:textId="77777777" w:rsidR="00F148DC" w:rsidRPr="00333501" w:rsidRDefault="00F148DC"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FA81" w14:textId="77777777" w:rsidR="00F148DC" w:rsidRPr="003D352D" w:rsidRDefault="00F148DC"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E11" w14:textId="77777777" w:rsidR="00F148DC" w:rsidRPr="00333501" w:rsidRDefault="00F148DC"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CD0BF9"/>
    <w:multiLevelType w:val="hybridMultilevel"/>
    <w:tmpl w:val="E2B48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1856941"/>
    <w:multiLevelType w:val="hybridMultilevel"/>
    <w:tmpl w:val="BF14E94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5637D"/>
    <w:multiLevelType w:val="hybridMultilevel"/>
    <w:tmpl w:val="1A5E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B606EB"/>
    <w:multiLevelType w:val="hybridMultilevel"/>
    <w:tmpl w:val="51385FE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C91350E"/>
    <w:multiLevelType w:val="hybridMultilevel"/>
    <w:tmpl w:val="F5DEED3E"/>
    <w:lvl w:ilvl="0" w:tplc="1A023B86">
      <w:start w:val="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3419F1"/>
    <w:multiLevelType w:val="hybridMultilevel"/>
    <w:tmpl w:val="2B0A868E"/>
    <w:lvl w:ilvl="0" w:tplc="AFC6D976">
      <w:start w:val="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E1AAD"/>
    <w:multiLevelType w:val="hybridMultilevel"/>
    <w:tmpl w:val="AEE29414"/>
    <w:lvl w:ilvl="0" w:tplc="B95C6E8E">
      <w:start w:val="8"/>
      <w:numFmt w:val="bullet"/>
      <w:lvlText w:val="-"/>
      <w:lvlJc w:val="left"/>
      <w:pPr>
        <w:ind w:left="720" w:hanging="360"/>
      </w:pPr>
      <w:rPr>
        <w:rFonts w:ascii="Franklin Gothic Book" w:eastAsia="Times New Roman"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0160D"/>
    <w:multiLevelType w:val="hybridMultilevel"/>
    <w:tmpl w:val="01A094C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8E00820"/>
    <w:multiLevelType w:val="hybridMultilevel"/>
    <w:tmpl w:val="EC14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32AAE"/>
    <w:multiLevelType w:val="hybridMultilevel"/>
    <w:tmpl w:val="1EC24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C0C1195"/>
    <w:multiLevelType w:val="hybridMultilevel"/>
    <w:tmpl w:val="8A30BB7E"/>
    <w:lvl w:ilvl="0" w:tplc="4C886F7C">
      <w:start w:val="1"/>
      <w:numFmt w:val="lowerLetter"/>
      <w:lvlText w:val="%1."/>
      <w:lvlJc w:val="left"/>
      <w:pPr>
        <w:ind w:left="360" w:hanging="360"/>
      </w:pPr>
      <w:rPr>
        <w:rFonts w:ascii="Helvetica" w:hAnsi="Helvetica" w:cs="Helvetica"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3C1EA7"/>
    <w:multiLevelType w:val="multilevel"/>
    <w:tmpl w:val="43428892"/>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52B7BEC"/>
    <w:multiLevelType w:val="hybridMultilevel"/>
    <w:tmpl w:val="36386A9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344940"/>
    <w:multiLevelType w:val="hybridMultilevel"/>
    <w:tmpl w:val="D758000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4"/>
  </w:num>
  <w:num w:numId="23">
    <w:abstractNumId w:val="14"/>
  </w:num>
  <w:num w:numId="24">
    <w:abstractNumId w:val="30"/>
  </w:num>
  <w:num w:numId="25">
    <w:abstractNumId w:val="30"/>
  </w:num>
  <w:num w:numId="26">
    <w:abstractNumId w:val="30"/>
  </w:num>
  <w:num w:numId="27">
    <w:abstractNumId w:val="28"/>
  </w:num>
  <w:num w:numId="28">
    <w:abstractNumId w:val="10"/>
  </w:num>
  <w:num w:numId="29">
    <w:abstractNumId w:val="10"/>
  </w:num>
  <w:num w:numId="30">
    <w:abstractNumId w:val="10"/>
  </w:num>
  <w:num w:numId="31">
    <w:abstractNumId w:val="16"/>
  </w:num>
  <w:num w:numId="32">
    <w:abstractNumId w:val="27"/>
  </w:num>
  <w:num w:numId="33">
    <w:abstractNumId w:val="35"/>
  </w:num>
  <w:num w:numId="34">
    <w:abstractNumId w:val="23"/>
  </w:num>
  <w:num w:numId="35">
    <w:abstractNumId w:val="12"/>
  </w:num>
  <w:num w:numId="36">
    <w:abstractNumId w:val="17"/>
  </w:num>
  <w:num w:numId="37">
    <w:abstractNumId w:val="13"/>
  </w:num>
  <w:num w:numId="38">
    <w:abstractNumId w:val="26"/>
  </w:num>
  <w:num w:numId="39">
    <w:abstractNumId w:val="25"/>
  </w:num>
  <w:num w:numId="40">
    <w:abstractNumId w:val="18"/>
  </w:num>
  <w:num w:numId="41">
    <w:abstractNumId w:val="32"/>
  </w:num>
  <w:num w:numId="42">
    <w:abstractNumId w:val="15"/>
  </w:num>
  <w:num w:numId="43">
    <w:abstractNumId w:val="29"/>
  </w:num>
  <w:num w:numId="44">
    <w:abstractNumId w:val="24"/>
  </w:num>
  <w:num w:numId="45">
    <w:abstractNumId w:val="19"/>
  </w:num>
  <w:num w:numId="46">
    <w:abstractNumId w:val="33"/>
  </w:num>
  <w:num w:numId="47">
    <w:abstractNumId w:val="20"/>
  </w:num>
  <w:num w:numId="48">
    <w:abstractNumId w:val="2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05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4CB8"/>
    <w:rsid w:val="00015316"/>
    <w:rsid w:val="0002080A"/>
    <w:rsid w:val="00024D10"/>
    <w:rsid w:val="0002782F"/>
    <w:rsid w:val="00031512"/>
    <w:rsid w:val="00054E4D"/>
    <w:rsid w:val="00057C66"/>
    <w:rsid w:val="00060073"/>
    <w:rsid w:val="00060268"/>
    <w:rsid w:val="00076255"/>
    <w:rsid w:val="00076806"/>
    <w:rsid w:val="00080696"/>
    <w:rsid w:val="00081009"/>
    <w:rsid w:val="00084483"/>
    <w:rsid w:val="000847AD"/>
    <w:rsid w:val="00085E5F"/>
    <w:rsid w:val="0009201C"/>
    <w:rsid w:val="000930B2"/>
    <w:rsid w:val="000A2F47"/>
    <w:rsid w:val="000A4B4E"/>
    <w:rsid w:val="000B19C1"/>
    <w:rsid w:val="000B1B14"/>
    <w:rsid w:val="000C2C88"/>
    <w:rsid w:val="000C364F"/>
    <w:rsid w:val="000D66D6"/>
    <w:rsid w:val="000E1E2C"/>
    <w:rsid w:val="000E1EBF"/>
    <w:rsid w:val="000E314A"/>
    <w:rsid w:val="000E4A62"/>
    <w:rsid w:val="00133954"/>
    <w:rsid w:val="00141AA1"/>
    <w:rsid w:val="001446E7"/>
    <w:rsid w:val="00146402"/>
    <w:rsid w:val="001541EA"/>
    <w:rsid w:val="00155E88"/>
    <w:rsid w:val="00162DE2"/>
    <w:rsid w:val="00166DDA"/>
    <w:rsid w:val="00170ABD"/>
    <w:rsid w:val="001716CD"/>
    <w:rsid w:val="001827E8"/>
    <w:rsid w:val="00183F50"/>
    <w:rsid w:val="00184F1E"/>
    <w:rsid w:val="001C45FF"/>
    <w:rsid w:val="001D663E"/>
    <w:rsid w:val="001E1DC0"/>
    <w:rsid w:val="001E52EA"/>
    <w:rsid w:val="001F5C34"/>
    <w:rsid w:val="00212FB7"/>
    <w:rsid w:val="002317C0"/>
    <w:rsid w:val="00236A53"/>
    <w:rsid w:val="0024422C"/>
    <w:rsid w:val="00250515"/>
    <w:rsid w:val="002547C0"/>
    <w:rsid w:val="002600B1"/>
    <w:rsid w:val="00272B5F"/>
    <w:rsid w:val="00275DB7"/>
    <w:rsid w:val="00284957"/>
    <w:rsid w:val="0028602A"/>
    <w:rsid w:val="00293159"/>
    <w:rsid w:val="0029751E"/>
    <w:rsid w:val="002A13C0"/>
    <w:rsid w:val="002A4066"/>
    <w:rsid w:val="002A4A0E"/>
    <w:rsid w:val="002A51CA"/>
    <w:rsid w:val="002A62C8"/>
    <w:rsid w:val="002B3E95"/>
    <w:rsid w:val="002B5E10"/>
    <w:rsid w:val="002B6D60"/>
    <w:rsid w:val="002C6FAB"/>
    <w:rsid w:val="002D0DBC"/>
    <w:rsid w:val="002D6929"/>
    <w:rsid w:val="002F6ED0"/>
    <w:rsid w:val="003002C0"/>
    <w:rsid w:val="00301144"/>
    <w:rsid w:val="003148B7"/>
    <w:rsid w:val="003158C3"/>
    <w:rsid w:val="00323E53"/>
    <w:rsid w:val="003274CD"/>
    <w:rsid w:val="003325FD"/>
    <w:rsid w:val="00333501"/>
    <w:rsid w:val="0033413A"/>
    <w:rsid w:val="003457C4"/>
    <w:rsid w:val="00347EC3"/>
    <w:rsid w:val="0035119D"/>
    <w:rsid w:val="00353365"/>
    <w:rsid w:val="00355299"/>
    <w:rsid w:val="0037202A"/>
    <w:rsid w:val="003722BB"/>
    <w:rsid w:val="00375EB5"/>
    <w:rsid w:val="0037650F"/>
    <w:rsid w:val="00380104"/>
    <w:rsid w:val="00391BEB"/>
    <w:rsid w:val="0039555D"/>
    <w:rsid w:val="003A19B7"/>
    <w:rsid w:val="003B0FD8"/>
    <w:rsid w:val="003B4F12"/>
    <w:rsid w:val="003C14B0"/>
    <w:rsid w:val="003C38C9"/>
    <w:rsid w:val="003C6D4E"/>
    <w:rsid w:val="003D352D"/>
    <w:rsid w:val="003E305C"/>
    <w:rsid w:val="003F1399"/>
    <w:rsid w:val="00400B0F"/>
    <w:rsid w:val="00402ACC"/>
    <w:rsid w:val="004120EC"/>
    <w:rsid w:val="0042041F"/>
    <w:rsid w:val="00423F31"/>
    <w:rsid w:val="00426270"/>
    <w:rsid w:val="004265C7"/>
    <w:rsid w:val="00431899"/>
    <w:rsid w:val="00433A3D"/>
    <w:rsid w:val="00436526"/>
    <w:rsid w:val="00443378"/>
    <w:rsid w:val="004434EC"/>
    <w:rsid w:val="00450473"/>
    <w:rsid w:val="004527D9"/>
    <w:rsid w:val="00467318"/>
    <w:rsid w:val="00480422"/>
    <w:rsid w:val="00480CF2"/>
    <w:rsid w:val="00482D19"/>
    <w:rsid w:val="004839E3"/>
    <w:rsid w:val="00486804"/>
    <w:rsid w:val="00491872"/>
    <w:rsid w:val="00494CC9"/>
    <w:rsid w:val="004977A1"/>
    <w:rsid w:val="004A08CE"/>
    <w:rsid w:val="004B03AC"/>
    <w:rsid w:val="004B3775"/>
    <w:rsid w:val="004D0BA0"/>
    <w:rsid w:val="004E0264"/>
    <w:rsid w:val="004E058F"/>
    <w:rsid w:val="004E3B87"/>
    <w:rsid w:val="004F6B1D"/>
    <w:rsid w:val="00510921"/>
    <w:rsid w:val="00510AD3"/>
    <w:rsid w:val="00513348"/>
    <w:rsid w:val="00517BF6"/>
    <w:rsid w:val="00533B5D"/>
    <w:rsid w:val="00550890"/>
    <w:rsid w:val="005511BF"/>
    <w:rsid w:val="00567465"/>
    <w:rsid w:val="00580A64"/>
    <w:rsid w:val="005834BB"/>
    <w:rsid w:val="0059146A"/>
    <w:rsid w:val="0059559B"/>
    <w:rsid w:val="005A06C8"/>
    <w:rsid w:val="005A7113"/>
    <w:rsid w:val="005B027B"/>
    <w:rsid w:val="005B1F70"/>
    <w:rsid w:val="005B5631"/>
    <w:rsid w:val="005B5769"/>
    <w:rsid w:val="005B6CF8"/>
    <w:rsid w:val="005C597B"/>
    <w:rsid w:val="005C78DB"/>
    <w:rsid w:val="005D3655"/>
    <w:rsid w:val="005D5723"/>
    <w:rsid w:val="005E2D1D"/>
    <w:rsid w:val="005E606B"/>
    <w:rsid w:val="005F37B8"/>
    <w:rsid w:val="005F7B6F"/>
    <w:rsid w:val="00607CBC"/>
    <w:rsid w:val="006130E8"/>
    <w:rsid w:val="00616B65"/>
    <w:rsid w:val="0062382F"/>
    <w:rsid w:val="00623BA1"/>
    <w:rsid w:val="00630807"/>
    <w:rsid w:val="006346BC"/>
    <w:rsid w:val="00645725"/>
    <w:rsid w:val="0065044C"/>
    <w:rsid w:val="006545B9"/>
    <w:rsid w:val="0066652A"/>
    <w:rsid w:val="00667624"/>
    <w:rsid w:val="00671583"/>
    <w:rsid w:val="0067254F"/>
    <w:rsid w:val="006764F0"/>
    <w:rsid w:val="00680522"/>
    <w:rsid w:val="00681F08"/>
    <w:rsid w:val="00682167"/>
    <w:rsid w:val="00695730"/>
    <w:rsid w:val="006A1B49"/>
    <w:rsid w:val="006A522B"/>
    <w:rsid w:val="006C42AF"/>
    <w:rsid w:val="006C70E0"/>
    <w:rsid w:val="006F27B1"/>
    <w:rsid w:val="006F3A86"/>
    <w:rsid w:val="006F4992"/>
    <w:rsid w:val="00711D8E"/>
    <w:rsid w:val="00712672"/>
    <w:rsid w:val="00723C26"/>
    <w:rsid w:val="00734E3F"/>
    <w:rsid w:val="007367F9"/>
    <w:rsid w:val="00736985"/>
    <w:rsid w:val="00745DF5"/>
    <w:rsid w:val="00746500"/>
    <w:rsid w:val="00754876"/>
    <w:rsid w:val="0076250F"/>
    <w:rsid w:val="00762D05"/>
    <w:rsid w:val="00771B53"/>
    <w:rsid w:val="00773596"/>
    <w:rsid w:val="00774AF8"/>
    <w:rsid w:val="00775B4F"/>
    <w:rsid w:val="00784031"/>
    <w:rsid w:val="00786859"/>
    <w:rsid w:val="007A13AE"/>
    <w:rsid w:val="007A6119"/>
    <w:rsid w:val="007A61AD"/>
    <w:rsid w:val="007B4C4E"/>
    <w:rsid w:val="007B6200"/>
    <w:rsid w:val="007B63CB"/>
    <w:rsid w:val="007C1B0F"/>
    <w:rsid w:val="007C5A10"/>
    <w:rsid w:val="007D6A46"/>
    <w:rsid w:val="007E0CAC"/>
    <w:rsid w:val="007E6475"/>
    <w:rsid w:val="007F0422"/>
    <w:rsid w:val="007F3395"/>
    <w:rsid w:val="00801B9F"/>
    <w:rsid w:val="008057FD"/>
    <w:rsid w:val="00812509"/>
    <w:rsid w:val="00816235"/>
    <w:rsid w:val="008317B9"/>
    <w:rsid w:val="008433E9"/>
    <w:rsid w:val="008471A6"/>
    <w:rsid w:val="008475F0"/>
    <w:rsid w:val="00853119"/>
    <w:rsid w:val="00864210"/>
    <w:rsid w:val="00877607"/>
    <w:rsid w:val="008828B1"/>
    <w:rsid w:val="008834ED"/>
    <w:rsid w:val="008A309C"/>
    <w:rsid w:val="008A5AFE"/>
    <w:rsid w:val="008A5EF0"/>
    <w:rsid w:val="008B68D7"/>
    <w:rsid w:val="008B70EF"/>
    <w:rsid w:val="008B7798"/>
    <w:rsid w:val="008C1957"/>
    <w:rsid w:val="008C2F58"/>
    <w:rsid w:val="008C5A0E"/>
    <w:rsid w:val="008C79BA"/>
    <w:rsid w:val="008D4779"/>
    <w:rsid w:val="008D712B"/>
    <w:rsid w:val="008F56A8"/>
    <w:rsid w:val="00902FF0"/>
    <w:rsid w:val="00912633"/>
    <w:rsid w:val="00916FB1"/>
    <w:rsid w:val="009241B4"/>
    <w:rsid w:val="00941575"/>
    <w:rsid w:val="00953D28"/>
    <w:rsid w:val="0098458E"/>
    <w:rsid w:val="009903F3"/>
    <w:rsid w:val="00992C76"/>
    <w:rsid w:val="009A6FD4"/>
    <w:rsid w:val="009B4D3B"/>
    <w:rsid w:val="009B70A5"/>
    <w:rsid w:val="009C124D"/>
    <w:rsid w:val="009D7407"/>
    <w:rsid w:val="009D7B48"/>
    <w:rsid w:val="009E0866"/>
    <w:rsid w:val="009F5488"/>
    <w:rsid w:val="009F6423"/>
    <w:rsid w:val="00A10CE8"/>
    <w:rsid w:val="00A13F8A"/>
    <w:rsid w:val="00A14D6B"/>
    <w:rsid w:val="00A16650"/>
    <w:rsid w:val="00A168F1"/>
    <w:rsid w:val="00A1707A"/>
    <w:rsid w:val="00A24045"/>
    <w:rsid w:val="00A24A62"/>
    <w:rsid w:val="00A31BF1"/>
    <w:rsid w:val="00A31C9F"/>
    <w:rsid w:val="00A358F9"/>
    <w:rsid w:val="00A4144F"/>
    <w:rsid w:val="00A56F14"/>
    <w:rsid w:val="00A56FC0"/>
    <w:rsid w:val="00A61D9A"/>
    <w:rsid w:val="00A62530"/>
    <w:rsid w:val="00A6448C"/>
    <w:rsid w:val="00A70265"/>
    <w:rsid w:val="00A80F95"/>
    <w:rsid w:val="00A8197B"/>
    <w:rsid w:val="00A84162"/>
    <w:rsid w:val="00A92CF2"/>
    <w:rsid w:val="00A938DA"/>
    <w:rsid w:val="00A94E8A"/>
    <w:rsid w:val="00AA501A"/>
    <w:rsid w:val="00AA56A8"/>
    <w:rsid w:val="00AA5FA7"/>
    <w:rsid w:val="00AA7BE3"/>
    <w:rsid w:val="00AB5E7F"/>
    <w:rsid w:val="00AC164A"/>
    <w:rsid w:val="00AD27EB"/>
    <w:rsid w:val="00AE03BC"/>
    <w:rsid w:val="00AE2B01"/>
    <w:rsid w:val="00AE7884"/>
    <w:rsid w:val="00AF061E"/>
    <w:rsid w:val="00AF0F3F"/>
    <w:rsid w:val="00AF1B85"/>
    <w:rsid w:val="00AF2050"/>
    <w:rsid w:val="00B03CA8"/>
    <w:rsid w:val="00B1101D"/>
    <w:rsid w:val="00B12980"/>
    <w:rsid w:val="00B158B0"/>
    <w:rsid w:val="00B25E73"/>
    <w:rsid w:val="00B331DC"/>
    <w:rsid w:val="00B438D3"/>
    <w:rsid w:val="00B55E19"/>
    <w:rsid w:val="00B57272"/>
    <w:rsid w:val="00B717A8"/>
    <w:rsid w:val="00B71E4D"/>
    <w:rsid w:val="00B754C8"/>
    <w:rsid w:val="00B80DAD"/>
    <w:rsid w:val="00B8475C"/>
    <w:rsid w:val="00B87585"/>
    <w:rsid w:val="00B907C7"/>
    <w:rsid w:val="00BA1E10"/>
    <w:rsid w:val="00BA22DD"/>
    <w:rsid w:val="00BA3DAD"/>
    <w:rsid w:val="00BA4B6D"/>
    <w:rsid w:val="00BA5EAF"/>
    <w:rsid w:val="00BB26C5"/>
    <w:rsid w:val="00BB36AA"/>
    <w:rsid w:val="00BB4027"/>
    <w:rsid w:val="00BB648A"/>
    <w:rsid w:val="00BC304A"/>
    <w:rsid w:val="00BC6980"/>
    <w:rsid w:val="00BD26C9"/>
    <w:rsid w:val="00BD29CD"/>
    <w:rsid w:val="00BD3DE8"/>
    <w:rsid w:val="00BE1BEB"/>
    <w:rsid w:val="00BF2AD4"/>
    <w:rsid w:val="00BF3260"/>
    <w:rsid w:val="00BF4DE6"/>
    <w:rsid w:val="00C057CD"/>
    <w:rsid w:val="00C22977"/>
    <w:rsid w:val="00C33BA3"/>
    <w:rsid w:val="00C345CF"/>
    <w:rsid w:val="00C42CDE"/>
    <w:rsid w:val="00C44DC6"/>
    <w:rsid w:val="00C5182A"/>
    <w:rsid w:val="00C523F9"/>
    <w:rsid w:val="00C547B0"/>
    <w:rsid w:val="00C56C26"/>
    <w:rsid w:val="00C56C62"/>
    <w:rsid w:val="00C6297B"/>
    <w:rsid w:val="00C63EE9"/>
    <w:rsid w:val="00C64271"/>
    <w:rsid w:val="00C64C35"/>
    <w:rsid w:val="00C6626C"/>
    <w:rsid w:val="00C6752E"/>
    <w:rsid w:val="00C7139B"/>
    <w:rsid w:val="00C73C66"/>
    <w:rsid w:val="00C76D2D"/>
    <w:rsid w:val="00CA37B1"/>
    <w:rsid w:val="00CA50EF"/>
    <w:rsid w:val="00CA7371"/>
    <w:rsid w:val="00CB1959"/>
    <w:rsid w:val="00CB244C"/>
    <w:rsid w:val="00CC0B16"/>
    <w:rsid w:val="00CC2EC6"/>
    <w:rsid w:val="00CC4767"/>
    <w:rsid w:val="00CD0E4B"/>
    <w:rsid w:val="00CD1652"/>
    <w:rsid w:val="00CE0155"/>
    <w:rsid w:val="00CE2B3E"/>
    <w:rsid w:val="00CF670F"/>
    <w:rsid w:val="00CF6FF5"/>
    <w:rsid w:val="00D00802"/>
    <w:rsid w:val="00D0296C"/>
    <w:rsid w:val="00D061BB"/>
    <w:rsid w:val="00D12584"/>
    <w:rsid w:val="00D146A2"/>
    <w:rsid w:val="00D15A00"/>
    <w:rsid w:val="00D20D39"/>
    <w:rsid w:val="00D2653F"/>
    <w:rsid w:val="00D44BA1"/>
    <w:rsid w:val="00D50D60"/>
    <w:rsid w:val="00D56346"/>
    <w:rsid w:val="00D57FFE"/>
    <w:rsid w:val="00D6147B"/>
    <w:rsid w:val="00D64BD1"/>
    <w:rsid w:val="00D72760"/>
    <w:rsid w:val="00D812F1"/>
    <w:rsid w:val="00D91631"/>
    <w:rsid w:val="00D93DD8"/>
    <w:rsid w:val="00DA767E"/>
    <w:rsid w:val="00DD1986"/>
    <w:rsid w:val="00DD2869"/>
    <w:rsid w:val="00DD3362"/>
    <w:rsid w:val="00DD3FAF"/>
    <w:rsid w:val="00DD4EE7"/>
    <w:rsid w:val="00DD6942"/>
    <w:rsid w:val="00DE084C"/>
    <w:rsid w:val="00DF55AA"/>
    <w:rsid w:val="00E01C51"/>
    <w:rsid w:val="00E01C62"/>
    <w:rsid w:val="00E01E95"/>
    <w:rsid w:val="00E16F80"/>
    <w:rsid w:val="00E26B6B"/>
    <w:rsid w:val="00E3522B"/>
    <w:rsid w:val="00E357B7"/>
    <w:rsid w:val="00E36F44"/>
    <w:rsid w:val="00E50EEB"/>
    <w:rsid w:val="00E53800"/>
    <w:rsid w:val="00E6081F"/>
    <w:rsid w:val="00E60FC9"/>
    <w:rsid w:val="00E65105"/>
    <w:rsid w:val="00E6530E"/>
    <w:rsid w:val="00E87B99"/>
    <w:rsid w:val="00E9577E"/>
    <w:rsid w:val="00E960C7"/>
    <w:rsid w:val="00EA04B2"/>
    <w:rsid w:val="00EA20F3"/>
    <w:rsid w:val="00EA41C1"/>
    <w:rsid w:val="00EA6E81"/>
    <w:rsid w:val="00ED1CD6"/>
    <w:rsid w:val="00ED2831"/>
    <w:rsid w:val="00ED43D1"/>
    <w:rsid w:val="00ED66F4"/>
    <w:rsid w:val="00EE4EE1"/>
    <w:rsid w:val="00EE7B08"/>
    <w:rsid w:val="00EF1BF5"/>
    <w:rsid w:val="00EF26B5"/>
    <w:rsid w:val="00EF2947"/>
    <w:rsid w:val="00EF4574"/>
    <w:rsid w:val="00EF4AD9"/>
    <w:rsid w:val="00F00328"/>
    <w:rsid w:val="00F0304F"/>
    <w:rsid w:val="00F06182"/>
    <w:rsid w:val="00F06378"/>
    <w:rsid w:val="00F13D4A"/>
    <w:rsid w:val="00F148DC"/>
    <w:rsid w:val="00F156D6"/>
    <w:rsid w:val="00F203F6"/>
    <w:rsid w:val="00F23611"/>
    <w:rsid w:val="00F2684E"/>
    <w:rsid w:val="00F27D08"/>
    <w:rsid w:val="00F30714"/>
    <w:rsid w:val="00F4140A"/>
    <w:rsid w:val="00F44089"/>
    <w:rsid w:val="00F51130"/>
    <w:rsid w:val="00F5404C"/>
    <w:rsid w:val="00F654C0"/>
    <w:rsid w:val="00F729EF"/>
    <w:rsid w:val="00F7583B"/>
    <w:rsid w:val="00F77CAE"/>
    <w:rsid w:val="00F813BC"/>
    <w:rsid w:val="00F8189A"/>
    <w:rsid w:val="00F81B6E"/>
    <w:rsid w:val="00F82271"/>
    <w:rsid w:val="00F83428"/>
    <w:rsid w:val="00F84330"/>
    <w:rsid w:val="00F92447"/>
    <w:rsid w:val="00F937EC"/>
    <w:rsid w:val="00F96BB9"/>
    <w:rsid w:val="00FA65C3"/>
    <w:rsid w:val="00FB2888"/>
    <w:rsid w:val="00FB4F75"/>
    <w:rsid w:val="00FC6395"/>
    <w:rsid w:val="00FD1A25"/>
    <w:rsid w:val="00FD5E70"/>
    <w:rsid w:val="00FE3B21"/>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0529">
      <o:colormenu v:ext="edit" fillcolor="none [3212]"/>
    </o:shapedefaults>
    <o:shapelayout v:ext="edit">
      <o:idmap v:ext="edit" data="1"/>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24D"/>
    <w:pPr>
      <w:ind w:left="720"/>
      <w:contextualSpacing/>
    </w:pPr>
  </w:style>
  <w:style w:type="character" w:styleId="FollowedHyperlink">
    <w:name w:val="FollowedHyperlink"/>
    <w:basedOn w:val="DefaultParagraphFont"/>
    <w:uiPriority w:val="99"/>
    <w:semiHidden/>
    <w:unhideWhenUsed/>
    <w:rsid w:val="00AA501A"/>
    <w:rPr>
      <w:color w:val="800080" w:themeColor="followedHyperlink"/>
      <w:u w:val="single"/>
    </w:rPr>
  </w:style>
  <w:style w:type="character" w:styleId="CommentReference">
    <w:name w:val="annotation reference"/>
    <w:basedOn w:val="DefaultParagraphFont"/>
    <w:uiPriority w:val="99"/>
    <w:semiHidden/>
    <w:unhideWhenUsed/>
    <w:rsid w:val="00A1707A"/>
    <w:rPr>
      <w:sz w:val="16"/>
      <w:szCs w:val="16"/>
    </w:rPr>
  </w:style>
  <w:style w:type="paragraph" w:styleId="CommentText">
    <w:name w:val="annotation text"/>
    <w:basedOn w:val="Normal"/>
    <w:link w:val="CommentTextChar"/>
    <w:uiPriority w:val="99"/>
    <w:semiHidden/>
    <w:unhideWhenUsed/>
    <w:rsid w:val="00A1707A"/>
    <w:pPr>
      <w:spacing w:line="240" w:lineRule="auto"/>
    </w:pPr>
    <w:rPr>
      <w:sz w:val="20"/>
      <w:szCs w:val="20"/>
    </w:rPr>
  </w:style>
  <w:style w:type="character" w:customStyle="1" w:styleId="CommentTextChar">
    <w:name w:val="Comment Text Char"/>
    <w:basedOn w:val="DefaultParagraphFont"/>
    <w:link w:val="CommentText"/>
    <w:uiPriority w:val="99"/>
    <w:semiHidden/>
    <w:rsid w:val="00A1707A"/>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A1707A"/>
    <w:rPr>
      <w:b/>
      <w:bCs/>
    </w:rPr>
  </w:style>
  <w:style w:type="character" w:customStyle="1" w:styleId="CommentSubjectChar">
    <w:name w:val="Comment Subject Char"/>
    <w:basedOn w:val="CommentTextChar"/>
    <w:link w:val="CommentSubject"/>
    <w:uiPriority w:val="99"/>
    <w:semiHidden/>
    <w:rsid w:val="00A1707A"/>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8401">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655763702">
      <w:bodyDiv w:val="1"/>
      <w:marLeft w:val="0"/>
      <w:marRight w:val="0"/>
      <w:marTop w:val="0"/>
      <w:marBottom w:val="0"/>
      <w:divBdr>
        <w:top w:val="none" w:sz="0" w:space="0" w:color="auto"/>
        <w:left w:val="none" w:sz="0" w:space="0" w:color="auto"/>
        <w:bottom w:val="none" w:sz="0" w:space="0" w:color="auto"/>
        <w:right w:val="none" w:sz="0" w:space="0" w:color="auto"/>
      </w:divBdr>
    </w:div>
    <w:div w:id="16759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eader" Target="header8.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7.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header" Target="header4.xm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7156C-2EE2-4E32-A227-AA70B6BD70E5}"/>
</file>

<file path=customXml/itemProps2.xml><?xml version="1.0" encoding="utf-8"?>
<ds:datastoreItem xmlns:ds="http://schemas.openxmlformats.org/officeDocument/2006/customXml" ds:itemID="{070A0116-5215-4C52-9A08-356AF27D42C0}"/>
</file>

<file path=customXml/itemProps3.xml><?xml version="1.0" encoding="utf-8"?>
<ds:datastoreItem xmlns:ds="http://schemas.openxmlformats.org/officeDocument/2006/customXml" ds:itemID="{45B207AD-2916-413A-A472-037E20C2DFC8}"/>
</file>

<file path=customXml/itemProps4.xml><?xml version="1.0" encoding="utf-8"?>
<ds:datastoreItem xmlns:ds="http://schemas.openxmlformats.org/officeDocument/2006/customXml" ds:itemID="{AB6D53F8-D88A-4209-BCDE-99F70C728555}"/>
</file>

<file path=docProps/app.xml><?xml version="1.0" encoding="utf-8"?>
<Properties xmlns="http://schemas.openxmlformats.org/officeDocument/2006/extended-properties" xmlns:vt="http://schemas.openxmlformats.org/officeDocument/2006/docPropsVTypes">
  <Template>Normal.dotm</Template>
  <TotalTime>0</TotalTime>
  <Pages>13</Pages>
  <Words>4650</Words>
  <Characters>26510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2019-09-20T00:28:00Z</dcterms:created>
  <dcterms:modified xsi:type="dcterms:W3CDTF">2019-09-20T00:28:00Z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6c03a5f2-4967-463d-977c-7f8f69d9fd73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1263800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