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8.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FE0ECDD" w14:textId="77777777" w:rsidR="003D352D" w:rsidRDefault="00A56F14" w:rsidP="00D146A2">
      <w:bookmarkStart w:id="0" w:name="_GoBack"/>
      <w:bookmarkEnd w:id="0"/>
      <w:r>
        <w:rPr>
          <w:noProof/>
          <w:lang w:val="en-AU" w:eastAsia="en-AU"/>
        </w:rPr>
        <w:drawing>
          <wp:anchor distT="0" distB="0" distL="114300" distR="114300" simplePos="0" relativeHeight="251661312" behindDoc="1" locked="1" layoutInCell="1" allowOverlap="1" wp14:anchorId="7250358B" wp14:editId="0A230657">
            <wp:simplePos x="0" y="0"/>
            <wp:positionH relativeFrom="page">
              <wp:posOffset>872490</wp:posOffset>
            </wp:positionH>
            <wp:positionV relativeFrom="page">
              <wp:posOffset>1561465</wp:posOffset>
            </wp:positionV>
            <wp:extent cx="3167380" cy="5543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7380" cy="554355"/>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9264" behindDoc="1" locked="1" layoutInCell="1" allowOverlap="1" wp14:anchorId="7CB7005C" wp14:editId="1395B193">
            <wp:simplePos x="0" y="0"/>
            <wp:positionH relativeFrom="page">
              <wp:posOffset>-23495</wp:posOffset>
            </wp:positionH>
            <wp:positionV relativeFrom="page">
              <wp:posOffset>15875</wp:posOffset>
            </wp:positionV>
            <wp:extent cx="7585075" cy="106940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Cover-1-Gradient-Mask.png"/>
                    <pic:cNvPicPr/>
                  </pic:nvPicPr>
                  <pic:blipFill>
                    <a:blip r:embed="rId9">
                      <a:extLst>
                        <a:ext uri="{28A0092B-C50C-407E-A947-70E740481C1C}">
                          <a14:useLocalDpi xmlns:a14="http://schemas.microsoft.com/office/drawing/2010/main" val="0"/>
                        </a:ext>
                      </a:extLst>
                    </a:blip>
                    <a:stretch>
                      <a:fillRect/>
                    </a:stretch>
                  </pic:blipFill>
                  <pic:spPr>
                    <a:xfrm>
                      <a:off x="0" y="0"/>
                      <a:ext cx="7585075" cy="10694035"/>
                    </a:xfrm>
                    <a:prstGeom prst="rect">
                      <a:avLst/>
                    </a:prstGeom>
                  </pic:spPr>
                </pic:pic>
              </a:graphicData>
            </a:graphic>
            <wp14:sizeRelH relativeFrom="margin">
              <wp14:pctWidth>0</wp14:pctWidth>
            </wp14:sizeRelH>
            <wp14:sizeRelV relativeFrom="margin">
              <wp14:pctHeight>0</wp14:pctHeight>
            </wp14:sizeRelV>
          </wp:anchor>
        </w:drawing>
      </w:r>
    </w:p>
    <w:p w14:paraId="72EBDE4E" w14:textId="77777777" w:rsidR="003D352D" w:rsidRDefault="003D352D" w:rsidP="00D146A2"/>
    <w:p w14:paraId="5DBC58A2" w14:textId="77777777" w:rsidR="003D352D" w:rsidRDefault="003D352D" w:rsidP="00D146A2"/>
    <w:p w14:paraId="1DA13A43" w14:textId="77777777" w:rsidR="003D352D" w:rsidRDefault="003D352D" w:rsidP="00D146A2"/>
    <w:p w14:paraId="4D44D609" w14:textId="77777777" w:rsidR="003D352D" w:rsidRDefault="003D352D" w:rsidP="00D146A2"/>
    <w:p w14:paraId="64D3EBDD" w14:textId="77777777" w:rsidR="003D352D" w:rsidRDefault="003D352D" w:rsidP="00D146A2"/>
    <w:p w14:paraId="310C59E6" w14:textId="77777777" w:rsidR="003D352D" w:rsidRDefault="003D352D" w:rsidP="00D146A2"/>
    <w:p w14:paraId="41E19383" w14:textId="77777777" w:rsidR="003D352D" w:rsidRDefault="003D352D" w:rsidP="00D146A2"/>
    <w:p w14:paraId="05E4E2F5" w14:textId="77777777" w:rsidR="003D352D" w:rsidRDefault="003D352D" w:rsidP="00D146A2"/>
    <w:p w14:paraId="38E386BA" w14:textId="77777777" w:rsidR="003D352D" w:rsidRDefault="003D352D" w:rsidP="00D146A2"/>
    <w:p w14:paraId="0BB4707B" w14:textId="77777777" w:rsidR="003D352D" w:rsidRDefault="003D352D" w:rsidP="00D146A2"/>
    <w:p w14:paraId="244BC92C" w14:textId="77777777" w:rsidR="003D352D" w:rsidRDefault="003D352D" w:rsidP="00D146A2"/>
    <w:p w14:paraId="0A715017" w14:textId="77777777" w:rsidR="003D352D" w:rsidRDefault="003D352D" w:rsidP="00D146A2"/>
    <w:p w14:paraId="381A3130" w14:textId="77777777" w:rsidR="003D352D" w:rsidRDefault="003D352D" w:rsidP="00D146A2"/>
    <w:p w14:paraId="5FDDC611" w14:textId="77777777" w:rsidR="003D352D" w:rsidRDefault="003D352D" w:rsidP="00D146A2"/>
    <w:p w14:paraId="5A046CE4" w14:textId="77777777" w:rsidR="003D352D" w:rsidRDefault="003D352D" w:rsidP="00D146A2"/>
    <w:p w14:paraId="76D24430" w14:textId="77777777" w:rsidR="003D352D" w:rsidRPr="0059146A" w:rsidRDefault="003D352D" w:rsidP="0059146A"/>
    <w:p w14:paraId="7B8ECBB6" w14:textId="77777777" w:rsidR="003D352D" w:rsidRPr="0059146A" w:rsidRDefault="003D352D" w:rsidP="0059146A"/>
    <w:p w14:paraId="302A0313" w14:textId="77777777" w:rsidR="003D352D" w:rsidRPr="0059146A" w:rsidRDefault="003D352D" w:rsidP="0059146A"/>
    <w:p w14:paraId="56C4B06A" w14:textId="77777777" w:rsidR="003D352D" w:rsidRPr="0059146A" w:rsidRDefault="003D352D" w:rsidP="0059146A"/>
    <w:p w14:paraId="52B0BB68" w14:textId="77777777" w:rsidR="003D352D" w:rsidRPr="0059146A" w:rsidRDefault="003D352D" w:rsidP="0059146A"/>
    <w:p w14:paraId="61126A02" w14:textId="77777777" w:rsidR="003D352D" w:rsidRPr="0059146A" w:rsidRDefault="003D352D" w:rsidP="0059146A"/>
    <w:p w14:paraId="1A79B7C7" w14:textId="77777777" w:rsidR="00A56F14" w:rsidRPr="0059146A" w:rsidRDefault="00A56F14" w:rsidP="00A56F14"/>
    <w:p w14:paraId="4A8C1A18" w14:textId="77777777" w:rsidR="00A56F14" w:rsidRPr="0059146A" w:rsidRDefault="00A56F14" w:rsidP="0059146A"/>
    <w:p w14:paraId="7BD1EB86" w14:textId="77777777" w:rsidR="00A56F14" w:rsidRDefault="00A56F14" w:rsidP="0059146A"/>
    <w:p w14:paraId="3F456798" w14:textId="77777777" w:rsidR="0059146A" w:rsidRDefault="0059146A" w:rsidP="0059146A"/>
    <w:p w14:paraId="64A40C0E" w14:textId="77777777" w:rsidR="0059146A" w:rsidRDefault="0059146A" w:rsidP="0059146A"/>
    <w:p w14:paraId="046F6D20" w14:textId="77777777" w:rsidR="0059146A" w:rsidRDefault="0059146A" w:rsidP="0059146A"/>
    <w:p w14:paraId="41BA17A7" w14:textId="77777777" w:rsidR="0059146A" w:rsidRPr="0059146A" w:rsidRDefault="0059146A" w:rsidP="0059146A"/>
    <w:p w14:paraId="1B2A2FE5" w14:textId="77777777" w:rsidR="003D352D" w:rsidRDefault="00A56F14" w:rsidP="003D352D">
      <w:pPr>
        <w:pStyle w:val="Title"/>
        <w:spacing w:after="120" w:line="600" w:lineRule="exact"/>
        <w:rPr>
          <w:spacing w:val="-20"/>
          <w:sz w:val="60"/>
        </w:rPr>
      </w:pPr>
      <w:r>
        <w:rPr>
          <w:spacing w:val="-20"/>
          <w:sz w:val="60"/>
        </w:rPr>
        <w:t>Aid program performance</w:t>
      </w:r>
      <w:r w:rsidR="003D352D" w:rsidRPr="003D352D">
        <w:rPr>
          <w:spacing w:val="-20"/>
          <w:sz w:val="60"/>
        </w:rPr>
        <w:t xml:space="preserve"> </w:t>
      </w:r>
      <w:r>
        <w:rPr>
          <w:spacing w:val="-20"/>
          <w:sz w:val="60"/>
        </w:rPr>
        <w:t>report 201</w:t>
      </w:r>
      <w:r w:rsidR="00580A64">
        <w:rPr>
          <w:spacing w:val="-20"/>
          <w:sz w:val="60"/>
        </w:rPr>
        <w:t>7</w:t>
      </w:r>
      <w:r>
        <w:rPr>
          <w:spacing w:val="-20"/>
          <w:sz w:val="60"/>
        </w:rPr>
        <w:t>-1</w:t>
      </w:r>
      <w:r w:rsidR="00580A64">
        <w:rPr>
          <w:spacing w:val="-20"/>
          <w:sz w:val="60"/>
        </w:rPr>
        <w:t>8</w:t>
      </w:r>
    </w:p>
    <w:p w14:paraId="3C7C2FF2" w14:textId="77777777" w:rsidR="0059146A" w:rsidRDefault="00484574" w:rsidP="00A56F14">
      <w:pPr>
        <w:rPr>
          <w:sz w:val="24"/>
        </w:rPr>
        <w:sectPr w:rsidR="0059146A" w:rsidSect="00A56F14">
          <w:headerReference w:type="even" r:id="rId10"/>
          <w:headerReference w:type="default" r:id="rId11"/>
          <w:footerReference w:type="even" r:id="rId12"/>
          <w:footerReference w:type="default" r:id="rId13"/>
          <w:headerReference w:type="first" r:id="rId14"/>
          <w:footerReference w:type="first" r:id="rId15"/>
          <w:pgSz w:w="11906" w:h="16838" w:code="9"/>
          <w:pgMar w:top="1952" w:right="1134" w:bottom="851" w:left="1134" w:header="1814" w:footer="567" w:gutter="0"/>
          <w:cols w:space="397"/>
          <w:titlePg/>
          <w:docGrid w:linePitch="360"/>
        </w:sectPr>
      </w:pPr>
      <w:r>
        <w:rPr>
          <w:sz w:val="40"/>
        </w:rPr>
        <w:t>Palestinian Territories</w:t>
      </w:r>
      <w:r w:rsidR="0059146A">
        <w:rPr>
          <w:sz w:val="40"/>
        </w:rPr>
        <w:br/>
      </w:r>
      <w:r w:rsidR="0059146A" w:rsidRPr="0059146A">
        <w:rPr>
          <w:sz w:val="24"/>
        </w:rPr>
        <w:t>September 201</w:t>
      </w:r>
      <w:r w:rsidR="00580A64">
        <w:rPr>
          <w:sz w:val="24"/>
        </w:rPr>
        <w:t>8</w:t>
      </w:r>
    </w:p>
    <w:p w14:paraId="034822E5" w14:textId="77777777" w:rsidR="005B5769" w:rsidRPr="00B438D3" w:rsidRDefault="00A636BC" w:rsidP="00B438D3">
      <w:pPr>
        <w:pStyle w:val="Title"/>
      </w:pPr>
      <w:r>
        <w:lastRenderedPageBreak/>
        <w:t>palestinian territories</w:t>
      </w:r>
      <w:r w:rsidR="005B5769" w:rsidRPr="00B438D3">
        <w:t xml:space="preserve"> Aid Program Performance Information 201</w:t>
      </w:r>
      <w:r w:rsidR="00580A64">
        <w:t>7</w:t>
      </w:r>
      <w:r w:rsidR="005B5769" w:rsidRPr="00B438D3">
        <w:t>-1</w:t>
      </w:r>
      <w:r w:rsidR="00580A64">
        <w:t>8</w:t>
      </w:r>
    </w:p>
    <w:p w14:paraId="016F65B7" w14:textId="77777777" w:rsidR="005B5769" w:rsidRPr="00C4114C" w:rsidRDefault="005B5769" w:rsidP="00B438D3">
      <w:pPr>
        <w:pStyle w:val="Subtitle"/>
      </w:pPr>
      <w:r w:rsidRPr="00C4114C">
        <w:t>Summary</w:t>
      </w:r>
    </w:p>
    <w:p w14:paraId="37FE4127" w14:textId="77777777" w:rsidR="008E02D3" w:rsidRDefault="008107AB" w:rsidP="008107AB">
      <w:pPr>
        <w:pStyle w:val="Default"/>
        <w:rPr>
          <w:rFonts w:asciiTheme="minorHAnsi" w:hAnsiTheme="minorHAnsi" w:cstheme="minorBidi"/>
          <w:color w:val="495965" w:themeColor="text2"/>
          <w:sz w:val="22"/>
          <w:szCs w:val="22"/>
          <w:lang w:val="en-GB"/>
        </w:rPr>
      </w:pPr>
      <w:r w:rsidRPr="00823A55">
        <w:rPr>
          <w:rFonts w:asciiTheme="minorHAnsi" w:hAnsiTheme="minorHAnsi" w:cstheme="minorBidi"/>
          <w:color w:val="495965" w:themeColor="text2"/>
          <w:sz w:val="22"/>
          <w:szCs w:val="22"/>
          <w:lang w:val="en-GB"/>
        </w:rPr>
        <w:t xml:space="preserve">This report summarises the performance of Australia’s aid program in the Palestinian </w:t>
      </w:r>
      <w:r w:rsidR="00AF5DA1" w:rsidRPr="00823A55">
        <w:rPr>
          <w:rFonts w:asciiTheme="minorHAnsi" w:hAnsiTheme="minorHAnsi" w:cstheme="minorBidi"/>
          <w:color w:val="495965" w:themeColor="text2"/>
          <w:sz w:val="22"/>
          <w:szCs w:val="22"/>
          <w:lang w:val="en-GB"/>
        </w:rPr>
        <w:t>Territories (PTs) from July 2017 to June 2018</w:t>
      </w:r>
      <w:r w:rsidRPr="00823A55">
        <w:rPr>
          <w:rFonts w:asciiTheme="minorHAnsi" w:hAnsiTheme="minorHAnsi" w:cstheme="minorBidi"/>
          <w:color w:val="495965" w:themeColor="text2"/>
          <w:sz w:val="22"/>
          <w:szCs w:val="22"/>
          <w:lang w:val="en-GB"/>
        </w:rPr>
        <w:t xml:space="preserve"> against the objectives articulated in the PTs Aid Investment Plan (2015-2019). </w:t>
      </w:r>
    </w:p>
    <w:p w14:paraId="50215A12" w14:textId="7475CA11" w:rsidR="008E02D3" w:rsidRDefault="008E02D3" w:rsidP="005C4399">
      <w:r>
        <w:t xml:space="preserve">The PTs - </w:t>
      </w:r>
      <w:r w:rsidR="008107AB" w:rsidRPr="00823A55">
        <w:t>consisting of th</w:t>
      </w:r>
      <w:r>
        <w:t xml:space="preserve">e West Bank and the Gaza Strip - </w:t>
      </w:r>
      <w:r w:rsidR="008107AB" w:rsidRPr="00823A55">
        <w:t>remain one of the poor</w:t>
      </w:r>
      <w:r>
        <w:t>est regions in the Middle East. Palestinian living</w:t>
      </w:r>
      <w:r w:rsidR="00D503DB">
        <w:t xml:space="preserve"> standards continued to decline.  </w:t>
      </w:r>
      <w:r>
        <w:t>Economic growth continued to stall in both the West Bank and Gaza but conditions were most acute in Gaza with unemployment at 44 per cent in 2017.  Gaza has undergone ‘de-development’ over the last two decades, accompanied by a decline of real</w:t>
      </w:r>
      <w:r w:rsidR="00841EB1">
        <w:t xml:space="preserve"> income per capita</w:t>
      </w:r>
      <w:r>
        <w:t xml:space="preserve"> by a third since 1994. The restrictions on movement of people and goods in to and out of Gaza have been a key factor in its economic deterioration.  The supply of water and electricity to Gaza continues to be a major issue.  The World Health Organisation has deemed 97 per cent of water in Gaza as unfit for human consumption, and the electricity supply fluctuates from four to five hours per day. </w:t>
      </w:r>
    </w:p>
    <w:p w14:paraId="1793019B" w14:textId="2488E745" w:rsidR="00E1143A" w:rsidRDefault="00A447DD" w:rsidP="008E02D3">
      <w:r>
        <w:t xml:space="preserve">The political dynamic </w:t>
      </w:r>
      <w:r w:rsidR="005C4399">
        <w:t>bet</w:t>
      </w:r>
      <w:r>
        <w:t xml:space="preserve">ween Israel and the Palestinian </w:t>
      </w:r>
      <w:r w:rsidR="00C13225">
        <w:t>Authority</w:t>
      </w:r>
      <w:r>
        <w:t xml:space="preserve"> (PA) and the</w:t>
      </w:r>
      <w:r w:rsidR="005C4399">
        <w:t xml:space="preserve"> political stalemate bet</w:t>
      </w:r>
      <w:r>
        <w:t>ween the PA</w:t>
      </w:r>
      <w:r w:rsidR="005C4399">
        <w:t xml:space="preserve"> and </w:t>
      </w:r>
      <w:r w:rsidR="008E02D3">
        <w:t>Hamas continued to affect economic and social developm</w:t>
      </w:r>
      <w:r w:rsidR="00E1143A">
        <w:t xml:space="preserve">ent in the PTs during 2017-18.  </w:t>
      </w:r>
      <w:r w:rsidR="00E1143A" w:rsidRPr="00E1143A">
        <w:t>Foreign aid to the PTs – which constituted 15 per cent of total net revenue in 2017</w:t>
      </w:r>
      <w:r w:rsidR="00841EB1">
        <w:t xml:space="preserve"> to the PA</w:t>
      </w:r>
      <w:r w:rsidR="00E1143A" w:rsidRPr="00E1143A">
        <w:t xml:space="preserve"> – continues to dec</w:t>
      </w:r>
      <w:r w:rsidR="00E1143A">
        <w:t xml:space="preserve">line (from 54 per cent in 2013), </w:t>
      </w:r>
      <w:r w:rsidR="00E1143A" w:rsidRPr="00E1143A">
        <w:t>becoming more unpredictable.</w:t>
      </w:r>
    </w:p>
    <w:p w14:paraId="2A22616B" w14:textId="1D1B58BE" w:rsidR="00795F58" w:rsidRDefault="008E02D3" w:rsidP="005C4399">
      <w:r>
        <w:t xml:space="preserve">Australia provided $43.8 million in humanitarian </w:t>
      </w:r>
      <w:r w:rsidR="005C4399">
        <w:t xml:space="preserve">and development assistance to the PTs in 2017-18, in alignment with our long-standing support for the </w:t>
      </w:r>
      <w:r>
        <w:t xml:space="preserve">Middle East peace process. Australia’s </w:t>
      </w:r>
      <w:r w:rsidR="005C4399">
        <w:t>assistance contributes to stability and inclusive economic growth in the PTs. Australian ai</w:t>
      </w:r>
      <w:r w:rsidR="00841EB1">
        <w:t xml:space="preserve">d equates to 0.4 </w:t>
      </w:r>
      <w:r w:rsidR="005C4399">
        <w:t>per cent of the PTs Gross Dom</w:t>
      </w:r>
      <w:r>
        <w:t>estic Product (GDP) so we align our</w:t>
      </w:r>
      <w:r w:rsidR="005C4399">
        <w:t xml:space="preserve"> support with the PA’s objectives and other donors </w:t>
      </w:r>
      <w:r>
        <w:t xml:space="preserve">funds to ensure </w:t>
      </w:r>
      <w:r w:rsidR="005C4399">
        <w:t xml:space="preserve">impact.  </w:t>
      </w:r>
      <w:r w:rsidR="00795F58">
        <w:t xml:space="preserve">In doing so, </w:t>
      </w:r>
      <w:r w:rsidR="00180998">
        <w:t xml:space="preserve">we have in place rigorous system to ensure all </w:t>
      </w:r>
      <w:r w:rsidR="00795F58">
        <w:t>activities in the PTs are comprehensively monitored and pro</w:t>
      </w:r>
      <w:r w:rsidR="00180998">
        <w:t>-</w:t>
      </w:r>
      <w:r w:rsidR="00795F58">
        <w:t>actively managed</w:t>
      </w:r>
      <w:r w:rsidR="00180998">
        <w:t xml:space="preserve"> with a zero tolerance approach to fraud or mismanagement.</w:t>
      </w:r>
    </w:p>
    <w:p w14:paraId="2C2C75AF" w14:textId="08238E6B" w:rsidR="005C4399" w:rsidRDefault="005C4399" w:rsidP="005C4399">
      <w:r>
        <w:t>Australia’s objectives for its</w:t>
      </w:r>
      <w:r w:rsidR="00C13225">
        <w:t xml:space="preserve"> PTs aid program are described</w:t>
      </w:r>
      <w:r>
        <w:t xml:space="preserve"> in its Aid Investment Plan</w:t>
      </w:r>
      <w:r w:rsidR="008E02D3">
        <w:t xml:space="preserve"> (2015-19</w:t>
      </w:r>
      <w:r w:rsidR="00A447DD">
        <w:t>)</w:t>
      </w:r>
      <w:r>
        <w:t>, which is available on the DFAT website.  The objectives are to support improved public financial management and a more competitive agricultural economy; and to support Palestinian refugees in the PTs and across the region to access quality basic services. Australia implements these objectiv</w:t>
      </w:r>
      <w:r w:rsidR="00E1143A">
        <w:t xml:space="preserve">es through a number of </w:t>
      </w:r>
      <w:r>
        <w:t>investments.</w:t>
      </w:r>
    </w:p>
    <w:p w14:paraId="40AB9829" w14:textId="4FD77FE4" w:rsidR="005C4399" w:rsidRDefault="005C4399" w:rsidP="005C4399">
      <w:r>
        <w:t>In 2017-18, Australia provided $26.5 million to the United Nations Relief</w:t>
      </w:r>
      <w:r w:rsidR="008E02D3">
        <w:t xml:space="preserve"> and Works Agency (UNRWA).  </w:t>
      </w:r>
      <w:r>
        <w:t>Australia’s funding provides health, education and protection services to Palestinian refugees in the PTs, Syria, Jordan and Lebanon.</w:t>
      </w:r>
    </w:p>
    <w:p w14:paraId="11F931B7" w14:textId="6C20AE40" w:rsidR="005C4399" w:rsidRDefault="005C4399" w:rsidP="005C4399">
      <w:r>
        <w:t>In June 2018, Australia provided $10 million to the</w:t>
      </w:r>
      <w:r w:rsidR="008E02D3">
        <w:t xml:space="preserve"> </w:t>
      </w:r>
      <w:r w:rsidR="007C6DF3">
        <w:t xml:space="preserve">United Nations </w:t>
      </w:r>
      <w:r w:rsidR="008E02D3">
        <w:t>Humanitarian Fund</w:t>
      </w:r>
      <w:r w:rsidR="0056050D">
        <w:t xml:space="preserve"> for the PTs.  </w:t>
      </w:r>
      <w:r w:rsidR="00C521C3">
        <w:t>Funding will be allocated</w:t>
      </w:r>
      <w:r>
        <w:t xml:space="preserve"> </w:t>
      </w:r>
      <w:r w:rsidR="00A447DD">
        <w:t>in late</w:t>
      </w:r>
      <w:r w:rsidR="00C2622B">
        <w:t xml:space="preserve"> 2018</w:t>
      </w:r>
      <w:r>
        <w:t xml:space="preserve"> and outcomes reported in next year’s </w:t>
      </w:r>
      <w:r w:rsidR="00A447DD">
        <w:t>Aid Program Performance Report (</w:t>
      </w:r>
      <w:r>
        <w:t>APPR</w:t>
      </w:r>
      <w:r w:rsidR="00A447DD">
        <w:t>)</w:t>
      </w:r>
      <w:r>
        <w:t>.</w:t>
      </w:r>
    </w:p>
    <w:p w14:paraId="1FF504A3" w14:textId="23BE08C3" w:rsidR="005C4399" w:rsidRDefault="005C4399" w:rsidP="005C4399">
      <w:r>
        <w:t>Australia continued to implement the third phase of the Australian Middle East NGO Cooperation Agreement (AMENCA 3), pr</w:t>
      </w:r>
      <w:r w:rsidR="00823A55">
        <w:t>oviding $2.2 million in 2017-18</w:t>
      </w:r>
      <w:r>
        <w:t xml:space="preserve">. AMENCA 3 is working with Australian and Palestinian non-government organisations and others to increase productivity, and facilitate </w:t>
      </w:r>
      <w:r w:rsidR="00E1143A">
        <w:t>lin</w:t>
      </w:r>
      <w:r w:rsidR="00D503DB">
        <w:t>kages and private sector invest</w:t>
      </w:r>
      <w:r w:rsidR="00E1143A">
        <w:t xml:space="preserve">ment </w:t>
      </w:r>
      <w:r>
        <w:t>in the agriculture sector, with a focus on women and youth empowerment.</w:t>
      </w:r>
    </w:p>
    <w:p w14:paraId="48DD50BF" w14:textId="77777777" w:rsidR="00D048CA" w:rsidRDefault="005C4399" w:rsidP="005C4399">
      <w:r>
        <w:t xml:space="preserve">Australia provided $1 million to </w:t>
      </w:r>
      <w:r w:rsidR="0056050D">
        <w:t xml:space="preserve">the </w:t>
      </w:r>
      <w:r>
        <w:t>World Bank’s Palestinian Recovery and Development Program (PRDP) Trust Fund in July 2017.</w:t>
      </w:r>
      <w:r w:rsidR="0056050D">
        <w:t xml:space="preserve"> This funding provided </w:t>
      </w:r>
      <w:r>
        <w:t>su</w:t>
      </w:r>
      <w:r w:rsidR="0056050D">
        <w:t>pport to</w:t>
      </w:r>
      <w:r w:rsidR="00A447DD">
        <w:t xml:space="preserve"> the PA Ministries of Health and E</w:t>
      </w:r>
      <w:r>
        <w:t>ducation, enabling them to pursue good governance.</w:t>
      </w:r>
      <w:r w:rsidR="00D048CA">
        <w:t xml:space="preserve">  </w:t>
      </w:r>
    </w:p>
    <w:p w14:paraId="2B433B0E" w14:textId="3FA8C6BF" w:rsidR="0056050D" w:rsidRDefault="0056050D" w:rsidP="005C4399">
      <w:r>
        <w:t xml:space="preserve">Australia </w:t>
      </w:r>
      <w:r w:rsidR="00635EB7">
        <w:t xml:space="preserve">provided $500,000 </w:t>
      </w:r>
      <w:r>
        <w:t xml:space="preserve">to </w:t>
      </w:r>
      <w:r w:rsidR="005C4399">
        <w:t>the UN Offi</w:t>
      </w:r>
      <w:r>
        <w:t>ce for Project Services (UNOPS) to facilitate access for humanitarian actors across the PTs and goods into Gaza.</w:t>
      </w:r>
    </w:p>
    <w:p w14:paraId="4683B70A" w14:textId="77777777" w:rsidR="0056050D" w:rsidRDefault="0056050D" w:rsidP="005C4399"/>
    <w:p w14:paraId="3261F68A" w14:textId="77777777" w:rsidR="0056050D" w:rsidRDefault="0056050D" w:rsidP="005C4399"/>
    <w:p w14:paraId="5027D483" w14:textId="7B982BA2" w:rsidR="0056050D" w:rsidRDefault="0027701D" w:rsidP="005C4399">
      <w:r>
        <w:t>Eight Australia</w:t>
      </w:r>
      <w:r w:rsidR="005C4399" w:rsidRPr="00823A55">
        <w:t xml:space="preserve"> Award scholarships were provided in 2017-18 to support future Palestinian leaders</w:t>
      </w:r>
      <w:r w:rsidR="00F660C1">
        <w:t xml:space="preserve"> in </w:t>
      </w:r>
      <w:r w:rsidR="00A447DD">
        <w:t xml:space="preserve">the fields of public policy, </w:t>
      </w:r>
      <w:r w:rsidR="00F660C1">
        <w:t>public financial management and agriculture and water resources management</w:t>
      </w:r>
      <w:r w:rsidR="005C4399" w:rsidRPr="00823A55">
        <w:t xml:space="preserve">.  </w:t>
      </w:r>
    </w:p>
    <w:p w14:paraId="0CFFAEAE" w14:textId="50415CF6" w:rsidR="0056050D" w:rsidRPr="00823A55" w:rsidRDefault="0056050D" w:rsidP="0056050D">
      <w:r>
        <w:t>In 2017-18, the Australian NGO Cooperation P</w:t>
      </w:r>
      <w:r w:rsidRPr="00823A55">
        <w:t xml:space="preserve">rogram </w:t>
      </w:r>
      <w:r>
        <w:t xml:space="preserve">(ANCP) delivered </w:t>
      </w:r>
      <w:r w:rsidRPr="00823A55">
        <w:t xml:space="preserve">vocational training to </w:t>
      </w:r>
      <w:r>
        <w:t>more than 360</w:t>
      </w:r>
      <w:r w:rsidRPr="00823A55">
        <w:t xml:space="preserve"> disadvantaged youth</w:t>
      </w:r>
      <w:r>
        <w:t>. The program also</w:t>
      </w:r>
      <w:r w:rsidRPr="00823A55">
        <w:t xml:space="preserve"> </w:t>
      </w:r>
      <w:r>
        <w:t>provided</w:t>
      </w:r>
      <w:r w:rsidRPr="00823A55">
        <w:t xml:space="preserve"> much needed health services for over 25,000 women and youth, including 6,000 women from poor communities in Gaza </w:t>
      </w:r>
      <w:r>
        <w:t xml:space="preserve">who </w:t>
      </w:r>
      <w:r w:rsidRPr="00823A55">
        <w:t>benefitt</w:t>
      </w:r>
      <w:r>
        <w:t>ed</w:t>
      </w:r>
      <w:r w:rsidRPr="00823A55">
        <w:t xml:space="preserve"> from breast cancer </w:t>
      </w:r>
      <w:r>
        <w:t xml:space="preserve">screenings and access to </w:t>
      </w:r>
      <w:r w:rsidRPr="00823A55">
        <w:t xml:space="preserve">diagnostic services.  </w:t>
      </w:r>
    </w:p>
    <w:p w14:paraId="2B374476" w14:textId="365CC9A7" w:rsidR="005C4399" w:rsidRPr="00823A55" w:rsidRDefault="00823A55" w:rsidP="005C4399">
      <w:r w:rsidRPr="00823A55">
        <w:t xml:space="preserve">The Direct Aid Program </w:t>
      </w:r>
      <w:r w:rsidR="0056050D">
        <w:t xml:space="preserve">(DAP) </w:t>
      </w:r>
      <w:r w:rsidR="00027E21">
        <w:t xml:space="preserve">funded </w:t>
      </w:r>
      <w:r w:rsidR="00027E21" w:rsidRPr="00635EB7">
        <w:t>Palestinian organisations</w:t>
      </w:r>
      <w:r w:rsidR="00027E21">
        <w:t xml:space="preserve"> to support</w:t>
      </w:r>
      <w:r w:rsidR="005C4399" w:rsidRPr="00823A55">
        <w:t xml:space="preserve"> vulnerable communities and groups, including children, youth and women. Projects </w:t>
      </w:r>
      <w:r w:rsidR="00A447DD">
        <w:t xml:space="preserve">provided </w:t>
      </w:r>
      <w:r w:rsidR="0056050D">
        <w:t xml:space="preserve">included </w:t>
      </w:r>
      <w:r w:rsidR="005C4399" w:rsidRPr="00823A55">
        <w:t>mental health and</w:t>
      </w:r>
      <w:r w:rsidR="00A447DD">
        <w:t xml:space="preserve"> psychosocial support to </w:t>
      </w:r>
      <w:r w:rsidR="0056050D">
        <w:t>at-</w:t>
      </w:r>
      <w:r w:rsidR="005C4399" w:rsidRPr="00823A55">
        <w:t>risk Bed</w:t>
      </w:r>
      <w:r w:rsidR="00A447DD">
        <w:t>ouin boys,</w:t>
      </w:r>
      <w:r w:rsidRPr="00823A55">
        <w:t xml:space="preserve"> </w:t>
      </w:r>
      <w:r w:rsidR="005C4399" w:rsidRPr="00823A55">
        <w:t xml:space="preserve">eye care services </w:t>
      </w:r>
      <w:r w:rsidRPr="00823A55">
        <w:t>and</w:t>
      </w:r>
      <w:r w:rsidR="005C4399" w:rsidRPr="00823A55">
        <w:t xml:space="preserve"> braille equipment to </w:t>
      </w:r>
      <w:r w:rsidR="00A447DD">
        <w:t>visually impaired children</w:t>
      </w:r>
      <w:r w:rsidRPr="00823A55">
        <w:t xml:space="preserve"> and</w:t>
      </w:r>
      <w:r w:rsidR="005C4399" w:rsidRPr="00823A55">
        <w:t xml:space="preserve"> facilities for students with special needs.</w:t>
      </w:r>
    </w:p>
    <w:p w14:paraId="72DFD641" w14:textId="77777777" w:rsidR="00CD1652" w:rsidRPr="00BC3214" w:rsidRDefault="00BC3214" w:rsidP="00BC3214">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Pr>
          <w:rFonts w:asciiTheme="majorHAnsi" w:eastAsiaTheme="majorEastAsia" w:hAnsiTheme="majorHAnsi" w:cstheme="majorBidi"/>
          <w:caps/>
          <w:color w:val="495965" w:themeColor="text2"/>
          <w:sz w:val="38"/>
          <w:szCs w:val="26"/>
          <w:lang w:val="en-GB" w:eastAsia="en-US"/>
        </w:rPr>
        <w:t>Expenditure</w:t>
      </w:r>
    </w:p>
    <w:p w14:paraId="102B6CFC" w14:textId="3A1438DA" w:rsidR="00184F1E" w:rsidRDefault="00184F1E" w:rsidP="00184F1E">
      <w:pPr>
        <w:rPr>
          <w:b/>
          <w:sz w:val="24"/>
        </w:rPr>
      </w:pPr>
      <w:r w:rsidRPr="008C2F58">
        <w:rPr>
          <w:b/>
          <w:sz w:val="24"/>
        </w:rPr>
        <w:t xml:space="preserve">Table </w:t>
      </w:r>
      <w:r w:rsidRPr="008C2F58">
        <w:rPr>
          <w:b/>
          <w:sz w:val="24"/>
        </w:rPr>
        <w:fldChar w:fldCharType="begin"/>
      </w:r>
      <w:r w:rsidRPr="008C2F58">
        <w:rPr>
          <w:b/>
          <w:sz w:val="24"/>
        </w:rPr>
        <w:instrText xml:space="preserve"> SEQ Table \* ARABIC </w:instrText>
      </w:r>
      <w:r w:rsidRPr="008C2F58">
        <w:rPr>
          <w:b/>
          <w:sz w:val="24"/>
        </w:rPr>
        <w:fldChar w:fldCharType="separate"/>
      </w:r>
      <w:r w:rsidR="00E33BEF">
        <w:rPr>
          <w:b/>
          <w:noProof/>
          <w:sz w:val="24"/>
        </w:rPr>
        <w:t>1</w:t>
      </w:r>
      <w:r w:rsidRPr="008C2F58">
        <w:rPr>
          <w:b/>
          <w:noProof/>
          <w:sz w:val="24"/>
        </w:rPr>
        <w:fldChar w:fldCharType="end"/>
      </w:r>
      <w:r w:rsidRPr="008C2F58">
        <w:rPr>
          <w:b/>
          <w:sz w:val="24"/>
        </w:rPr>
        <w:t xml:space="preserve"> Total ODA Expenditure in FY 201</w:t>
      </w:r>
      <w:r w:rsidR="00580A64">
        <w:rPr>
          <w:b/>
          <w:sz w:val="24"/>
        </w:rPr>
        <w:t>7</w:t>
      </w:r>
      <w:r w:rsidRPr="008C2F58">
        <w:rPr>
          <w:b/>
          <w:sz w:val="24"/>
        </w:rPr>
        <w:t>-1</w:t>
      </w:r>
      <w:r w:rsidR="00580A64">
        <w:rPr>
          <w:b/>
          <w:sz w:val="24"/>
        </w:rPr>
        <w:t>8</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423"/>
        <w:gridCol w:w="1417"/>
      </w:tblGrid>
      <w:tr w:rsidR="00CD1652" w14:paraId="2168D642" w14:textId="77777777" w:rsidTr="00CD1652">
        <w:tc>
          <w:tcPr>
            <w:tcW w:w="6374" w:type="dxa"/>
          </w:tcPr>
          <w:p w14:paraId="6D00C334" w14:textId="77777777" w:rsidR="00CD1652" w:rsidRDefault="00CD1652" w:rsidP="00EA2A43">
            <w:pPr>
              <w:rPr>
                <w:b/>
                <w:sz w:val="24"/>
              </w:rPr>
            </w:pPr>
            <w:r w:rsidRPr="00BE6C6D">
              <w:rPr>
                <w:sz w:val="20"/>
              </w:rPr>
              <w:t>Objective</w:t>
            </w:r>
          </w:p>
        </w:tc>
        <w:tc>
          <w:tcPr>
            <w:tcW w:w="1423" w:type="dxa"/>
          </w:tcPr>
          <w:p w14:paraId="514DA2EB" w14:textId="77777777" w:rsidR="00CD1652" w:rsidRDefault="00CD1652" w:rsidP="00EA2A43">
            <w:pPr>
              <w:jc w:val="center"/>
              <w:rPr>
                <w:b/>
                <w:sz w:val="24"/>
              </w:rPr>
            </w:pPr>
            <w:r w:rsidRPr="00BE6C6D">
              <w:rPr>
                <w:sz w:val="20"/>
              </w:rPr>
              <w:t>A$ million</w:t>
            </w:r>
          </w:p>
        </w:tc>
        <w:tc>
          <w:tcPr>
            <w:tcW w:w="1417" w:type="dxa"/>
          </w:tcPr>
          <w:p w14:paraId="2A6FE31F" w14:textId="77777777" w:rsidR="00CD1652" w:rsidRDefault="00CD1652" w:rsidP="00EA2A43">
            <w:pPr>
              <w:jc w:val="center"/>
              <w:rPr>
                <w:b/>
                <w:sz w:val="24"/>
              </w:rPr>
            </w:pPr>
            <w:r w:rsidRPr="00BE6C6D">
              <w:rPr>
                <w:sz w:val="20"/>
              </w:rPr>
              <w:t>% of total ODA</w:t>
            </w:r>
          </w:p>
        </w:tc>
      </w:tr>
      <w:tr w:rsidR="00CD1652" w14:paraId="61442419" w14:textId="77777777" w:rsidTr="00CD1652">
        <w:tc>
          <w:tcPr>
            <w:tcW w:w="6374" w:type="dxa"/>
          </w:tcPr>
          <w:p w14:paraId="4DF06C15" w14:textId="77777777" w:rsidR="00CD1652" w:rsidRDefault="001000B8" w:rsidP="00EA2A43">
            <w:pPr>
              <w:rPr>
                <w:b/>
                <w:sz w:val="24"/>
              </w:rPr>
            </w:pPr>
            <w:r>
              <w:rPr>
                <w:sz w:val="20"/>
              </w:rPr>
              <w:t>Objective 1 – Improved public financial management and a more competitive agricultural economy in the PTs</w:t>
            </w:r>
          </w:p>
        </w:tc>
        <w:tc>
          <w:tcPr>
            <w:tcW w:w="1423" w:type="dxa"/>
          </w:tcPr>
          <w:p w14:paraId="1B6F2DC2" w14:textId="50A3632A" w:rsidR="00CD1652" w:rsidRDefault="00841EB1" w:rsidP="00EA2A43">
            <w:pPr>
              <w:rPr>
                <w:b/>
                <w:sz w:val="24"/>
              </w:rPr>
            </w:pPr>
            <w:r>
              <w:rPr>
                <w:b/>
                <w:sz w:val="24"/>
              </w:rPr>
              <w:t>4.1</w:t>
            </w:r>
          </w:p>
        </w:tc>
        <w:tc>
          <w:tcPr>
            <w:tcW w:w="1417" w:type="dxa"/>
          </w:tcPr>
          <w:p w14:paraId="133B33EF" w14:textId="77777777" w:rsidR="00CD1652" w:rsidRDefault="00CD1652" w:rsidP="00EA2A43">
            <w:pPr>
              <w:rPr>
                <w:b/>
                <w:sz w:val="24"/>
              </w:rPr>
            </w:pPr>
          </w:p>
        </w:tc>
      </w:tr>
      <w:tr w:rsidR="00795F58" w14:paraId="4383FAC6" w14:textId="77777777" w:rsidTr="003D2CED">
        <w:tc>
          <w:tcPr>
            <w:tcW w:w="6374" w:type="dxa"/>
          </w:tcPr>
          <w:p w14:paraId="0E29CFD7" w14:textId="77777777" w:rsidR="00795F58" w:rsidRDefault="00795F58" w:rsidP="00EA2A43">
            <w:pPr>
              <w:rPr>
                <w:b/>
                <w:sz w:val="24"/>
              </w:rPr>
            </w:pPr>
            <w:r w:rsidRPr="00BE6C6D">
              <w:rPr>
                <w:sz w:val="20"/>
              </w:rPr>
              <w:t>Objective 2</w:t>
            </w:r>
            <w:r>
              <w:rPr>
                <w:sz w:val="20"/>
              </w:rPr>
              <w:t xml:space="preserve"> – Palestinian refugees in the PTs and across the region are able to access quality basic services</w:t>
            </w:r>
          </w:p>
        </w:tc>
        <w:tc>
          <w:tcPr>
            <w:tcW w:w="1423" w:type="dxa"/>
            <w:vMerge w:val="restart"/>
          </w:tcPr>
          <w:p w14:paraId="75172F23" w14:textId="77777777" w:rsidR="00795F58" w:rsidRDefault="00795F58" w:rsidP="00EA2A43">
            <w:pPr>
              <w:rPr>
                <w:b/>
                <w:sz w:val="24"/>
              </w:rPr>
            </w:pPr>
            <w:r>
              <w:rPr>
                <w:b/>
                <w:sz w:val="24"/>
              </w:rPr>
              <w:t>37</w:t>
            </w:r>
          </w:p>
        </w:tc>
        <w:tc>
          <w:tcPr>
            <w:tcW w:w="1417" w:type="dxa"/>
          </w:tcPr>
          <w:p w14:paraId="15784F39" w14:textId="77777777" w:rsidR="00795F58" w:rsidRDefault="00795F58" w:rsidP="00EA2A43">
            <w:pPr>
              <w:rPr>
                <w:b/>
                <w:sz w:val="24"/>
              </w:rPr>
            </w:pPr>
          </w:p>
        </w:tc>
      </w:tr>
      <w:tr w:rsidR="00795F58" w14:paraId="4AE1CE4D" w14:textId="77777777" w:rsidTr="003D2CED">
        <w:tc>
          <w:tcPr>
            <w:tcW w:w="6374" w:type="dxa"/>
          </w:tcPr>
          <w:p w14:paraId="39385931" w14:textId="77777777" w:rsidR="00795F58" w:rsidRDefault="00795F58" w:rsidP="00EA2A43">
            <w:pPr>
              <w:rPr>
                <w:b/>
                <w:sz w:val="24"/>
              </w:rPr>
            </w:pPr>
          </w:p>
        </w:tc>
        <w:tc>
          <w:tcPr>
            <w:tcW w:w="1423" w:type="dxa"/>
            <w:vMerge/>
            <w:tcBorders>
              <w:bottom w:val="single" w:sz="4" w:space="0" w:color="auto"/>
            </w:tcBorders>
          </w:tcPr>
          <w:p w14:paraId="41C28FC8" w14:textId="77777777" w:rsidR="00795F58" w:rsidRDefault="00795F58" w:rsidP="00EA2A43">
            <w:pPr>
              <w:rPr>
                <w:b/>
                <w:sz w:val="24"/>
              </w:rPr>
            </w:pPr>
          </w:p>
        </w:tc>
        <w:tc>
          <w:tcPr>
            <w:tcW w:w="1417" w:type="dxa"/>
          </w:tcPr>
          <w:p w14:paraId="6012C378" w14:textId="77777777" w:rsidR="00795F58" w:rsidRDefault="00795F58" w:rsidP="00EA2A43">
            <w:pPr>
              <w:rPr>
                <w:b/>
                <w:sz w:val="24"/>
              </w:rPr>
            </w:pPr>
          </w:p>
        </w:tc>
      </w:tr>
      <w:tr w:rsidR="00CD1652" w14:paraId="704F011A" w14:textId="77777777" w:rsidTr="00795F58">
        <w:tc>
          <w:tcPr>
            <w:tcW w:w="6374" w:type="dxa"/>
          </w:tcPr>
          <w:p w14:paraId="53B4358A" w14:textId="77777777" w:rsidR="00CD1652" w:rsidRDefault="00CD1652" w:rsidP="00EA2A43">
            <w:pPr>
              <w:rPr>
                <w:b/>
                <w:sz w:val="24"/>
              </w:rPr>
            </w:pPr>
            <w:r w:rsidRPr="00BE6C6D">
              <w:rPr>
                <w:sz w:val="20"/>
              </w:rPr>
              <w:t>Sub-Total Bilateral</w:t>
            </w:r>
          </w:p>
        </w:tc>
        <w:tc>
          <w:tcPr>
            <w:tcW w:w="1423" w:type="dxa"/>
            <w:tcBorders>
              <w:top w:val="single" w:sz="4" w:space="0" w:color="auto"/>
            </w:tcBorders>
          </w:tcPr>
          <w:p w14:paraId="4376D99B" w14:textId="133B1F80" w:rsidR="00CD1652" w:rsidRDefault="00841EB1" w:rsidP="00EA2A43">
            <w:pPr>
              <w:rPr>
                <w:b/>
                <w:sz w:val="24"/>
              </w:rPr>
            </w:pPr>
            <w:r>
              <w:rPr>
                <w:b/>
                <w:sz w:val="24"/>
              </w:rPr>
              <w:t>41.1</w:t>
            </w:r>
          </w:p>
        </w:tc>
        <w:tc>
          <w:tcPr>
            <w:tcW w:w="1417" w:type="dxa"/>
          </w:tcPr>
          <w:p w14:paraId="4186ED6B" w14:textId="77777777" w:rsidR="00CD1652" w:rsidRDefault="00CD1652" w:rsidP="00EA2A43">
            <w:pPr>
              <w:rPr>
                <w:b/>
                <w:sz w:val="24"/>
              </w:rPr>
            </w:pPr>
          </w:p>
        </w:tc>
      </w:tr>
      <w:tr w:rsidR="00CD1652" w14:paraId="339F6EA2" w14:textId="77777777" w:rsidTr="00CD1652">
        <w:tc>
          <w:tcPr>
            <w:tcW w:w="6374" w:type="dxa"/>
          </w:tcPr>
          <w:p w14:paraId="21EA3D7B" w14:textId="77777777" w:rsidR="00CD1652" w:rsidRDefault="00CD1652" w:rsidP="00EA2A43">
            <w:pPr>
              <w:rPr>
                <w:b/>
                <w:sz w:val="24"/>
              </w:rPr>
            </w:pPr>
            <w:r w:rsidRPr="00BE6C6D">
              <w:rPr>
                <w:sz w:val="20"/>
              </w:rPr>
              <w:t>Regional and Global</w:t>
            </w:r>
          </w:p>
        </w:tc>
        <w:tc>
          <w:tcPr>
            <w:tcW w:w="1423" w:type="dxa"/>
          </w:tcPr>
          <w:p w14:paraId="3245550D" w14:textId="77777777" w:rsidR="00CD1652" w:rsidRDefault="00B925DA" w:rsidP="00EA2A43">
            <w:pPr>
              <w:rPr>
                <w:b/>
                <w:sz w:val="24"/>
              </w:rPr>
            </w:pPr>
            <w:r>
              <w:rPr>
                <w:b/>
                <w:sz w:val="24"/>
              </w:rPr>
              <w:t>2.7</w:t>
            </w:r>
          </w:p>
        </w:tc>
        <w:tc>
          <w:tcPr>
            <w:tcW w:w="1417" w:type="dxa"/>
          </w:tcPr>
          <w:p w14:paraId="28DCA47F" w14:textId="77777777" w:rsidR="00CD1652" w:rsidRDefault="00CD1652" w:rsidP="00EA2A43">
            <w:pPr>
              <w:rPr>
                <w:b/>
                <w:sz w:val="24"/>
              </w:rPr>
            </w:pPr>
          </w:p>
        </w:tc>
      </w:tr>
      <w:tr w:rsidR="00CD1652" w14:paraId="10A8C3A4" w14:textId="77777777" w:rsidTr="00795F58">
        <w:tc>
          <w:tcPr>
            <w:tcW w:w="6374" w:type="dxa"/>
          </w:tcPr>
          <w:p w14:paraId="0664162C" w14:textId="77777777" w:rsidR="00CD1652" w:rsidRDefault="00CD1652" w:rsidP="00EA2A43">
            <w:pPr>
              <w:rPr>
                <w:b/>
                <w:sz w:val="24"/>
              </w:rPr>
            </w:pPr>
            <w:r w:rsidRPr="00BE6C6D">
              <w:rPr>
                <w:sz w:val="20"/>
              </w:rPr>
              <w:t>Other Government Departments</w:t>
            </w:r>
          </w:p>
        </w:tc>
        <w:tc>
          <w:tcPr>
            <w:tcW w:w="1423" w:type="dxa"/>
            <w:tcBorders>
              <w:bottom w:val="single" w:sz="4" w:space="0" w:color="auto"/>
            </w:tcBorders>
          </w:tcPr>
          <w:p w14:paraId="48B336E1" w14:textId="77777777" w:rsidR="00CD1652" w:rsidRDefault="00204901" w:rsidP="00EA2A43">
            <w:pPr>
              <w:rPr>
                <w:b/>
                <w:sz w:val="24"/>
              </w:rPr>
            </w:pPr>
            <w:r>
              <w:rPr>
                <w:b/>
                <w:sz w:val="24"/>
              </w:rPr>
              <w:t>-</w:t>
            </w:r>
          </w:p>
        </w:tc>
        <w:tc>
          <w:tcPr>
            <w:tcW w:w="1417" w:type="dxa"/>
          </w:tcPr>
          <w:p w14:paraId="1E4D259D" w14:textId="77777777" w:rsidR="00CD1652" w:rsidRDefault="00CD1652" w:rsidP="00EA2A43">
            <w:pPr>
              <w:rPr>
                <w:b/>
                <w:sz w:val="24"/>
              </w:rPr>
            </w:pPr>
          </w:p>
        </w:tc>
      </w:tr>
      <w:tr w:rsidR="00CD1652" w14:paraId="6738EE76" w14:textId="77777777" w:rsidTr="00795F58">
        <w:tc>
          <w:tcPr>
            <w:tcW w:w="6374" w:type="dxa"/>
          </w:tcPr>
          <w:p w14:paraId="3566289F" w14:textId="77777777" w:rsidR="00CD1652" w:rsidRDefault="00CD1652" w:rsidP="00EA2A43">
            <w:pPr>
              <w:rPr>
                <w:b/>
                <w:sz w:val="24"/>
              </w:rPr>
            </w:pPr>
            <w:r w:rsidRPr="00BE6C6D">
              <w:rPr>
                <w:sz w:val="20"/>
              </w:rPr>
              <w:t>Total ODA Expenditure</w:t>
            </w:r>
          </w:p>
        </w:tc>
        <w:tc>
          <w:tcPr>
            <w:tcW w:w="1423" w:type="dxa"/>
            <w:tcBorders>
              <w:top w:val="single" w:sz="4" w:space="0" w:color="auto"/>
            </w:tcBorders>
          </w:tcPr>
          <w:p w14:paraId="2B311E86" w14:textId="7DE7BC4C" w:rsidR="00CD1652" w:rsidRDefault="00410C9D" w:rsidP="00EA2A43">
            <w:pPr>
              <w:rPr>
                <w:b/>
                <w:sz w:val="24"/>
              </w:rPr>
            </w:pPr>
            <w:r>
              <w:rPr>
                <w:b/>
                <w:sz w:val="24"/>
              </w:rPr>
              <w:t>4</w:t>
            </w:r>
            <w:r w:rsidR="00841EB1">
              <w:rPr>
                <w:b/>
                <w:sz w:val="24"/>
              </w:rPr>
              <w:t>3.8</w:t>
            </w:r>
          </w:p>
        </w:tc>
        <w:tc>
          <w:tcPr>
            <w:tcW w:w="1417" w:type="dxa"/>
          </w:tcPr>
          <w:p w14:paraId="166CCE74" w14:textId="77777777" w:rsidR="00CD1652" w:rsidRDefault="00CD1652" w:rsidP="00EA2A43">
            <w:pPr>
              <w:rPr>
                <w:b/>
                <w:sz w:val="24"/>
              </w:rPr>
            </w:pPr>
          </w:p>
        </w:tc>
      </w:tr>
    </w:tbl>
    <w:p w14:paraId="0E211929" w14:textId="77777777" w:rsidR="005B5769" w:rsidRPr="008C2F58" w:rsidRDefault="005B5769" w:rsidP="002A4A0E">
      <w:pPr>
        <w:pStyle w:val="ListBullet"/>
        <w:tabs>
          <w:tab w:val="clear" w:pos="284"/>
        </w:tabs>
        <w:spacing w:before="360"/>
        <w:rPr>
          <w:rFonts w:asciiTheme="majorHAnsi" w:eastAsiaTheme="majorEastAsia" w:hAnsiTheme="majorHAnsi" w:cstheme="majorBidi"/>
          <w:caps/>
          <w:color w:val="495965" w:themeColor="text2"/>
          <w:sz w:val="36"/>
          <w:szCs w:val="26"/>
          <w:lang w:val="en-GB" w:eastAsia="en-US"/>
        </w:rPr>
      </w:pPr>
      <w:r w:rsidRPr="008C2F58">
        <w:rPr>
          <w:rFonts w:asciiTheme="majorHAnsi" w:eastAsiaTheme="majorEastAsia" w:hAnsiTheme="majorHAnsi" w:cstheme="majorBidi"/>
          <w:caps/>
          <w:color w:val="495965" w:themeColor="text2"/>
          <w:sz w:val="36"/>
          <w:szCs w:val="26"/>
          <w:lang w:val="en-GB" w:eastAsia="en-US"/>
        </w:rPr>
        <w:t>Performance against Strategic Objectives</w:t>
      </w:r>
    </w:p>
    <w:tbl>
      <w:tblPr>
        <w:tblStyle w:val="APPR"/>
        <w:tblW w:w="5000" w:type="pct"/>
        <w:tblLook w:val="0000" w:firstRow="0" w:lastRow="0" w:firstColumn="0" w:lastColumn="0" w:noHBand="0" w:noVBand="0"/>
      </w:tblPr>
      <w:tblGrid>
        <w:gridCol w:w="5849"/>
        <w:gridCol w:w="1126"/>
        <w:gridCol w:w="430"/>
        <w:gridCol w:w="1195"/>
        <w:gridCol w:w="1038"/>
      </w:tblGrid>
      <w:tr w:rsidR="002A4A0E" w:rsidRPr="00812509" w14:paraId="11EB5857" w14:textId="77777777" w:rsidTr="00184F1E">
        <w:trPr>
          <w:cnfStyle w:val="000000010000" w:firstRow="0" w:lastRow="0" w:firstColumn="0" w:lastColumn="0" w:oddVBand="0" w:evenVBand="0" w:oddHBand="0" w:evenHBand="1" w:firstRowFirstColumn="0" w:firstRowLastColumn="0" w:lastRowFirstColumn="0" w:lastRowLastColumn="0"/>
          <w:trHeight w:val="651"/>
        </w:trPr>
        <w:tc>
          <w:tcPr>
            <w:tcW w:w="5807" w:type="dxa"/>
          </w:tcPr>
          <w:p w14:paraId="26CEE9C7" w14:textId="77777777" w:rsidR="002A4A0E" w:rsidRPr="00812509" w:rsidRDefault="002A4A0E" w:rsidP="00E65105">
            <w:pPr>
              <w:pStyle w:val="TableTextColumnHeading"/>
            </w:pPr>
            <w:r w:rsidRPr="00812509">
              <w:rPr>
                <w:noProof/>
              </w:rPr>
              <w:drawing>
                <wp:anchor distT="0" distB="0" distL="114300" distR="114300" simplePos="0" relativeHeight="251674624" behindDoc="0" locked="0" layoutInCell="1" allowOverlap="1" wp14:anchorId="70CA1A75" wp14:editId="1465F457">
                  <wp:simplePos x="0" y="0"/>
                  <wp:positionH relativeFrom="column">
                    <wp:posOffset>0</wp:posOffset>
                  </wp:positionH>
                  <wp:positionV relativeFrom="paragraph">
                    <wp:posOffset>0</wp:posOffset>
                  </wp:positionV>
                  <wp:extent cx="1857375" cy="228600"/>
                  <wp:effectExtent l="0" t="0" r="9525" b="0"/>
                  <wp:wrapNone/>
                  <wp:docPr id="20" name="Picture 2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509">
              <w:t>Objective</w:t>
            </w:r>
          </w:p>
        </w:tc>
        <w:tc>
          <w:tcPr>
            <w:tcW w:w="1098" w:type="dxa"/>
          </w:tcPr>
          <w:p w14:paraId="6AEB2D64" w14:textId="77777777" w:rsidR="002A4A0E" w:rsidRPr="00812509" w:rsidRDefault="002A4A0E" w:rsidP="00E65105">
            <w:pPr>
              <w:pStyle w:val="TableTextColumnHeading"/>
            </w:pPr>
            <w:r w:rsidRPr="00812509">
              <w:t>Previous Rating</w:t>
            </w:r>
          </w:p>
        </w:tc>
        <w:tc>
          <w:tcPr>
            <w:tcW w:w="402" w:type="dxa"/>
          </w:tcPr>
          <w:p w14:paraId="5B3934B6" w14:textId="77777777" w:rsidR="002A4A0E" w:rsidRPr="00812509" w:rsidRDefault="002A4A0E" w:rsidP="00E65105">
            <w:pPr>
              <w:pStyle w:val="TableTextColumnHeading"/>
            </w:pPr>
          </w:p>
        </w:tc>
        <w:tc>
          <w:tcPr>
            <w:tcW w:w="1167" w:type="dxa"/>
          </w:tcPr>
          <w:p w14:paraId="3CA80CCC" w14:textId="77777777" w:rsidR="002A4A0E" w:rsidRPr="00812509" w:rsidRDefault="002A4A0E" w:rsidP="00E65105">
            <w:pPr>
              <w:pStyle w:val="TableTextColumnHeading"/>
            </w:pPr>
            <w:r w:rsidRPr="00812509">
              <w:t>Current Rating</w:t>
            </w:r>
          </w:p>
        </w:tc>
        <w:tc>
          <w:tcPr>
            <w:tcW w:w="996" w:type="dxa"/>
          </w:tcPr>
          <w:p w14:paraId="15FFD06B" w14:textId="77777777" w:rsidR="002A4A0E" w:rsidRPr="002A4A0E" w:rsidRDefault="002A4A0E" w:rsidP="00E65105">
            <w:pPr>
              <w:pStyle w:val="TableTextColumnHeading"/>
            </w:pPr>
          </w:p>
        </w:tc>
      </w:tr>
      <w:tr w:rsidR="002A4A0E" w:rsidRPr="00812509" w14:paraId="1D0AE5A7" w14:textId="77777777" w:rsidTr="004E19D7">
        <w:trPr>
          <w:cnfStyle w:val="000000010000" w:firstRow="0" w:lastRow="0" w:firstColumn="0" w:lastColumn="0" w:oddVBand="0" w:evenVBand="0" w:oddHBand="0" w:evenHBand="1" w:firstRowFirstColumn="0" w:firstRowLastColumn="0" w:lastRowFirstColumn="0" w:lastRowLastColumn="0"/>
        </w:trPr>
        <w:tc>
          <w:tcPr>
            <w:tcW w:w="5807" w:type="dxa"/>
          </w:tcPr>
          <w:p w14:paraId="0CA8AF51" w14:textId="77777777" w:rsidR="002A4A0E" w:rsidRPr="00812509" w:rsidRDefault="002A4A0E" w:rsidP="002A4A0E">
            <w:pPr>
              <w:pStyle w:val="TableTextEntries"/>
              <w:rPr>
                <w:rFonts w:asciiTheme="minorHAnsi" w:hAnsiTheme="minorHAnsi"/>
              </w:rPr>
            </w:pPr>
            <w:r w:rsidRPr="00812509">
              <w:rPr>
                <w:rFonts w:asciiTheme="minorHAnsi" w:hAnsiTheme="minorHAnsi"/>
              </w:rPr>
              <w:t>Objective 1</w:t>
            </w:r>
            <w:r w:rsidR="008107AB">
              <w:rPr>
                <w:rFonts w:asciiTheme="minorHAnsi" w:hAnsiTheme="minorHAnsi"/>
              </w:rPr>
              <w:t xml:space="preserve"> – Improved public financial management and a more competitive agricultural economy in the PTs</w:t>
            </w:r>
          </w:p>
        </w:tc>
        <w:tc>
          <w:tcPr>
            <w:tcW w:w="1098" w:type="dxa"/>
            <w:shd w:val="clear" w:color="auto" w:fill="72AF2F"/>
            <w:noWrap/>
          </w:tcPr>
          <w:p w14:paraId="3E5A6242" w14:textId="77777777" w:rsidR="002A4A0E" w:rsidRPr="00812509" w:rsidRDefault="002A4A0E" w:rsidP="002A4A0E">
            <w:pPr>
              <w:pStyle w:val="TableTextEntries"/>
              <w:jc w:val="center"/>
              <w:rPr>
                <w:rFonts w:asciiTheme="minorHAnsi" w:hAnsiTheme="minorHAnsi"/>
                <w:color w:val="FFFFFF" w:themeColor="background1"/>
              </w:rPr>
            </w:pPr>
            <w:r w:rsidRPr="00812509">
              <w:rPr>
                <w:rFonts w:asciiTheme="minorHAnsi" w:hAnsiTheme="minorHAnsi"/>
                <w:color w:val="FFFFFF" w:themeColor="background1"/>
              </w:rPr>
              <w:t>Green</w:t>
            </w:r>
          </w:p>
        </w:tc>
        <w:tc>
          <w:tcPr>
            <w:tcW w:w="402" w:type="dxa"/>
          </w:tcPr>
          <w:p w14:paraId="2C7861C8" w14:textId="77777777" w:rsidR="002A4A0E" w:rsidRPr="00812509" w:rsidRDefault="002A4A0E" w:rsidP="007A6119">
            <w:pPr>
              <w:pStyle w:val="TableTextEntries"/>
              <w:jc w:val="center"/>
              <w:rPr>
                <w:rFonts w:asciiTheme="minorHAnsi" w:hAnsiTheme="minorHAnsi"/>
                <w:color w:val="FFFFFF" w:themeColor="background1"/>
              </w:rPr>
            </w:pPr>
          </w:p>
        </w:tc>
        <w:tc>
          <w:tcPr>
            <w:tcW w:w="1167" w:type="dxa"/>
            <w:shd w:val="clear" w:color="auto" w:fill="7FB64D" w:themeFill="accent3" w:themeFillShade="BF"/>
            <w:noWrap/>
          </w:tcPr>
          <w:p w14:paraId="214C0D66" w14:textId="77777777" w:rsidR="002A4A0E" w:rsidRPr="00812509" w:rsidRDefault="00204901">
            <w:pPr>
              <w:pStyle w:val="TableTextEntries"/>
              <w:jc w:val="center"/>
              <w:rPr>
                <w:rFonts w:asciiTheme="minorHAnsi" w:hAnsiTheme="minorHAnsi"/>
                <w:color w:val="FFFFFF" w:themeColor="background1"/>
              </w:rPr>
            </w:pPr>
            <w:r>
              <w:rPr>
                <w:rFonts w:asciiTheme="minorHAnsi" w:hAnsiTheme="minorHAnsi"/>
                <w:color w:val="FFFFFF" w:themeColor="background1"/>
              </w:rPr>
              <w:t>Green</w:t>
            </w:r>
          </w:p>
        </w:tc>
        <w:tc>
          <w:tcPr>
            <w:tcW w:w="996" w:type="dxa"/>
            <w:shd w:val="clear" w:color="auto" w:fill="auto"/>
          </w:tcPr>
          <w:p w14:paraId="7DAAD06D" w14:textId="77777777" w:rsidR="002A4A0E" w:rsidRPr="002A4A0E" w:rsidRDefault="002A4A0E" w:rsidP="00184F1E">
            <w:pPr>
              <w:pStyle w:val="TableTextEntries"/>
              <w:jc w:val="center"/>
              <w:rPr>
                <w:rFonts w:asciiTheme="minorHAnsi" w:hAnsiTheme="minorHAnsi"/>
                <w:color w:val="FFFFFF" w:themeColor="background1"/>
              </w:rPr>
            </w:pPr>
          </w:p>
        </w:tc>
      </w:tr>
      <w:tr w:rsidR="002A4A0E" w:rsidRPr="00812509" w14:paraId="6E57CBDC" w14:textId="77777777" w:rsidTr="004E19D7">
        <w:trPr>
          <w:cnfStyle w:val="000000010000" w:firstRow="0" w:lastRow="0" w:firstColumn="0" w:lastColumn="0" w:oddVBand="0" w:evenVBand="0" w:oddHBand="0" w:evenHBand="1" w:firstRowFirstColumn="0" w:firstRowLastColumn="0" w:lastRowFirstColumn="0" w:lastRowLastColumn="0"/>
        </w:trPr>
        <w:tc>
          <w:tcPr>
            <w:tcW w:w="5807" w:type="dxa"/>
          </w:tcPr>
          <w:p w14:paraId="4618FB7A" w14:textId="77777777" w:rsidR="002A4A0E" w:rsidRPr="00812509" w:rsidRDefault="002A4A0E" w:rsidP="002A4A0E">
            <w:pPr>
              <w:pStyle w:val="TableTextEntries"/>
              <w:rPr>
                <w:rFonts w:asciiTheme="minorHAnsi" w:hAnsiTheme="minorHAnsi"/>
              </w:rPr>
            </w:pPr>
            <w:r w:rsidRPr="00812509">
              <w:rPr>
                <w:rFonts w:asciiTheme="minorHAnsi" w:hAnsiTheme="minorHAnsi"/>
              </w:rPr>
              <w:t>Objective 2</w:t>
            </w:r>
            <w:r w:rsidR="008107AB">
              <w:rPr>
                <w:rFonts w:asciiTheme="minorHAnsi" w:hAnsiTheme="minorHAnsi"/>
              </w:rPr>
              <w:t xml:space="preserve"> – Palestinian refugees in the PTs and across the region are able to access quality basic services</w:t>
            </w:r>
          </w:p>
        </w:tc>
        <w:tc>
          <w:tcPr>
            <w:tcW w:w="1098" w:type="dxa"/>
            <w:shd w:val="clear" w:color="auto" w:fill="7FB64D" w:themeFill="accent3" w:themeFillShade="BF"/>
            <w:noWrap/>
          </w:tcPr>
          <w:p w14:paraId="47745FEC" w14:textId="77777777" w:rsidR="002A4A0E" w:rsidRPr="00812509" w:rsidRDefault="00204901" w:rsidP="002A4A0E">
            <w:pPr>
              <w:pStyle w:val="TableTextEntries"/>
              <w:jc w:val="center"/>
              <w:rPr>
                <w:rFonts w:asciiTheme="minorHAnsi" w:hAnsiTheme="minorHAnsi"/>
                <w:color w:val="FFFFFF" w:themeColor="background1"/>
              </w:rPr>
            </w:pPr>
            <w:r>
              <w:rPr>
                <w:rFonts w:asciiTheme="minorHAnsi" w:hAnsiTheme="minorHAnsi"/>
                <w:color w:val="FFFFFF" w:themeColor="background1"/>
              </w:rPr>
              <w:t>Green</w:t>
            </w:r>
          </w:p>
        </w:tc>
        <w:tc>
          <w:tcPr>
            <w:tcW w:w="402" w:type="dxa"/>
          </w:tcPr>
          <w:p w14:paraId="5690AA17" w14:textId="77777777" w:rsidR="002A4A0E" w:rsidRPr="00812509" w:rsidRDefault="002A4A0E" w:rsidP="007A6119">
            <w:pPr>
              <w:pStyle w:val="TableTextEntries"/>
              <w:jc w:val="center"/>
              <w:rPr>
                <w:rFonts w:asciiTheme="minorHAnsi" w:hAnsiTheme="minorHAnsi"/>
                <w:color w:val="FFFFFF" w:themeColor="background1"/>
              </w:rPr>
            </w:pPr>
          </w:p>
        </w:tc>
        <w:tc>
          <w:tcPr>
            <w:tcW w:w="1167" w:type="dxa"/>
            <w:shd w:val="clear" w:color="auto" w:fill="72AF2F"/>
            <w:noWrap/>
          </w:tcPr>
          <w:p w14:paraId="06DA0788" w14:textId="77777777" w:rsidR="002A4A0E" w:rsidRPr="00812509" w:rsidRDefault="002A4A0E">
            <w:pPr>
              <w:pStyle w:val="TableTextEntries"/>
              <w:jc w:val="center"/>
              <w:rPr>
                <w:rFonts w:asciiTheme="minorHAnsi" w:hAnsiTheme="minorHAnsi"/>
                <w:color w:val="FFFFFF" w:themeColor="background1"/>
              </w:rPr>
            </w:pPr>
            <w:r w:rsidRPr="00812509">
              <w:rPr>
                <w:rFonts w:asciiTheme="minorHAnsi" w:hAnsiTheme="minorHAnsi"/>
                <w:color w:val="FFFFFF" w:themeColor="background1"/>
              </w:rPr>
              <w:t>Green</w:t>
            </w:r>
          </w:p>
        </w:tc>
        <w:tc>
          <w:tcPr>
            <w:tcW w:w="996" w:type="dxa"/>
            <w:shd w:val="clear" w:color="auto" w:fill="auto"/>
          </w:tcPr>
          <w:p w14:paraId="755F9158" w14:textId="77777777" w:rsidR="002A4A0E" w:rsidRPr="002A4A0E" w:rsidRDefault="002A4A0E" w:rsidP="00184F1E">
            <w:pPr>
              <w:pStyle w:val="TableTextEntries"/>
              <w:jc w:val="center"/>
              <w:rPr>
                <w:rFonts w:asciiTheme="minorHAnsi" w:hAnsiTheme="minorHAnsi"/>
                <w:color w:val="FFFFFF" w:themeColor="background1"/>
              </w:rPr>
            </w:pPr>
          </w:p>
        </w:tc>
      </w:tr>
    </w:tbl>
    <w:p w14:paraId="3934B088" w14:textId="77777777" w:rsidR="005B5769" w:rsidRPr="00812509" w:rsidRDefault="005B5769" w:rsidP="002A4A0E">
      <w:pPr>
        <w:pStyle w:val="Note"/>
        <w:rPr>
          <w:rFonts w:asciiTheme="minorHAnsi" w:hAnsiTheme="minorHAnsi"/>
          <w:sz w:val="16"/>
        </w:rPr>
      </w:pPr>
      <w:r w:rsidRPr="00812509">
        <w:rPr>
          <w:rFonts w:asciiTheme="minorHAnsi" w:hAnsiTheme="minorHAnsi"/>
          <w:sz w:val="16"/>
        </w:rPr>
        <w:lastRenderedPageBreak/>
        <w:t xml:space="preserve">Note: </w:t>
      </w:r>
    </w:p>
    <w:p w14:paraId="356523C1" w14:textId="77777777" w:rsidR="005B5769" w:rsidRPr="00812509" w:rsidRDefault="005B5769">
      <w:pPr>
        <w:pStyle w:val="Note"/>
        <w:rPr>
          <w:rFonts w:asciiTheme="minorHAnsi" w:hAnsiTheme="minorHAnsi"/>
          <w:sz w:val="16"/>
        </w:rPr>
      </w:pPr>
      <w:r w:rsidRPr="00812509">
        <w:rPr>
          <w:rFonts w:asciiTheme="minorHAnsi" w:hAnsiTheme="minorHAnsi"/>
          <w:color w:val="72AF2F"/>
          <w:sz w:val="16"/>
        </w:rPr>
        <w:sym w:font="Webdings" w:char="F067"/>
      </w:r>
      <w:r w:rsidRPr="00812509">
        <w:rPr>
          <w:rFonts w:asciiTheme="minorHAnsi" w:hAnsiTheme="minorHAnsi"/>
          <w:sz w:val="16"/>
        </w:rPr>
        <w:t> </w:t>
      </w:r>
      <w:r w:rsidRPr="00812509">
        <w:rPr>
          <w:rFonts w:asciiTheme="minorHAnsi" w:hAnsiTheme="minorHAnsi"/>
          <w:sz w:val="16"/>
        </w:rPr>
        <w:t xml:space="preserve"> Green. Progress is as expected at this stage of implementation and it is likely that the objective will be achieved. Standard program management practices are sufficient.</w:t>
      </w:r>
    </w:p>
    <w:p w14:paraId="04196E7F" w14:textId="77777777" w:rsidR="005B5769" w:rsidRPr="00812509" w:rsidRDefault="005B5769">
      <w:pPr>
        <w:pStyle w:val="Note"/>
        <w:rPr>
          <w:rFonts w:asciiTheme="minorHAnsi" w:hAnsiTheme="minorHAnsi"/>
          <w:sz w:val="16"/>
        </w:rPr>
      </w:pPr>
      <w:r w:rsidRPr="00812509">
        <w:rPr>
          <w:rFonts w:asciiTheme="minorHAnsi" w:hAnsiTheme="minorHAnsi"/>
          <w:color w:val="E36C0A"/>
          <w:sz w:val="16"/>
        </w:rPr>
        <w:sym w:font="Webdings" w:char="F067"/>
      </w:r>
      <w:r w:rsidRPr="00812509">
        <w:rPr>
          <w:rFonts w:asciiTheme="minorHAnsi" w:hAnsiTheme="minorHAnsi"/>
          <w:sz w:val="16"/>
        </w:rPr>
        <w:t> </w:t>
      </w:r>
      <w:r w:rsidRPr="00812509">
        <w:rPr>
          <w:rFonts w:asciiTheme="minorHAnsi" w:hAnsiTheme="minorHAnsi"/>
          <w:sz w:val="16"/>
        </w:rPr>
        <w:t xml:space="preserve"> Amber. Progress is somewhat less than expected at this stage of implementation and restorative action will be necessary if the objective is to be achieved. Close performance monitoring is recommended.</w:t>
      </w:r>
    </w:p>
    <w:p w14:paraId="5EB0A745" w14:textId="77777777" w:rsidR="005B5769" w:rsidRDefault="005B5769">
      <w:pPr>
        <w:pStyle w:val="Note"/>
        <w:rPr>
          <w:rFonts w:asciiTheme="minorHAnsi" w:hAnsiTheme="minorHAnsi"/>
          <w:sz w:val="16"/>
        </w:rPr>
      </w:pPr>
      <w:r w:rsidRPr="00812509">
        <w:rPr>
          <w:rFonts w:asciiTheme="minorHAnsi" w:hAnsiTheme="minorHAnsi"/>
          <w:color w:val="FF0000"/>
          <w:sz w:val="16"/>
        </w:rPr>
        <w:sym w:font="Webdings" w:char="F067"/>
      </w:r>
      <w:r w:rsidRPr="00812509">
        <w:rPr>
          <w:rFonts w:asciiTheme="minorHAnsi" w:hAnsiTheme="minorHAnsi"/>
          <w:sz w:val="16"/>
        </w:rPr>
        <w:t> </w:t>
      </w:r>
      <w:r w:rsidRPr="00812509">
        <w:rPr>
          <w:rFonts w:asciiTheme="minorHAnsi" w:hAnsiTheme="minorHAnsi"/>
          <w:sz w:val="16"/>
        </w:rPr>
        <w:t xml:space="preserve"> Red. Progress is significantly less than expected at this stage of implementation and the objective is not likely to be met given available resources and priorities. Recasting the objective may be required.</w:t>
      </w:r>
    </w:p>
    <w:p w14:paraId="3A0DF78E" w14:textId="77777777" w:rsidR="005B5769" w:rsidRPr="00C4114C" w:rsidRDefault="005B5769" w:rsidP="005B5769">
      <w:pPr>
        <w:pStyle w:val="Note"/>
      </w:pPr>
      <w:r w:rsidRPr="00C4114C">
        <w:t xml:space="preserve">  </w:t>
      </w:r>
    </w:p>
    <w:p w14:paraId="57F59E43" w14:textId="77777777" w:rsidR="00695730" w:rsidRDefault="00695730" w:rsidP="00C523F9">
      <w:pPr>
        <w:rPr>
          <w:rFonts w:asciiTheme="majorHAnsi" w:eastAsiaTheme="majorEastAsia" w:hAnsiTheme="majorHAnsi" w:cstheme="majorBidi"/>
          <w:caps/>
          <w:sz w:val="38"/>
          <w:szCs w:val="26"/>
        </w:rPr>
      </w:pPr>
      <w:r w:rsidRPr="002A51CA">
        <w:rPr>
          <w:rFonts w:asciiTheme="majorHAnsi" w:eastAsiaTheme="majorEastAsia" w:hAnsiTheme="majorHAnsi" w:cstheme="majorBidi"/>
          <w:caps/>
          <w:sz w:val="38"/>
          <w:szCs w:val="26"/>
        </w:rPr>
        <w:t>Objective 1</w:t>
      </w:r>
      <w:r w:rsidR="008107AB">
        <w:rPr>
          <w:rFonts w:asciiTheme="majorHAnsi" w:eastAsiaTheme="majorEastAsia" w:hAnsiTheme="majorHAnsi" w:cstheme="majorBidi"/>
          <w:caps/>
          <w:sz w:val="38"/>
          <w:szCs w:val="26"/>
        </w:rPr>
        <w:t xml:space="preserve"> – improved public financial management and a more competitive agricultural economy in the PTs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787"/>
        <w:gridCol w:w="1176"/>
        <w:gridCol w:w="1852"/>
        <w:gridCol w:w="2806"/>
      </w:tblGrid>
      <w:tr w:rsidR="003E6F40" w:rsidRPr="00695730" w14:paraId="3ED30042" w14:textId="77777777" w:rsidTr="00484574">
        <w:tc>
          <w:tcPr>
            <w:tcW w:w="2016" w:type="dxa"/>
          </w:tcPr>
          <w:p w14:paraId="04C55B44" w14:textId="77777777" w:rsidR="00695730" w:rsidRPr="00695730" w:rsidRDefault="00695730" w:rsidP="00695730">
            <w:pPr>
              <w:suppressAutoHyphens w:val="0"/>
              <w:spacing w:before="8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265B6E92" wp14:editId="1CAD9D06">
                  <wp:extent cx="1137600" cy="720000"/>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 Contribution.JPG"/>
                          <pic:cNvPicPr/>
                        </pic:nvPicPr>
                        <pic:blipFill>
                          <a:blip r:embed="rId17">
                            <a:extLst>
                              <a:ext uri="{28A0092B-C50C-407E-A947-70E740481C1C}">
                                <a14:useLocalDpi xmlns:a14="http://schemas.microsoft.com/office/drawing/2010/main" val="0"/>
                              </a:ext>
                            </a:extLst>
                          </a:blip>
                          <a:stretch>
                            <a:fillRect/>
                          </a:stretch>
                        </pic:blipFill>
                        <pic:spPr>
                          <a:xfrm>
                            <a:off x="0" y="0"/>
                            <a:ext cx="1137600" cy="720000"/>
                          </a:xfrm>
                          <a:prstGeom prst="rect">
                            <a:avLst/>
                          </a:prstGeom>
                        </pic:spPr>
                      </pic:pic>
                    </a:graphicData>
                  </a:graphic>
                </wp:inline>
              </w:drawing>
            </w:r>
          </w:p>
        </w:tc>
        <w:tc>
          <w:tcPr>
            <w:tcW w:w="1904" w:type="dxa"/>
          </w:tcPr>
          <w:p w14:paraId="224AFAE6" w14:textId="77777777" w:rsidR="00695730" w:rsidRPr="00695730" w:rsidRDefault="00695730" w:rsidP="00695730">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4B6DBBAE" wp14:editId="4BC5ED82">
                  <wp:extent cx="60960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tc>
        <w:tc>
          <w:tcPr>
            <w:tcW w:w="616" w:type="dxa"/>
          </w:tcPr>
          <w:p w14:paraId="31881010" w14:textId="77777777" w:rsidR="00695730" w:rsidRPr="00695730" w:rsidRDefault="00695730" w:rsidP="00695730">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Franklin Gothic Book" w:eastAsia="Times New Roman" w:hAnsi="Franklin Gothic Book" w:cs="Times New Roman"/>
                <w:noProof/>
                <w:color w:val="auto"/>
                <w:sz w:val="21"/>
                <w:szCs w:val="24"/>
                <w:lang w:val="en-AU" w:eastAsia="en-AU"/>
              </w:rPr>
              <w:drawing>
                <wp:inline distT="0" distB="0" distL="0" distR="0" wp14:anchorId="03357244" wp14:editId="346D4C9B">
                  <wp:extent cx="609176" cy="61101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1844" cy="613688"/>
                          </a:xfrm>
                          <a:prstGeom prst="rect">
                            <a:avLst/>
                          </a:prstGeom>
                        </pic:spPr>
                      </pic:pic>
                    </a:graphicData>
                  </a:graphic>
                </wp:inline>
              </w:drawing>
            </w:r>
          </w:p>
        </w:tc>
        <w:tc>
          <w:tcPr>
            <w:tcW w:w="1985" w:type="dxa"/>
          </w:tcPr>
          <w:p w14:paraId="4BDD0CBB" w14:textId="77777777" w:rsidR="00695730" w:rsidRPr="00695730" w:rsidRDefault="007005AA" w:rsidP="00695730">
            <w:pPr>
              <w:suppressAutoHyphens w:val="0"/>
              <w:spacing w:before="160" w:after="80" w:line="240" w:lineRule="auto"/>
              <w:jc w:val="center"/>
              <w:rPr>
                <w:rFonts w:asciiTheme="majorHAnsi" w:eastAsiaTheme="majorEastAsia" w:hAnsiTheme="majorHAnsi" w:cstheme="majorBidi"/>
                <w:caps/>
                <w:sz w:val="38"/>
                <w:szCs w:val="26"/>
              </w:rPr>
            </w:pPr>
            <w:r>
              <w:rPr>
                <w:noProof/>
                <w:lang w:val="en-AU" w:eastAsia="en-AU"/>
              </w:rPr>
              <w:drawing>
                <wp:inline distT="0" distB="0" distL="0" distR="0" wp14:anchorId="6020AF19" wp14:editId="26021DF2">
                  <wp:extent cx="596900" cy="6115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 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7391" cy="612008"/>
                          </a:xfrm>
                          <a:prstGeom prst="rect">
                            <a:avLst/>
                          </a:prstGeom>
                        </pic:spPr>
                      </pic:pic>
                    </a:graphicData>
                  </a:graphic>
                </wp:inline>
              </w:drawing>
            </w:r>
          </w:p>
        </w:tc>
        <w:tc>
          <w:tcPr>
            <w:tcW w:w="3117" w:type="dxa"/>
          </w:tcPr>
          <w:p w14:paraId="7A3E3061" w14:textId="264A9B5D" w:rsidR="00695730" w:rsidRPr="00695730" w:rsidRDefault="00484574" w:rsidP="00484574">
            <w:pPr>
              <w:suppressAutoHyphens w:val="0"/>
              <w:spacing w:before="160" w:after="80" w:line="240" w:lineRule="auto"/>
              <w:rPr>
                <w:rFonts w:asciiTheme="majorHAnsi" w:eastAsiaTheme="majorEastAsia" w:hAnsiTheme="majorHAnsi" w:cstheme="majorBidi"/>
                <w:caps/>
                <w:sz w:val="38"/>
                <w:szCs w:val="26"/>
              </w:rPr>
            </w:pPr>
            <w:r>
              <w:rPr>
                <w:noProof/>
                <w:lang w:val="en-AU" w:eastAsia="en-AU"/>
              </w:rPr>
              <w:drawing>
                <wp:inline distT="0" distB="0" distL="0" distR="0" wp14:anchorId="177D968A" wp14:editId="4804F5F0">
                  <wp:extent cx="609600" cy="609600"/>
                  <wp:effectExtent l="0" t="0" r="0" b="0"/>
                  <wp:docPr id="50" name="Picture 50" descr="C:\Users\scarpen2\AppData\Local\Microsoft\Windows\INetCache\Content.Word\SD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arpen2\AppData\Local\Microsoft\Windows\INetCache\Content.Word\SDG 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3E6F40">
              <w:rPr>
                <w:rFonts w:asciiTheme="majorHAnsi" w:eastAsiaTheme="majorEastAsia" w:hAnsiTheme="majorHAnsi" w:cstheme="majorBidi"/>
                <w:caps/>
                <w:sz w:val="38"/>
                <w:szCs w:val="26"/>
              </w:rPr>
              <w:t xml:space="preserve">    </w:t>
            </w:r>
            <w:r w:rsidR="003E6F40">
              <w:rPr>
                <w:rFonts w:asciiTheme="majorHAnsi" w:eastAsiaTheme="majorEastAsia" w:hAnsiTheme="majorHAnsi" w:cstheme="majorBidi"/>
                <w:caps/>
                <w:noProof/>
                <w:sz w:val="38"/>
                <w:szCs w:val="26"/>
                <w:lang w:val="en-AU" w:eastAsia="en-AU"/>
              </w:rPr>
              <w:drawing>
                <wp:inline distT="0" distB="0" distL="0" distR="0" wp14:anchorId="151CBB35" wp14:editId="6E03E3E4">
                  <wp:extent cx="579120" cy="597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20" cy="597535"/>
                          </a:xfrm>
                          <a:prstGeom prst="rect">
                            <a:avLst/>
                          </a:prstGeom>
                          <a:noFill/>
                        </pic:spPr>
                      </pic:pic>
                    </a:graphicData>
                  </a:graphic>
                </wp:inline>
              </w:drawing>
            </w:r>
          </w:p>
        </w:tc>
      </w:tr>
    </w:tbl>
    <w:p w14:paraId="2D539A03" w14:textId="0F46D66F" w:rsidR="005C4399" w:rsidRDefault="005C4399" w:rsidP="005C4399">
      <w:r>
        <w:t xml:space="preserve">Three investments contributed </w:t>
      </w:r>
      <w:r w:rsidR="004E19D7">
        <w:t xml:space="preserve">to </w:t>
      </w:r>
      <w:r>
        <w:t>a more competitive agricultural economy and improved financial management in the PTs during 2017-18. This objective is rated green because progress is as expected at this stage of implementation for all three investments.</w:t>
      </w:r>
    </w:p>
    <w:p w14:paraId="7B4835B6" w14:textId="6EF87E82" w:rsidR="005C4399" w:rsidRDefault="005C4399" w:rsidP="005C4399">
      <w:r>
        <w:t>In 2017-18</w:t>
      </w:r>
      <w:r w:rsidR="0056050D">
        <w:t>,</w:t>
      </w:r>
      <w:r>
        <w:t xml:space="preserve"> Australia provided $2.2 million to the third phase of </w:t>
      </w:r>
      <w:r w:rsidRPr="00027E21">
        <w:rPr>
          <w:b/>
        </w:rPr>
        <w:t>Australian Middle East NGO Cooperation Agreement (AMENCA 3).</w:t>
      </w:r>
      <w:r w:rsidR="0056050D">
        <w:t xml:space="preserve"> AMENCA 3 uses a ‘M</w:t>
      </w:r>
      <w:r>
        <w:t>arkets</w:t>
      </w:r>
      <w:r w:rsidR="0056050D">
        <w:t xml:space="preserve"> for the P</w:t>
      </w:r>
      <w:r w:rsidR="00027E21">
        <w:t>oor’ (M4P) approach</w:t>
      </w:r>
      <w:r>
        <w:t xml:space="preserve"> to facilitate agricultural development across the PTs, seeking to increase agr</w:t>
      </w:r>
      <w:r w:rsidR="0056050D">
        <w:t>icultural output, strengthen agricultural value chains</w:t>
      </w:r>
      <w:r>
        <w:t xml:space="preserve"> and </w:t>
      </w:r>
      <w:r w:rsidR="0056050D">
        <w:t>enhance economic opportunities for</w:t>
      </w:r>
      <w:r>
        <w:t xml:space="preserve"> Palestinians, </w:t>
      </w:r>
      <w:r w:rsidR="00841EB1">
        <w:t>with a specific focus on</w:t>
      </w:r>
      <w:r>
        <w:t xml:space="preserve"> women and youth. The program works </w:t>
      </w:r>
      <w:r w:rsidR="00985395">
        <w:t xml:space="preserve">with </w:t>
      </w:r>
      <w:r>
        <w:t xml:space="preserve">Australian NGOs and their Palestinian networks </w:t>
      </w:r>
      <w:r w:rsidR="00027E21">
        <w:t xml:space="preserve">to identify barriers to </w:t>
      </w:r>
      <w:r>
        <w:t>participation in the sector, design activities to address these constraint</w:t>
      </w:r>
      <w:r w:rsidR="00027E21">
        <w:t>s</w:t>
      </w:r>
      <w:r>
        <w:t xml:space="preserve"> and facilitate relationships that bring markets actors together.</w:t>
      </w:r>
    </w:p>
    <w:p w14:paraId="1C41720B" w14:textId="01A92C40" w:rsidR="005C4399" w:rsidRDefault="00985395" w:rsidP="005C4399">
      <w:r>
        <w:t>T</w:t>
      </w:r>
      <w:r w:rsidR="005C4399">
        <w:t xml:space="preserve">here are considerable constraints to agricultural development including a lack of certainty over territorial borders and natural resources such as land and water, restrictions on the movement of goods, people, and the continued risk of conflict, all of which </w:t>
      </w:r>
      <w:r w:rsidR="004E19D7">
        <w:t>are particularly acute in Gaza.</w:t>
      </w:r>
      <w:r w:rsidR="005C4399">
        <w:t xml:space="preserve"> The program’s anti</w:t>
      </w:r>
      <w:r>
        <w:t>cipated outcomes acknowledge this</w:t>
      </w:r>
      <w:r w:rsidR="005C4399">
        <w:t xml:space="preserve"> challenging environment.</w:t>
      </w:r>
    </w:p>
    <w:p w14:paraId="15C0CB44" w14:textId="7BE78495" w:rsidR="005C4399" w:rsidRDefault="005C4399" w:rsidP="005C4399">
      <w:pPr>
        <w:rPr>
          <w:b/>
          <w:bCs/>
          <w:color w:val="FF0000"/>
        </w:rPr>
      </w:pPr>
      <w:r>
        <w:t>Performance reporting in 2017-18 showed that AMENCA 3 is having a positive impact on the</w:t>
      </w:r>
      <w:r w:rsidR="00C321D1">
        <w:t xml:space="preserve"> lives of Palestinian farmers. </w:t>
      </w:r>
      <w:r>
        <w:t>In 2017</w:t>
      </w:r>
      <w:r w:rsidR="00027E21">
        <w:t>-18, AMENCA 3</w:t>
      </w:r>
      <w:r>
        <w:t xml:space="preserve"> supported more than 1,100 farmers to adopt innov</w:t>
      </w:r>
      <w:r w:rsidR="00985395">
        <w:t>ations in agriculture, leading</w:t>
      </w:r>
      <w:r w:rsidR="00027E21">
        <w:t xml:space="preserve"> to</w:t>
      </w:r>
      <w:r>
        <w:t xml:space="preserve"> increased yields and profits.</w:t>
      </w:r>
      <w:r w:rsidR="001C408C" w:rsidRPr="001C408C">
        <w:t xml:space="preserve"> </w:t>
      </w:r>
      <w:r w:rsidR="00E1143A">
        <w:t>For example, t</w:t>
      </w:r>
      <w:r w:rsidR="001C408C">
        <w:t>he u</w:t>
      </w:r>
      <w:r w:rsidR="001C408C" w:rsidRPr="000B72CF">
        <w:t xml:space="preserve">se of balance drip irrigation and mono-fertilisers in vegetable farming </w:t>
      </w:r>
      <w:r w:rsidR="001C408C">
        <w:t>has reduced farming costs by 30 per cent</w:t>
      </w:r>
      <w:r w:rsidR="001C408C" w:rsidRPr="000B72CF">
        <w:t xml:space="preserve"> </w:t>
      </w:r>
      <w:r w:rsidR="001C408C">
        <w:t xml:space="preserve">and </w:t>
      </w:r>
      <w:r w:rsidR="001C408C" w:rsidRPr="000B72CF">
        <w:t>increased yield</w:t>
      </w:r>
      <w:r w:rsidR="001C408C">
        <w:t xml:space="preserve">s by </w:t>
      </w:r>
      <w:r w:rsidR="00FF3DBF">
        <w:t>five</w:t>
      </w:r>
      <w:r w:rsidR="001C408C">
        <w:t xml:space="preserve"> per cent, thereby</w:t>
      </w:r>
      <w:r w:rsidR="001C408C" w:rsidRPr="000B72CF">
        <w:t xml:space="preserve"> increasing farmer incomes.</w:t>
      </w:r>
    </w:p>
    <w:p w14:paraId="26A8C465" w14:textId="481CA777" w:rsidR="00E1143A" w:rsidRDefault="00985395" w:rsidP="005C4399">
      <w:r>
        <w:t>AMENCA 3 has supported t</w:t>
      </w:r>
      <w:r w:rsidR="005C4399">
        <w:t xml:space="preserve">he construction of </w:t>
      </w:r>
      <w:r w:rsidR="00027E21">
        <w:t xml:space="preserve">more than 24 </w:t>
      </w:r>
      <w:r w:rsidR="005C4399">
        <w:t xml:space="preserve">kilometres of rural roads since </w:t>
      </w:r>
      <w:r>
        <w:t xml:space="preserve">the program’s inception in 2016.  This has </w:t>
      </w:r>
      <w:r w:rsidR="005C4399">
        <w:t xml:space="preserve">reduced transportation costs </w:t>
      </w:r>
      <w:r>
        <w:t xml:space="preserve">and increased profitability, </w:t>
      </w:r>
      <w:r w:rsidRPr="00D503DB">
        <w:t>with</w:t>
      </w:r>
      <w:r w:rsidR="005C4399" w:rsidRPr="00D503DB">
        <w:t xml:space="preserve"> more than 2,000 farmers reporting increased incomes, and </w:t>
      </w:r>
      <w:r w:rsidR="00027E21" w:rsidRPr="00D503DB">
        <w:t>more than 1,000 women and 770</w:t>
      </w:r>
      <w:r w:rsidR="005C4399" w:rsidRPr="00D503DB">
        <w:t xml:space="preserve"> yout</w:t>
      </w:r>
      <w:r w:rsidR="00841EB1">
        <w:t>h reporting increased income and</w:t>
      </w:r>
      <w:r w:rsidR="005C4399" w:rsidRPr="00D503DB">
        <w:t xml:space="preserve"> enhanced linkages with market actors.</w:t>
      </w:r>
      <w:r w:rsidR="005C4399">
        <w:t xml:space="preserve"> </w:t>
      </w:r>
    </w:p>
    <w:p w14:paraId="08F42BAB" w14:textId="46833F9A" w:rsidR="00D93605" w:rsidRPr="00F94513" w:rsidRDefault="00C521C3" w:rsidP="005C4399">
      <w:pPr>
        <w:rPr>
          <w:color w:val="1F497D"/>
          <w:lang w:val="en-AU"/>
        </w:rPr>
      </w:pPr>
      <w:r w:rsidRPr="00D503DB">
        <w:t>Re</w:t>
      </w:r>
      <w:r w:rsidR="00A64949" w:rsidRPr="00D503DB">
        <w:t>sults</w:t>
      </w:r>
      <w:r w:rsidRPr="00D503DB">
        <w:t xml:space="preserve"> were higher than expected for</w:t>
      </w:r>
      <w:r w:rsidR="00A64949" w:rsidRPr="00D503DB">
        <w:t xml:space="preserve"> women repo</w:t>
      </w:r>
      <w:r w:rsidR="00D503DB" w:rsidRPr="00D503DB">
        <w:t>rting economic empowerment (260 per cent</w:t>
      </w:r>
      <w:r w:rsidR="00A64949" w:rsidRPr="00D503DB">
        <w:t xml:space="preserve"> </w:t>
      </w:r>
      <w:r w:rsidR="00D503DB" w:rsidRPr="00D503DB">
        <w:t xml:space="preserve">higher than our 2016 baseline; </w:t>
      </w:r>
      <w:r w:rsidR="00A64949" w:rsidRPr="00D503DB">
        <w:t>1,094 women) and more active and equitable roles in</w:t>
      </w:r>
      <w:r w:rsidR="00D503DB" w:rsidRPr="00D503DB">
        <w:t xml:space="preserve"> agricultural value chains (240 per cent</w:t>
      </w:r>
      <w:r w:rsidR="00A64949" w:rsidRPr="00D503DB">
        <w:t xml:space="preserve"> </w:t>
      </w:r>
      <w:r w:rsidR="00D503DB" w:rsidRPr="00D503DB">
        <w:t xml:space="preserve">higher than our 2016 baseline; </w:t>
      </w:r>
      <w:r w:rsidR="00A64949" w:rsidRPr="00D503DB">
        <w:t>626 women).</w:t>
      </w:r>
      <w:r w:rsidR="00A64949">
        <w:t xml:space="preserve">  </w:t>
      </w:r>
    </w:p>
    <w:p w14:paraId="3B606082" w14:textId="0BD8247D" w:rsidR="005C4399" w:rsidRDefault="005C4399" w:rsidP="00D503DB">
      <w:r>
        <w:t>In 2</w:t>
      </w:r>
      <w:r w:rsidR="00985395">
        <w:t xml:space="preserve">017-18, allegations against an </w:t>
      </w:r>
      <w:r>
        <w:t>AMENCA 3 implementing partner (APHEDA) led to its suspension from the program. (This is in addition to the suspension of World Vision from the program in 2016).  The remaining partners, Care and Oxfam, continue to deliver strong results however overall program performance will inevitably be impacted by the suspensions.</w:t>
      </w:r>
      <w:r w:rsidR="00D503DB">
        <w:t xml:space="preserve"> Cardno Emerging Markets also continues to provide technical and operational support to AMENCA 3.</w:t>
      </w:r>
    </w:p>
    <w:p w14:paraId="3A3CB3E3" w14:textId="77777777" w:rsidR="00E1143A" w:rsidRDefault="00E1143A" w:rsidP="005C4399"/>
    <w:p w14:paraId="6CA25436" w14:textId="77777777" w:rsidR="00D048CA" w:rsidRDefault="00D048CA" w:rsidP="005C4399"/>
    <w:p w14:paraId="7A0766B3" w14:textId="16A0069F" w:rsidR="003F2704" w:rsidRPr="00795F58" w:rsidRDefault="00C321D1" w:rsidP="005C4399">
      <w:r w:rsidRPr="00C321D1">
        <w:t xml:space="preserve">In response to the suspension of World Vision from AMENCA 3, and lessons learned from the program’s first year of implementation, </w:t>
      </w:r>
      <w:r w:rsidR="00795F58">
        <w:t xml:space="preserve">we pro-actively revised down our targets for the program in 2017.  Of </w:t>
      </w:r>
      <w:r w:rsidR="00F10BE7" w:rsidRPr="00F10BE7">
        <w:t xml:space="preserve">the 14 </w:t>
      </w:r>
      <w:r w:rsidRPr="00F10BE7">
        <w:t>target</w:t>
      </w:r>
      <w:r w:rsidR="00C521C3" w:rsidRPr="00F10BE7">
        <w:t xml:space="preserve">s, </w:t>
      </w:r>
      <w:r w:rsidR="003A37E3">
        <w:t>we revised ten</w:t>
      </w:r>
      <w:r w:rsidR="00795F58">
        <w:t xml:space="preserve"> down</w:t>
      </w:r>
      <w:r w:rsidR="0085071F" w:rsidRPr="00F10BE7">
        <w:t xml:space="preserve"> by 25 per cent</w:t>
      </w:r>
      <w:r w:rsidR="00795F58">
        <w:t xml:space="preserve"> on average</w:t>
      </w:r>
      <w:r w:rsidR="003F2704" w:rsidRPr="00F10BE7">
        <w:t>.  Of these targets, 11 achieved 75 per cent or more of the</w:t>
      </w:r>
      <w:r w:rsidR="00F10BE7" w:rsidRPr="00F10BE7">
        <w:t>ir</w:t>
      </w:r>
      <w:r w:rsidR="003F2704" w:rsidRPr="00F10BE7">
        <w:t xml:space="preserve"> revised objective</w:t>
      </w:r>
      <w:r w:rsidR="00F10BE7" w:rsidRPr="00F10BE7">
        <w:t>s</w:t>
      </w:r>
      <w:r w:rsidR="003F2704" w:rsidRPr="00F10BE7">
        <w:t xml:space="preserve"> in 2017.  </w:t>
      </w:r>
      <w:r w:rsidRPr="00F10BE7">
        <w:t>Greatest results were observed in the number of women and youth reporting economic empowerment, and gains in private sector investment.</w:t>
      </w:r>
      <w:r w:rsidRPr="00C321D1">
        <w:t xml:space="preserve"> </w:t>
      </w:r>
    </w:p>
    <w:p w14:paraId="104DD9B2" w14:textId="09115C1C" w:rsidR="0085071F" w:rsidRDefault="00985395" w:rsidP="005C4399">
      <w:r>
        <w:t xml:space="preserve">An internal </w:t>
      </w:r>
      <w:r w:rsidR="0085071F" w:rsidRPr="0085071F">
        <w:t>review of management and operations for AMENCA 3 was undertaken in May 2017 ai</w:t>
      </w:r>
      <w:r w:rsidR="00C13225">
        <w:t xml:space="preserve">med at streamlining </w:t>
      </w:r>
      <w:r>
        <w:t>management of the</w:t>
      </w:r>
      <w:r w:rsidR="0085071F" w:rsidRPr="0085071F">
        <w:t xml:space="preserve"> program</w:t>
      </w:r>
      <w:r>
        <w:t>,</w:t>
      </w:r>
      <w:r w:rsidR="0085071F" w:rsidRPr="0085071F">
        <w:t xml:space="preserve"> and these reforms were operationalised during 2017-18.</w:t>
      </w:r>
    </w:p>
    <w:p w14:paraId="25DB385C" w14:textId="1FD1B343" w:rsidR="007C6DF3" w:rsidRDefault="005C4399" w:rsidP="005C4399">
      <w:r w:rsidRPr="00276F6B">
        <w:t xml:space="preserve">Australia provided $1 million to </w:t>
      </w:r>
      <w:r w:rsidR="00985395">
        <w:t xml:space="preserve">the </w:t>
      </w:r>
      <w:r w:rsidRPr="0085071F">
        <w:rPr>
          <w:b/>
        </w:rPr>
        <w:t xml:space="preserve">World Bank’s Palestinian Recovery and Development Program (PRDP) multi-donor Trust Fund </w:t>
      </w:r>
      <w:r w:rsidRPr="00276F6B">
        <w:t>in July 2017</w:t>
      </w:r>
      <w:r>
        <w:t xml:space="preserve">, which provided </w:t>
      </w:r>
      <w:r w:rsidRPr="00276F6B">
        <w:t xml:space="preserve">staffing support for the PA Ministries of </w:t>
      </w:r>
      <w:r w:rsidR="00985395">
        <w:t>Health and E</w:t>
      </w:r>
      <w:r>
        <w:t>ducation</w:t>
      </w:r>
      <w:r w:rsidR="00985395">
        <w:t xml:space="preserve"> </w:t>
      </w:r>
      <w:r w:rsidRPr="00276F6B">
        <w:t>enabling</w:t>
      </w:r>
      <w:r>
        <w:t xml:space="preserve"> t</w:t>
      </w:r>
      <w:r w:rsidR="00FF3DBF">
        <w:t>hem</w:t>
      </w:r>
      <w:r w:rsidRPr="00276F6B">
        <w:t xml:space="preserve"> to </w:t>
      </w:r>
      <w:r w:rsidR="00C13225" w:rsidRPr="00276F6B">
        <w:t>pursue good</w:t>
      </w:r>
      <w:r w:rsidRPr="00276F6B">
        <w:t xml:space="preserve"> governance</w:t>
      </w:r>
      <w:r w:rsidR="0085071F">
        <w:t xml:space="preserve">.  </w:t>
      </w:r>
      <w:r>
        <w:t>During 2017-18, the Trust Fund receive</w:t>
      </w:r>
      <w:r w:rsidR="001C408C">
        <w:t>d</w:t>
      </w:r>
      <w:r>
        <w:t xml:space="preserve"> contributions from </w:t>
      </w:r>
      <w:r w:rsidR="003334B0">
        <w:t xml:space="preserve">France, </w:t>
      </w:r>
      <w:r w:rsidRPr="00F10BE7">
        <w:t>Norway, Kuwait and Japan</w:t>
      </w:r>
      <w:r w:rsidR="00985395" w:rsidRPr="00F10BE7">
        <w:t>, and</w:t>
      </w:r>
      <w:r w:rsidR="00985395">
        <w:t xml:space="preserve"> </w:t>
      </w:r>
      <w:r w:rsidR="00841EB1">
        <w:t xml:space="preserve">the </w:t>
      </w:r>
      <w:r w:rsidR="00985395">
        <w:t xml:space="preserve">World Bank provided funding accompanied by technical assistance.  </w:t>
      </w:r>
      <w:r w:rsidR="0085071F">
        <w:t>All</w:t>
      </w:r>
      <w:r>
        <w:t xml:space="preserve"> recipients of </w:t>
      </w:r>
      <w:r w:rsidR="00FF3DBF">
        <w:t xml:space="preserve">Australian </w:t>
      </w:r>
      <w:r>
        <w:t xml:space="preserve">funding </w:t>
      </w:r>
      <w:r w:rsidR="0085071F">
        <w:t>were screened through a risk management framework devel</w:t>
      </w:r>
      <w:r w:rsidR="00985395">
        <w:t>oped by the European Union (EU)</w:t>
      </w:r>
      <w:r w:rsidR="004E19D7">
        <w:t xml:space="preserve"> assess</w:t>
      </w:r>
      <w:r w:rsidR="00985395">
        <w:t>ing</w:t>
      </w:r>
      <w:r w:rsidR="004E19D7">
        <w:t xml:space="preserve"> individuals against </w:t>
      </w:r>
      <w:r w:rsidR="00985395">
        <w:t xml:space="preserve">relevant </w:t>
      </w:r>
      <w:r w:rsidR="004E19D7">
        <w:t xml:space="preserve">international sanctions </w:t>
      </w:r>
      <w:r w:rsidR="007C6DF3">
        <w:t xml:space="preserve">lists.  </w:t>
      </w:r>
      <w:r w:rsidR="00985395">
        <w:t xml:space="preserve">In addition, </w:t>
      </w:r>
      <w:r>
        <w:t xml:space="preserve">Australia </w:t>
      </w:r>
      <w:r w:rsidR="00FF3DBF">
        <w:t>had in place</w:t>
      </w:r>
      <w:r w:rsidR="007C6DF3">
        <w:t xml:space="preserve"> a</w:t>
      </w:r>
      <w:r>
        <w:t xml:space="preserve"> MOU with the PA requiring that an independent audit of Australian funds be undertaken </w:t>
      </w:r>
      <w:r w:rsidR="007C6DF3">
        <w:t>after it was expended, to confirm that the EU processes had been applied to Australian funding.</w:t>
      </w:r>
    </w:p>
    <w:p w14:paraId="62ABFBB4" w14:textId="179E0F6D" w:rsidR="005C4399" w:rsidRDefault="005C4399" w:rsidP="005C4399">
      <w:r>
        <w:t>Repor</w:t>
      </w:r>
      <w:r w:rsidR="0085071F">
        <w:t>ting from the World Bank and International Monetary Fund</w:t>
      </w:r>
      <w:r>
        <w:t xml:space="preserve"> </w:t>
      </w:r>
      <w:r w:rsidR="00CA7C01">
        <w:t>during 2017-18</w:t>
      </w:r>
      <w:r w:rsidR="007C6DF3">
        <w:t xml:space="preserve"> </w:t>
      </w:r>
      <w:r>
        <w:t>assessed that the P</w:t>
      </w:r>
      <w:r w:rsidR="007C6DF3">
        <w:t xml:space="preserve">A was managing the economy </w:t>
      </w:r>
      <w:r w:rsidR="007C6DF3" w:rsidRPr="004B6944">
        <w:t>well</w:t>
      </w:r>
      <w:r w:rsidRPr="004B6944">
        <w:t xml:space="preserve"> </w:t>
      </w:r>
      <w:r w:rsidR="00CA7C01" w:rsidRPr="004B6944">
        <w:t>despite the challenges of</w:t>
      </w:r>
      <w:r w:rsidR="003334B0" w:rsidRPr="004B6944">
        <w:t xml:space="preserve"> raising revenues</w:t>
      </w:r>
      <w:r w:rsidR="00CA7C01" w:rsidRPr="004B6944">
        <w:t>, reducing</w:t>
      </w:r>
      <w:r w:rsidRPr="004B6944">
        <w:t xml:space="preserve"> expendit</w:t>
      </w:r>
      <w:r w:rsidR="007C6DF3" w:rsidRPr="004B6944">
        <w:t xml:space="preserve">ure and </w:t>
      </w:r>
      <w:r w:rsidR="003334B0" w:rsidRPr="004B6944">
        <w:t xml:space="preserve">managing the uncertainty of </w:t>
      </w:r>
      <w:r w:rsidR="0027701D" w:rsidRPr="004B6944">
        <w:t xml:space="preserve">arrears </w:t>
      </w:r>
      <w:r w:rsidR="00F10BE7" w:rsidRPr="004B6944">
        <w:t>payments owing to the PA.</w:t>
      </w:r>
      <w:r w:rsidR="00F10BE7">
        <w:t xml:space="preserve">  </w:t>
      </w:r>
      <w:r>
        <w:t xml:space="preserve">The PA was successful in growing domestic revenues in 2017, increasing </w:t>
      </w:r>
      <w:r w:rsidR="007C6DF3">
        <w:t>it by 15 per cent from</w:t>
      </w:r>
      <w:r>
        <w:t xml:space="preserve"> 2016</w:t>
      </w:r>
      <w:r w:rsidR="007C6DF3">
        <w:t xml:space="preserve"> levels</w:t>
      </w:r>
      <w:r w:rsidRPr="007C6DF3">
        <w:t>. The PA sta</w:t>
      </w:r>
      <w:r w:rsidR="007C6DF3" w:rsidRPr="007C6DF3">
        <w:t>rted to make improvements to its</w:t>
      </w:r>
      <w:r w:rsidRPr="007C6DF3">
        <w:t xml:space="preserve"> public financial management </w:t>
      </w:r>
      <w:r w:rsidR="00C130F8" w:rsidRPr="007C6DF3">
        <w:t xml:space="preserve">(PFM) </w:t>
      </w:r>
      <w:r w:rsidRPr="007C6DF3">
        <w:t>system</w:t>
      </w:r>
      <w:r w:rsidR="007C6DF3" w:rsidRPr="007C6DF3">
        <w:t>s</w:t>
      </w:r>
      <w:r w:rsidRPr="007C6DF3">
        <w:t xml:space="preserve"> by completing audits of 2012 financial statements and preparing its first comprehensive PFM strategy in 2017.</w:t>
      </w:r>
      <w:r>
        <w:t xml:space="preserve"> </w:t>
      </w:r>
    </w:p>
    <w:p w14:paraId="7AE40CA4" w14:textId="319DC67C" w:rsidR="005C4399" w:rsidRDefault="005C4399" w:rsidP="005C4399">
      <w:r>
        <w:t xml:space="preserve">In June 2018, the </w:t>
      </w:r>
      <w:r w:rsidR="007C6DF3">
        <w:t xml:space="preserve">Australian </w:t>
      </w:r>
      <w:r>
        <w:t>Minister for Foreign Affairs determined that Australia would no longe</w:t>
      </w:r>
      <w:r w:rsidR="004D3E6E">
        <w:t>r contribute to the Trust Fund.  The Minister was</w:t>
      </w:r>
      <w:r w:rsidR="00795F58">
        <w:t xml:space="preserve"> confident that previous Austra</w:t>
      </w:r>
      <w:r w:rsidR="004D3E6E">
        <w:t>lian funding to the PA through the PRDP</w:t>
      </w:r>
      <w:r w:rsidR="00795F58">
        <w:t xml:space="preserve"> had been used as intende</w:t>
      </w:r>
      <w:r w:rsidR="004D3E6E">
        <w:t xml:space="preserve">d, however was concerned that </w:t>
      </w:r>
      <w:r w:rsidR="00795F58">
        <w:t>in providing funds for one</w:t>
      </w:r>
      <w:r w:rsidR="004D3E6E">
        <w:t xml:space="preserve"> </w:t>
      </w:r>
      <w:r w:rsidR="00795F58">
        <w:t xml:space="preserve">aspect of the </w:t>
      </w:r>
      <w:r w:rsidR="004D3E6E">
        <w:t xml:space="preserve">PA’s </w:t>
      </w:r>
      <w:r w:rsidR="00795F58">
        <w:t>operations, there was an opportunity for it to use its own budget for activities that Australia would</w:t>
      </w:r>
      <w:r w:rsidR="004D3E6E">
        <w:t xml:space="preserve"> never support.  </w:t>
      </w:r>
      <w:r w:rsidR="000F6465">
        <w:t xml:space="preserve">As a result, a </w:t>
      </w:r>
      <w:r>
        <w:t xml:space="preserve">contribution of $10 million </w:t>
      </w:r>
      <w:r w:rsidR="007C6DF3">
        <w:t>that was ear</w:t>
      </w:r>
      <w:r w:rsidR="00C130F8">
        <w:t xml:space="preserve">marked for the Trust Fund </w:t>
      </w:r>
      <w:r w:rsidR="007C6DF3">
        <w:t xml:space="preserve">in 2017-18 </w:t>
      </w:r>
      <w:r w:rsidR="00FF3DBF">
        <w:t>was</w:t>
      </w:r>
      <w:r>
        <w:t xml:space="preserve"> </w:t>
      </w:r>
      <w:r w:rsidR="007C6DF3">
        <w:t xml:space="preserve">instead </w:t>
      </w:r>
      <w:r>
        <w:t xml:space="preserve">provided to the </w:t>
      </w:r>
      <w:r w:rsidR="007C6DF3">
        <w:rPr>
          <w:b/>
        </w:rPr>
        <w:t>United Nations</w:t>
      </w:r>
      <w:r w:rsidR="00C130F8">
        <w:rPr>
          <w:b/>
        </w:rPr>
        <w:t xml:space="preserve"> </w:t>
      </w:r>
      <w:r w:rsidRPr="00C130F8">
        <w:rPr>
          <w:b/>
        </w:rPr>
        <w:t>Humanitarian Fund</w:t>
      </w:r>
      <w:r w:rsidR="00C130F8">
        <w:t xml:space="preserve"> </w:t>
      </w:r>
      <w:r w:rsidR="00C130F8" w:rsidRPr="00C130F8">
        <w:rPr>
          <w:b/>
        </w:rPr>
        <w:t>for the PTs</w:t>
      </w:r>
      <w:r>
        <w:t xml:space="preserve">. Reporting on the outcomes of this investment will </w:t>
      </w:r>
      <w:r w:rsidR="007C6DF3">
        <w:t>be included in next year’s APPR.</w:t>
      </w:r>
    </w:p>
    <w:p w14:paraId="4D4F4945" w14:textId="15076647" w:rsidR="001C408C" w:rsidRDefault="005C4399" w:rsidP="008107AB">
      <w:r>
        <w:t>During 2017-18</w:t>
      </w:r>
      <w:r w:rsidR="007C6DF3">
        <w:t>,</w:t>
      </w:r>
      <w:r>
        <w:t xml:space="preserve"> </w:t>
      </w:r>
      <w:r w:rsidR="00603CD5">
        <w:t>eight</w:t>
      </w:r>
      <w:r>
        <w:t xml:space="preserve"> </w:t>
      </w:r>
      <w:r w:rsidRPr="00C130F8">
        <w:rPr>
          <w:b/>
        </w:rPr>
        <w:t>Australia Award scholarships</w:t>
      </w:r>
      <w:r>
        <w:t xml:space="preserve"> were approved (six males, t</w:t>
      </w:r>
      <w:r w:rsidR="00603CD5">
        <w:t>wo</w:t>
      </w:r>
      <w:r w:rsidR="004E19D7">
        <w:t xml:space="preserve"> females) to Palestinians. </w:t>
      </w:r>
      <w:r w:rsidR="007C6DF3">
        <w:t xml:space="preserve">The scholarships program helps to build public sector management skills within the PA and other institutions. </w:t>
      </w:r>
      <w:r>
        <w:t xml:space="preserve">Due to the unexpected withdrawal of </w:t>
      </w:r>
      <w:r w:rsidR="00603CD5">
        <w:t>two</w:t>
      </w:r>
      <w:r>
        <w:t xml:space="preserve"> scholar</w:t>
      </w:r>
      <w:r w:rsidR="00603CD5">
        <w:t>s</w:t>
      </w:r>
      <w:r>
        <w:t>, the target of ten schola</w:t>
      </w:r>
      <w:r w:rsidR="004E19D7">
        <w:t>rships for 2017-18 was not met.</w:t>
      </w:r>
      <w:r>
        <w:t xml:space="preserve"> </w:t>
      </w:r>
      <w:r w:rsidR="007C6DF3">
        <w:t>(</w:t>
      </w:r>
      <w:r w:rsidR="00B7561A" w:rsidRPr="00CE170A">
        <w:t>In an effort to maintain the target of ten scholarships</w:t>
      </w:r>
      <w:r w:rsidR="007C6DF3">
        <w:t xml:space="preserve"> per year</w:t>
      </w:r>
      <w:r w:rsidR="00B7561A" w:rsidRPr="00CE170A">
        <w:t xml:space="preserve">, the program </w:t>
      </w:r>
      <w:r w:rsidR="007C6DF3">
        <w:t xml:space="preserve">had </w:t>
      </w:r>
      <w:r w:rsidR="00B7561A" w:rsidRPr="00CE170A">
        <w:t xml:space="preserve">instituted a </w:t>
      </w:r>
      <w:r w:rsidR="00C130F8">
        <w:t>‘</w:t>
      </w:r>
      <w:r w:rsidR="00B7561A" w:rsidRPr="00CE170A">
        <w:t>reserve</w:t>
      </w:r>
      <w:r w:rsidR="00C130F8">
        <w:t>’</w:t>
      </w:r>
      <w:r w:rsidR="00B7561A" w:rsidRPr="00CE170A">
        <w:t xml:space="preserve"> system for highly ranked applicants </w:t>
      </w:r>
      <w:r w:rsidR="00A64949" w:rsidRPr="00CE170A">
        <w:t>but in 2017-18 the withdrawals were too late to draw from the reserve list.</w:t>
      </w:r>
      <w:r w:rsidR="007C6DF3">
        <w:t>)</w:t>
      </w:r>
      <w:r w:rsidR="00B7561A">
        <w:t xml:space="preserve"> </w:t>
      </w:r>
      <w:r w:rsidR="007C6DF3">
        <w:t xml:space="preserve"> </w:t>
      </w:r>
      <w:r>
        <w:t xml:space="preserve">Scholars came </w:t>
      </w:r>
      <w:r w:rsidR="00FF3DBF">
        <w:t xml:space="preserve">from </w:t>
      </w:r>
      <w:r>
        <w:t xml:space="preserve">the PA Ministries of Education, Finance, Health and Central Bureau of Statistics and from Palestinian NGOs, from the West Bank and Gaza.  </w:t>
      </w:r>
    </w:p>
    <w:p w14:paraId="2DB0F36E" w14:textId="77777777" w:rsidR="00D048CA" w:rsidRDefault="00D048CA" w:rsidP="008107AB">
      <w:pPr>
        <w:rPr>
          <w:rFonts w:asciiTheme="majorHAnsi" w:eastAsiaTheme="majorEastAsia" w:hAnsiTheme="majorHAnsi" w:cstheme="majorBidi"/>
          <w:caps/>
          <w:sz w:val="38"/>
          <w:szCs w:val="26"/>
        </w:rPr>
      </w:pPr>
    </w:p>
    <w:p w14:paraId="1BB3C518" w14:textId="77777777" w:rsidR="00D048CA" w:rsidRDefault="00D048CA" w:rsidP="008107AB">
      <w:pPr>
        <w:rPr>
          <w:rFonts w:asciiTheme="majorHAnsi" w:eastAsiaTheme="majorEastAsia" w:hAnsiTheme="majorHAnsi" w:cstheme="majorBidi"/>
          <w:caps/>
          <w:sz w:val="38"/>
          <w:szCs w:val="26"/>
        </w:rPr>
      </w:pPr>
    </w:p>
    <w:p w14:paraId="4EC799DF" w14:textId="77777777" w:rsidR="00D048CA" w:rsidRDefault="00D048CA" w:rsidP="008107AB">
      <w:pPr>
        <w:rPr>
          <w:rFonts w:asciiTheme="majorHAnsi" w:eastAsiaTheme="majorEastAsia" w:hAnsiTheme="majorHAnsi" w:cstheme="majorBidi"/>
          <w:caps/>
          <w:sz w:val="38"/>
          <w:szCs w:val="26"/>
        </w:rPr>
      </w:pPr>
    </w:p>
    <w:p w14:paraId="35E01BF5" w14:textId="77777777" w:rsidR="00D048CA" w:rsidRDefault="00D048CA" w:rsidP="008107AB">
      <w:pPr>
        <w:rPr>
          <w:rFonts w:asciiTheme="majorHAnsi" w:eastAsiaTheme="majorEastAsia" w:hAnsiTheme="majorHAnsi" w:cstheme="majorBidi"/>
          <w:caps/>
          <w:sz w:val="38"/>
          <w:szCs w:val="26"/>
        </w:rPr>
      </w:pPr>
    </w:p>
    <w:p w14:paraId="3BF7267D" w14:textId="6331410A" w:rsidR="008107AB" w:rsidRDefault="008107AB" w:rsidP="008107AB">
      <w:pPr>
        <w:rPr>
          <w:rFonts w:asciiTheme="majorHAnsi" w:eastAsiaTheme="majorEastAsia" w:hAnsiTheme="majorHAnsi" w:cstheme="majorBidi"/>
          <w:caps/>
          <w:sz w:val="38"/>
          <w:szCs w:val="26"/>
        </w:rPr>
      </w:pPr>
      <w:r>
        <w:rPr>
          <w:rFonts w:asciiTheme="majorHAnsi" w:eastAsiaTheme="majorEastAsia" w:hAnsiTheme="majorHAnsi" w:cstheme="majorBidi"/>
          <w:caps/>
          <w:sz w:val="38"/>
          <w:szCs w:val="26"/>
        </w:rPr>
        <w:lastRenderedPageBreak/>
        <w:t>Objective 2</w:t>
      </w:r>
      <w:r w:rsidR="004E6781">
        <w:rPr>
          <w:rFonts w:asciiTheme="majorHAnsi" w:eastAsiaTheme="majorEastAsia" w:hAnsiTheme="majorHAnsi" w:cstheme="majorBidi"/>
          <w:caps/>
          <w:sz w:val="38"/>
          <w:szCs w:val="26"/>
        </w:rPr>
        <w:t xml:space="preserve"> – Palestinian refugees in the pts and across the region are able to access quality basic services</w:t>
      </w: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245"/>
        <w:gridCol w:w="1185"/>
        <w:gridCol w:w="3286"/>
        <w:gridCol w:w="2191"/>
      </w:tblGrid>
      <w:tr w:rsidR="002D2EE8" w:rsidRPr="00695730" w14:paraId="370639BA" w14:textId="77777777" w:rsidTr="00484574">
        <w:tc>
          <w:tcPr>
            <w:tcW w:w="2016" w:type="dxa"/>
          </w:tcPr>
          <w:p w14:paraId="138C6FB1" w14:textId="7A680B7E" w:rsidR="008107AB" w:rsidRPr="00695730" w:rsidRDefault="00C521C3" w:rsidP="00EA2A43">
            <w:pPr>
              <w:suppressAutoHyphens w:val="0"/>
              <w:spacing w:before="8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048DDA9C" wp14:editId="066AAB42">
                  <wp:extent cx="1117689" cy="719455"/>
                  <wp:effectExtent l="0" t="0" r="635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 Contribution.JPG"/>
                          <pic:cNvPicPr/>
                        </pic:nvPicPr>
                        <pic:blipFill>
                          <a:blip r:embed="rId17">
                            <a:extLst>
                              <a:ext uri="{28A0092B-C50C-407E-A947-70E740481C1C}">
                                <a14:useLocalDpi xmlns:a14="http://schemas.microsoft.com/office/drawing/2010/main" val="0"/>
                              </a:ext>
                            </a:extLst>
                          </a:blip>
                          <a:stretch>
                            <a:fillRect/>
                          </a:stretch>
                        </pic:blipFill>
                        <pic:spPr>
                          <a:xfrm>
                            <a:off x="0" y="0"/>
                            <a:ext cx="1121370" cy="721825"/>
                          </a:xfrm>
                          <a:prstGeom prst="rect">
                            <a:avLst/>
                          </a:prstGeom>
                        </pic:spPr>
                      </pic:pic>
                    </a:graphicData>
                  </a:graphic>
                </wp:inline>
              </w:drawing>
            </w:r>
          </w:p>
        </w:tc>
        <w:tc>
          <w:tcPr>
            <w:tcW w:w="1245" w:type="dxa"/>
          </w:tcPr>
          <w:p w14:paraId="0DA58A75" w14:textId="25D230BE" w:rsidR="008107AB" w:rsidRPr="00695730" w:rsidRDefault="008107AB" w:rsidP="00EA2A43">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Theme="majorHAnsi" w:eastAsiaTheme="majorEastAsia" w:hAnsiTheme="majorHAnsi" w:cstheme="majorBidi"/>
                <w:caps/>
                <w:noProof/>
                <w:sz w:val="38"/>
                <w:szCs w:val="26"/>
                <w:lang w:val="en-AU" w:eastAsia="en-AU"/>
              </w:rPr>
              <w:drawing>
                <wp:inline distT="0" distB="0" distL="0" distR="0" wp14:anchorId="7EDF36C2" wp14:editId="4137D6B4">
                  <wp:extent cx="615315" cy="608863"/>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254" cy="632551"/>
                          </a:xfrm>
                          <a:prstGeom prst="rect">
                            <a:avLst/>
                          </a:prstGeom>
                          <a:noFill/>
                        </pic:spPr>
                      </pic:pic>
                    </a:graphicData>
                  </a:graphic>
                </wp:inline>
              </w:drawing>
            </w:r>
          </w:p>
        </w:tc>
        <w:tc>
          <w:tcPr>
            <w:tcW w:w="1185" w:type="dxa"/>
          </w:tcPr>
          <w:p w14:paraId="22BD63FA" w14:textId="77777777" w:rsidR="008107AB" w:rsidRPr="00695730" w:rsidRDefault="008107AB" w:rsidP="00EA2A43">
            <w:pPr>
              <w:suppressAutoHyphens w:val="0"/>
              <w:spacing w:before="160" w:after="80" w:line="240" w:lineRule="auto"/>
              <w:jc w:val="center"/>
              <w:rPr>
                <w:rFonts w:asciiTheme="majorHAnsi" w:eastAsiaTheme="majorEastAsia" w:hAnsiTheme="majorHAnsi" w:cstheme="majorBidi"/>
                <w:caps/>
                <w:sz w:val="38"/>
                <w:szCs w:val="26"/>
              </w:rPr>
            </w:pPr>
            <w:r w:rsidRPr="00695730">
              <w:rPr>
                <w:rFonts w:ascii="Franklin Gothic Book" w:eastAsia="Times New Roman" w:hAnsi="Franklin Gothic Book" w:cs="Times New Roman"/>
                <w:noProof/>
                <w:color w:val="auto"/>
                <w:sz w:val="21"/>
                <w:szCs w:val="24"/>
                <w:lang w:val="en-AU" w:eastAsia="en-AU"/>
              </w:rPr>
              <w:drawing>
                <wp:inline distT="0" distB="0" distL="0" distR="0" wp14:anchorId="67F06F57" wp14:editId="35700234">
                  <wp:extent cx="571500" cy="6115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1965" cy="612003"/>
                          </a:xfrm>
                          <a:prstGeom prst="rect">
                            <a:avLst/>
                          </a:prstGeom>
                        </pic:spPr>
                      </pic:pic>
                    </a:graphicData>
                  </a:graphic>
                </wp:inline>
              </w:drawing>
            </w:r>
          </w:p>
        </w:tc>
        <w:tc>
          <w:tcPr>
            <w:tcW w:w="3286" w:type="dxa"/>
          </w:tcPr>
          <w:p w14:paraId="56B12D82" w14:textId="0E17151C" w:rsidR="008107AB" w:rsidRPr="00695730" w:rsidRDefault="008107AB" w:rsidP="00A368F3">
            <w:pPr>
              <w:suppressAutoHyphens w:val="0"/>
              <w:spacing w:before="160" w:after="80" w:line="240" w:lineRule="auto"/>
              <w:rPr>
                <w:rFonts w:asciiTheme="majorHAnsi" w:eastAsiaTheme="majorEastAsia" w:hAnsiTheme="majorHAnsi" w:cstheme="majorBidi"/>
                <w:caps/>
                <w:sz w:val="38"/>
                <w:szCs w:val="26"/>
              </w:rPr>
            </w:pPr>
            <w:r w:rsidRPr="00695730">
              <w:rPr>
                <w:rFonts w:ascii="Franklin Gothic Book" w:eastAsia="Times New Roman" w:hAnsi="Franklin Gothic Book" w:cs="Times New Roman"/>
                <w:noProof/>
                <w:color w:val="auto"/>
                <w:sz w:val="21"/>
                <w:szCs w:val="24"/>
                <w:lang w:val="en-AU" w:eastAsia="en-AU"/>
              </w:rPr>
              <w:drawing>
                <wp:inline distT="0" distB="0" distL="0" distR="0" wp14:anchorId="3A6D1F87" wp14:editId="309EB7A5">
                  <wp:extent cx="590550" cy="6115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 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1033" cy="612005"/>
                          </a:xfrm>
                          <a:prstGeom prst="rect">
                            <a:avLst/>
                          </a:prstGeom>
                        </pic:spPr>
                      </pic:pic>
                    </a:graphicData>
                  </a:graphic>
                </wp:inline>
              </w:drawing>
            </w:r>
            <w:r w:rsidR="00A368F3" w:rsidRPr="00695730">
              <w:rPr>
                <w:rFonts w:ascii="Franklin Gothic Book" w:eastAsia="Times New Roman" w:hAnsi="Franklin Gothic Book" w:cs="Times New Roman"/>
                <w:noProof/>
                <w:color w:val="auto"/>
                <w:sz w:val="21"/>
                <w:szCs w:val="24"/>
                <w:lang w:val="en-AU" w:eastAsia="en-AU"/>
              </w:rPr>
              <w:drawing>
                <wp:inline distT="0" distB="0" distL="0" distR="0" wp14:anchorId="6C1AD48B" wp14:editId="4193E9D0">
                  <wp:extent cx="622300" cy="611505"/>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 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2804" cy="612000"/>
                          </a:xfrm>
                          <a:prstGeom prst="rect">
                            <a:avLst/>
                          </a:prstGeom>
                        </pic:spPr>
                      </pic:pic>
                    </a:graphicData>
                  </a:graphic>
                </wp:inline>
              </w:drawing>
            </w:r>
            <w:r w:rsidR="003E6F40">
              <w:rPr>
                <w:noProof/>
                <w:lang w:val="en-AU" w:eastAsia="en-AU"/>
              </w:rPr>
              <w:t xml:space="preserve">  </w:t>
            </w:r>
            <w:r w:rsidR="00A368F3">
              <w:rPr>
                <w:noProof/>
                <w:lang w:val="en-AU" w:eastAsia="en-AU"/>
              </w:rPr>
              <w:drawing>
                <wp:inline distT="0" distB="0" distL="0" distR="0" wp14:anchorId="55AF51AB" wp14:editId="41DCFFC3">
                  <wp:extent cx="612000" cy="612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 5.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2191" w:type="dxa"/>
          </w:tcPr>
          <w:p w14:paraId="662BBD33" w14:textId="08C3B635" w:rsidR="008107AB" w:rsidRPr="00695730" w:rsidRDefault="003E6F40" w:rsidP="003E6F40">
            <w:pPr>
              <w:suppressAutoHyphens w:val="0"/>
              <w:spacing w:before="160" w:after="80" w:line="240" w:lineRule="auto"/>
              <w:rPr>
                <w:rFonts w:asciiTheme="majorHAnsi" w:eastAsiaTheme="majorEastAsia" w:hAnsiTheme="majorHAnsi" w:cstheme="majorBidi"/>
                <w:caps/>
                <w:sz w:val="38"/>
                <w:szCs w:val="26"/>
              </w:rPr>
            </w:pPr>
            <w:r>
              <w:rPr>
                <w:rFonts w:asciiTheme="majorHAnsi" w:eastAsiaTheme="majorEastAsia" w:hAnsiTheme="majorHAnsi" w:cstheme="majorBidi"/>
                <w:caps/>
                <w:noProof/>
                <w:sz w:val="38"/>
                <w:szCs w:val="26"/>
                <w:lang w:val="en-AU" w:eastAsia="en-AU"/>
              </w:rPr>
              <w:drawing>
                <wp:inline distT="0" distB="0" distL="0" distR="0" wp14:anchorId="0E8AEA2B" wp14:editId="0F997F74">
                  <wp:extent cx="534808"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5360" cy="610229"/>
                          </a:xfrm>
                          <a:prstGeom prst="rect">
                            <a:avLst/>
                          </a:prstGeom>
                          <a:noFill/>
                        </pic:spPr>
                      </pic:pic>
                    </a:graphicData>
                  </a:graphic>
                </wp:inline>
              </w:drawing>
            </w:r>
            <w:r>
              <w:rPr>
                <w:rFonts w:asciiTheme="majorHAnsi" w:eastAsiaTheme="majorEastAsia" w:hAnsiTheme="majorHAnsi" w:cstheme="majorBidi"/>
                <w:caps/>
                <w:sz w:val="38"/>
                <w:szCs w:val="26"/>
              </w:rPr>
              <w:t xml:space="preserve">  </w:t>
            </w:r>
            <w:r>
              <w:rPr>
                <w:rFonts w:asciiTheme="majorHAnsi" w:eastAsiaTheme="majorEastAsia" w:hAnsiTheme="majorHAnsi" w:cstheme="majorBidi"/>
                <w:caps/>
                <w:noProof/>
                <w:sz w:val="38"/>
                <w:szCs w:val="26"/>
                <w:lang w:val="en-AU" w:eastAsia="en-AU"/>
              </w:rPr>
              <w:drawing>
                <wp:inline distT="0" distB="0" distL="0" distR="0" wp14:anchorId="20158726" wp14:editId="05C59A79">
                  <wp:extent cx="609600" cy="609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r>
              <w:rPr>
                <w:rFonts w:asciiTheme="majorHAnsi" w:eastAsiaTheme="majorEastAsia" w:hAnsiTheme="majorHAnsi" w:cstheme="majorBidi"/>
                <w:caps/>
                <w:sz w:val="38"/>
                <w:szCs w:val="26"/>
              </w:rPr>
              <w:t xml:space="preserve">  </w:t>
            </w:r>
          </w:p>
        </w:tc>
      </w:tr>
    </w:tbl>
    <w:p w14:paraId="04E15324" w14:textId="55E250CA" w:rsidR="00DF55AA" w:rsidRDefault="007661AA" w:rsidP="00015316">
      <w:r>
        <w:t>Three</w:t>
      </w:r>
      <w:r w:rsidR="004E6781">
        <w:t xml:space="preserve"> investments contributed to supporting the provision of quality basic services to Palestinian refugees in the PTs and across the region</w:t>
      </w:r>
      <w:r w:rsidR="002C3475">
        <w:t>.</w:t>
      </w:r>
      <w:r w:rsidR="004E6781">
        <w:t xml:space="preserve"> This objective was rated green because progress is as expected at this stage of implementation for each of the investments.</w:t>
      </w:r>
    </w:p>
    <w:p w14:paraId="70963D26" w14:textId="0A4A05C1" w:rsidR="003F2704" w:rsidRDefault="00683BEC" w:rsidP="00683BEC">
      <w:r>
        <w:t>I</w:t>
      </w:r>
      <w:r w:rsidR="00E412E9">
        <w:t>n 2017-18, Australia provided</w:t>
      </w:r>
      <w:r>
        <w:t xml:space="preserve"> $26.5 million to the </w:t>
      </w:r>
      <w:r w:rsidRPr="00683BEC">
        <w:rPr>
          <w:b/>
        </w:rPr>
        <w:t>United Nations Relief and Works Agency (UNRWA).</w:t>
      </w:r>
      <w:r>
        <w:t xml:space="preserve"> In September 2016, DFAT signed an $80 million multi-year Strategic Partnership Framework (2016-2020) whic</w:t>
      </w:r>
      <w:r w:rsidR="00E412E9">
        <w:t>h provides annual core funding of $20 million per year to the Agency</w:t>
      </w:r>
      <w:r>
        <w:t xml:space="preserve">.  UNRWA plays a crucial role in maintaining a degree of social and economic stability for more than five million Palestinian refugees in Gaza, the West Bank, Jordan, Lebanon and Syria. It delivers high quality, cost-effective public services in education, health care, relief and social services, microfinance, infrastructure, emergency assistance and protection of refugees’ rights. The deterioration of security, political and economic conditions across the region has made refugees increasingly reliant on UNRWA for </w:t>
      </w:r>
      <w:r w:rsidR="00E412E9">
        <w:t xml:space="preserve">these services in recent years.  </w:t>
      </w:r>
      <w:r>
        <w:t>UNRWA f</w:t>
      </w:r>
      <w:r w:rsidR="00E412E9">
        <w:t>aced increasing budget shortfalls</w:t>
      </w:r>
      <w:r>
        <w:t xml:space="preserve"> in 2017-18, which affected its ability to provide essential services. </w:t>
      </w:r>
    </w:p>
    <w:p w14:paraId="65C8B512" w14:textId="44321877" w:rsidR="00683BEC" w:rsidRDefault="00683BEC" w:rsidP="00683BEC">
      <w:r>
        <w:t xml:space="preserve">In 2017-18, Australia’s core funding of $20 million to UNRWA </w:t>
      </w:r>
      <w:r w:rsidR="00E412E9">
        <w:t>contributed to providing</w:t>
      </w:r>
      <w:r>
        <w:t xml:space="preserve"> hum</w:t>
      </w:r>
      <w:r w:rsidR="0027701D">
        <w:t>anitarian assistance to over five</w:t>
      </w:r>
      <w:r>
        <w:t xml:space="preserve"> million Palestinian refugees, primarily in the West Bank, Gaza and Syria. Australian funding contributed to universal primary education for more than 500,000 Palestinian children (half of whom were girls), a 99 per cent vaccination rate for infants, over 8.3 million patient visits at UNRWA health care facilities, assistance for more than 4,900 gender-based violence survivors, cash and food assistance to over 254,500 people, and micro loans to over 38,500 people. </w:t>
      </w:r>
    </w:p>
    <w:p w14:paraId="5FD74FA0" w14:textId="37766E1F" w:rsidR="00683BEC" w:rsidRDefault="00683BEC" w:rsidP="00683BEC">
      <w:r>
        <w:t xml:space="preserve">In response to UNRWA’s budget shortfall in 2018, DFAT brought forward $5 million from its 2018-19 allocation for </w:t>
      </w:r>
      <w:r w:rsidR="00E412E9">
        <w:t xml:space="preserve">additional </w:t>
      </w:r>
      <w:r>
        <w:t>core funding to UNRWA.  DF</w:t>
      </w:r>
      <w:r w:rsidR="00E412E9">
        <w:t>AT also provided a further</w:t>
      </w:r>
      <w:r>
        <w:t xml:space="preserve"> $1.5 million to UNRWA’s ‘Emergency Appeal for the PTs for 2018’. Outcomes for this Appeal are not available yet but will be reported in next year’s APPR.</w:t>
      </w:r>
    </w:p>
    <w:p w14:paraId="2229C69C" w14:textId="4F944BAC" w:rsidR="00E412E9" w:rsidRDefault="00683BEC" w:rsidP="00E412E9">
      <w:r>
        <w:t>In the previous reporting period (2016-17), Australia provided an additional contribution of $2 million for UNRWA’s ‘Emergency Appeal for the PTs for 2017’.   Reporting is no</w:t>
      </w:r>
      <w:r w:rsidR="00E412E9">
        <w:t xml:space="preserve">w available for that Appeal and reflects </w:t>
      </w:r>
      <w:r>
        <w:t>that Australia contributed to the provision of food for more than 530,000 refugees in Gaza</w:t>
      </w:r>
      <w:r w:rsidR="00E412E9">
        <w:t xml:space="preserve"> and 49,000 refugees in the West Bank. </w:t>
      </w:r>
    </w:p>
    <w:p w14:paraId="16A053C2" w14:textId="56BDF65A" w:rsidR="00683BEC" w:rsidRDefault="00683BEC" w:rsidP="00683BEC">
      <w:r>
        <w:t>A component of Australia’s annual core funding to UNRWA (20 per cent; $4 million) is subject to an assessment of its performance against pre-agreed targets.  DFAT assessed UNRWA in May 2018 and found UNRWA had achie</w:t>
      </w:r>
      <w:r w:rsidR="00545DD9">
        <w:t>ved results against the targets.</w:t>
      </w:r>
    </w:p>
    <w:p w14:paraId="16646814" w14:textId="3F54276C" w:rsidR="004D3E6E" w:rsidRDefault="004D3E6E" w:rsidP="00015316">
      <w:r>
        <w:t>UNRWA developed</w:t>
      </w:r>
      <w:r w:rsidR="00683BEC">
        <w:t xml:space="preserve"> its Gender Equality Strategy (2016-21) and </w:t>
      </w:r>
      <w:r>
        <w:t>is working towards</w:t>
      </w:r>
      <w:r w:rsidR="00683BEC">
        <w:t xml:space="preserve"> meeting </w:t>
      </w:r>
      <w:r w:rsidR="00545DD9">
        <w:t>the UN s</w:t>
      </w:r>
      <w:r w:rsidR="00683BEC">
        <w:t>ystem-wide Action Plan on Gender Equality indicators. In 2017</w:t>
      </w:r>
      <w:r w:rsidR="00545DD9">
        <w:t>,</w:t>
      </w:r>
      <w:r w:rsidR="00683BEC">
        <w:t xml:space="preserve"> UNRWA </w:t>
      </w:r>
      <w:r>
        <w:t>ensured each of its five country/regional offices had developed its own gender equality action plans.</w:t>
      </w:r>
    </w:p>
    <w:p w14:paraId="6164684B" w14:textId="77777777" w:rsidR="00D048CA" w:rsidRDefault="00D048CA" w:rsidP="00015316"/>
    <w:p w14:paraId="3BB4C8AB" w14:textId="77777777" w:rsidR="00D048CA" w:rsidRDefault="00D048CA" w:rsidP="00015316"/>
    <w:p w14:paraId="29489593" w14:textId="77777777" w:rsidR="003E6F40" w:rsidRDefault="003E6F40" w:rsidP="00015316"/>
    <w:p w14:paraId="4CAD72A6" w14:textId="77777777" w:rsidR="003E6F40" w:rsidRDefault="003E6F40" w:rsidP="00015316"/>
    <w:p w14:paraId="5E8B0E3D" w14:textId="609EF1C1" w:rsidR="00683BEC" w:rsidRDefault="00545DD9" w:rsidP="00015316">
      <w:r>
        <w:t xml:space="preserve">In June 2018, </w:t>
      </w:r>
      <w:r w:rsidR="00160675">
        <w:t xml:space="preserve">Australia contributed $10 million to the </w:t>
      </w:r>
      <w:r w:rsidR="000F6465">
        <w:rPr>
          <w:b/>
        </w:rPr>
        <w:t>United Nations</w:t>
      </w:r>
      <w:r w:rsidR="00160675" w:rsidRPr="00683BEC">
        <w:rPr>
          <w:b/>
        </w:rPr>
        <w:t xml:space="preserve"> Humanitarian Fund</w:t>
      </w:r>
      <w:r w:rsidR="00683BEC" w:rsidRPr="00683BEC">
        <w:rPr>
          <w:b/>
        </w:rPr>
        <w:t xml:space="preserve"> for the PTs</w:t>
      </w:r>
      <w:r w:rsidR="004E19D7" w:rsidRPr="00683BEC">
        <w:t>,</w:t>
      </w:r>
      <w:r w:rsidR="004C06EA" w:rsidRPr="00683BEC">
        <w:rPr>
          <w:b/>
        </w:rPr>
        <w:t xml:space="preserve"> </w:t>
      </w:r>
      <w:r w:rsidR="004C06EA">
        <w:t xml:space="preserve">which </w:t>
      </w:r>
      <w:r>
        <w:t>funds</w:t>
      </w:r>
      <w:r w:rsidR="004C06EA">
        <w:t xml:space="preserve"> priorities under the </w:t>
      </w:r>
      <w:r w:rsidR="00875000">
        <w:t>PTs</w:t>
      </w:r>
      <w:r w:rsidR="00392485">
        <w:t xml:space="preserve"> </w:t>
      </w:r>
      <w:r>
        <w:t>Humanitarian Response Plan.  Australia’s funding</w:t>
      </w:r>
      <w:r w:rsidR="003F41DD">
        <w:t xml:space="preserve"> will be </w:t>
      </w:r>
      <w:r w:rsidR="007661AA">
        <w:t>allocated</w:t>
      </w:r>
      <w:r w:rsidR="003F41DD">
        <w:t xml:space="preserve"> in the second half of 2018</w:t>
      </w:r>
      <w:r>
        <w:t xml:space="preserve"> and we will report on outcomes arising from this funding in next year’s</w:t>
      </w:r>
      <w:r w:rsidR="004D3E6E">
        <w:t xml:space="preserve"> Aid Program Performance Report (APPR).</w:t>
      </w:r>
    </w:p>
    <w:p w14:paraId="3E621E9D" w14:textId="79C074ED" w:rsidR="00683BEC" w:rsidRDefault="00160675" w:rsidP="00E7486B">
      <w:r>
        <w:t>In 2017-18</w:t>
      </w:r>
      <w:r w:rsidR="00C13225">
        <w:t>,</w:t>
      </w:r>
      <w:r>
        <w:t xml:space="preserve"> Australi</w:t>
      </w:r>
      <w:r w:rsidR="00C13225">
        <w:t xml:space="preserve">a provided $500,000 to </w:t>
      </w:r>
      <w:r w:rsidR="008E1735">
        <w:rPr>
          <w:b/>
        </w:rPr>
        <w:t>United Nations Office for</w:t>
      </w:r>
      <w:r w:rsidR="00C13225" w:rsidRPr="00C13225">
        <w:rPr>
          <w:b/>
        </w:rPr>
        <w:t xml:space="preserve"> Project Services</w:t>
      </w:r>
      <w:r w:rsidR="00C13225">
        <w:t xml:space="preserve"> </w:t>
      </w:r>
      <w:r>
        <w:t xml:space="preserve">to </w:t>
      </w:r>
      <w:r w:rsidR="00545DD9">
        <w:t>support</w:t>
      </w:r>
      <w:r>
        <w:t xml:space="preserve"> the Access Coordination Unit (ACU) and the Materials Monitoring Unit (MMU). The ACU facilitates coordinated access for humanitarian staff and supplies across the PTs</w:t>
      </w:r>
      <w:r w:rsidR="00683BEC">
        <w:t xml:space="preserve">, including through providing immediate </w:t>
      </w:r>
      <w:r w:rsidR="00C13225">
        <w:t>information</w:t>
      </w:r>
      <w:r w:rsidR="00683BEC">
        <w:t xml:space="preserve"> on access and movement </w:t>
      </w:r>
      <w:r w:rsidR="00C13225">
        <w:t>restrictions</w:t>
      </w:r>
      <w:r w:rsidR="00683BEC">
        <w:t xml:space="preserve"> to </w:t>
      </w:r>
      <w:r w:rsidR="00C13225">
        <w:t>humanitarian</w:t>
      </w:r>
      <w:r w:rsidR="00683BEC">
        <w:t xml:space="preserve"> personnel through a </w:t>
      </w:r>
      <w:r w:rsidR="00C13225">
        <w:t>user-friendly</w:t>
      </w:r>
      <w:r w:rsidR="00683BEC">
        <w:t xml:space="preserve"> mobile application.</w:t>
      </w:r>
    </w:p>
    <w:p w14:paraId="2BA56AAB" w14:textId="69AFD54F" w:rsidR="00D74C16" w:rsidRPr="00E7486B" w:rsidRDefault="000B4FFB" w:rsidP="00E7486B">
      <w:r>
        <w:t xml:space="preserve">The MMU was formed to facilitate the Gaza Reconstruction </w:t>
      </w:r>
      <w:r w:rsidRPr="00392485">
        <w:t>Mechanism</w:t>
      </w:r>
      <w:r>
        <w:t xml:space="preserve"> (</w:t>
      </w:r>
      <w:r w:rsidR="00545DD9">
        <w:t xml:space="preserve">GRM) - </w:t>
      </w:r>
      <w:r>
        <w:t>an agreement between t</w:t>
      </w:r>
      <w:r w:rsidR="000F6465">
        <w:t xml:space="preserve">he Government of Israel, </w:t>
      </w:r>
      <w:r w:rsidR="00545DD9">
        <w:t>PA</w:t>
      </w:r>
      <w:r w:rsidR="000F6465">
        <w:t xml:space="preserve"> and the UN</w:t>
      </w:r>
      <w:r w:rsidR="00545DD9">
        <w:t xml:space="preserve"> - </w:t>
      </w:r>
      <w:r>
        <w:t>to monitor entry, supply and use of ‘dual-use’ materials in</w:t>
      </w:r>
      <w:r w:rsidR="00545DD9">
        <w:t>to</w:t>
      </w:r>
      <w:r>
        <w:t xml:space="preserve"> Gaza to support reconstruction.</w:t>
      </w:r>
      <w:r w:rsidR="00545DD9">
        <w:t xml:space="preserve">  At April 2018, the GRM had</w:t>
      </w:r>
      <w:r w:rsidR="00D74C16">
        <w:t xml:space="preserve"> facilitated </w:t>
      </w:r>
      <w:r w:rsidR="009A7338">
        <w:t>more than 6,700 people purchasing</w:t>
      </w:r>
      <w:r w:rsidR="00D74C16">
        <w:t xml:space="preserve"> </w:t>
      </w:r>
      <w:r w:rsidR="009A7338">
        <w:t>and moving materials into Gaza, 276 businesses transf</w:t>
      </w:r>
      <w:r w:rsidR="00C13225">
        <w:t>erring materials</w:t>
      </w:r>
      <w:r w:rsidR="00545DD9">
        <w:t xml:space="preserve"> into Gaza</w:t>
      </w:r>
      <w:r w:rsidR="00C13225">
        <w:t>, and facilitated</w:t>
      </w:r>
      <w:r w:rsidR="009A7338">
        <w:t xml:space="preserve"> 244 large-scale projects being undertaken in Gaza.  </w:t>
      </w:r>
    </w:p>
    <w:p w14:paraId="2A640E0D" w14:textId="77777777" w:rsidR="005B5769" w:rsidRPr="00015316" w:rsidRDefault="005B5769" w:rsidP="00015316">
      <w:pPr>
        <w:pStyle w:val="ListBullet"/>
        <w:tabs>
          <w:tab w:val="clear" w:pos="284"/>
        </w:tabs>
        <w:spacing w:before="400"/>
        <w:rPr>
          <w:rFonts w:asciiTheme="majorHAnsi" w:eastAsiaTheme="majorEastAsia" w:hAnsiTheme="majorHAnsi" w:cstheme="majorBidi"/>
          <w:caps/>
          <w:color w:val="495965" w:themeColor="text2"/>
          <w:sz w:val="38"/>
          <w:szCs w:val="26"/>
          <w:lang w:val="en-GB" w:eastAsia="en-US"/>
        </w:rPr>
      </w:pPr>
      <w:r w:rsidRPr="00CC25B5">
        <w:rPr>
          <w:rFonts w:asciiTheme="majorHAnsi" w:eastAsiaTheme="majorEastAsia" w:hAnsiTheme="majorHAnsi" w:cstheme="majorBidi"/>
          <w:caps/>
          <w:color w:val="495965" w:themeColor="text2"/>
          <w:sz w:val="38"/>
          <w:szCs w:val="26"/>
          <w:lang w:val="en-GB" w:eastAsia="en-US"/>
        </w:rPr>
        <w:t>Mutual Obligations</w:t>
      </w:r>
    </w:p>
    <w:p w14:paraId="6EA968CD" w14:textId="65C08EEF" w:rsidR="000F6465" w:rsidRDefault="000401F8" w:rsidP="00E65105">
      <w:r>
        <w:t xml:space="preserve">During 2017-18, DFAT </w:t>
      </w:r>
      <w:r w:rsidR="00793ECB">
        <w:t xml:space="preserve">participated </w:t>
      </w:r>
      <w:r w:rsidR="009A7338">
        <w:t>in two</w:t>
      </w:r>
      <w:r w:rsidR="00E841A3">
        <w:t xml:space="preserve"> meetings of the Ad Hoc Liaison Committee</w:t>
      </w:r>
      <w:r w:rsidR="009A7338">
        <w:t xml:space="preserve"> (in New York in September 2017 and </w:t>
      </w:r>
      <w:r w:rsidR="009A7338" w:rsidRPr="00F10BE7">
        <w:t>Brussels in March 2018),</w:t>
      </w:r>
      <w:r w:rsidR="009A7338">
        <w:t xml:space="preserve"> which is</w:t>
      </w:r>
      <w:r w:rsidR="00E841A3">
        <w:t xml:space="preserve"> a policy-level coordination mechanism for </w:t>
      </w:r>
      <w:r w:rsidR="000F6465">
        <w:t>donors providing assistance in the PTs.</w:t>
      </w:r>
    </w:p>
    <w:p w14:paraId="5299AE75" w14:textId="79DBBD54" w:rsidR="000F6465" w:rsidRDefault="000F6465" w:rsidP="00E65105">
      <w:r>
        <w:t>DFAT</w:t>
      </w:r>
      <w:r w:rsidR="00E841A3">
        <w:t xml:space="preserve"> engaged with the World Bank</w:t>
      </w:r>
      <w:r w:rsidR="00F10BE7">
        <w:t>’s West Bank and Gaza</w:t>
      </w:r>
      <w:r>
        <w:t xml:space="preserve"> Office</w:t>
      </w:r>
      <w:r w:rsidR="00E841A3">
        <w:t xml:space="preserve"> </w:t>
      </w:r>
      <w:r>
        <w:t xml:space="preserve">through </w:t>
      </w:r>
      <w:r w:rsidR="00A436F4">
        <w:t xml:space="preserve">quarterly meetings </w:t>
      </w:r>
      <w:r>
        <w:t xml:space="preserve">reviewing the PA’s </w:t>
      </w:r>
      <w:r w:rsidR="00CE1D67">
        <w:t xml:space="preserve">progress </w:t>
      </w:r>
      <w:r>
        <w:t xml:space="preserve">against the Multi-Donor Trust Fund’s </w:t>
      </w:r>
      <w:r w:rsidR="005409B1">
        <w:t>work plan</w:t>
      </w:r>
      <w:r>
        <w:t xml:space="preserve">.  </w:t>
      </w:r>
    </w:p>
    <w:p w14:paraId="29AD924F" w14:textId="53CA675B" w:rsidR="000F6465" w:rsidRDefault="000F6465" w:rsidP="00E65105">
      <w:r>
        <w:t xml:space="preserve">DFAT also </w:t>
      </w:r>
      <w:r w:rsidR="00503AD9">
        <w:t>participated in the Agriculture Sector Working Group</w:t>
      </w:r>
      <w:r>
        <w:t xml:space="preserve"> in Ramallah -</w:t>
      </w:r>
      <w:r w:rsidR="00CE1D67">
        <w:t xml:space="preserve"> a joint </w:t>
      </w:r>
      <w:r w:rsidR="00B537A2">
        <w:t xml:space="preserve">PA </w:t>
      </w:r>
      <w:r w:rsidR="001B1209">
        <w:t xml:space="preserve">/ donor forum </w:t>
      </w:r>
      <w:r>
        <w:t xml:space="preserve">for those providing aid in the agriculture sector.  We also engaged with the </w:t>
      </w:r>
      <w:r w:rsidR="005409B1">
        <w:t>Ministry</w:t>
      </w:r>
      <w:r>
        <w:t xml:space="preserve"> of </w:t>
      </w:r>
      <w:r w:rsidR="005409B1">
        <w:t>Agriculture</w:t>
      </w:r>
      <w:r w:rsidR="00F10BE7">
        <w:t xml:space="preserve"> periodically</w:t>
      </w:r>
      <w:r>
        <w:t xml:space="preserve"> on program matters.</w:t>
      </w:r>
    </w:p>
    <w:p w14:paraId="4022A383" w14:textId="77777777" w:rsidR="00F27F07" w:rsidRDefault="000F6465" w:rsidP="00E65105">
      <w:r>
        <w:t>In Australia</w:t>
      </w:r>
      <w:r w:rsidR="00F27F07">
        <w:t xml:space="preserve"> during 2017-18</w:t>
      </w:r>
      <w:r>
        <w:t xml:space="preserve">, DFAT regularly </w:t>
      </w:r>
      <w:r w:rsidR="00F27F07">
        <w:t>met</w:t>
      </w:r>
      <w:r>
        <w:t xml:space="preserve"> with Palestinian Delegation Head in Canberra</w:t>
      </w:r>
      <w:r w:rsidRPr="000F6465">
        <w:t xml:space="preserve"> </w:t>
      </w:r>
      <w:r>
        <w:t>on aid issues.</w:t>
      </w:r>
      <w:r w:rsidR="005409B1">
        <w:t xml:space="preserve">  </w:t>
      </w:r>
    </w:p>
    <w:p w14:paraId="6852640A" w14:textId="721A8B8D" w:rsidR="006D5CBF" w:rsidRDefault="000F6465" w:rsidP="00E65105">
      <w:r>
        <w:t xml:space="preserve">Australia has a set of structured and informal engagements with UNRWA.  In 2017-18, we participated </w:t>
      </w:r>
      <w:r w:rsidR="005409B1">
        <w:t xml:space="preserve">in </w:t>
      </w:r>
      <w:r>
        <w:t xml:space="preserve">UNRWA </w:t>
      </w:r>
      <w:r w:rsidR="009A7338">
        <w:t xml:space="preserve">Advisory Commission in November 2017, </w:t>
      </w:r>
      <w:r w:rsidR="00C13225">
        <w:t>the extraordinary Advisory</w:t>
      </w:r>
      <w:r>
        <w:t xml:space="preserve"> Commission </w:t>
      </w:r>
      <w:r w:rsidR="00F27F07">
        <w:t xml:space="preserve">meeting in March 2018, </w:t>
      </w:r>
      <w:r>
        <w:t xml:space="preserve">UNRWA </w:t>
      </w:r>
      <w:r w:rsidR="003334B0">
        <w:t>Sub-Committee meetings in October 2017 and April 2018</w:t>
      </w:r>
      <w:r w:rsidR="009A7338">
        <w:t xml:space="preserve"> </w:t>
      </w:r>
      <w:r w:rsidR="006D5CBF">
        <w:t xml:space="preserve">and </w:t>
      </w:r>
      <w:r>
        <w:t xml:space="preserve">several </w:t>
      </w:r>
      <w:r w:rsidR="001B1209">
        <w:t>working groups</w:t>
      </w:r>
      <w:r w:rsidR="006D5CBF">
        <w:t>. DFAT also</w:t>
      </w:r>
      <w:r w:rsidR="005409B1">
        <w:t xml:space="preserve"> engaged regularly with UNRWA at working level on a </w:t>
      </w:r>
      <w:r w:rsidR="0016276C">
        <w:t xml:space="preserve">range of issues, including on </w:t>
      </w:r>
      <w:r w:rsidR="00FF3DBF">
        <w:t xml:space="preserve">neutrality, </w:t>
      </w:r>
      <w:r w:rsidR="0016276C">
        <w:t>reform and budget iss</w:t>
      </w:r>
      <w:r w:rsidR="009A7338">
        <w:t>ues, operations and the annual performance-linked assessment process.</w:t>
      </w:r>
    </w:p>
    <w:p w14:paraId="69E20518" w14:textId="5A3CD200" w:rsidR="00F818EE" w:rsidRDefault="00F818EE" w:rsidP="00E65105">
      <w:r>
        <w:t xml:space="preserve">DFAT </w:t>
      </w:r>
      <w:r w:rsidR="00C13225">
        <w:t>also</w:t>
      </w:r>
      <w:r w:rsidR="005409B1">
        <w:t xml:space="preserve"> sat</w:t>
      </w:r>
      <w:r>
        <w:t xml:space="preserve"> on </w:t>
      </w:r>
      <w:r w:rsidR="004D3E6E">
        <w:t>the Project Boards for the United Nations Office for Project Services Access Coordination Unit</w:t>
      </w:r>
      <w:r w:rsidR="004D3E6E" w:rsidRPr="004D3E6E">
        <w:t xml:space="preserve"> and the </w:t>
      </w:r>
      <w:r w:rsidR="004D3E6E">
        <w:t xml:space="preserve">Materials Monitoring Unit, </w:t>
      </w:r>
      <w:r w:rsidR="005409B1">
        <w:t>which met during 2017-18.</w:t>
      </w:r>
    </w:p>
    <w:p w14:paraId="3BD4BE42" w14:textId="77777777" w:rsidR="005B5769" w:rsidRPr="00015316" w:rsidRDefault="005B5769" w:rsidP="00015316">
      <w:pPr>
        <w:pStyle w:val="ListBullet"/>
        <w:tabs>
          <w:tab w:val="clear" w:pos="284"/>
        </w:tabs>
        <w:spacing w:before="400"/>
        <w:rPr>
          <w:rFonts w:asciiTheme="majorHAnsi" w:eastAsiaTheme="majorEastAsia" w:hAnsiTheme="majorHAnsi" w:cstheme="majorBidi"/>
          <w:caps/>
          <w:color w:val="495965" w:themeColor="text2"/>
          <w:sz w:val="38"/>
          <w:szCs w:val="26"/>
          <w:lang w:val="en-GB" w:eastAsia="en-US"/>
        </w:rPr>
      </w:pPr>
      <w:r w:rsidRPr="00015316">
        <w:rPr>
          <w:rFonts w:asciiTheme="majorHAnsi" w:eastAsiaTheme="majorEastAsia" w:hAnsiTheme="majorHAnsi" w:cstheme="majorBidi"/>
          <w:caps/>
          <w:color w:val="495965" w:themeColor="text2"/>
          <w:sz w:val="38"/>
          <w:szCs w:val="26"/>
          <w:lang w:val="en-GB" w:eastAsia="en-US"/>
        </w:rPr>
        <w:t>Program Quality</w:t>
      </w:r>
    </w:p>
    <w:p w14:paraId="6B93AFA8" w14:textId="4E7A763E" w:rsidR="000401F8" w:rsidRDefault="000401F8" w:rsidP="009D46D1">
      <w:r>
        <w:t>In the 2017-18 Investment Quality Reporting process, Aid Quality Checks were complete</w:t>
      </w:r>
      <w:r w:rsidR="004C7290">
        <w:t>d</w:t>
      </w:r>
      <w:r>
        <w:t xml:space="preserve"> for AMEN</w:t>
      </w:r>
      <w:r w:rsidR="00193913">
        <w:t>CA 3 and</w:t>
      </w:r>
      <w:r w:rsidR="002A36EF">
        <w:t xml:space="preserve"> the </w:t>
      </w:r>
      <w:r w:rsidR="00F27F07">
        <w:t>World Bank</w:t>
      </w:r>
      <w:r w:rsidR="004D3E6E">
        <w:t xml:space="preserve"> Trust Fund. AMENCA 3 was rated as</w:t>
      </w:r>
      <w:r w:rsidR="00193913">
        <w:t xml:space="preserve"> adequate (4) and good (5) in the quality criteria ratings. </w:t>
      </w:r>
      <w:r w:rsidR="00665713">
        <w:t>The</w:t>
      </w:r>
      <w:r w:rsidR="00D048CA">
        <w:t xml:space="preserve"> World Bank Trust Fund was rated as adequate (4) across all criteria</w:t>
      </w:r>
      <w:r w:rsidR="00665713">
        <w:t xml:space="preserve">, except sustainability, which was rated 3 (less than adequate) </w:t>
      </w:r>
      <w:r w:rsidR="00FF3DBF">
        <w:t>because of</w:t>
      </w:r>
      <w:r w:rsidR="00665713">
        <w:t xml:space="preserve"> the deterioration of the operating environm</w:t>
      </w:r>
      <w:r w:rsidR="00F27F07">
        <w:t>ent</w:t>
      </w:r>
      <w:r w:rsidR="00665713">
        <w:t xml:space="preserve">. </w:t>
      </w:r>
      <w:r w:rsidR="00193913">
        <w:t>Partner Per</w:t>
      </w:r>
      <w:r w:rsidR="00AA3274">
        <w:t xml:space="preserve">formance Assessments were undertaken </w:t>
      </w:r>
      <w:r w:rsidR="00193913">
        <w:t xml:space="preserve">for all </w:t>
      </w:r>
      <w:r w:rsidR="00F27F07">
        <w:t xml:space="preserve">active </w:t>
      </w:r>
      <w:r w:rsidR="00193913">
        <w:t xml:space="preserve">AMENCA 3 partners (Care, Oxfam, APHEDA and Cardno Emerging Markets) and UNRWA. </w:t>
      </w:r>
    </w:p>
    <w:p w14:paraId="5E8DCA33" w14:textId="77777777" w:rsidR="003E6F40" w:rsidRDefault="003E6F40" w:rsidP="009D46D1"/>
    <w:p w14:paraId="227910FD" w14:textId="77777777" w:rsidR="003E6F40" w:rsidRDefault="003E6F40" w:rsidP="009D46D1"/>
    <w:p w14:paraId="6433EEE9" w14:textId="77777777" w:rsidR="003E6F40" w:rsidRDefault="003E6F40" w:rsidP="009D46D1"/>
    <w:p w14:paraId="2896029D" w14:textId="77777777" w:rsidR="003E6F40" w:rsidRDefault="003E6F40" w:rsidP="009D46D1"/>
    <w:p w14:paraId="2593A2B8" w14:textId="37613E0B" w:rsidR="00F818EE" w:rsidRDefault="00193913" w:rsidP="009D46D1">
      <w:r w:rsidRPr="0059103B">
        <w:t>AMENCA 3 performed strongly on</w:t>
      </w:r>
      <w:r w:rsidR="003B235C" w:rsidRPr="0059103B">
        <w:t xml:space="preserve"> gender equality and </w:t>
      </w:r>
      <w:r w:rsidRPr="0059103B">
        <w:t>empowerment of women and girls</w:t>
      </w:r>
      <w:r w:rsidR="00F60B09" w:rsidRPr="0059103B">
        <w:t xml:space="preserve"> (rating of 5</w:t>
      </w:r>
      <w:r w:rsidR="00F94513" w:rsidRPr="0059103B">
        <w:t>)</w:t>
      </w:r>
      <w:r w:rsidRPr="0059103B">
        <w:t xml:space="preserve">. </w:t>
      </w:r>
      <w:r w:rsidR="00A64949" w:rsidRPr="0059103B">
        <w:t xml:space="preserve">Structural barriers on gender roles and cultural perceptions </w:t>
      </w:r>
      <w:r w:rsidR="00E1143A">
        <w:t>(</w:t>
      </w:r>
      <w:r w:rsidR="00A64949" w:rsidRPr="0059103B">
        <w:t>that investing in women is high risk</w:t>
      </w:r>
      <w:r w:rsidR="00E1143A">
        <w:t>)</w:t>
      </w:r>
      <w:r w:rsidR="00A64949" w:rsidRPr="0059103B">
        <w:t xml:space="preserve"> continues to challenge women’s economic empowerment. However, by training women with the skills to influence decisions and adopt transformative business models, family behaviours towards women working in the agriculture sector are changing.  </w:t>
      </w:r>
      <w:r w:rsidR="00D048CA">
        <w:t>DFAT has recruited</w:t>
      </w:r>
      <w:r w:rsidR="00F818EE">
        <w:t xml:space="preserve"> a Social Inclusion Advisor for AMENCA 3 to ensure </w:t>
      </w:r>
      <w:r w:rsidR="00D048CA">
        <w:t>technical assistance is</w:t>
      </w:r>
      <w:r w:rsidR="00F818EE">
        <w:t xml:space="preserve"> available to all partners.</w:t>
      </w:r>
    </w:p>
    <w:p w14:paraId="3B156C70" w14:textId="4F9F7A7A" w:rsidR="004B6944" w:rsidRPr="00D048CA" w:rsidRDefault="004C7290" w:rsidP="00D048CA">
      <w:r>
        <w:t xml:space="preserve">DFAT monitors UNRWA’s </w:t>
      </w:r>
      <w:r w:rsidR="00F27F07">
        <w:t>performance</w:t>
      </w:r>
      <w:r w:rsidR="00F818EE">
        <w:t xml:space="preserve"> through the annual p</w:t>
      </w:r>
      <w:r w:rsidR="00711BF1">
        <w:t>erforma</w:t>
      </w:r>
      <w:r w:rsidR="00F818EE">
        <w:t>nce-linked a</w:t>
      </w:r>
      <w:r w:rsidR="00711BF1">
        <w:t xml:space="preserve">ssessment. As a multilateral </w:t>
      </w:r>
      <w:r w:rsidR="00CA7C01">
        <w:t>agency,</w:t>
      </w:r>
      <w:r w:rsidR="00711BF1">
        <w:t xml:space="preserve"> UNRWA is not subject to an Aid </w:t>
      </w:r>
      <w:r w:rsidR="00F27F07">
        <w:t>Quality Check, but instead a performance-linked a</w:t>
      </w:r>
      <w:r w:rsidR="00711BF1">
        <w:t>ssessment determines whether agreed tar</w:t>
      </w:r>
      <w:r w:rsidR="00F27F07">
        <w:t xml:space="preserve">gets have been met and whether </w:t>
      </w:r>
      <w:r w:rsidR="00A03D71">
        <w:t>the second annual payment of $4 million is made</w:t>
      </w:r>
      <w:r w:rsidR="004B63E8">
        <w:t>.</w:t>
      </w:r>
      <w:r w:rsidR="00711BF1">
        <w:t xml:space="preserve"> </w:t>
      </w:r>
    </w:p>
    <w:p w14:paraId="381D892C" w14:textId="18777D7A" w:rsidR="00F27F07" w:rsidRPr="00635EB7" w:rsidRDefault="005B5769" w:rsidP="00635EB7">
      <w:pPr>
        <w:pStyle w:val="ListBullet"/>
        <w:tabs>
          <w:tab w:val="clear" w:pos="284"/>
        </w:tabs>
        <w:spacing w:before="400"/>
        <w:rPr>
          <w:rFonts w:asciiTheme="majorHAnsi" w:eastAsiaTheme="majorEastAsia" w:hAnsiTheme="majorHAnsi" w:cstheme="majorBidi"/>
          <w:caps/>
          <w:color w:val="495965" w:themeColor="text2"/>
          <w:sz w:val="38"/>
          <w:szCs w:val="26"/>
          <w:lang w:val="en-GB" w:eastAsia="en-US"/>
        </w:rPr>
      </w:pPr>
      <w:r w:rsidRPr="00B67BDF">
        <w:rPr>
          <w:rFonts w:asciiTheme="majorHAnsi" w:eastAsiaTheme="majorEastAsia" w:hAnsiTheme="majorHAnsi" w:cstheme="majorBidi"/>
          <w:caps/>
          <w:color w:val="495965" w:themeColor="text2"/>
          <w:sz w:val="38"/>
          <w:szCs w:val="26"/>
          <w:lang w:val="en-GB" w:eastAsia="en-US"/>
        </w:rPr>
        <w:t xml:space="preserve">Management </w:t>
      </w:r>
      <w:r w:rsidR="00E65105" w:rsidRPr="00B67BDF">
        <w:rPr>
          <w:rFonts w:asciiTheme="majorHAnsi" w:eastAsiaTheme="majorEastAsia" w:hAnsiTheme="majorHAnsi" w:cstheme="majorBidi"/>
          <w:caps/>
          <w:color w:val="495965" w:themeColor="text2"/>
          <w:sz w:val="38"/>
          <w:szCs w:val="26"/>
          <w:lang w:val="en-GB" w:eastAsia="en-US"/>
        </w:rPr>
        <w:t>actions</w:t>
      </w:r>
    </w:p>
    <w:p w14:paraId="55B1A33B" w14:textId="665F6C14" w:rsidR="00F27F07" w:rsidRDefault="00F27F07" w:rsidP="00E65105">
      <w:r>
        <w:t>DFAT’s current Aid Investment Plan (AIP) for the PTs will expire in 2019 and we will shortly commence a process to update it.  Key issues for consideration will be the continuing deterioration of circumstances in Gaza as well as our shift away from use of the World Bank Trust Fund.</w:t>
      </w:r>
    </w:p>
    <w:p w14:paraId="13963225" w14:textId="2DE999B8" w:rsidR="00F27F07" w:rsidRDefault="00F27F07" w:rsidP="00E65105">
      <w:r>
        <w:t>In 2018-19, DFAT will become a member of the UN Humanitarian Fund’s Advisory Board and will use our participation to ensure partners selected have robust project plans and well developed risk management frameworks.</w:t>
      </w:r>
    </w:p>
    <w:p w14:paraId="17AC4975" w14:textId="4BADD9C3" w:rsidR="00F818EE" w:rsidRDefault="00587F70" w:rsidP="00E65105">
      <w:r>
        <w:t>In 2018</w:t>
      </w:r>
      <w:r w:rsidR="00F818EE">
        <w:t>-19</w:t>
      </w:r>
      <w:r w:rsidR="00F27F07">
        <w:t>,</w:t>
      </w:r>
      <w:r>
        <w:t xml:space="preserve"> UNRWA </w:t>
      </w:r>
      <w:r w:rsidR="00F818EE">
        <w:t>will continue to face</w:t>
      </w:r>
      <w:r>
        <w:t xml:space="preserve"> budget pressures</w:t>
      </w:r>
      <w:r w:rsidR="00C4021F">
        <w:t xml:space="preserve"> </w:t>
      </w:r>
      <w:r w:rsidR="00F818EE">
        <w:t xml:space="preserve">as a result of increased need and the uncertain donor landscape.  </w:t>
      </w:r>
      <w:r>
        <w:t xml:space="preserve">DFAT will focus </w:t>
      </w:r>
      <w:r w:rsidR="00F27F07">
        <w:t xml:space="preserve">our advocacy efforts with UNRWA on </w:t>
      </w:r>
      <w:r w:rsidR="00C4021F">
        <w:t>organisational</w:t>
      </w:r>
      <w:r>
        <w:t xml:space="preserve"> reform </w:t>
      </w:r>
      <w:r w:rsidR="00F27F07">
        <w:t xml:space="preserve">efforts, budget savings and </w:t>
      </w:r>
      <w:r w:rsidR="00635EB7">
        <w:t>neutrality</w:t>
      </w:r>
      <w:r w:rsidR="00F27F07">
        <w:t xml:space="preserve">.  </w:t>
      </w:r>
      <w:r w:rsidR="00F818EE">
        <w:t>DF</w:t>
      </w:r>
      <w:r w:rsidR="00F27F07">
        <w:t>AT will re-assess the targets in</w:t>
      </w:r>
      <w:r w:rsidR="00F818EE">
        <w:t xml:space="preserve"> its performance-linked a</w:t>
      </w:r>
      <w:r w:rsidR="00CB3900">
        <w:t xml:space="preserve">ssessment </w:t>
      </w:r>
      <w:r w:rsidR="00F818EE">
        <w:t xml:space="preserve">at this mid-point of the Strategic </w:t>
      </w:r>
      <w:r w:rsidR="00C13225">
        <w:t>Partnership</w:t>
      </w:r>
      <w:r w:rsidR="00F818EE">
        <w:t xml:space="preserve"> Framework with UNRWA to ensure they continue to reflect and address Australia’s </w:t>
      </w:r>
      <w:r w:rsidR="00C13225">
        <w:t>priorities</w:t>
      </w:r>
      <w:r w:rsidR="00635EB7">
        <w:t>.</w:t>
      </w:r>
    </w:p>
    <w:p w14:paraId="0768D741" w14:textId="3F1A5099" w:rsidR="00F833CA" w:rsidRDefault="00F833CA" w:rsidP="00E65105">
      <w:r>
        <w:t xml:space="preserve">DFAT will commission an </w:t>
      </w:r>
      <w:r w:rsidR="00C13225">
        <w:t>intendent</w:t>
      </w:r>
      <w:r>
        <w:t xml:space="preserve"> </w:t>
      </w:r>
      <w:r w:rsidR="004B63E8">
        <w:t>M</w:t>
      </w:r>
      <w:r w:rsidR="002127E4">
        <w:t>id-T</w:t>
      </w:r>
      <w:r w:rsidR="00CB3900">
        <w:t xml:space="preserve">erm </w:t>
      </w:r>
      <w:r w:rsidR="004B63E8">
        <w:t>R</w:t>
      </w:r>
      <w:r w:rsidR="00CB3900">
        <w:t xml:space="preserve">eview of AMENCA </w:t>
      </w:r>
      <w:r w:rsidR="00F818EE">
        <w:t>3 in March 2019</w:t>
      </w:r>
      <w:r w:rsidR="00CB3900">
        <w:t xml:space="preserve">, </w:t>
      </w:r>
      <w:r>
        <w:t>which will inform a decision on whether the program will continue for a further two years.</w:t>
      </w:r>
    </w:p>
    <w:p w14:paraId="4220426E" w14:textId="34BEE88C" w:rsidR="00F833CA" w:rsidRDefault="00731F1D" w:rsidP="00F833CA">
      <w:r w:rsidRPr="004F7D84">
        <w:t xml:space="preserve">In 2018-19, DFAT will undertake </w:t>
      </w:r>
      <w:r w:rsidR="00F833CA">
        <w:t xml:space="preserve">another round of </w:t>
      </w:r>
      <w:r w:rsidRPr="004F7D84">
        <w:t>third party monitoring of Australian aid act</w:t>
      </w:r>
      <w:r w:rsidR="00F833CA">
        <w:t>ivities in the PTs after a successful earlier trial</w:t>
      </w:r>
      <w:r w:rsidRPr="004F7D84">
        <w:t xml:space="preserve">. In 2017, DFAT engaged a Palestinian consulting firm to trial third party monitoring of </w:t>
      </w:r>
      <w:r w:rsidR="00635EB7">
        <w:t xml:space="preserve">some </w:t>
      </w:r>
      <w:r w:rsidRPr="004F7D84">
        <w:t xml:space="preserve">ANCP </w:t>
      </w:r>
      <w:r w:rsidR="00EE4C75">
        <w:t xml:space="preserve">and DAP </w:t>
      </w:r>
      <w:r w:rsidR="00F833CA">
        <w:t xml:space="preserve">projects in the PTs.  </w:t>
      </w:r>
      <w:r w:rsidRPr="004F7D84">
        <w:t xml:space="preserve">The firm’s local knowledge of the PTs, office locations, Arabic language skills and expertise in financial auditing were highly useful to monitor </w:t>
      </w:r>
      <w:r w:rsidR="005745C2">
        <w:t xml:space="preserve">compliance </w:t>
      </w:r>
      <w:r w:rsidR="0059103B" w:rsidRPr="004F7D84">
        <w:t xml:space="preserve">effectively </w:t>
      </w:r>
      <w:r w:rsidR="005745C2">
        <w:t>with contractual obligations</w:t>
      </w:r>
      <w:r w:rsidR="00F833CA">
        <w:t xml:space="preserve">. </w:t>
      </w:r>
    </w:p>
    <w:p w14:paraId="76AF929C" w14:textId="08448473" w:rsidR="00F27F07" w:rsidRDefault="00635EB7" w:rsidP="00F833CA">
      <w:r>
        <w:t xml:space="preserve">In 2018-19, </w:t>
      </w:r>
      <w:r w:rsidR="00F833CA">
        <w:t xml:space="preserve">DFAT will continue to </w:t>
      </w:r>
      <w:r w:rsidR="00C13225">
        <w:t>implement</w:t>
      </w:r>
      <w:r w:rsidR="00F833CA">
        <w:t xml:space="preserve"> its risk management framework </w:t>
      </w:r>
      <w:r w:rsidR="00C13225">
        <w:t>as initiated</w:t>
      </w:r>
      <w:r w:rsidR="00F833CA">
        <w:t xml:space="preserve"> and implemented in November 2016. This includes both </w:t>
      </w:r>
      <w:r w:rsidR="00C13225">
        <w:t>Post</w:t>
      </w:r>
      <w:r w:rsidR="00F833CA">
        <w:t xml:space="preserve"> and Desk reviewing on a </w:t>
      </w:r>
      <w:r w:rsidR="00C13225">
        <w:t>quarterly</w:t>
      </w:r>
      <w:r w:rsidR="00F833CA">
        <w:t xml:space="preserve"> basis the high-</w:t>
      </w:r>
      <w:r w:rsidR="00C13225">
        <w:t>level operating</w:t>
      </w:r>
      <w:r w:rsidR="00F833CA">
        <w:t xml:space="preserve"> </w:t>
      </w:r>
      <w:r w:rsidR="00C13225">
        <w:t>environment</w:t>
      </w:r>
      <w:r w:rsidR="00F833CA">
        <w:t xml:space="preserve"> for the aid program </w:t>
      </w:r>
      <w:r>
        <w:t xml:space="preserve">and </w:t>
      </w:r>
      <w:r w:rsidR="00F833CA">
        <w:t xml:space="preserve">implications for </w:t>
      </w:r>
      <w:r>
        <w:t>specific activities.</w:t>
      </w:r>
    </w:p>
    <w:p w14:paraId="4A9EB036" w14:textId="724E1D6A" w:rsidR="00F833CA" w:rsidRDefault="00635EB7" w:rsidP="00F833CA">
      <w:pPr>
        <w:sectPr w:rsidR="00F833CA" w:rsidSect="00D2653F">
          <w:headerReference w:type="default" r:id="rId28"/>
          <w:footerReference w:type="default" r:id="rId29"/>
          <w:pgSz w:w="11906" w:h="16838" w:code="9"/>
          <w:pgMar w:top="1811" w:right="1134" w:bottom="851" w:left="1134" w:header="1565" w:footer="342" w:gutter="0"/>
          <w:cols w:space="397"/>
          <w:docGrid w:linePitch="360"/>
        </w:sectPr>
      </w:pPr>
      <w:r>
        <w:t>DFAT commissioned an independent review of our risk management framework for the AMENCA 3 program in 2018.  This was undertaken i</w:t>
      </w:r>
      <w:r w:rsidR="00F27F07">
        <w:t xml:space="preserve">n consideration of the high-risk PTs environment arising from conflict, insecurity and access, and the risk of Australian funding supporting </w:t>
      </w:r>
      <w:r>
        <w:t xml:space="preserve">politically motivated violence.  </w:t>
      </w:r>
      <w:r w:rsidR="00F27F07">
        <w:t>The review noted Australia’s strong measures to mitigate and manage the risk of financing terrorism and provided recommendations to strengthen further an already rigorous regime</w:t>
      </w:r>
      <w:r>
        <w:t>, which will be implemented in 2018-19.</w:t>
      </w:r>
    </w:p>
    <w:p w14:paraId="437DADB0" w14:textId="77777777" w:rsidR="00AF1B85" w:rsidRPr="00A8197B" w:rsidRDefault="00AF1B85" w:rsidP="005E606B">
      <w:pPr>
        <w:pStyle w:val="Subtitle"/>
      </w:pPr>
      <w:r w:rsidRPr="00A8197B">
        <w:lastRenderedPageBreak/>
        <w:t xml:space="preserve">Annex A - </w:t>
      </w:r>
      <w:r w:rsidRPr="00B67BDF">
        <w:t>Progress in Addressing</w:t>
      </w:r>
      <w:r w:rsidRPr="00A8197B">
        <w:t xml:space="preserve"> Management Responses</w:t>
      </w:r>
    </w:p>
    <w:p w14:paraId="477D16F9" w14:textId="77777777" w:rsidR="00AF1B85" w:rsidRPr="00C61187" w:rsidRDefault="00AF1B85" w:rsidP="00A8197B">
      <w:r w:rsidRPr="00C61187">
        <w:t>Describe progress made against management responses in 201</w:t>
      </w:r>
      <w:r w:rsidR="00580A64">
        <w:t>6</w:t>
      </w:r>
      <w:r w:rsidRPr="00C61187">
        <w:t>-1</w:t>
      </w:r>
      <w:r w:rsidR="00580A64">
        <w:t>7</w:t>
      </w:r>
      <w:r w:rsidRPr="00C61187">
        <w:t xml:space="preserve"> report</w:t>
      </w:r>
    </w:p>
    <w:tbl>
      <w:tblPr>
        <w:tblStyle w:val="APPR"/>
        <w:tblpPr w:leftFromText="180" w:rightFromText="180" w:vertAnchor="text" w:tblpY="1"/>
        <w:tblW w:w="5074" w:type="pct"/>
        <w:tblLayout w:type="fixed"/>
        <w:tblLook w:val="0000" w:firstRow="0" w:lastRow="0" w:firstColumn="0" w:lastColumn="0" w:noHBand="0" w:noVBand="0"/>
      </w:tblPr>
      <w:tblGrid>
        <w:gridCol w:w="6326"/>
        <w:gridCol w:w="1179"/>
        <w:gridCol w:w="6738"/>
      </w:tblGrid>
      <w:tr w:rsidR="00AF1B85" w:rsidRPr="00812509" w14:paraId="278DD0D4" w14:textId="77777777" w:rsidTr="00484574">
        <w:trPr>
          <w:cnfStyle w:val="000000010000" w:firstRow="0" w:lastRow="0" w:firstColumn="0" w:lastColumn="0" w:oddVBand="0" w:evenVBand="0" w:oddHBand="0" w:evenHBand="1" w:firstRowFirstColumn="0" w:firstRowLastColumn="0" w:lastRowFirstColumn="0" w:lastRowLastColumn="0"/>
        </w:trPr>
        <w:tc>
          <w:tcPr>
            <w:tcW w:w="6284" w:type="dxa"/>
          </w:tcPr>
          <w:p w14:paraId="24E726B9" w14:textId="77777777" w:rsidR="00AF1B85" w:rsidRPr="00812509" w:rsidRDefault="00AF1B85" w:rsidP="00580A64">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Management responses identified in 201</w:t>
            </w:r>
            <w:r w:rsidR="00580A64">
              <w:rPr>
                <w:rFonts w:asciiTheme="minorHAnsi" w:eastAsia="Times New Roman" w:hAnsiTheme="minorHAnsi"/>
                <w:b/>
                <w:iCs/>
                <w:szCs w:val="17"/>
                <w:lang w:eastAsia="en-US"/>
              </w:rPr>
              <w:t>6</w:t>
            </w:r>
            <w:r w:rsidRPr="00812509">
              <w:rPr>
                <w:rFonts w:asciiTheme="minorHAnsi" w:eastAsia="Times New Roman" w:hAnsiTheme="minorHAnsi"/>
                <w:b/>
                <w:iCs/>
                <w:szCs w:val="17"/>
                <w:lang w:eastAsia="en-US"/>
              </w:rPr>
              <w:t>-1</w:t>
            </w:r>
            <w:r w:rsidR="00580A64">
              <w:rPr>
                <w:rFonts w:asciiTheme="minorHAnsi" w:eastAsia="Times New Roman" w:hAnsiTheme="minorHAnsi"/>
                <w:b/>
                <w:iCs/>
                <w:szCs w:val="17"/>
                <w:lang w:eastAsia="en-US"/>
              </w:rPr>
              <w:t>7</w:t>
            </w:r>
            <w:r w:rsidRPr="00812509">
              <w:rPr>
                <w:rFonts w:asciiTheme="minorHAnsi" w:eastAsia="Times New Roman" w:hAnsiTheme="minorHAnsi"/>
                <w:b/>
                <w:iCs/>
                <w:szCs w:val="17"/>
                <w:lang w:eastAsia="en-US"/>
              </w:rPr>
              <w:t xml:space="preserve"> APPR</w:t>
            </w:r>
            <w:r w:rsidRPr="00812509">
              <w:rPr>
                <w:rFonts w:asciiTheme="minorHAnsi" w:eastAsia="Times New Roman" w:hAnsiTheme="minorHAnsi"/>
                <w:b/>
                <w:iCs/>
                <w:szCs w:val="17"/>
                <w:lang w:eastAsia="en-US"/>
              </w:rPr>
              <w:tab/>
            </w:r>
          </w:p>
        </w:tc>
        <w:tc>
          <w:tcPr>
            <w:tcW w:w="1151" w:type="dxa"/>
          </w:tcPr>
          <w:p w14:paraId="52C55FFF" w14:textId="77777777" w:rsidR="00AF1B85" w:rsidRPr="00812509" w:rsidRDefault="00AF1B85" w:rsidP="00812509">
            <w:pPr>
              <w:keepLines/>
              <w:spacing w:before="80" w:after="80" w:line="200" w:lineRule="atLeast"/>
              <w:jc w:val="center"/>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Rating</w:t>
            </w:r>
          </w:p>
        </w:tc>
        <w:tc>
          <w:tcPr>
            <w:tcW w:w="6696" w:type="dxa"/>
          </w:tcPr>
          <w:p w14:paraId="79009CD7" w14:textId="77777777" w:rsidR="00AF1B85" w:rsidRPr="00812509" w:rsidRDefault="00AF1B85" w:rsidP="00580A64">
            <w:pPr>
              <w:keepLines/>
              <w:spacing w:before="80" w:after="80" w:line="200" w:lineRule="atLeast"/>
              <w:jc w:val="center"/>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Progress made  in 201</w:t>
            </w:r>
            <w:r w:rsidR="00580A64">
              <w:rPr>
                <w:rFonts w:asciiTheme="minorHAnsi" w:eastAsia="Times New Roman" w:hAnsiTheme="minorHAnsi"/>
                <w:b/>
                <w:iCs/>
                <w:szCs w:val="17"/>
                <w:lang w:eastAsia="en-US"/>
              </w:rPr>
              <w:t>7</w:t>
            </w:r>
            <w:r w:rsidRPr="00812509">
              <w:rPr>
                <w:rFonts w:asciiTheme="minorHAnsi" w:eastAsia="Times New Roman" w:hAnsiTheme="minorHAnsi"/>
                <w:b/>
                <w:iCs/>
                <w:szCs w:val="17"/>
                <w:lang w:eastAsia="en-US"/>
              </w:rPr>
              <w:t>-1</w:t>
            </w:r>
            <w:r w:rsidR="00580A64">
              <w:rPr>
                <w:rFonts w:asciiTheme="minorHAnsi" w:eastAsia="Times New Roman" w:hAnsiTheme="minorHAnsi"/>
                <w:b/>
                <w:iCs/>
                <w:szCs w:val="17"/>
                <w:lang w:eastAsia="en-US"/>
              </w:rPr>
              <w:t>8</w:t>
            </w:r>
          </w:p>
        </w:tc>
      </w:tr>
      <w:tr w:rsidR="00AA3274" w:rsidRPr="00812509" w14:paraId="041D0B57" w14:textId="77777777" w:rsidTr="00484574">
        <w:trPr>
          <w:cnfStyle w:val="000000010000" w:firstRow="0" w:lastRow="0" w:firstColumn="0" w:lastColumn="0" w:oddVBand="0" w:evenVBand="0" w:oddHBand="0" w:evenHBand="1" w:firstRowFirstColumn="0" w:firstRowLastColumn="0" w:lastRowFirstColumn="0" w:lastRowLastColumn="0"/>
        </w:trPr>
        <w:tc>
          <w:tcPr>
            <w:tcW w:w="6284" w:type="dxa"/>
          </w:tcPr>
          <w:p w14:paraId="6AD939D5" w14:textId="2AA43E02" w:rsidR="00AA3274" w:rsidRDefault="006F0CF5" w:rsidP="00D15A00">
            <w:pPr>
              <w:keepLines/>
              <w:spacing w:before="40" w:after="40" w:line="200" w:lineRule="atLeast"/>
              <w:rPr>
                <w:rFonts w:eastAsia="Times New Roman"/>
                <w:iCs/>
                <w:szCs w:val="17"/>
              </w:rPr>
            </w:pPr>
            <w:r>
              <w:rPr>
                <w:rFonts w:eastAsia="Times New Roman"/>
                <w:iCs/>
                <w:szCs w:val="17"/>
              </w:rPr>
              <w:t>I</w:t>
            </w:r>
            <w:r w:rsidR="00AA3274">
              <w:rPr>
                <w:rFonts w:eastAsia="Times New Roman"/>
                <w:iCs/>
                <w:szCs w:val="17"/>
              </w:rPr>
              <w:t>mplement recommenda</w:t>
            </w:r>
            <w:r>
              <w:rPr>
                <w:rFonts w:eastAsia="Times New Roman"/>
                <w:iCs/>
                <w:szCs w:val="17"/>
              </w:rPr>
              <w:t xml:space="preserve">tions from the Rapid </w:t>
            </w:r>
            <w:r w:rsidR="00AA3274">
              <w:rPr>
                <w:rFonts w:eastAsia="Times New Roman"/>
                <w:iCs/>
                <w:szCs w:val="17"/>
              </w:rPr>
              <w:t>Review of Manag</w:t>
            </w:r>
            <w:r w:rsidR="00DF6592">
              <w:rPr>
                <w:rFonts w:eastAsia="Times New Roman"/>
                <w:iCs/>
                <w:szCs w:val="17"/>
              </w:rPr>
              <w:t>ement and Operations</w:t>
            </w:r>
            <w:r>
              <w:rPr>
                <w:rFonts w:eastAsia="Times New Roman"/>
                <w:iCs/>
                <w:szCs w:val="17"/>
              </w:rPr>
              <w:t xml:space="preserve"> for AMENCA 3</w:t>
            </w:r>
          </w:p>
        </w:tc>
        <w:tc>
          <w:tcPr>
            <w:tcW w:w="1151" w:type="dxa"/>
            <w:shd w:val="clear" w:color="auto" w:fill="72AF2F"/>
          </w:tcPr>
          <w:p w14:paraId="2A8C9EB6" w14:textId="77777777" w:rsidR="00AA3274" w:rsidRPr="00812509" w:rsidRDefault="00AA3274" w:rsidP="00D15A00">
            <w:pPr>
              <w:keepLines/>
              <w:spacing w:before="40" w:after="40" w:line="200" w:lineRule="atLeast"/>
              <w:jc w:val="center"/>
              <w:rPr>
                <w:rFonts w:eastAsia="Times New Roman"/>
                <w:iCs/>
                <w:color w:val="FFFFFF" w:themeColor="background1"/>
                <w:szCs w:val="17"/>
              </w:rPr>
            </w:pPr>
            <w:r w:rsidRPr="00812509">
              <w:rPr>
                <w:rFonts w:asciiTheme="minorHAnsi" w:eastAsia="Times New Roman" w:hAnsiTheme="minorHAnsi"/>
                <w:iCs/>
                <w:color w:val="FFFFFF" w:themeColor="background1"/>
                <w:szCs w:val="17"/>
                <w:lang w:eastAsia="en-US"/>
              </w:rPr>
              <w:t>Achieved</w:t>
            </w:r>
          </w:p>
        </w:tc>
        <w:tc>
          <w:tcPr>
            <w:tcW w:w="6696" w:type="dxa"/>
          </w:tcPr>
          <w:p w14:paraId="6FB1692E" w14:textId="5D1105BC" w:rsidR="00AA3274" w:rsidRPr="00B7561A" w:rsidRDefault="006F0CF5" w:rsidP="006F0CF5">
            <w:pPr>
              <w:keepLines/>
              <w:spacing w:before="40" w:after="40" w:line="200" w:lineRule="atLeast"/>
              <w:rPr>
                <w:rFonts w:eastAsia="Times New Roman"/>
                <w:iCs/>
                <w:color w:val="000000" w:themeColor="text1"/>
                <w:szCs w:val="17"/>
              </w:rPr>
            </w:pPr>
            <w:r>
              <w:rPr>
                <w:rFonts w:eastAsia="Times New Roman"/>
                <w:iCs/>
                <w:color w:val="000000" w:themeColor="text1"/>
                <w:szCs w:val="17"/>
              </w:rPr>
              <w:t>All r</w:t>
            </w:r>
            <w:r w:rsidR="00DF6592">
              <w:rPr>
                <w:rFonts w:eastAsia="Times New Roman"/>
                <w:iCs/>
                <w:color w:val="000000" w:themeColor="text1"/>
                <w:szCs w:val="17"/>
              </w:rPr>
              <w:t xml:space="preserve">ecommendations </w:t>
            </w:r>
            <w:r>
              <w:rPr>
                <w:rFonts w:eastAsia="Times New Roman"/>
                <w:iCs/>
                <w:color w:val="000000" w:themeColor="text1"/>
                <w:szCs w:val="17"/>
              </w:rPr>
              <w:t xml:space="preserve">of the review were implemented.  </w:t>
            </w:r>
            <w:r w:rsidR="00CA7C01">
              <w:rPr>
                <w:rFonts w:eastAsia="Times New Roman"/>
                <w:iCs/>
                <w:color w:val="000000" w:themeColor="text1"/>
                <w:szCs w:val="17"/>
              </w:rPr>
              <w:t>Administrative</w:t>
            </w:r>
            <w:r>
              <w:rPr>
                <w:rFonts w:eastAsia="Times New Roman"/>
                <w:iCs/>
                <w:color w:val="000000" w:themeColor="text1"/>
                <w:szCs w:val="17"/>
              </w:rPr>
              <w:t xml:space="preserve"> and governance processes were streamlined and partners were given greater autonomy while being held accountable at reporting time.</w:t>
            </w:r>
            <w:r w:rsidR="00DF6592">
              <w:rPr>
                <w:rFonts w:eastAsia="Times New Roman"/>
                <w:iCs/>
                <w:color w:val="000000" w:themeColor="text1"/>
                <w:szCs w:val="17"/>
              </w:rPr>
              <w:t xml:space="preserve"> </w:t>
            </w:r>
          </w:p>
        </w:tc>
      </w:tr>
      <w:tr w:rsidR="006F0CF5" w:rsidRPr="00812509" w14:paraId="76D37270" w14:textId="77777777" w:rsidTr="00484574">
        <w:trPr>
          <w:cnfStyle w:val="000000010000" w:firstRow="0" w:lastRow="0" w:firstColumn="0" w:lastColumn="0" w:oddVBand="0" w:evenVBand="0" w:oddHBand="0" w:evenHBand="1" w:firstRowFirstColumn="0" w:firstRowLastColumn="0" w:lastRowFirstColumn="0" w:lastRowLastColumn="0"/>
        </w:trPr>
        <w:tc>
          <w:tcPr>
            <w:tcW w:w="6284" w:type="dxa"/>
          </w:tcPr>
          <w:p w14:paraId="0192E7D0" w14:textId="24CEDA6E" w:rsidR="006F0CF5" w:rsidRDefault="006F0CF5" w:rsidP="00D15A00">
            <w:pPr>
              <w:keepLines/>
              <w:spacing w:before="40" w:after="40" w:line="200" w:lineRule="atLeast"/>
              <w:rPr>
                <w:rFonts w:eastAsia="Times New Roman"/>
                <w:iCs/>
                <w:szCs w:val="17"/>
              </w:rPr>
            </w:pPr>
            <w:r>
              <w:rPr>
                <w:rFonts w:eastAsia="Times New Roman"/>
                <w:iCs/>
                <w:szCs w:val="17"/>
              </w:rPr>
              <w:t>Risk management processes for the</w:t>
            </w:r>
            <w:r w:rsidR="00996D10">
              <w:rPr>
                <w:rFonts w:eastAsia="Times New Roman"/>
                <w:iCs/>
                <w:szCs w:val="17"/>
              </w:rPr>
              <w:t xml:space="preserve"> aid</w:t>
            </w:r>
            <w:r>
              <w:rPr>
                <w:rFonts w:eastAsia="Times New Roman"/>
                <w:iCs/>
                <w:szCs w:val="17"/>
              </w:rPr>
              <w:t xml:space="preserve"> program strengthened</w:t>
            </w:r>
          </w:p>
        </w:tc>
        <w:tc>
          <w:tcPr>
            <w:tcW w:w="1151" w:type="dxa"/>
            <w:shd w:val="clear" w:color="auto" w:fill="72AF2F"/>
          </w:tcPr>
          <w:p w14:paraId="7BD3B55B" w14:textId="77777777" w:rsidR="006F0CF5" w:rsidRPr="00812509" w:rsidRDefault="006F0CF5" w:rsidP="00D15A00">
            <w:pPr>
              <w:keepLines/>
              <w:spacing w:before="40" w:after="40" w:line="200" w:lineRule="atLeast"/>
              <w:jc w:val="center"/>
              <w:rPr>
                <w:rFonts w:eastAsia="Times New Roman"/>
                <w:iCs/>
                <w:color w:val="FFFFFF" w:themeColor="background1"/>
                <w:szCs w:val="17"/>
              </w:rPr>
            </w:pPr>
          </w:p>
        </w:tc>
        <w:tc>
          <w:tcPr>
            <w:tcW w:w="6696" w:type="dxa"/>
          </w:tcPr>
          <w:p w14:paraId="03E15701" w14:textId="6E5C7C76" w:rsidR="006F0CF5" w:rsidRDefault="00052AE2" w:rsidP="006F0CF5">
            <w:pPr>
              <w:keepLines/>
              <w:spacing w:before="40" w:after="40" w:line="200" w:lineRule="atLeast"/>
              <w:rPr>
                <w:rFonts w:eastAsia="Times New Roman"/>
                <w:iCs/>
                <w:color w:val="000000" w:themeColor="text1"/>
                <w:szCs w:val="17"/>
              </w:rPr>
            </w:pPr>
            <w:r>
              <w:rPr>
                <w:rFonts w:eastAsia="Times New Roman"/>
                <w:iCs/>
                <w:color w:val="000000" w:themeColor="text1"/>
                <w:szCs w:val="17"/>
              </w:rPr>
              <w:t>Ramallah Post and Middle East Branch</w:t>
            </w:r>
            <w:r w:rsidR="006F0CF5">
              <w:rPr>
                <w:rFonts w:eastAsia="Times New Roman"/>
                <w:iCs/>
                <w:color w:val="000000" w:themeColor="text1"/>
                <w:szCs w:val="17"/>
              </w:rPr>
              <w:t xml:space="preserve"> now undertake a quarterly teleconference to discuss risks to the program and individual investments, upd</w:t>
            </w:r>
            <w:r>
              <w:rPr>
                <w:rFonts w:eastAsia="Times New Roman"/>
                <w:iCs/>
                <w:color w:val="000000" w:themeColor="text1"/>
                <w:szCs w:val="17"/>
              </w:rPr>
              <w:t>ate risk registers and provide</w:t>
            </w:r>
            <w:r w:rsidR="006F0CF5">
              <w:rPr>
                <w:rFonts w:eastAsia="Times New Roman"/>
                <w:iCs/>
                <w:color w:val="000000" w:themeColor="text1"/>
                <w:szCs w:val="17"/>
              </w:rPr>
              <w:t xml:space="preserve"> </w:t>
            </w:r>
            <w:r>
              <w:rPr>
                <w:rFonts w:eastAsia="Times New Roman"/>
                <w:iCs/>
                <w:color w:val="000000" w:themeColor="text1"/>
                <w:szCs w:val="17"/>
              </w:rPr>
              <w:t xml:space="preserve">minutes of these meetings to </w:t>
            </w:r>
            <w:r w:rsidR="006F0CF5">
              <w:rPr>
                <w:rFonts w:eastAsia="Times New Roman"/>
                <w:iCs/>
                <w:color w:val="000000" w:themeColor="text1"/>
                <w:szCs w:val="17"/>
              </w:rPr>
              <w:t>relevant SES officers.</w:t>
            </w:r>
          </w:p>
        </w:tc>
      </w:tr>
      <w:tr w:rsidR="00AF1B85" w:rsidRPr="00812509" w14:paraId="51CF2927" w14:textId="77777777" w:rsidTr="00484574">
        <w:trPr>
          <w:cnfStyle w:val="000000010000" w:firstRow="0" w:lastRow="0" w:firstColumn="0" w:lastColumn="0" w:oddVBand="0" w:evenVBand="0" w:oddHBand="0" w:evenHBand="1" w:firstRowFirstColumn="0" w:firstRowLastColumn="0" w:lastRowFirstColumn="0" w:lastRowLastColumn="0"/>
        </w:trPr>
        <w:tc>
          <w:tcPr>
            <w:tcW w:w="6284" w:type="dxa"/>
          </w:tcPr>
          <w:p w14:paraId="6948C55F" w14:textId="74A1942E" w:rsidR="00AF1B85" w:rsidRPr="009D46D1" w:rsidRDefault="00996D10" w:rsidP="00D15A00">
            <w:pPr>
              <w:keepLines/>
              <w:spacing w:before="40" w:after="40" w:line="200" w:lineRule="atLeast"/>
              <w:rPr>
                <w:rFonts w:eastAsia="Times New Roman"/>
                <w:iCs/>
                <w:szCs w:val="17"/>
              </w:rPr>
            </w:pPr>
            <w:r>
              <w:rPr>
                <w:rFonts w:eastAsia="Times New Roman"/>
                <w:iCs/>
                <w:szCs w:val="17"/>
              </w:rPr>
              <w:t>Implementation of the counter t</w:t>
            </w:r>
            <w:r w:rsidR="00A368F3" w:rsidRPr="009D46D1">
              <w:rPr>
                <w:rFonts w:eastAsia="Times New Roman"/>
                <w:iCs/>
                <w:szCs w:val="17"/>
              </w:rPr>
              <w:t>errorism-financing policy</w:t>
            </w:r>
          </w:p>
        </w:tc>
        <w:tc>
          <w:tcPr>
            <w:tcW w:w="1151" w:type="dxa"/>
            <w:shd w:val="clear" w:color="auto" w:fill="72AF2F"/>
          </w:tcPr>
          <w:p w14:paraId="27C8B344" w14:textId="77777777" w:rsidR="00AF1B85" w:rsidRPr="00812509" w:rsidRDefault="00AF1B85" w:rsidP="00D15A00">
            <w:pPr>
              <w:keepLines/>
              <w:spacing w:before="40" w:after="40" w:line="200" w:lineRule="atLeast"/>
              <w:jc w:val="center"/>
              <w:rPr>
                <w:rFonts w:asciiTheme="minorHAnsi" w:eastAsia="Times New Roman" w:hAnsiTheme="minorHAnsi"/>
                <w:iCs/>
                <w:color w:val="FFFFFF" w:themeColor="background1"/>
                <w:szCs w:val="17"/>
                <w:lang w:eastAsia="en-US"/>
              </w:rPr>
            </w:pPr>
            <w:r w:rsidRPr="00812509">
              <w:rPr>
                <w:rFonts w:asciiTheme="minorHAnsi" w:eastAsia="Times New Roman" w:hAnsiTheme="minorHAnsi"/>
                <w:iCs/>
                <w:color w:val="FFFFFF" w:themeColor="background1"/>
                <w:szCs w:val="17"/>
                <w:lang w:eastAsia="en-US"/>
              </w:rPr>
              <w:t>Achieved</w:t>
            </w:r>
          </w:p>
        </w:tc>
        <w:tc>
          <w:tcPr>
            <w:tcW w:w="6696" w:type="dxa"/>
          </w:tcPr>
          <w:p w14:paraId="599204CE" w14:textId="25A6E39C" w:rsidR="00AF1B85" w:rsidRPr="00B7561A" w:rsidRDefault="0055289D" w:rsidP="00D15A00">
            <w:pPr>
              <w:keepLines/>
              <w:spacing w:before="40" w:after="40" w:line="200" w:lineRule="atLeast"/>
              <w:rPr>
                <w:rFonts w:asciiTheme="minorHAnsi" w:eastAsia="Times New Roman" w:hAnsiTheme="minorHAnsi"/>
                <w:iCs/>
                <w:color w:val="000000" w:themeColor="text1"/>
                <w:szCs w:val="17"/>
                <w:lang w:eastAsia="en-US"/>
              </w:rPr>
            </w:pPr>
            <w:r w:rsidRPr="00B7561A">
              <w:rPr>
                <w:rFonts w:eastAsia="Times New Roman"/>
                <w:iCs/>
                <w:color w:val="000000" w:themeColor="text1"/>
                <w:szCs w:val="17"/>
              </w:rPr>
              <w:t>New contracts reflected the new policy</w:t>
            </w:r>
            <w:r w:rsidR="006F0CF5">
              <w:rPr>
                <w:rFonts w:eastAsia="Times New Roman"/>
                <w:iCs/>
                <w:color w:val="000000" w:themeColor="text1"/>
                <w:szCs w:val="17"/>
              </w:rPr>
              <w:t>.</w:t>
            </w:r>
            <w:r w:rsidR="00996D10">
              <w:rPr>
                <w:rFonts w:eastAsia="Times New Roman"/>
                <w:iCs/>
                <w:color w:val="000000" w:themeColor="text1"/>
                <w:szCs w:val="17"/>
              </w:rPr>
              <w:t xml:space="preserve"> Existing contracts being </w:t>
            </w:r>
            <w:proofErr w:type="gramStart"/>
            <w:r w:rsidR="00052AE2">
              <w:rPr>
                <w:rFonts w:eastAsia="Times New Roman"/>
                <w:iCs/>
                <w:color w:val="000000" w:themeColor="text1"/>
                <w:szCs w:val="17"/>
              </w:rPr>
              <w:t xml:space="preserve">are </w:t>
            </w:r>
            <w:r w:rsidR="00996D10">
              <w:rPr>
                <w:rFonts w:eastAsia="Times New Roman"/>
                <w:iCs/>
                <w:color w:val="000000" w:themeColor="text1"/>
                <w:szCs w:val="17"/>
              </w:rPr>
              <w:t>revised</w:t>
            </w:r>
            <w:proofErr w:type="gramEnd"/>
            <w:r w:rsidR="00996D10">
              <w:rPr>
                <w:rFonts w:eastAsia="Times New Roman"/>
                <w:iCs/>
                <w:color w:val="000000" w:themeColor="text1"/>
                <w:szCs w:val="17"/>
              </w:rPr>
              <w:t>.</w:t>
            </w:r>
          </w:p>
        </w:tc>
      </w:tr>
      <w:tr w:rsidR="00484574" w:rsidRPr="00812509" w14:paraId="3209D8AB" w14:textId="77777777" w:rsidTr="00484574">
        <w:trPr>
          <w:cnfStyle w:val="000000010000" w:firstRow="0" w:lastRow="0" w:firstColumn="0" w:lastColumn="0" w:oddVBand="0" w:evenVBand="0" w:oddHBand="0" w:evenHBand="1" w:firstRowFirstColumn="0" w:firstRowLastColumn="0" w:lastRowFirstColumn="0" w:lastRowLastColumn="0"/>
        </w:trPr>
        <w:tc>
          <w:tcPr>
            <w:tcW w:w="6284" w:type="dxa"/>
          </w:tcPr>
          <w:p w14:paraId="136AA09A" w14:textId="36AF760C" w:rsidR="00484574" w:rsidRPr="009D46D1" w:rsidRDefault="00484574" w:rsidP="00D15A00">
            <w:pPr>
              <w:keepLines/>
              <w:spacing w:before="40" w:after="40" w:line="200" w:lineRule="atLeast"/>
              <w:rPr>
                <w:rFonts w:eastAsia="Times New Roman"/>
                <w:iCs/>
                <w:szCs w:val="17"/>
              </w:rPr>
            </w:pPr>
            <w:r w:rsidRPr="009D46D1">
              <w:rPr>
                <w:rFonts w:eastAsia="Times New Roman"/>
                <w:iCs/>
                <w:szCs w:val="17"/>
              </w:rPr>
              <w:t>Review the effectiveness of the trial of third party monitoring on sev</w:t>
            </w:r>
            <w:r w:rsidR="006F0CF5">
              <w:rPr>
                <w:rFonts w:eastAsia="Times New Roman"/>
                <w:iCs/>
                <w:szCs w:val="17"/>
              </w:rPr>
              <w:t>eral Direct Aid Program (DAP) and Australian NGO Cooperation Program (ANCP) activities</w:t>
            </w:r>
          </w:p>
        </w:tc>
        <w:tc>
          <w:tcPr>
            <w:tcW w:w="1151" w:type="dxa"/>
            <w:shd w:val="clear" w:color="auto" w:fill="72AF2F"/>
          </w:tcPr>
          <w:p w14:paraId="7C9FE8D7" w14:textId="77777777" w:rsidR="00484574" w:rsidRPr="00812509" w:rsidRDefault="00484574" w:rsidP="00D15A00">
            <w:pPr>
              <w:keepLines/>
              <w:spacing w:before="40" w:after="40" w:line="200" w:lineRule="atLeast"/>
              <w:jc w:val="center"/>
              <w:rPr>
                <w:rFonts w:asciiTheme="minorHAnsi" w:eastAsia="Times New Roman" w:hAnsiTheme="minorHAnsi"/>
                <w:iCs/>
                <w:color w:val="FFFFFF" w:themeColor="background1"/>
                <w:szCs w:val="17"/>
                <w:lang w:eastAsia="en-US"/>
              </w:rPr>
            </w:pPr>
            <w:r w:rsidRPr="00812509">
              <w:rPr>
                <w:rFonts w:asciiTheme="minorHAnsi" w:eastAsia="Times New Roman" w:hAnsiTheme="minorHAnsi"/>
                <w:iCs/>
                <w:color w:val="FFFFFF" w:themeColor="background1"/>
                <w:szCs w:val="17"/>
                <w:lang w:eastAsia="en-US"/>
              </w:rPr>
              <w:t>Achieved</w:t>
            </w:r>
          </w:p>
        </w:tc>
        <w:tc>
          <w:tcPr>
            <w:tcW w:w="6696" w:type="dxa"/>
          </w:tcPr>
          <w:p w14:paraId="1DB48974" w14:textId="31E01BEE" w:rsidR="00484574" w:rsidRPr="00B7561A" w:rsidRDefault="004F7D84" w:rsidP="0059103B">
            <w:pPr>
              <w:keepLines/>
              <w:spacing w:before="40" w:after="40" w:line="200" w:lineRule="atLeast"/>
              <w:rPr>
                <w:rFonts w:asciiTheme="minorHAnsi" w:eastAsia="Times New Roman" w:hAnsiTheme="minorHAnsi"/>
                <w:iCs/>
                <w:color w:val="000000" w:themeColor="text1"/>
                <w:szCs w:val="17"/>
                <w:lang w:eastAsia="en-US"/>
              </w:rPr>
            </w:pPr>
            <w:r w:rsidRPr="00B7561A">
              <w:rPr>
                <w:color w:val="000000" w:themeColor="text1"/>
              </w:rPr>
              <w:t>In 2017, DFAT engaged a Palestinian consulting firm to tria</w:t>
            </w:r>
            <w:r w:rsidR="00052AE2">
              <w:rPr>
                <w:color w:val="000000" w:themeColor="text1"/>
              </w:rPr>
              <w:t xml:space="preserve">l third party monitoring ANCP and DAP </w:t>
            </w:r>
            <w:r w:rsidRPr="00B7561A">
              <w:rPr>
                <w:color w:val="000000" w:themeColor="text1"/>
              </w:rPr>
              <w:t>projects in the P</w:t>
            </w:r>
            <w:r w:rsidR="00052AE2">
              <w:rPr>
                <w:color w:val="000000" w:themeColor="text1"/>
              </w:rPr>
              <w:t>Ts, which proved to be useful</w:t>
            </w:r>
            <w:r w:rsidRPr="00B7561A">
              <w:rPr>
                <w:color w:val="000000" w:themeColor="text1"/>
              </w:rPr>
              <w:t xml:space="preserve">. The firm’s local knowledge of the PTs, office locations, Arabic language skills and expertise in financial auditing were highly useful to monitor </w:t>
            </w:r>
            <w:r w:rsidR="0059103B">
              <w:rPr>
                <w:color w:val="000000" w:themeColor="text1"/>
              </w:rPr>
              <w:t>compliance</w:t>
            </w:r>
            <w:r w:rsidR="0059103B" w:rsidRPr="00B7561A">
              <w:rPr>
                <w:color w:val="000000" w:themeColor="text1"/>
              </w:rPr>
              <w:t xml:space="preserve"> effectively </w:t>
            </w:r>
            <w:r w:rsidR="005745C2">
              <w:rPr>
                <w:color w:val="000000" w:themeColor="text1"/>
              </w:rPr>
              <w:t>with contractual obligations</w:t>
            </w:r>
            <w:r w:rsidRPr="00B7561A">
              <w:rPr>
                <w:color w:val="000000" w:themeColor="text1"/>
              </w:rPr>
              <w:t>.  </w:t>
            </w:r>
            <w:r w:rsidR="00052AE2">
              <w:rPr>
                <w:color w:val="000000" w:themeColor="text1"/>
              </w:rPr>
              <w:t>We will undertake third party monitoring again in 2018-19.</w:t>
            </w:r>
          </w:p>
        </w:tc>
      </w:tr>
      <w:tr w:rsidR="006F0CF5" w:rsidRPr="00812509" w14:paraId="5A9DA043" w14:textId="77777777" w:rsidTr="00484574">
        <w:trPr>
          <w:cnfStyle w:val="000000010000" w:firstRow="0" w:lastRow="0" w:firstColumn="0" w:lastColumn="0" w:oddVBand="0" w:evenVBand="0" w:oddHBand="0" w:evenHBand="1" w:firstRowFirstColumn="0" w:firstRowLastColumn="0" w:lastRowFirstColumn="0" w:lastRowLastColumn="0"/>
        </w:trPr>
        <w:tc>
          <w:tcPr>
            <w:tcW w:w="6284" w:type="dxa"/>
          </w:tcPr>
          <w:p w14:paraId="7F15BBA4" w14:textId="03E59B30" w:rsidR="006F0CF5" w:rsidRPr="009D46D1" w:rsidRDefault="006F0CF5" w:rsidP="00D15A00">
            <w:pPr>
              <w:keepLines/>
              <w:spacing w:before="40" w:after="40" w:line="200" w:lineRule="atLeast"/>
              <w:rPr>
                <w:rFonts w:eastAsia="Times New Roman"/>
                <w:iCs/>
                <w:szCs w:val="17"/>
              </w:rPr>
            </w:pPr>
            <w:r>
              <w:rPr>
                <w:rFonts w:eastAsia="Times New Roman"/>
                <w:iCs/>
                <w:szCs w:val="17"/>
              </w:rPr>
              <w:t>One</w:t>
            </w:r>
            <w:r w:rsidR="00052AE2">
              <w:rPr>
                <w:rFonts w:eastAsia="Times New Roman"/>
                <w:iCs/>
                <w:szCs w:val="17"/>
              </w:rPr>
              <w:t xml:space="preserve"> round of the Direct Aid Program (DAP)</w:t>
            </w:r>
            <w:r>
              <w:rPr>
                <w:rFonts w:eastAsia="Times New Roman"/>
                <w:iCs/>
                <w:szCs w:val="17"/>
              </w:rPr>
              <w:t xml:space="preserve"> undertaken in 2017-18</w:t>
            </w:r>
          </w:p>
        </w:tc>
        <w:tc>
          <w:tcPr>
            <w:tcW w:w="1151" w:type="dxa"/>
            <w:shd w:val="clear" w:color="auto" w:fill="72AF2F"/>
          </w:tcPr>
          <w:p w14:paraId="7FCC78D0" w14:textId="06F7383E" w:rsidR="006F0CF5" w:rsidRPr="00812509" w:rsidRDefault="00CA7C01" w:rsidP="00D15A00">
            <w:pPr>
              <w:keepLines/>
              <w:spacing w:before="40" w:after="40" w:line="200" w:lineRule="atLeast"/>
              <w:jc w:val="center"/>
              <w:rPr>
                <w:rFonts w:eastAsia="Times New Roman"/>
                <w:iCs/>
                <w:color w:val="FFFFFF" w:themeColor="background1"/>
                <w:szCs w:val="17"/>
              </w:rPr>
            </w:pPr>
            <w:r>
              <w:rPr>
                <w:rFonts w:eastAsia="Times New Roman"/>
                <w:iCs/>
                <w:color w:val="FFFFFF" w:themeColor="background1"/>
                <w:szCs w:val="17"/>
              </w:rPr>
              <w:t>Achieved</w:t>
            </w:r>
          </w:p>
        </w:tc>
        <w:tc>
          <w:tcPr>
            <w:tcW w:w="6696" w:type="dxa"/>
          </w:tcPr>
          <w:p w14:paraId="6243B5AD" w14:textId="4D916CF7" w:rsidR="006F0CF5" w:rsidRPr="00B7561A" w:rsidRDefault="00052AE2" w:rsidP="0059103B">
            <w:pPr>
              <w:keepLines/>
              <w:spacing w:before="40" w:after="40" w:line="200" w:lineRule="atLeast"/>
              <w:rPr>
                <w:rFonts w:eastAsia="Times New Roman"/>
                <w:iCs/>
                <w:color w:val="000000" w:themeColor="text1"/>
                <w:szCs w:val="17"/>
              </w:rPr>
            </w:pPr>
            <w:r>
              <w:rPr>
                <w:color w:val="000000" w:themeColor="text1"/>
              </w:rPr>
              <w:t>In 2017-18, the Ramallah Post</w:t>
            </w:r>
            <w:r w:rsidR="006F0CF5" w:rsidRPr="00B7561A">
              <w:rPr>
                <w:color w:val="000000" w:themeColor="text1"/>
              </w:rPr>
              <w:t xml:space="preserve"> moved to a single round of funding</w:t>
            </w:r>
            <w:r w:rsidR="00996D10">
              <w:rPr>
                <w:color w:val="000000" w:themeColor="text1"/>
              </w:rPr>
              <w:t xml:space="preserve"> (from two rounds </w:t>
            </w:r>
            <w:r>
              <w:rPr>
                <w:color w:val="000000" w:themeColor="text1"/>
              </w:rPr>
              <w:t>in 2016-17</w:t>
            </w:r>
            <w:r w:rsidR="00996D10">
              <w:rPr>
                <w:color w:val="000000" w:themeColor="text1"/>
              </w:rPr>
              <w:t>)</w:t>
            </w:r>
            <w:r w:rsidR="006F0CF5" w:rsidRPr="00B7561A">
              <w:rPr>
                <w:color w:val="000000" w:themeColor="text1"/>
              </w:rPr>
              <w:t xml:space="preserve"> to increase </w:t>
            </w:r>
            <w:r w:rsidR="006F0CF5">
              <w:rPr>
                <w:color w:val="000000" w:themeColor="text1"/>
              </w:rPr>
              <w:t>administrative</w:t>
            </w:r>
            <w:r w:rsidR="006F0CF5" w:rsidRPr="00B7561A">
              <w:rPr>
                <w:color w:val="000000" w:themeColor="text1"/>
              </w:rPr>
              <w:t xml:space="preserve"> efficiency of the program. The ‘SmartyGrants’ application was also rolled out to increase consistency of applications across all of </w:t>
            </w:r>
            <w:r w:rsidR="006F0CF5">
              <w:rPr>
                <w:color w:val="000000" w:themeColor="text1"/>
              </w:rPr>
              <w:t>the ARO’s</w:t>
            </w:r>
            <w:r w:rsidR="006F0CF5" w:rsidRPr="00B7561A">
              <w:rPr>
                <w:color w:val="000000" w:themeColor="text1"/>
              </w:rPr>
              <w:t xml:space="preserve"> DAP pro</w:t>
            </w:r>
            <w:r w:rsidR="006F0CF5">
              <w:rPr>
                <w:color w:val="000000" w:themeColor="text1"/>
              </w:rPr>
              <w:t>jects</w:t>
            </w:r>
            <w:r w:rsidR="006F0CF5" w:rsidRPr="00B7561A">
              <w:rPr>
                <w:color w:val="000000" w:themeColor="text1"/>
              </w:rPr>
              <w:t xml:space="preserve">, to have a single mechanism for submission, and to have a common management platform.  </w:t>
            </w:r>
          </w:p>
        </w:tc>
      </w:tr>
    </w:tbl>
    <w:p w14:paraId="3EC9F46F" w14:textId="77777777" w:rsidR="00AF1B85" w:rsidRPr="00812509" w:rsidRDefault="00AF1B85" w:rsidP="00AF1B85">
      <w:pPr>
        <w:spacing w:before="20" w:after="20" w:line="180" w:lineRule="atLeast"/>
        <w:jc w:val="both"/>
        <w:rPr>
          <w:rFonts w:eastAsia="Times New Roman"/>
          <w:b/>
          <w:sz w:val="16"/>
          <w:szCs w:val="14"/>
        </w:rPr>
      </w:pPr>
      <w:r w:rsidRPr="00812509">
        <w:rPr>
          <w:rFonts w:eastAsia="Times New Roman"/>
          <w:b/>
          <w:sz w:val="16"/>
          <w:szCs w:val="14"/>
        </w:rPr>
        <w:t xml:space="preserve">Note: </w:t>
      </w:r>
    </w:p>
    <w:p w14:paraId="64B317C5" w14:textId="77777777" w:rsidR="00AF1B85" w:rsidRPr="00812509" w:rsidRDefault="00AF1B85" w:rsidP="00AF1B85">
      <w:pPr>
        <w:spacing w:before="20" w:after="20" w:line="180" w:lineRule="atLeast"/>
        <w:jc w:val="both"/>
        <w:rPr>
          <w:rFonts w:eastAsia="Times New Roman"/>
          <w:b/>
          <w:sz w:val="16"/>
          <w:szCs w:val="14"/>
        </w:rPr>
      </w:pPr>
      <w:r w:rsidRPr="00812509">
        <w:rPr>
          <w:rFonts w:eastAsia="Times New Roman"/>
          <w:b/>
          <w:color w:val="72AF2F"/>
          <w:sz w:val="16"/>
          <w:szCs w:val="14"/>
        </w:rPr>
        <w:sym w:font="Webdings" w:char="F067"/>
      </w:r>
      <w:r w:rsidRPr="00812509">
        <w:rPr>
          <w:rFonts w:eastAsia="Times New Roman"/>
          <w:b/>
          <w:sz w:val="16"/>
          <w:szCs w:val="14"/>
        </w:rPr>
        <w:t> </w:t>
      </w:r>
      <w:r w:rsidRPr="00812509">
        <w:rPr>
          <w:rFonts w:eastAsia="Times New Roman"/>
          <w:b/>
          <w:sz w:val="16"/>
          <w:szCs w:val="14"/>
        </w:rPr>
        <w:t xml:space="preserve"> Achieved.  Significant progress has been made in addressing the issue </w:t>
      </w:r>
    </w:p>
    <w:p w14:paraId="45A3CB6A" w14:textId="77777777" w:rsidR="00AF1B85" w:rsidRPr="00812509" w:rsidRDefault="00AF1B85" w:rsidP="00AF1B85">
      <w:pPr>
        <w:spacing w:before="20" w:after="20" w:line="180" w:lineRule="atLeast"/>
        <w:jc w:val="both"/>
        <w:rPr>
          <w:rFonts w:eastAsia="Times New Roman"/>
          <w:b/>
          <w:sz w:val="16"/>
          <w:szCs w:val="14"/>
        </w:rPr>
      </w:pPr>
      <w:r w:rsidRPr="00812509">
        <w:rPr>
          <w:rFonts w:eastAsia="Times New Roman"/>
          <w:b/>
          <w:color w:val="E36C0A"/>
          <w:sz w:val="16"/>
          <w:szCs w:val="14"/>
        </w:rPr>
        <w:sym w:font="Webdings" w:char="F067"/>
      </w:r>
      <w:r w:rsidRPr="00812509">
        <w:rPr>
          <w:rFonts w:eastAsia="Times New Roman"/>
          <w:b/>
          <w:sz w:val="16"/>
          <w:szCs w:val="14"/>
        </w:rPr>
        <w:t> </w:t>
      </w:r>
      <w:r w:rsidRPr="00812509">
        <w:rPr>
          <w:rFonts w:eastAsia="Times New Roman"/>
          <w:b/>
          <w:sz w:val="16"/>
          <w:szCs w:val="14"/>
        </w:rPr>
        <w:t xml:space="preserve"> Partly achieved.  Some progress has been made in addressing the issue, but the issue has not been resolved </w:t>
      </w:r>
    </w:p>
    <w:p w14:paraId="37BF7C19" w14:textId="77777777" w:rsidR="00AF1B85" w:rsidRPr="00812509" w:rsidRDefault="00AF1B85" w:rsidP="00AF1B85">
      <w:pPr>
        <w:spacing w:before="20" w:after="20" w:line="180" w:lineRule="atLeast"/>
        <w:jc w:val="both"/>
        <w:rPr>
          <w:rFonts w:eastAsia="Times New Roman"/>
          <w:b/>
          <w:sz w:val="16"/>
          <w:szCs w:val="14"/>
        </w:rPr>
      </w:pPr>
      <w:r w:rsidRPr="00812509">
        <w:rPr>
          <w:rFonts w:eastAsia="Times New Roman"/>
          <w:b/>
          <w:color w:val="FF0000"/>
          <w:sz w:val="16"/>
          <w:szCs w:val="14"/>
        </w:rPr>
        <w:sym w:font="Webdings" w:char="F067"/>
      </w:r>
      <w:r w:rsidRPr="00812509">
        <w:rPr>
          <w:rFonts w:eastAsia="Times New Roman"/>
          <w:b/>
          <w:sz w:val="16"/>
          <w:szCs w:val="14"/>
        </w:rPr>
        <w:t> </w:t>
      </w:r>
      <w:r w:rsidRPr="00812509">
        <w:rPr>
          <w:rFonts w:eastAsia="Times New Roman"/>
          <w:b/>
          <w:sz w:val="16"/>
          <w:szCs w:val="14"/>
        </w:rPr>
        <w:t xml:space="preserve"> Not achieved. Progress in addressing the issue has been significantly below expectations</w:t>
      </w:r>
    </w:p>
    <w:p w14:paraId="480895B6" w14:textId="77777777" w:rsidR="00D00802" w:rsidRDefault="00D00802" w:rsidP="005B5769">
      <w:pPr>
        <w:pStyle w:val="ListBullet"/>
        <w:tabs>
          <w:tab w:val="clear" w:pos="284"/>
        </w:tabs>
        <w:sectPr w:rsidR="00D00802" w:rsidSect="00D00802">
          <w:headerReference w:type="first" r:id="rId30"/>
          <w:pgSz w:w="16838" w:h="11906" w:orient="landscape" w:code="9"/>
          <w:pgMar w:top="1134" w:right="1952" w:bottom="1134" w:left="851" w:header="1107" w:footer="567" w:gutter="0"/>
          <w:cols w:space="397"/>
          <w:titlePg/>
          <w:docGrid w:linePitch="360"/>
        </w:sectPr>
      </w:pPr>
    </w:p>
    <w:p w14:paraId="0C643DAA" w14:textId="77777777" w:rsidR="00184F1E" w:rsidRDefault="00184F1E" w:rsidP="00184F1E">
      <w:pPr>
        <w:pStyle w:val="Subtitle"/>
        <w:numPr>
          <w:ilvl w:val="0"/>
          <w:numId w:val="0"/>
        </w:numPr>
      </w:pPr>
      <w:r w:rsidRPr="00400B0F">
        <w:lastRenderedPageBreak/>
        <w:t xml:space="preserve">Annex B </w:t>
      </w:r>
      <w:r>
        <w:t>–</w:t>
      </w:r>
      <w:r w:rsidRPr="00400B0F">
        <w:t xml:space="preserve"> </w:t>
      </w:r>
      <w:r>
        <w:t>PERFORMANCE BENCHMARKS</w:t>
      </w:r>
    </w:p>
    <w:p w14:paraId="7C9E4E5D" w14:textId="77777777" w:rsidR="00184F1E" w:rsidRPr="00320251" w:rsidRDefault="00184F1E" w:rsidP="00184F1E">
      <w:pPr>
        <w:rPr>
          <w:rFonts w:ascii="Franklin Gothic Book" w:eastAsia="Times New Roman" w:hAnsi="Franklin Gothic Book"/>
          <w:b/>
          <w:sz w:val="24"/>
          <w:szCs w:val="24"/>
        </w:rPr>
      </w:pPr>
      <w:r w:rsidRPr="00320251">
        <w:rPr>
          <w:rFonts w:ascii="Franklin Gothic Book" w:eastAsia="Times New Roman" w:hAnsi="Franklin Gothic Book"/>
          <w:b/>
          <w:sz w:val="24"/>
          <w:szCs w:val="24"/>
        </w:rPr>
        <w:t>Progress towards Performance Benchmarks in 201</w:t>
      </w:r>
      <w:r w:rsidR="00580A64">
        <w:rPr>
          <w:rFonts w:ascii="Franklin Gothic Book" w:eastAsia="Times New Roman" w:hAnsi="Franklin Gothic Book"/>
          <w:b/>
          <w:sz w:val="24"/>
          <w:szCs w:val="24"/>
        </w:rPr>
        <w:t>7</w:t>
      </w:r>
      <w:r w:rsidRPr="00320251">
        <w:rPr>
          <w:rFonts w:ascii="Franklin Gothic Book" w:eastAsia="Times New Roman" w:hAnsi="Franklin Gothic Book"/>
          <w:b/>
          <w:sz w:val="24"/>
          <w:szCs w:val="24"/>
        </w:rPr>
        <w:t>-1</w:t>
      </w:r>
      <w:r w:rsidR="00580A64">
        <w:rPr>
          <w:rFonts w:ascii="Franklin Gothic Book" w:eastAsia="Times New Roman" w:hAnsi="Franklin Gothic Book"/>
          <w:b/>
          <w:sz w:val="24"/>
          <w:szCs w:val="24"/>
        </w:rPr>
        <w:t>8</w:t>
      </w:r>
    </w:p>
    <w:p w14:paraId="5BB31F8A" w14:textId="066439C1" w:rsidR="00184F1E" w:rsidRPr="00CE5DF0" w:rsidRDefault="00184F1E" w:rsidP="00184F1E">
      <w:r>
        <w:rPr>
          <w:rFonts w:ascii="Franklin Gothic Book" w:eastAsia="Times New Roman" w:hAnsi="Franklin Gothic Book"/>
          <w:sz w:val="21"/>
        </w:rPr>
        <w:t xml:space="preserve">Discussion on progress against specific </w:t>
      </w:r>
      <w:r w:rsidRPr="00C61187">
        <w:rPr>
          <w:rFonts w:ascii="Franklin Gothic Book" w:eastAsia="Times New Roman" w:hAnsi="Franklin Gothic Book"/>
          <w:sz w:val="21"/>
        </w:rPr>
        <w:t xml:space="preserve">performance benchmarks </w:t>
      </w:r>
      <w:r>
        <w:rPr>
          <w:rFonts w:ascii="Franklin Gothic Book" w:eastAsia="Times New Roman" w:hAnsi="Franklin Gothic Book"/>
          <w:sz w:val="21"/>
        </w:rPr>
        <w:t>in 201</w:t>
      </w:r>
      <w:r w:rsidR="00580A64">
        <w:rPr>
          <w:rFonts w:ascii="Franklin Gothic Book" w:eastAsia="Times New Roman" w:hAnsi="Franklin Gothic Book"/>
          <w:sz w:val="21"/>
        </w:rPr>
        <w:t>7</w:t>
      </w:r>
      <w:r>
        <w:rPr>
          <w:rFonts w:ascii="Franklin Gothic Book" w:eastAsia="Times New Roman" w:hAnsi="Franklin Gothic Book"/>
          <w:sz w:val="21"/>
        </w:rPr>
        <w:t>-1</w:t>
      </w:r>
      <w:r w:rsidR="00580A64">
        <w:rPr>
          <w:rFonts w:ascii="Franklin Gothic Book" w:eastAsia="Times New Roman" w:hAnsi="Franklin Gothic Book"/>
          <w:sz w:val="21"/>
        </w:rPr>
        <w:t>8</w:t>
      </w:r>
      <w:r>
        <w:rPr>
          <w:rFonts w:ascii="Franklin Gothic Book" w:eastAsia="Times New Roman" w:hAnsi="Franklin Gothic Book"/>
          <w:sz w:val="21"/>
        </w:rPr>
        <w:t xml:space="preserve"> should also be included as part of the text assessing progress against individual program objectives in the main body of the APPR.</w:t>
      </w:r>
    </w:p>
    <w:tbl>
      <w:tblPr>
        <w:tblStyle w:val="DFATTable"/>
        <w:tblW w:w="5002" w:type="pct"/>
        <w:tblLook w:val="04A0" w:firstRow="1" w:lastRow="0" w:firstColumn="1" w:lastColumn="0" w:noHBand="0" w:noVBand="1"/>
      </w:tblPr>
      <w:tblGrid>
        <w:gridCol w:w="2125"/>
        <w:gridCol w:w="3404"/>
        <w:gridCol w:w="1272"/>
        <w:gridCol w:w="7240"/>
      </w:tblGrid>
      <w:tr w:rsidR="00184F1E" w:rsidRPr="00C61187" w14:paraId="2BF4929B" w14:textId="77777777" w:rsidTr="006D4B72">
        <w:trPr>
          <w:tblHeader/>
        </w:trPr>
        <w:tc>
          <w:tcPr>
            <w:tcW w:w="757" w:type="pct"/>
            <w:tcMar>
              <w:top w:w="57" w:type="dxa"/>
              <w:bottom w:w="57" w:type="dxa"/>
            </w:tcMar>
          </w:tcPr>
          <w:p w14:paraId="01CDC55B" w14:textId="77777777" w:rsidR="00184F1E" w:rsidRPr="00880004" w:rsidRDefault="00184F1E" w:rsidP="00EA2A43">
            <w:pPr>
              <w:keepLines/>
              <w:spacing w:before="80" w:after="80" w:line="200" w:lineRule="atLeast"/>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Aid objective</w:t>
            </w:r>
          </w:p>
        </w:tc>
        <w:tc>
          <w:tcPr>
            <w:tcW w:w="1212" w:type="pct"/>
          </w:tcPr>
          <w:p w14:paraId="4E18EDD4" w14:textId="77777777" w:rsidR="00184F1E" w:rsidRPr="00880004" w:rsidRDefault="00184F1E" w:rsidP="00EA2A43">
            <w:pPr>
              <w:keepLines/>
              <w:spacing w:before="80" w:after="80" w:line="200" w:lineRule="atLeast"/>
              <w:rPr>
                <w:rFonts w:asciiTheme="minorHAnsi" w:eastAsia="Times New Roman" w:hAnsiTheme="minorHAnsi"/>
                <w:b/>
                <w:iCs/>
                <w:szCs w:val="17"/>
                <w:lang w:eastAsia="en-US"/>
              </w:rPr>
            </w:pPr>
            <w:r>
              <w:rPr>
                <w:rFonts w:asciiTheme="minorHAnsi" w:eastAsia="Times New Roman" w:hAnsiTheme="minorHAnsi"/>
                <w:b/>
                <w:iCs/>
                <w:szCs w:val="17"/>
                <w:lang w:eastAsia="en-US"/>
              </w:rPr>
              <w:t>Performance B</w:t>
            </w:r>
            <w:r w:rsidRPr="00880004">
              <w:rPr>
                <w:rFonts w:asciiTheme="minorHAnsi" w:eastAsia="Times New Roman" w:hAnsiTheme="minorHAnsi"/>
                <w:b/>
                <w:iCs/>
                <w:szCs w:val="17"/>
                <w:lang w:eastAsia="en-US"/>
              </w:rPr>
              <w:t xml:space="preserve">enchmark </w:t>
            </w:r>
          </w:p>
        </w:tc>
        <w:tc>
          <w:tcPr>
            <w:tcW w:w="453" w:type="pct"/>
          </w:tcPr>
          <w:p w14:paraId="2D68B995" w14:textId="77777777" w:rsidR="00184F1E" w:rsidRPr="00880004" w:rsidRDefault="00184F1E" w:rsidP="00EA2A43">
            <w:pPr>
              <w:keepLines/>
              <w:spacing w:before="80" w:after="80" w:line="200" w:lineRule="atLeast"/>
              <w:jc w:val="center"/>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Rating</w:t>
            </w:r>
          </w:p>
        </w:tc>
        <w:tc>
          <w:tcPr>
            <w:tcW w:w="2578" w:type="pct"/>
          </w:tcPr>
          <w:p w14:paraId="25A45243" w14:textId="77777777" w:rsidR="00184F1E" w:rsidRPr="00880004" w:rsidRDefault="00184F1E" w:rsidP="00580A64">
            <w:pPr>
              <w:keepLines/>
              <w:spacing w:before="80" w:after="80" w:line="200" w:lineRule="atLeast"/>
              <w:jc w:val="center"/>
              <w:rPr>
                <w:rFonts w:asciiTheme="minorHAnsi" w:eastAsia="Times New Roman" w:hAnsiTheme="minorHAnsi"/>
                <w:b/>
                <w:iCs/>
                <w:szCs w:val="17"/>
                <w:lang w:eastAsia="en-US"/>
              </w:rPr>
            </w:pPr>
            <w:r w:rsidRPr="00880004">
              <w:rPr>
                <w:rFonts w:asciiTheme="minorHAnsi" w:eastAsia="Times New Roman" w:hAnsiTheme="minorHAnsi"/>
                <w:b/>
                <w:iCs/>
                <w:szCs w:val="17"/>
                <w:lang w:eastAsia="en-US"/>
              </w:rPr>
              <w:t>Progress in 201</w:t>
            </w:r>
            <w:r w:rsidR="00580A64">
              <w:rPr>
                <w:rFonts w:asciiTheme="minorHAnsi" w:eastAsia="Times New Roman" w:hAnsiTheme="minorHAnsi"/>
                <w:b/>
                <w:iCs/>
                <w:szCs w:val="17"/>
                <w:lang w:eastAsia="en-US"/>
              </w:rPr>
              <w:t>7</w:t>
            </w:r>
            <w:r w:rsidRPr="00880004">
              <w:rPr>
                <w:rFonts w:asciiTheme="minorHAnsi" w:eastAsia="Times New Roman" w:hAnsiTheme="minorHAnsi"/>
                <w:b/>
                <w:iCs/>
                <w:szCs w:val="17"/>
                <w:lang w:eastAsia="en-US"/>
              </w:rPr>
              <w:t>-1</w:t>
            </w:r>
            <w:r w:rsidR="00580A64">
              <w:rPr>
                <w:rFonts w:asciiTheme="minorHAnsi" w:eastAsia="Times New Roman" w:hAnsiTheme="minorHAnsi"/>
                <w:b/>
                <w:iCs/>
                <w:szCs w:val="17"/>
                <w:lang w:eastAsia="en-US"/>
              </w:rPr>
              <w:t>8</w:t>
            </w:r>
          </w:p>
        </w:tc>
      </w:tr>
      <w:tr w:rsidR="00184F1E" w:rsidRPr="00C61187" w14:paraId="2056C9C1" w14:textId="77777777" w:rsidTr="006D4B72">
        <w:tc>
          <w:tcPr>
            <w:tcW w:w="757" w:type="pct"/>
            <w:tcMar>
              <w:top w:w="57" w:type="dxa"/>
              <w:bottom w:w="57" w:type="dxa"/>
            </w:tcMar>
          </w:tcPr>
          <w:p w14:paraId="60A91BF9" w14:textId="77777777" w:rsidR="00184F1E" w:rsidRPr="00996D10" w:rsidRDefault="006D4B72" w:rsidP="00EA2A43">
            <w:pPr>
              <w:keepLines/>
              <w:spacing w:before="40" w:after="40" w:line="200" w:lineRule="atLeast"/>
              <w:rPr>
                <w:rFonts w:ascii="Franklin Gothic Book" w:eastAsia="Times New Roman" w:hAnsi="Franklin Gothic Book"/>
                <w:iCs/>
                <w:szCs w:val="17"/>
                <w:lang w:eastAsia="en-US"/>
              </w:rPr>
            </w:pPr>
            <w:r w:rsidRPr="00996D10">
              <w:rPr>
                <w:rFonts w:ascii="Franklin Gothic Book" w:eastAsia="Times New Roman" w:hAnsi="Franklin Gothic Book"/>
                <w:iCs/>
                <w:szCs w:val="17"/>
                <w:lang w:eastAsia="en-US"/>
              </w:rPr>
              <w:t>Improved public financial management and a more competitive agricultural economy in the PTs</w:t>
            </w:r>
          </w:p>
        </w:tc>
        <w:tc>
          <w:tcPr>
            <w:tcW w:w="1212" w:type="pct"/>
          </w:tcPr>
          <w:p w14:paraId="52A30D3A" w14:textId="161B8971" w:rsidR="006D4B72" w:rsidRDefault="006D4B72" w:rsidP="006D4B72">
            <w:pPr>
              <w:pStyle w:val="ListParagraph"/>
              <w:keepLines/>
              <w:numPr>
                <w:ilvl w:val="0"/>
                <w:numId w:val="39"/>
              </w:numPr>
              <w:spacing w:before="40" w:after="40" w:line="200" w:lineRule="atLeast"/>
              <w:jc w:val="both"/>
              <w:rPr>
                <w:rFonts w:ascii="Franklin Gothic Book" w:eastAsia="Times New Roman" w:hAnsi="Franklin Gothic Book"/>
                <w:iCs/>
                <w:szCs w:val="17"/>
                <w:lang w:eastAsia="en-US"/>
              </w:rPr>
            </w:pPr>
            <w:r w:rsidRPr="00996D10">
              <w:rPr>
                <w:rFonts w:ascii="Franklin Gothic Book" w:eastAsia="Times New Roman" w:hAnsi="Franklin Gothic Book"/>
                <w:iCs/>
                <w:szCs w:val="17"/>
                <w:lang w:eastAsia="en-US"/>
              </w:rPr>
              <w:t xml:space="preserve">The stock of income tax debt </w:t>
            </w:r>
            <w:r w:rsidR="00996D10">
              <w:rPr>
                <w:rFonts w:ascii="Franklin Gothic Book" w:eastAsia="Times New Roman" w:hAnsi="Franklin Gothic Book"/>
                <w:iCs/>
                <w:szCs w:val="17"/>
                <w:lang w:eastAsia="en-US"/>
              </w:rPr>
              <w:t xml:space="preserve">is </w:t>
            </w:r>
            <w:r w:rsidR="00BB3CE7" w:rsidRPr="00996D10">
              <w:rPr>
                <w:rFonts w:ascii="Franklin Gothic Book" w:eastAsia="Times New Roman" w:hAnsi="Franklin Gothic Book"/>
                <w:iCs/>
                <w:szCs w:val="17"/>
                <w:lang w:eastAsia="en-US"/>
              </w:rPr>
              <w:t>lower in 2017 than it was in October 2016</w:t>
            </w:r>
            <w:r w:rsidRPr="00996D10">
              <w:rPr>
                <w:rFonts w:ascii="Franklin Gothic Book" w:eastAsia="Times New Roman" w:hAnsi="Franklin Gothic Book"/>
                <w:iCs/>
                <w:szCs w:val="17"/>
                <w:lang w:eastAsia="en-US"/>
              </w:rPr>
              <w:t>.</w:t>
            </w:r>
          </w:p>
          <w:p w14:paraId="39746132" w14:textId="77777777" w:rsidR="003D03ED" w:rsidRPr="00996D10" w:rsidRDefault="003D03ED" w:rsidP="003D03ED">
            <w:pPr>
              <w:pStyle w:val="ListParagraph"/>
              <w:keepLines/>
              <w:spacing w:before="40" w:after="40" w:line="200" w:lineRule="atLeast"/>
              <w:ind w:left="360"/>
              <w:jc w:val="both"/>
              <w:rPr>
                <w:rFonts w:ascii="Franklin Gothic Book" w:eastAsia="Times New Roman" w:hAnsi="Franklin Gothic Book"/>
                <w:iCs/>
                <w:szCs w:val="17"/>
                <w:lang w:eastAsia="en-US"/>
              </w:rPr>
            </w:pPr>
          </w:p>
          <w:p w14:paraId="543F47E1" w14:textId="15A0355F" w:rsidR="00184F1E" w:rsidRPr="00996D10" w:rsidRDefault="006D4B72" w:rsidP="00996D10">
            <w:pPr>
              <w:pStyle w:val="ListParagraph"/>
              <w:keepLines/>
              <w:numPr>
                <w:ilvl w:val="0"/>
                <w:numId w:val="39"/>
              </w:numPr>
              <w:spacing w:before="40" w:after="40" w:line="200" w:lineRule="atLeast"/>
              <w:rPr>
                <w:rFonts w:ascii="Franklin Gothic Book" w:eastAsia="Times New Roman" w:hAnsi="Franklin Gothic Book"/>
                <w:iCs/>
                <w:szCs w:val="17"/>
                <w:lang w:eastAsia="en-US"/>
              </w:rPr>
            </w:pPr>
            <w:r w:rsidRPr="00996D10">
              <w:rPr>
                <w:rFonts w:ascii="Franklin Gothic Book" w:eastAsia="Times New Roman" w:hAnsi="Franklin Gothic Book"/>
                <w:iCs/>
                <w:szCs w:val="17"/>
                <w:lang w:eastAsia="en-US"/>
              </w:rPr>
              <w:t>Farmers report increased</w:t>
            </w:r>
            <w:r w:rsidR="00996D10">
              <w:rPr>
                <w:rFonts w:ascii="Franklin Gothic Book" w:eastAsia="Times New Roman" w:hAnsi="Franklin Gothic Book"/>
                <w:iCs/>
                <w:szCs w:val="17"/>
                <w:lang w:eastAsia="en-US"/>
              </w:rPr>
              <w:t xml:space="preserve"> income from better functioning value chains supported by AMENCA 3.</w:t>
            </w:r>
          </w:p>
        </w:tc>
        <w:tc>
          <w:tcPr>
            <w:tcW w:w="453" w:type="pct"/>
            <w:shd w:val="clear" w:color="auto" w:fill="92D050"/>
          </w:tcPr>
          <w:p w14:paraId="1AB56C77" w14:textId="77777777" w:rsidR="00184F1E" w:rsidRPr="00880004" w:rsidRDefault="00184F1E" w:rsidP="00EA2A43">
            <w:pPr>
              <w:keepLines/>
              <w:spacing w:before="40" w:after="40" w:line="200" w:lineRule="atLeast"/>
              <w:jc w:val="center"/>
              <w:rPr>
                <w:rFonts w:asciiTheme="minorHAnsi" w:eastAsia="Times New Roman" w:hAnsiTheme="minorHAnsi"/>
                <w:iCs/>
                <w:color w:val="FFFFFF" w:themeColor="background1"/>
                <w:szCs w:val="17"/>
                <w:lang w:eastAsia="en-US"/>
              </w:rPr>
            </w:pPr>
            <w:r w:rsidRPr="00880004">
              <w:rPr>
                <w:rFonts w:asciiTheme="minorHAnsi" w:eastAsia="Times New Roman" w:hAnsiTheme="minorHAnsi"/>
                <w:iCs/>
                <w:color w:val="FFFFFF" w:themeColor="background1"/>
                <w:szCs w:val="17"/>
                <w:lang w:eastAsia="en-US"/>
              </w:rPr>
              <w:t>Achieved</w:t>
            </w:r>
          </w:p>
        </w:tc>
        <w:tc>
          <w:tcPr>
            <w:tcW w:w="2578" w:type="pct"/>
          </w:tcPr>
          <w:p w14:paraId="3D0ED005" w14:textId="1FC95EAF" w:rsidR="00144E92" w:rsidRPr="00144E92" w:rsidRDefault="00FA335C" w:rsidP="009D46D1">
            <w:pPr>
              <w:pStyle w:val="TableTextEntries"/>
              <w:keepNext/>
              <w:numPr>
                <w:ilvl w:val="0"/>
                <w:numId w:val="42"/>
              </w:numPr>
              <w:rPr>
                <w:rFonts w:asciiTheme="minorHAnsi" w:hAnsiTheme="minorHAnsi"/>
                <w:iCs w:val="0"/>
                <w:lang w:eastAsia="en-US"/>
              </w:rPr>
            </w:pPr>
            <w:r>
              <w:t>The</w:t>
            </w:r>
            <w:r w:rsidR="00C76C42">
              <w:t xml:space="preserve"> total </w:t>
            </w:r>
            <w:r w:rsidR="00996D10">
              <w:t xml:space="preserve">PTs </w:t>
            </w:r>
            <w:r w:rsidR="00C76C42">
              <w:t xml:space="preserve">deficit stood at 7.7 percent of GDP in 2017 – down </w:t>
            </w:r>
            <w:r w:rsidR="00996D10">
              <w:t xml:space="preserve">slightly </w:t>
            </w:r>
            <w:r w:rsidR="00C76C42">
              <w:t>from 8 percent in 2016</w:t>
            </w:r>
            <w:r w:rsidR="00F36534">
              <w:t xml:space="preserve"> (and 30 per cent in 2006)</w:t>
            </w:r>
            <w:r w:rsidR="00144E92">
              <w:t xml:space="preserve"> due to </w:t>
            </w:r>
            <w:r w:rsidR="00996D10">
              <w:t>an increase</w:t>
            </w:r>
            <w:r w:rsidR="00144E92">
              <w:t xml:space="preserve"> in </w:t>
            </w:r>
            <w:r w:rsidR="00996D10">
              <w:t>tax receipts resulting from</w:t>
            </w:r>
            <w:r>
              <w:t xml:space="preserve"> PA reform eff</w:t>
            </w:r>
            <w:r w:rsidR="00996D10">
              <w:t>orts including expenditure reductions.</w:t>
            </w:r>
          </w:p>
          <w:p w14:paraId="7C4F31E5" w14:textId="074EBA3E" w:rsidR="000C5866" w:rsidRPr="009D46D1" w:rsidRDefault="00144E92" w:rsidP="009D46D1">
            <w:pPr>
              <w:pStyle w:val="TableTextEntries"/>
              <w:keepNext/>
              <w:numPr>
                <w:ilvl w:val="0"/>
                <w:numId w:val="42"/>
              </w:numPr>
              <w:rPr>
                <w:rFonts w:asciiTheme="minorHAnsi" w:hAnsiTheme="minorHAnsi"/>
                <w:iCs w:val="0"/>
                <w:lang w:eastAsia="en-US"/>
              </w:rPr>
            </w:pPr>
            <w:r>
              <w:rPr>
                <w:iCs w:val="0"/>
                <w:lang w:eastAsia="en-US"/>
              </w:rPr>
              <w:t>1</w:t>
            </w:r>
            <w:r w:rsidR="000C5866" w:rsidRPr="009D46D1">
              <w:rPr>
                <w:iCs w:val="0"/>
                <w:lang w:eastAsia="en-US"/>
              </w:rPr>
              <w:t>,</w:t>
            </w:r>
            <w:r w:rsidR="00F36534">
              <w:rPr>
                <w:iCs w:val="0"/>
                <w:lang w:eastAsia="en-US"/>
              </w:rPr>
              <w:t>111 farmers</w:t>
            </w:r>
            <w:r w:rsidR="000C5866" w:rsidRPr="009D46D1">
              <w:rPr>
                <w:iCs w:val="0"/>
                <w:lang w:eastAsia="en-US"/>
              </w:rPr>
              <w:t xml:space="preserve"> adopt</w:t>
            </w:r>
            <w:r w:rsidR="000C5866" w:rsidRPr="000C5866">
              <w:rPr>
                <w:iCs w:val="0"/>
                <w:lang w:eastAsia="en-US"/>
              </w:rPr>
              <w:t>ed</w:t>
            </w:r>
            <w:r w:rsidR="000C5866" w:rsidRPr="009D46D1">
              <w:rPr>
                <w:iCs w:val="0"/>
                <w:lang w:eastAsia="en-US"/>
              </w:rPr>
              <w:t xml:space="preserve"> </w:t>
            </w:r>
            <w:r w:rsidR="00C13225" w:rsidRPr="009D46D1">
              <w:rPr>
                <w:iCs w:val="0"/>
                <w:lang w:eastAsia="en-US"/>
              </w:rPr>
              <w:t>innovations</w:t>
            </w:r>
            <w:r w:rsidR="000C5866" w:rsidRPr="009D46D1">
              <w:rPr>
                <w:iCs w:val="0"/>
                <w:lang w:eastAsia="en-US"/>
              </w:rPr>
              <w:t xml:space="preserve"> in </w:t>
            </w:r>
            <w:r w:rsidR="00C13225" w:rsidRPr="009D46D1">
              <w:rPr>
                <w:iCs w:val="0"/>
                <w:lang w:eastAsia="en-US"/>
              </w:rPr>
              <w:t>agriculture, which</w:t>
            </w:r>
            <w:r w:rsidR="000C5866" w:rsidRPr="009D46D1">
              <w:rPr>
                <w:iCs w:val="0"/>
                <w:lang w:eastAsia="en-US"/>
              </w:rPr>
              <w:t xml:space="preserve"> increased yields and profits. The construction of farm roads reduced transportation costs and increased profitability with 2,071 farmers reporting increased incomes, and 1,094 women and 777 youth reporting </w:t>
            </w:r>
            <w:r w:rsidR="00D503DB">
              <w:rPr>
                <w:iCs w:val="0"/>
                <w:lang w:eastAsia="en-US"/>
              </w:rPr>
              <w:t>examples of economic empowerment.</w:t>
            </w:r>
          </w:p>
          <w:p w14:paraId="053A157B" w14:textId="77777777" w:rsidR="00713FFC" w:rsidRPr="00880004" w:rsidRDefault="00713FFC" w:rsidP="000C5866">
            <w:pPr>
              <w:pStyle w:val="TableTextEntries"/>
              <w:keepNext/>
              <w:rPr>
                <w:rFonts w:asciiTheme="minorHAnsi" w:hAnsiTheme="minorHAnsi"/>
                <w:iCs w:val="0"/>
                <w:lang w:eastAsia="en-US"/>
              </w:rPr>
            </w:pPr>
          </w:p>
        </w:tc>
      </w:tr>
      <w:tr w:rsidR="00184F1E" w:rsidRPr="00C61187" w14:paraId="0021DD68" w14:textId="77777777" w:rsidTr="00F60B09">
        <w:tc>
          <w:tcPr>
            <w:tcW w:w="757" w:type="pct"/>
            <w:tcMar>
              <w:top w:w="57" w:type="dxa"/>
              <w:bottom w:w="57" w:type="dxa"/>
            </w:tcMar>
          </w:tcPr>
          <w:p w14:paraId="3C86C230" w14:textId="77777777" w:rsidR="00184F1E" w:rsidRPr="00996D10" w:rsidRDefault="006D4B72" w:rsidP="00EA2A43">
            <w:pPr>
              <w:keepLines/>
              <w:spacing w:before="40" w:after="40" w:line="200" w:lineRule="atLeast"/>
              <w:rPr>
                <w:rFonts w:ascii="Franklin Gothic Book" w:eastAsia="Times New Roman" w:hAnsi="Franklin Gothic Book"/>
                <w:iCs/>
                <w:szCs w:val="17"/>
                <w:lang w:eastAsia="en-US"/>
              </w:rPr>
            </w:pPr>
            <w:r w:rsidRPr="00996D10">
              <w:rPr>
                <w:rFonts w:ascii="Franklin Gothic Book" w:eastAsia="Times New Roman" w:hAnsi="Franklin Gothic Book"/>
                <w:iCs/>
                <w:szCs w:val="17"/>
                <w:lang w:eastAsia="en-US"/>
              </w:rPr>
              <w:t>Palestinian refugees in the PTs and across the region are able to access quality basic services</w:t>
            </w:r>
          </w:p>
        </w:tc>
        <w:tc>
          <w:tcPr>
            <w:tcW w:w="1212" w:type="pct"/>
          </w:tcPr>
          <w:p w14:paraId="397C573B" w14:textId="7AD7C82B" w:rsidR="00996D10" w:rsidRDefault="00996D10" w:rsidP="00996D10">
            <w:pPr>
              <w:pStyle w:val="ListParagraph"/>
              <w:keepLines/>
              <w:numPr>
                <w:ilvl w:val="0"/>
                <w:numId w:val="40"/>
              </w:numPr>
              <w:spacing w:before="40" w:after="40" w:line="200" w:lineRule="atLeast"/>
              <w:rPr>
                <w:rFonts w:ascii="Franklin Gothic Book" w:eastAsia="Times New Roman" w:hAnsi="Franklin Gothic Book"/>
                <w:iCs/>
                <w:szCs w:val="17"/>
                <w:lang w:eastAsia="en-US"/>
              </w:rPr>
            </w:pPr>
            <w:r>
              <w:rPr>
                <w:rFonts w:ascii="Franklin Gothic Book" w:eastAsia="Times New Roman" w:hAnsi="Franklin Gothic Book"/>
                <w:iCs/>
                <w:szCs w:val="17"/>
                <w:lang w:eastAsia="en-US"/>
              </w:rPr>
              <w:t xml:space="preserve">Benchmarks relating to student </w:t>
            </w:r>
            <w:r w:rsidR="00CA7C01">
              <w:rPr>
                <w:rFonts w:ascii="Franklin Gothic Book" w:eastAsia="Times New Roman" w:hAnsi="Franklin Gothic Book"/>
                <w:iCs/>
                <w:szCs w:val="17"/>
                <w:lang w:eastAsia="en-US"/>
              </w:rPr>
              <w:t>achievement</w:t>
            </w:r>
            <w:r>
              <w:rPr>
                <w:rFonts w:ascii="Franklin Gothic Book" w:eastAsia="Times New Roman" w:hAnsi="Franklin Gothic Book"/>
                <w:iCs/>
                <w:szCs w:val="17"/>
                <w:lang w:eastAsia="en-US"/>
              </w:rPr>
              <w:t xml:space="preserve"> in mathematics </w:t>
            </w:r>
            <w:r w:rsidR="003D03ED">
              <w:rPr>
                <w:rFonts w:ascii="Franklin Gothic Book" w:eastAsia="Times New Roman" w:hAnsi="Franklin Gothic Book"/>
                <w:iCs/>
                <w:szCs w:val="17"/>
                <w:lang w:eastAsia="en-US"/>
              </w:rPr>
              <w:t xml:space="preserve">in UNRWA schools </w:t>
            </w:r>
            <w:r>
              <w:rPr>
                <w:rFonts w:ascii="Franklin Gothic Book" w:eastAsia="Times New Roman" w:hAnsi="Franklin Gothic Book"/>
                <w:iCs/>
                <w:szCs w:val="17"/>
                <w:lang w:eastAsia="en-US"/>
              </w:rPr>
              <w:t xml:space="preserve">were set (and measured) in the 2016-17 APPR.  However as UNRWA only measures these in a </w:t>
            </w:r>
            <w:r w:rsidR="00BB3CE7" w:rsidRPr="00996D10">
              <w:rPr>
                <w:rFonts w:ascii="Franklin Gothic Book" w:eastAsia="Times New Roman" w:hAnsi="Franklin Gothic Book"/>
                <w:iCs/>
                <w:szCs w:val="17"/>
                <w:lang w:eastAsia="en-US"/>
              </w:rPr>
              <w:t>stan</w:t>
            </w:r>
            <w:r>
              <w:rPr>
                <w:rFonts w:ascii="Franklin Gothic Book" w:eastAsia="Times New Roman" w:hAnsi="Franklin Gothic Book"/>
                <w:iCs/>
                <w:szCs w:val="17"/>
                <w:lang w:eastAsia="en-US"/>
              </w:rPr>
              <w:t>dardised manner</w:t>
            </w:r>
            <w:r w:rsidR="00CE5CA7" w:rsidRPr="00996D10">
              <w:rPr>
                <w:rFonts w:ascii="Franklin Gothic Book" w:eastAsia="Times New Roman" w:hAnsi="Franklin Gothic Book"/>
                <w:iCs/>
                <w:szCs w:val="17"/>
                <w:lang w:eastAsia="en-US"/>
              </w:rPr>
              <w:t xml:space="preserve"> every</w:t>
            </w:r>
            <w:r w:rsidRPr="00996D10">
              <w:rPr>
                <w:rFonts w:ascii="Franklin Gothic Book" w:eastAsia="Times New Roman" w:hAnsi="Franklin Gothic Book"/>
                <w:iCs/>
                <w:szCs w:val="17"/>
                <w:lang w:eastAsia="en-US"/>
              </w:rPr>
              <w:t xml:space="preserve"> three years,</w:t>
            </w:r>
            <w:r>
              <w:rPr>
                <w:rFonts w:ascii="Franklin Gothic Book" w:eastAsia="Times New Roman" w:hAnsi="Franklin Gothic Book"/>
                <w:iCs/>
                <w:szCs w:val="17"/>
                <w:lang w:eastAsia="en-US"/>
              </w:rPr>
              <w:t xml:space="preserve"> we have selected another indicator for this </w:t>
            </w:r>
            <w:r w:rsidR="003D03ED">
              <w:rPr>
                <w:rFonts w:ascii="Franklin Gothic Book" w:eastAsia="Times New Roman" w:hAnsi="Franklin Gothic Book"/>
                <w:iCs/>
                <w:szCs w:val="17"/>
                <w:lang w:eastAsia="en-US"/>
              </w:rPr>
              <w:t xml:space="preserve">year’s </w:t>
            </w:r>
            <w:r>
              <w:rPr>
                <w:rFonts w:ascii="Franklin Gothic Book" w:eastAsia="Times New Roman" w:hAnsi="Franklin Gothic Book"/>
                <w:iCs/>
                <w:szCs w:val="17"/>
                <w:lang w:eastAsia="en-US"/>
              </w:rPr>
              <w:t>APPR.</w:t>
            </w:r>
          </w:p>
          <w:p w14:paraId="295DA53F" w14:textId="2AFBBA01" w:rsidR="00F05BF0" w:rsidRPr="003D03ED" w:rsidRDefault="00F05BF0" w:rsidP="003D03ED">
            <w:pPr>
              <w:keepLines/>
              <w:spacing w:before="40" w:after="40" w:line="200" w:lineRule="atLeast"/>
              <w:rPr>
                <w:rFonts w:ascii="Franklin Gothic Book" w:eastAsia="Times New Roman" w:hAnsi="Franklin Gothic Book"/>
                <w:iCs/>
                <w:szCs w:val="17"/>
                <w:lang w:eastAsia="en-US"/>
              </w:rPr>
            </w:pPr>
          </w:p>
          <w:p w14:paraId="08992AA5" w14:textId="59F8A710" w:rsidR="00184F1E" w:rsidRPr="00052AE2" w:rsidRDefault="00BB3CE7" w:rsidP="00052AE2">
            <w:pPr>
              <w:pStyle w:val="ListParagraph"/>
              <w:keepLines/>
              <w:numPr>
                <w:ilvl w:val="0"/>
                <w:numId w:val="40"/>
              </w:numPr>
              <w:spacing w:before="40" w:after="40" w:line="200" w:lineRule="atLeast"/>
              <w:rPr>
                <w:rFonts w:ascii="Franklin Gothic Book" w:eastAsia="Times New Roman" w:hAnsi="Franklin Gothic Book"/>
                <w:iCs/>
                <w:szCs w:val="17"/>
                <w:lang w:eastAsia="en-US"/>
              </w:rPr>
            </w:pPr>
            <w:r w:rsidRPr="00996D10">
              <w:rPr>
                <w:rFonts w:ascii="Franklin Gothic Book" w:eastAsia="Times New Roman" w:hAnsi="Franklin Gothic Book"/>
                <w:iCs/>
                <w:szCs w:val="17"/>
                <w:lang w:eastAsia="en-US"/>
              </w:rPr>
              <w:t>A redu</w:t>
            </w:r>
            <w:r w:rsidR="003D03ED">
              <w:rPr>
                <w:rFonts w:ascii="Franklin Gothic Book" w:eastAsia="Times New Roman" w:hAnsi="Franklin Gothic Book"/>
                <w:iCs/>
                <w:szCs w:val="17"/>
                <w:lang w:eastAsia="en-US"/>
              </w:rPr>
              <w:t xml:space="preserve">ction from the 2017 outcome of </w:t>
            </w:r>
            <w:r w:rsidRPr="00996D10">
              <w:rPr>
                <w:rFonts w:ascii="Franklin Gothic Book" w:eastAsia="Times New Roman" w:hAnsi="Franklin Gothic Book"/>
                <w:iCs/>
                <w:szCs w:val="17"/>
                <w:lang w:eastAsia="en-US"/>
              </w:rPr>
              <w:t>ave</w:t>
            </w:r>
            <w:r w:rsidR="003D03ED">
              <w:rPr>
                <w:rFonts w:ascii="Franklin Gothic Book" w:eastAsia="Times New Roman" w:hAnsi="Franklin Gothic Book"/>
                <w:iCs/>
                <w:szCs w:val="17"/>
                <w:lang w:eastAsia="en-US"/>
              </w:rPr>
              <w:t>rage daily medical consultations from UNRWA health clinics (inferring improved quality consultations rather than a higher volume) as well as better preventative health measures.</w:t>
            </w:r>
          </w:p>
        </w:tc>
        <w:tc>
          <w:tcPr>
            <w:tcW w:w="453" w:type="pct"/>
            <w:shd w:val="clear" w:color="auto" w:fill="92D050"/>
          </w:tcPr>
          <w:p w14:paraId="7705BDBA" w14:textId="6E165045" w:rsidR="00184F1E" w:rsidRPr="00880004" w:rsidRDefault="00A03D71" w:rsidP="00EA2A43">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color w:val="FFFFFF" w:themeColor="background1"/>
                <w:szCs w:val="17"/>
                <w:lang w:eastAsia="en-US"/>
              </w:rPr>
              <w:t>A</w:t>
            </w:r>
            <w:r w:rsidR="00184F1E" w:rsidRPr="00880004">
              <w:rPr>
                <w:rFonts w:asciiTheme="minorHAnsi" w:eastAsia="Times New Roman" w:hAnsiTheme="minorHAnsi"/>
                <w:iCs/>
                <w:color w:val="FFFFFF" w:themeColor="background1"/>
                <w:szCs w:val="17"/>
                <w:lang w:eastAsia="en-US"/>
              </w:rPr>
              <w:t>chieved</w:t>
            </w:r>
          </w:p>
        </w:tc>
        <w:tc>
          <w:tcPr>
            <w:tcW w:w="2578" w:type="pct"/>
          </w:tcPr>
          <w:p w14:paraId="324C74D8" w14:textId="7D9C394C" w:rsidR="006D4B72" w:rsidRDefault="003D03ED" w:rsidP="00A03D71">
            <w:pPr>
              <w:pStyle w:val="TableTextEntries"/>
              <w:keepNext/>
              <w:numPr>
                <w:ilvl w:val="0"/>
                <w:numId w:val="46"/>
              </w:numPr>
              <w:rPr>
                <w:iCs w:val="0"/>
                <w:lang w:eastAsia="en-US"/>
              </w:rPr>
            </w:pPr>
            <w:r>
              <w:rPr>
                <w:iCs w:val="0"/>
                <w:lang w:eastAsia="en-US"/>
              </w:rPr>
              <w:t xml:space="preserve">UNRWA achieved a </w:t>
            </w:r>
            <w:r w:rsidR="00A458CE" w:rsidRPr="00F05BF0">
              <w:rPr>
                <w:iCs w:val="0"/>
                <w:lang w:eastAsia="en-US"/>
              </w:rPr>
              <w:t>de</w:t>
            </w:r>
            <w:r>
              <w:rPr>
                <w:iCs w:val="0"/>
                <w:lang w:eastAsia="en-US"/>
              </w:rPr>
              <w:t xml:space="preserve">crease in student </w:t>
            </w:r>
            <w:proofErr w:type="gramStart"/>
            <w:r>
              <w:rPr>
                <w:iCs w:val="0"/>
                <w:lang w:eastAsia="en-US"/>
              </w:rPr>
              <w:t>drop-out</w:t>
            </w:r>
            <w:proofErr w:type="gramEnd"/>
            <w:r>
              <w:rPr>
                <w:iCs w:val="0"/>
                <w:lang w:eastAsia="en-US"/>
              </w:rPr>
              <w:t xml:space="preserve"> rates in its schools in 2017, demonstrating that its </w:t>
            </w:r>
            <w:r w:rsidR="00CB5ABD">
              <w:rPr>
                <w:iCs w:val="0"/>
                <w:lang w:eastAsia="en-US"/>
              </w:rPr>
              <w:t>strategy of identifying warning signs before students leave school prematurely is resulting in improved educational outcomes</w:t>
            </w:r>
            <w:r w:rsidR="00052AE2">
              <w:rPr>
                <w:iCs w:val="0"/>
                <w:lang w:eastAsia="en-US"/>
              </w:rPr>
              <w:t>.</w:t>
            </w:r>
          </w:p>
          <w:p w14:paraId="59D4B2D4" w14:textId="4FDD5C69" w:rsidR="00723635" w:rsidRDefault="00723635" w:rsidP="00723635">
            <w:pPr>
              <w:pStyle w:val="TableTextEntries"/>
              <w:keepNext/>
              <w:ind w:left="360"/>
              <w:rPr>
                <w:iCs w:val="0"/>
                <w:lang w:eastAsia="en-US"/>
              </w:rPr>
            </w:pPr>
          </w:p>
          <w:p w14:paraId="7A2F0979" w14:textId="798B6548" w:rsidR="00723635" w:rsidRDefault="00723635" w:rsidP="00723635">
            <w:pPr>
              <w:pStyle w:val="TableTextEntries"/>
              <w:keepNext/>
              <w:ind w:left="360"/>
              <w:rPr>
                <w:iCs w:val="0"/>
                <w:lang w:eastAsia="en-US"/>
              </w:rPr>
            </w:pPr>
          </w:p>
          <w:p w14:paraId="73B984F2" w14:textId="2F2E399E" w:rsidR="00723635" w:rsidRDefault="00723635" w:rsidP="00723635">
            <w:pPr>
              <w:pStyle w:val="TableTextEntries"/>
              <w:keepNext/>
              <w:ind w:left="360"/>
              <w:rPr>
                <w:iCs w:val="0"/>
                <w:lang w:eastAsia="en-US"/>
              </w:rPr>
            </w:pPr>
          </w:p>
          <w:p w14:paraId="1B652610" w14:textId="77777777" w:rsidR="00723635" w:rsidRPr="00F05BF0" w:rsidRDefault="00723635" w:rsidP="00723635">
            <w:pPr>
              <w:pStyle w:val="TableTextEntries"/>
              <w:keepNext/>
              <w:ind w:left="360"/>
              <w:rPr>
                <w:iCs w:val="0"/>
                <w:lang w:eastAsia="en-US"/>
              </w:rPr>
            </w:pPr>
          </w:p>
          <w:p w14:paraId="3A2B4814" w14:textId="77777777" w:rsidR="006D4B72" w:rsidRDefault="006D4B72" w:rsidP="006D4B72">
            <w:pPr>
              <w:keepLines/>
              <w:spacing w:before="40" w:after="40" w:line="200" w:lineRule="atLeast"/>
              <w:rPr>
                <w:rFonts w:asciiTheme="minorHAnsi" w:eastAsia="Times New Roman" w:hAnsiTheme="minorHAnsi"/>
                <w:iCs/>
                <w:szCs w:val="17"/>
                <w:lang w:eastAsia="en-US"/>
              </w:rPr>
            </w:pPr>
          </w:p>
          <w:p w14:paraId="2B9B4E91" w14:textId="51F0840D" w:rsidR="00B4572E" w:rsidRPr="003D03ED" w:rsidRDefault="006D4B72" w:rsidP="003D03ED">
            <w:pPr>
              <w:pStyle w:val="TableTextEntries"/>
              <w:keepNext/>
              <w:numPr>
                <w:ilvl w:val="0"/>
                <w:numId w:val="46"/>
              </w:numPr>
              <w:rPr>
                <w:rFonts w:ascii="Helvetica" w:hAnsi="Helvetica"/>
                <w:lang w:eastAsia="en-US"/>
              </w:rPr>
            </w:pPr>
            <w:r>
              <w:rPr>
                <w:iCs w:val="0"/>
                <w:lang w:eastAsia="en-US"/>
              </w:rPr>
              <w:t xml:space="preserve">In </w:t>
            </w:r>
            <w:r w:rsidR="0059103B">
              <w:rPr>
                <w:iCs w:val="0"/>
                <w:lang w:eastAsia="en-US"/>
              </w:rPr>
              <w:t>2017,</w:t>
            </w:r>
            <w:r>
              <w:rPr>
                <w:iCs w:val="0"/>
                <w:lang w:eastAsia="en-US"/>
              </w:rPr>
              <w:t xml:space="preserve"> </w:t>
            </w:r>
            <w:r w:rsidRPr="00F05BF0">
              <w:rPr>
                <w:iCs w:val="0"/>
                <w:lang w:eastAsia="en-US"/>
              </w:rPr>
              <w:t>UNRWA’s performance</w:t>
            </w:r>
            <w:r>
              <w:rPr>
                <w:iCs w:val="0"/>
                <w:lang w:eastAsia="en-US"/>
              </w:rPr>
              <w:t xml:space="preserve"> in the health sector remained strong. The average daily medical consultations per doctor d</w:t>
            </w:r>
            <w:r w:rsidR="003D03ED">
              <w:rPr>
                <w:iCs w:val="0"/>
                <w:lang w:eastAsia="en-US"/>
              </w:rPr>
              <w:t>ecreased greater</w:t>
            </w:r>
            <w:r>
              <w:rPr>
                <w:iCs w:val="0"/>
                <w:lang w:eastAsia="en-US"/>
              </w:rPr>
              <w:t xml:space="preserve"> than the target (78.1 consultations</w:t>
            </w:r>
            <w:r w:rsidR="003D03ED">
              <w:rPr>
                <w:iCs w:val="0"/>
                <w:lang w:eastAsia="en-US"/>
              </w:rPr>
              <w:t>, compared with</w:t>
            </w:r>
            <w:r>
              <w:rPr>
                <w:iCs w:val="0"/>
                <w:lang w:eastAsia="en-US"/>
              </w:rPr>
              <w:t xml:space="preserve"> the target of 80.4). </w:t>
            </w:r>
          </w:p>
        </w:tc>
      </w:tr>
    </w:tbl>
    <w:p w14:paraId="1A4EFB0A" w14:textId="77777777" w:rsidR="00184F1E" w:rsidRPr="00880004" w:rsidRDefault="00184F1E" w:rsidP="00184F1E">
      <w:pPr>
        <w:spacing w:before="20" w:after="20" w:line="180" w:lineRule="atLeast"/>
        <w:jc w:val="both"/>
        <w:rPr>
          <w:rFonts w:eastAsia="Times New Roman"/>
          <w:b/>
          <w:sz w:val="16"/>
          <w:szCs w:val="14"/>
        </w:rPr>
      </w:pPr>
      <w:r w:rsidRPr="00880004">
        <w:rPr>
          <w:rFonts w:eastAsia="Times New Roman"/>
          <w:b/>
          <w:sz w:val="16"/>
          <w:szCs w:val="14"/>
        </w:rPr>
        <w:t xml:space="preserve">Note: </w:t>
      </w:r>
    </w:p>
    <w:p w14:paraId="63017789" w14:textId="77777777" w:rsidR="00184F1E" w:rsidRPr="00880004" w:rsidRDefault="00184F1E" w:rsidP="00184F1E">
      <w:pPr>
        <w:spacing w:before="20" w:after="20" w:line="180" w:lineRule="atLeast"/>
        <w:jc w:val="both"/>
        <w:rPr>
          <w:rFonts w:eastAsia="Times New Roman"/>
          <w:b/>
          <w:sz w:val="16"/>
          <w:szCs w:val="14"/>
        </w:rPr>
      </w:pPr>
      <w:r w:rsidRPr="00880004">
        <w:rPr>
          <w:rFonts w:eastAsia="Times New Roman"/>
          <w:b/>
          <w:color w:val="72AF2F"/>
          <w:sz w:val="16"/>
          <w:szCs w:val="14"/>
        </w:rPr>
        <w:sym w:font="Webdings" w:char="F067"/>
      </w:r>
      <w:r w:rsidRPr="00880004">
        <w:rPr>
          <w:rFonts w:eastAsia="Times New Roman"/>
          <w:b/>
          <w:sz w:val="16"/>
          <w:szCs w:val="14"/>
        </w:rPr>
        <w:t> </w:t>
      </w:r>
      <w:r w:rsidRPr="00880004">
        <w:rPr>
          <w:rFonts w:eastAsia="Times New Roman"/>
          <w:b/>
          <w:sz w:val="16"/>
          <w:szCs w:val="14"/>
        </w:rPr>
        <w:t xml:space="preserve"> Achieved.  Significant progress has been made and the performance benchmark was achieved </w:t>
      </w:r>
    </w:p>
    <w:p w14:paraId="4A53B8DB" w14:textId="77777777" w:rsidR="00184F1E" w:rsidRPr="00880004" w:rsidRDefault="00184F1E" w:rsidP="00184F1E">
      <w:pPr>
        <w:spacing w:before="20" w:after="20" w:line="180" w:lineRule="atLeast"/>
        <w:jc w:val="both"/>
        <w:rPr>
          <w:rFonts w:eastAsia="Times New Roman"/>
          <w:b/>
          <w:sz w:val="16"/>
          <w:szCs w:val="14"/>
        </w:rPr>
      </w:pPr>
      <w:r w:rsidRPr="00880004">
        <w:rPr>
          <w:rFonts w:eastAsia="Times New Roman"/>
          <w:b/>
          <w:color w:val="E36C0A"/>
          <w:sz w:val="16"/>
          <w:szCs w:val="14"/>
        </w:rPr>
        <w:sym w:font="Webdings" w:char="F067"/>
      </w:r>
      <w:r w:rsidRPr="00880004">
        <w:rPr>
          <w:rFonts w:eastAsia="Times New Roman"/>
          <w:b/>
          <w:sz w:val="16"/>
          <w:szCs w:val="14"/>
        </w:rPr>
        <w:t> </w:t>
      </w:r>
      <w:r w:rsidRPr="00880004">
        <w:rPr>
          <w:rFonts w:eastAsia="Times New Roman"/>
          <w:b/>
          <w:sz w:val="16"/>
          <w:szCs w:val="14"/>
        </w:rPr>
        <w:t xml:space="preserve"> Partly achieved.  Some progress has been made towards achieving the performance benchmark, but progress was less than anticipated. </w:t>
      </w:r>
    </w:p>
    <w:p w14:paraId="08E78D97" w14:textId="77777777" w:rsidR="00184F1E" w:rsidRPr="00880004" w:rsidRDefault="00184F1E" w:rsidP="00184F1E">
      <w:pPr>
        <w:spacing w:before="20" w:after="20" w:line="180" w:lineRule="atLeast"/>
        <w:jc w:val="both"/>
        <w:rPr>
          <w:rFonts w:eastAsia="Times New Roman"/>
          <w:b/>
          <w:sz w:val="16"/>
          <w:szCs w:val="14"/>
        </w:rPr>
      </w:pPr>
      <w:r w:rsidRPr="00880004">
        <w:rPr>
          <w:rFonts w:eastAsia="Times New Roman"/>
          <w:b/>
          <w:color w:val="FF0000"/>
          <w:sz w:val="16"/>
          <w:szCs w:val="14"/>
        </w:rPr>
        <w:sym w:font="Webdings" w:char="F067"/>
      </w:r>
      <w:r w:rsidRPr="00880004">
        <w:rPr>
          <w:rFonts w:eastAsia="Times New Roman"/>
          <w:b/>
          <w:sz w:val="16"/>
          <w:szCs w:val="14"/>
        </w:rPr>
        <w:t> </w:t>
      </w:r>
      <w:r w:rsidRPr="00880004">
        <w:rPr>
          <w:rFonts w:eastAsia="Times New Roman"/>
          <w:b/>
          <w:sz w:val="16"/>
          <w:szCs w:val="14"/>
        </w:rPr>
        <w:t xml:space="preserve"> Not achieved. Progress towards the performance benchmark has been significantly below expectations</w:t>
      </w:r>
    </w:p>
    <w:p w14:paraId="362FA024" w14:textId="77777777" w:rsidR="00BE1BEB" w:rsidRDefault="00BE1BEB" w:rsidP="00184F1E">
      <w:pPr>
        <w:rPr>
          <w:rFonts w:ascii="Franklin Gothic Book" w:eastAsia="Times New Roman" w:hAnsi="Franklin Gothic Book"/>
          <w:b/>
          <w:sz w:val="24"/>
          <w:szCs w:val="24"/>
        </w:rPr>
      </w:pPr>
    </w:p>
    <w:p w14:paraId="5C1F4717" w14:textId="77777777" w:rsidR="00A458CE" w:rsidRDefault="00A458CE" w:rsidP="00184F1E">
      <w:pPr>
        <w:rPr>
          <w:rFonts w:ascii="Franklin Gothic Book" w:eastAsia="Times New Roman" w:hAnsi="Franklin Gothic Book"/>
          <w:b/>
          <w:sz w:val="24"/>
          <w:szCs w:val="24"/>
        </w:rPr>
      </w:pPr>
    </w:p>
    <w:p w14:paraId="36F7182B" w14:textId="77777777" w:rsidR="00A458CE" w:rsidRDefault="00A458CE" w:rsidP="00184F1E">
      <w:pPr>
        <w:rPr>
          <w:rFonts w:ascii="Franklin Gothic Book" w:eastAsia="Times New Roman" w:hAnsi="Franklin Gothic Book"/>
          <w:b/>
          <w:sz w:val="24"/>
          <w:szCs w:val="24"/>
        </w:rPr>
      </w:pPr>
    </w:p>
    <w:p w14:paraId="40670928" w14:textId="77777777" w:rsidR="00184F1E" w:rsidRDefault="00184F1E" w:rsidP="00184F1E">
      <w:pPr>
        <w:rPr>
          <w:rFonts w:ascii="Franklin Gothic Book" w:eastAsia="Times New Roman" w:hAnsi="Franklin Gothic Book"/>
          <w:b/>
          <w:sz w:val="24"/>
          <w:szCs w:val="24"/>
        </w:rPr>
      </w:pPr>
      <w:r w:rsidRPr="007B4865">
        <w:rPr>
          <w:rFonts w:ascii="Franklin Gothic Book" w:eastAsia="Times New Roman" w:hAnsi="Franklin Gothic Book"/>
          <w:b/>
          <w:sz w:val="24"/>
          <w:szCs w:val="24"/>
        </w:rPr>
        <w:t>Performance Benchmarks for remainder of A</w:t>
      </w:r>
      <w:r>
        <w:rPr>
          <w:rFonts w:ascii="Franklin Gothic Book" w:eastAsia="Times New Roman" w:hAnsi="Franklin Gothic Book"/>
          <w:b/>
          <w:sz w:val="24"/>
          <w:szCs w:val="24"/>
        </w:rPr>
        <w:t xml:space="preserve">id </w:t>
      </w:r>
      <w:r w:rsidRPr="007B4865">
        <w:rPr>
          <w:rFonts w:ascii="Franklin Gothic Book" w:eastAsia="Times New Roman" w:hAnsi="Franklin Gothic Book"/>
          <w:b/>
          <w:sz w:val="24"/>
          <w:szCs w:val="24"/>
        </w:rPr>
        <w:t>I</w:t>
      </w:r>
      <w:r>
        <w:rPr>
          <w:rFonts w:ascii="Franklin Gothic Book" w:eastAsia="Times New Roman" w:hAnsi="Franklin Gothic Book"/>
          <w:b/>
          <w:sz w:val="24"/>
          <w:szCs w:val="24"/>
        </w:rPr>
        <w:t xml:space="preserve">nvestment </w:t>
      </w:r>
      <w:r w:rsidRPr="007B4865">
        <w:rPr>
          <w:rFonts w:ascii="Franklin Gothic Book" w:eastAsia="Times New Roman" w:hAnsi="Franklin Gothic Book"/>
          <w:b/>
          <w:sz w:val="24"/>
          <w:szCs w:val="24"/>
        </w:rPr>
        <w:t>P</w:t>
      </w:r>
      <w:r w:rsidR="00580A64">
        <w:rPr>
          <w:rFonts w:ascii="Franklin Gothic Book" w:eastAsia="Times New Roman" w:hAnsi="Franklin Gothic Book"/>
          <w:b/>
          <w:sz w:val="24"/>
          <w:szCs w:val="24"/>
        </w:rPr>
        <w:t>lan or new Aid Investment Plan</w:t>
      </w:r>
    </w:p>
    <w:tbl>
      <w:tblPr>
        <w:tblStyle w:val="DFATTable"/>
        <w:tblW w:w="5000" w:type="pct"/>
        <w:tblLook w:val="04A0" w:firstRow="1" w:lastRow="0" w:firstColumn="1" w:lastColumn="0" w:noHBand="0" w:noVBand="1"/>
      </w:tblPr>
      <w:tblGrid>
        <w:gridCol w:w="1845"/>
        <w:gridCol w:w="3475"/>
        <w:gridCol w:w="70"/>
        <w:gridCol w:w="168"/>
        <w:gridCol w:w="3941"/>
        <w:gridCol w:w="4536"/>
      </w:tblGrid>
      <w:tr w:rsidR="00CC6244" w14:paraId="71D4AE35" w14:textId="77777777" w:rsidTr="00CC6244">
        <w:trPr>
          <w:trHeight w:val="245"/>
        </w:trPr>
        <w:tc>
          <w:tcPr>
            <w:tcW w:w="657" w:type="pct"/>
            <w:tcBorders>
              <w:top w:val="single" w:sz="12" w:space="0" w:color="auto"/>
              <w:left w:val="nil"/>
              <w:bottom w:val="nil"/>
              <w:right w:val="nil"/>
            </w:tcBorders>
          </w:tcPr>
          <w:p w14:paraId="4BD70DB6" w14:textId="77777777" w:rsidR="00CC6244" w:rsidRPr="00BE6C6D" w:rsidRDefault="00CC6244" w:rsidP="00EA2A43">
            <w:pPr>
              <w:pStyle w:val="NormalIndented"/>
              <w:rPr>
                <w:rFonts w:asciiTheme="minorHAnsi" w:hAnsiTheme="minorHAnsi"/>
              </w:rPr>
            </w:pPr>
            <w:r w:rsidRPr="00880004">
              <w:rPr>
                <w:rFonts w:asciiTheme="minorHAnsi" w:eastAsia="Times New Roman" w:hAnsiTheme="minorHAnsi"/>
                <w:b/>
                <w:iCs/>
                <w:szCs w:val="17"/>
                <w:lang w:eastAsia="en-US"/>
              </w:rPr>
              <w:t>Aid objective</w:t>
            </w:r>
          </w:p>
        </w:tc>
        <w:tc>
          <w:tcPr>
            <w:tcW w:w="1238" w:type="pct"/>
            <w:tcBorders>
              <w:top w:val="single" w:sz="12" w:space="0" w:color="auto"/>
              <w:left w:val="nil"/>
              <w:bottom w:val="nil"/>
              <w:right w:val="nil"/>
            </w:tcBorders>
          </w:tcPr>
          <w:p w14:paraId="1435D237" w14:textId="77777777" w:rsidR="00CC6244" w:rsidRPr="00BE6C6D" w:rsidRDefault="00CC6244" w:rsidP="00EA2A43">
            <w:pPr>
              <w:pStyle w:val="NormalIndented"/>
              <w:rPr>
                <w:rFonts w:asciiTheme="minorHAnsi" w:hAnsiTheme="minorHAnsi"/>
              </w:rPr>
            </w:pPr>
            <w:r>
              <w:rPr>
                <w:rFonts w:asciiTheme="minorHAnsi" w:eastAsia="Times New Roman" w:hAnsiTheme="minorHAnsi"/>
                <w:b/>
                <w:iCs/>
                <w:szCs w:val="17"/>
                <w:lang w:eastAsia="en-US"/>
              </w:rPr>
              <w:t>Performance B</w:t>
            </w:r>
            <w:r w:rsidRPr="00880004">
              <w:rPr>
                <w:rFonts w:asciiTheme="minorHAnsi" w:eastAsia="Times New Roman" w:hAnsiTheme="minorHAnsi"/>
                <w:b/>
                <w:iCs/>
                <w:szCs w:val="17"/>
                <w:lang w:eastAsia="en-US"/>
              </w:rPr>
              <w:t xml:space="preserve">enchmark </w:t>
            </w:r>
          </w:p>
        </w:tc>
        <w:tc>
          <w:tcPr>
            <w:tcW w:w="85" w:type="pct"/>
            <w:gridSpan w:val="2"/>
            <w:tcBorders>
              <w:top w:val="single" w:sz="12" w:space="0" w:color="auto"/>
              <w:left w:val="nil"/>
              <w:bottom w:val="nil"/>
              <w:right w:val="nil"/>
            </w:tcBorders>
          </w:tcPr>
          <w:p w14:paraId="481CB603" w14:textId="77777777" w:rsidR="00CC6244" w:rsidRPr="00BE6C6D" w:rsidRDefault="00CC6244" w:rsidP="00EA2A43">
            <w:pPr>
              <w:pStyle w:val="NormalIndented"/>
              <w:ind w:left="0"/>
              <w:jc w:val="center"/>
              <w:rPr>
                <w:b/>
              </w:rPr>
            </w:pPr>
          </w:p>
        </w:tc>
        <w:tc>
          <w:tcPr>
            <w:tcW w:w="1404" w:type="pct"/>
            <w:tcBorders>
              <w:top w:val="single" w:sz="12" w:space="0" w:color="auto"/>
              <w:left w:val="nil"/>
              <w:bottom w:val="nil"/>
              <w:right w:val="nil"/>
            </w:tcBorders>
            <w:hideMark/>
          </w:tcPr>
          <w:p w14:paraId="6FCE4C50" w14:textId="557A18F8" w:rsidR="00CC6244" w:rsidRPr="00BE6C6D" w:rsidRDefault="00CC6244" w:rsidP="00EA2A43">
            <w:pPr>
              <w:pStyle w:val="NormalIndented"/>
              <w:ind w:left="0"/>
              <w:jc w:val="center"/>
              <w:rPr>
                <w:rFonts w:asciiTheme="minorHAnsi" w:hAnsiTheme="minorHAnsi"/>
                <w:b/>
              </w:rPr>
            </w:pPr>
            <w:r w:rsidRPr="00BE6C6D">
              <w:rPr>
                <w:rFonts w:asciiTheme="minorHAnsi" w:hAnsiTheme="minorHAnsi"/>
                <w:b/>
              </w:rPr>
              <w:t>201</w:t>
            </w:r>
            <w:r>
              <w:rPr>
                <w:rFonts w:asciiTheme="minorHAnsi" w:hAnsiTheme="minorHAnsi"/>
                <w:b/>
              </w:rPr>
              <w:t>8</w:t>
            </w:r>
            <w:r w:rsidRPr="00BE6C6D">
              <w:rPr>
                <w:rFonts w:asciiTheme="minorHAnsi" w:hAnsiTheme="minorHAnsi"/>
                <w:b/>
              </w:rPr>
              <w:t>-1</w:t>
            </w:r>
            <w:r>
              <w:rPr>
                <w:rFonts w:asciiTheme="minorHAnsi" w:hAnsiTheme="minorHAnsi"/>
                <w:b/>
              </w:rPr>
              <w:t>9</w:t>
            </w:r>
          </w:p>
        </w:tc>
        <w:tc>
          <w:tcPr>
            <w:tcW w:w="1616" w:type="pct"/>
            <w:tcBorders>
              <w:top w:val="single" w:sz="12" w:space="0" w:color="auto"/>
              <w:left w:val="nil"/>
              <w:bottom w:val="nil"/>
              <w:right w:val="nil"/>
            </w:tcBorders>
            <w:hideMark/>
          </w:tcPr>
          <w:p w14:paraId="58528C14" w14:textId="77777777" w:rsidR="00CC6244" w:rsidRPr="00BE6C6D" w:rsidRDefault="00CC6244" w:rsidP="00EA2A43">
            <w:pPr>
              <w:pStyle w:val="NormalIndented"/>
              <w:ind w:left="33"/>
              <w:jc w:val="center"/>
              <w:rPr>
                <w:rFonts w:asciiTheme="minorHAnsi" w:hAnsiTheme="minorHAnsi"/>
                <w:b/>
              </w:rPr>
            </w:pPr>
            <w:r w:rsidRPr="00BE6C6D">
              <w:rPr>
                <w:rFonts w:asciiTheme="minorHAnsi" w:hAnsiTheme="minorHAnsi"/>
                <w:b/>
              </w:rPr>
              <w:t>201</w:t>
            </w:r>
            <w:r>
              <w:rPr>
                <w:rFonts w:asciiTheme="minorHAnsi" w:hAnsiTheme="minorHAnsi"/>
                <w:b/>
              </w:rPr>
              <w:t>9-20</w:t>
            </w:r>
          </w:p>
        </w:tc>
      </w:tr>
      <w:tr w:rsidR="00CC6244" w14:paraId="16ABCA38" w14:textId="77777777" w:rsidTr="00CC6244">
        <w:trPr>
          <w:trHeight w:val="315"/>
        </w:trPr>
        <w:tc>
          <w:tcPr>
            <w:tcW w:w="657" w:type="pct"/>
            <w:tcBorders>
              <w:top w:val="nil"/>
              <w:left w:val="nil"/>
              <w:bottom w:val="nil"/>
              <w:right w:val="nil"/>
            </w:tcBorders>
            <w:hideMark/>
          </w:tcPr>
          <w:p w14:paraId="072C2A62" w14:textId="77777777" w:rsidR="00CC6244" w:rsidRPr="00BE6C6D" w:rsidRDefault="00CC6244" w:rsidP="00EA2A43">
            <w:pPr>
              <w:pStyle w:val="NormalIndented"/>
              <w:rPr>
                <w:rFonts w:asciiTheme="minorHAnsi" w:hAnsiTheme="minorHAnsi"/>
                <w:i/>
                <w:color w:val="808080" w:themeColor="background1" w:themeShade="80"/>
                <w:sz w:val="18"/>
              </w:rPr>
            </w:pPr>
          </w:p>
        </w:tc>
        <w:tc>
          <w:tcPr>
            <w:tcW w:w="1263" w:type="pct"/>
            <w:gridSpan w:val="2"/>
            <w:tcBorders>
              <w:top w:val="nil"/>
              <w:left w:val="nil"/>
              <w:bottom w:val="nil"/>
              <w:right w:val="nil"/>
            </w:tcBorders>
          </w:tcPr>
          <w:p w14:paraId="05B9E12B" w14:textId="77777777" w:rsidR="00CC6244" w:rsidRPr="00BE6C6D" w:rsidRDefault="00CC6244" w:rsidP="00EA2A43">
            <w:pPr>
              <w:pStyle w:val="NormalIndented"/>
              <w:rPr>
                <w:i/>
                <w:color w:val="808080" w:themeColor="background1" w:themeShade="80"/>
              </w:rPr>
            </w:pPr>
          </w:p>
        </w:tc>
        <w:tc>
          <w:tcPr>
            <w:tcW w:w="3080" w:type="pct"/>
            <w:gridSpan w:val="3"/>
            <w:tcBorders>
              <w:top w:val="nil"/>
              <w:left w:val="nil"/>
              <w:bottom w:val="nil"/>
            </w:tcBorders>
            <w:hideMark/>
          </w:tcPr>
          <w:p w14:paraId="4462A048" w14:textId="107F7BB7" w:rsidR="00CC6244" w:rsidRPr="00BE6C6D" w:rsidRDefault="00CC6244" w:rsidP="00EA2A43">
            <w:pPr>
              <w:pStyle w:val="NormalIndented"/>
              <w:rPr>
                <w:i/>
                <w:color w:val="808080" w:themeColor="background1" w:themeShade="80"/>
              </w:rPr>
            </w:pPr>
          </w:p>
        </w:tc>
      </w:tr>
      <w:tr w:rsidR="00CC6244" w14:paraId="0E1D2314" w14:textId="77777777" w:rsidTr="00CC6244">
        <w:trPr>
          <w:trHeight w:val="730"/>
        </w:trPr>
        <w:tc>
          <w:tcPr>
            <w:tcW w:w="657" w:type="pct"/>
            <w:tcBorders>
              <w:top w:val="nil"/>
              <w:left w:val="nil"/>
              <w:bottom w:val="nil"/>
              <w:right w:val="nil"/>
            </w:tcBorders>
          </w:tcPr>
          <w:tbl>
            <w:tblPr>
              <w:tblStyle w:val="DFATTable"/>
              <w:tblpPr w:leftFromText="180" w:rightFromText="180" w:vertAnchor="text" w:horzAnchor="margin" w:tblpY="-233"/>
              <w:tblOverlap w:val="never"/>
              <w:tblW w:w="5000" w:type="pct"/>
              <w:tblLook w:val="04A0" w:firstRow="1" w:lastRow="0" w:firstColumn="1" w:lastColumn="0" w:noHBand="0" w:noVBand="1"/>
            </w:tblPr>
            <w:tblGrid>
              <w:gridCol w:w="1629"/>
            </w:tblGrid>
            <w:tr w:rsidR="00052AE2" w:rsidRPr="00052AE2" w14:paraId="697A0803" w14:textId="77777777" w:rsidTr="00B267F6">
              <w:tc>
                <w:tcPr>
                  <w:tcW w:w="5000" w:type="pct"/>
                  <w:tcMar>
                    <w:top w:w="57" w:type="dxa"/>
                    <w:bottom w:w="57" w:type="dxa"/>
                  </w:tcMar>
                </w:tcPr>
                <w:p w14:paraId="57797493" w14:textId="3C334D0E" w:rsidR="00CC6244" w:rsidRPr="00052AE2" w:rsidRDefault="00CC6244" w:rsidP="00723635">
                  <w:pPr>
                    <w:pStyle w:val="ListParagraph"/>
                    <w:keepLines/>
                    <w:numPr>
                      <w:ilvl w:val="0"/>
                      <w:numId w:val="50"/>
                    </w:numPr>
                    <w:spacing w:before="40" w:after="40" w:line="200" w:lineRule="atLeast"/>
                    <w:ind w:left="171" w:hanging="142"/>
                    <w:rPr>
                      <w:rFonts w:asciiTheme="minorHAnsi" w:eastAsia="Times New Roman" w:hAnsiTheme="minorHAnsi"/>
                      <w:iCs/>
                      <w:color w:val="000000" w:themeColor="text1"/>
                      <w:szCs w:val="17"/>
                      <w:lang w:eastAsia="en-US"/>
                    </w:rPr>
                  </w:pPr>
                  <w:r w:rsidRPr="00052AE2">
                    <w:rPr>
                      <w:rFonts w:asciiTheme="minorHAnsi" w:eastAsia="Times New Roman" w:hAnsiTheme="minorHAnsi"/>
                      <w:iCs/>
                      <w:color w:val="000000" w:themeColor="text1"/>
                      <w:szCs w:val="17"/>
                      <w:lang w:eastAsia="en-US"/>
                    </w:rPr>
                    <w:t>Improved public financial management and a more competitive agricultural economy in the PTs</w:t>
                  </w:r>
                </w:p>
              </w:tc>
            </w:tr>
            <w:tr w:rsidR="00052AE2" w:rsidRPr="00052AE2" w14:paraId="0835B105" w14:textId="77777777" w:rsidTr="00B267F6">
              <w:tc>
                <w:tcPr>
                  <w:tcW w:w="5000" w:type="pct"/>
                  <w:tcMar>
                    <w:top w:w="57" w:type="dxa"/>
                    <w:bottom w:w="57" w:type="dxa"/>
                  </w:tcMar>
                </w:tcPr>
                <w:p w14:paraId="406485C6" w14:textId="77777777" w:rsidR="00CC6244" w:rsidRPr="00052AE2" w:rsidRDefault="00CC6244" w:rsidP="00B267F6">
                  <w:pPr>
                    <w:keepLines/>
                    <w:spacing w:before="40" w:after="40" w:line="200" w:lineRule="atLeast"/>
                    <w:rPr>
                      <w:rFonts w:asciiTheme="minorHAnsi" w:eastAsia="Times New Roman" w:hAnsiTheme="minorHAnsi"/>
                      <w:iCs/>
                      <w:color w:val="000000" w:themeColor="text1"/>
                      <w:szCs w:val="17"/>
                    </w:rPr>
                  </w:pPr>
                </w:p>
                <w:p w14:paraId="7F67E1DE" w14:textId="1151625F" w:rsidR="00CC6244" w:rsidRPr="00052AE2" w:rsidRDefault="00CC6244" w:rsidP="00B267F6">
                  <w:pPr>
                    <w:keepLines/>
                    <w:spacing w:before="40" w:after="40" w:line="200" w:lineRule="atLeast"/>
                    <w:rPr>
                      <w:rFonts w:asciiTheme="minorHAnsi" w:eastAsia="Times New Roman" w:hAnsiTheme="minorHAnsi"/>
                      <w:iCs/>
                      <w:color w:val="000000" w:themeColor="text1"/>
                      <w:szCs w:val="17"/>
                    </w:rPr>
                  </w:pPr>
                </w:p>
                <w:p w14:paraId="641802F1" w14:textId="4C26967C" w:rsidR="00CC6244" w:rsidRPr="00052AE2" w:rsidRDefault="00CC6244" w:rsidP="00B267F6">
                  <w:pPr>
                    <w:keepLines/>
                    <w:spacing w:before="40" w:after="40" w:line="200" w:lineRule="atLeast"/>
                    <w:rPr>
                      <w:rFonts w:asciiTheme="minorHAnsi" w:eastAsia="Times New Roman" w:hAnsiTheme="minorHAnsi"/>
                      <w:iCs/>
                      <w:color w:val="000000" w:themeColor="text1"/>
                      <w:szCs w:val="17"/>
                    </w:rPr>
                  </w:pPr>
                </w:p>
              </w:tc>
            </w:tr>
            <w:tr w:rsidR="00052AE2" w:rsidRPr="00052AE2" w14:paraId="122F96F0" w14:textId="77777777" w:rsidTr="00B267F6">
              <w:tc>
                <w:tcPr>
                  <w:tcW w:w="5000" w:type="pct"/>
                  <w:tcMar>
                    <w:top w:w="57" w:type="dxa"/>
                    <w:bottom w:w="57" w:type="dxa"/>
                  </w:tcMar>
                </w:tcPr>
                <w:p w14:paraId="0ED4BBA6" w14:textId="27F9F116" w:rsidR="00CC6244" w:rsidRPr="00052AE2" w:rsidRDefault="00CC6244" w:rsidP="00723635">
                  <w:pPr>
                    <w:pStyle w:val="ListParagraph"/>
                    <w:keepLines/>
                    <w:numPr>
                      <w:ilvl w:val="0"/>
                      <w:numId w:val="50"/>
                    </w:numPr>
                    <w:spacing w:before="40" w:after="40" w:line="200" w:lineRule="atLeast"/>
                    <w:ind w:left="171" w:hanging="142"/>
                    <w:rPr>
                      <w:rFonts w:asciiTheme="minorHAnsi" w:eastAsia="Times New Roman" w:hAnsiTheme="minorHAnsi"/>
                      <w:iCs/>
                      <w:color w:val="000000" w:themeColor="text1"/>
                      <w:szCs w:val="17"/>
                      <w:lang w:eastAsia="en-US"/>
                    </w:rPr>
                  </w:pPr>
                  <w:r w:rsidRPr="00052AE2">
                    <w:rPr>
                      <w:rFonts w:asciiTheme="minorHAnsi" w:eastAsia="Times New Roman" w:hAnsiTheme="minorHAnsi"/>
                      <w:iCs/>
                      <w:color w:val="000000" w:themeColor="text1"/>
                      <w:szCs w:val="17"/>
                      <w:lang w:eastAsia="en-US"/>
                    </w:rPr>
                    <w:t>Palestinian refugees in the PTs and across the region are able to access quality basic services</w:t>
                  </w:r>
                </w:p>
              </w:tc>
            </w:tr>
          </w:tbl>
          <w:p w14:paraId="46BE418A" w14:textId="77777777" w:rsidR="00CC6244" w:rsidRPr="00052AE2" w:rsidRDefault="00CC6244" w:rsidP="00B267F6">
            <w:pPr>
              <w:pStyle w:val="NormalIndented"/>
              <w:rPr>
                <w:rFonts w:asciiTheme="minorHAnsi" w:hAnsiTheme="minorHAnsi"/>
                <w:i/>
                <w:color w:val="000000" w:themeColor="text1"/>
                <w:sz w:val="18"/>
              </w:rPr>
            </w:pPr>
          </w:p>
        </w:tc>
        <w:tc>
          <w:tcPr>
            <w:tcW w:w="1238" w:type="pct"/>
            <w:tcBorders>
              <w:top w:val="nil"/>
              <w:left w:val="nil"/>
              <w:bottom w:val="nil"/>
              <w:right w:val="nil"/>
            </w:tcBorders>
          </w:tcPr>
          <w:p w14:paraId="76CF49A1" w14:textId="1C0B3D9A" w:rsidR="00CC6244" w:rsidRPr="00052AE2" w:rsidRDefault="00CC6244" w:rsidP="00CC6244">
            <w:pPr>
              <w:pStyle w:val="NormalIndented"/>
              <w:numPr>
                <w:ilvl w:val="0"/>
                <w:numId w:val="41"/>
              </w:numPr>
              <w:rPr>
                <w:rFonts w:asciiTheme="minorHAnsi" w:hAnsiTheme="minorHAnsi"/>
                <w:color w:val="000000" w:themeColor="text1"/>
                <w:szCs w:val="20"/>
                <w:lang w:eastAsia="en-US"/>
              </w:rPr>
            </w:pPr>
            <w:r w:rsidRPr="00052AE2">
              <w:rPr>
                <w:rFonts w:asciiTheme="minorHAnsi" w:eastAsia="Times New Roman" w:hAnsiTheme="minorHAnsi"/>
                <w:iCs/>
                <w:color w:val="000000" w:themeColor="text1"/>
                <w:szCs w:val="17"/>
                <w:lang w:eastAsia="en-US"/>
              </w:rPr>
              <w:t>The stock of income tax debt has decreased, based upon official income tax filings verified through Ministry of Finance audits</w:t>
            </w:r>
          </w:p>
          <w:p w14:paraId="0ABEDA3E" w14:textId="3228E9E7" w:rsidR="00CC6244" w:rsidRPr="00052AE2" w:rsidRDefault="00CC6244" w:rsidP="00B267F6">
            <w:pPr>
              <w:pStyle w:val="NormalIndented"/>
              <w:numPr>
                <w:ilvl w:val="0"/>
                <w:numId w:val="41"/>
              </w:numPr>
              <w:rPr>
                <w:rFonts w:asciiTheme="minorHAnsi" w:hAnsiTheme="minorHAnsi"/>
                <w:color w:val="000000" w:themeColor="text1"/>
                <w:szCs w:val="20"/>
                <w:lang w:eastAsia="en-US"/>
              </w:rPr>
            </w:pPr>
            <w:r w:rsidRPr="00052AE2">
              <w:rPr>
                <w:rFonts w:asciiTheme="minorHAnsi" w:eastAsia="Times New Roman" w:hAnsiTheme="minorHAnsi"/>
                <w:iCs/>
                <w:color w:val="000000" w:themeColor="text1"/>
                <w:szCs w:val="17"/>
                <w:lang w:eastAsia="en-US"/>
              </w:rPr>
              <w:t xml:space="preserve">Farmers report increased income from better </w:t>
            </w:r>
            <w:r w:rsidR="00723635" w:rsidRPr="00052AE2">
              <w:rPr>
                <w:rFonts w:asciiTheme="minorHAnsi" w:eastAsia="Times New Roman" w:hAnsiTheme="minorHAnsi"/>
                <w:iCs/>
                <w:color w:val="000000" w:themeColor="text1"/>
                <w:szCs w:val="17"/>
                <w:lang w:eastAsia="en-US"/>
              </w:rPr>
              <w:t>functioning value chains supported by AMENCA 3</w:t>
            </w:r>
          </w:p>
          <w:p w14:paraId="56C735FE" w14:textId="764705B3" w:rsidR="00CC6244" w:rsidRPr="00052AE2" w:rsidRDefault="00CC6244" w:rsidP="00F05BF0">
            <w:pPr>
              <w:pStyle w:val="NormalIndented"/>
              <w:rPr>
                <w:rFonts w:asciiTheme="minorHAnsi" w:eastAsia="Times New Roman" w:hAnsiTheme="minorHAnsi"/>
                <w:iCs/>
                <w:color w:val="000000" w:themeColor="text1"/>
                <w:szCs w:val="17"/>
                <w:lang w:eastAsia="en-US"/>
              </w:rPr>
            </w:pPr>
          </w:p>
          <w:p w14:paraId="1DB28C2E" w14:textId="77777777" w:rsidR="00CC6244" w:rsidRPr="00052AE2" w:rsidRDefault="00CC6244" w:rsidP="00F05BF0">
            <w:pPr>
              <w:pStyle w:val="NormalIndented"/>
              <w:rPr>
                <w:rFonts w:asciiTheme="minorHAnsi" w:eastAsia="Times New Roman" w:hAnsiTheme="minorHAnsi"/>
                <w:iCs/>
                <w:color w:val="000000" w:themeColor="text1"/>
                <w:szCs w:val="17"/>
                <w:lang w:eastAsia="en-US"/>
              </w:rPr>
            </w:pPr>
          </w:p>
          <w:p w14:paraId="4CAA5420" w14:textId="36503BDF" w:rsidR="00CC6244" w:rsidRPr="00052AE2" w:rsidRDefault="00CC6244" w:rsidP="00CC6244">
            <w:pPr>
              <w:pStyle w:val="NormalIndented"/>
              <w:numPr>
                <w:ilvl w:val="0"/>
                <w:numId w:val="44"/>
              </w:numPr>
              <w:rPr>
                <w:rFonts w:asciiTheme="minorHAnsi" w:hAnsiTheme="minorHAnsi"/>
                <w:color w:val="000000" w:themeColor="text1"/>
                <w:szCs w:val="20"/>
                <w:lang w:eastAsia="en-US"/>
              </w:rPr>
            </w:pPr>
            <w:r w:rsidRPr="00052AE2">
              <w:rPr>
                <w:rFonts w:asciiTheme="minorHAnsi" w:eastAsia="Times New Roman" w:hAnsiTheme="minorHAnsi"/>
                <w:iCs/>
                <w:color w:val="000000" w:themeColor="text1"/>
                <w:szCs w:val="17"/>
                <w:lang w:eastAsia="en-US"/>
              </w:rPr>
              <w:t>The number of Grade 4 students in UNRWA schools performing at or above the expected l</w:t>
            </w:r>
            <w:r w:rsidR="00723635" w:rsidRPr="00052AE2">
              <w:rPr>
                <w:rFonts w:asciiTheme="minorHAnsi" w:eastAsia="Times New Roman" w:hAnsiTheme="minorHAnsi"/>
                <w:iCs/>
                <w:color w:val="000000" w:themeColor="text1"/>
                <w:szCs w:val="17"/>
                <w:lang w:eastAsia="en-US"/>
              </w:rPr>
              <w:t>evel in mathematics (from 2013 baselines</w:t>
            </w:r>
            <w:r w:rsidRPr="00052AE2">
              <w:rPr>
                <w:rFonts w:asciiTheme="minorHAnsi" w:eastAsia="Times New Roman" w:hAnsiTheme="minorHAnsi"/>
                <w:iCs/>
                <w:color w:val="000000" w:themeColor="text1"/>
                <w:szCs w:val="17"/>
                <w:lang w:eastAsia="en-US"/>
              </w:rPr>
              <w:t>).</w:t>
            </w:r>
          </w:p>
          <w:p w14:paraId="3D6A3BD2" w14:textId="2F9CC076" w:rsidR="00CC6244" w:rsidRPr="00052AE2" w:rsidRDefault="00CC6244" w:rsidP="00F05BF0">
            <w:pPr>
              <w:pStyle w:val="NormalIndented"/>
              <w:numPr>
                <w:ilvl w:val="0"/>
                <w:numId w:val="44"/>
              </w:numPr>
              <w:rPr>
                <w:rFonts w:asciiTheme="minorHAnsi" w:hAnsiTheme="minorHAnsi"/>
                <w:color w:val="000000" w:themeColor="text1"/>
                <w:szCs w:val="20"/>
                <w:lang w:eastAsia="en-US"/>
              </w:rPr>
            </w:pPr>
            <w:r w:rsidRPr="00052AE2">
              <w:rPr>
                <w:rFonts w:asciiTheme="minorHAnsi" w:eastAsia="Times New Roman" w:hAnsiTheme="minorHAnsi"/>
                <w:iCs/>
                <w:color w:val="000000" w:themeColor="text1"/>
                <w:szCs w:val="17"/>
                <w:lang w:eastAsia="en-US"/>
              </w:rPr>
              <w:t>Average daily medical consultations per doctor has decreased in UNRWA hea</w:t>
            </w:r>
            <w:r w:rsidR="00723635" w:rsidRPr="00052AE2">
              <w:rPr>
                <w:rFonts w:asciiTheme="minorHAnsi" w:eastAsia="Times New Roman" w:hAnsiTheme="minorHAnsi"/>
                <w:iCs/>
                <w:color w:val="000000" w:themeColor="text1"/>
                <w:szCs w:val="17"/>
                <w:lang w:eastAsia="en-US"/>
              </w:rPr>
              <w:t>lth centres (from 2014 baselines</w:t>
            </w:r>
            <w:r w:rsidRPr="00052AE2">
              <w:rPr>
                <w:rFonts w:asciiTheme="minorHAnsi" w:eastAsia="Times New Roman" w:hAnsiTheme="minorHAnsi"/>
                <w:iCs/>
                <w:color w:val="000000" w:themeColor="text1"/>
                <w:szCs w:val="17"/>
                <w:lang w:eastAsia="en-US"/>
              </w:rPr>
              <w:t xml:space="preserve">). </w:t>
            </w:r>
          </w:p>
        </w:tc>
        <w:tc>
          <w:tcPr>
            <w:tcW w:w="85" w:type="pct"/>
            <w:gridSpan w:val="2"/>
            <w:tcBorders>
              <w:top w:val="nil"/>
              <w:left w:val="nil"/>
              <w:bottom w:val="nil"/>
              <w:right w:val="nil"/>
            </w:tcBorders>
          </w:tcPr>
          <w:p w14:paraId="61246FAB" w14:textId="77777777" w:rsidR="00CC6244" w:rsidRPr="00052AE2" w:rsidRDefault="00CC6244" w:rsidP="00CC6244">
            <w:pPr>
              <w:pStyle w:val="NormalIndented"/>
              <w:ind w:left="0"/>
              <w:rPr>
                <w:color w:val="000000" w:themeColor="text1"/>
                <w:szCs w:val="20"/>
              </w:rPr>
            </w:pPr>
          </w:p>
        </w:tc>
        <w:tc>
          <w:tcPr>
            <w:tcW w:w="1404" w:type="pct"/>
            <w:tcBorders>
              <w:top w:val="nil"/>
              <w:left w:val="nil"/>
              <w:bottom w:val="nil"/>
              <w:right w:val="nil"/>
            </w:tcBorders>
            <w:hideMark/>
          </w:tcPr>
          <w:p w14:paraId="4E86EE72" w14:textId="1C707891" w:rsidR="00CC6244" w:rsidRPr="00052AE2" w:rsidRDefault="00CC6244" w:rsidP="00CC6244">
            <w:pPr>
              <w:pStyle w:val="NormalIndented"/>
              <w:ind w:left="0"/>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 xml:space="preserve">Funding to the activity that contributed to this benchmark has been discontinued. A new benchmark reflecting the new activity </w:t>
            </w:r>
            <w:r w:rsidR="00052AE2">
              <w:rPr>
                <w:rFonts w:asciiTheme="minorHAnsi" w:hAnsiTheme="minorHAnsi"/>
                <w:color w:val="000000" w:themeColor="text1"/>
                <w:szCs w:val="20"/>
                <w:lang w:eastAsia="en-US"/>
              </w:rPr>
              <w:t xml:space="preserve">to </w:t>
            </w:r>
            <w:proofErr w:type="gramStart"/>
            <w:r w:rsidR="00052AE2">
              <w:rPr>
                <w:rFonts w:asciiTheme="minorHAnsi" w:hAnsiTheme="minorHAnsi"/>
                <w:color w:val="000000" w:themeColor="text1"/>
                <w:szCs w:val="20"/>
                <w:lang w:eastAsia="en-US"/>
              </w:rPr>
              <w:t xml:space="preserve">be </w:t>
            </w:r>
            <w:r w:rsidRPr="00052AE2">
              <w:rPr>
                <w:rFonts w:asciiTheme="minorHAnsi" w:hAnsiTheme="minorHAnsi"/>
                <w:color w:val="000000" w:themeColor="text1"/>
                <w:szCs w:val="20"/>
                <w:lang w:eastAsia="en-US"/>
              </w:rPr>
              <w:t>funded</w:t>
            </w:r>
            <w:proofErr w:type="gramEnd"/>
            <w:r w:rsidRPr="00052AE2">
              <w:rPr>
                <w:rFonts w:asciiTheme="minorHAnsi" w:hAnsiTheme="minorHAnsi"/>
                <w:color w:val="000000" w:themeColor="text1"/>
                <w:szCs w:val="20"/>
                <w:lang w:eastAsia="en-US"/>
              </w:rPr>
              <w:t xml:space="preserve"> in</w:t>
            </w:r>
            <w:r w:rsidR="00052AE2">
              <w:rPr>
                <w:rFonts w:asciiTheme="minorHAnsi" w:hAnsiTheme="minorHAnsi"/>
                <w:color w:val="000000" w:themeColor="text1"/>
                <w:szCs w:val="20"/>
                <w:lang w:eastAsia="en-US"/>
              </w:rPr>
              <w:t xml:space="preserve"> 2018-19 </w:t>
            </w:r>
            <w:r w:rsidRPr="00052AE2">
              <w:rPr>
                <w:rFonts w:asciiTheme="minorHAnsi" w:hAnsiTheme="minorHAnsi"/>
                <w:color w:val="000000" w:themeColor="text1"/>
                <w:szCs w:val="20"/>
                <w:lang w:eastAsia="en-US"/>
              </w:rPr>
              <w:t>will be determined during this financial year.</w:t>
            </w:r>
          </w:p>
          <w:p w14:paraId="62C2C49A" w14:textId="264C0C77" w:rsidR="00CC6244" w:rsidRPr="00052AE2" w:rsidRDefault="00CC6244" w:rsidP="00B267F6">
            <w:pPr>
              <w:pStyle w:val="NormalIndented"/>
              <w:ind w:left="33"/>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7,000 farmers report increased income.</w:t>
            </w:r>
          </w:p>
          <w:p w14:paraId="64FD2741" w14:textId="1D703960" w:rsidR="00CC6244" w:rsidRPr="00052AE2" w:rsidRDefault="00CC6244" w:rsidP="00B267F6">
            <w:pPr>
              <w:pStyle w:val="NormalIndented"/>
              <w:ind w:left="33"/>
              <w:rPr>
                <w:rFonts w:asciiTheme="minorHAnsi" w:hAnsiTheme="minorHAnsi"/>
                <w:color w:val="000000" w:themeColor="text1"/>
                <w:szCs w:val="20"/>
                <w:lang w:eastAsia="en-US"/>
              </w:rPr>
            </w:pPr>
          </w:p>
          <w:p w14:paraId="11841E41" w14:textId="77777777" w:rsidR="00CC6244" w:rsidRPr="00052AE2" w:rsidRDefault="00CC6244" w:rsidP="00CC6244">
            <w:pPr>
              <w:pStyle w:val="NormalIndented"/>
              <w:ind w:left="0"/>
              <w:rPr>
                <w:rFonts w:asciiTheme="minorHAnsi" w:hAnsiTheme="minorHAnsi"/>
                <w:color w:val="000000" w:themeColor="text1"/>
                <w:szCs w:val="20"/>
                <w:lang w:eastAsia="en-US"/>
              </w:rPr>
            </w:pPr>
          </w:p>
          <w:p w14:paraId="45A4DBFB" w14:textId="77777777" w:rsidR="00CC6244" w:rsidRPr="00052AE2" w:rsidRDefault="00CC6244" w:rsidP="00CC6244">
            <w:pPr>
              <w:pStyle w:val="NormalIndented"/>
              <w:ind w:left="0"/>
              <w:rPr>
                <w:rFonts w:asciiTheme="minorHAnsi" w:hAnsiTheme="minorHAnsi"/>
                <w:color w:val="000000" w:themeColor="text1"/>
                <w:szCs w:val="20"/>
                <w:lang w:eastAsia="en-US"/>
              </w:rPr>
            </w:pPr>
          </w:p>
          <w:p w14:paraId="5ED7C440" w14:textId="1DBA3D17" w:rsidR="00CC6244" w:rsidRPr="00052AE2" w:rsidRDefault="00CC6244" w:rsidP="00CC6244">
            <w:pPr>
              <w:pStyle w:val="NormalIndented"/>
              <w:ind w:left="0"/>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 xml:space="preserve">As UNRWA measures educational achievement in a standardised manner only every three years, we will select another indicator to measure in 2018-19 </w:t>
            </w:r>
          </w:p>
          <w:p w14:paraId="1B57ADD5" w14:textId="0DB48D83" w:rsidR="00CC6244" w:rsidRPr="00052AE2" w:rsidRDefault="00CC6244" w:rsidP="00CC6244">
            <w:pPr>
              <w:pStyle w:val="NormalIndented"/>
              <w:ind w:left="0"/>
              <w:rPr>
                <w:rFonts w:asciiTheme="minorHAnsi" w:hAnsiTheme="minorHAnsi"/>
                <w:color w:val="000000" w:themeColor="text1"/>
                <w:szCs w:val="20"/>
                <w:lang w:eastAsia="en-US"/>
              </w:rPr>
            </w:pPr>
          </w:p>
          <w:p w14:paraId="46F1CB54" w14:textId="5D11BBC2" w:rsidR="00CC6244" w:rsidRPr="00052AE2" w:rsidRDefault="00CC6244" w:rsidP="00F05BF0">
            <w:pPr>
              <w:pStyle w:val="NormalIndented"/>
              <w:ind w:left="0"/>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A reduction from 2017-18 outcome</w:t>
            </w:r>
            <w:r w:rsidR="00723635" w:rsidRPr="00052AE2">
              <w:rPr>
                <w:rFonts w:asciiTheme="minorHAnsi" w:hAnsiTheme="minorHAnsi"/>
                <w:color w:val="000000" w:themeColor="text1"/>
                <w:szCs w:val="20"/>
                <w:lang w:eastAsia="en-US"/>
              </w:rPr>
              <w:t>s</w:t>
            </w:r>
            <w:r w:rsidRPr="00052AE2">
              <w:rPr>
                <w:rFonts w:asciiTheme="minorHAnsi" w:hAnsiTheme="minorHAnsi"/>
                <w:color w:val="000000" w:themeColor="text1"/>
                <w:szCs w:val="20"/>
                <w:lang w:eastAsia="en-US"/>
              </w:rPr>
              <w:t>.</w:t>
            </w:r>
          </w:p>
          <w:p w14:paraId="45122CBB" w14:textId="77777777" w:rsidR="00CC6244" w:rsidRPr="00052AE2" w:rsidRDefault="00CC6244" w:rsidP="00B267F6">
            <w:pPr>
              <w:pStyle w:val="NormalIndented"/>
              <w:ind w:left="33"/>
              <w:rPr>
                <w:rFonts w:asciiTheme="minorHAnsi" w:hAnsiTheme="minorHAnsi"/>
                <w:color w:val="000000" w:themeColor="text1"/>
                <w:szCs w:val="20"/>
                <w:lang w:eastAsia="en-US"/>
              </w:rPr>
            </w:pPr>
          </w:p>
          <w:p w14:paraId="06567027" w14:textId="77777777" w:rsidR="00CC6244" w:rsidRPr="00052AE2" w:rsidRDefault="00CC6244" w:rsidP="00F05BF0">
            <w:pPr>
              <w:pStyle w:val="NormalIndented"/>
              <w:ind w:left="0"/>
              <w:rPr>
                <w:rFonts w:asciiTheme="minorHAnsi" w:hAnsiTheme="minorHAnsi"/>
                <w:color w:val="000000" w:themeColor="text1"/>
                <w:szCs w:val="20"/>
                <w:lang w:eastAsia="en-US"/>
              </w:rPr>
            </w:pPr>
          </w:p>
        </w:tc>
        <w:tc>
          <w:tcPr>
            <w:tcW w:w="1616" w:type="pct"/>
            <w:tcBorders>
              <w:top w:val="nil"/>
              <w:left w:val="nil"/>
              <w:bottom w:val="nil"/>
              <w:right w:val="nil"/>
            </w:tcBorders>
            <w:hideMark/>
          </w:tcPr>
          <w:p w14:paraId="2BC92AA5" w14:textId="56049E8E" w:rsidR="00CC6244" w:rsidRPr="00052AE2" w:rsidRDefault="00CC6244" w:rsidP="00CC6244">
            <w:pPr>
              <w:pStyle w:val="NormalIndented"/>
              <w:ind w:left="0"/>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Funding to the activity that contributed to this benchmark has been discontinued. A new benchmark reflecting the new activity</w:t>
            </w:r>
            <w:r w:rsidR="00052AE2">
              <w:rPr>
                <w:rFonts w:asciiTheme="minorHAnsi" w:hAnsiTheme="minorHAnsi"/>
                <w:color w:val="000000" w:themeColor="text1"/>
                <w:szCs w:val="20"/>
                <w:lang w:eastAsia="en-US"/>
              </w:rPr>
              <w:t xml:space="preserve"> to </w:t>
            </w:r>
            <w:proofErr w:type="gramStart"/>
            <w:r w:rsidR="00052AE2">
              <w:rPr>
                <w:rFonts w:asciiTheme="minorHAnsi" w:hAnsiTheme="minorHAnsi"/>
                <w:color w:val="000000" w:themeColor="text1"/>
                <w:szCs w:val="20"/>
                <w:lang w:eastAsia="en-US"/>
              </w:rPr>
              <w:t>be</w:t>
            </w:r>
            <w:r w:rsidRPr="00052AE2">
              <w:rPr>
                <w:rFonts w:asciiTheme="minorHAnsi" w:hAnsiTheme="minorHAnsi"/>
                <w:color w:val="000000" w:themeColor="text1"/>
                <w:szCs w:val="20"/>
                <w:lang w:eastAsia="en-US"/>
              </w:rPr>
              <w:t xml:space="preserve"> funded</w:t>
            </w:r>
            <w:proofErr w:type="gramEnd"/>
            <w:r w:rsidR="00052AE2">
              <w:rPr>
                <w:rFonts w:asciiTheme="minorHAnsi" w:hAnsiTheme="minorHAnsi"/>
                <w:color w:val="000000" w:themeColor="text1"/>
                <w:szCs w:val="20"/>
                <w:lang w:eastAsia="en-US"/>
              </w:rPr>
              <w:t xml:space="preserve"> in 2018-19</w:t>
            </w:r>
            <w:r w:rsidRPr="00052AE2">
              <w:rPr>
                <w:rFonts w:asciiTheme="minorHAnsi" w:hAnsiTheme="minorHAnsi"/>
                <w:color w:val="000000" w:themeColor="text1"/>
                <w:szCs w:val="20"/>
                <w:lang w:eastAsia="en-US"/>
              </w:rPr>
              <w:t xml:space="preserve"> will be determined during this financial year.</w:t>
            </w:r>
          </w:p>
          <w:p w14:paraId="59632BE7" w14:textId="55084050" w:rsidR="00CC6244" w:rsidRPr="00052AE2" w:rsidRDefault="00CC6244" w:rsidP="00CC6244">
            <w:pPr>
              <w:pStyle w:val="NormalIndented"/>
              <w:ind w:left="0"/>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 xml:space="preserve">A mid-term review in March 2019 will determine whether AMENCA 3 </w:t>
            </w:r>
            <w:r w:rsidR="00723635" w:rsidRPr="00052AE2">
              <w:rPr>
                <w:rFonts w:asciiTheme="minorHAnsi" w:hAnsiTheme="minorHAnsi"/>
                <w:color w:val="000000" w:themeColor="text1"/>
                <w:szCs w:val="20"/>
                <w:lang w:eastAsia="en-US"/>
              </w:rPr>
              <w:t>will continue</w:t>
            </w:r>
            <w:r w:rsidRPr="00052AE2">
              <w:rPr>
                <w:rFonts w:asciiTheme="minorHAnsi" w:hAnsiTheme="minorHAnsi"/>
                <w:color w:val="000000" w:themeColor="text1"/>
                <w:szCs w:val="20"/>
                <w:lang w:eastAsia="en-US"/>
              </w:rPr>
              <w:t xml:space="preserve"> in</w:t>
            </w:r>
            <w:r w:rsidR="00723635" w:rsidRPr="00052AE2">
              <w:rPr>
                <w:rFonts w:asciiTheme="minorHAnsi" w:hAnsiTheme="minorHAnsi"/>
                <w:color w:val="000000" w:themeColor="text1"/>
                <w:szCs w:val="20"/>
                <w:lang w:eastAsia="en-US"/>
              </w:rPr>
              <w:t>to</w:t>
            </w:r>
            <w:r w:rsidRPr="00052AE2">
              <w:rPr>
                <w:rFonts w:asciiTheme="minorHAnsi" w:hAnsiTheme="minorHAnsi"/>
                <w:color w:val="000000" w:themeColor="text1"/>
                <w:szCs w:val="20"/>
                <w:lang w:eastAsia="en-US"/>
              </w:rPr>
              <w:t xml:space="preserve"> 2019-20 and, if so, what revised targets will be </w:t>
            </w:r>
            <w:r w:rsidR="00CA7C01" w:rsidRPr="00052AE2">
              <w:rPr>
                <w:rFonts w:asciiTheme="minorHAnsi" w:hAnsiTheme="minorHAnsi"/>
                <w:color w:val="000000" w:themeColor="text1"/>
                <w:szCs w:val="20"/>
                <w:lang w:eastAsia="en-US"/>
              </w:rPr>
              <w:t>sought</w:t>
            </w:r>
            <w:r w:rsidRPr="00052AE2">
              <w:rPr>
                <w:rFonts w:asciiTheme="minorHAnsi" w:hAnsiTheme="minorHAnsi"/>
                <w:color w:val="000000" w:themeColor="text1"/>
                <w:szCs w:val="20"/>
                <w:lang w:eastAsia="en-US"/>
              </w:rPr>
              <w:t>.</w:t>
            </w:r>
          </w:p>
          <w:p w14:paraId="0185A3F7" w14:textId="77777777" w:rsidR="00CC6244" w:rsidRPr="00052AE2" w:rsidRDefault="00CC6244" w:rsidP="00B267F6">
            <w:pPr>
              <w:pStyle w:val="NormalIndented"/>
              <w:rPr>
                <w:rFonts w:asciiTheme="minorHAnsi" w:hAnsiTheme="minorHAnsi"/>
                <w:color w:val="000000" w:themeColor="text1"/>
                <w:szCs w:val="20"/>
                <w:lang w:eastAsia="en-US"/>
              </w:rPr>
            </w:pPr>
          </w:p>
          <w:p w14:paraId="59796EC0" w14:textId="77777777" w:rsidR="00CC6244" w:rsidRPr="00052AE2" w:rsidRDefault="00CC6244" w:rsidP="00CC6244">
            <w:pPr>
              <w:pStyle w:val="NormalIndented"/>
              <w:ind w:left="0"/>
              <w:rPr>
                <w:rFonts w:asciiTheme="minorHAnsi" w:eastAsia="Times New Roman" w:hAnsiTheme="minorHAnsi"/>
                <w:iCs/>
                <w:color w:val="000000" w:themeColor="text1"/>
                <w:szCs w:val="17"/>
                <w:lang w:eastAsia="en-US"/>
              </w:rPr>
            </w:pPr>
          </w:p>
          <w:p w14:paraId="03F5C7D8" w14:textId="14D250E7" w:rsidR="00CC6244" w:rsidRPr="00052AE2" w:rsidRDefault="00CC6244" w:rsidP="00CC6244">
            <w:pPr>
              <w:pStyle w:val="NormalIndented"/>
              <w:ind w:left="0"/>
              <w:rPr>
                <w:rFonts w:asciiTheme="minorHAnsi" w:hAnsiTheme="minorHAnsi"/>
                <w:color w:val="000000" w:themeColor="text1"/>
                <w:szCs w:val="20"/>
                <w:lang w:eastAsia="en-US"/>
              </w:rPr>
            </w:pPr>
            <w:r w:rsidRPr="00052AE2">
              <w:rPr>
                <w:rFonts w:asciiTheme="minorHAnsi" w:eastAsia="Times New Roman" w:hAnsiTheme="minorHAnsi"/>
                <w:iCs/>
                <w:color w:val="000000" w:themeColor="text1"/>
                <w:szCs w:val="17"/>
                <w:lang w:eastAsia="en-US"/>
              </w:rPr>
              <w:t xml:space="preserve">The number of Grade 4 students in UNRWA schools performing at or above the expected level in mathematics (from </w:t>
            </w:r>
            <w:r w:rsidR="00723635" w:rsidRPr="00052AE2">
              <w:rPr>
                <w:rFonts w:asciiTheme="minorHAnsi" w:eastAsia="Times New Roman" w:hAnsiTheme="minorHAnsi"/>
                <w:iCs/>
                <w:color w:val="000000" w:themeColor="text1"/>
                <w:szCs w:val="17"/>
                <w:lang w:eastAsia="en-US"/>
              </w:rPr>
              <w:t>2013 baselines</w:t>
            </w:r>
            <w:r w:rsidRPr="00052AE2">
              <w:rPr>
                <w:rFonts w:asciiTheme="minorHAnsi" w:eastAsia="Times New Roman" w:hAnsiTheme="minorHAnsi"/>
                <w:iCs/>
                <w:color w:val="000000" w:themeColor="text1"/>
                <w:szCs w:val="17"/>
                <w:lang w:eastAsia="en-US"/>
              </w:rPr>
              <w:t>).</w:t>
            </w:r>
          </w:p>
          <w:p w14:paraId="3CDE8200" w14:textId="77777777" w:rsidR="00CC6244" w:rsidRPr="00052AE2" w:rsidRDefault="00CC6244" w:rsidP="00B267F6">
            <w:pPr>
              <w:pStyle w:val="NormalIndented"/>
              <w:rPr>
                <w:rFonts w:asciiTheme="minorHAnsi" w:hAnsiTheme="minorHAnsi"/>
                <w:color w:val="000000" w:themeColor="text1"/>
                <w:szCs w:val="20"/>
                <w:lang w:eastAsia="en-US"/>
              </w:rPr>
            </w:pPr>
          </w:p>
          <w:p w14:paraId="0A9BFD6B" w14:textId="0C5CEB34" w:rsidR="00CC6244" w:rsidRPr="00052AE2" w:rsidRDefault="00CC6244" w:rsidP="00CC6244">
            <w:pPr>
              <w:pStyle w:val="NormalIndented"/>
              <w:ind w:left="0"/>
              <w:rPr>
                <w:rFonts w:asciiTheme="minorHAnsi" w:hAnsiTheme="minorHAnsi"/>
                <w:color w:val="000000" w:themeColor="text1"/>
                <w:szCs w:val="20"/>
                <w:lang w:eastAsia="en-US"/>
              </w:rPr>
            </w:pPr>
            <w:r w:rsidRPr="00052AE2">
              <w:rPr>
                <w:rFonts w:asciiTheme="minorHAnsi" w:hAnsiTheme="minorHAnsi"/>
                <w:color w:val="000000" w:themeColor="text1"/>
                <w:szCs w:val="20"/>
                <w:lang w:eastAsia="en-US"/>
              </w:rPr>
              <w:t>A reduction from 2018-19 outcome</w:t>
            </w:r>
            <w:r w:rsidR="00723635" w:rsidRPr="00052AE2">
              <w:rPr>
                <w:rFonts w:asciiTheme="minorHAnsi" w:hAnsiTheme="minorHAnsi"/>
                <w:color w:val="000000" w:themeColor="text1"/>
                <w:szCs w:val="20"/>
                <w:lang w:eastAsia="en-US"/>
              </w:rPr>
              <w:t>s</w:t>
            </w:r>
            <w:r w:rsidRPr="00052AE2">
              <w:rPr>
                <w:rFonts w:asciiTheme="minorHAnsi" w:hAnsiTheme="minorHAnsi"/>
                <w:color w:val="000000" w:themeColor="text1"/>
                <w:szCs w:val="20"/>
                <w:lang w:eastAsia="en-US"/>
              </w:rPr>
              <w:t>.</w:t>
            </w:r>
          </w:p>
          <w:p w14:paraId="3D194948" w14:textId="6EC795D3" w:rsidR="00CC6244" w:rsidRPr="00052AE2" w:rsidRDefault="00CC6244" w:rsidP="00CC6244">
            <w:pPr>
              <w:pStyle w:val="NormalIndented"/>
              <w:ind w:left="0"/>
              <w:rPr>
                <w:rFonts w:asciiTheme="minorHAnsi" w:hAnsiTheme="minorHAnsi"/>
                <w:color w:val="000000" w:themeColor="text1"/>
                <w:szCs w:val="20"/>
                <w:lang w:eastAsia="en-US"/>
              </w:rPr>
            </w:pPr>
          </w:p>
        </w:tc>
      </w:tr>
    </w:tbl>
    <w:p w14:paraId="0ED77A87" w14:textId="77777777" w:rsidR="00184F1E" w:rsidRDefault="00184F1E" w:rsidP="00184F1E">
      <w:pPr>
        <w:spacing w:after="120" w:line="280" w:lineRule="exact"/>
        <w:rPr>
          <w:rFonts w:ascii="Franklin Gothic Book" w:eastAsia="Times New Roman" w:hAnsi="Franklin Gothic Book"/>
          <w:sz w:val="21"/>
        </w:rPr>
      </w:pPr>
    </w:p>
    <w:p w14:paraId="7B8452B9" w14:textId="77777777" w:rsidR="00AF1B85" w:rsidRPr="00A8197B" w:rsidRDefault="00184F1E" w:rsidP="00BE1BEB">
      <w:pPr>
        <w:pStyle w:val="Subtitle"/>
        <w:numPr>
          <w:ilvl w:val="0"/>
          <w:numId w:val="0"/>
        </w:numPr>
      </w:pPr>
      <w:r>
        <w:br w:type="page"/>
      </w:r>
      <w:r w:rsidR="00AF1B85" w:rsidRPr="00A8197B">
        <w:lastRenderedPageBreak/>
        <w:t xml:space="preserve">Annex </w:t>
      </w:r>
      <w:r>
        <w:t>C</w:t>
      </w:r>
      <w:r w:rsidR="00AF1B85" w:rsidRPr="00A8197B">
        <w:t xml:space="preserve"> - Evaluation Planning</w:t>
      </w:r>
    </w:p>
    <w:p w14:paraId="1E668090" w14:textId="77777777" w:rsidR="00AF1B85" w:rsidRPr="005E606B" w:rsidRDefault="00AF1B85" w:rsidP="005E606B">
      <w:pPr>
        <w:pStyle w:val="ListBullet"/>
        <w:tabs>
          <w:tab w:val="clear" w:pos="284"/>
        </w:tabs>
        <w:spacing w:before="400"/>
        <w:rPr>
          <w:rFonts w:asciiTheme="majorHAnsi" w:eastAsiaTheme="majorEastAsia" w:hAnsiTheme="majorHAnsi" w:cstheme="majorBidi"/>
          <w:caps/>
          <w:color w:val="495965" w:themeColor="text2"/>
          <w:sz w:val="38"/>
          <w:szCs w:val="26"/>
          <w:lang w:val="en-GB" w:eastAsia="en-US"/>
        </w:rPr>
      </w:pPr>
      <w:r w:rsidRPr="005E606B">
        <w:rPr>
          <w:rFonts w:asciiTheme="majorHAnsi" w:eastAsiaTheme="majorEastAsia" w:hAnsiTheme="majorHAnsi" w:cstheme="majorBidi"/>
          <w:caps/>
          <w:color w:val="495965" w:themeColor="text2"/>
          <w:sz w:val="38"/>
          <w:szCs w:val="26"/>
          <w:lang w:val="en-GB" w:eastAsia="en-US"/>
        </w:rPr>
        <w:t xml:space="preserve">List of evaluations completed in the reporting period </w:t>
      </w:r>
    </w:p>
    <w:tbl>
      <w:tblPr>
        <w:tblStyle w:val="APPR"/>
        <w:tblW w:w="14311" w:type="dxa"/>
        <w:tblLayout w:type="fixed"/>
        <w:tblLook w:val="04A0" w:firstRow="1" w:lastRow="0" w:firstColumn="1" w:lastColumn="0" w:noHBand="0" w:noVBand="1"/>
      </w:tblPr>
      <w:tblGrid>
        <w:gridCol w:w="3106"/>
        <w:gridCol w:w="3693"/>
        <w:gridCol w:w="1425"/>
        <w:gridCol w:w="1981"/>
        <w:gridCol w:w="1699"/>
        <w:gridCol w:w="2407"/>
      </w:tblGrid>
      <w:tr w:rsidR="00AF1B85" w:rsidRPr="00C61187" w14:paraId="1F2A9211" w14:textId="77777777" w:rsidTr="00AF1B85">
        <w:trPr>
          <w:cnfStyle w:val="100000000000" w:firstRow="1" w:lastRow="0" w:firstColumn="0" w:lastColumn="0" w:oddVBand="0" w:evenVBand="0" w:oddHBand="0" w:evenHBand="0" w:firstRowFirstColumn="0" w:firstRowLastColumn="0" w:lastRowFirstColumn="0" w:lastRowLastColumn="0"/>
        </w:trPr>
        <w:tc>
          <w:tcPr>
            <w:tcW w:w="3064" w:type="dxa"/>
          </w:tcPr>
          <w:p w14:paraId="5D5EE9CE" w14:textId="77777777" w:rsidR="00AF1B85" w:rsidRPr="00812509" w:rsidRDefault="00AF1B85" w:rsidP="00D15A00">
            <w:pPr>
              <w:keepLines/>
              <w:spacing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 xml:space="preserve">Investment number and name </w:t>
            </w:r>
          </w:p>
          <w:p w14:paraId="1D3C6758" w14:textId="77777777" w:rsidR="00AF1B85" w:rsidRPr="00812509" w:rsidRDefault="00AF1B85" w:rsidP="00D15A00">
            <w:pPr>
              <w:keepLines/>
              <w:spacing w:line="200" w:lineRule="atLeast"/>
              <w:rPr>
                <w:rFonts w:asciiTheme="minorHAnsi" w:eastAsia="Times New Roman" w:hAnsiTheme="minorHAnsi"/>
                <w:b w:val="0"/>
                <w:iCs/>
                <w:szCs w:val="17"/>
                <w:lang w:eastAsia="en-US"/>
              </w:rPr>
            </w:pPr>
            <w:r w:rsidRPr="00812509">
              <w:rPr>
                <w:rFonts w:asciiTheme="minorHAnsi" w:eastAsia="Times New Roman" w:hAnsiTheme="minorHAnsi"/>
                <w:iCs/>
                <w:szCs w:val="17"/>
                <w:lang w:eastAsia="en-US"/>
              </w:rPr>
              <w:t xml:space="preserve">(if applicable) </w:t>
            </w:r>
          </w:p>
        </w:tc>
        <w:tc>
          <w:tcPr>
            <w:tcW w:w="3665" w:type="dxa"/>
          </w:tcPr>
          <w:p w14:paraId="315556D6" w14:textId="77777777" w:rsidR="00AF1B85" w:rsidRPr="00812509" w:rsidRDefault="00AF1B85" w:rsidP="00D15A00">
            <w:pPr>
              <w:keepLines/>
              <w:spacing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Name of evaluation</w:t>
            </w:r>
          </w:p>
        </w:tc>
        <w:tc>
          <w:tcPr>
            <w:tcW w:w="1397" w:type="dxa"/>
          </w:tcPr>
          <w:p w14:paraId="31F12E9A" w14:textId="77777777" w:rsidR="00AF1B85" w:rsidRPr="00812509" w:rsidRDefault="00AF1B85" w:rsidP="00D15A00">
            <w:pPr>
              <w:keepLines/>
              <w:spacing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Date completed</w:t>
            </w:r>
          </w:p>
        </w:tc>
        <w:tc>
          <w:tcPr>
            <w:tcW w:w="1953" w:type="dxa"/>
          </w:tcPr>
          <w:p w14:paraId="0C95A224" w14:textId="77777777" w:rsidR="00AF1B85" w:rsidRPr="00812509" w:rsidRDefault="00AF1B85" w:rsidP="00D15A00">
            <w:pPr>
              <w:keepLines/>
              <w:spacing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Date Evaluation report Uploaded into AidWorks</w:t>
            </w:r>
          </w:p>
        </w:tc>
        <w:tc>
          <w:tcPr>
            <w:tcW w:w="1671" w:type="dxa"/>
          </w:tcPr>
          <w:p w14:paraId="6379EA89" w14:textId="77777777" w:rsidR="00AF1B85" w:rsidRPr="00812509" w:rsidRDefault="00AF1B85" w:rsidP="00D15A00">
            <w:pPr>
              <w:keepLines/>
              <w:spacing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Date Management response uploaded into AidWorks</w:t>
            </w:r>
          </w:p>
        </w:tc>
        <w:tc>
          <w:tcPr>
            <w:tcW w:w="2365" w:type="dxa"/>
          </w:tcPr>
          <w:p w14:paraId="57277118" w14:textId="77777777" w:rsidR="00AF1B85" w:rsidRPr="00812509" w:rsidRDefault="00AF1B85" w:rsidP="00D15A00">
            <w:pPr>
              <w:keepLines/>
              <w:spacing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Published on website</w:t>
            </w:r>
          </w:p>
        </w:tc>
      </w:tr>
      <w:tr w:rsidR="00AF1B85" w:rsidRPr="003B5EE5" w14:paraId="20699D25" w14:textId="77777777" w:rsidTr="00AF1B85">
        <w:trPr>
          <w:cnfStyle w:val="100000000000" w:firstRow="1" w:lastRow="0" w:firstColumn="0" w:lastColumn="0" w:oddVBand="0" w:evenVBand="0" w:oddHBand="0" w:evenHBand="0" w:firstRowFirstColumn="0" w:firstRowLastColumn="0" w:lastRowFirstColumn="0" w:lastRowLastColumn="0"/>
        </w:trPr>
        <w:tc>
          <w:tcPr>
            <w:tcW w:w="3064" w:type="dxa"/>
          </w:tcPr>
          <w:p w14:paraId="3F3262AE" w14:textId="18E13E6A" w:rsidR="00AF1B85" w:rsidRPr="00812509" w:rsidRDefault="00723635" w:rsidP="00D15A00">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c>
          <w:tcPr>
            <w:tcW w:w="3665" w:type="dxa"/>
          </w:tcPr>
          <w:p w14:paraId="0B007226" w14:textId="6D5E0246" w:rsidR="00AF1B85" w:rsidRPr="00812509" w:rsidRDefault="00723635" w:rsidP="00D15A00">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c>
          <w:tcPr>
            <w:tcW w:w="1397" w:type="dxa"/>
          </w:tcPr>
          <w:p w14:paraId="2B27D37A" w14:textId="44162E0C" w:rsidR="00AF1B85" w:rsidRPr="00812509" w:rsidRDefault="00723635" w:rsidP="00D15A00">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c>
          <w:tcPr>
            <w:tcW w:w="1953" w:type="dxa"/>
          </w:tcPr>
          <w:p w14:paraId="31E8C796" w14:textId="08353FF0" w:rsidR="00AF1B85" w:rsidRPr="00812509" w:rsidRDefault="00723635" w:rsidP="00723635">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c>
          <w:tcPr>
            <w:tcW w:w="1671" w:type="dxa"/>
          </w:tcPr>
          <w:p w14:paraId="4A3D9E48" w14:textId="4B7C2933" w:rsidR="00AF1B85" w:rsidRPr="00812509" w:rsidRDefault="00F05BF0" w:rsidP="00D15A00">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w:t>
            </w:r>
            <w:r w:rsidR="00723635">
              <w:rPr>
                <w:rFonts w:asciiTheme="minorHAnsi" w:eastAsia="Times New Roman" w:hAnsiTheme="minorHAnsi"/>
                <w:b w:val="0"/>
                <w:iCs/>
                <w:szCs w:val="17"/>
                <w:lang w:eastAsia="en-US"/>
              </w:rPr>
              <w:t>/A</w:t>
            </w:r>
          </w:p>
        </w:tc>
        <w:tc>
          <w:tcPr>
            <w:tcW w:w="2365" w:type="dxa"/>
          </w:tcPr>
          <w:p w14:paraId="38EE135D" w14:textId="77777777" w:rsidR="00AF1B85" w:rsidRPr="00812509" w:rsidRDefault="00F05BF0" w:rsidP="003E305C">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r>
    </w:tbl>
    <w:p w14:paraId="0EBE5D6D" w14:textId="77777777" w:rsidR="00AF1B85" w:rsidRPr="005E606B" w:rsidRDefault="00AF1B85" w:rsidP="005E606B">
      <w:pPr>
        <w:pStyle w:val="ListBullet"/>
        <w:tabs>
          <w:tab w:val="clear" w:pos="284"/>
        </w:tabs>
        <w:spacing w:before="400"/>
        <w:rPr>
          <w:rFonts w:asciiTheme="majorHAnsi" w:eastAsiaTheme="majorEastAsia" w:hAnsiTheme="majorHAnsi" w:cstheme="majorBidi"/>
          <w:caps/>
          <w:color w:val="495965" w:themeColor="text2"/>
          <w:sz w:val="38"/>
          <w:szCs w:val="26"/>
          <w:lang w:val="en-GB" w:eastAsia="en-US"/>
        </w:rPr>
      </w:pPr>
      <w:r w:rsidRPr="005E606B">
        <w:rPr>
          <w:rFonts w:asciiTheme="majorHAnsi" w:eastAsiaTheme="majorEastAsia" w:hAnsiTheme="majorHAnsi" w:cstheme="majorBidi"/>
          <w:caps/>
          <w:color w:val="495965" w:themeColor="text2"/>
          <w:sz w:val="38"/>
          <w:szCs w:val="26"/>
          <w:lang w:val="en-GB" w:eastAsia="en-US"/>
        </w:rPr>
        <w:t xml:space="preserve">List of program prioritised evaluations planned for the next 12 months </w:t>
      </w:r>
    </w:p>
    <w:tbl>
      <w:tblPr>
        <w:tblStyle w:val="APPR"/>
        <w:tblW w:w="14311" w:type="dxa"/>
        <w:tblLook w:val="0600" w:firstRow="0" w:lastRow="0" w:firstColumn="0" w:lastColumn="0" w:noHBand="1" w:noVBand="1"/>
      </w:tblPr>
      <w:tblGrid>
        <w:gridCol w:w="2486"/>
        <w:gridCol w:w="2384"/>
        <w:gridCol w:w="2070"/>
        <w:gridCol w:w="2236"/>
        <w:gridCol w:w="2353"/>
        <w:gridCol w:w="2782"/>
      </w:tblGrid>
      <w:tr w:rsidR="00AF1B85" w:rsidRPr="00C61187" w14:paraId="06D0759E" w14:textId="77777777" w:rsidTr="005E606B">
        <w:tc>
          <w:tcPr>
            <w:tcW w:w="2444" w:type="dxa"/>
          </w:tcPr>
          <w:p w14:paraId="3812CEED" w14:textId="77777777" w:rsidR="00AF1B85" w:rsidRPr="00812509" w:rsidRDefault="00AF1B85"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Evaluation title</w:t>
            </w:r>
          </w:p>
        </w:tc>
        <w:tc>
          <w:tcPr>
            <w:tcW w:w="2356" w:type="dxa"/>
          </w:tcPr>
          <w:p w14:paraId="44993A02" w14:textId="77777777" w:rsidR="00AF1B85" w:rsidRPr="00812509" w:rsidRDefault="00AF1B85"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 xml:space="preserve">Investment number and name (if applicable) </w:t>
            </w:r>
          </w:p>
        </w:tc>
        <w:tc>
          <w:tcPr>
            <w:tcW w:w="2042" w:type="dxa"/>
          </w:tcPr>
          <w:p w14:paraId="45532562" w14:textId="77777777" w:rsidR="00AF1B85" w:rsidRPr="00812509" w:rsidRDefault="00AF1B85"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Date – planned commencement (month/year)</w:t>
            </w:r>
          </w:p>
        </w:tc>
        <w:tc>
          <w:tcPr>
            <w:tcW w:w="2208" w:type="dxa"/>
          </w:tcPr>
          <w:p w14:paraId="21CE0575" w14:textId="77777777" w:rsidR="00AF1B85" w:rsidRPr="00812509" w:rsidRDefault="00AF1B85"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Date – planned completion (month/year)</w:t>
            </w:r>
          </w:p>
        </w:tc>
        <w:tc>
          <w:tcPr>
            <w:tcW w:w="2325" w:type="dxa"/>
          </w:tcPr>
          <w:p w14:paraId="77B41FB5" w14:textId="77777777" w:rsidR="00AF1B85" w:rsidRPr="00812509" w:rsidRDefault="00AF1B85"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Purpose of evaluation</w:t>
            </w:r>
          </w:p>
        </w:tc>
        <w:tc>
          <w:tcPr>
            <w:tcW w:w="2740" w:type="dxa"/>
          </w:tcPr>
          <w:p w14:paraId="54316A86" w14:textId="77777777" w:rsidR="00AF1B85" w:rsidRPr="00812509" w:rsidRDefault="00AF1B85"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Evaluation type</w:t>
            </w:r>
          </w:p>
        </w:tc>
      </w:tr>
      <w:tr w:rsidR="000C5866" w:rsidRPr="00C61187" w14:paraId="3B6C6216" w14:textId="77777777" w:rsidTr="005E606B">
        <w:tc>
          <w:tcPr>
            <w:tcW w:w="2444" w:type="dxa"/>
          </w:tcPr>
          <w:p w14:paraId="063CE733" w14:textId="77777777" w:rsidR="000C5866" w:rsidRPr="009D46D1" w:rsidRDefault="000C5866" w:rsidP="00D15A00">
            <w:pPr>
              <w:keepLines/>
              <w:spacing w:before="40" w:after="40" w:line="200" w:lineRule="atLeast"/>
              <w:rPr>
                <w:rFonts w:eastAsia="Times New Roman"/>
                <w:iCs/>
                <w:szCs w:val="17"/>
              </w:rPr>
            </w:pPr>
            <w:r>
              <w:rPr>
                <w:rFonts w:eastAsia="Times New Roman"/>
                <w:iCs/>
                <w:szCs w:val="17"/>
              </w:rPr>
              <w:t>AMENCA 3 Mid-term Review</w:t>
            </w:r>
          </w:p>
        </w:tc>
        <w:tc>
          <w:tcPr>
            <w:tcW w:w="2356" w:type="dxa"/>
          </w:tcPr>
          <w:p w14:paraId="697E36DD" w14:textId="77777777" w:rsidR="000C5866" w:rsidRPr="009D46D1" w:rsidRDefault="000C5866" w:rsidP="000C5866">
            <w:pPr>
              <w:keepLines/>
              <w:spacing w:before="40" w:after="40" w:line="200" w:lineRule="atLeast"/>
              <w:rPr>
                <w:rFonts w:eastAsia="Times New Roman"/>
                <w:iCs/>
                <w:szCs w:val="17"/>
              </w:rPr>
            </w:pPr>
            <w:r>
              <w:rPr>
                <w:rFonts w:eastAsia="Times New Roman"/>
                <w:iCs/>
                <w:szCs w:val="17"/>
              </w:rPr>
              <w:t>INL608 Palestinian Farmers Connecting to Market</w:t>
            </w:r>
          </w:p>
        </w:tc>
        <w:tc>
          <w:tcPr>
            <w:tcW w:w="2042" w:type="dxa"/>
          </w:tcPr>
          <w:p w14:paraId="2A0BA3FD" w14:textId="77777777" w:rsidR="000C5866" w:rsidRPr="009D46D1" w:rsidRDefault="000C5866" w:rsidP="000C5866">
            <w:pPr>
              <w:keepLines/>
              <w:spacing w:before="40" w:after="40" w:line="200" w:lineRule="atLeast"/>
              <w:rPr>
                <w:rFonts w:eastAsia="Times New Roman"/>
                <w:iCs/>
                <w:szCs w:val="17"/>
              </w:rPr>
            </w:pPr>
            <w:r>
              <w:rPr>
                <w:rFonts w:eastAsia="Times New Roman"/>
                <w:iCs/>
                <w:szCs w:val="17"/>
              </w:rPr>
              <w:t>Q1/2019</w:t>
            </w:r>
          </w:p>
        </w:tc>
        <w:tc>
          <w:tcPr>
            <w:tcW w:w="2208" w:type="dxa"/>
          </w:tcPr>
          <w:p w14:paraId="1B9EE360" w14:textId="77777777" w:rsidR="000C5866" w:rsidRPr="009D46D1" w:rsidRDefault="000C5866" w:rsidP="00D15A00">
            <w:pPr>
              <w:keepLines/>
              <w:spacing w:before="40" w:after="40" w:line="200" w:lineRule="atLeast"/>
              <w:rPr>
                <w:rFonts w:eastAsia="Times New Roman"/>
                <w:iCs/>
                <w:szCs w:val="17"/>
              </w:rPr>
            </w:pPr>
            <w:r>
              <w:rPr>
                <w:rFonts w:eastAsia="Times New Roman"/>
                <w:iCs/>
                <w:szCs w:val="17"/>
              </w:rPr>
              <w:t>Q2/2019</w:t>
            </w:r>
          </w:p>
        </w:tc>
        <w:tc>
          <w:tcPr>
            <w:tcW w:w="2325" w:type="dxa"/>
          </w:tcPr>
          <w:p w14:paraId="398591C6" w14:textId="2ED7504C" w:rsidR="000C5866" w:rsidRPr="009D46D1" w:rsidRDefault="00723635" w:rsidP="00723635">
            <w:pPr>
              <w:keepLines/>
              <w:spacing w:before="40" w:after="40" w:line="200" w:lineRule="atLeast"/>
              <w:rPr>
                <w:rFonts w:eastAsia="Times New Roman"/>
                <w:iCs/>
                <w:szCs w:val="17"/>
              </w:rPr>
            </w:pPr>
            <w:r>
              <w:rPr>
                <w:rFonts w:eastAsia="Times New Roman"/>
                <w:iCs/>
                <w:szCs w:val="17"/>
              </w:rPr>
              <w:t>To determine whether the activity should continue for a further two years</w:t>
            </w:r>
          </w:p>
        </w:tc>
        <w:tc>
          <w:tcPr>
            <w:tcW w:w="2740" w:type="dxa"/>
          </w:tcPr>
          <w:p w14:paraId="54361FBC" w14:textId="77777777" w:rsidR="000C5866" w:rsidRPr="009D46D1" w:rsidRDefault="000C5866" w:rsidP="00D15A00">
            <w:pPr>
              <w:keepLines/>
              <w:spacing w:before="40" w:after="40" w:line="200" w:lineRule="atLeast"/>
              <w:rPr>
                <w:rFonts w:eastAsia="Times New Roman"/>
                <w:iCs/>
                <w:szCs w:val="17"/>
              </w:rPr>
            </w:pPr>
            <w:r>
              <w:rPr>
                <w:rFonts w:eastAsia="Times New Roman"/>
                <w:iCs/>
                <w:szCs w:val="17"/>
              </w:rPr>
              <w:t>Independent evaluation</w:t>
            </w:r>
          </w:p>
        </w:tc>
      </w:tr>
    </w:tbl>
    <w:p w14:paraId="47FBCA52" w14:textId="77777777" w:rsidR="0059146A" w:rsidRPr="0059146A" w:rsidRDefault="0059146A" w:rsidP="005B5769">
      <w:pPr>
        <w:pStyle w:val="ListBullet"/>
        <w:tabs>
          <w:tab w:val="clear" w:pos="284"/>
        </w:tabs>
      </w:pPr>
    </w:p>
    <w:p w14:paraId="218D8DF3" w14:textId="77777777" w:rsidR="0059146A" w:rsidRDefault="0059146A" w:rsidP="005B5769">
      <w:pPr>
        <w:pStyle w:val="ListBullet"/>
        <w:tabs>
          <w:tab w:val="clear" w:pos="284"/>
        </w:tabs>
      </w:pPr>
    </w:p>
    <w:p w14:paraId="4E8B54CE" w14:textId="77777777" w:rsidR="005E606B" w:rsidRDefault="005E606B" w:rsidP="005B5769">
      <w:pPr>
        <w:pStyle w:val="ListBullet"/>
        <w:tabs>
          <w:tab w:val="clear" w:pos="284"/>
        </w:tabs>
        <w:sectPr w:rsidR="005E606B" w:rsidSect="00D2653F">
          <w:headerReference w:type="default" r:id="rId31"/>
          <w:headerReference w:type="first" r:id="rId32"/>
          <w:pgSz w:w="16838" w:h="11906" w:orient="landscape" w:code="9"/>
          <w:pgMar w:top="1134" w:right="1952" w:bottom="1134" w:left="851" w:header="1107" w:footer="567" w:gutter="0"/>
          <w:cols w:space="397"/>
          <w:docGrid w:linePitch="360"/>
        </w:sectPr>
      </w:pPr>
    </w:p>
    <w:p w14:paraId="52413F26" w14:textId="77777777" w:rsidR="0059146A" w:rsidRDefault="0059146A" w:rsidP="005B5769">
      <w:pPr>
        <w:pStyle w:val="ListBullet"/>
        <w:tabs>
          <w:tab w:val="clear" w:pos="284"/>
        </w:tabs>
      </w:pPr>
    </w:p>
    <w:p w14:paraId="2C206641" w14:textId="77777777" w:rsidR="005E606B" w:rsidRPr="00A8197B" w:rsidRDefault="005E606B" w:rsidP="00A8197B">
      <w:pPr>
        <w:pStyle w:val="Subtitle"/>
      </w:pPr>
      <w:r w:rsidRPr="00A8197B">
        <w:t xml:space="preserve">Annex </w:t>
      </w:r>
      <w:r w:rsidR="00184F1E">
        <w:t>D</w:t>
      </w:r>
      <w:r w:rsidRPr="00A8197B">
        <w:t xml:space="preserve"> - Aid Quality Check ratings</w:t>
      </w:r>
    </w:p>
    <w:p w14:paraId="71FF9018" w14:textId="77777777" w:rsidR="005E606B" w:rsidRPr="00A8197B" w:rsidRDefault="005E606B" w:rsidP="00A8197B">
      <w:pPr>
        <w:pStyle w:val="ListBullet"/>
        <w:tabs>
          <w:tab w:val="clear" w:pos="284"/>
        </w:tabs>
        <w:spacing w:before="400"/>
        <w:rPr>
          <w:rFonts w:asciiTheme="majorHAnsi" w:eastAsiaTheme="majorEastAsia" w:hAnsiTheme="majorHAnsi" w:cstheme="majorBidi"/>
          <w:caps/>
          <w:color w:val="495965" w:themeColor="text2"/>
          <w:sz w:val="38"/>
          <w:szCs w:val="26"/>
          <w:lang w:val="en-GB" w:eastAsia="en-US"/>
        </w:rPr>
      </w:pPr>
      <w:r w:rsidRPr="00A8197B">
        <w:rPr>
          <w:rFonts w:asciiTheme="majorHAnsi" w:eastAsiaTheme="majorEastAsia" w:hAnsiTheme="majorHAnsi" w:cstheme="majorBidi"/>
          <w:caps/>
          <w:color w:val="495965" w:themeColor="text2"/>
          <w:sz w:val="38"/>
          <w:szCs w:val="26"/>
          <w:lang w:val="en-GB" w:eastAsia="en-US"/>
        </w:rPr>
        <w:t>AQC ratings</w:t>
      </w:r>
    </w:p>
    <w:p w14:paraId="7447E9AB" w14:textId="77777777" w:rsidR="005E606B" w:rsidRPr="00C61187" w:rsidRDefault="005E606B" w:rsidP="00A8197B">
      <w:r w:rsidRPr="00C61187">
        <w:t>AQC investment performance over the previous 12 months and where available last</w:t>
      </w:r>
      <w:r>
        <w:t xml:space="preserve"> year’s AQC ratings</w:t>
      </w:r>
      <w:r w:rsidRPr="00C61187">
        <w:t>.</w:t>
      </w:r>
    </w:p>
    <w:tbl>
      <w:tblPr>
        <w:tblStyle w:val="APPR"/>
        <w:tblW w:w="5000" w:type="pct"/>
        <w:tblLook w:val="0000" w:firstRow="0" w:lastRow="0" w:firstColumn="0" w:lastColumn="0" w:noHBand="0" w:noVBand="0"/>
      </w:tblPr>
      <w:tblGrid>
        <w:gridCol w:w="1771"/>
        <w:gridCol w:w="1285"/>
        <w:gridCol w:w="822"/>
        <w:gridCol w:w="824"/>
        <w:gridCol w:w="819"/>
        <w:gridCol w:w="825"/>
        <w:gridCol w:w="819"/>
        <w:gridCol w:w="825"/>
        <w:gridCol w:w="819"/>
        <w:gridCol w:w="829"/>
      </w:tblGrid>
      <w:tr w:rsidR="005E606B" w:rsidRPr="00C61187" w14:paraId="1409EB7C" w14:textId="77777777" w:rsidTr="00B4572E">
        <w:trPr>
          <w:cnfStyle w:val="000000010000" w:firstRow="0" w:lastRow="0" w:firstColumn="0" w:lastColumn="0" w:oddVBand="0" w:evenVBand="0" w:oddHBand="0" w:evenHBand="1" w:firstRowFirstColumn="0" w:firstRowLastColumn="0" w:lastRowFirstColumn="0" w:lastRowLastColumn="0"/>
          <w:trHeight w:val="1413"/>
        </w:trPr>
        <w:tc>
          <w:tcPr>
            <w:tcW w:w="897" w:type="pct"/>
          </w:tcPr>
          <w:p w14:paraId="05DC3631"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eastAsia="Times New Roman"/>
                <w:b/>
                <w:iCs/>
                <w:noProof/>
                <w:szCs w:val="17"/>
                <w:lang w:val="en-AU"/>
              </w:rPr>
              <w:drawing>
                <wp:anchor distT="0" distB="0" distL="114300" distR="114300" simplePos="0" relativeHeight="251668480" behindDoc="0" locked="0" layoutInCell="1" allowOverlap="1" wp14:anchorId="1DE6F0C8" wp14:editId="3FAFE965">
                  <wp:simplePos x="0" y="0"/>
                  <wp:positionH relativeFrom="column">
                    <wp:posOffset>0</wp:posOffset>
                  </wp:positionH>
                  <wp:positionV relativeFrom="paragraph">
                    <wp:posOffset>0</wp:posOffset>
                  </wp:positionV>
                  <wp:extent cx="1857375" cy="228600"/>
                  <wp:effectExtent l="0" t="0" r="9525" b="0"/>
                  <wp:wrapNone/>
                  <wp:docPr id="26" name="Picture 2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509">
              <w:rPr>
                <w:rFonts w:asciiTheme="minorHAnsi" w:eastAsia="Times New Roman" w:hAnsiTheme="minorHAnsi"/>
                <w:b/>
                <w:iCs/>
                <w:szCs w:val="17"/>
                <w:lang w:eastAsia="en-US"/>
              </w:rPr>
              <w:t>Investment name</w:t>
            </w:r>
          </w:p>
        </w:tc>
        <w:tc>
          <w:tcPr>
            <w:tcW w:w="652" w:type="pct"/>
            <w:textDirection w:val="btLr"/>
          </w:tcPr>
          <w:p w14:paraId="6C17AD05"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Approved budget and duration</w:t>
            </w:r>
          </w:p>
        </w:tc>
        <w:tc>
          <w:tcPr>
            <w:tcW w:w="412" w:type="pct"/>
            <w:textDirection w:val="btLr"/>
          </w:tcPr>
          <w:p w14:paraId="635593FF"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year on year</w:t>
            </w:r>
          </w:p>
        </w:tc>
        <w:tc>
          <w:tcPr>
            <w:tcW w:w="413" w:type="pct"/>
            <w:textDirection w:val="btLr"/>
          </w:tcPr>
          <w:p w14:paraId="651B8F27"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Relevance</w:t>
            </w:r>
          </w:p>
        </w:tc>
        <w:tc>
          <w:tcPr>
            <w:tcW w:w="410" w:type="pct"/>
            <w:textDirection w:val="btLr"/>
          </w:tcPr>
          <w:p w14:paraId="6D4FAC1F"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Effectiveness</w:t>
            </w:r>
          </w:p>
        </w:tc>
        <w:tc>
          <w:tcPr>
            <w:tcW w:w="413" w:type="pct"/>
            <w:textDirection w:val="btLr"/>
          </w:tcPr>
          <w:p w14:paraId="248B231D"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Efficiency</w:t>
            </w:r>
          </w:p>
        </w:tc>
        <w:tc>
          <w:tcPr>
            <w:tcW w:w="410" w:type="pct"/>
            <w:textDirection w:val="btLr"/>
          </w:tcPr>
          <w:p w14:paraId="08CEE123"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Monitoring and Evaluation</w:t>
            </w:r>
          </w:p>
        </w:tc>
        <w:tc>
          <w:tcPr>
            <w:tcW w:w="413" w:type="pct"/>
            <w:textDirection w:val="btLr"/>
          </w:tcPr>
          <w:p w14:paraId="039FA7C7"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Sustainability</w:t>
            </w:r>
          </w:p>
        </w:tc>
        <w:tc>
          <w:tcPr>
            <w:tcW w:w="410" w:type="pct"/>
            <w:textDirection w:val="btLr"/>
          </w:tcPr>
          <w:p w14:paraId="1EF42947"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Gender equality</w:t>
            </w:r>
          </w:p>
        </w:tc>
        <w:tc>
          <w:tcPr>
            <w:tcW w:w="408" w:type="pct"/>
            <w:textDirection w:val="btLr"/>
          </w:tcPr>
          <w:p w14:paraId="17E0542C" w14:textId="77777777" w:rsidR="005E606B" w:rsidRPr="00812509" w:rsidRDefault="005E606B" w:rsidP="00D15A00">
            <w:pPr>
              <w:keepLines/>
              <w:spacing w:before="80" w:after="80" w:line="200" w:lineRule="atLeast"/>
              <w:rPr>
                <w:rFonts w:asciiTheme="minorHAnsi" w:eastAsia="Times New Roman" w:hAnsiTheme="minorHAnsi"/>
                <w:b/>
                <w:iCs/>
                <w:szCs w:val="17"/>
                <w:lang w:eastAsia="en-US"/>
              </w:rPr>
            </w:pPr>
            <w:r w:rsidRPr="00812509">
              <w:rPr>
                <w:rFonts w:asciiTheme="minorHAnsi" w:eastAsia="Times New Roman" w:hAnsiTheme="minorHAnsi"/>
                <w:b/>
                <w:iCs/>
                <w:szCs w:val="17"/>
                <w:lang w:eastAsia="en-US"/>
              </w:rPr>
              <w:t>Risks  and Safeguards</w:t>
            </w:r>
          </w:p>
        </w:tc>
      </w:tr>
      <w:tr w:rsidR="005E606B" w:rsidRPr="00C61187" w14:paraId="26D96B1A" w14:textId="77777777" w:rsidTr="002127E4">
        <w:trPr>
          <w:cnfStyle w:val="000000010000" w:firstRow="0" w:lastRow="0" w:firstColumn="0" w:lastColumn="0" w:oddVBand="0" w:evenVBand="0" w:oddHBand="0" w:evenHBand="1" w:firstRowFirstColumn="0" w:firstRowLastColumn="0" w:lastRowFirstColumn="0" w:lastRowLastColumn="0"/>
          <w:trHeight w:val="284"/>
        </w:trPr>
        <w:tc>
          <w:tcPr>
            <w:tcW w:w="897" w:type="pct"/>
            <w:vMerge w:val="restart"/>
          </w:tcPr>
          <w:p w14:paraId="5B9BC32B" w14:textId="77777777" w:rsidR="005E606B" w:rsidRPr="00812509" w:rsidRDefault="000A515D" w:rsidP="00D15A00">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INL608 Palestinian Farmers Connecting to Market (AMENCA 3)</w:t>
            </w:r>
          </w:p>
        </w:tc>
        <w:tc>
          <w:tcPr>
            <w:tcW w:w="652" w:type="pct"/>
            <w:vMerge w:val="restart"/>
          </w:tcPr>
          <w:p w14:paraId="019B41A2" w14:textId="77777777" w:rsidR="005E606B" w:rsidRPr="00812509" w:rsidRDefault="000A515D" w:rsidP="00D15A00">
            <w:pPr>
              <w:autoSpaceDE w:val="0"/>
              <w:autoSpaceDN w:val="0"/>
              <w:adjustRightInd w:val="0"/>
              <w:rPr>
                <w:rFonts w:asciiTheme="minorHAnsi" w:hAnsiTheme="minorHAnsi" w:cs="Franklin Gothic Book"/>
                <w:color w:val="000000"/>
                <w:szCs w:val="17"/>
              </w:rPr>
            </w:pPr>
            <w:r>
              <w:rPr>
                <w:rFonts w:asciiTheme="minorHAnsi" w:hAnsiTheme="minorHAnsi" w:cs="Franklin Gothic Book"/>
                <w:color w:val="000000"/>
                <w:szCs w:val="17"/>
              </w:rPr>
              <w:t>$40</w:t>
            </w:r>
            <w:r w:rsidR="005E606B" w:rsidRPr="00812509">
              <w:rPr>
                <w:rFonts w:asciiTheme="minorHAnsi" w:hAnsiTheme="minorHAnsi" w:cs="Franklin Gothic Book"/>
                <w:color w:val="000000"/>
                <w:szCs w:val="17"/>
              </w:rPr>
              <w:t xml:space="preserve">m </w:t>
            </w:r>
          </w:p>
          <w:p w14:paraId="3C31A4BD" w14:textId="77777777" w:rsidR="005E606B" w:rsidRPr="00812509" w:rsidRDefault="005E606B" w:rsidP="003E305C">
            <w:pPr>
              <w:keepLines/>
              <w:spacing w:before="40" w:after="40"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sidR="000A515D">
              <w:rPr>
                <w:rFonts w:asciiTheme="minorHAnsi" w:eastAsia="Times New Roman" w:hAnsiTheme="minorHAnsi"/>
                <w:iCs/>
                <w:szCs w:val="17"/>
                <w:lang w:eastAsia="en-US"/>
              </w:rPr>
              <w:t>6-21</w:t>
            </w:r>
            <w:r w:rsidRPr="00812509">
              <w:rPr>
                <w:rFonts w:asciiTheme="minorHAnsi" w:eastAsia="Times New Roman" w:hAnsiTheme="minorHAnsi"/>
                <w:iCs/>
                <w:szCs w:val="17"/>
                <w:lang w:eastAsia="en-US"/>
              </w:rPr>
              <w:t xml:space="preserve"> </w:t>
            </w:r>
          </w:p>
        </w:tc>
        <w:tc>
          <w:tcPr>
            <w:tcW w:w="412" w:type="pct"/>
          </w:tcPr>
          <w:p w14:paraId="5789CC0A" w14:textId="77777777" w:rsidR="005E606B" w:rsidRPr="00812509" w:rsidRDefault="005E606B" w:rsidP="00580A64">
            <w:pPr>
              <w:keepLines/>
              <w:spacing w:before="40" w:after="40"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sidR="00580A64">
              <w:rPr>
                <w:rFonts w:asciiTheme="minorHAnsi" w:eastAsia="Times New Roman" w:hAnsiTheme="minorHAnsi"/>
                <w:iCs/>
                <w:szCs w:val="17"/>
                <w:lang w:eastAsia="en-US"/>
              </w:rPr>
              <w:t>8</w:t>
            </w:r>
            <w:r w:rsidRPr="00812509">
              <w:rPr>
                <w:rFonts w:asciiTheme="minorHAnsi" w:eastAsia="Times New Roman" w:hAnsiTheme="minorHAnsi"/>
                <w:iCs/>
                <w:szCs w:val="17"/>
                <w:lang w:eastAsia="en-US"/>
              </w:rPr>
              <w:t xml:space="preserve"> AQC</w:t>
            </w:r>
          </w:p>
        </w:tc>
        <w:tc>
          <w:tcPr>
            <w:tcW w:w="413" w:type="pct"/>
            <w:shd w:val="clear" w:color="auto" w:fill="92D050"/>
            <w:noWrap/>
          </w:tcPr>
          <w:p w14:paraId="5C6577B8"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10" w:type="pct"/>
            <w:shd w:val="clear" w:color="auto" w:fill="FFFF00"/>
            <w:noWrap/>
          </w:tcPr>
          <w:p w14:paraId="3BAEB0C0"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4</w:t>
            </w:r>
          </w:p>
        </w:tc>
        <w:tc>
          <w:tcPr>
            <w:tcW w:w="413" w:type="pct"/>
            <w:shd w:val="clear" w:color="auto" w:fill="FFFF00"/>
            <w:noWrap/>
          </w:tcPr>
          <w:p w14:paraId="37BF8699"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4</w:t>
            </w:r>
          </w:p>
        </w:tc>
        <w:tc>
          <w:tcPr>
            <w:tcW w:w="410" w:type="pct"/>
            <w:shd w:val="clear" w:color="auto" w:fill="92D050"/>
            <w:noWrap/>
          </w:tcPr>
          <w:p w14:paraId="499B750C" w14:textId="77777777" w:rsidR="005E606B" w:rsidRPr="00812509" w:rsidRDefault="00E369DB"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13" w:type="pct"/>
            <w:shd w:val="clear" w:color="auto" w:fill="FFFF00"/>
            <w:noWrap/>
          </w:tcPr>
          <w:p w14:paraId="6BE6228D" w14:textId="77777777" w:rsidR="005E606B" w:rsidRPr="00812509" w:rsidRDefault="00E369DB"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0" w:type="pct"/>
            <w:shd w:val="clear" w:color="auto" w:fill="92D050"/>
            <w:noWrap/>
          </w:tcPr>
          <w:p w14:paraId="76C86937"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5</w:t>
            </w:r>
          </w:p>
        </w:tc>
        <w:tc>
          <w:tcPr>
            <w:tcW w:w="408" w:type="pct"/>
            <w:shd w:val="clear" w:color="auto" w:fill="92D050"/>
          </w:tcPr>
          <w:p w14:paraId="017955B3" w14:textId="77777777" w:rsidR="005E606B" w:rsidRPr="00812509" w:rsidRDefault="00E369DB"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Y</w:t>
            </w:r>
          </w:p>
        </w:tc>
      </w:tr>
      <w:tr w:rsidR="005E606B" w:rsidRPr="00C61187" w14:paraId="242FE236" w14:textId="77777777" w:rsidTr="002127E4">
        <w:trPr>
          <w:cnfStyle w:val="000000010000" w:firstRow="0" w:lastRow="0" w:firstColumn="0" w:lastColumn="0" w:oddVBand="0" w:evenVBand="0" w:oddHBand="0" w:evenHBand="1" w:firstRowFirstColumn="0" w:firstRowLastColumn="0" w:lastRowFirstColumn="0" w:lastRowLastColumn="0"/>
          <w:trHeight w:val="284"/>
        </w:trPr>
        <w:tc>
          <w:tcPr>
            <w:tcW w:w="897" w:type="pct"/>
            <w:vMerge/>
            <w:tcBorders>
              <w:bottom w:val="single" w:sz="4" w:space="0" w:color="auto"/>
            </w:tcBorders>
          </w:tcPr>
          <w:p w14:paraId="7DEE8B53" w14:textId="77777777" w:rsidR="005E606B" w:rsidRPr="00812509" w:rsidRDefault="005E606B" w:rsidP="00D15A00">
            <w:pPr>
              <w:keepLines/>
              <w:spacing w:before="40" w:after="40" w:line="200" w:lineRule="atLeast"/>
              <w:rPr>
                <w:rFonts w:asciiTheme="minorHAnsi" w:eastAsia="Times New Roman" w:hAnsiTheme="minorHAnsi"/>
                <w:iCs/>
                <w:szCs w:val="17"/>
                <w:lang w:eastAsia="en-US"/>
              </w:rPr>
            </w:pPr>
          </w:p>
        </w:tc>
        <w:tc>
          <w:tcPr>
            <w:tcW w:w="652" w:type="pct"/>
            <w:vMerge/>
            <w:tcBorders>
              <w:bottom w:val="single" w:sz="4" w:space="0" w:color="auto"/>
            </w:tcBorders>
          </w:tcPr>
          <w:p w14:paraId="4363F46A" w14:textId="77777777" w:rsidR="005E606B" w:rsidRPr="00812509" w:rsidRDefault="005E606B" w:rsidP="00D15A00">
            <w:pPr>
              <w:keepLines/>
              <w:spacing w:before="40" w:after="40" w:line="200" w:lineRule="atLeast"/>
              <w:rPr>
                <w:rFonts w:asciiTheme="minorHAnsi" w:eastAsia="Times New Roman" w:hAnsiTheme="minorHAnsi"/>
                <w:iCs/>
                <w:szCs w:val="17"/>
                <w:lang w:eastAsia="en-US"/>
              </w:rPr>
            </w:pPr>
          </w:p>
        </w:tc>
        <w:tc>
          <w:tcPr>
            <w:tcW w:w="412" w:type="pct"/>
            <w:tcBorders>
              <w:bottom w:val="single" w:sz="4" w:space="0" w:color="auto"/>
            </w:tcBorders>
          </w:tcPr>
          <w:p w14:paraId="6CA44F1C" w14:textId="77777777" w:rsidR="005E606B" w:rsidRPr="00812509" w:rsidRDefault="005E606B" w:rsidP="00580A64">
            <w:pPr>
              <w:keepLines/>
              <w:spacing w:before="40" w:after="40"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sidR="00580A64">
              <w:rPr>
                <w:rFonts w:asciiTheme="minorHAnsi" w:eastAsia="Times New Roman" w:hAnsiTheme="minorHAnsi"/>
                <w:iCs/>
                <w:szCs w:val="17"/>
                <w:lang w:eastAsia="en-US"/>
              </w:rPr>
              <w:t>7</w:t>
            </w:r>
            <w:r w:rsidRPr="00812509">
              <w:rPr>
                <w:rFonts w:asciiTheme="minorHAnsi" w:eastAsia="Times New Roman" w:hAnsiTheme="minorHAnsi"/>
                <w:iCs/>
                <w:szCs w:val="17"/>
                <w:lang w:eastAsia="en-US"/>
              </w:rPr>
              <w:t xml:space="preserve"> AQC</w:t>
            </w:r>
          </w:p>
        </w:tc>
        <w:tc>
          <w:tcPr>
            <w:tcW w:w="413" w:type="pct"/>
            <w:tcBorders>
              <w:bottom w:val="single" w:sz="4" w:space="0" w:color="auto"/>
            </w:tcBorders>
            <w:shd w:val="clear" w:color="auto" w:fill="FFFF00"/>
            <w:noWrap/>
          </w:tcPr>
          <w:p w14:paraId="767BE5BF"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0" w:type="pct"/>
            <w:tcBorders>
              <w:bottom w:val="single" w:sz="4" w:space="0" w:color="auto"/>
            </w:tcBorders>
            <w:shd w:val="clear" w:color="auto" w:fill="FFFF00"/>
            <w:noWrap/>
          </w:tcPr>
          <w:p w14:paraId="0A29C4E7"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3" w:type="pct"/>
            <w:tcBorders>
              <w:bottom w:val="single" w:sz="4" w:space="0" w:color="auto"/>
            </w:tcBorders>
            <w:shd w:val="clear" w:color="auto" w:fill="FFFF00"/>
            <w:noWrap/>
          </w:tcPr>
          <w:p w14:paraId="7F7396C6"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0" w:type="pct"/>
            <w:tcBorders>
              <w:bottom w:val="single" w:sz="4" w:space="0" w:color="auto"/>
            </w:tcBorders>
            <w:shd w:val="clear" w:color="auto" w:fill="FFFF00"/>
            <w:noWrap/>
          </w:tcPr>
          <w:p w14:paraId="106C275D"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3" w:type="pct"/>
            <w:tcBorders>
              <w:bottom w:val="single" w:sz="4" w:space="0" w:color="auto"/>
            </w:tcBorders>
            <w:shd w:val="clear" w:color="auto" w:fill="FFFF00"/>
            <w:noWrap/>
          </w:tcPr>
          <w:p w14:paraId="202ED0F6"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0" w:type="pct"/>
            <w:tcBorders>
              <w:bottom w:val="single" w:sz="4" w:space="0" w:color="auto"/>
            </w:tcBorders>
            <w:shd w:val="clear" w:color="auto" w:fill="FFFF00"/>
            <w:noWrap/>
          </w:tcPr>
          <w:p w14:paraId="3F132D5B"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08" w:type="pct"/>
            <w:tcBorders>
              <w:bottom w:val="single" w:sz="4" w:space="0" w:color="auto"/>
            </w:tcBorders>
            <w:shd w:val="clear" w:color="auto" w:fill="FFFF00"/>
          </w:tcPr>
          <w:p w14:paraId="5DBFDA8B"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r>
      <w:tr w:rsidR="005E606B" w:rsidRPr="00C61187" w14:paraId="42787AEB" w14:textId="77777777" w:rsidTr="002127E4">
        <w:trPr>
          <w:cnfStyle w:val="000000010000" w:firstRow="0" w:lastRow="0" w:firstColumn="0" w:lastColumn="0" w:oddVBand="0" w:evenVBand="0" w:oddHBand="0" w:evenHBand="1" w:firstRowFirstColumn="0" w:firstRowLastColumn="0" w:lastRowFirstColumn="0" w:lastRowLastColumn="0"/>
          <w:trHeight w:val="284"/>
        </w:trPr>
        <w:tc>
          <w:tcPr>
            <w:tcW w:w="897" w:type="pct"/>
            <w:vMerge w:val="restart"/>
          </w:tcPr>
          <w:p w14:paraId="5C05F1AE" w14:textId="77777777" w:rsidR="005E606B" w:rsidRPr="00812509" w:rsidRDefault="000A515D" w:rsidP="00D15A00">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INM230 – Funding to PA through WB Trust Fund</w:t>
            </w:r>
          </w:p>
        </w:tc>
        <w:tc>
          <w:tcPr>
            <w:tcW w:w="652" w:type="pct"/>
            <w:vMerge w:val="restart"/>
          </w:tcPr>
          <w:p w14:paraId="6B1585A9" w14:textId="77777777" w:rsidR="005E606B" w:rsidRPr="00812509" w:rsidRDefault="000A515D" w:rsidP="00D15A00">
            <w:pPr>
              <w:autoSpaceDE w:val="0"/>
              <w:autoSpaceDN w:val="0"/>
              <w:adjustRightInd w:val="0"/>
              <w:rPr>
                <w:rFonts w:asciiTheme="minorHAnsi" w:hAnsiTheme="minorHAnsi" w:cs="Franklin Gothic Book"/>
                <w:color w:val="000000"/>
                <w:szCs w:val="17"/>
              </w:rPr>
            </w:pPr>
            <w:r>
              <w:rPr>
                <w:rFonts w:asciiTheme="minorHAnsi" w:hAnsiTheme="minorHAnsi" w:cs="Franklin Gothic Book"/>
                <w:color w:val="000000"/>
                <w:szCs w:val="17"/>
              </w:rPr>
              <w:t>$10</w:t>
            </w:r>
            <w:r w:rsidR="005E606B" w:rsidRPr="00812509">
              <w:rPr>
                <w:rFonts w:asciiTheme="minorHAnsi" w:hAnsiTheme="minorHAnsi" w:cs="Franklin Gothic Book"/>
                <w:color w:val="000000"/>
                <w:szCs w:val="17"/>
              </w:rPr>
              <w:t xml:space="preserve">m </w:t>
            </w:r>
          </w:p>
          <w:p w14:paraId="33B5A25A" w14:textId="77777777" w:rsidR="005E606B" w:rsidRPr="00812509" w:rsidRDefault="005E606B" w:rsidP="003E305C">
            <w:pPr>
              <w:keepLines/>
              <w:spacing w:before="40" w:after="40"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sidR="000A515D">
              <w:rPr>
                <w:rFonts w:asciiTheme="minorHAnsi" w:eastAsia="Times New Roman" w:hAnsiTheme="minorHAnsi"/>
                <w:iCs/>
                <w:szCs w:val="17"/>
                <w:lang w:eastAsia="en-US"/>
              </w:rPr>
              <w:t>6</w:t>
            </w:r>
            <w:r w:rsidRPr="00812509">
              <w:rPr>
                <w:rFonts w:asciiTheme="minorHAnsi" w:eastAsia="Times New Roman" w:hAnsiTheme="minorHAnsi"/>
                <w:iCs/>
                <w:szCs w:val="17"/>
                <w:lang w:eastAsia="en-US"/>
              </w:rPr>
              <w:t>-1</w:t>
            </w:r>
            <w:r w:rsidR="000A515D">
              <w:rPr>
                <w:rFonts w:asciiTheme="minorHAnsi" w:eastAsia="Times New Roman" w:hAnsiTheme="minorHAnsi"/>
                <w:iCs/>
                <w:szCs w:val="17"/>
                <w:lang w:eastAsia="en-US"/>
              </w:rPr>
              <w:t>8</w:t>
            </w:r>
            <w:r w:rsidRPr="00812509">
              <w:rPr>
                <w:rFonts w:asciiTheme="minorHAnsi" w:eastAsia="Times New Roman" w:hAnsiTheme="minorHAnsi"/>
                <w:iCs/>
                <w:szCs w:val="17"/>
                <w:lang w:eastAsia="en-US"/>
              </w:rPr>
              <w:t xml:space="preserve"> </w:t>
            </w:r>
          </w:p>
        </w:tc>
        <w:tc>
          <w:tcPr>
            <w:tcW w:w="412" w:type="pct"/>
          </w:tcPr>
          <w:p w14:paraId="5A221735" w14:textId="77777777" w:rsidR="005E606B" w:rsidRPr="00812509" w:rsidRDefault="005E606B" w:rsidP="00580A64">
            <w:pPr>
              <w:keepLines/>
              <w:spacing w:before="40" w:after="40"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sidR="00580A64">
              <w:rPr>
                <w:rFonts w:asciiTheme="minorHAnsi" w:eastAsia="Times New Roman" w:hAnsiTheme="minorHAnsi"/>
                <w:iCs/>
                <w:szCs w:val="17"/>
                <w:lang w:eastAsia="en-US"/>
              </w:rPr>
              <w:t>8</w:t>
            </w:r>
            <w:r w:rsidRPr="00812509">
              <w:rPr>
                <w:rFonts w:asciiTheme="minorHAnsi" w:eastAsia="Times New Roman" w:hAnsiTheme="minorHAnsi"/>
                <w:iCs/>
                <w:szCs w:val="17"/>
                <w:lang w:eastAsia="en-US"/>
              </w:rPr>
              <w:t xml:space="preserve"> AQC</w:t>
            </w:r>
          </w:p>
        </w:tc>
        <w:tc>
          <w:tcPr>
            <w:tcW w:w="413" w:type="pct"/>
            <w:shd w:val="clear" w:color="auto" w:fill="FFFF00"/>
            <w:noWrap/>
          </w:tcPr>
          <w:p w14:paraId="68E13527"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0" w:type="pct"/>
            <w:shd w:val="clear" w:color="auto" w:fill="FFFF00"/>
            <w:noWrap/>
          </w:tcPr>
          <w:p w14:paraId="22C0FE66"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3" w:type="pct"/>
            <w:shd w:val="clear" w:color="auto" w:fill="FFFF00"/>
            <w:noWrap/>
          </w:tcPr>
          <w:p w14:paraId="60EC51BD"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0" w:type="pct"/>
            <w:shd w:val="clear" w:color="auto" w:fill="FFFF00"/>
            <w:noWrap/>
          </w:tcPr>
          <w:p w14:paraId="6508B2D3"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4</w:t>
            </w:r>
          </w:p>
        </w:tc>
        <w:tc>
          <w:tcPr>
            <w:tcW w:w="413" w:type="pct"/>
            <w:shd w:val="clear" w:color="auto" w:fill="FFC000"/>
            <w:noWrap/>
          </w:tcPr>
          <w:p w14:paraId="19C12976"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3</w:t>
            </w:r>
          </w:p>
        </w:tc>
        <w:tc>
          <w:tcPr>
            <w:tcW w:w="410" w:type="pct"/>
            <w:shd w:val="clear" w:color="auto" w:fill="FF0000"/>
            <w:noWrap/>
          </w:tcPr>
          <w:p w14:paraId="2260616C"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1</w:t>
            </w:r>
          </w:p>
        </w:tc>
        <w:tc>
          <w:tcPr>
            <w:tcW w:w="408" w:type="pct"/>
            <w:shd w:val="clear" w:color="auto" w:fill="92D050"/>
          </w:tcPr>
          <w:p w14:paraId="66861FA2" w14:textId="77777777" w:rsidR="005E606B" w:rsidRPr="00812509" w:rsidRDefault="00E369DB"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Y</w:t>
            </w:r>
          </w:p>
        </w:tc>
      </w:tr>
      <w:tr w:rsidR="005E606B" w:rsidRPr="00C61187" w14:paraId="4F6C4749" w14:textId="77777777" w:rsidTr="00B4572E">
        <w:trPr>
          <w:cnfStyle w:val="000000010000" w:firstRow="0" w:lastRow="0" w:firstColumn="0" w:lastColumn="0" w:oddVBand="0" w:evenVBand="0" w:oddHBand="0" w:evenHBand="1" w:firstRowFirstColumn="0" w:firstRowLastColumn="0" w:lastRowFirstColumn="0" w:lastRowLastColumn="0"/>
          <w:trHeight w:val="284"/>
        </w:trPr>
        <w:tc>
          <w:tcPr>
            <w:tcW w:w="897" w:type="pct"/>
            <w:vMerge/>
            <w:tcBorders>
              <w:bottom w:val="single" w:sz="4" w:space="0" w:color="auto"/>
            </w:tcBorders>
          </w:tcPr>
          <w:p w14:paraId="231066E2" w14:textId="77777777" w:rsidR="005E606B" w:rsidRPr="00812509" w:rsidRDefault="005E606B" w:rsidP="00D15A00">
            <w:pPr>
              <w:keepLines/>
              <w:spacing w:before="40" w:after="40" w:line="200" w:lineRule="atLeast"/>
              <w:rPr>
                <w:rFonts w:asciiTheme="minorHAnsi" w:eastAsia="Times New Roman" w:hAnsiTheme="minorHAnsi"/>
                <w:iCs/>
                <w:szCs w:val="17"/>
                <w:lang w:eastAsia="en-US"/>
              </w:rPr>
            </w:pPr>
          </w:p>
        </w:tc>
        <w:tc>
          <w:tcPr>
            <w:tcW w:w="652" w:type="pct"/>
            <w:vMerge/>
            <w:tcBorders>
              <w:bottom w:val="single" w:sz="4" w:space="0" w:color="auto"/>
            </w:tcBorders>
          </w:tcPr>
          <w:p w14:paraId="4747B9F4" w14:textId="77777777" w:rsidR="005E606B" w:rsidRPr="00812509" w:rsidRDefault="005E606B" w:rsidP="00D15A00">
            <w:pPr>
              <w:keepLines/>
              <w:spacing w:before="40" w:after="40" w:line="200" w:lineRule="atLeast"/>
              <w:rPr>
                <w:rFonts w:asciiTheme="minorHAnsi" w:eastAsia="Times New Roman" w:hAnsiTheme="minorHAnsi"/>
                <w:iCs/>
                <w:szCs w:val="17"/>
                <w:lang w:eastAsia="en-US"/>
              </w:rPr>
            </w:pPr>
          </w:p>
        </w:tc>
        <w:tc>
          <w:tcPr>
            <w:tcW w:w="412" w:type="pct"/>
            <w:tcBorders>
              <w:bottom w:val="single" w:sz="4" w:space="0" w:color="auto"/>
            </w:tcBorders>
          </w:tcPr>
          <w:p w14:paraId="25B594EB" w14:textId="77777777" w:rsidR="005E606B" w:rsidRPr="00812509" w:rsidRDefault="005E606B" w:rsidP="00580A64">
            <w:pPr>
              <w:keepLines/>
              <w:spacing w:before="40" w:after="40" w:line="200" w:lineRule="atLeast"/>
              <w:rPr>
                <w:rFonts w:asciiTheme="minorHAnsi" w:eastAsia="Times New Roman" w:hAnsiTheme="minorHAnsi"/>
                <w:iCs/>
                <w:szCs w:val="17"/>
                <w:lang w:eastAsia="en-US"/>
              </w:rPr>
            </w:pPr>
            <w:r w:rsidRPr="00812509">
              <w:rPr>
                <w:rFonts w:asciiTheme="minorHAnsi" w:eastAsia="Times New Roman" w:hAnsiTheme="minorHAnsi"/>
                <w:iCs/>
                <w:szCs w:val="17"/>
                <w:lang w:eastAsia="en-US"/>
              </w:rPr>
              <w:t>201</w:t>
            </w:r>
            <w:r w:rsidR="00580A64">
              <w:rPr>
                <w:rFonts w:asciiTheme="minorHAnsi" w:eastAsia="Times New Roman" w:hAnsiTheme="minorHAnsi"/>
                <w:iCs/>
                <w:szCs w:val="17"/>
                <w:lang w:eastAsia="en-US"/>
              </w:rPr>
              <w:t>7</w:t>
            </w:r>
            <w:r w:rsidRPr="00812509">
              <w:rPr>
                <w:rFonts w:asciiTheme="minorHAnsi" w:eastAsia="Times New Roman" w:hAnsiTheme="minorHAnsi"/>
                <w:iCs/>
                <w:szCs w:val="17"/>
                <w:lang w:eastAsia="en-US"/>
              </w:rPr>
              <w:t xml:space="preserve"> AQC</w:t>
            </w:r>
          </w:p>
        </w:tc>
        <w:tc>
          <w:tcPr>
            <w:tcW w:w="413" w:type="pct"/>
            <w:tcBorders>
              <w:bottom w:val="single" w:sz="4" w:space="0" w:color="auto"/>
            </w:tcBorders>
            <w:shd w:val="clear" w:color="auto" w:fill="auto"/>
            <w:noWrap/>
          </w:tcPr>
          <w:p w14:paraId="421EB597" w14:textId="77777777" w:rsidR="005E606B" w:rsidRPr="00812509" w:rsidRDefault="000A515D" w:rsidP="00D15A00">
            <w:pPr>
              <w:keepLines/>
              <w:spacing w:before="40" w:after="40" w:line="200" w:lineRule="atLeast"/>
              <w:jc w:val="center"/>
              <w:rPr>
                <w:rFonts w:asciiTheme="minorHAnsi" w:eastAsia="Times New Roman" w:hAnsiTheme="minorHAnsi"/>
                <w:iCs/>
                <w:szCs w:val="17"/>
                <w:lang w:eastAsia="en-US"/>
              </w:rPr>
            </w:pPr>
            <w:r>
              <w:rPr>
                <w:rFonts w:asciiTheme="minorHAnsi" w:eastAsia="Times New Roman" w:hAnsiTheme="minorHAnsi"/>
                <w:iCs/>
                <w:szCs w:val="17"/>
                <w:lang w:eastAsia="en-US"/>
              </w:rPr>
              <w:t>n/a</w:t>
            </w:r>
          </w:p>
        </w:tc>
        <w:tc>
          <w:tcPr>
            <w:tcW w:w="410" w:type="pct"/>
            <w:tcBorders>
              <w:bottom w:val="single" w:sz="4" w:space="0" w:color="auto"/>
            </w:tcBorders>
            <w:shd w:val="clear" w:color="auto" w:fill="auto"/>
            <w:noWrap/>
          </w:tcPr>
          <w:p w14:paraId="2F2940DE"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w:t>
            </w:r>
          </w:p>
        </w:tc>
        <w:tc>
          <w:tcPr>
            <w:tcW w:w="413" w:type="pct"/>
            <w:tcBorders>
              <w:bottom w:val="single" w:sz="4" w:space="0" w:color="auto"/>
            </w:tcBorders>
            <w:shd w:val="clear" w:color="auto" w:fill="auto"/>
            <w:noWrap/>
          </w:tcPr>
          <w:p w14:paraId="5CAA4469"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w:t>
            </w:r>
          </w:p>
        </w:tc>
        <w:tc>
          <w:tcPr>
            <w:tcW w:w="410" w:type="pct"/>
            <w:tcBorders>
              <w:bottom w:val="single" w:sz="4" w:space="0" w:color="auto"/>
            </w:tcBorders>
            <w:shd w:val="clear" w:color="auto" w:fill="auto"/>
            <w:noWrap/>
          </w:tcPr>
          <w:p w14:paraId="0B0F6017"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w:t>
            </w:r>
          </w:p>
        </w:tc>
        <w:tc>
          <w:tcPr>
            <w:tcW w:w="413" w:type="pct"/>
            <w:tcBorders>
              <w:bottom w:val="single" w:sz="4" w:space="0" w:color="auto"/>
            </w:tcBorders>
            <w:shd w:val="clear" w:color="auto" w:fill="auto"/>
            <w:noWrap/>
          </w:tcPr>
          <w:p w14:paraId="67E61411"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w:t>
            </w:r>
          </w:p>
        </w:tc>
        <w:tc>
          <w:tcPr>
            <w:tcW w:w="410" w:type="pct"/>
            <w:tcBorders>
              <w:bottom w:val="single" w:sz="4" w:space="0" w:color="auto"/>
            </w:tcBorders>
            <w:shd w:val="clear" w:color="auto" w:fill="auto"/>
            <w:noWrap/>
          </w:tcPr>
          <w:p w14:paraId="009CB57C"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w:t>
            </w:r>
          </w:p>
        </w:tc>
        <w:tc>
          <w:tcPr>
            <w:tcW w:w="408" w:type="pct"/>
            <w:tcBorders>
              <w:bottom w:val="single" w:sz="4" w:space="0" w:color="auto"/>
            </w:tcBorders>
            <w:shd w:val="clear" w:color="auto" w:fill="auto"/>
          </w:tcPr>
          <w:p w14:paraId="16EAF957" w14:textId="77777777" w:rsidR="005E606B" w:rsidRPr="00812509" w:rsidRDefault="005E606B" w:rsidP="00D15A00">
            <w:pPr>
              <w:keepLines/>
              <w:spacing w:before="40" w:after="40" w:line="200" w:lineRule="atLeast"/>
              <w:jc w:val="center"/>
              <w:rPr>
                <w:rFonts w:asciiTheme="minorHAnsi" w:eastAsia="Times New Roman" w:hAnsiTheme="minorHAnsi"/>
                <w:iCs/>
                <w:szCs w:val="17"/>
                <w:lang w:eastAsia="en-US"/>
              </w:rPr>
            </w:pPr>
            <w:r w:rsidRPr="00812509">
              <w:rPr>
                <w:rFonts w:asciiTheme="minorHAnsi" w:eastAsia="Times New Roman" w:hAnsiTheme="minorHAnsi"/>
                <w:iCs/>
                <w:szCs w:val="17"/>
                <w:lang w:eastAsia="en-US"/>
              </w:rPr>
              <w:t>n/a</w:t>
            </w:r>
          </w:p>
        </w:tc>
      </w:tr>
    </w:tbl>
    <w:p w14:paraId="07F7A835" w14:textId="77777777" w:rsidR="005E606B" w:rsidRPr="00C61187" w:rsidRDefault="005E606B" w:rsidP="005E606B">
      <w:pPr>
        <w:rPr>
          <w:iCs/>
        </w:rPr>
      </w:pPr>
    </w:p>
    <w:p w14:paraId="42FCAB9B" w14:textId="77777777" w:rsidR="00015316" w:rsidRDefault="00015316" w:rsidP="00484574">
      <w:pPr>
        <w:keepNext/>
        <w:numPr>
          <w:ilvl w:val="2"/>
          <w:numId w:val="0"/>
        </w:numPr>
        <w:spacing w:before="240" w:after="120"/>
        <w:outlineLvl w:val="2"/>
      </w:pPr>
    </w:p>
    <w:sectPr w:rsidR="00015316" w:rsidSect="004839E3">
      <w:headerReference w:type="default" r:id="rId33"/>
      <w:pgSz w:w="11906" w:h="16838" w:code="9"/>
      <w:pgMar w:top="1527" w:right="1134" w:bottom="851" w:left="1134" w:header="1418" w:footer="192"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1BFD" w14:textId="77777777" w:rsidR="008E02D3" w:rsidRDefault="008E02D3" w:rsidP="00EF4574">
      <w:pPr>
        <w:spacing w:before="0" w:after="0" w:line="240" w:lineRule="auto"/>
      </w:pPr>
      <w:r>
        <w:separator/>
      </w:r>
    </w:p>
  </w:endnote>
  <w:endnote w:type="continuationSeparator" w:id="0">
    <w:p w14:paraId="7238A7D5" w14:textId="77777777" w:rsidR="008E02D3" w:rsidRDefault="008E02D3" w:rsidP="00EF4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13A8" w14:textId="77777777" w:rsidR="00D75F23" w:rsidRDefault="00D75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6CA9" w14:textId="77777777" w:rsidR="008E02D3" w:rsidRDefault="008E02D3" w:rsidP="004839E3">
    <w:pPr>
      <w:pStyle w:val="Footer"/>
      <w:rPr>
        <w:lang w:val="en-AU"/>
      </w:rPr>
    </w:pPr>
  </w:p>
  <w:p w14:paraId="26E05A40" w14:textId="77777777" w:rsidR="008E02D3" w:rsidRDefault="008E02D3" w:rsidP="004839E3">
    <w:pPr>
      <w:pStyle w:val="Footer"/>
    </w:pPr>
  </w:p>
  <w:p w14:paraId="07F30E56" w14:textId="77777777" w:rsidR="008E02D3" w:rsidRPr="00CD0E4B" w:rsidRDefault="008E02D3" w:rsidP="004839E3">
    <w:pPr>
      <w:pStyle w:val="Footer"/>
    </w:pPr>
    <w:r w:rsidRPr="00CD0E4B">
      <w:rPr>
        <w:noProof/>
        <w:lang w:val="en-AU" w:eastAsia="en-AU"/>
      </w:rPr>
      <w:drawing>
        <wp:inline distT="0" distB="0" distL="0" distR="0" wp14:anchorId="191F8BC8" wp14:editId="6A4223CA">
          <wp:extent cx="90000" cy="74520"/>
          <wp:effectExtent l="0" t="0" r="571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icon.png"/>
                  <pic:cNvPicPr/>
                </pic:nvPicPr>
                <pic:blipFill>
                  <a:blip r:embed="rId1">
                    <a:extLst>
                      <a:ext uri="{28A0092B-C50C-407E-A947-70E740481C1C}">
                        <a14:useLocalDpi xmlns:a14="http://schemas.microsoft.com/office/drawing/2010/main" val="0"/>
                      </a:ext>
                    </a:extLst>
                  </a:blip>
                  <a:stretch>
                    <a:fillRect/>
                  </a:stretch>
                </pic:blipFill>
                <pic:spPr>
                  <a:xfrm>
                    <a:off x="0" y="0"/>
                    <a:ext cx="90000" cy="74520"/>
                  </a:xfrm>
                  <a:prstGeom prst="rect">
                    <a:avLst/>
                  </a:prstGeom>
                </pic:spPr>
              </pic:pic>
            </a:graphicData>
          </a:graphic>
        </wp:inline>
      </w:drawing>
    </w:r>
    <w:r w:rsidRPr="00CD0E4B">
      <w:t>@DFAT</w:t>
    </w:r>
  </w:p>
  <w:p w14:paraId="1279BEDB" w14:textId="77777777" w:rsidR="008E02D3" w:rsidRPr="00CD0E4B" w:rsidRDefault="008E02D3" w:rsidP="004839E3">
    <w:pPr>
      <w:pStyle w:val="Footer"/>
      <w:rPr>
        <w:color w:val="ACD08C" w:themeColor="accent3"/>
      </w:rPr>
    </w:pPr>
    <w:r w:rsidRPr="00CD0E4B">
      <w:rPr>
        <w:color w:val="ACD08C" w:themeColor="accent3"/>
      </w:rPr>
      <w:t>DFAT.GOV.AU</w:t>
    </w:r>
  </w:p>
  <w:p w14:paraId="639B8138" w14:textId="77777777" w:rsidR="008E02D3" w:rsidRPr="004839E3" w:rsidRDefault="008E02D3" w:rsidP="004839E3">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3AB5" w14:textId="77777777" w:rsidR="008E02D3" w:rsidRPr="004839E3" w:rsidRDefault="008E02D3" w:rsidP="004839E3">
    <w:pPr>
      <w:spacing w:before="0" w:after="0" w:line="240" w:lineRule="exact"/>
      <w:ind w:right="284"/>
      <w:jc w:val="right"/>
      <w:rPr>
        <w:color w:val="FFFFFF" w:themeColor="background1"/>
      </w:rPr>
    </w:pPr>
    <w:r w:rsidRPr="004839E3">
      <w:rPr>
        <w:noProof/>
        <w:color w:val="FFFFFF" w:themeColor="background1"/>
        <w:lang w:val="en-AU" w:eastAsia="en-AU"/>
      </w:rPr>
      <w:drawing>
        <wp:inline distT="0" distB="0" distL="0" distR="0" wp14:anchorId="3B6AEBD4" wp14:editId="0FE5EF8C">
          <wp:extent cx="90000" cy="74520"/>
          <wp:effectExtent l="0" t="0" r="571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icon.png"/>
                  <pic:cNvPicPr/>
                </pic:nvPicPr>
                <pic:blipFill>
                  <a:blip r:embed="rId1">
                    <a:extLst>
                      <a:ext uri="{28A0092B-C50C-407E-A947-70E740481C1C}">
                        <a14:useLocalDpi xmlns:a14="http://schemas.microsoft.com/office/drawing/2010/main" val="0"/>
                      </a:ext>
                    </a:extLst>
                  </a:blip>
                  <a:stretch>
                    <a:fillRect/>
                  </a:stretch>
                </pic:blipFill>
                <pic:spPr>
                  <a:xfrm>
                    <a:off x="0" y="0"/>
                    <a:ext cx="90000" cy="74520"/>
                  </a:xfrm>
                  <a:prstGeom prst="rect">
                    <a:avLst/>
                  </a:prstGeom>
                </pic:spPr>
              </pic:pic>
            </a:graphicData>
          </a:graphic>
        </wp:inline>
      </w:drawing>
    </w:r>
    <w:r w:rsidRPr="004839E3">
      <w:rPr>
        <w:color w:val="FFFFFF" w:themeColor="background1"/>
      </w:rPr>
      <w:t>@DFAT</w:t>
    </w:r>
  </w:p>
  <w:p w14:paraId="0B400B99" w14:textId="77777777" w:rsidR="008E02D3" w:rsidRDefault="008E02D3" w:rsidP="004839E3">
    <w:pPr>
      <w:spacing w:before="0" w:after="0" w:line="240" w:lineRule="exact"/>
      <w:ind w:right="284"/>
      <w:jc w:val="right"/>
    </w:pPr>
    <w:r w:rsidRPr="004839E3">
      <w:rPr>
        <w:color w:val="ACD08C" w:themeColor="accent3"/>
      </w:rPr>
      <w:t>DFAT.GOV.AU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EDCB" w14:textId="77777777" w:rsidR="008E02D3" w:rsidRDefault="008E02D3" w:rsidP="004839E3">
    <w:pPr>
      <w:pStyle w:val="Footer"/>
      <w:rPr>
        <w:lang w:val="en-AU"/>
      </w:rPr>
    </w:pPr>
  </w:p>
  <w:p w14:paraId="497A50B9" w14:textId="77777777" w:rsidR="008E02D3" w:rsidRDefault="008E02D3" w:rsidP="004839E3">
    <w:pPr>
      <w:pStyle w:val="Footer"/>
    </w:pPr>
  </w:p>
  <w:p w14:paraId="7477AA16" w14:textId="77777777" w:rsidR="008E02D3" w:rsidRPr="00CD0E4B" w:rsidRDefault="008E02D3" w:rsidP="004839E3">
    <w:pPr>
      <w:pStyle w:val="Footer"/>
    </w:pPr>
    <w:r w:rsidRPr="00CD0E4B">
      <w:rPr>
        <w:noProof/>
        <w:lang w:val="en-AU" w:eastAsia="en-AU"/>
      </w:rPr>
      <w:drawing>
        <wp:inline distT="0" distB="0" distL="0" distR="0" wp14:anchorId="5D8F7226" wp14:editId="631B1301">
          <wp:extent cx="90000" cy="74520"/>
          <wp:effectExtent l="0" t="0" r="571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icon.png"/>
                  <pic:cNvPicPr/>
                </pic:nvPicPr>
                <pic:blipFill>
                  <a:blip r:embed="rId1">
                    <a:extLst>
                      <a:ext uri="{28A0092B-C50C-407E-A947-70E740481C1C}">
                        <a14:useLocalDpi xmlns:a14="http://schemas.microsoft.com/office/drawing/2010/main" val="0"/>
                      </a:ext>
                    </a:extLst>
                  </a:blip>
                  <a:stretch>
                    <a:fillRect/>
                  </a:stretch>
                </pic:blipFill>
                <pic:spPr>
                  <a:xfrm>
                    <a:off x="0" y="0"/>
                    <a:ext cx="90000" cy="74520"/>
                  </a:xfrm>
                  <a:prstGeom prst="rect">
                    <a:avLst/>
                  </a:prstGeom>
                </pic:spPr>
              </pic:pic>
            </a:graphicData>
          </a:graphic>
        </wp:inline>
      </w:drawing>
    </w:r>
    <w:r w:rsidRPr="00CD0E4B">
      <w:t>@DFAT</w:t>
    </w:r>
  </w:p>
  <w:p w14:paraId="2DC508E0" w14:textId="77777777" w:rsidR="008E02D3" w:rsidRPr="00CD0E4B" w:rsidRDefault="008E02D3" w:rsidP="004839E3">
    <w:pPr>
      <w:pStyle w:val="Footer"/>
      <w:rPr>
        <w:color w:val="ACD08C" w:themeColor="accent3"/>
      </w:rPr>
    </w:pPr>
    <w:r w:rsidRPr="00CD0E4B">
      <w:rPr>
        <w:color w:val="ACD08C" w:themeColor="accent3"/>
      </w:rPr>
      <w:t>DFAT.GOV.AU</w:t>
    </w:r>
  </w:p>
  <w:p w14:paraId="7AF24F04" w14:textId="77777777" w:rsidR="008E02D3" w:rsidRPr="004839E3" w:rsidRDefault="008E02D3" w:rsidP="004839E3">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320F" w14:textId="77777777" w:rsidR="008E02D3" w:rsidRPr="008C5A0E" w:rsidRDefault="008E02D3" w:rsidP="001D663E">
      <w:pPr>
        <w:pStyle w:val="Footer"/>
        <w:pBdr>
          <w:top w:val="single" w:sz="4" w:space="1" w:color="495965" w:themeColor="text2"/>
        </w:pBdr>
      </w:pPr>
    </w:p>
  </w:footnote>
  <w:footnote w:type="continuationSeparator" w:id="0">
    <w:p w14:paraId="05CCFE35" w14:textId="77777777" w:rsidR="008E02D3" w:rsidRDefault="008E02D3" w:rsidP="00EF4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93DB" w14:textId="77777777" w:rsidR="00D75F23" w:rsidRDefault="00D75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45A2" w14:textId="77777777" w:rsidR="008E02D3" w:rsidRPr="00333501" w:rsidRDefault="008E02D3" w:rsidP="008F56A8">
    <w:pPr>
      <w:pStyle w:val="Header"/>
      <w:jc w:val="left"/>
    </w:pPr>
    <w:r>
      <w:rPr>
        <w:noProof/>
        <w:lang w:val="en-AU" w:eastAsia="en-AU"/>
      </w:rPr>
      <w:drawing>
        <wp:anchor distT="0" distB="0" distL="114300" distR="114300" simplePos="0" relativeHeight="251671552" behindDoc="1" locked="1" layoutInCell="1" allowOverlap="1" wp14:anchorId="540FEE82" wp14:editId="023DD4F6">
          <wp:simplePos x="0" y="0"/>
          <wp:positionH relativeFrom="page">
            <wp:posOffset>1378585</wp:posOffset>
          </wp:positionH>
          <wp:positionV relativeFrom="page">
            <wp:posOffset>272415</wp:posOffset>
          </wp:positionV>
          <wp:extent cx="10248900" cy="102355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10248900" cy="102355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2C43" w14:textId="77777777" w:rsidR="008E02D3" w:rsidRPr="003D352D" w:rsidRDefault="008E02D3" w:rsidP="003D352D">
    <w:pPr>
      <w:pStyle w:val="Header"/>
      <w:jc w:val="left"/>
    </w:pPr>
    <w:r>
      <w:rPr>
        <w:noProof/>
        <w:lang w:val="en-AU" w:eastAsia="en-AU"/>
      </w:rPr>
      <w:drawing>
        <wp:anchor distT="0" distB="0" distL="114300" distR="114300" simplePos="0" relativeHeight="251669504" behindDoc="1" locked="1" layoutInCell="1" allowOverlap="1" wp14:anchorId="0663ECB4" wp14:editId="427C7395">
          <wp:simplePos x="0" y="0"/>
          <wp:positionH relativeFrom="page">
            <wp:posOffset>-23495</wp:posOffset>
          </wp:positionH>
          <wp:positionV relativeFrom="page">
            <wp:posOffset>15875</wp:posOffset>
          </wp:positionV>
          <wp:extent cx="7734935" cy="10829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734935" cy="10829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DF39" w14:textId="77777777" w:rsidR="008E02D3" w:rsidRPr="00333501" w:rsidRDefault="008E02D3" w:rsidP="008F56A8">
    <w:pPr>
      <w:pStyle w:val="Header"/>
      <w:jc w:val="left"/>
    </w:pPr>
    <w:r>
      <w:rPr>
        <w:noProof/>
        <w:lang w:val="en-AU" w:eastAsia="en-AU"/>
      </w:rPr>
      <w:drawing>
        <wp:anchor distT="0" distB="0" distL="114300" distR="114300" simplePos="0" relativeHeight="251685888" behindDoc="1" locked="1" layoutInCell="1" allowOverlap="1" wp14:anchorId="032384F0" wp14:editId="04AF8BB6">
          <wp:simplePos x="0" y="0"/>
          <wp:positionH relativeFrom="margin">
            <wp:posOffset>-652145</wp:posOffset>
          </wp:positionH>
          <wp:positionV relativeFrom="page">
            <wp:posOffset>122555</wp:posOffset>
          </wp:positionV>
          <wp:extent cx="7409815" cy="10589895"/>
          <wp:effectExtent l="0" t="0" r="635"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409815" cy="10589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5454" w14:textId="77777777" w:rsidR="008E02D3" w:rsidRPr="003D352D" w:rsidRDefault="008E02D3" w:rsidP="003D352D">
    <w:pPr>
      <w:pStyle w:val="Header"/>
      <w:jc w:val="left"/>
    </w:pPr>
    <w:r>
      <w:rPr>
        <w:noProof/>
        <w:lang w:val="en-AU" w:eastAsia="en-AU"/>
      </w:rPr>
      <w:drawing>
        <wp:anchor distT="0" distB="0" distL="114300" distR="114300" simplePos="0" relativeHeight="251673600" behindDoc="1" locked="1" layoutInCell="1" allowOverlap="1" wp14:anchorId="20B4FDE8" wp14:editId="5A7D8060">
          <wp:simplePos x="0" y="0"/>
          <wp:positionH relativeFrom="page">
            <wp:posOffset>0</wp:posOffset>
          </wp:positionH>
          <wp:positionV relativeFrom="page">
            <wp:posOffset>0</wp:posOffset>
          </wp:positionV>
          <wp:extent cx="10694035" cy="7465695"/>
          <wp:effectExtent l="0" t="0" r="0" b="1905"/>
          <wp:wrapNone/>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694035" cy="746569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16B9" w14:textId="77777777" w:rsidR="008E02D3" w:rsidRPr="00333501" w:rsidRDefault="008E02D3" w:rsidP="008F56A8">
    <w:pPr>
      <w:pStyle w:val="Header"/>
      <w:jc w:val="left"/>
    </w:pPr>
    <w:r>
      <w:rPr>
        <w:noProof/>
        <w:lang w:val="en-AU" w:eastAsia="en-AU"/>
      </w:rPr>
      <w:drawing>
        <wp:anchor distT="0" distB="0" distL="114300" distR="114300" simplePos="0" relativeHeight="251687936" behindDoc="1" locked="1" layoutInCell="1" allowOverlap="1" wp14:anchorId="1BB2CD93" wp14:editId="35854D0E">
          <wp:simplePos x="0" y="0"/>
          <wp:positionH relativeFrom="page">
            <wp:posOffset>40640</wp:posOffset>
          </wp:positionH>
          <wp:positionV relativeFrom="margin">
            <wp:posOffset>-721995</wp:posOffset>
          </wp:positionV>
          <wp:extent cx="10754360" cy="7082790"/>
          <wp:effectExtent l="0" t="0" r="8890" b="38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10754360" cy="7082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5E93" w14:textId="77777777" w:rsidR="008E02D3" w:rsidRPr="003D352D" w:rsidRDefault="008E02D3" w:rsidP="003D352D">
    <w:pPr>
      <w:pStyle w:val="Header"/>
      <w:jc w:val="left"/>
    </w:pPr>
    <w:r>
      <w:rPr>
        <w:noProof/>
        <w:lang w:val="en-AU" w:eastAsia="en-AU"/>
      </w:rPr>
      <w:drawing>
        <wp:anchor distT="0" distB="0" distL="114300" distR="114300" simplePos="0" relativeHeight="251675648" behindDoc="1" locked="1" layoutInCell="1" allowOverlap="1" wp14:anchorId="55E9E4F5" wp14:editId="090160CD">
          <wp:simplePos x="0" y="0"/>
          <wp:positionH relativeFrom="page">
            <wp:posOffset>-15875</wp:posOffset>
          </wp:positionH>
          <wp:positionV relativeFrom="page">
            <wp:posOffset>0</wp:posOffset>
          </wp:positionV>
          <wp:extent cx="10702290" cy="7458075"/>
          <wp:effectExtent l="0" t="0" r="3810" b="9525"/>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702290" cy="745807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0DD8" w14:textId="77777777" w:rsidR="008E02D3" w:rsidRPr="00333501" w:rsidRDefault="008E02D3" w:rsidP="008F56A8">
    <w:pPr>
      <w:pStyle w:val="Header"/>
      <w:jc w:val="left"/>
    </w:pPr>
    <w:r>
      <w:rPr>
        <w:noProof/>
        <w:lang w:val="en-AU" w:eastAsia="en-AU"/>
      </w:rPr>
      <w:drawing>
        <wp:anchor distT="0" distB="0" distL="114300" distR="114300" simplePos="0" relativeHeight="251683840" behindDoc="1" locked="1" layoutInCell="1" allowOverlap="1" wp14:anchorId="14EB4B21" wp14:editId="21ADDC60">
          <wp:simplePos x="0" y="0"/>
          <wp:positionH relativeFrom="page">
            <wp:posOffset>46990</wp:posOffset>
          </wp:positionH>
          <wp:positionV relativeFrom="page">
            <wp:posOffset>95250</wp:posOffset>
          </wp:positionV>
          <wp:extent cx="7561580" cy="10757535"/>
          <wp:effectExtent l="0" t="0" r="1270" b="571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1580" cy="1075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4A5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EE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1E8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B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461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6F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C21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CF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EA9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F65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03589"/>
    <w:multiLevelType w:val="hybridMultilevel"/>
    <w:tmpl w:val="C4B4DF6A"/>
    <w:lvl w:ilvl="0" w:tplc="79B0CA42">
      <w:start w:val="1"/>
      <w:numFmt w:val="lowerLetter"/>
      <w:lvlText w:val="%1."/>
      <w:lvlJc w:val="left"/>
      <w:pPr>
        <w:ind w:left="644" w:hanging="360"/>
      </w:pPr>
      <w:rPr>
        <w:rFonts w:eastAsia="Times New Roman" w:hint="default"/>
        <w:i w:val="0"/>
        <w:color w:val="495965" w:themeColor="text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C857FB0"/>
    <w:multiLevelType w:val="hybridMultilevel"/>
    <w:tmpl w:val="C4B4DF6A"/>
    <w:lvl w:ilvl="0" w:tplc="79B0CA42">
      <w:start w:val="1"/>
      <w:numFmt w:val="lowerLetter"/>
      <w:lvlText w:val="%1."/>
      <w:lvlJc w:val="left"/>
      <w:pPr>
        <w:ind w:left="644" w:hanging="360"/>
      </w:pPr>
      <w:rPr>
        <w:rFonts w:eastAsia="Times New Roman" w:hint="default"/>
        <w:i w:val="0"/>
        <w:color w:val="495965" w:themeColor="text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0D28587A"/>
    <w:multiLevelType w:val="hybridMultilevel"/>
    <w:tmpl w:val="864818AE"/>
    <w:lvl w:ilvl="0" w:tplc="F9C0CC56">
      <w:start w:val="40"/>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5D25C7"/>
    <w:multiLevelType w:val="hybridMultilevel"/>
    <w:tmpl w:val="C4B4DF6A"/>
    <w:lvl w:ilvl="0" w:tplc="79B0CA42">
      <w:start w:val="1"/>
      <w:numFmt w:val="lowerLetter"/>
      <w:lvlText w:val="%1."/>
      <w:lvlJc w:val="left"/>
      <w:pPr>
        <w:ind w:left="644" w:hanging="360"/>
      </w:pPr>
      <w:rPr>
        <w:rFonts w:eastAsia="Times New Roman" w:hint="default"/>
        <w:i w:val="0"/>
        <w:color w:val="495965" w:themeColor="text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171F3D59"/>
    <w:multiLevelType w:val="hybridMultilevel"/>
    <w:tmpl w:val="FBD851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2F3002F5"/>
    <w:multiLevelType w:val="hybridMultilevel"/>
    <w:tmpl w:val="5DBA176A"/>
    <w:lvl w:ilvl="0" w:tplc="77846788">
      <w:start w:val="40"/>
      <w:numFmt w:val="bullet"/>
      <w:lvlText w:val="-"/>
      <w:lvlJc w:val="left"/>
      <w:pPr>
        <w:ind w:left="720" w:hanging="360"/>
      </w:pPr>
      <w:rPr>
        <w:rFonts w:ascii="Calibri Light" w:eastAsiaTheme="minorHAnsi"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856941"/>
    <w:multiLevelType w:val="hybridMultilevel"/>
    <w:tmpl w:val="BF14E94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27B4CBA"/>
    <w:multiLevelType w:val="hybridMultilevel"/>
    <w:tmpl w:val="7E7489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3B5900"/>
    <w:multiLevelType w:val="hybridMultilevel"/>
    <w:tmpl w:val="1EF8602C"/>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3F6D31"/>
    <w:multiLevelType w:val="hybridMultilevel"/>
    <w:tmpl w:val="53A0A326"/>
    <w:lvl w:ilvl="0" w:tplc="B31828CA">
      <w:start w:val="2"/>
      <w:numFmt w:val="lowerLetter"/>
      <w:lvlText w:val="%1."/>
      <w:lvlJc w:val="left"/>
      <w:pPr>
        <w:ind w:left="360" w:hanging="360"/>
      </w:pPr>
      <w:rPr>
        <w:rFonts w:ascii="Franklin Gothic Book" w:hAnsi="Franklin Gothic Book"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232376"/>
    <w:multiLevelType w:val="hybridMultilevel"/>
    <w:tmpl w:val="C22A78B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6CD579B"/>
    <w:multiLevelType w:val="hybridMultilevel"/>
    <w:tmpl w:val="A5308B10"/>
    <w:lvl w:ilvl="0" w:tplc="35321CFE">
      <w:start w:val="1"/>
      <w:numFmt w:val="bullet"/>
      <w:pStyle w:val="Box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F0160D"/>
    <w:multiLevelType w:val="hybridMultilevel"/>
    <w:tmpl w:val="01A094C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25A1F4B"/>
    <w:multiLevelType w:val="hybridMultilevel"/>
    <w:tmpl w:val="7056187E"/>
    <w:lvl w:ilvl="0" w:tplc="7B640FF6">
      <w:start w:val="1"/>
      <w:numFmt w:val="bullet"/>
      <w:lvlText w:val="›"/>
      <w:lvlJc w:val="left"/>
      <w:pPr>
        <w:ind w:left="720" w:hanging="360"/>
      </w:pPr>
      <w:rPr>
        <w:rFonts w:ascii="Times New Roman" w:hAnsi="Times New Roman" w:cs="Times New Roman" w:hint="default"/>
        <w:color w:val="auto"/>
        <w:position w:val="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9" w15:restartNumberingAfterBreak="0">
    <w:nsid w:val="5C0C1195"/>
    <w:multiLevelType w:val="hybridMultilevel"/>
    <w:tmpl w:val="8A30BB7E"/>
    <w:lvl w:ilvl="0" w:tplc="4C886F7C">
      <w:start w:val="1"/>
      <w:numFmt w:val="lowerLetter"/>
      <w:lvlText w:val="%1."/>
      <w:lvlJc w:val="left"/>
      <w:pPr>
        <w:ind w:left="360" w:hanging="360"/>
      </w:pPr>
      <w:rPr>
        <w:rFonts w:ascii="Helvetica" w:hAnsi="Helvetica" w:cs="Helvetica" w:hint="default"/>
        <w:sz w:val="17"/>
        <w:szCs w:val="1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D3C1EA7"/>
    <w:multiLevelType w:val="multilevel"/>
    <w:tmpl w:val="43428892"/>
    <w:numStyleLink w:val="BulletsList"/>
  </w:abstractNum>
  <w:abstractNum w:abstractNumId="3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2" w15:restartNumberingAfterBreak="0">
    <w:nsid w:val="652B7BEC"/>
    <w:multiLevelType w:val="hybridMultilevel"/>
    <w:tmpl w:val="36386A9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E47DE8"/>
    <w:multiLevelType w:val="hybridMultilevel"/>
    <w:tmpl w:val="6A1E6B34"/>
    <w:lvl w:ilvl="0" w:tplc="D39A7CAC">
      <w:start w:val="1"/>
      <w:numFmt w:val="lowerLetter"/>
      <w:lvlText w:val="%1."/>
      <w:lvlJc w:val="left"/>
      <w:pPr>
        <w:ind w:left="644" w:hanging="360"/>
      </w:pPr>
      <w:rPr>
        <w:rFonts w:eastAsia="Times New Roman" w:hint="default"/>
        <w:i w:val="0"/>
        <w:color w:val="495965" w:themeColor="text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72591858"/>
    <w:multiLevelType w:val="hybridMultilevel"/>
    <w:tmpl w:val="51583534"/>
    <w:lvl w:ilvl="0" w:tplc="80FA7B86">
      <w:start w:val="1"/>
      <w:numFmt w:val="decimal"/>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35" w15:restartNumberingAfterBreak="0">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3E603FA"/>
    <w:multiLevelType w:val="hybridMultilevel"/>
    <w:tmpl w:val="82F44E32"/>
    <w:lvl w:ilvl="0" w:tplc="7B640FF6">
      <w:start w:val="1"/>
      <w:numFmt w:val="bullet"/>
      <w:lvlText w:val="›"/>
      <w:lvlJc w:val="left"/>
      <w:pPr>
        <w:ind w:left="720" w:hanging="360"/>
      </w:pPr>
      <w:rPr>
        <w:rFonts w:ascii="Times New Roman" w:hAnsi="Times New Roman" w:cs="Times New Roman" w:hint="default"/>
        <w:color w:val="auto"/>
        <w:position w:val="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8"/>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0"/>
  </w:num>
  <w:num w:numId="22">
    <w:abstractNumId w:val="18"/>
  </w:num>
  <w:num w:numId="23">
    <w:abstractNumId w:val="18"/>
  </w:num>
  <w:num w:numId="24">
    <w:abstractNumId w:val="30"/>
  </w:num>
  <w:num w:numId="25">
    <w:abstractNumId w:val="30"/>
  </w:num>
  <w:num w:numId="26">
    <w:abstractNumId w:val="30"/>
  </w:num>
  <w:num w:numId="27">
    <w:abstractNumId w:val="28"/>
  </w:num>
  <w:num w:numId="28">
    <w:abstractNumId w:val="11"/>
  </w:num>
  <w:num w:numId="29">
    <w:abstractNumId w:val="11"/>
  </w:num>
  <w:num w:numId="30">
    <w:abstractNumId w:val="11"/>
  </w:num>
  <w:num w:numId="31">
    <w:abstractNumId w:val="21"/>
  </w:num>
  <w:num w:numId="32">
    <w:abstractNumId w:val="27"/>
  </w:num>
  <w:num w:numId="33">
    <w:abstractNumId w:val="36"/>
  </w:num>
  <w:num w:numId="34">
    <w:abstractNumId w:val="25"/>
  </w:num>
  <w:num w:numId="35">
    <w:abstractNumId w:val="17"/>
  </w:num>
  <w:num w:numId="36">
    <w:abstractNumId w:val="22"/>
  </w:num>
  <w:num w:numId="37">
    <w:abstractNumId w:val="19"/>
  </w:num>
  <w:num w:numId="38">
    <w:abstractNumId w:val="13"/>
  </w:num>
  <w:num w:numId="39">
    <w:abstractNumId w:val="32"/>
  </w:num>
  <w:num w:numId="40">
    <w:abstractNumId w:val="20"/>
  </w:num>
  <w:num w:numId="41">
    <w:abstractNumId w:val="33"/>
  </w:num>
  <w:num w:numId="42">
    <w:abstractNumId w:val="29"/>
  </w:num>
  <w:num w:numId="43">
    <w:abstractNumId w:val="24"/>
  </w:num>
  <w:num w:numId="44">
    <w:abstractNumId w:val="15"/>
  </w:num>
  <w:num w:numId="45">
    <w:abstractNumId w:val="23"/>
  </w:num>
  <w:num w:numId="46">
    <w:abstractNumId w:val="26"/>
  </w:num>
  <w:num w:numId="47">
    <w:abstractNumId w:val="10"/>
  </w:num>
  <w:num w:numId="48">
    <w:abstractNumId w:val="12"/>
  </w:num>
  <w:num w:numId="49">
    <w:abstractNumId w:val="3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0027"/>
    <w:rsid w:val="00001DA8"/>
    <w:rsid w:val="00004993"/>
    <w:rsid w:val="00015316"/>
    <w:rsid w:val="0001758D"/>
    <w:rsid w:val="0002080A"/>
    <w:rsid w:val="0002782F"/>
    <w:rsid w:val="00027E21"/>
    <w:rsid w:val="00031512"/>
    <w:rsid w:val="000401F8"/>
    <w:rsid w:val="00041ABD"/>
    <w:rsid w:val="00042B8A"/>
    <w:rsid w:val="00052AE2"/>
    <w:rsid w:val="00054E4D"/>
    <w:rsid w:val="00057C66"/>
    <w:rsid w:val="00060073"/>
    <w:rsid w:val="00060268"/>
    <w:rsid w:val="0007039B"/>
    <w:rsid w:val="00076806"/>
    <w:rsid w:val="00084483"/>
    <w:rsid w:val="00093EA7"/>
    <w:rsid w:val="000A515D"/>
    <w:rsid w:val="000A7295"/>
    <w:rsid w:val="000B3FC2"/>
    <w:rsid w:val="000B4FFB"/>
    <w:rsid w:val="000B72CF"/>
    <w:rsid w:val="000C5866"/>
    <w:rsid w:val="000D66D6"/>
    <w:rsid w:val="000E1E2C"/>
    <w:rsid w:val="000E314A"/>
    <w:rsid w:val="000F6465"/>
    <w:rsid w:val="001000B8"/>
    <w:rsid w:val="00141AA1"/>
    <w:rsid w:val="00144E92"/>
    <w:rsid w:val="001541EA"/>
    <w:rsid w:val="00160675"/>
    <w:rsid w:val="0016276C"/>
    <w:rsid w:val="00162DE2"/>
    <w:rsid w:val="00166DDA"/>
    <w:rsid w:val="00171A14"/>
    <w:rsid w:val="00180998"/>
    <w:rsid w:val="001827E8"/>
    <w:rsid w:val="00184F1E"/>
    <w:rsid w:val="0019321A"/>
    <w:rsid w:val="00193913"/>
    <w:rsid w:val="001B1209"/>
    <w:rsid w:val="001C1D47"/>
    <w:rsid w:val="001C408C"/>
    <w:rsid w:val="001D663E"/>
    <w:rsid w:val="001E1DC0"/>
    <w:rsid w:val="001E559E"/>
    <w:rsid w:val="001E68DD"/>
    <w:rsid w:val="00204901"/>
    <w:rsid w:val="002102C6"/>
    <w:rsid w:val="002127E4"/>
    <w:rsid w:val="002137A2"/>
    <w:rsid w:val="00236A53"/>
    <w:rsid w:val="00250B53"/>
    <w:rsid w:val="0026750D"/>
    <w:rsid w:val="00275DB7"/>
    <w:rsid w:val="0027701D"/>
    <w:rsid w:val="00283398"/>
    <w:rsid w:val="00284957"/>
    <w:rsid w:val="0028602A"/>
    <w:rsid w:val="002A36EF"/>
    <w:rsid w:val="002A4A0E"/>
    <w:rsid w:val="002A51CA"/>
    <w:rsid w:val="002A62C8"/>
    <w:rsid w:val="002B3E95"/>
    <w:rsid w:val="002B5E10"/>
    <w:rsid w:val="002C3475"/>
    <w:rsid w:val="002D2EE8"/>
    <w:rsid w:val="002E733F"/>
    <w:rsid w:val="003002C0"/>
    <w:rsid w:val="00301144"/>
    <w:rsid w:val="003148B7"/>
    <w:rsid w:val="003158C3"/>
    <w:rsid w:val="003274CD"/>
    <w:rsid w:val="003334B0"/>
    <w:rsid w:val="00333501"/>
    <w:rsid w:val="00342ECC"/>
    <w:rsid w:val="003457C4"/>
    <w:rsid w:val="0035116F"/>
    <w:rsid w:val="0035119D"/>
    <w:rsid w:val="00353365"/>
    <w:rsid w:val="00355299"/>
    <w:rsid w:val="00380104"/>
    <w:rsid w:val="00392485"/>
    <w:rsid w:val="003A1226"/>
    <w:rsid w:val="003A37E3"/>
    <w:rsid w:val="003B235C"/>
    <w:rsid w:val="003B4F12"/>
    <w:rsid w:val="003C14B0"/>
    <w:rsid w:val="003D03ED"/>
    <w:rsid w:val="003D24EA"/>
    <w:rsid w:val="003D32F7"/>
    <w:rsid w:val="003D352D"/>
    <w:rsid w:val="003E04FD"/>
    <w:rsid w:val="003E305C"/>
    <w:rsid w:val="003E3CC4"/>
    <w:rsid w:val="003E42F3"/>
    <w:rsid w:val="003E6F40"/>
    <w:rsid w:val="003E7237"/>
    <w:rsid w:val="003F2704"/>
    <w:rsid w:val="003F41DD"/>
    <w:rsid w:val="00400B0F"/>
    <w:rsid w:val="00402ACC"/>
    <w:rsid w:val="00403982"/>
    <w:rsid w:val="00410C9D"/>
    <w:rsid w:val="004120EC"/>
    <w:rsid w:val="00423F31"/>
    <w:rsid w:val="00427498"/>
    <w:rsid w:val="00431899"/>
    <w:rsid w:val="00447DA1"/>
    <w:rsid w:val="004508B3"/>
    <w:rsid w:val="00472DEA"/>
    <w:rsid w:val="00475C45"/>
    <w:rsid w:val="00480422"/>
    <w:rsid w:val="00480CF2"/>
    <w:rsid w:val="00482A30"/>
    <w:rsid w:val="004839E3"/>
    <w:rsid w:val="00484149"/>
    <w:rsid w:val="00484574"/>
    <w:rsid w:val="00486804"/>
    <w:rsid w:val="004977A1"/>
    <w:rsid w:val="004B2686"/>
    <w:rsid w:val="004B346B"/>
    <w:rsid w:val="004B3775"/>
    <w:rsid w:val="004B63E8"/>
    <w:rsid w:val="004B6944"/>
    <w:rsid w:val="004C0264"/>
    <w:rsid w:val="004C02B4"/>
    <w:rsid w:val="004C06EA"/>
    <w:rsid w:val="004C7290"/>
    <w:rsid w:val="004D0BA0"/>
    <w:rsid w:val="004D39EA"/>
    <w:rsid w:val="004D3E6E"/>
    <w:rsid w:val="004E0264"/>
    <w:rsid w:val="004E058F"/>
    <w:rsid w:val="004E19D7"/>
    <w:rsid w:val="004E3B87"/>
    <w:rsid w:val="004E6781"/>
    <w:rsid w:val="004F7D84"/>
    <w:rsid w:val="00503AD9"/>
    <w:rsid w:val="00506531"/>
    <w:rsid w:val="0051038F"/>
    <w:rsid w:val="00510921"/>
    <w:rsid w:val="00510AD3"/>
    <w:rsid w:val="00513348"/>
    <w:rsid w:val="00527B46"/>
    <w:rsid w:val="00531CF4"/>
    <w:rsid w:val="00533B5D"/>
    <w:rsid w:val="005409B1"/>
    <w:rsid w:val="005441FE"/>
    <w:rsid w:val="00545DD9"/>
    <w:rsid w:val="005511BF"/>
    <w:rsid w:val="0055289D"/>
    <w:rsid w:val="0056050D"/>
    <w:rsid w:val="005745C2"/>
    <w:rsid w:val="00576843"/>
    <w:rsid w:val="00577E3C"/>
    <w:rsid w:val="00580A64"/>
    <w:rsid w:val="00587F70"/>
    <w:rsid w:val="00590598"/>
    <w:rsid w:val="0059103B"/>
    <w:rsid w:val="0059146A"/>
    <w:rsid w:val="00592519"/>
    <w:rsid w:val="005A17BF"/>
    <w:rsid w:val="005B027B"/>
    <w:rsid w:val="005B5769"/>
    <w:rsid w:val="005B6CF8"/>
    <w:rsid w:val="005C4399"/>
    <w:rsid w:val="005C44A7"/>
    <w:rsid w:val="005C78DB"/>
    <w:rsid w:val="005D3655"/>
    <w:rsid w:val="005E004D"/>
    <w:rsid w:val="005E13E9"/>
    <w:rsid w:val="005E606B"/>
    <w:rsid w:val="005F72EA"/>
    <w:rsid w:val="00603CD5"/>
    <w:rsid w:val="00623BA1"/>
    <w:rsid w:val="006346BC"/>
    <w:rsid w:val="00635EB7"/>
    <w:rsid w:val="00665713"/>
    <w:rsid w:val="0066652A"/>
    <w:rsid w:val="006673B9"/>
    <w:rsid w:val="00680522"/>
    <w:rsid w:val="00681F08"/>
    <w:rsid w:val="00682167"/>
    <w:rsid w:val="00683BEC"/>
    <w:rsid w:val="00695730"/>
    <w:rsid w:val="006A3CFD"/>
    <w:rsid w:val="006B50D8"/>
    <w:rsid w:val="006C42AF"/>
    <w:rsid w:val="006D4B72"/>
    <w:rsid w:val="006D5CBF"/>
    <w:rsid w:val="006F0CF5"/>
    <w:rsid w:val="006F27B1"/>
    <w:rsid w:val="006F7E64"/>
    <w:rsid w:val="007005AA"/>
    <w:rsid w:val="00703312"/>
    <w:rsid w:val="00711BF1"/>
    <w:rsid w:val="00711D8E"/>
    <w:rsid w:val="00712672"/>
    <w:rsid w:val="00713635"/>
    <w:rsid w:val="00713FFC"/>
    <w:rsid w:val="00723635"/>
    <w:rsid w:val="00731F1D"/>
    <w:rsid w:val="00734E3F"/>
    <w:rsid w:val="00736985"/>
    <w:rsid w:val="00745DF5"/>
    <w:rsid w:val="007478D8"/>
    <w:rsid w:val="007530D9"/>
    <w:rsid w:val="0076250F"/>
    <w:rsid w:val="00762D05"/>
    <w:rsid w:val="007661AA"/>
    <w:rsid w:val="00771B53"/>
    <w:rsid w:val="00772856"/>
    <w:rsid w:val="00774D7C"/>
    <w:rsid w:val="00784031"/>
    <w:rsid w:val="00787F41"/>
    <w:rsid w:val="00793ECB"/>
    <w:rsid w:val="00795F58"/>
    <w:rsid w:val="007A6119"/>
    <w:rsid w:val="007A61AD"/>
    <w:rsid w:val="007B5336"/>
    <w:rsid w:val="007B6200"/>
    <w:rsid w:val="007C6DF3"/>
    <w:rsid w:val="007F3395"/>
    <w:rsid w:val="00801B9F"/>
    <w:rsid w:val="008057FD"/>
    <w:rsid w:val="008101A1"/>
    <w:rsid w:val="008107AB"/>
    <w:rsid w:val="00812509"/>
    <w:rsid w:val="00823A55"/>
    <w:rsid w:val="00841EB1"/>
    <w:rsid w:val="008475F0"/>
    <w:rsid w:val="0085071F"/>
    <w:rsid w:val="008615E5"/>
    <w:rsid w:val="00864210"/>
    <w:rsid w:val="00864D69"/>
    <w:rsid w:val="00875000"/>
    <w:rsid w:val="00877BC8"/>
    <w:rsid w:val="00881B1C"/>
    <w:rsid w:val="00893B54"/>
    <w:rsid w:val="008A5AFE"/>
    <w:rsid w:val="008B24D7"/>
    <w:rsid w:val="008B68D7"/>
    <w:rsid w:val="008C2F58"/>
    <w:rsid w:val="008C5A0E"/>
    <w:rsid w:val="008D4779"/>
    <w:rsid w:val="008E02D3"/>
    <w:rsid w:val="008E0394"/>
    <w:rsid w:val="008E1735"/>
    <w:rsid w:val="008E18CE"/>
    <w:rsid w:val="008F56A8"/>
    <w:rsid w:val="00916FB1"/>
    <w:rsid w:val="00924D07"/>
    <w:rsid w:val="00930484"/>
    <w:rsid w:val="00952478"/>
    <w:rsid w:val="00976CC0"/>
    <w:rsid w:val="00985395"/>
    <w:rsid w:val="00987E4D"/>
    <w:rsid w:val="009903F3"/>
    <w:rsid w:val="00992C76"/>
    <w:rsid w:val="00996D10"/>
    <w:rsid w:val="009A5364"/>
    <w:rsid w:val="009A7338"/>
    <w:rsid w:val="009B4D3B"/>
    <w:rsid w:val="009C38D7"/>
    <w:rsid w:val="009D46D1"/>
    <w:rsid w:val="009D7407"/>
    <w:rsid w:val="009E0866"/>
    <w:rsid w:val="009E374D"/>
    <w:rsid w:val="009F5488"/>
    <w:rsid w:val="009F6423"/>
    <w:rsid w:val="00A03D71"/>
    <w:rsid w:val="00A064AB"/>
    <w:rsid w:val="00A24A62"/>
    <w:rsid w:val="00A30F5F"/>
    <w:rsid w:val="00A31C9F"/>
    <w:rsid w:val="00A368F3"/>
    <w:rsid w:val="00A4144F"/>
    <w:rsid w:val="00A436F4"/>
    <w:rsid w:val="00A447DD"/>
    <w:rsid w:val="00A458CE"/>
    <w:rsid w:val="00A46D40"/>
    <w:rsid w:val="00A53A17"/>
    <w:rsid w:val="00A56F14"/>
    <w:rsid w:val="00A56FC0"/>
    <w:rsid w:val="00A636BC"/>
    <w:rsid w:val="00A64949"/>
    <w:rsid w:val="00A80F95"/>
    <w:rsid w:val="00A8197B"/>
    <w:rsid w:val="00A84162"/>
    <w:rsid w:val="00A92CF2"/>
    <w:rsid w:val="00A938DA"/>
    <w:rsid w:val="00A9478B"/>
    <w:rsid w:val="00A94E8A"/>
    <w:rsid w:val="00AA3274"/>
    <w:rsid w:val="00AA7BE3"/>
    <w:rsid w:val="00AB5E7F"/>
    <w:rsid w:val="00AC164A"/>
    <w:rsid w:val="00AE1262"/>
    <w:rsid w:val="00AE2B01"/>
    <w:rsid w:val="00AF0F3F"/>
    <w:rsid w:val="00AF1B85"/>
    <w:rsid w:val="00AF1BD6"/>
    <w:rsid w:val="00AF2050"/>
    <w:rsid w:val="00AF4B20"/>
    <w:rsid w:val="00AF5DA1"/>
    <w:rsid w:val="00B03CA8"/>
    <w:rsid w:val="00B12980"/>
    <w:rsid w:val="00B267F6"/>
    <w:rsid w:val="00B331DC"/>
    <w:rsid w:val="00B438D3"/>
    <w:rsid w:val="00B4572E"/>
    <w:rsid w:val="00B533C6"/>
    <w:rsid w:val="00B537A2"/>
    <w:rsid w:val="00B55E19"/>
    <w:rsid w:val="00B569D8"/>
    <w:rsid w:val="00B67BDF"/>
    <w:rsid w:val="00B7117A"/>
    <w:rsid w:val="00B717A8"/>
    <w:rsid w:val="00B7366F"/>
    <w:rsid w:val="00B754C8"/>
    <w:rsid w:val="00B7561A"/>
    <w:rsid w:val="00B8475C"/>
    <w:rsid w:val="00B907C7"/>
    <w:rsid w:val="00B91664"/>
    <w:rsid w:val="00B925DA"/>
    <w:rsid w:val="00BA4B6D"/>
    <w:rsid w:val="00BB26C5"/>
    <w:rsid w:val="00BB3CE7"/>
    <w:rsid w:val="00BB4EA0"/>
    <w:rsid w:val="00BC3214"/>
    <w:rsid w:val="00BE1BEB"/>
    <w:rsid w:val="00BF3260"/>
    <w:rsid w:val="00BF4DE6"/>
    <w:rsid w:val="00C10A76"/>
    <w:rsid w:val="00C130F8"/>
    <w:rsid w:val="00C13225"/>
    <w:rsid w:val="00C2622B"/>
    <w:rsid w:val="00C321D1"/>
    <w:rsid w:val="00C4021F"/>
    <w:rsid w:val="00C42CDE"/>
    <w:rsid w:val="00C5182A"/>
    <w:rsid w:val="00C52106"/>
    <w:rsid w:val="00C521C3"/>
    <w:rsid w:val="00C523F9"/>
    <w:rsid w:val="00C558B7"/>
    <w:rsid w:val="00C63EE9"/>
    <w:rsid w:val="00C6626C"/>
    <w:rsid w:val="00C7139B"/>
    <w:rsid w:val="00C76C42"/>
    <w:rsid w:val="00CA37B1"/>
    <w:rsid w:val="00CA7C01"/>
    <w:rsid w:val="00CB1959"/>
    <w:rsid w:val="00CB3900"/>
    <w:rsid w:val="00CB5ABD"/>
    <w:rsid w:val="00CC25B5"/>
    <w:rsid w:val="00CC4767"/>
    <w:rsid w:val="00CC6244"/>
    <w:rsid w:val="00CD0E4B"/>
    <w:rsid w:val="00CD1652"/>
    <w:rsid w:val="00CE0155"/>
    <w:rsid w:val="00CE170A"/>
    <w:rsid w:val="00CE1D67"/>
    <w:rsid w:val="00CE5CA7"/>
    <w:rsid w:val="00CF582C"/>
    <w:rsid w:val="00CF670F"/>
    <w:rsid w:val="00D00802"/>
    <w:rsid w:val="00D0296C"/>
    <w:rsid w:val="00D048CA"/>
    <w:rsid w:val="00D146A2"/>
    <w:rsid w:val="00D15A00"/>
    <w:rsid w:val="00D204CF"/>
    <w:rsid w:val="00D256F5"/>
    <w:rsid w:val="00D261FE"/>
    <w:rsid w:val="00D2653F"/>
    <w:rsid w:val="00D503DB"/>
    <w:rsid w:val="00D64BD1"/>
    <w:rsid w:val="00D72760"/>
    <w:rsid w:val="00D74C16"/>
    <w:rsid w:val="00D75F23"/>
    <w:rsid w:val="00D824F1"/>
    <w:rsid w:val="00D874FE"/>
    <w:rsid w:val="00D93605"/>
    <w:rsid w:val="00DA5269"/>
    <w:rsid w:val="00DA7DB5"/>
    <w:rsid w:val="00DB4317"/>
    <w:rsid w:val="00DD1986"/>
    <w:rsid w:val="00DD3FAF"/>
    <w:rsid w:val="00DE084C"/>
    <w:rsid w:val="00DE21EF"/>
    <w:rsid w:val="00DE6B54"/>
    <w:rsid w:val="00DF0F01"/>
    <w:rsid w:val="00DF55AA"/>
    <w:rsid w:val="00DF6592"/>
    <w:rsid w:val="00E1143A"/>
    <w:rsid w:val="00E16AC8"/>
    <w:rsid w:val="00E33BEF"/>
    <w:rsid w:val="00E357B7"/>
    <w:rsid w:val="00E369DB"/>
    <w:rsid w:val="00E412E9"/>
    <w:rsid w:val="00E42FF3"/>
    <w:rsid w:val="00E442BD"/>
    <w:rsid w:val="00E53800"/>
    <w:rsid w:val="00E6081F"/>
    <w:rsid w:val="00E65105"/>
    <w:rsid w:val="00E70A2F"/>
    <w:rsid w:val="00E7486B"/>
    <w:rsid w:val="00E83978"/>
    <w:rsid w:val="00E841A3"/>
    <w:rsid w:val="00E8788F"/>
    <w:rsid w:val="00E9152C"/>
    <w:rsid w:val="00EA04B2"/>
    <w:rsid w:val="00EA1FBC"/>
    <w:rsid w:val="00EA20F3"/>
    <w:rsid w:val="00EA2A43"/>
    <w:rsid w:val="00EA7F34"/>
    <w:rsid w:val="00EB175C"/>
    <w:rsid w:val="00ED1CD6"/>
    <w:rsid w:val="00ED2831"/>
    <w:rsid w:val="00ED3164"/>
    <w:rsid w:val="00ED43D1"/>
    <w:rsid w:val="00EE4C75"/>
    <w:rsid w:val="00EE4EE1"/>
    <w:rsid w:val="00EE5ABE"/>
    <w:rsid w:val="00EF4574"/>
    <w:rsid w:val="00EF4AD9"/>
    <w:rsid w:val="00EF554E"/>
    <w:rsid w:val="00EF650C"/>
    <w:rsid w:val="00F05BF0"/>
    <w:rsid w:val="00F06182"/>
    <w:rsid w:val="00F10BE7"/>
    <w:rsid w:val="00F15A04"/>
    <w:rsid w:val="00F2684E"/>
    <w:rsid w:val="00F27F07"/>
    <w:rsid w:val="00F36534"/>
    <w:rsid w:val="00F36D86"/>
    <w:rsid w:val="00F4140A"/>
    <w:rsid w:val="00F5404C"/>
    <w:rsid w:val="00F60B09"/>
    <w:rsid w:val="00F660C1"/>
    <w:rsid w:val="00F729EF"/>
    <w:rsid w:val="00F7733A"/>
    <w:rsid w:val="00F77CAE"/>
    <w:rsid w:val="00F813BC"/>
    <w:rsid w:val="00F818EE"/>
    <w:rsid w:val="00F82271"/>
    <w:rsid w:val="00F833CA"/>
    <w:rsid w:val="00F83428"/>
    <w:rsid w:val="00F94513"/>
    <w:rsid w:val="00F96BB9"/>
    <w:rsid w:val="00FA335C"/>
    <w:rsid w:val="00FA3CC8"/>
    <w:rsid w:val="00FA5643"/>
    <w:rsid w:val="00FB374F"/>
    <w:rsid w:val="00FB4F75"/>
    <w:rsid w:val="00FB6137"/>
    <w:rsid w:val="00FE6D51"/>
    <w:rsid w:val="00FF09F3"/>
    <w:rsid w:val="00FF0C20"/>
    <w:rsid w:val="00FF2110"/>
    <w:rsid w:val="00FF3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0C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7B"/>
    <w:pPr>
      <w:suppressAutoHyphens/>
      <w:spacing w:before="120" w:after="60" w:line="230" w:lineRule="atLeast"/>
    </w:pPr>
    <w:rPr>
      <w:color w:val="495965" w:themeColor="text2"/>
      <w:lang w:val="en-GB"/>
    </w:rPr>
  </w:style>
  <w:style w:type="paragraph" w:styleId="Heading1">
    <w:name w:val="heading 1"/>
    <w:basedOn w:val="Normal"/>
    <w:next w:val="Normal"/>
    <w:link w:val="Heading1Char"/>
    <w:uiPriority w:val="9"/>
    <w:qFormat/>
    <w:rsid w:val="00F83428"/>
    <w:pPr>
      <w:keepNext/>
      <w:keepLines/>
      <w:pageBreakBefore/>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A4144F"/>
    <w:pPr>
      <w:pageBreakBefore w:val="0"/>
      <w:spacing w:before="30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before="480"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spacing w:line="200" w:lineRule="atLeast"/>
      <w:outlineLvl w:val="4"/>
    </w:pPr>
    <w:rPr>
      <w:b/>
      <w:sz w:val="16"/>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28"/>
    <w:rPr>
      <w:rFonts w:asciiTheme="majorHAnsi" w:eastAsiaTheme="majorEastAsia" w:hAnsiTheme="majorHAnsi" w:cstheme="majorBidi"/>
      <w:b/>
      <w:bCs/>
      <w:caps/>
      <w:color w:val="495965" w:themeColor="text2"/>
      <w:sz w:val="38"/>
      <w:szCs w:val="28"/>
    </w:rPr>
  </w:style>
  <w:style w:type="character" w:customStyle="1" w:styleId="Heading2Char">
    <w:name w:val="Heading 2 Char"/>
    <w:basedOn w:val="DefaultParagraphFont"/>
    <w:link w:val="Heading2"/>
    <w:uiPriority w:val="9"/>
    <w:rsid w:val="00A4144F"/>
    <w:rPr>
      <w:rFonts w:asciiTheme="majorHAnsi" w:eastAsiaTheme="majorEastAsia" w:hAnsiTheme="majorHAnsi" w:cstheme="majorBidi"/>
      <w:caps/>
      <w:color w:val="495965" w:themeColor="text2"/>
      <w:sz w:val="38"/>
      <w:szCs w:val="26"/>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pageBreakBefore w:val="0"/>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1D663E"/>
    <w:pPr>
      <w:numPr>
        <w:numId w:val="26"/>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3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23"/>
      </w:numPr>
    </w:pPr>
  </w:style>
  <w:style w:type="paragraph" w:customStyle="1" w:styleId="Heading2Numbered">
    <w:name w:val="Heading 2 Numbered"/>
    <w:basedOn w:val="Heading2"/>
    <w:next w:val="Normal"/>
    <w:qFormat/>
    <w:rsid w:val="00ED2831"/>
    <w:pPr>
      <w:numPr>
        <w:ilvl w:val="1"/>
        <w:numId w:val="23"/>
      </w:numPr>
      <w:spacing w:before="480" w:after="60"/>
    </w:pPr>
    <w:rPr>
      <w:bCs/>
    </w:rPr>
  </w:style>
  <w:style w:type="paragraph" w:customStyle="1" w:styleId="Heading3Numbered">
    <w:name w:val="Heading 3 Numbered"/>
    <w:basedOn w:val="Heading3"/>
    <w:next w:val="Normal"/>
    <w:qFormat/>
    <w:rsid w:val="00ED2831"/>
    <w:pPr>
      <w:numPr>
        <w:ilvl w:val="2"/>
        <w:numId w:val="23"/>
      </w:numPr>
      <w:spacing w:before="300" w:after="60"/>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pageBreakBefore w:val="0"/>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992C76"/>
    <w:pPr>
      <w:tabs>
        <w:tab w:val="center" w:pos="4513"/>
        <w:tab w:val="right" w:pos="9026"/>
      </w:tabs>
      <w:spacing w:before="0" w:after="0"/>
      <w:jc w:val="right"/>
    </w:pPr>
    <w:rPr>
      <w:b/>
      <w:caps/>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ED2831"/>
    <w:pPr>
      <w:spacing w:before="400" w:after="400" w:line="280" w:lineRule="exact"/>
    </w:pPr>
    <w:rPr>
      <w:b/>
      <w:caps/>
      <w:color w:val="ACD08C" w:themeColor="accent3"/>
      <w:sz w:val="28"/>
    </w:rPr>
  </w:style>
  <w:style w:type="table" w:styleId="TableGrid">
    <w:name w:val="Table Grid"/>
    <w:basedOn w:val="TableNormal"/>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92C76"/>
    <w:rPr>
      <w:b/>
      <w:caps/>
      <w:color w:val="495965" w:themeColor="text2"/>
      <w:sz w:val="20"/>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link w:val="CaptionChar"/>
    <w:uiPriority w:val="99"/>
    <w:unhideWhenUsed/>
    <w:qFormat/>
    <w:rsid w:val="00ED2831"/>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F83428"/>
    <w:rPr>
      <w:color w:val="ACD08C" w:themeColor="accent3"/>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F82271"/>
    <w:pPr>
      <w:spacing w:after="200" w:line="140" w:lineRule="atLeast"/>
      <w:jc w:val="right"/>
    </w:pPr>
    <w:rPr>
      <w:sz w:val="12"/>
    </w:rPr>
  </w:style>
  <w:style w:type="table" w:customStyle="1" w:styleId="DFATTable1">
    <w:name w:val="DFAT Table 1"/>
    <w:basedOn w:val="TableNormal"/>
    <w:uiPriority w:val="99"/>
    <w:rsid w:val="00ED2831"/>
    <w:pPr>
      <w:spacing w:before="60" w:after="60" w:line="220" w:lineRule="atLeast"/>
    </w:pPr>
    <w:rPr>
      <w:rFonts w:ascii="Calibri" w:hAnsi="Calibri"/>
      <w:sz w:val="18"/>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ED2831"/>
    <w:pPr>
      <w:pageBreakBefore w:val="0"/>
      <w:spacing w:after="60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ED2831"/>
    <w:pPr>
      <w:spacing w:before="60" w:line="220" w:lineRule="atLeast"/>
    </w:pPr>
    <w:rPr>
      <w:rFonts w:ascii="Calibri" w:hAnsi="Calibri"/>
      <w:b/>
      <w:sz w:val="18"/>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ED2831"/>
    <w:pPr>
      <w:spacing w:before="60" w:line="220" w:lineRule="atLeast"/>
    </w:pPr>
    <w:rPr>
      <w:rFonts w:ascii="Calibri" w:hAnsi="Calibri"/>
      <w:b/>
      <w:color w:val="FFFFFF" w:themeColor="background1"/>
      <w:sz w:val="18"/>
    </w:rPr>
  </w:style>
  <w:style w:type="paragraph" w:customStyle="1" w:styleId="BoxHeading">
    <w:name w:val="Box Heading"/>
    <w:basedOn w:val="Heading3"/>
    <w:qFormat/>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A80F95"/>
    <w:pPr>
      <w:spacing w:before="60" w:line="220" w:lineRule="atLeast"/>
    </w:pPr>
    <w:rPr>
      <w:rFonts w:ascii="Calibri" w:hAnsi="Calibri"/>
      <w:sz w:val="18"/>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rsid w:val="002B3E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95"/>
    <w:rPr>
      <w:rFonts w:ascii="Tahoma" w:hAnsi="Tahoma" w:cs="Tahoma"/>
      <w:color w:val="495965" w:themeColor="text2"/>
      <w:sz w:val="16"/>
      <w:szCs w:val="16"/>
      <w:lang w:val="en-GB"/>
    </w:rPr>
  </w:style>
  <w:style w:type="paragraph" w:styleId="BodyText">
    <w:name w:val="Body Text"/>
    <w:basedOn w:val="Normal"/>
    <w:link w:val="BodyTextChar"/>
    <w:qFormat/>
    <w:rsid w:val="008F56A8"/>
    <w:pPr>
      <w:suppressAutoHyphens w:val="0"/>
      <w:spacing w:before="0" w:after="160" w:line="280" w:lineRule="exact"/>
    </w:pPr>
    <w:rPr>
      <w:rFonts w:ascii="Franklin Gothic Book" w:eastAsia="Times New Roman" w:hAnsi="Franklin Gothic Book" w:cs="Times New Roman"/>
      <w:color w:val="auto"/>
      <w:sz w:val="21"/>
      <w:szCs w:val="24"/>
      <w:lang w:val="en-AU" w:eastAsia="en-AU"/>
    </w:rPr>
  </w:style>
  <w:style w:type="character" w:customStyle="1" w:styleId="BodyTextChar">
    <w:name w:val="Body Text Char"/>
    <w:basedOn w:val="DefaultParagraphFont"/>
    <w:link w:val="BodyText"/>
    <w:rsid w:val="008F56A8"/>
    <w:rPr>
      <w:rFonts w:ascii="Franklin Gothic Book" w:eastAsia="Times New Roman" w:hAnsi="Franklin Gothic Book" w:cs="Times New Roman"/>
      <w:sz w:val="21"/>
      <w:szCs w:val="24"/>
      <w:lang w:eastAsia="en-AU"/>
    </w:rPr>
  </w:style>
  <w:style w:type="paragraph" w:styleId="ListBullet">
    <w:name w:val="List Bullet"/>
    <w:basedOn w:val="BodyText"/>
    <w:qFormat/>
    <w:rsid w:val="008F56A8"/>
    <w:pPr>
      <w:tabs>
        <w:tab w:val="left" w:pos="284"/>
      </w:tabs>
      <w:spacing w:after="120"/>
    </w:pPr>
  </w:style>
  <w:style w:type="character" w:customStyle="1" w:styleId="CaptionChar">
    <w:name w:val="Caption Char"/>
    <w:link w:val="Caption"/>
    <w:uiPriority w:val="99"/>
    <w:locked/>
    <w:rsid w:val="008F56A8"/>
    <w:rPr>
      <w:b/>
      <w:iCs/>
      <w:color w:val="000000" w:themeColor="text1"/>
      <w:sz w:val="20"/>
      <w:szCs w:val="18"/>
      <w:lang w:val="en-GB"/>
    </w:rPr>
  </w:style>
  <w:style w:type="paragraph" w:customStyle="1" w:styleId="Note">
    <w:name w:val="Note"/>
    <w:basedOn w:val="TableTextEntries"/>
    <w:next w:val="BodyText"/>
    <w:link w:val="NoteCharChar"/>
    <w:autoRedefine/>
    <w:rsid w:val="005B5769"/>
    <w:pPr>
      <w:keepNext/>
      <w:spacing w:before="20" w:after="20" w:line="180" w:lineRule="atLeast"/>
      <w:jc w:val="both"/>
    </w:pPr>
    <w:rPr>
      <w:iCs w:val="0"/>
      <w:sz w:val="14"/>
      <w:szCs w:val="14"/>
      <w:lang w:eastAsia="en-AU"/>
    </w:rPr>
  </w:style>
  <w:style w:type="paragraph" w:customStyle="1" w:styleId="TableTextEntries">
    <w:name w:val="Table Text Entries"/>
    <w:rsid w:val="005B5769"/>
    <w:pPr>
      <w:keepLines/>
      <w:spacing w:before="40" w:after="40" w:line="200" w:lineRule="atLeast"/>
    </w:pPr>
    <w:rPr>
      <w:rFonts w:ascii="Franklin Gothic Book" w:eastAsia="Times New Roman" w:hAnsi="Franklin Gothic Book" w:cs="Times New Roman"/>
      <w:iCs/>
      <w:sz w:val="17"/>
      <w:szCs w:val="17"/>
    </w:rPr>
  </w:style>
  <w:style w:type="character" w:customStyle="1" w:styleId="NoteCharChar">
    <w:name w:val="Note Char Char"/>
    <w:link w:val="Note"/>
    <w:rsid w:val="005B5769"/>
    <w:rPr>
      <w:rFonts w:ascii="Franklin Gothic Book" w:eastAsia="Times New Roman" w:hAnsi="Franklin Gothic Book" w:cs="Times New Roman"/>
      <w:sz w:val="14"/>
      <w:szCs w:val="14"/>
      <w:lang w:eastAsia="en-AU"/>
    </w:rPr>
  </w:style>
  <w:style w:type="paragraph" w:customStyle="1" w:styleId="TableTextColumnHeading">
    <w:name w:val="Table Text Column Heading"/>
    <w:basedOn w:val="Normal"/>
    <w:autoRedefine/>
    <w:rsid w:val="00E65105"/>
    <w:pPr>
      <w:keepLines/>
      <w:suppressAutoHyphens w:val="0"/>
      <w:spacing w:before="80" w:after="80" w:line="200" w:lineRule="atLeast"/>
      <w:ind w:left="125"/>
    </w:pPr>
    <w:rPr>
      <w:rFonts w:ascii="Franklin Gothic Medium" w:eastAsia="Times New Roman" w:hAnsi="Franklin Gothic Medium" w:cs="Times New Roman"/>
      <w:b/>
      <w:iCs/>
      <w:color w:val="auto"/>
      <w:sz w:val="17"/>
      <w:szCs w:val="17"/>
      <w:lang w:val="en-AU"/>
    </w:rPr>
  </w:style>
  <w:style w:type="table" w:customStyle="1" w:styleId="DFATTable">
    <w:name w:val="DFAT Table"/>
    <w:basedOn w:val="TableNormal"/>
    <w:uiPriority w:val="99"/>
    <w:rsid w:val="005B5769"/>
    <w:pPr>
      <w:spacing w:after="0" w:line="240" w:lineRule="auto"/>
    </w:pPr>
    <w:rPr>
      <w:rFonts w:ascii="Helvetica" w:hAnsi="Helvetica"/>
      <w:sz w:val="17"/>
      <w:lang w:eastAsia="en-AU"/>
    </w:rPr>
    <w:tblPr>
      <w:tblBorders>
        <w:top w:val="single" w:sz="12" w:space="0" w:color="auto"/>
        <w:bottom w:val="single" w:sz="12" w:space="0" w:color="auto"/>
      </w:tblBorders>
    </w:tblPr>
  </w:style>
  <w:style w:type="paragraph" w:customStyle="1" w:styleId="BoxListBullet">
    <w:name w:val="Box List Bullet"/>
    <w:basedOn w:val="Normal"/>
    <w:rsid w:val="005B5769"/>
    <w:pPr>
      <w:keepLines/>
      <w:numPr>
        <w:numId w:val="34"/>
      </w:numPr>
      <w:pBdr>
        <w:top w:val="single" w:sz="4" w:space="10" w:color="auto"/>
        <w:left w:val="single" w:sz="4" w:space="10" w:color="auto"/>
        <w:bottom w:val="single" w:sz="4" w:space="10" w:color="auto"/>
        <w:right w:val="single" w:sz="4" w:space="10" w:color="auto"/>
      </w:pBdr>
      <w:shd w:val="clear" w:color="auto" w:fill="C7D5E6"/>
      <w:suppressAutoHyphens w:val="0"/>
      <w:spacing w:before="0" w:after="120" w:line="240" w:lineRule="auto"/>
      <w:ind w:left="284" w:hanging="284"/>
      <w:contextualSpacing/>
      <w:mirrorIndents/>
    </w:pPr>
    <w:rPr>
      <w:rFonts w:ascii="Franklin Gothic Book" w:eastAsia="Times New Roman" w:hAnsi="Franklin Gothic Book" w:cs="Times New Roman"/>
      <w:iCs/>
      <w:color w:val="auto"/>
      <w:sz w:val="20"/>
      <w:szCs w:val="20"/>
      <w:lang w:val="en-AU" w:eastAsia="en-AU"/>
    </w:rPr>
  </w:style>
  <w:style w:type="paragraph" w:customStyle="1" w:styleId="TableHeading1">
    <w:name w:val="Table Heading 1"/>
    <w:basedOn w:val="TableTextEntries"/>
    <w:next w:val="TableTextEntries"/>
    <w:rsid w:val="005B5769"/>
    <w:pPr>
      <w:spacing w:before="80" w:after="80"/>
    </w:pPr>
    <w:rPr>
      <w:b/>
    </w:rPr>
  </w:style>
  <w:style w:type="table" w:customStyle="1" w:styleId="APPR">
    <w:name w:val="APPR"/>
    <w:basedOn w:val="TableNormal"/>
    <w:uiPriority w:val="99"/>
    <w:rsid w:val="005B5769"/>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TableListNumber2">
    <w:name w:val="Table List Number 2"/>
    <w:basedOn w:val="Normal"/>
    <w:rsid w:val="005B5769"/>
    <w:pPr>
      <w:keepLines/>
      <w:numPr>
        <w:numId w:val="35"/>
      </w:numPr>
      <w:suppressAutoHyphens w:val="0"/>
      <w:spacing w:before="40" w:after="40" w:line="200" w:lineRule="atLeast"/>
      <w:ind w:left="568" w:hanging="284"/>
    </w:pPr>
    <w:rPr>
      <w:rFonts w:ascii="Helvetica" w:eastAsia="Times New Roman" w:hAnsi="Helvetica" w:cs="Times New Roman"/>
      <w:iCs/>
      <w:color w:val="auto"/>
      <w:sz w:val="17"/>
      <w:szCs w:val="17"/>
      <w:lang w:val="en-AU"/>
    </w:rPr>
  </w:style>
  <w:style w:type="table" w:customStyle="1" w:styleId="TableGrid1">
    <w:name w:val="Table Grid1"/>
    <w:basedOn w:val="TableNormal"/>
    <w:next w:val="TableGrid"/>
    <w:uiPriority w:val="39"/>
    <w:rsid w:val="00695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07A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F5DA1"/>
    <w:rPr>
      <w:sz w:val="16"/>
      <w:szCs w:val="16"/>
    </w:rPr>
  </w:style>
  <w:style w:type="paragraph" w:styleId="CommentText">
    <w:name w:val="annotation text"/>
    <w:basedOn w:val="Normal"/>
    <w:link w:val="CommentTextChar"/>
    <w:uiPriority w:val="99"/>
    <w:semiHidden/>
    <w:unhideWhenUsed/>
    <w:rsid w:val="00AF5DA1"/>
    <w:pPr>
      <w:spacing w:line="240" w:lineRule="auto"/>
    </w:pPr>
    <w:rPr>
      <w:sz w:val="20"/>
      <w:szCs w:val="20"/>
    </w:rPr>
  </w:style>
  <w:style w:type="character" w:customStyle="1" w:styleId="CommentTextChar">
    <w:name w:val="Comment Text Char"/>
    <w:basedOn w:val="DefaultParagraphFont"/>
    <w:link w:val="CommentText"/>
    <w:uiPriority w:val="99"/>
    <w:semiHidden/>
    <w:rsid w:val="00AF5DA1"/>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AF5DA1"/>
    <w:rPr>
      <w:b/>
      <w:bCs/>
    </w:rPr>
  </w:style>
  <w:style w:type="character" w:customStyle="1" w:styleId="CommentSubjectChar">
    <w:name w:val="Comment Subject Char"/>
    <w:basedOn w:val="CommentTextChar"/>
    <w:link w:val="CommentSubject"/>
    <w:uiPriority w:val="99"/>
    <w:semiHidden/>
    <w:rsid w:val="00AF5DA1"/>
    <w:rPr>
      <w:b/>
      <w:bCs/>
      <w:color w:val="495965" w:themeColor="text2"/>
      <w:sz w:val="20"/>
      <w:szCs w:val="20"/>
      <w:lang w:val="en-GB"/>
    </w:rPr>
  </w:style>
  <w:style w:type="paragraph" w:styleId="ListParagraph">
    <w:name w:val="List Paragraph"/>
    <w:basedOn w:val="Normal"/>
    <w:uiPriority w:val="34"/>
    <w:qFormat/>
    <w:rsid w:val="007661AA"/>
    <w:pPr>
      <w:ind w:left="720"/>
      <w:contextualSpacing/>
    </w:pPr>
  </w:style>
  <w:style w:type="character" w:styleId="FollowedHyperlink">
    <w:name w:val="FollowedHyperlink"/>
    <w:basedOn w:val="DefaultParagraphFont"/>
    <w:uiPriority w:val="99"/>
    <w:semiHidden/>
    <w:unhideWhenUsed/>
    <w:rsid w:val="00484574"/>
    <w:rPr>
      <w:color w:val="800080" w:themeColor="followedHyperlink"/>
      <w:u w:val="single"/>
    </w:rPr>
  </w:style>
  <w:style w:type="paragraph" w:styleId="Revision">
    <w:name w:val="Revision"/>
    <w:hidden/>
    <w:uiPriority w:val="99"/>
    <w:semiHidden/>
    <w:rsid w:val="00577E3C"/>
    <w:pPr>
      <w:spacing w:after="0" w:line="240" w:lineRule="auto"/>
    </w:pPr>
    <w:rPr>
      <w:color w:val="495965" w:themeColor="text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3341">
      <w:bodyDiv w:val="1"/>
      <w:marLeft w:val="0"/>
      <w:marRight w:val="0"/>
      <w:marTop w:val="0"/>
      <w:marBottom w:val="0"/>
      <w:divBdr>
        <w:top w:val="none" w:sz="0" w:space="0" w:color="auto"/>
        <w:left w:val="none" w:sz="0" w:space="0" w:color="auto"/>
        <w:bottom w:val="none" w:sz="0" w:space="0" w:color="auto"/>
        <w:right w:val="none" w:sz="0" w:space="0" w:color="auto"/>
      </w:divBdr>
    </w:div>
    <w:div w:id="259333855">
      <w:bodyDiv w:val="1"/>
      <w:marLeft w:val="0"/>
      <w:marRight w:val="0"/>
      <w:marTop w:val="0"/>
      <w:marBottom w:val="0"/>
      <w:divBdr>
        <w:top w:val="none" w:sz="0" w:space="0" w:color="auto"/>
        <w:left w:val="none" w:sz="0" w:space="0" w:color="auto"/>
        <w:bottom w:val="none" w:sz="0" w:space="0" w:color="auto"/>
        <w:right w:val="none" w:sz="0" w:space="0" w:color="auto"/>
      </w:divBdr>
    </w:div>
    <w:div w:id="436633414">
      <w:bodyDiv w:val="1"/>
      <w:marLeft w:val="0"/>
      <w:marRight w:val="0"/>
      <w:marTop w:val="0"/>
      <w:marBottom w:val="0"/>
      <w:divBdr>
        <w:top w:val="none" w:sz="0" w:space="0" w:color="auto"/>
        <w:left w:val="none" w:sz="0" w:space="0" w:color="auto"/>
        <w:bottom w:val="none" w:sz="0" w:space="0" w:color="auto"/>
        <w:right w:val="none" w:sz="0" w:space="0" w:color="auto"/>
      </w:divBdr>
    </w:div>
    <w:div w:id="536163064">
      <w:bodyDiv w:val="1"/>
      <w:marLeft w:val="0"/>
      <w:marRight w:val="0"/>
      <w:marTop w:val="0"/>
      <w:marBottom w:val="0"/>
      <w:divBdr>
        <w:top w:val="none" w:sz="0" w:space="0" w:color="auto"/>
        <w:left w:val="none" w:sz="0" w:space="0" w:color="auto"/>
        <w:bottom w:val="none" w:sz="0" w:space="0" w:color="auto"/>
        <w:right w:val="none" w:sz="0" w:space="0" w:color="auto"/>
      </w:divBdr>
    </w:div>
    <w:div w:id="560940854">
      <w:bodyDiv w:val="1"/>
      <w:marLeft w:val="0"/>
      <w:marRight w:val="0"/>
      <w:marTop w:val="0"/>
      <w:marBottom w:val="0"/>
      <w:divBdr>
        <w:top w:val="none" w:sz="0" w:space="0" w:color="auto"/>
        <w:left w:val="none" w:sz="0" w:space="0" w:color="auto"/>
        <w:bottom w:val="none" w:sz="0" w:space="0" w:color="auto"/>
        <w:right w:val="none" w:sz="0" w:space="0" w:color="auto"/>
      </w:divBdr>
    </w:div>
    <w:div w:id="832336743">
      <w:bodyDiv w:val="1"/>
      <w:marLeft w:val="0"/>
      <w:marRight w:val="0"/>
      <w:marTop w:val="0"/>
      <w:marBottom w:val="0"/>
      <w:divBdr>
        <w:top w:val="none" w:sz="0" w:space="0" w:color="auto"/>
        <w:left w:val="none" w:sz="0" w:space="0" w:color="auto"/>
        <w:bottom w:val="none" w:sz="0" w:space="0" w:color="auto"/>
        <w:right w:val="none" w:sz="0" w:space="0" w:color="auto"/>
      </w:divBdr>
    </w:div>
    <w:div w:id="20466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G"/><Relationship Id="rId25" Type="http://schemas.openxmlformats.org/officeDocument/2006/relationships/image" Target="media/image14.jpeg"/><Relationship Id="rId33" Type="http://schemas.openxmlformats.org/officeDocument/2006/relationships/header" Target="header8.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header" Target="header7.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2.jpeg"/><Relationship Id="rId28" Type="http://schemas.openxmlformats.org/officeDocument/2006/relationships/header" Target="header4.xm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Corporate">
      <a:dk1>
        <a:sysClr val="windowText" lastClr="000000"/>
      </a:dk1>
      <a:lt1>
        <a:sysClr val="window" lastClr="FFFFFF"/>
      </a:lt1>
      <a:dk2>
        <a:srgbClr val="495965"/>
      </a:dk2>
      <a:lt2>
        <a:srgbClr val="D8DCDB"/>
      </a:lt2>
      <a:accent1>
        <a:srgbClr val="65C5B4"/>
      </a:accent1>
      <a:accent2>
        <a:srgbClr val="D3875F"/>
      </a:accent2>
      <a:accent3>
        <a:srgbClr val="ACD08C"/>
      </a:accent3>
      <a:accent4>
        <a:srgbClr val="007C89"/>
      </a:accent4>
      <a:accent5>
        <a:srgbClr val="C15A2D"/>
      </a:accent5>
      <a:accent6>
        <a:srgbClr val="409F68"/>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630B86-D782-4B44-83D0-3A5DCD48F03C}"/>
</file>

<file path=customXml/itemProps2.xml><?xml version="1.0" encoding="utf-8"?>
<ds:datastoreItem xmlns:ds="http://schemas.openxmlformats.org/officeDocument/2006/customXml" ds:itemID="{6EE0A8C9-1DD4-4AD1-BC15-757446E15320}"/>
</file>

<file path=customXml/itemProps3.xml><?xml version="1.0" encoding="utf-8"?>
<ds:datastoreItem xmlns:ds="http://schemas.openxmlformats.org/officeDocument/2006/customXml" ds:itemID="{955158A6-897C-46CD-BBA1-57598DAFBD6E}"/>
</file>

<file path=customXml/itemProps4.xml><?xml version="1.0" encoding="utf-8"?>
<ds:datastoreItem xmlns:ds="http://schemas.openxmlformats.org/officeDocument/2006/customXml" ds:itemID="{500DF723-2B00-496C-8790-72B32CA66FE0}"/>
</file>

<file path=docProps/app.xml><?xml version="1.0" encoding="utf-8"?>
<Properties xmlns="http://schemas.openxmlformats.org/officeDocument/2006/extended-properties" xmlns:vt="http://schemas.openxmlformats.org/officeDocument/2006/docPropsVTypes">
  <Template>Normal.dotm</Template>
  <TotalTime>0</TotalTime>
  <Pages>13</Pages>
  <Words>4477</Words>
  <Characters>25523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Territories Aid Program Performance Report 2017-18</dc:title>
  <dc:creator/>
  <cp:lastModifiedBy/>
  <cp:revision>1</cp:revision>
  <dcterms:created xsi:type="dcterms:W3CDTF">2018-09-19T00:30:00Z</dcterms:created>
  <dcterms:modified xsi:type="dcterms:W3CDTF">2018-09-19T00:30:00Z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484d7721-b33d-4f5d-9ee0-948c4642c97f</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1196200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